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8F715A" w:rsidRDefault="00540BEF" w:rsidP="00BF0E94">
      <w:pPr>
        <w:tabs>
          <w:tab w:val="left" w:pos="288"/>
          <w:tab w:val="left" w:pos="4752"/>
        </w:tabs>
        <w:rPr>
          <w:color w:val="auto"/>
        </w:rPr>
      </w:pPr>
      <w:r w:rsidRPr="008F715A">
        <w:rPr>
          <w:color w:val="auto"/>
        </w:rPr>
        <w:t>RECORD OF PROCEEDINGS</w:t>
      </w:r>
    </w:p>
    <w:p w:rsidR="00540BEF" w:rsidRPr="008F715A" w:rsidRDefault="00540BEF" w:rsidP="00BF0E94">
      <w:pPr>
        <w:tabs>
          <w:tab w:val="left" w:pos="288"/>
          <w:tab w:val="left" w:pos="4752"/>
        </w:tabs>
        <w:rPr>
          <w:color w:val="auto"/>
        </w:rPr>
      </w:pPr>
      <w:r w:rsidRPr="008F715A">
        <w:rPr>
          <w:color w:val="auto"/>
        </w:rPr>
        <w:t>PHYSICAL DISABILITY BOARD OF REVIEW</w:t>
      </w:r>
    </w:p>
    <w:p w:rsidR="00540BEF" w:rsidRPr="008F715A" w:rsidRDefault="00540BEF" w:rsidP="00BF0E94">
      <w:pPr>
        <w:tabs>
          <w:tab w:val="left" w:pos="288"/>
          <w:tab w:val="left" w:pos="4752"/>
        </w:tabs>
        <w:jc w:val="both"/>
        <w:rPr>
          <w:caps/>
          <w:color w:val="auto"/>
        </w:rPr>
      </w:pPr>
    </w:p>
    <w:p w:rsidR="00DB0310" w:rsidRPr="008F715A" w:rsidRDefault="00DB0310" w:rsidP="001E74CF">
      <w:pPr>
        <w:tabs>
          <w:tab w:val="left" w:pos="288"/>
          <w:tab w:val="left" w:pos="4752"/>
          <w:tab w:val="left" w:pos="5130"/>
          <w:tab w:val="left" w:pos="6300"/>
          <w:tab w:val="left" w:pos="9270"/>
        </w:tabs>
        <w:jc w:val="both"/>
        <w:rPr>
          <w:caps/>
          <w:color w:val="auto"/>
        </w:rPr>
      </w:pPr>
      <w:r w:rsidRPr="008F715A">
        <w:rPr>
          <w:caps/>
          <w:color w:val="auto"/>
        </w:rPr>
        <w:t xml:space="preserve">NAME:  </w:t>
      </w:r>
      <w:r w:rsidR="00565D98">
        <w:rPr>
          <w:caps/>
          <w:color w:val="auto"/>
        </w:rPr>
        <w:t>XXXXXXXXXXX</w:t>
      </w:r>
      <w:r w:rsidRPr="008F715A">
        <w:rPr>
          <w:caps/>
          <w:color w:val="auto"/>
        </w:rPr>
        <w:t xml:space="preserve">  </w:t>
      </w:r>
      <w:r w:rsidR="001E74CF" w:rsidRPr="008F715A">
        <w:rPr>
          <w:caps/>
          <w:color w:val="auto"/>
        </w:rPr>
        <w:t xml:space="preserve"> </w:t>
      </w:r>
      <w:r w:rsidR="001E74CF" w:rsidRPr="008F715A">
        <w:rPr>
          <w:caps/>
          <w:color w:val="auto"/>
        </w:rPr>
        <w:tab/>
        <w:t xml:space="preserve">                        </w:t>
      </w:r>
      <w:r w:rsidRPr="008F715A">
        <w:rPr>
          <w:caps/>
          <w:color w:val="auto"/>
        </w:rPr>
        <w:t xml:space="preserve"> </w:t>
      </w:r>
      <w:r w:rsidR="001E74CF" w:rsidRPr="008F715A">
        <w:rPr>
          <w:caps/>
          <w:color w:val="auto"/>
        </w:rPr>
        <w:t xml:space="preserve">  </w:t>
      </w:r>
      <w:r w:rsidR="004A74C1" w:rsidRPr="008F715A">
        <w:rPr>
          <w:caps/>
          <w:color w:val="auto"/>
        </w:rPr>
        <w:t xml:space="preserve"> BRANCH OF SERVICE:  Army</w:t>
      </w:r>
    </w:p>
    <w:p w:rsidR="00DB0310" w:rsidRPr="008F715A" w:rsidRDefault="00DB0310" w:rsidP="00DB0310">
      <w:pPr>
        <w:tabs>
          <w:tab w:val="left" w:pos="288"/>
          <w:tab w:val="left" w:pos="4166"/>
          <w:tab w:val="left" w:pos="4752"/>
          <w:tab w:val="left" w:pos="5130"/>
          <w:tab w:val="left" w:pos="9270"/>
        </w:tabs>
        <w:jc w:val="both"/>
        <w:rPr>
          <w:caps/>
          <w:color w:val="auto"/>
        </w:rPr>
      </w:pPr>
      <w:r w:rsidRPr="008F715A">
        <w:rPr>
          <w:caps/>
          <w:color w:val="auto"/>
        </w:rPr>
        <w:t>CASE NUMBER:  PD1100699</w:t>
      </w:r>
      <w:r w:rsidRPr="008F715A">
        <w:rPr>
          <w:color w:val="auto"/>
        </w:rPr>
        <w:t xml:space="preserve"> </w:t>
      </w:r>
      <w:r w:rsidRPr="008F715A">
        <w:rPr>
          <w:color w:val="auto"/>
        </w:rPr>
        <w:tab/>
      </w:r>
      <w:r w:rsidRPr="008F715A">
        <w:rPr>
          <w:color w:val="auto"/>
        </w:rPr>
        <w:tab/>
      </w:r>
      <w:r w:rsidR="001E74CF" w:rsidRPr="008F715A">
        <w:rPr>
          <w:color w:val="auto"/>
        </w:rPr>
        <w:t xml:space="preserve">                           </w:t>
      </w:r>
      <w:r w:rsidRPr="008F715A">
        <w:rPr>
          <w:color w:val="auto"/>
        </w:rPr>
        <w:t xml:space="preserve"> SEPARATION DATE:  20020313</w:t>
      </w:r>
    </w:p>
    <w:p w:rsidR="00DB0310" w:rsidRPr="008F715A" w:rsidRDefault="00DB0310" w:rsidP="00DB0310">
      <w:pPr>
        <w:tabs>
          <w:tab w:val="left" w:pos="288"/>
          <w:tab w:val="left" w:pos="5130"/>
        </w:tabs>
        <w:jc w:val="both"/>
        <w:rPr>
          <w:color w:val="auto"/>
        </w:rPr>
      </w:pPr>
      <w:r w:rsidRPr="008F715A">
        <w:rPr>
          <w:caps/>
          <w:color w:val="auto"/>
        </w:rPr>
        <w:t>BOARD DATE:  201</w:t>
      </w:r>
      <w:r w:rsidR="004A74C1" w:rsidRPr="008F715A">
        <w:rPr>
          <w:caps/>
          <w:color w:val="auto"/>
        </w:rPr>
        <w:t>2</w:t>
      </w:r>
      <w:r w:rsidR="001B7017" w:rsidRPr="008F715A">
        <w:rPr>
          <w:caps/>
          <w:color w:val="auto"/>
        </w:rPr>
        <w:t>0503</w:t>
      </w:r>
    </w:p>
    <w:p w:rsidR="003C53E8" w:rsidRPr="008F715A" w:rsidRDefault="003C53E8" w:rsidP="003C53E8">
      <w:pPr>
        <w:pBdr>
          <w:bottom w:val="single" w:sz="12" w:space="1" w:color="auto"/>
        </w:pBdr>
        <w:tabs>
          <w:tab w:val="left" w:pos="288"/>
          <w:tab w:val="left" w:pos="4752"/>
        </w:tabs>
        <w:jc w:val="both"/>
        <w:rPr>
          <w:color w:val="auto"/>
        </w:rPr>
      </w:pPr>
    </w:p>
    <w:p w:rsidR="009369A6" w:rsidRPr="008F715A" w:rsidRDefault="009369A6" w:rsidP="00BF0E94">
      <w:pPr>
        <w:tabs>
          <w:tab w:val="left" w:pos="288"/>
          <w:tab w:val="left" w:pos="4752"/>
        </w:tabs>
        <w:jc w:val="both"/>
        <w:rPr>
          <w:color w:val="auto"/>
        </w:rPr>
      </w:pPr>
    </w:p>
    <w:p w:rsidR="00F63FC7" w:rsidRPr="008F715A" w:rsidRDefault="00FB0E80" w:rsidP="00BF0E94">
      <w:pPr>
        <w:tabs>
          <w:tab w:val="left" w:pos="288"/>
          <w:tab w:val="left" w:pos="4752"/>
        </w:tabs>
        <w:jc w:val="both"/>
        <w:rPr>
          <w:color w:val="auto"/>
        </w:rPr>
      </w:pPr>
      <w:r w:rsidRPr="008F715A">
        <w:rPr>
          <w:color w:val="auto"/>
          <w:u w:val="single"/>
        </w:rPr>
        <w:t>SUMMARY OF CASE</w:t>
      </w:r>
      <w:r w:rsidRPr="008F715A">
        <w:rPr>
          <w:color w:val="auto"/>
        </w:rPr>
        <w:t xml:space="preserve">:  </w:t>
      </w:r>
      <w:r w:rsidR="00651633" w:rsidRPr="008F715A">
        <w:rPr>
          <w:color w:val="auto"/>
        </w:rPr>
        <w:t xml:space="preserve">Data extracted from the available evidence of record reflects that this covered individual (CI) </w:t>
      </w:r>
      <w:r w:rsidR="00651633" w:rsidRPr="008F715A">
        <w:rPr>
          <w:color w:val="auto"/>
          <w:szCs w:val="24"/>
        </w:rPr>
        <w:t xml:space="preserve">was an active duty SPC/E-4 (95B10/Military Policeman), medically separated for </w:t>
      </w:r>
      <w:r w:rsidR="00031ED1" w:rsidRPr="008F715A">
        <w:rPr>
          <w:color w:val="auto"/>
          <w:szCs w:val="24"/>
        </w:rPr>
        <w:t>chronic pain in the right shoulder and bilateral legs (“</w:t>
      </w:r>
      <w:r w:rsidR="00651633" w:rsidRPr="008F715A">
        <w:rPr>
          <w:color w:val="auto"/>
          <w:szCs w:val="24"/>
        </w:rPr>
        <w:t>chronic pain right shoulder, statu</w:t>
      </w:r>
      <w:r w:rsidR="00031ED1" w:rsidRPr="008F715A">
        <w:rPr>
          <w:color w:val="auto"/>
          <w:szCs w:val="24"/>
        </w:rPr>
        <w:t xml:space="preserve">s post arthroscopic surgery x3; and </w:t>
      </w:r>
      <w:r w:rsidR="00651633" w:rsidRPr="008F715A">
        <w:rPr>
          <w:color w:val="auto"/>
          <w:szCs w:val="24"/>
        </w:rPr>
        <w:t>both legs, due to tibial stress fractures</w:t>
      </w:r>
      <w:r w:rsidR="00031ED1" w:rsidRPr="008F715A">
        <w:rPr>
          <w:color w:val="auto"/>
          <w:szCs w:val="24"/>
        </w:rPr>
        <w:t>”)</w:t>
      </w:r>
      <w:r w:rsidR="00651633" w:rsidRPr="008F715A">
        <w:rPr>
          <w:color w:val="auto"/>
          <w:szCs w:val="24"/>
        </w:rPr>
        <w:t>.</w:t>
      </w:r>
      <w:r w:rsidR="00E8518C" w:rsidRPr="008F715A">
        <w:rPr>
          <w:color w:val="auto"/>
          <w:szCs w:val="24"/>
        </w:rPr>
        <w:t xml:space="preserve"> </w:t>
      </w:r>
      <w:r w:rsidR="00031ED1" w:rsidRPr="008F715A">
        <w:rPr>
          <w:color w:val="auto"/>
          <w:szCs w:val="24"/>
        </w:rPr>
        <w:t xml:space="preserve"> </w:t>
      </w:r>
      <w:r w:rsidR="00E8518C" w:rsidRPr="008F715A">
        <w:rPr>
          <w:color w:val="auto"/>
          <w:szCs w:val="24"/>
        </w:rPr>
        <w:t xml:space="preserve">The CI began to experience </w:t>
      </w:r>
      <w:r w:rsidR="00031ED1" w:rsidRPr="008F715A">
        <w:rPr>
          <w:color w:val="auto"/>
          <w:szCs w:val="24"/>
        </w:rPr>
        <w:t xml:space="preserve">right shoulder </w:t>
      </w:r>
      <w:r w:rsidR="00E8518C" w:rsidRPr="008F715A">
        <w:rPr>
          <w:color w:val="auto"/>
          <w:szCs w:val="24"/>
        </w:rPr>
        <w:t xml:space="preserve">pain after playing pushball.  He underwent two </w:t>
      </w:r>
      <w:r w:rsidR="00031ED1" w:rsidRPr="008F715A">
        <w:rPr>
          <w:color w:val="auto"/>
          <w:szCs w:val="24"/>
        </w:rPr>
        <w:t>shoulder (</w:t>
      </w:r>
      <w:r w:rsidR="00E8518C" w:rsidRPr="008F715A">
        <w:rPr>
          <w:color w:val="auto"/>
          <w:szCs w:val="24"/>
        </w:rPr>
        <w:t>SLAP</w:t>
      </w:r>
      <w:r w:rsidR="00031ED1" w:rsidRPr="008F715A">
        <w:rPr>
          <w:color w:val="auto"/>
          <w:szCs w:val="24"/>
        </w:rPr>
        <w:t>)</w:t>
      </w:r>
      <w:r w:rsidR="00E8518C" w:rsidRPr="008F715A">
        <w:rPr>
          <w:color w:val="auto"/>
          <w:szCs w:val="24"/>
        </w:rPr>
        <w:t xml:space="preserve"> surgeries, injections, and physical therapy</w:t>
      </w:r>
      <w:r w:rsidR="00031ED1" w:rsidRPr="008F715A">
        <w:rPr>
          <w:color w:val="auto"/>
          <w:szCs w:val="24"/>
        </w:rPr>
        <w:t xml:space="preserve"> which did not resolve the condition</w:t>
      </w:r>
      <w:r w:rsidR="00E8518C" w:rsidRPr="008F715A">
        <w:rPr>
          <w:color w:val="auto"/>
          <w:szCs w:val="24"/>
        </w:rPr>
        <w:t>.</w:t>
      </w:r>
      <w:r w:rsidR="00DB0310" w:rsidRPr="008F715A">
        <w:rPr>
          <w:color w:val="auto"/>
          <w:szCs w:val="24"/>
        </w:rPr>
        <w:t xml:space="preserve"> </w:t>
      </w:r>
      <w:r w:rsidR="00031ED1" w:rsidRPr="008F715A">
        <w:rPr>
          <w:color w:val="auto"/>
          <w:szCs w:val="24"/>
        </w:rPr>
        <w:t xml:space="preserve"> The CI also had bilateral leg pain and difficulty running and biking due to chronic stress fractures in both tibia (lower legs) that were documented by bone scan.  </w:t>
      </w:r>
      <w:r w:rsidR="00DB0310" w:rsidRPr="008F715A">
        <w:rPr>
          <w:color w:val="auto"/>
          <w:szCs w:val="24"/>
        </w:rPr>
        <w:t>He did not respond adequately to treatment and was unable to perform within his Military Occupational Specialty (MOS) or meet physical fitness standards.  He was issued a permanent U3, L3 profile and underwent a Medical Evaluation Board (MEB).  Chronic right shoulder instability, status post arthroscopic surgeries and chronic</w:t>
      </w:r>
      <w:r w:rsidR="00E8518C" w:rsidRPr="008F715A">
        <w:rPr>
          <w:color w:val="auto"/>
          <w:szCs w:val="24"/>
        </w:rPr>
        <w:t xml:space="preserve"> bilateral</w:t>
      </w:r>
      <w:r w:rsidR="00DB0310" w:rsidRPr="008F715A">
        <w:rPr>
          <w:color w:val="auto"/>
          <w:szCs w:val="24"/>
        </w:rPr>
        <w:t xml:space="preserve"> tibial stress fractures were</w:t>
      </w:r>
      <w:r w:rsidR="004732F4" w:rsidRPr="008F715A">
        <w:rPr>
          <w:color w:val="auto"/>
          <w:szCs w:val="24"/>
        </w:rPr>
        <w:t xml:space="preserve"> </w:t>
      </w:r>
      <w:r w:rsidR="00DB0310" w:rsidRPr="008F715A">
        <w:rPr>
          <w:color w:val="auto"/>
          <w:szCs w:val="24"/>
        </w:rPr>
        <w:t>forwarded to the Physical Evaluation Board (PEB) as medically unacceptable IAW AR 40-501</w:t>
      </w:r>
      <w:r w:rsidR="00E8518C" w:rsidRPr="008F715A">
        <w:rPr>
          <w:color w:val="auto"/>
          <w:szCs w:val="24"/>
        </w:rPr>
        <w:t xml:space="preserve">.  </w:t>
      </w:r>
      <w:r w:rsidR="001A5E62" w:rsidRPr="008F715A">
        <w:rPr>
          <w:color w:val="auto"/>
          <w:szCs w:val="24"/>
        </w:rPr>
        <w:t xml:space="preserve">No other conditions appeared on the MEB’s submission.  </w:t>
      </w:r>
      <w:r w:rsidR="00842BAA" w:rsidRPr="008F715A">
        <w:rPr>
          <w:color w:val="auto"/>
          <w:szCs w:val="24"/>
        </w:rPr>
        <w:t xml:space="preserve">The PEB adjudicated the </w:t>
      </w:r>
      <w:r w:rsidR="00E8518C" w:rsidRPr="008F715A">
        <w:rPr>
          <w:color w:val="auto"/>
          <w:szCs w:val="24"/>
        </w:rPr>
        <w:t>chronic right shoulder pain</w:t>
      </w:r>
      <w:r w:rsidR="00842BAA" w:rsidRPr="008F715A">
        <w:rPr>
          <w:color w:val="auto"/>
          <w:szCs w:val="24"/>
        </w:rPr>
        <w:t xml:space="preserve"> and </w:t>
      </w:r>
      <w:r w:rsidR="00E8518C" w:rsidRPr="008F715A">
        <w:rPr>
          <w:color w:val="auto"/>
          <w:szCs w:val="24"/>
        </w:rPr>
        <w:t>bilateral tibial stress fractures</w:t>
      </w:r>
      <w:r w:rsidR="00842BAA" w:rsidRPr="008F715A">
        <w:rPr>
          <w:color w:val="auto"/>
          <w:szCs w:val="24"/>
        </w:rPr>
        <w:t xml:space="preserve"> condition</w:t>
      </w:r>
      <w:r w:rsidR="008E2D9D" w:rsidRPr="008F715A">
        <w:rPr>
          <w:color w:val="auto"/>
          <w:szCs w:val="24"/>
        </w:rPr>
        <w:t>s</w:t>
      </w:r>
      <w:r w:rsidR="00842BAA" w:rsidRPr="008F715A">
        <w:rPr>
          <w:color w:val="auto"/>
          <w:szCs w:val="24"/>
        </w:rPr>
        <w:t xml:space="preserve"> as </w:t>
      </w:r>
      <w:r w:rsidR="00031ED1" w:rsidRPr="008F715A">
        <w:rPr>
          <w:color w:val="auto"/>
          <w:szCs w:val="24"/>
        </w:rPr>
        <w:t xml:space="preserve">a single </w:t>
      </w:r>
      <w:r w:rsidR="00842BAA" w:rsidRPr="008F715A">
        <w:rPr>
          <w:color w:val="auto"/>
          <w:szCs w:val="24"/>
        </w:rPr>
        <w:t>unfitting</w:t>
      </w:r>
      <w:r w:rsidR="00031ED1" w:rsidRPr="008F715A">
        <w:rPr>
          <w:color w:val="auto"/>
          <w:szCs w:val="24"/>
        </w:rPr>
        <w:t xml:space="preserve"> pain condition</w:t>
      </w:r>
      <w:r w:rsidR="00842BAA" w:rsidRPr="008F715A">
        <w:rPr>
          <w:color w:val="auto"/>
          <w:szCs w:val="24"/>
        </w:rPr>
        <w:t xml:space="preserve">, rated </w:t>
      </w:r>
      <w:r w:rsidR="00E8518C" w:rsidRPr="008F715A">
        <w:rPr>
          <w:color w:val="auto"/>
          <w:szCs w:val="24"/>
        </w:rPr>
        <w:t>20</w:t>
      </w:r>
      <w:r w:rsidR="00842BAA" w:rsidRPr="008F715A">
        <w:rPr>
          <w:color w:val="auto"/>
          <w:szCs w:val="24"/>
        </w:rPr>
        <w:t xml:space="preserve">%; with </w:t>
      </w:r>
      <w:r w:rsidR="008012AC" w:rsidRPr="008F715A">
        <w:rPr>
          <w:color w:val="auto"/>
          <w:szCs w:val="24"/>
        </w:rPr>
        <w:t xml:space="preserve">specified </w:t>
      </w:r>
      <w:r w:rsidR="00842BAA" w:rsidRPr="008F715A">
        <w:rPr>
          <w:color w:val="auto"/>
          <w:szCs w:val="24"/>
        </w:rPr>
        <w:t>application of the US Army Physical Disability Agency (USAPDA) pain policy</w:t>
      </w:r>
      <w:r w:rsidR="00B1473A" w:rsidRPr="008F715A">
        <w:rPr>
          <w:color w:val="auto"/>
          <w:szCs w:val="24"/>
        </w:rPr>
        <w:t>.</w:t>
      </w:r>
      <w:r w:rsidR="00842BAA" w:rsidRPr="008F715A">
        <w:rPr>
          <w:color w:val="auto"/>
          <w:szCs w:val="24"/>
        </w:rPr>
        <w:t xml:space="preserve"> </w:t>
      </w:r>
      <w:r w:rsidR="008012AC" w:rsidRPr="008F715A">
        <w:rPr>
          <w:color w:val="auto"/>
          <w:szCs w:val="24"/>
        </w:rPr>
        <w:t xml:space="preserve"> </w:t>
      </w:r>
      <w:r w:rsidR="00B20624" w:rsidRPr="008F715A">
        <w:rPr>
          <w:color w:val="auto"/>
        </w:rPr>
        <w:t xml:space="preserve">The CI </w:t>
      </w:r>
      <w:r w:rsidR="00190E48" w:rsidRPr="008F715A">
        <w:rPr>
          <w:color w:val="auto"/>
        </w:rPr>
        <w:t xml:space="preserve">made no appeals, </w:t>
      </w:r>
      <w:r w:rsidR="00B20624" w:rsidRPr="008F715A">
        <w:rPr>
          <w:color w:val="auto"/>
        </w:rPr>
        <w:t xml:space="preserve">and was medically separated with a </w:t>
      </w:r>
      <w:r w:rsidR="00B1473A" w:rsidRPr="008F715A">
        <w:rPr>
          <w:color w:val="auto"/>
        </w:rPr>
        <w:t>20</w:t>
      </w:r>
      <w:r w:rsidR="00B20624" w:rsidRPr="008F715A">
        <w:rPr>
          <w:color w:val="auto"/>
        </w:rPr>
        <w:t>% disability rating.</w:t>
      </w:r>
      <w:r w:rsidR="008012AC" w:rsidRPr="008F715A">
        <w:rPr>
          <w:color w:val="auto"/>
        </w:rPr>
        <w:t xml:space="preserve">  </w:t>
      </w:r>
    </w:p>
    <w:p w:rsidR="007F49C8" w:rsidRPr="008F715A" w:rsidRDefault="007F49C8" w:rsidP="00BF0E94">
      <w:pPr>
        <w:pBdr>
          <w:bottom w:val="single" w:sz="12" w:space="1" w:color="auto"/>
        </w:pBdr>
        <w:tabs>
          <w:tab w:val="left" w:pos="288"/>
          <w:tab w:val="left" w:pos="4752"/>
        </w:tabs>
        <w:jc w:val="both"/>
        <w:rPr>
          <w:color w:val="auto"/>
        </w:rPr>
      </w:pPr>
    </w:p>
    <w:p w:rsidR="004174F0" w:rsidRPr="008F715A" w:rsidRDefault="004174F0" w:rsidP="00BF0E94">
      <w:pPr>
        <w:tabs>
          <w:tab w:val="left" w:pos="288"/>
          <w:tab w:val="left" w:pos="4752"/>
        </w:tabs>
        <w:jc w:val="both"/>
        <w:rPr>
          <w:color w:val="auto"/>
        </w:rPr>
      </w:pPr>
    </w:p>
    <w:p w:rsidR="008012AC" w:rsidRPr="008F715A" w:rsidRDefault="002C6E5B" w:rsidP="008012AC">
      <w:pPr>
        <w:tabs>
          <w:tab w:val="left" w:pos="288"/>
          <w:tab w:val="left" w:pos="4752"/>
        </w:tabs>
        <w:jc w:val="both"/>
        <w:rPr>
          <w:rFonts w:eastAsiaTheme="minorHAnsi"/>
          <w:color w:val="auto"/>
          <w:szCs w:val="24"/>
        </w:rPr>
      </w:pPr>
      <w:r w:rsidRPr="008F715A">
        <w:rPr>
          <w:color w:val="auto"/>
          <w:u w:val="single"/>
        </w:rPr>
        <w:t>CI CONTENTION</w:t>
      </w:r>
      <w:r w:rsidRPr="008F715A">
        <w:rPr>
          <w:color w:val="auto"/>
        </w:rPr>
        <w:t>:</w:t>
      </w:r>
      <w:r w:rsidR="00C830AA" w:rsidRPr="008F715A">
        <w:rPr>
          <w:color w:val="auto"/>
        </w:rPr>
        <w:t xml:space="preserve">  </w:t>
      </w:r>
      <w:r w:rsidR="008012AC" w:rsidRPr="008F715A">
        <w:rPr>
          <w:color w:val="auto"/>
        </w:rPr>
        <w:t xml:space="preserve">“It is noted in my Medical Board Evaluation Board Narrative Summary that I experienced both chronic pain and instability in my right shoulder after two SLAP lesions repairs.  I also suffer from pain in both legs which were noted as being from stress fractures in both tibias.  I also had a P2 profile for acute folliculitis barbae.  I also suffer from a non fungal rash on both feet that caused an immense stench and the skin to become pitted and </w:t>
      </w:r>
      <w:r w:rsidR="008012AC" w:rsidRPr="008F715A">
        <w:rPr>
          <w:rFonts w:eastAsiaTheme="minorHAnsi"/>
          <w:color w:val="auto"/>
          <w:szCs w:val="24"/>
        </w:rPr>
        <w:t xml:space="preserve">coming off.  I was also suffering from </w:t>
      </w:r>
      <w:r w:rsidR="00E641B5" w:rsidRPr="008F715A">
        <w:rPr>
          <w:rFonts w:eastAsiaTheme="minorHAnsi"/>
          <w:color w:val="auto"/>
          <w:szCs w:val="24"/>
        </w:rPr>
        <w:t>un</w:t>
      </w:r>
      <w:r w:rsidR="008012AC" w:rsidRPr="008F715A">
        <w:rPr>
          <w:rFonts w:eastAsiaTheme="minorHAnsi"/>
          <w:color w:val="auto"/>
          <w:szCs w:val="24"/>
        </w:rPr>
        <w:t xml:space="preserve">treated hypertension as mentioned in both the narrative and DD Form 2807-1 as included in my PEB packet.  </w:t>
      </w:r>
      <w:r w:rsidR="00E641B5" w:rsidRPr="008F715A">
        <w:rPr>
          <w:rFonts w:eastAsiaTheme="minorHAnsi"/>
          <w:color w:val="auto"/>
          <w:szCs w:val="24"/>
        </w:rPr>
        <w:t>It</w:t>
      </w:r>
      <w:r w:rsidR="008012AC" w:rsidRPr="008F715A">
        <w:rPr>
          <w:rFonts w:eastAsiaTheme="minorHAnsi"/>
          <w:color w:val="auto"/>
          <w:szCs w:val="24"/>
        </w:rPr>
        <w:t xml:space="preserve"> is also noted that I experience numbness in my right hand, as well as an inability to sleep more than three hours a night, which has continued to this day.”  </w:t>
      </w:r>
    </w:p>
    <w:p w:rsidR="004174F0" w:rsidRPr="008F715A" w:rsidRDefault="004174F0" w:rsidP="00BF0E94">
      <w:pPr>
        <w:pBdr>
          <w:bottom w:val="single" w:sz="12" w:space="1" w:color="auto"/>
        </w:pBdr>
        <w:tabs>
          <w:tab w:val="left" w:pos="288"/>
          <w:tab w:val="left" w:pos="4752"/>
        </w:tabs>
        <w:jc w:val="both"/>
        <w:rPr>
          <w:color w:val="auto"/>
        </w:rPr>
      </w:pPr>
    </w:p>
    <w:p w:rsidR="004174F0" w:rsidRPr="008F715A" w:rsidRDefault="004174F0" w:rsidP="00BF0E94">
      <w:pPr>
        <w:tabs>
          <w:tab w:val="left" w:pos="288"/>
          <w:tab w:val="left" w:pos="4752"/>
        </w:tabs>
        <w:jc w:val="both"/>
        <w:rPr>
          <w:color w:val="auto"/>
        </w:rPr>
      </w:pPr>
    </w:p>
    <w:p w:rsidR="001537D8" w:rsidRPr="008F715A" w:rsidRDefault="007F0AB7" w:rsidP="00BF0E94">
      <w:pPr>
        <w:jc w:val="left"/>
        <w:rPr>
          <w:color w:val="auto"/>
        </w:rPr>
      </w:pPr>
      <w:r w:rsidRPr="008F715A">
        <w:rPr>
          <w:color w:val="auto"/>
          <w:u w:val="single"/>
        </w:rPr>
        <w:t>R</w:t>
      </w:r>
      <w:r w:rsidR="002C6E5B" w:rsidRPr="008F715A">
        <w:rPr>
          <w:color w:val="auto"/>
          <w:u w:val="single"/>
        </w:rPr>
        <w:t>ATING COMPARISON</w:t>
      </w:r>
      <w:r w:rsidR="002C6E5B" w:rsidRPr="008F715A">
        <w:rPr>
          <w:color w:val="auto"/>
        </w:rPr>
        <w:t>:</w:t>
      </w:r>
      <w:r w:rsidR="00BF1559" w:rsidRPr="008F715A">
        <w:rPr>
          <w:rFonts w:eastAsiaTheme="minorHAnsi"/>
          <w:color w:val="auto"/>
          <w:szCs w:val="24"/>
        </w:rPr>
        <w:t xml:space="preserve"> </w:t>
      </w:r>
      <w:r w:rsidR="00E641B5" w:rsidRPr="008F715A">
        <w:rPr>
          <w:rFonts w:eastAsiaTheme="minorHAnsi"/>
          <w:color w:val="auto"/>
          <w:szCs w:val="24"/>
        </w:rPr>
        <w:t xml:space="preserve"> </w:t>
      </w:r>
    </w:p>
    <w:p w:rsidR="002151AB" w:rsidRPr="008F715A" w:rsidRDefault="002151AB" w:rsidP="00FE7C22">
      <w:pPr>
        <w:jc w:val="both"/>
        <w:rPr>
          <w:color w:val="auto"/>
        </w:rPr>
      </w:pPr>
    </w:p>
    <w:tbl>
      <w:tblPr>
        <w:tblStyle w:val="TableGrid"/>
        <w:tblpPr w:leftFromText="187" w:rightFromText="187" w:vertAnchor="text" w:tblpXSpec="center" w:tblpY="1"/>
        <w:tblOverlap w:val="never"/>
        <w:tblW w:w="9414" w:type="dxa"/>
        <w:jc w:val="center"/>
        <w:tblLayout w:type="fixed"/>
        <w:tblLook w:val="04A0"/>
      </w:tblPr>
      <w:tblGrid>
        <w:gridCol w:w="2412"/>
        <w:gridCol w:w="1080"/>
        <w:gridCol w:w="702"/>
        <w:gridCol w:w="2394"/>
        <w:gridCol w:w="1080"/>
        <w:gridCol w:w="720"/>
        <w:gridCol w:w="1026"/>
      </w:tblGrid>
      <w:tr w:rsidR="002B4E22" w:rsidRPr="008F715A" w:rsidTr="00E641B5">
        <w:trPr>
          <w:trHeight w:val="170"/>
          <w:jc w:val="center"/>
        </w:trPr>
        <w:tc>
          <w:tcPr>
            <w:tcW w:w="4194" w:type="dxa"/>
            <w:gridSpan w:val="3"/>
            <w:tcBorders>
              <w:right w:val="thinThickThinSmallGap" w:sz="24" w:space="0" w:color="auto"/>
            </w:tcBorders>
            <w:shd w:val="clear" w:color="auto" w:fill="D9D9D9" w:themeFill="background1" w:themeFillShade="D9"/>
            <w:vAlign w:val="center"/>
          </w:tcPr>
          <w:p w:rsidR="002B4E22" w:rsidRPr="008F715A" w:rsidRDefault="00AC6E05" w:rsidP="00BF0E94">
            <w:pPr>
              <w:contextualSpacing/>
              <w:rPr>
                <w:rFonts w:ascii="Calibri" w:hAnsi="Calibri" w:cs="Calibri"/>
                <w:b/>
                <w:color w:val="auto"/>
                <w:sz w:val="18"/>
                <w:szCs w:val="18"/>
              </w:rPr>
            </w:pPr>
            <w:r>
              <w:rPr>
                <w:rFonts w:ascii="Calibri" w:hAnsi="Calibri" w:cs="Calibri"/>
                <w:b/>
                <w:color w:val="auto"/>
                <w:sz w:val="18"/>
                <w:szCs w:val="18"/>
              </w:rPr>
              <w:t xml:space="preserve">Service </w:t>
            </w:r>
            <w:r w:rsidR="00BF1559" w:rsidRPr="008F715A">
              <w:rPr>
                <w:rFonts w:ascii="Calibri" w:hAnsi="Calibri" w:cs="Calibri"/>
                <w:b/>
                <w:color w:val="auto"/>
                <w:sz w:val="18"/>
                <w:szCs w:val="18"/>
              </w:rPr>
              <w:t>PEB – Dated 20010926</w:t>
            </w:r>
          </w:p>
        </w:tc>
        <w:tc>
          <w:tcPr>
            <w:tcW w:w="5220" w:type="dxa"/>
            <w:gridSpan w:val="4"/>
            <w:tcBorders>
              <w:left w:val="thinThickThinSmallGap" w:sz="24" w:space="0" w:color="auto"/>
            </w:tcBorders>
            <w:shd w:val="clear" w:color="auto" w:fill="D9D9D9" w:themeFill="background1" w:themeFillShade="D9"/>
            <w:vAlign w:val="center"/>
          </w:tcPr>
          <w:p w:rsidR="002B4E22" w:rsidRPr="008F715A" w:rsidRDefault="00BF1559" w:rsidP="008E2D9D">
            <w:pPr>
              <w:contextualSpacing/>
              <w:rPr>
                <w:rFonts w:ascii="Calibri" w:hAnsi="Calibri" w:cs="Calibri"/>
                <w:b/>
                <w:color w:val="auto"/>
                <w:sz w:val="18"/>
                <w:szCs w:val="18"/>
              </w:rPr>
            </w:pPr>
            <w:r w:rsidRPr="008F715A">
              <w:rPr>
                <w:rFonts w:ascii="Calibri" w:hAnsi="Calibri" w:cs="Calibri"/>
                <w:b/>
                <w:color w:val="auto"/>
                <w:sz w:val="18"/>
                <w:szCs w:val="18"/>
              </w:rPr>
              <w:t>VA (</w:t>
            </w:r>
            <w:r w:rsidR="008E2D9D" w:rsidRPr="008F715A">
              <w:rPr>
                <w:rFonts w:ascii="Calibri" w:hAnsi="Calibri" w:cs="Calibri"/>
                <w:b/>
                <w:color w:val="auto"/>
                <w:sz w:val="18"/>
                <w:szCs w:val="18"/>
              </w:rPr>
              <w:t>2</w:t>
            </w:r>
            <w:r w:rsidRPr="008F715A">
              <w:rPr>
                <w:rFonts w:ascii="Calibri" w:hAnsi="Calibri" w:cs="Calibri"/>
                <w:b/>
                <w:color w:val="auto"/>
                <w:sz w:val="18"/>
                <w:szCs w:val="18"/>
              </w:rPr>
              <w:t xml:space="preserve"> Mo. After Separation) – All Effective 20020314</w:t>
            </w:r>
          </w:p>
        </w:tc>
      </w:tr>
      <w:tr w:rsidR="002B4E22" w:rsidRPr="008F715A" w:rsidTr="00E641B5">
        <w:trPr>
          <w:trHeight w:val="97"/>
          <w:jc w:val="center"/>
        </w:trPr>
        <w:tc>
          <w:tcPr>
            <w:tcW w:w="2412" w:type="dxa"/>
            <w:tcBorders>
              <w:bottom w:val="single" w:sz="4" w:space="0" w:color="000000" w:themeColor="text1"/>
              <w:right w:val="single" w:sz="4" w:space="0" w:color="auto"/>
            </w:tcBorders>
            <w:shd w:val="clear" w:color="auto" w:fill="D9D9D9" w:themeFill="background1" w:themeFillShade="D9"/>
            <w:vAlign w:val="center"/>
          </w:tcPr>
          <w:p w:rsidR="002B4E22" w:rsidRPr="008F715A" w:rsidRDefault="002B4E22" w:rsidP="00BF0E94">
            <w:pPr>
              <w:contextualSpacing/>
              <w:rPr>
                <w:rFonts w:ascii="Calibri" w:hAnsi="Calibri" w:cs="Calibri"/>
                <w:b/>
                <w:color w:val="auto"/>
                <w:sz w:val="18"/>
                <w:szCs w:val="18"/>
              </w:rPr>
            </w:pPr>
            <w:r w:rsidRPr="008F715A">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8F715A" w:rsidRDefault="002B4E22" w:rsidP="00BF0E94">
            <w:pPr>
              <w:contextualSpacing/>
              <w:rPr>
                <w:rFonts w:ascii="Calibri" w:hAnsi="Calibri" w:cs="Calibri"/>
                <w:b/>
                <w:color w:val="auto"/>
                <w:sz w:val="18"/>
                <w:szCs w:val="18"/>
              </w:rPr>
            </w:pPr>
            <w:r w:rsidRPr="008F715A">
              <w:rPr>
                <w:rFonts w:ascii="Calibri" w:hAnsi="Calibri" w:cs="Calibri"/>
                <w:b/>
                <w:color w:val="auto"/>
                <w:sz w:val="18"/>
                <w:szCs w:val="18"/>
              </w:rPr>
              <w:t>Code</w:t>
            </w:r>
          </w:p>
        </w:tc>
        <w:tc>
          <w:tcPr>
            <w:tcW w:w="702"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8F715A" w:rsidRDefault="002B4E22" w:rsidP="00BF0E94">
            <w:pPr>
              <w:contextualSpacing/>
              <w:rPr>
                <w:rFonts w:ascii="Calibri" w:hAnsi="Calibri" w:cs="Calibri"/>
                <w:b/>
                <w:color w:val="auto"/>
                <w:sz w:val="18"/>
                <w:szCs w:val="18"/>
              </w:rPr>
            </w:pPr>
            <w:r w:rsidRPr="008F715A">
              <w:rPr>
                <w:rFonts w:ascii="Calibri" w:hAnsi="Calibri" w:cs="Calibri"/>
                <w:b/>
                <w:color w:val="auto"/>
                <w:sz w:val="18"/>
                <w:szCs w:val="18"/>
              </w:rPr>
              <w:t>Rating</w:t>
            </w:r>
          </w:p>
        </w:tc>
        <w:tc>
          <w:tcPr>
            <w:tcW w:w="2394"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8F715A" w:rsidRDefault="002B4E22" w:rsidP="00BF0E94">
            <w:pPr>
              <w:contextualSpacing/>
              <w:rPr>
                <w:rFonts w:ascii="Calibri" w:hAnsi="Calibri" w:cs="Calibri"/>
                <w:b/>
                <w:color w:val="auto"/>
                <w:sz w:val="18"/>
                <w:szCs w:val="18"/>
              </w:rPr>
            </w:pPr>
            <w:r w:rsidRPr="008F715A">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8F715A" w:rsidRDefault="002B4E22" w:rsidP="00BF0E94">
            <w:pPr>
              <w:contextualSpacing/>
              <w:rPr>
                <w:rFonts w:ascii="Calibri" w:hAnsi="Calibri" w:cs="Calibri"/>
                <w:b/>
                <w:color w:val="auto"/>
                <w:sz w:val="18"/>
                <w:szCs w:val="18"/>
              </w:rPr>
            </w:pPr>
            <w:r w:rsidRPr="008F715A">
              <w:rPr>
                <w:rFonts w:ascii="Calibri" w:hAnsi="Calibri" w:cs="Calibri"/>
                <w:b/>
                <w:color w:val="auto"/>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8F715A" w:rsidRDefault="002B4E22" w:rsidP="00BF0E94">
            <w:pPr>
              <w:contextualSpacing/>
              <w:rPr>
                <w:rFonts w:ascii="Calibri" w:hAnsi="Calibri" w:cs="Calibri"/>
                <w:b/>
                <w:color w:val="auto"/>
                <w:sz w:val="18"/>
                <w:szCs w:val="18"/>
              </w:rPr>
            </w:pPr>
            <w:r w:rsidRPr="008F715A">
              <w:rPr>
                <w:rFonts w:ascii="Calibri" w:hAnsi="Calibri" w:cs="Calibri"/>
                <w:b/>
                <w:color w:val="auto"/>
                <w:sz w:val="18"/>
                <w:szCs w:val="18"/>
              </w:rPr>
              <w:t>Rating</w:t>
            </w:r>
          </w:p>
        </w:tc>
        <w:tc>
          <w:tcPr>
            <w:tcW w:w="1026" w:type="dxa"/>
            <w:tcBorders>
              <w:bottom w:val="single" w:sz="4" w:space="0" w:color="000000" w:themeColor="text1"/>
            </w:tcBorders>
            <w:shd w:val="clear" w:color="auto" w:fill="D9D9D9" w:themeFill="background1" w:themeFillShade="D9"/>
            <w:vAlign w:val="center"/>
          </w:tcPr>
          <w:p w:rsidR="002B4E22" w:rsidRPr="008F715A" w:rsidRDefault="002B4E22" w:rsidP="00BF0E94">
            <w:pPr>
              <w:contextualSpacing/>
              <w:rPr>
                <w:rFonts w:ascii="Calibri" w:hAnsi="Calibri" w:cs="Calibri"/>
                <w:b/>
                <w:color w:val="auto"/>
                <w:sz w:val="18"/>
                <w:szCs w:val="18"/>
              </w:rPr>
            </w:pPr>
            <w:r w:rsidRPr="008F715A">
              <w:rPr>
                <w:rFonts w:ascii="Calibri" w:hAnsi="Calibri" w:cs="Calibri"/>
                <w:b/>
                <w:color w:val="auto"/>
                <w:sz w:val="18"/>
                <w:szCs w:val="18"/>
              </w:rPr>
              <w:t>Exam</w:t>
            </w:r>
          </w:p>
        </w:tc>
      </w:tr>
      <w:tr w:rsidR="00E641B5" w:rsidRPr="008F715A" w:rsidTr="00E641B5">
        <w:trPr>
          <w:trHeight w:val="115"/>
          <w:jc w:val="center"/>
        </w:trPr>
        <w:tc>
          <w:tcPr>
            <w:tcW w:w="2412" w:type="dxa"/>
            <w:vMerge w:val="restart"/>
            <w:tcBorders>
              <w:right w:val="single" w:sz="4" w:space="0" w:color="auto"/>
            </w:tcBorders>
            <w:shd w:val="clear" w:color="auto" w:fill="FFFFFF" w:themeFill="background1"/>
            <w:vAlign w:val="center"/>
          </w:tcPr>
          <w:p w:rsidR="00E641B5" w:rsidRPr="008F715A" w:rsidRDefault="00E641B5" w:rsidP="00E641B5">
            <w:pPr>
              <w:spacing w:line="180" w:lineRule="exact"/>
              <w:contextualSpacing/>
              <w:jc w:val="left"/>
              <w:rPr>
                <w:rFonts w:ascii="Calibri" w:hAnsi="Calibri" w:cs="Calibri"/>
                <w:color w:val="auto"/>
                <w:sz w:val="18"/>
                <w:szCs w:val="18"/>
              </w:rPr>
            </w:pPr>
            <w:r w:rsidRPr="008F715A">
              <w:rPr>
                <w:rFonts w:ascii="Calibri" w:hAnsi="Calibri" w:cs="Calibri"/>
                <w:color w:val="auto"/>
                <w:sz w:val="18"/>
                <w:szCs w:val="18"/>
              </w:rPr>
              <w:t xml:space="preserve">Chronic Pain, R. Shoulder Post </w:t>
            </w:r>
            <w:proofErr w:type="spellStart"/>
            <w:r w:rsidRPr="008F715A">
              <w:rPr>
                <w:rFonts w:ascii="Calibri" w:hAnsi="Calibri" w:cs="Calibri"/>
                <w:color w:val="auto"/>
                <w:sz w:val="18"/>
                <w:szCs w:val="18"/>
              </w:rPr>
              <w:t>Arthro</w:t>
            </w:r>
            <w:proofErr w:type="spellEnd"/>
            <w:r w:rsidRPr="008F715A">
              <w:rPr>
                <w:rFonts w:ascii="Calibri" w:hAnsi="Calibri" w:cs="Calibri"/>
                <w:color w:val="auto"/>
                <w:sz w:val="18"/>
                <w:szCs w:val="18"/>
              </w:rPr>
              <w:t xml:space="preserve">. Surgery x3, </w:t>
            </w:r>
          </w:p>
          <w:p w:rsidR="00E641B5" w:rsidRPr="008F715A" w:rsidRDefault="00E641B5" w:rsidP="00E641B5">
            <w:pPr>
              <w:spacing w:line="180" w:lineRule="exact"/>
              <w:contextualSpacing/>
              <w:jc w:val="left"/>
              <w:rPr>
                <w:rFonts w:ascii="Calibri" w:eastAsia="Times New Roman" w:hAnsi="Calibri" w:cs="Calibri"/>
                <w:color w:val="auto"/>
                <w:sz w:val="18"/>
                <w:szCs w:val="18"/>
              </w:rPr>
            </w:pPr>
            <w:r w:rsidRPr="008F715A">
              <w:rPr>
                <w:rFonts w:ascii="Calibri" w:hAnsi="Calibri" w:cs="Calibri"/>
                <w:color w:val="auto"/>
                <w:sz w:val="18"/>
                <w:szCs w:val="18"/>
              </w:rPr>
              <w:t>Both Legs Due to Tibial Stress Fractures</w:t>
            </w:r>
          </w:p>
        </w:tc>
        <w:tc>
          <w:tcPr>
            <w:tcW w:w="1080" w:type="dxa"/>
            <w:vMerge w:val="restart"/>
            <w:tcBorders>
              <w:left w:val="single" w:sz="4" w:space="0" w:color="auto"/>
            </w:tcBorders>
            <w:shd w:val="clear" w:color="auto" w:fill="FFFFFF" w:themeFill="background1"/>
            <w:vAlign w:val="center"/>
          </w:tcPr>
          <w:p w:rsidR="00E641B5" w:rsidRPr="008F715A" w:rsidRDefault="00E641B5" w:rsidP="008012AC">
            <w:pPr>
              <w:spacing w:line="180" w:lineRule="exact"/>
              <w:contextualSpacing/>
              <w:rPr>
                <w:rFonts w:ascii="Calibri" w:eastAsia="Times New Roman" w:hAnsi="Calibri" w:cs="Calibri"/>
                <w:color w:val="auto"/>
                <w:sz w:val="18"/>
                <w:szCs w:val="18"/>
              </w:rPr>
            </w:pPr>
            <w:r w:rsidRPr="008F715A">
              <w:rPr>
                <w:rFonts w:ascii="Calibri" w:hAnsi="Calibri" w:cs="Calibri"/>
                <w:color w:val="auto"/>
                <w:sz w:val="18"/>
                <w:szCs w:val="18"/>
              </w:rPr>
              <w:t>5099-5003</w:t>
            </w:r>
          </w:p>
        </w:tc>
        <w:tc>
          <w:tcPr>
            <w:tcW w:w="702" w:type="dxa"/>
            <w:vMerge w:val="restart"/>
            <w:tcBorders>
              <w:right w:val="thinThickThinSmallGap" w:sz="24" w:space="0" w:color="auto"/>
            </w:tcBorders>
            <w:shd w:val="clear" w:color="auto" w:fill="FFFFFF" w:themeFill="background1"/>
            <w:vAlign w:val="center"/>
          </w:tcPr>
          <w:p w:rsidR="00E641B5" w:rsidRPr="008F715A" w:rsidRDefault="00E641B5" w:rsidP="008012AC">
            <w:pPr>
              <w:spacing w:line="180" w:lineRule="exact"/>
              <w:rPr>
                <w:rFonts w:ascii="Calibri" w:eastAsia="Times New Roman" w:hAnsi="Calibri" w:cs="Calibri"/>
                <w:color w:val="auto"/>
                <w:sz w:val="18"/>
                <w:szCs w:val="18"/>
              </w:rPr>
            </w:pPr>
            <w:r w:rsidRPr="008F715A">
              <w:rPr>
                <w:rFonts w:ascii="Calibri" w:hAnsi="Calibri" w:cs="Calibri"/>
                <w:color w:val="auto"/>
                <w:sz w:val="18"/>
                <w:szCs w:val="18"/>
              </w:rPr>
              <w:t>20%</w:t>
            </w:r>
          </w:p>
        </w:tc>
        <w:tc>
          <w:tcPr>
            <w:tcW w:w="2394" w:type="dxa"/>
            <w:tcBorders>
              <w:left w:val="thinThickThinSmallGap" w:sz="24" w:space="0" w:color="auto"/>
            </w:tcBorders>
            <w:shd w:val="clear" w:color="auto" w:fill="FFFFFF" w:themeFill="background1"/>
            <w:vAlign w:val="center"/>
          </w:tcPr>
          <w:p w:rsidR="00E641B5" w:rsidRPr="008F715A" w:rsidRDefault="00E641B5" w:rsidP="00BF1559">
            <w:pPr>
              <w:spacing w:line="180" w:lineRule="exact"/>
              <w:contextualSpacing/>
              <w:jc w:val="left"/>
              <w:rPr>
                <w:rFonts w:ascii="Calibri" w:eastAsia="Times New Roman" w:hAnsi="Calibri" w:cs="Calibri"/>
                <w:color w:val="auto"/>
                <w:sz w:val="18"/>
                <w:szCs w:val="18"/>
              </w:rPr>
            </w:pPr>
            <w:r w:rsidRPr="008F715A">
              <w:rPr>
                <w:rFonts w:ascii="Calibri" w:hAnsi="Calibri" w:cs="Calibri"/>
                <w:color w:val="auto"/>
                <w:sz w:val="18"/>
                <w:szCs w:val="18"/>
              </w:rPr>
              <w:t>Residuals R/Shoulder Dislocation, S/P Arthroscopy</w:t>
            </w:r>
          </w:p>
        </w:tc>
        <w:tc>
          <w:tcPr>
            <w:tcW w:w="1080" w:type="dxa"/>
            <w:shd w:val="clear" w:color="auto" w:fill="FFFFFF" w:themeFill="background1"/>
            <w:vAlign w:val="center"/>
          </w:tcPr>
          <w:p w:rsidR="00E641B5" w:rsidRPr="008F715A" w:rsidRDefault="00E641B5" w:rsidP="00BF1559">
            <w:pPr>
              <w:spacing w:line="180" w:lineRule="exact"/>
              <w:contextualSpacing/>
              <w:rPr>
                <w:rFonts w:ascii="Calibri" w:eastAsia="Times New Roman" w:hAnsi="Calibri" w:cs="Calibri"/>
                <w:color w:val="auto"/>
                <w:sz w:val="18"/>
                <w:szCs w:val="18"/>
              </w:rPr>
            </w:pPr>
            <w:r w:rsidRPr="008F715A">
              <w:rPr>
                <w:rFonts w:ascii="Calibri" w:hAnsi="Calibri" w:cs="Calibri"/>
                <w:color w:val="auto"/>
                <w:sz w:val="18"/>
                <w:szCs w:val="18"/>
              </w:rPr>
              <w:t>5201</w:t>
            </w:r>
          </w:p>
        </w:tc>
        <w:tc>
          <w:tcPr>
            <w:tcW w:w="720" w:type="dxa"/>
            <w:shd w:val="clear" w:color="auto" w:fill="FFFFFF" w:themeFill="background1"/>
            <w:vAlign w:val="center"/>
          </w:tcPr>
          <w:p w:rsidR="00E641B5" w:rsidRPr="008F715A" w:rsidRDefault="00E641B5" w:rsidP="00BF1559">
            <w:pPr>
              <w:spacing w:line="180" w:lineRule="exact"/>
              <w:contextualSpacing/>
              <w:rPr>
                <w:rFonts w:ascii="Calibri" w:eastAsia="Times New Roman" w:hAnsi="Calibri" w:cs="Calibri"/>
                <w:color w:val="auto"/>
                <w:sz w:val="18"/>
                <w:szCs w:val="18"/>
              </w:rPr>
            </w:pPr>
            <w:r w:rsidRPr="008F715A">
              <w:rPr>
                <w:rFonts w:ascii="Calibri" w:hAnsi="Calibri" w:cs="Calibri"/>
                <w:color w:val="auto"/>
                <w:sz w:val="18"/>
                <w:szCs w:val="18"/>
              </w:rPr>
              <w:t>20%</w:t>
            </w:r>
          </w:p>
        </w:tc>
        <w:tc>
          <w:tcPr>
            <w:tcW w:w="1026" w:type="dxa"/>
            <w:shd w:val="clear" w:color="auto" w:fill="FFFFFF" w:themeFill="background1"/>
            <w:vAlign w:val="center"/>
          </w:tcPr>
          <w:p w:rsidR="00E641B5" w:rsidRPr="008F715A" w:rsidRDefault="00E641B5" w:rsidP="00BF1559">
            <w:pPr>
              <w:spacing w:line="180" w:lineRule="exact"/>
              <w:contextualSpacing/>
              <w:rPr>
                <w:rFonts w:ascii="Calibri" w:eastAsia="Times New Roman" w:hAnsi="Calibri" w:cs="Calibri"/>
                <w:color w:val="auto"/>
                <w:sz w:val="18"/>
                <w:szCs w:val="18"/>
              </w:rPr>
            </w:pPr>
            <w:r w:rsidRPr="008F715A">
              <w:rPr>
                <w:rFonts w:ascii="Calibri" w:hAnsi="Calibri" w:cs="Calibri"/>
                <w:color w:val="auto"/>
                <w:sz w:val="18"/>
                <w:szCs w:val="18"/>
              </w:rPr>
              <w:t>20020508</w:t>
            </w:r>
          </w:p>
        </w:tc>
      </w:tr>
      <w:tr w:rsidR="00E641B5" w:rsidRPr="008F715A" w:rsidTr="00E641B5">
        <w:trPr>
          <w:trHeight w:val="106"/>
          <w:jc w:val="center"/>
        </w:trPr>
        <w:tc>
          <w:tcPr>
            <w:tcW w:w="2412" w:type="dxa"/>
            <w:vMerge/>
            <w:tcBorders>
              <w:right w:val="single" w:sz="4" w:space="0" w:color="auto"/>
            </w:tcBorders>
            <w:shd w:val="clear" w:color="auto" w:fill="FFFFFF" w:themeFill="background1"/>
            <w:vAlign w:val="center"/>
          </w:tcPr>
          <w:p w:rsidR="00E641B5" w:rsidRPr="008F715A" w:rsidRDefault="00E641B5" w:rsidP="00BF1559">
            <w:pPr>
              <w:spacing w:line="180" w:lineRule="exact"/>
              <w:contextualSpacing/>
              <w:jc w:val="left"/>
              <w:rPr>
                <w:rFonts w:ascii="Calibri" w:eastAsia="Times New Roman" w:hAnsi="Calibri" w:cs="Calibri"/>
                <w:color w:val="auto"/>
                <w:sz w:val="18"/>
                <w:szCs w:val="18"/>
              </w:rPr>
            </w:pPr>
          </w:p>
        </w:tc>
        <w:tc>
          <w:tcPr>
            <w:tcW w:w="1080" w:type="dxa"/>
            <w:vMerge/>
            <w:tcBorders>
              <w:left w:val="single" w:sz="4" w:space="0" w:color="auto"/>
            </w:tcBorders>
            <w:shd w:val="clear" w:color="auto" w:fill="FFFFFF" w:themeFill="background1"/>
            <w:vAlign w:val="center"/>
          </w:tcPr>
          <w:p w:rsidR="00E641B5" w:rsidRPr="008F715A" w:rsidRDefault="00E641B5" w:rsidP="00BF1559">
            <w:pPr>
              <w:spacing w:line="180" w:lineRule="exact"/>
              <w:contextualSpacing/>
              <w:rPr>
                <w:rFonts w:ascii="Calibri" w:eastAsia="Times New Roman" w:hAnsi="Calibri" w:cs="Calibri"/>
                <w:color w:val="auto"/>
                <w:sz w:val="18"/>
                <w:szCs w:val="18"/>
              </w:rPr>
            </w:pPr>
          </w:p>
        </w:tc>
        <w:tc>
          <w:tcPr>
            <w:tcW w:w="702" w:type="dxa"/>
            <w:vMerge/>
            <w:tcBorders>
              <w:right w:val="thinThickThinSmallGap" w:sz="24" w:space="0" w:color="auto"/>
            </w:tcBorders>
            <w:shd w:val="clear" w:color="auto" w:fill="FFFFFF" w:themeFill="background1"/>
            <w:vAlign w:val="center"/>
          </w:tcPr>
          <w:p w:rsidR="00E641B5" w:rsidRPr="008F715A" w:rsidRDefault="00E641B5" w:rsidP="00BF1559">
            <w:pPr>
              <w:spacing w:line="180" w:lineRule="exact"/>
              <w:rPr>
                <w:rFonts w:ascii="Calibri" w:eastAsia="Times New Roman" w:hAnsi="Calibri" w:cs="Calibri"/>
                <w:color w:val="auto"/>
                <w:sz w:val="18"/>
                <w:szCs w:val="18"/>
              </w:rPr>
            </w:pPr>
          </w:p>
        </w:tc>
        <w:tc>
          <w:tcPr>
            <w:tcW w:w="2394" w:type="dxa"/>
            <w:tcBorders>
              <w:left w:val="thinThickThinSmallGap" w:sz="24" w:space="0" w:color="auto"/>
              <w:right w:val="single" w:sz="4" w:space="0" w:color="auto"/>
            </w:tcBorders>
            <w:shd w:val="clear" w:color="auto" w:fill="FFFFFF" w:themeFill="background1"/>
            <w:vAlign w:val="center"/>
          </w:tcPr>
          <w:p w:rsidR="00E641B5" w:rsidRPr="008F715A" w:rsidRDefault="00E641B5" w:rsidP="00BF1559">
            <w:pPr>
              <w:spacing w:line="180" w:lineRule="exact"/>
              <w:contextualSpacing/>
              <w:jc w:val="left"/>
              <w:rPr>
                <w:rFonts w:ascii="Calibri" w:eastAsia="Times New Roman" w:hAnsi="Calibri" w:cs="Calibri"/>
                <w:color w:val="auto"/>
                <w:sz w:val="18"/>
                <w:szCs w:val="18"/>
              </w:rPr>
            </w:pPr>
            <w:r w:rsidRPr="008F715A">
              <w:rPr>
                <w:rFonts w:ascii="Calibri" w:eastAsia="Times New Roman" w:hAnsi="Calibri" w:cs="Calibri"/>
                <w:color w:val="auto"/>
                <w:sz w:val="18"/>
                <w:szCs w:val="18"/>
              </w:rPr>
              <w:t>Bilateral Tibial Stress Fractures</w:t>
            </w:r>
          </w:p>
        </w:tc>
        <w:tc>
          <w:tcPr>
            <w:tcW w:w="1080" w:type="dxa"/>
            <w:tcBorders>
              <w:left w:val="single" w:sz="4" w:space="0" w:color="auto"/>
            </w:tcBorders>
            <w:shd w:val="clear" w:color="auto" w:fill="FFFFFF" w:themeFill="background1"/>
            <w:vAlign w:val="center"/>
          </w:tcPr>
          <w:p w:rsidR="00E641B5" w:rsidRPr="008F715A" w:rsidRDefault="00E641B5" w:rsidP="00BF1559">
            <w:pPr>
              <w:spacing w:line="180" w:lineRule="exact"/>
              <w:contextualSpacing/>
              <w:rPr>
                <w:rFonts w:ascii="Calibri" w:eastAsia="Times New Roman" w:hAnsi="Calibri" w:cs="Calibri"/>
                <w:color w:val="auto"/>
                <w:sz w:val="18"/>
                <w:szCs w:val="18"/>
              </w:rPr>
            </w:pPr>
            <w:r w:rsidRPr="008F715A">
              <w:rPr>
                <w:rFonts w:ascii="Calibri" w:eastAsia="Times New Roman" w:hAnsi="Calibri" w:cs="Calibri"/>
                <w:color w:val="auto"/>
                <w:sz w:val="18"/>
                <w:szCs w:val="18"/>
              </w:rPr>
              <w:t>5299-5262</w:t>
            </w:r>
          </w:p>
        </w:tc>
        <w:tc>
          <w:tcPr>
            <w:tcW w:w="720" w:type="dxa"/>
            <w:shd w:val="clear" w:color="auto" w:fill="FFFFFF" w:themeFill="background1"/>
            <w:vAlign w:val="center"/>
          </w:tcPr>
          <w:p w:rsidR="00E641B5" w:rsidRPr="008F715A" w:rsidRDefault="00E641B5" w:rsidP="00BF1559">
            <w:pPr>
              <w:spacing w:line="180" w:lineRule="exact"/>
              <w:contextualSpacing/>
              <w:rPr>
                <w:rFonts w:ascii="Calibri" w:eastAsia="Times New Roman" w:hAnsi="Calibri" w:cs="Calibri"/>
                <w:color w:val="auto"/>
                <w:sz w:val="18"/>
                <w:szCs w:val="18"/>
              </w:rPr>
            </w:pPr>
            <w:r w:rsidRPr="008F715A">
              <w:rPr>
                <w:rFonts w:ascii="Calibri" w:eastAsia="Times New Roman" w:hAnsi="Calibri" w:cs="Calibri"/>
                <w:color w:val="auto"/>
                <w:sz w:val="18"/>
                <w:szCs w:val="18"/>
              </w:rPr>
              <w:t>0%</w:t>
            </w:r>
          </w:p>
        </w:tc>
        <w:tc>
          <w:tcPr>
            <w:tcW w:w="1026" w:type="dxa"/>
            <w:shd w:val="clear" w:color="auto" w:fill="FFFFFF" w:themeFill="background1"/>
            <w:vAlign w:val="center"/>
          </w:tcPr>
          <w:p w:rsidR="00E641B5" w:rsidRPr="008F715A" w:rsidRDefault="00E641B5" w:rsidP="00BF1559">
            <w:pPr>
              <w:spacing w:line="180" w:lineRule="exact"/>
              <w:contextualSpacing/>
              <w:rPr>
                <w:rFonts w:ascii="Calibri" w:eastAsia="Times New Roman" w:hAnsi="Calibri" w:cs="Calibri"/>
                <w:color w:val="auto"/>
                <w:sz w:val="18"/>
                <w:szCs w:val="18"/>
              </w:rPr>
            </w:pPr>
            <w:r w:rsidRPr="008F715A">
              <w:rPr>
                <w:rFonts w:ascii="Calibri" w:eastAsia="Times New Roman" w:hAnsi="Calibri" w:cs="Calibri"/>
                <w:color w:val="auto"/>
                <w:sz w:val="18"/>
                <w:szCs w:val="18"/>
              </w:rPr>
              <w:t>20020508</w:t>
            </w:r>
          </w:p>
        </w:tc>
      </w:tr>
      <w:tr w:rsidR="007A65A9" w:rsidRPr="008F715A" w:rsidTr="00E641B5">
        <w:trPr>
          <w:trHeight w:val="133"/>
          <w:jc w:val="center"/>
        </w:trPr>
        <w:tc>
          <w:tcPr>
            <w:tcW w:w="4194" w:type="dxa"/>
            <w:gridSpan w:val="3"/>
            <w:tcBorders>
              <w:right w:val="thinThickThinSmallGap" w:sz="24" w:space="0" w:color="auto"/>
            </w:tcBorders>
            <w:shd w:val="clear" w:color="auto" w:fill="FFFFFF" w:themeFill="background1"/>
          </w:tcPr>
          <w:p w:rsidR="00BC5860" w:rsidRPr="008F715A" w:rsidRDefault="00BF1559">
            <w:pPr>
              <w:spacing w:line="180" w:lineRule="exact"/>
              <w:contextualSpacing/>
              <w:rPr>
                <w:rFonts w:ascii="Calibri" w:eastAsia="Times New Roman" w:hAnsi="Calibri" w:cs="Calibri"/>
                <w:color w:val="auto"/>
                <w:sz w:val="18"/>
                <w:szCs w:val="18"/>
              </w:rPr>
            </w:pPr>
            <w:r w:rsidRPr="008F715A">
              <w:rPr>
                <w:rFonts w:ascii="Calibri" w:hAnsi="Calibri" w:cs="Calibri"/>
                <w:color w:val="auto"/>
                <w:sz w:val="18"/>
                <w:szCs w:val="18"/>
              </w:rPr>
              <w:t>↓No Additional MEB/PEB Entries↓</w:t>
            </w:r>
          </w:p>
        </w:tc>
        <w:tc>
          <w:tcPr>
            <w:tcW w:w="4194" w:type="dxa"/>
            <w:gridSpan w:val="3"/>
            <w:tcBorders>
              <w:left w:val="thinThickThinSmallGap" w:sz="24" w:space="0" w:color="auto"/>
            </w:tcBorders>
            <w:shd w:val="clear" w:color="auto" w:fill="FFFFFF" w:themeFill="background1"/>
            <w:vAlign w:val="center"/>
          </w:tcPr>
          <w:p w:rsidR="00BC5860" w:rsidRPr="008F715A" w:rsidRDefault="007A65A9" w:rsidP="00E63D2C">
            <w:pPr>
              <w:spacing w:line="180" w:lineRule="exact"/>
              <w:contextualSpacing/>
              <w:rPr>
                <w:rFonts w:ascii="Calibri" w:eastAsia="Times New Roman" w:hAnsi="Calibri" w:cs="Calibri"/>
                <w:color w:val="auto"/>
                <w:sz w:val="18"/>
                <w:szCs w:val="18"/>
              </w:rPr>
            </w:pPr>
            <w:r w:rsidRPr="008F715A">
              <w:rPr>
                <w:rFonts w:ascii="Calibri" w:hAnsi="Calibri" w:cs="Calibri"/>
                <w:color w:val="auto"/>
                <w:sz w:val="18"/>
                <w:szCs w:val="18"/>
              </w:rPr>
              <w:t xml:space="preserve">0% </w:t>
            </w:r>
            <w:r w:rsidR="00374EA1" w:rsidRPr="008F715A">
              <w:rPr>
                <w:rFonts w:ascii="Calibri" w:hAnsi="Calibri" w:cs="Calibri"/>
                <w:color w:val="auto"/>
                <w:sz w:val="18"/>
                <w:szCs w:val="18"/>
              </w:rPr>
              <w:t>x</w:t>
            </w:r>
            <w:r w:rsidRPr="008F715A">
              <w:rPr>
                <w:rFonts w:ascii="Calibri" w:hAnsi="Calibri" w:cs="Calibri"/>
                <w:color w:val="auto"/>
                <w:sz w:val="18"/>
                <w:szCs w:val="18"/>
              </w:rPr>
              <w:t xml:space="preserve"> </w:t>
            </w:r>
            <w:r w:rsidR="00E63D2C" w:rsidRPr="008F715A">
              <w:rPr>
                <w:rFonts w:ascii="Calibri" w:hAnsi="Calibri" w:cs="Calibri"/>
                <w:color w:val="auto"/>
                <w:sz w:val="18"/>
                <w:szCs w:val="18"/>
              </w:rPr>
              <w:t>0</w:t>
            </w:r>
            <w:r w:rsidR="00AC6E05">
              <w:rPr>
                <w:rFonts w:ascii="Calibri" w:hAnsi="Calibri" w:cs="Calibri"/>
                <w:color w:val="auto"/>
                <w:sz w:val="18"/>
                <w:szCs w:val="18"/>
              </w:rPr>
              <w:t>/Not Service-</w:t>
            </w:r>
            <w:r w:rsidRPr="008F715A">
              <w:rPr>
                <w:rFonts w:ascii="Calibri" w:hAnsi="Calibri" w:cs="Calibri"/>
                <w:color w:val="auto"/>
                <w:sz w:val="18"/>
                <w:szCs w:val="18"/>
              </w:rPr>
              <w:t xml:space="preserve">Connected </w:t>
            </w:r>
            <w:r w:rsidR="00374EA1" w:rsidRPr="008F715A">
              <w:rPr>
                <w:rFonts w:ascii="Calibri" w:hAnsi="Calibri" w:cs="Calibri"/>
                <w:color w:val="auto"/>
                <w:sz w:val="18"/>
                <w:szCs w:val="18"/>
              </w:rPr>
              <w:t>x</w:t>
            </w:r>
            <w:r w:rsidRPr="008F715A">
              <w:rPr>
                <w:rFonts w:ascii="Calibri" w:hAnsi="Calibri" w:cs="Calibri"/>
                <w:color w:val="auto"/>
                <w:sz w:val="18"/>
                <w:szCs w:val="18"/>
              </w:rPr>
              <w:t xml:space="preserve"> </w:t>
            </w:r>
            <w:r w:rsidR="00E63D2C" w:rsidRPr="008F715A">
              <w:rPr>
                <w:rFonts w:ascii="Calibri" w:hAnsi="Calibri" w:cs="Calibri"/>
                <w:color w:val="auto"/>
                <w:sz w:val="18"/>
                <w:szCs w:val="18"/>
              </w:rPr>
              <w:t>0</w:t>
            </w:r>
          </w:p>
        </w:tc>
        <w:tc>
          <w:tcPr>
            <w:tcW w:w="1026" w:type="dxa"/>
            <w:shd w:val="clear" w:color="auto" w:fill="FFFFFF" w:themeFill="background1"/>
            <w:vAlign w:val="center"/>
          </w:tcPr>
          <w:p w:rsidR="00BC5860" w:rsidRPr="008F715A" w:rsidRDefault="00C830AA" w:rsidP="003C53E8">
            <w:pPr>
              <w:spacing w:line="180" w:lineRule="exact"/>
              <w:contextualSpacing/>
              <w:rPr>
                <w:rFonts w:ascii="Calibri" w:eastAsia="Times New Roman" w:hAnsi="Calibri" w:cs="Calibri"/>
                <w:color w:val="auto"/>
                <w:sz w:val="18"/>
                <w:szCs w:val="18"/>
              </w:rPr>
            </w:pPr>
            <w:r w:rsidRPr="008F715A">
              <w:rPr>
                <w:rFonts w:ascii="Calibri" w:eastAsia="Times New Roman" w:hAnsi="Calibri" w:cs="Calibri"/>
                <w:color w:val="auto"/>
                <w:sz w:val="18"/>
                <w:szCs w:val="18"/>
              </w:rPr>
              <w:t>20020508</w:t>
            </w:r>
          </w:p>
        </w:tc>
      </w:tr>
      <w:tr w:rsidR="007A65A9" w:rsidRPr="008F715A" w:rsidTr="00E641B5">
        <w:trPr>
          <w:trHeight w:val="124"/>
          <w:jc w:val="center"/>
        </w:trPr>
        <w:tc>
          <w:tcPr>
            <w:tcW w:w="4194" w:type="dxa"/>
            <w:gridSpan w:val="3"/>
            <w:tcBorders>
              <w:right w:val="thinThickThinSmallGap" w:sz="24" w:space="0" w:color="auto"/>
            </w:tcBorders>
            <w:shd w:val="clear" w:color="auto" w:fill="D9D9D9" w:themeFill="background1" w:themeFillShade="D9"/>
            <w:vAlign w:val="center"/>
          </w:tcPr>
          <w:p w:rsidR="007A65A9" w:rsidRPr="008F715A" w:rsidRDefault="007A65A9" w:rsidP="00BF1559">
            <w:pPr>
              <w:contextualSpacing/>
              <w:rPr>
                <w:rFonts w:ascii="Calibri" w:hAnsi="Calibri" w:cs="Calibri"/>
                <w:b/>
                <w:color w:val="auto"/>
                <w:sz w:val="18"/>
                <w:szCs w:val="18"/>
              </w:rPr>
            </w:pPr>
            <w:r w:rsidRPr="008F715A">
              <w:rPr>
                <w:rFonts w:ascii="Calibri" w:hAnsi="Calibri" w:cs="Calibri"/>
                <w:b/>
                <w:color w:val="auto"/>
                <w:sz w:val="18"/>
                <w:szCs w:val="18"/>
              </w:rPr>
              <w:t xml:space="preserve">Combined: </w:t>
            </w:r>
            <w:r w:rsidR="006458FD" w:rsidRPr="008F715A">
              <w:rPr>
                <w:rFonts w:ascii="Calibri" w:hAnsi="Calibri" w:cs="Calibri"/>
                <w:b/>
                <w:color w:val="auto"/>
                <w:sz w:val="18"/>
                <w:szCs w:val="18"/>
              </w:rPr>
              <w:t xml:space="preserve"> </w:t>
            </w:r>
            <w:r w:rsidR="00BF1559" w:rsidRPr="008F715A">
              <w:rPr>
                <w:rFonts w:ascii="Calibri" w:hAnsi="Calibri" w:cs="Calibri"/>
                <w:b/>
                <w:color w:val="auto"/>
                <w:sz w:val="18"/>
                <w:szCs w:val="18"/>
              </w:rPr>
              <w:t>20</w:t>
            </w:r>
            <w:r w:rsidRPr="008F715A">
              <w:rPr>
                <w:rFonts w:ascii="Calibri" w:hAnsi="Calibri" w:cs="Calibri"/>
                <w:b/>
                <w:color w:val="auto"/>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8F715A" w:rsidRDefault="007A65A9" w:rsidP="00E63D2C">
            <w:pPr>
              <w:contextualSpacing/>
              <w:rPr>
                <w:rFonts w:ascii="Calibri" w:hAnsi="Calibri" w:cs="Calibri"/>
                <w:b/>
                <w:color w:val="auto"/>
                <w:sz w:val="18"/>
                <w:szCs w:val="18"/>
              </w:rPr>
            </w:pPr>
            <w:r w:rsidRPr="008F715A">
              <w:rPr>
                <w:rFonts w:ascii="Calibri" w:hAnsi="Calibri" w:cs="Calibri"/>
                <w:b/>
                <w:color w:val="auto"/>
                <w:sz w:val="18"/>
                <w:szCs w:val="18"/>
              </w:rPr>
              <w:t xml:space="preserve">Combined:  </w:t>
            </w:r>
            <w:r w:rsidR="00E63D2C" w:rsidRPr="008F715A">
              <w:rPr>
                <w:rFonts w:ascii="Calibri" w:hAnsi="Calibri" w:cs="Calibri"/>
                <w:b/>
                <w:color w:val="auto"/>
                <w:sz w:val="18"/>
                <w:szCs w:val="18"/>
              </w:rPr>
              <w:t>20</w:t>
            </w:r>
            <w:r w:rsidRPr="008F715A">
              <w:rPr>
                <w:rFonts w:ascii="Calibri" w:hAnsi="Calibri" w:cs="Calibri"/>
                <w:b/>
                <w:color w:val="auto"/>
                <w:sz w:val="18"/>
                <w:szCs w:val="18"/>
              </w:rPr>
              <w:t>%</w:t>
            </w:r>
          </w:p>
        </w:tc>
      </w:tr>
    </w:tbl>
    <w:p w:rsidR="00727E55" w:rsidRPr="008F715A" w:rsidRDefault="00727E55" w:rsidP="00A97CD9">
      <w:pPr>
        <w:pBdr>
          <w:bottom w:val="single" w:sz="12" w:space="1" w:color="auto"/>
        </w:pBdr>
        <w:tabs>
          <w:tab w:val="left" w:pos="288"/>
          <w:tab w:val="left" w:pos="4752"/>
        </w:tabs>
        <w:jc w:val="both"/>
        <w:rPr>
          <w:color w:val="auto"/>
          <w:szCs w:val="24"/>
        </w:rPr>
      </w:pPr>
    </w:p>
    <w:p w:rsidR="00E67A89" w:rsidRPr="008F715A" w:rsidRDefault="00E67A89" w:rsidP="00EE476A">
      <w:pPr>
        <w:jc w:val="both"/>
        <w:rPr>
          <w:color w:val="auto"/>
          <w:szCs w:val="24"/>
          <w:u w:val="single"/>
        </w:rPr>
      </w:pPr>
    </w:p>
    <w:p w:rsidR="00B505E9" w:rsidRPr="008F715A" w:rsidRDefault="002C6E5B" w:rsidP="00EE476A">
      <w:pPr>
        <w:jc w:val="both"/>
        <w:rPr>
          <w:color w:val="auto"/>
          <w:szCs w:val="24"/>
        </w:rPr>
      </w:pPr>
      <w:r w:rsidRPr="008F715A">
        <w:rPr>
          <w:color w:val="auto"/>
          <w:szCs w:val="24"/>
          <w:u w:val="single"/>
        </w:rPr>
        <w:t>ANALYSIS SUMMARY</w:t>
      </w:r>
      <w:r w:rsidRPr="008F715A">
        <w:rPr>
          <w:color w:val="auto"/>
          <w:szCs w:val="24"/>
        </w:rPr>
        <w:t>:</w:t>
      </w:r>
      <w:r w:rsidR="00B505E9" w:rsidRPr="008F715A">
        <w:rPr>
          <w:color w:val="auto"/>
          <w:szCs w:val="24"/>
        </w:rPr>
        <w:t xml:space="preserve">  The Board acknowledges the sentiment expressed in the CI’s application regarding the significant impairment with which his service-aggravated condition continues to burden him.  It is a fact, however, that the </w:t>
      </w:r>
      <w:r w:rsidR="00AC6E05">
        <w:rPr>
          <w:color w:val="auto"/>
          <w:szCs w:val="24"/>
        </w:rPr>
        <w:t>Disability Evaluation System (</w:t>
      </w:r>
      <w:r w:rsidR="00B505E9" w:rsidRPr="008F715A">
        <w:rPr>
          <w:color w:val="auto"/>
          <w:szCs w:val="24"/>
        </w:rPr>
        <w:t>DES</w:t>
      </w:r>
      <w:r w:rsidR="00AC6E05">
        <w:rPr>
          <w:color w:val="auto"/>
          <w:szCs w:val="24"/>
        </w:rPr>
        <w:t>)</w:t>
      </w:r>
      <w:r w:rsidR="00B505E9" w:rsidRPr="008F715A">
        <w:rPr>
          <w:color w:val="auto"/>
          <w:szCs w:val="24"/>
        </w:rPr>
        <w:t xml:space="preserve"> has neither the role nor the authority to compensate service members for anticipated future severity or </w:t>
      </w:r>
      <w:r w:rsidR="00B505E9" w:rsidRPr="008F715A">
        <w:rPr>
          <w:color w:val="auto"/>
          <w:szCs w:val="24"/>
        </w:rPr>
        <w:lastRenderedPageBreak/>
        <w:t>potential complications of conditions resulting in medical separation.  This role and authority is granted by Congress to the Department of Veteran</w:t>
      </w:r>
      <w:r w:rsidR="00AC6E05">
        <w:rPr>
          <w:color w:val="auto"/>
          <w:szCs w:val="24"/>
        </w:rPr>
        <w:t>s’</w:t>
      </w:r>
      <w:r w:rsidR="00B505E9" w:rsidRPr="008F715A">
        <w:rPr>
          <w:color w:val="auto"/>
          <w:szCs w:val="24"/>
        </w:rPr>
        <w:t xml:space="preserve"> Affairs (DVA).  The DVA, operating under a different set of laws (Title 38, United States Code), is </w:t>
      </w:r>
      <w:r w:rsidR="00AC6E05">
        <w:rPr>
          <w:color w:val="auto"/>
          <w:szCs w:val="24"/>
        </w:rPr>
        <w:t>empowered to compensate service-</w:t>
      </w:r>
      <w:r w:rsidR="00B505E9" w:rsidRPr="008F715A">
        <w:rPr>
          <w:color w:val="auto"/>
          <w:szCs w:val="24"/>
        </w:rPr>
        <w:t xml:space="preserve">connected conditions and to periodically re-evaluate said conditions for the purpose of adjusting the </w:t>
      </w:r>
      <w:r w:rsidR="00AC6E05">
        <w:rPr>
          <w:color w:val="auto"/>
          <w:szCs w:val="24"/>
        </w:rPr>
        <w:t>V</w:t>
      </w:r>
      <w:r w:rsidR="00B505E9" w:rsidRPr="008F715A">
        <w:rPr>
          <w:color w:val="auto"/>
          <w:szCs w:val="24"/>
        </w:rPr>
        <w:t xml:space="preserve">eteran’s disability rating should </w:t>
      </w:r>
      <w:r w:rsidR="00AC6E05">
        <w:rPr>
          <w:color w:val="auto"/>
          <w:szCs w:val="24"/>
        </w:rPr>
        <w:t>the</w:t>
      </w:r>
      <w:r w:rsidR="00B505E9" w:rsidRPr="008F715A">
        <w:rPr>
          <w:color w:val="auto"/>
          <w:szCs w:val="24"/>
        </w:rPr>
        <w:t xml:space="preserve"> degree of impairment vary over time.  The Board utilizes </w:t>
      </w:r>
      <w:r w:rsidR="00AC6E05">
        <w:rPr>
          <w:color w:val="auto"/>
          <w:szCs w:val="24"/>
        </w:rPr>
        <w:t>D</w:t>
      </w:r>
      <w:r w:rsidR="00B505E9" w:rsidRPr="008F715A">
        <w:rPr>
          <w:color w:val="auto"/>
          <w:szCs w:val="24"/>
        </w:rPr>
        <w:t>VA evidence proximal to separation in arriving at its recommendations;</w:t>
      </w:r>
      <w:r w:rsidR="00AC6E05">
        <w:rPr>
          <w:color w:val="auto"/>
          <w:szCs w:val="24"/>
        </w:rPr>
        <w:t xml:space="preserve"> and, DoDI 6040.44 defines a 12-</w:t>
      </w:r>
      <w:r w:rsidR="00B505E9" w:rsidRPr="008F715A">
        <w:rPr>
          <w:color w:val="auto"/>
          <w:szCs w:val="24"/>
        </w:rPr>
        <w:t xml:space="preserve">month interval for special consideration to post-separation evidence. </w:t>
      </w:r>
      <w:r w:rsidR="007C21D5" w:rsidRPr="008F715A">
        <w:rPr>
          <w:color w:val="auto"/>
          <w:szCs w:val="24"/>
        </w:rPr>
        <w:t xml:space="preserve"> </w:t>
      </w:r>
      <w:r w:rsidR="00B505E9" w:rsidRPr="008F715A">
        <w:rPr>
          <w:color w:val="auto"/>
          <w:szCs w:val="24"/>
        </w:rPr>
        <w:t xml:space="preserve">The Board’s authority as defined in DoDI 6044.40, however, resides in evaluating the fairness of </w:t>
      </w:r>
      <w:r w:rsidR="00031ED1" w:rsidRPr="008F715A">
        <w:rPr>
          <w:color w:val="auto"/>
          <w:szCs w:val="24"/>
        </w:rPr>
        <w:t>PEB</w:t>
      </w:r>
      <w:r w:rsidR="00B505E9" w:rsidRPr="008F715A">
        <w:rPr>
          <w:color w:val="auto"/>
          <w:szCs w:val="24"/>
        </w:rPr>
        <w:t xml:space="preserve"> fitness determinations and rating decisions for disability at the time of separation. </w:t>
      </w:r>
      <w:r w:rsidR="00031ED1" w:rsidRPr="008F715A">
        <w:rPr>
          <w:color w:val="auto"/>
          <w:szCs w:val="24"/>
        </w:rPr>
        <w:t xml:space="preserve"> </w:t>
      </w:r>
      <w:r w:rsidR="00B505E9" w:rsidRPr="008F715A">
        <w:rPr>
          <w:color w:val="auto"/>
          <w:szCs w:val="24"/>
        </w:rPr>
        <w:t>Post-separation evidence therefore is probative only to the extent that it reasonably reflects the disability and fitness implications at the time of separation.</w:t>
      </w:r>
      <w:r w:rsidR="00E641B5" w:rsidRPr="008F715A">
        <w:rPr>
          <w:color w:val="auto"/>
          <w:szCs w:val="24"/>
        </w:rPr>
        <w:t xml:space="preserve"> </w:t>
      </w:r>
      <w:r w:rsidR="00A75785" w:rsidRPr="008F715A">
        <w:rPr>
          <w:color w:val="auto"/>
          <w:szCs w:val="24"/>
        </w:rPr>
        <w:t xml:space="preserve"> </w:t>
      </w:r>
    </w:p>
    <w:p w:rsidR="002C6E5B" w:rsidRPr="008F715A" w:rsidRDefault="002C6E5B" w:rsidP="009369A6">
      <w:pPr>
        <w:jc w:val="left"/>
        <w:rPr>
          <w:color w:val="auto"/>
          <w:szCs w:val="24"/>
          <w:u w:val="single"/>
        </w:rPr>
      </w:pPr>
    </w:p>
    <w:p w:rsidR="00C2306B" w:rsidRPr="008F715A" w:rsidRDefault="00C2306B" w:rsidP="00C2306B">
      <w:pPr>
        <w:jc w:val="both"/>
        <w:rPr>
          <w:color w:val="auto"/>
          <w:szCs w:val="24"/>
          <w:u w:val="single"/>
        </w:rPr>
      </w:pPr>
      <w:proofErr w:type="gramStart"/>
      <w:r w:rsidRPr="008F715A">
        <w:rPr>
          <w:color w:val="auto"/>
          <w:szCs w:val="24"/>
          <w:u w:val="single"/>
        </w:rPr>
        <w:t>Chronic pain right shoulder, status post arthroscopic surgery x3; and both legs, due to tibial stress fractures</w:t>
      </w:r>
      <w:r w:rsidRPr="008F715A">
        <w:rPr>
          <w:rFonts w:asciiTheme="minorHAnsi" w:eastAsiaTheme="minorHAnsi" w:hAnsiTheme="minorHAnsi" w:cstheme="minorBidi"/>
          <w:color w:val="auto"/>
          <w:szCs w:val="24"/>
        </w:rPr>
        <w:t>.</w:t>
      </w:r>
      <w:proofErr w:type="gramEnd"/>
      <w:r w:rsidRPr="008F715A">
        <w:rPr>
          <w:rFonts w:asciiTheme="minorHAnsi" w:eastAsiaTheme="minorHAnsi" w:hAnsiTheme="minorHAnsi" w:cstheme="minorBidi"/>
          <w:color w:val="auto"/>
          <w:szCs w:val="24"/>
        </w:rPr>
        <w:t xml:space="preserve">  The PEB rated the right shoulder and bilateral tibial stress fractures under the analogous 5099- 5003 (degenerative arthritis) code.  This coding approach was countenanced by </w:t>
      </w:r>
      <w:r w:rsidRPr="008F715A">
        <w:rPr>
          <w:rFonts w:asciiTheme="minorHAnsi" w:eastAsia="Calibri" w:hAnsiTheme="minorHAnsi" w:cstheme="minorBidi"/>
          <w:color w:val="auto"/>
          <w:szCs w:val="24"/>
        </w:rPr>
        <w:t xml:space="preserve">AR 635-40 (B.24 f.), and the USAPDA pain policy in effect at the time of the CI’s separation.  However, IAW DoDI 6040.44 the Board must apply only VASRD guidance to its recommendation.  </w:t>
      </w:r>
      <w:r w:rsidRPr="008F715A">
        <w:rPr>
          <w:rFonts w:asciiTheme="minorHAnsi" w:eastAsiaTheme="minorHAnsi" w:hAnsiTheme="minorHAnsi" w:cstheme="minorBidi"/>
          <w:color w:val="auto"/>
          <w:szCs w:val="24"/>
        </w:rPr>
        <w:t>The Board must therefore apply separate codes and ratings in its recommendations if compensable ratings for each joint are achieved IAW VASRD §4.71a.  If the Board judges that two or more separate rati</w:t>
      </w:r>
      <w:r w:rsidR="00AC6E05">
        <w:rPr>
          <w:rFonts w:asciiTheme="minorHAnsi" w:eastAsiaTheme="minorHAnsi" w:hAnsiTheme="minorHAnsi" w:cstheme="minorBidi"/>
          <w:color w:val="auto"/>
          <w:szCs w:val="24"/>
        </w:rPr>
        <w:t>ngs are warranted in such cases;</w:t>
      </w:r>
      <w:r w:rsidRPr="008F715A">
        <w:rPr>
          <w:rFonts w:asciiTheme="minorHAnsi" w:eastAsiaTheme="minorHAnsi" w:hAnsiTheme="minorHAnsi" w:cstheme="minorBidi"/>
          <w:color w:val="auto"/>
          <w:szCs w:val="24"/>
        </w:rPr>
        <w:t xml:space="preserve"> however, it must satisfy the requirement that each “unbundled” condition was unfitting in and of itself.  Since §4.71a criteria are met for separate joint ratings in this case, the Board is pursuing separate rating and fitness evaluations for the right shoulder condition and the bilateral tibial stress fractures as below:  </w:t>
      </w:r>
    </w:p>
    <w:p w:rsidR="00C2306B" w:rsidRPr="008F715A" w:rsidRDefault="00C2306B" w:rsidP="00C2306B">
      <w:pPr>
        <w:jc w:val="both"/>
        <w:rPr>
          <w:color w:val="auto"/>
          <w:szCs w:val="24"/>
          <w:u w:val="single"/>
        </w:rPr>
      </w:pPr>
    </w:p>
    <w:p w:rsidR="00130006" w:rsidRPr="008F715A" w:rsidRDefault="00693466" w:rsidP="00AC6E05">
      <w:pPr>
        <w:jc w:val="both"/>
        <w:rPr>
          <w:color w:val="auto"/>
          <w:szCs w:val="24"/>
        </w:rPr>
      </w:pPr>
      <w:r w:rsidRPr="008F715A">
        <w:rPr>
          <w:color w:val="auto"/>
          <w:szCs w:val="24"/>
          <w:u w:val="single"/>
        </w:rPr>
        <w:t>Right Shoulder</w:t>
      </w:r>
      <w:r w:rsidRPr="008F715A">
        <w:rPr>
          <w:color w:val="auto"/>
          <w:szCs w:val="24"/>
        </w:rPr>
        <w:t xml:space="preserve">: </w:t>
      </w:r>
      <w:r w:rsidR="004A74C1" w:rsidRPr="008F715A">
        <w:rPr>
          <w:color w:val="auto"/>
          <w:szCs w:val="24"/>
        </w:rPr>
        <w:t xml:space="preserve"> </w:t>
      </w:r>
      <w:r w:rsidR="00AF66D0" w:rsidRPr="008F715A">
        <w:rPr>
          <w:color w:val="auto"/>
          <w:szCs w:val="24"/>
        </w:rPr>
        <w:t xml:space="preserve">The CI </w:t>
      </w:r>
      <w:r w:rsidR="00130006" w:rsidRPr="008F715A">
        <w:rPr>
          <w:color w:val="auto"/>
          <w:szCs w:val="24"/>
        </w:rPr>
        <w:t xml:space="preserve">was right-handed and </w:t>
      </w:r>
      <w:r w:rsidR="00AF66D0" w:rsidRPr="008F715A">
        <w:rPr>
          <w:color w:val="auto"/>
          <w:szCs w:val="24"/>
        </w:rPr>
        <w:t xml:space="preserve">injured his right shoulder after playing pushball in October 1998. </w:t>
      </w:r>
      <w:r w:rsidR="00031ED1" w:rsidRPr="008F715A">
        <w:rPr>
          <w:color w:val="auto"/>
          <w:szCs w:val="24"/>
        </w:rPr>
        <w:t xml:space="preserve"> </w:t>
      </w:r>
      <w:r w:rsidR="00AF66D0" w:rsidRPr="008F715A">
        <w:rPr>
          <w:color w:val="auto"/>
          <w:szCs w:val="24"/>
        </w:rPr>
        <w:t>He was treated in the emergency room</w:t>
      </w:r>
      <w:r w:rsidR="00031ED1" w:rsidRPr="008F715A">
        <w:rPr>
          <w:color w:val="auto"/>
          <w:szCs w:val="24"/>
        </w:rPr>
        <w:t xml:space="preserve"> </w:t>
      </w:r>
      <w:r w:rsidR="0020673C" w:rsidRPr="008F715A">
        <w:rPr>
          <w:color w:val="auto"/>
          <w:szCs w:val="24"/>
        </w:rPr>
        <w:t xml:space="preserve">and </w:t>
      </w:r>
      <w:r w:rsidR="00130006" w:rsidRPr="008F715A">
        <w:rPr>
          <w:color w:val="auto"/>
          <w:szCs w:val="24"/>
        </w:rPr>
        <w:t xml:space="preserve">underwent </w:t>
      </w:r>
      <w:r w:rsidR="00AF66D0" w:rsidRPr="008F715A">
        <w:rPr>
          <w:color w:val="auto"/>
          <w:szCs w:val="24"/>
        </w:rPr>
        <w:t>physical therapy</w:t>
      </w:r>
      <w:r w:rsidR="00130006" w:rsidRPr="008F715A">
        <w:rPr>
          <w:color w:val="auto"/>
          <w:szCs w:val="24"/>
        </w:rPr>
        <w:t>.  O</w:t>
      </w:r>
      <w:r w:rsidR="00031ED1" w:rsidRPr="008F715A">
        <w:rPr>
          <w:color w:val="auto"/>
          <w:szCs w:val="24"/>
        </w:rPr>
        <w:t xml:space="preserve">rthopedics </w:t>
      </w:r>
      <w:r w:rsidR="00130006" w:rsidRPr="008F715A">
        <w:rPr>
          <w:color w:val="auto"/>
          <w:szCs w:val="24"/>
        </w:rPr>
        <w:t xml:space="preserve">evaluation </w:t>
      </w:r>
      <w:r w:rsidR="00031ED1" w:rsidRPr="008F715A">
        <w:rPr>
          <w:color w:val="auto"/>
          <w:szCs w:val="24"/>
        </w:rPr>
        <w:t>indicated shoulder pain and instability</w:t>
      </w:r>
      <w:r w:rsidR="00130006" w:rsidRPr="008F715A">
        <w:rPr>
          <w:color w:val="auto"/>
          <w:szCs w:val="24"/>
        </w:rPr>
        <w:t xml:space="preserve"> with recurrent </w:t>
      </w:r>
      <w:proofErr w:type="spellStart"/>
      <w:r w:rsidR="0020673C" w:rsidRPr="008F715A">
        <w:rPr>
          <w:color w:val="auto"/>
          <w:szCs w:val="24"/>
        </w:rPr>
        <w:t>subluxation</w:t>
      </w:r>
      <w:proofErr w:type="spellEnd"/>
      <w:r w:rsidR="00031ED1" w:rsidRPr="008F715A">
        <w:rPr>
          <w:color w:val="auto"/>
          <w:szCs w:val="24"/>
        </w:rPr>
        <w:t xml:space="preserve">.  </w:t>
      </w:r>
      <w:r w:rsidR="00AC6E05">
        <w:rPr>
          <w:color w:val="auto"/>
          <w:szCs w:val="24"/>
        </w:rPr>
        <w:t>Magnetic resonance imaging (</w:t>
      </w:r>
      <w:r w:rsidR="00EB5CD4" w:rsidRPr="008F715A">
        <w:rPr>
          <w:color w:val="auto"/>
          <w:szCs w:val="24"/>
        </w:rPr>
        <w:t>MRI</w:t>
      </w:r>
      <w:r w:rsidR="00AC6E05">
        <w:rPr>
          <w:color w:val="auto"/>
          <w:szCs w:val="24"/>
        </w:rPr>
        <w:t>)</w:t>
      </w:r>
      <w:r w:rsidR="00EB5CD4" w:rsidRPr="008F715A">
        <w:rPr>
          <w:color w:val="auto"/>
          <w:szCs w:val="24"/>
        </w:rPr>
        <w:t xml:space="preserve"> findings </w:t>
      </w:r>
      <w:r w:rsidR="00031ED1" w:rsidRPr="008F715A">
        <w:rPr>
          <w:color w:val="auto"/>
          <w:szCs w:val="24"/>
        </w:rPr>
        <w:t xml:space="preserve">were </w:t>
      </w:r>
      <w:r w:rsidR="00EB5CD4" w:rsidRPr="008F715A">
        <w:rPr>
          <w:color w:val="auto"/>
          <w:szCs w:val="24"/>
        </w:rPr>
        <w:t xml:space="preserve">consistent with impingement </w:t>
      </w:r>
      <w:r w:rsidR="000450E8" w:rsidRPr="008F715A">
        <w:rPr>
          <w:color w:val="auto"/>
          <w:szCs w:val="24"/>
        </w:rPr>
        <w:t xml:space="preserve">at the level of the </w:t>
      </w:r>
      <w:proofErr w:type="spellStart"/>
      <w:r w:rsidR="000450E8" w:rsidRPr="008F715A">
        <w:rPr>
          <w:color w:val="auto"/>
          <w:szCs w:val="24"/>
        </w:rPr>
        <w:t>acromial</w:t>
      </w:r>
      <w:proofErr w:type="spellEnd"/>
      <w:r w:rsidR="000450E8" w:rsidRPr="008F715A">
        <w:rPr>
          <w:color w:val="auto"/>
          <w:szCs w:val="24"/>
        </w:rPr>
        <w:t xml:space="preserve"> </w:t>
      </w:r>
      <w:proofErr w:type="spellStart"/>
      <w:r w:rsidR="000450E8" w:rsidRPr="008F715A">
        <w:rPr>
          <w:color w:val="auto"/>
          <w:szCs w:val="24"/>
        </w:rPr>
        <w:t>clavicular</w:t>
      </w:r>
      <w:proofErr w:type="spellEnd"/>
      <w:r w:rsidR="000450E8" w:rsidRPr="008F715A">
        <w:rPr>
          <w:color w:val="auto"/>
          <w:szCs w:val="24"/>
        </w:rPr>
        <w:t xml:space="preserve"> joint with no evidence of fracture.  As a result</w:t>
      </w:r>
      <w:r w:rsidR="00BA6837" w:rsidRPr="008F715A">
        <w:rPr>
          <w:color w:val="auto"/>
          <w:szCs w:val="24"/>
        </w:rPr>
        <w:t xml:space="preserve"> he</w:t>
      </w:r>
      <w:r w:rsidR="00AF66D0" w:rsidRPr="008F715A">
        <w:rPr>
          <w:color w:val="auto"/>
          <w:szCs w:val="24"/>
        </w:rPr>
        <w:t xml:space="preserve"> underwent his first </w:t>
      </w:r>
      <w:r w:rsidR="00031ED1" w:rsidRPr="008F715A">
        <w:rPr>
          <w:color w:val="auto"/>
          <w:szCs w:val="24"/>
        </w:rPr>
        <w:t xml:space="preserve">shoulder </w:t>
      </w:r>
      <w:r w:rsidR="00AF66D0" w:rsidRPr="008F715A">
        <w:rPr>
          <w:color w:val="auto"/>
          <w:szCs w:val="24"/>
        </w:rPr>
        <w:t>surgery for a SLAP lesion repair</w:t>
      </w:r>
      <w:r w:rsidR="00BA6837" w:rsidRPr="008F715A">
        <w:rPr>
          <w:color w:val="auto"/>
          <w:szCs w:val="24"/>
        </w:rPr>
        <w:t xml:space="preserve"> in March 1999.  He began to experience recurrent </w:t>
      </w:r>
      <w:proofErr w:type="spellStart"/>
      <w:r w:rsidR="00BA6837" w:rsidRPr="008F715A">
        <w:rPr>
          <w:color w:val="auto"/>
          <w:szCs w:val="24"/>
        </w:rPr>
        <w:t>sublaxations</w:t>
      </w:r>
      <w:proofErr w:type="spellEnd"/>
      <w:r w:rsidR="00BA6837" w:rsidRPr="008F715A">
        <w:rPr>
          <w:color w:val="auto"/>
          <w:szCs w:val="24"/>
        </w:rPr>
        <w:t xml:space="preserve"> </w:t>
      </w:r>
      <w:r w:rsidR="00031ED1" w:rsidRPr="008F715A">
        <w:rPr>
          <w:color w:val="auto"/>
          <w:szCs w:val="24"/>
        </w:rPr>
        <w:t>following</w:t>
      </w:r>
      <w:r w:rsidR="00BA6837" w:rsidRPr="008F715A">
        <w:rPr>
          <w:color w:val="auto"/>
          <w:szCs w:val="24"/>
        </w:rPr>
        <w:t xml:space="preserve"> push-ups and sit-ups</w:t>
      </w:r>
      <w:r w:rsidR="00031ED1" w:rsidRPr="008F715A">
        <w:rPr>
          <w:color w:val="auto"/>
          <w:szCs w:val="24"/>
        </w:rPr>
        <w:t xml:space="preserve"> and </w:t>
      </w:r>
      <w:r w:rsidR="00BA6837" w:rsidRPr="008F715A">
        <w:rPr>
          <w:color w:val="auto"/>
          <w:szCs w:val="24"/>
        </w:rPr>
        <w:t>underwent a second surgery in May 2001</w:t>
      </w:r>
      <w:r w:rsidR="009F1D30" w:rsidRPr="008F715A">
        <w:rPr>
          <w:color w:val="auto"/>
          <w:szCs w:val="24"/>
        </w:rPr>
        <w:t xml:space="preserve"> for a SLAP three repair</w:t>
      </w:r>
      <w:r w:rsidR="00BA6837" w:rsidRPr="008F715A">
        <w:rPr>
          <w:color w:val="auto"/>
          <w:szCs w:val="24"/>
        </w:rPr>
        <w:t xml:space="preserve">. </w:t>
      </w:r>
      <w:r w:rsidR="00031ED1" w:rsidRPr="008F715A">
        <w:rPr>
          <w:color w:val="auto"/>
          <w:szCs w:val="24"/>
        </w:rPr>
        <w:t xml:space="preserve"> H</w:t>
      </w:r>
      <w:r w:rsidR="009F1D30" w:rsidRPr="008F715A">
        <w:rPr>
          <w:color w:val="auto"/>
          <w:szCs w:val="24"/>
        </w:rPr>
        <w:t xml:space="preserve">is </w:t>
      </w:r>
      <w:r w:rsidR="00031ED1" w:rsidRPr="008F715A">
        <w:rPr>
          <w:color w:val="auto"/>
          <w:szCs w:val="24"/>
        </w:rPr>
        <w:t xml:space="preserve">shoulder </w:t>
      </w:r>
      <w:r w:rsidR="009F1D30" w:rsidRPr="008F715A">
        <w:rPr>
          <w:color w:val="auto"/>
          <w:szCs w:val="24"/>
        </w:rPr>
        <w:t>mobility show</w:t>
      </w:r>
      <w:r w:rsidR="00031ED1" w:rsidRPr="008F715A">
        <w:rPr>
          <w:color w:val="auto"/>
          <w:szCs w:val="24"/>
        </w:rPr>
        <w:t>ed</w:t>
      </w:r>
      <w:r w:rsidR="009F1D30" w:rsidRPr="008F715A">
        <w:rPr>
          <w:color w:val="auto"/>
          <w:szCs w:val="24"/>
        </w:rPr>
        <w:t xml:space="preserve"> little improvement </w:t>
      </w:r>
      <w:r w:rsidR="00031ED1" w:rsidRPr="008F715A">
        <w:rPr>
          <w:color w:val="auto"/>
          <w:szCs w:val="24"/>
        </w:rPr>
        <w:t xml:space="preserve">following surgery </w:t>
      </w:r>
      <w:r w:rsidR="009F1D30" w:rsidRPr="008F715A">
        <w:rPr>
          <w:color w:val="auto"/>
          <w:szCs w:val="24"/>
        </w:rPr>
        <w:t xml:space="preserve">and he experienced more pain due to instability which had a limiting impact of his physical activity.  </w:t>
      </w:r>
      <w:r w:rsidR="00C82BEF" w:rsidRPr="008F715A">
        <w:rPr>
          <w:color w:val="auto"/>
          <w:szCs w:val="24"/>
        </w:rPr>
        <w:t>Medication included narcotics</w:t>
      </w:r>
      <w:r w:rsidR="00FA2419" w:rsidRPr="008F715A">
        <w:rPr>
          <w:color w:val="auto"/>
          <w:szCs w:val="24"/>
        </w:rPr>
        <w:t xml:space="preserve"> and profile restriction included no overhead work, modified sit-ups, push-ups own pace and number.  </w:t>
      </w:r>
      <w:r w:rsidR="00130006" w:rsidRPr="008F715A">
        <w:rPr>
          <w:color w:val="auto"/>
          <w:szCs w:val="24"/>
        </w:rPr>
        <w:t xml:space="preserve">There were </w:t>
      </w:r>
      <w:r w:rsidR="00C82BEF" w:rsidRPr="008F715A">
        <w:rPr>
          <w:color w:val="auto"/>
          <w:szCs w:val="24"/>
        </w:rPr>
        <w:t>t</w:t>
      </w:r>
      <w:r w:rsidR="003C6BFF" w:rsidRPr="008F715A">
        <w:rPr>
          <w:color w:val="auto"/>
          <w:szCs w:val="24"/>
        </w:rPr>
        <w:t>wo</w:t>
      </w:r>
      <w:r w:rsidR="00C82BEF" w:rsidRPr="008F715A">
        <w:rPr>
          <w:color w:val="auto"/>
          <w:szCs w:val="24"/>
        </w:rPr>
        <w:t xml:space="preserve"> </w:t>
      </w:r>
      <w:r w:rsidR="00130006" w:rsidRPr="008F715A">
        <w:rPr>
          <w:color w:val="auto"/>
          <w:szCs w:val="24"/>
        </w:rPr>
        <w:t xml:space="preserve">goniometric </w:t>
      </w:r>
      <w:r w:rsidR="00AC6E05">
        <w:rPr>
          <w:color w:val="auto"/>
          <w:szCs w:val="24"/>
        </w:rPr>
        <w:t>range-of-</w:t>
      </w:r>
      <w:r w:rsidR="00130006" w:rsidRPr="008F715A">
        <w:rPr>
          <w:color w:val="auto"/>
          <w:szCs w:val="24"/>
        </w:rPr>
        <w:t>motion (ROM) evaluations in evidence, with documentation of additional ratable criteria, which the Board weighed in arriving at its rating recommendation; as summarized in the chart below.</w:t>
      </w:r>
      <w:r w:rsidR="00F2190A" w:rsidRPr="008F715A">
        <w:rPr>
          <w:color w:val="auto"/>
          <w:szCs w:val="24"/>
        </w:rPr>
        <w:t xml:space="preserve">  </w:t>
      </w:r>
    </w:p>
    <w:p w:rsidR="00130006" w:rsidRPr="008F715A" w:rsidRDefault="00130006" w:rsidP="00130006">
      <w:pPr>
        <w:jc w:val="both"/>
        <w:rPr>
          <w:color w:val="auto"/>
          <w:szCs w:val="24"/>
        </w:rPr>
      </w:pPr>
    </w:p>
    <w:tbl>
      <w:tblPr>
        <w:tblW w:w="7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8"/>
        <w:gridCol w:w="2869"/>
        <w:gridCol w:w="2767"/>
      </w:tblGrid>
      <w:tr w:rsidR="003C6BFF" w:rsidRPr="008F715A" w:rsidTr="003C6BFF">
        <w:trPr>
          <w:jc w:val="center"/>
        </w:trPr>
        <w:tc>
          <w:tcPr>
            <w:tcW w:w="2058" w:type="dxa"/>
            <w:shd w:val="clear" w:color="auto" w:fill="D9D9D9" w:themeFill="background1" w:themeFillShade="D9"/>
            <w:vAlign w:val="center"/>
          </w:tcPr>
          <w:p w:rsidR="003C6BFF" w:rsidRPr="008F715A" w:rsidRDefault="003C6BFF" w:rsidP="00130006">
            <w:pPr>
              <w:spacing w:line="220" w:lineRule="exact"/>
              <w:contextualSpacing/>
              <w:rPr>
                <w:rFonts w:eastAsia="Calibri"/>
                <w:color w:val="auto"/>
                <w:sz w:val="22"/>
                <w:szCs w:val="18"/>
              </w:rPr>
            </w:pPr>
            <w:r w:rsidRPr="008F715A">
              <w:rPr>
                <w:rFonts w:cs="Times New Roman"/>
                <w:color w:val="auto"/>
                <w:sz w:val="22"/>
                <w:szCs w:val="24"/>
              </w:rPr>
              <w:t xml:space="preserve">R. </w:t>
            </w:r>
            <w:r w:rsidRPr="008F715A">
              <w:rPr>
                <w:rFonts w:eastAsia="Calibri"/>
                <w:color w:val="auto"/>
                <w:sz w:val="22"/>
                <w:szCs w:val="18"/>
              </w:rPr>
              <w:t>Shoulder ROM</w:t>
            </w:r>
          </w:p>
        </w:tc>
        <w:tc>
          <w:tcPr>
            <w:tcW w:w="2869" w:type="dxa"/>
            <w:shd w:val="clear" w:color="auto" w:fill="D9D9D9" w:themeFill="background1" w:themeFillShade="D9"/>
            <w:vAlign w:val="center"/>
          </w:tcPr>
          <w:p w:rsidR="003C6BFF" w:rsidRPr="008F715A" w:rsidRDefault="003C6BFF" w:rsidP="00A75785">
            <w:pPr>
              <w:spacing w:line="220" w:lineRule="exact"/>
              <w:contextualSpacing/>
              <w:rPr>
                <w:rFonts w:eastAsia="Calibri"/>
                <w:color w:val="auto"/>
                <w:sz w:val="22"/>
                <w:szCs w:val="18"/>
              </w:rPr>
            </w:pPr>
            <w:r w:rsidRPr="008F715A">
              <w:rPr>
                <w:rFonts w:eastAsia="Calibri"/>
                <w:color w:val="auto"/>
                <w:sz w:val="22"/>
                <w:szCs w:val="18"/>
              </w:rPr>
              <w:t>MEB ~7 Mo. Pre-Sep</w:t>
            </w:r>
          </w:p>
        </w:tc>
        <w:tc>
          <w:tcPr>
            <w:tcW w:w="2767" w:type="dxa"/>
            <w:shd w:val="clear" w:color="auto" w:fill="D9D9D9" w:themeFill="background1" w:themeFillShade="D9"/>
            <w:vAlign w:val="center"/>
          </w:tcPr>
          <w:p w:rsidR="003C6BFF" w:rsidRPr="008F715A" w:rsidRDefault="003C6BFF" w:rsidP="00A75785">
            <w:pPr>
              <w:spacing w:line="220" w:lineRule="exact"/>
              <w:contextualSpacing/>
              <w:rPr>
                <w:rFonts w:eastAsia="Calibri"/>
                <w:color w:val="auto"/>
                <w:sz w:val="22"/>
                <w:szCs w:val="18"/>
              </w:rPr>
            </w:pPr>
            <w:r w:rsidRPr="008F715A">
              <w:rPr>
                <w:rFonts w:eastAsia="Calibri"/>
                <w:color w:val="auto"/>
                <w:sz w:val="22"/>
                <w:szCs w:val="18"/>
              </w:rPr>
              <w:t>VA</w:t>
            </w:r>
            <w:r w:rsidRPr="008F715A">
              <w:rPr>
                <w:rFonts w:eastAsiaTheme="minorHAnsi"/>
                <w:color w:val="auto"/>
                <w:sz w:val="22"/>
                <w:szCs w:val="18"/>
              </w:rPr>
              <w:t xml:space="preserve"> C&amp;P </w:t>
            </w:r>
            <w:r w:rsidRPr="008F715A">
              <w:rPr>
                <w:rFonts w:eastAsia="Calibri"/>
                <w:color w:val="auto"/>
                <w:sz w:val="22"/>
                <w:szCs w:val="18"/>
              </w:rPr>
              <w:t>~2 Mo. After-Sep</w:t>
            </w:r>
          </w:p>
        </w:tc>
      </w:tr>
      <w:tr w:rsidR="003C6BFF" w:rsidRPr="008F715A" w:rsidTr="003C6BFF">
        <w:trPr>
          <w:jc w:val="center"/>
        </w:trPr>
        <w:tc>
          <w:tcPr>
            <w:tcW w:w="2058" w:type="dxa"/>
            <w:vAlign w:val="center"/>
          </w:tcPr>
          <w:p w:rsidR="003C6BFF" w:rsidRPr="008F715A" w:rsidRDefault="003C6BFF" w:rsidP="00130006">
            <w:pPr>
              <w:pStyle w:val="ListParagraph"/>
              <w:spacing w:after="0" w:line="220" w:lineRule="exact"/>
              <w:ind w:left="0"/>
              <w:rPr>
                <w:rFonts w:ascii="Calibri" w:eastAsia="Calibri" w:hAnsi="Calibri" w:cstheme="minorHAnsi"/>
                <w:szCs w:val="18"/>
              </w:rPr>
            </w:pPr>
            <w:r w:rsidRPr="008F715A">
              <w:rPr>
                <w:rFonts w:ascii="Calibri" w:eastAsia="Calibri" w:hAnsi="Calibri" w:cstheme="minorHAnsi"/>
                <w:szCs w:val="18"/>
              </w:rPr>
              <w:t>Flexion (0-180)</w:t>
            </w:r>
          </w:p>
        </w:tc>
        <w:tc>
          <w:tcPr>
            <w:tcW w:w="2869" w:type="dxa"/>
            <w:vAlign w:val="center"/>
          </w:tcPr>
          <w:p w:rsidR="003C6BFF" w:rsidRPr="008F715A" w:rsidRDefault="003C6BFF" w:rsidP="00130006">
            <w:pPr>
              <w:spacing w:line="220" w:lineRule="exact"/>
              <w:contextualSpacing/>
              <w:rPr>
                <w:rFonts w:eastAsia="Calibri"/>
                <w:color w:val="auto"/>
                <w:sz w:val="22"/>
                <w:szCs w:val="18"/>
              </w:rPr>
            </w:pPr>
            <w:r w:rsidRPr="008F715A">
              <w:rPr>
                <w:rFonts w:eastAsia="Calibri"/>
                <w:color w:val="auto"/>
                <w:sz w:val="22"/>
                <w:szCs w:val="18"/>
              </w:rPr>
              <w:t>80⁰</w:t>
            </w:r>
          </w:p>
        </w:tc>
        <w:tc>
          <w:tcPr>
            <w:tcW w:w="2767" w:type="dxa"/>
            <w:vAlign w:val="center"/>
          </w:tcPr>
          <w:p w:rsidR="003C6BFF" w:rsidRPr="008F715A" w:rsidRDefault="003C6BFF" w:rsidP="00130006">
            <w:pPr>
              <w:spacing w:line="220" w:lineRule="exact"/>
              <w:contextualSpacing/>
              <w:rPr>
                <w:rFonts w:eastAsia="Calibri"/>
                <w:color w:val="auto"/>
                <w:sz w:val="22"/>
                <w:szCs w:val="18"/>
              </w:rPr>
            </w:pPr>
            <w:r w:rsidRPr="008F715A">
              <w:rPr>
                <w:rFonts w:eastAsia="Calibri"/>
                <w:color w:val="auto"/>
                <w:sz w:val="22"/>
                <w:szCs w:val="18"/>
              </w:rPr>
              <w:t>140⁰</w:t>
            </w:r>
          </w:p>
        </w:tc>
      </w:tr>
      <w:tr w:rsidR="003C6BFF" w:rsidRPr="008F715A" w:rsidTr="003C6BFF">
        <w:trPr>
          <w:trHeight w:val="79"/>
          <w:jc w:val="center"/>
        </w:trPr>
        <w:tc>
          <w:tcPr>
            <w:tcW w:w="2058" w:type="dxa"/>
            <w:vAlign w:val="center"/>
          </w:tcPr>
          <w:p w:rsidR="003C6BFF" w:rsidRPr="008F715A" w:rsidRDefault="003C6BFF" w:rsidP="00130006">
            <w:pPr>
              <w:pStyle w:val="ListParagraph"/>
              <w:spacing w:after="0" w:line="220" w:lineRule="exact"/>
              <w:ind w:left="0"/>
              <w:rPr>
                <w:rFonts w:ascii="Calibri" w:eastAsia="Calibri" w:hAnsi="Calibri" w:cstheme="minorHAnsi"/>
                <w:szCs w:val="18"/>
              </w:rPr>
            </w:pPr>
            <w:r w:rsidRPr="008F715A">
              <w:rPr>
                <w:rFonts w:ascii="Calibri" w:eastAsia="Calibri" w:hAnsi="Calibri" w:cstheme="minorHAnsi"/>
                <w:szCs w:val="18"/>
              </w:rPr>
              <w:t>Abduction (0-180)</w:t>
            </w:r>
          </w:p>
        </w:tc>
        <w:tc>
          <w:tcPr>
            <w:tcW w:w="2869" w:type="dxa"/>
            <w:vAlign w:val="center"/>
          </w:tcPr>
          <w:p w:rsidR="003C6BFF" w:rsidRPr="008F715A" w:rsidRDefault="003C6BFF" w:rsidP="00130006">
            <w:pPr>
              <w:spacing w:line="220" w:lineRule="exact"/>
              <w:contextualSpacing/>
              <w:rPr>
                <w:rFonts w:eastAsia="Calibri"/>
                <w:color w:val="auto"/>
                <w:sz w:val="22"/>
                <w:szCs w:val="18"/>
              </w:rPr>
            </w:pPr>
            <w:r w:rsidRPr="008F715A">
              <w:rPr>
                <w:rFonts w:eastAsia="Calibri"/>
                <w:color w:val="auto"/>
                <w:sz w:val="22"/>
                <w:szCs w:val="18"/>
              </w:rPr>
              <w:t>90⁰</w:t>
            </w:r>
          </w:p>
        </w:tc>
        <w:tc>
          <w:tcPr>
            <w:tcW w:w="2767" w:type="dxa"/>
            <w:vAlign w:val="center"/>
          </w:tcPr>
          <w:p w:rsidR="003C6BFF" w:rsidRPr="008F715A" w:rsidRDefault="003C6BFF" w:rsidP="00130006">
            <w:pPr>
              <w:spacing w:line="220" w:lineRule="exact"/>
              <w:contextualSpacing/>
              <w:rPr>
                <w:rFonts w:eastAsia="Calibri"/>
                <w:color w:val="auto"/>
                <w:sz w:val="22"/>
                <w:szCs w:val="18"/>
              </w:rPr>
            </w:pPr>
            <w:r w:rsidRPr="008F715A">
              <w:rPr>
                <w:rFonts w:eastAsia="Calibri"/>
                <w:color w:val="auto"/>
                <w:sz w:val="22"/>
                <w:szCs w:val="18"/>
              </w:rPr>
              <w:t>120⁰</w:t>
            </w:r>
          </w:p>
        </w:tc>
      </w:tr>
      <w:tr w:rsidR="003C6BFF" w:rsidRPr="008F715A" w:rsidTr="003C6BFF">
        <w:trPr>
          <w:jc w:val="center"/>
        </w:trPr>
        <w:tc>
          <w:tcPr>
            <w:tcW w:w="2058" w:type="dxa"/>
            <w:vAlign w:val="center"/>
          </w:tcPr>
          <w:p w:rsidR="003C6BFF" w:rsidRPr="008F715A" w:rsidRDefault="003C6BFF" w:rsidP="00F2190A">
            <w:pPr>
              <w:tabs>
                <w:tab w:val="left" w:pos="288"/>
                <w:tab w:val="left" w:pos="4752"/>
              </w:tabs>
              <w:spacing w:line="220" w:lineRule="exact"/>
              <w:rPr>
                <w:rFonts w:eastAsiaTheme="minorHAnsi"/>
                <w:color w:val="auto"/>
                <w:sz w:val="22"/>
                <w:szCs w:val="18"/>
              </w:rPr>
            </w:pPr>
            <w:r w:rsidRPr="008F715A">
              <w:rPr>
                <w:rFonts w:eastAsiaTheme="minorHAnsi"/>
                <w:color w:val="auto"/>
                <w:sz w:val="22"/>
                <w:szCs w:val="18"/>
              </w:rPr>
              <w:t xml:space="preserve">Comment </w:t>
            </w:r>
          </w:p>
        </w:tc>
        <w:tc>
          <w:tcPr>
            <w:tcW w:w="2869" w:type="dxa"/>
            <w:vAlign w:val="center"/>
          </w:tcPr>
          <w:p w:rsidR="003C6BFF" w:rsidRPr="008F715A" w:rsidRDefault="003C6BFF" w:rsidP="00130006">
            <w:pPr>
              <w:tabs>
                <w:tab w:val="left" w:pos="288"/>
                <w:tab w:val="left" w:pos="4752"/>
              </w:tabs>
              <w:spacing w:line="220" w:lineRule="exact"/>
              <w:jc w:val="left"/>
              <w:rPr>
                <w:rFonts w:eastAsiaTheme="minorHAnsi"/>
                <w:color w:val="auto"/>
                <w:sz w:val="22"/>
                <w:szCs w:val="18"/>
              </w:rPr>
            </w:pPr>
            <w:r w:rsidRPr="008F715A">
              <w:rPr>
                <w:rFonts w:eastAsiaTheme="minorHAnsi"/>
                <w:color w:val="auto"/>
                <w:sz w:val="22"/>
                <w:szCs w:val="18"/>
              </w:rPr>
              <w:t>No atrophy; sensory normal; motor strength limited by his symptoms (pain)</w:t>
            </w:r>
          </w:p>
        </w:tc>
        <w:tc>
          <w:tcPr>
            <w:tcW w:w="2767" w:type="dxa"/>
            <w:vAlign w:val="center"/>
          </w:tcPr>
          <w:p w:rsidR="003C6BFF" w:rsidRPr="008F715A" w:rsidRDefault="003C6BFF" w:rsidP="00130006">
            <w:pPr>
              <w:tabs>
                <w:tab w:val="left" w:pos="288"/>
                <w:tab w:val="left" w:pos="4752"/>
              </w:tabs>
              <w:spacing w:line="220" w:lineRule="exact"/>
              <w:jc w:val="left"/>
              <w:rPr>
                <w:rFonts w:eastAsiaTheme="minorHAnsi"/>
                <w:color w:val="auto"/>
                <w:sz w:val="22"/>
                <w:szCs w:val="18"/>
              </w:rPr>
            </w:pPr>
            <w:r w:rsidRPr="008F715A">
              <w:rPr>
                <w:rFonts w:eastAsiaTheme="minorHAnsi"/>
                <w:color w:val="auto"/>
                <w:sz w:val="22"/>
                <w:szCs w:val="18"/>
              </w:rPr>
              <w:t>Positive impingement sign; history recurrent dislocations</w:t>
            </w:r>
          </w:p>
        </w:tc>
      </w:tr>
      <w:tr w:rsidR="003C6BFF" w:rsidRPr="008F715A" w:rsidTr="003C6BFF">
        <w:trPr>
          <w:jc w:val="center"/>
        </w:trPr>
        <w:tc>
          <w:tcPr>
            <w:tcW w:w="2058" w:type="dxa"/>
            <w:vAlign w:val="center"/>
          </w:tcPr>
          <w:p w:rsidR="003C6BFF" w:rsidRPr="008F715A" w:rsidRDefault="003C6BFF" w:rsidP="00130006">
            <w:pPr>
              <w:tabs>
                <w:tab w:val="left" w:pos="288"/>
                <w:tab w:val="left" w:pos="4752"/>
              </w:tabs>
              <w:spacing w:line="220" w:lineRule="exact"/>
              <w:rPr>
                <w:rFonts w:eastAsiaTheme="minorHAnsi"/>
                <w:color w:val="auto"/>
                <w:sz w:val="22"/>
                <w:szCs w:val="18"/>
              </w:rPr>
            </w:pPr>
            <w:r w:rsidRPr="008F715A">
              <w:rPr>
                <w:rFonts w:eastAsiaTheme="minorHAnsi"/>
                <w:color w:val="auto"/>
                <w:sz w:val="22"/>
                <w:szCs w:val="18"/>
              </w:rPr>
              <w:t>§4.71a Rating</w:t>
            </w:r>
          </w:p>
        </w:tc>
        <w:tc>
          <w:tcPr>
            <w:tcW w:w="2869" w:type="dxa"/>
            <w:vAlign w:val="center"/>
          </w:tcPr>
          <w:p w:rsidR="003C6BFF" w:rsidRPr="008F715A" w:rsidRDefault="003C6BFF" w:rsidP="00130006">
            <w:pPr>
              <w:tabs>
                <w:tab w:val="left" w:pos="288"/>
                <w:tab w:val="left" w:pos="4752"/>
              </w:tabs>
              <w:spacing w:line="220" w:lineRule="exact"/>
              <w:rPr>
                <w:rFonts w:eastAsiaTheme="minorHAnsi"/>
                <w:color w:val="auto"/>
                <w:sz w:val="22"/>
                <w:szCs w:val="18"/>
              </w:rPr>
            </w:pPr>
            <w:r w:rsidRPr="008F715A">
              <w:rPr>
                <w:rFonts w:eastAsiaTheme="minorHAnsi"/>
                <w:color w:val="auto"/>
                <w:sz w:val="22"/>
                <w:szCs w:val="18"/>
              </w:rPr>
              <w:t>20%</w:t>
            </w:r>
          </w:p>
        </w:tc>
        <w:tc>
          <w:tcPr>
            <w:tcW w:w="2767" w:type="dxa"/>
            <w:vAlign w:val="center"/>
          </w:tcPr>
          <w:p w:rsidR="003C6BFF" w:rsidRPr="008F715A" w:rsidRDefault="003C6BFF" w:rsidP="00130006">
            <w:pPr>
              <w:tabs>
                <w:tab w:val="left" w:pos="288"/>
                <w:tab w:val="left" w:pos="4752"/>
              </w:tabs>
              <w:spacing w:line="220" w:lineRule="exact"/>
              <w:rPr>
                <w:rFonts w:eastAsiaTheme="minorHAnsi"/>
                <w:color w:val="auto"/>
                <w:sz w:val="22"/>
                <w:szCs w:val="18"/>
              </w:rPr>
            </w:pPr>
            <w:r w:rsidRPr="008F715A">
              <w:rPr>
                <w:rFonts w:eastAsiaTheme="minorHAnsi"/>
                <w:color w:val="auto"/>
                <w:sz w:val="22"/>
                <w:szCs w:val="18"/>
              </w:rPr>
              <w:t>10%-20% (VA 20%)</w:t>
            </w:r>
          </w:p>
        </w:tc>
      </w:tr>
    </w:tbl>
    <w:p w:rsidR="00E641B5" w:rsidRPr="008F715A" w:rsidRDefault="00E641B5" w:rsidP="003C53E8">
      <w:pPr>
        <w:tabs>
          <w:tab w:val="left" w:pos="288"/>
          <w:tab w:val="left" w:pos="4752"/>
        </w:tabs>
        <w:jc w:val="left"/>
        <w:rPr>
          <w:rFonts w:asciiTheme="minorHAnsi" w:hAnsiTheme="minorHAnsi" w:cs="Times New Roman"/>
          <w:color w:val="auto"/>
          <w:szCs w:val="24"/>
        </w:rPr>
      </w:pPr>
    </w:p>
    <w:p w:rsidR="00F2190A" w:rsidRPr="008F715A" w:rsidRDefault="00F2190A" w:rsidP="00031ED1">
      <w:pPr>
        <w:tabs>
          <w:tab w:val="left" w:pos="288"/>
          <w:tab w:val="left" w:pos="4752"/>
        </w:tabs>
        <w:jc w:val="both"/>
        <w:rPr>
          <w:rFonts w:eastAsiaTheme="minorHAnsi" w:cstheme="minorBidi"/>
          <w:color w:val="auto"/>
          <w:szCs w:val="24"/>
        </w:rPr>
      </w:pPr>
      <w:r w:rsidRPr="008F715A">
        <w:rPr>
          <w:rFonts w:eastAsiaTheme="minorHAnsi" w:cstheme="minorBidi"/>
          <w:color w:val="auto"/>
          <w:szCs w:val="24"/>
        </w:rPr>
        <w:t xml:space="preserve">The PT and MEB exams both indicated limitation of abduction at or below the shoulder level (90⁰).  Each exam documented inability to test strength or pain interfering with motor testing, but no muscle atrophy noted.  History indicated post-surgical </w:t>
      </w:r>
      <w:proofErr w:type="spellStart"/>
      <w:r w:rsidRPr="008F715A">
        <w:rPr>
          <w:rFonts w:eastAsiaTheme="minorHAnsi" w:cstheme="minorBidi"/>
          <w:color w:val="auto"/>
          <w:szCs w:val="24"/>
        </w:rPr>
        <w:t>subluxations</w:t>
      </w:r>
      <w:proofErr w:type="spellEnd"/>
      <w:r w:rsidRPr="008F715A">
        <w:rPr>
          <w:rFonts w:eastAsiaTheme="minorHAnsi" w:cstheme="minorBidi"/>
          <w:color w:val="auto"/>
          <w:szCs w:val="24"/>
        </w:rPr>
        <w:t xml:space="preserve"> without indication of frank dislocations of the shoulder.  </w:t>
      </w:r>
      <w:r w:rsidR="00271886" w:rsidRPr="008F715A">
        <w:rPr>
          <w:rFonts w:eastAsiaTheme="minorHAnsi" w:cstheme="minorBidi"/>
          <w:color w:val="auto"/>
          <w:szCs w:val="24"/>
        </w:rPr>
        <w:t xml:space="preserve">The VA C&amp;P exam </w:t>
      </w:r>
      <w:r w:rsidR="00AC6E05">
        <w:rPr>
          <w:rFonts w:eastAsiaTheme="minorHAnsi" w:cstheme="minorBidi"/>
          <w:color w:val="auto"/>
          <w:szCs w:val="24"/>
        </w:rPr>
        <w:t xml:space="preserve">after separation </w:t>
      </w:r>
      <w:r w:rsidR="00271886" w:rsidRPr="008F715A">
        <w:rPr>
          <w:rFonts w:eastAsiaTheme="minorHAnsi" w:cstheme="minorBidi"/>
          <w:color w:val="auto"/>
          <w:szCs w:val="24"/>
        </w:rPr>
        <w:t xml:space="preserve">indicated a greater ROM to 30⁰ above shoulder level, but with a positive impingement sign and a history of recurrent dislocations.  </w:t>
      </w:r>
      <w:r w:rsidR="00E520B7" w:rsidRPr="008F715A">
        <w:rPr>
          <w:rFonts w:eastAsiaTheme="minorHAnsi" w:cstheme="minorBidi"/>
          <w:color w:val="auto"/>
          <w:szCs w:val="24"/>
        </w:rPr>
        <w:t xml:space="preserve">The VA temporary 100% rating for right shoulder surgery over </w:t>
      </w:r>
      <w:r w:rsidR="00AC6E05">
        <w:rPr>
          <w:rFonts w:eastAsiaTheme="minorHAnsi" w:cstheme="minorBidi"/>
          <w:color w:val="auto"/>
          <w:szCs w:val="24"/>
        </w:rPr>
        <w:t>8</w:t>
      </w:r>
      <w:r w:rsidR="00E520B7" w:rsidRPr="008F715A">
        <w:rPr>
          <w:rFonts w:eastAsiaTheme="minorHAnsi" w:cstheme="minorBidi"/>
          <w:color w:val="auto"/>
          <w:szCs w:val="24"/>
        </w:rPr>
        <w:t xml:space="preserve"> years </w:t>
      </w:r>
      <w:r w:rsidR="00AC6E05">
        <w:rPr>
          <w:rFonts w:eastAsiaTheme="minorHAnsi" w:cstheme="minorBidi"/>
          <w:color w:val="auto"/>
          <w:szCs w:val="24"/>
        </w:rPr>
        <w:t xml:space="preserve">after </w:t>
      </w:r>
      <w:r w:rsidR="00E520B7" w:rsidRPr="008F715A">
        <w:rPr>
          <w:rFonts w:eastAsiaTheme="minorHAnsi" w:cstheme="minorBidi"/>
          <w:color w:val="auto"/>
          <w:szCs w:val="24"/>
        </w:rPr>
        <w:lastRenderedPageBreak/>
        <w:t xml:space="preserve">separation was noted, but was not considered relevant in the rating assessment at the time of separation.  </w:t>
      </w:r>
    </w:p>
    <w:p w:rsidR="00F2190A" w:rsidRPr="008F715A" w:rsidRDefault="00F2190A" w:rsidP="00031ED1">
      <w:pPr>
        <w:tabs>
          <w:tab w:val="left" w:pos="288"/>
          <w:tab w:val="left" w:pos="4752"/>
        </w:tabs>
        <w:jc w:val="both"/>
        <w:rPr>
          <w:rFonts w:eastAsiaTheme="minorHAnsi" w:cstheme="minorBidi"/>
          <w:color w:val="auto"/>
          <w:szCs w:val="24"/>
        </w:rPr>
      </w:pPr>
    </w:p>
    <w:p w:rsidR="00031ED1" w:rsidRPr="008F715A" w:rsidRDefault="00031ED1" w:rsidP="00003D83">
      <w:pPr>
        <w:tabs>
          <w:tab w:val="left" w:pos="288"/>
          <w:tab w:val="left" w:pos="4752"/>
        </w:tabs>
        <w:jc w:val="both"/>
        <w:rPr>
          <w:rFonts w:eastAsiaTheme="minorHAnsi" w:cstheme="minorBidi"/>
          <w:color w:val="auto"/>
          <w:szCs w:val="24"/>
        </w:rPr>
      </w:pPr>
      <w:r w:rsidRPr="008F715A">
        <w:rPr>
          <w:rFonts w:eastAsiaTheme="minorHAnsi" w:cstheme="minorBidi"/>
          <w:color w:val="auto"/>
          <w:szCs w:val="24"/>
        </w:rPr>
        <w:t>The PEB and VA chose different coding options for the condition</w:t>
      </w:r>
      <w:r w:rsidR="00271886" w:rsidRPr="008F715A">
        <w:rPr>
          <w:rFonts w:eastAsiaTheme="minorHAnsi" w:cstheme="minorBidi"/>
          <w:color w:val="auto"/>
          <w:szCs w:val="24"/>
        </w:rPr>
        <w:t xml:space="preserve">.  The PEB coding was combined with the leg conditions and applied the pain policy as discussed above.  The VA rating of 20% based on code 5201 </w:t>
      </w:r>
      <w:r w:rsidR="00AC6E05">
        <w:rPr>
          <w:rFonts w:eastAsiaTheme="minorHAnsi" w:cstheme="minorBidi"/>
          <w:color w:val="auto"/>
          <w:szCs w:val="24"/>
        </w:rPr>
        <w:t>a</w:t>
      </w:r>
      <w:r w:rsidR="00271886" w:rsidRPr="008F715A">
        <w:rPr>
          <w:rFonts w:eastAsiaTheme="minorHAnsi" w:cstheme="minorBidi"/>
          <w:color w:val="auto"/>
          <w:szCs w:val="24"/>
        </w:rPr>
        <w:t xml:space="preserve">rm limitation of motion at shoulder level was not a straight forward application of the ROMs from the C&amp;P exam, but likely included the service record, recurrent </w:t>
      </w:r>
      <w:proofErr w:type="spellStart"/>
      <w:r w:rsidR="00271886" w:rsidRPr="008F715A">
        <w:rPr>
          <w:rFonts w:eastAsiaTheme="minorHAnsi" w:cstheme="minorBidi"/>
          <w:color w:val="auto"/>
          <w:szCs w:val="24"/>
        </w:rPr>
        <w:t>subluxations</w:t>
      </w:r>
      <w:proofErr w:type="spellEnd"/>
      <w:r w:rsidR="00271886" w:rsidRPr="008F715A">
        <w:rPr>
          <w:rFonts w:eastAsiaTheme="minorHAnsi" w:cstheme="minorBidi"/>
          <w:color w:val="auto"/>
          <w:szCs w:val="24"/>
        </w:rPr>
        <w:t xml:space="preserve">/dislocations and positive impingement signs.  Analogous coding to 5201 at 20% was supportable by the VA evidence.  </w:t>
      </w:r>
      <w:r w:rsidR="00003D83" w:rsidRPr="008F715A">
        <w:rPr>
          <w:rFonts w:eastAsiaTheme="minorHAnsi" w:cstheme="minorBidi"/>
          <w:color w:val="auto"/>
          <w:szCs w:val="24"/>
        </w:rPr>
        <w:t xml:space="preserve">Alternate coding analogous to 5202, </w:t>
      </w:r>
      <w:r w:rsidR="00AC6E05">
        <w:rPr>
          <w:rFonts w:eastAsiaTheme="minorHAnsi" w:cstheme="minorBidi"/>
          <w:color w:val="auto"/>
          <w:szCs w:val="24"/>
        </w:rPr>
        <w:t>h</w:t>
      </w:r>
      <w:r w:rsidR="00003D83" w:rsidRPr="008F715A">
        <w:rPr>
          <w:rFonts w:eastAsiaTheme="minorHAnsi" w:cstheme="minorBidi"/>
          <w:color w:val="auto"/>
          <w:szCs w:val="24"/>
        </w:rPr>
        <w:t xml:space="preserve">umerus, </w:t>
      </w:r>
      <w:proofErr w:type="gramStart"/>
      <w:r w:rsidR="00003D83" w:rsidRPr="008F715A">
        <w:rPr>
          <w:rFonts w:eastAsiaTheme="minorHAnsi" w:cstheme="minorBidi"/>
          <w:color w:val="auto"/>
          <w:szCs w:val="24"/>
        </w:rPr>
        <w:t>other</w:t>
      </w:r>
      <w:proofErr w:type="gramEnd"/>
      <w:r w:rsidR="00003D83" w:rsidRPr="008F715A">
        <w:rPr>
          <w:rFonts w:eastAsiaTheme="minorHAnsi" w:cstheme="minorBidi"/>
          <w:color w:val="auto"/>
          <w:szCs w:val="24"/>
        </w:rPr>
        <w:t xml:space="preserve"> impairment recurrent dislocation with infrequent episodes was considered.  </w:t>
      </w:r>
      <w:r w:rsidR="00271886" w:rsidRPr="008F715A">
        <w:rPr>
          <w:rFonts w:eastAsiaTheme="minorHAnsi" w:cstheme="minorBidi"/>
          <w:color w:val="auto"/>
          <w:szCs w:val="24"/>
        </w:rPr>
        <w:t xml:space="preserve">The VA exam was closer to the time of separation and further from the date of surgery, but was not as comprehensive as the service exams.  There was recurrent </w:t>
      </w:r>
      <w:proofErr w:type="spellStart"/>
      <w:r w:rsidR="00271886" w:rsidRPr="008F715A">
        <w:rPr>
          <w:rFonts w:eastAsiaTheme="minorHAnsi" w:cstheme="minorBidi"/>
          <w:color w:val="auto"/>
          <w:szCs w:val="24"/>
        </w:rPr>
        <w:t>subluxation</w:t>
      </w:r>
      <w:proofErr w:type="spellEnd"/>
      <w:r w:rsidR="00271886" w:rsidRPr="008F715A">
        <w:rPr>
          <w:rFonts w:eastAsiaTheme="minorHAnsi" w:cstheme="minorBidi"/>
          <w:color w:val="auto"/>
          <w:szCs w:val="24"/>
        </w:rPr>
        <w:t xml:space="preserve"> of the </w:t>
      </w:r>
      <w:proofErr w:type="spellStart"/>
      <w:r w:rsidR="00271886" w:rsidRPr="008F715A">
        <w:rPr>
          <w:rFonts w:eastAsiaTheme="minorHAnsi" w:cstheme="minorBidi"/>
          <w:color w:val="auto"/>
          <w:szCs w:val="24"/>
        </w:rPr>
        <w:t>humerus</w:t>
      </w:r>
      <w:proofErr w:type="spellEnd"/>
      <w:r w:rsidR="00271886" w:rsidRPr="008F715A">
        <w:rPr>
          <w:rFonts w:eastAsiaTheme="minorHAnsi" w:cstheme="minorBidi"/>
          <w:color w:val="auto"/>
          <w:szCs w:val="24"/>
        </w:rPr>
        <w:t xml:space="preserve"> which may have approached dislocations of the humerus.  </w:t>
      </w:r>
      <w:r w:rsidRPr="008F715A">
        <w:rPr>
          <w:rFonts w:eastAsiaTheme="minorHAnsi" w:cstheme="minorBidi"/>
          <w:color w:val="auto"/>
          <w:szCs w:val="24"/>
        </w:rPr>
        <w:t>There was no clinical and/or radiologic evidence that suggested ankylosis, loss of the humeral head, nonunion, malunion, fibrous union, deformity, nonunio</w:t>
      </w:r>
      <w:r w:rsidR="00271886" w:rsidRPr="008F715A">
        <w:rPr>
          <w:rFonts w:eastAsiaTheme="minorHAnsi" w:cstheme="minorBidi"/>
          <w:color w:val="auto"/>
          <w:szCs w:val="24"/>
        </w:rPr>
        <w:t>n or dislocation of the scapula</w:t>
      </w:r>
      <w:r w:rsidRPr="008F715A">
        <w:rPr>
          <w:rFonts w:eastAsiaTheme="minorHAnsi" w:cstheme="minorBidi"/>
          <w:color w:val="auto"/>
          <w:szCs w:val="24"/>
        </w:rPr>
        <w:t xml:space="preserve">.  </w:t>
      </w:r>
      <w:r w:rsidR="00271886" w:rsidRPr="008F715A">
        <w:rPr>
          <w:rFonts w:eastAsiaTheme="minorHAnsi" w:cstheme="minorBidi"/>
          <w:color w:val="auto"/>
          <w:szCs w:val="24"/>
        </w:rPr>
        <w:t>After due deliberation, considering all of the evidence and mindful of VASRD §4.3 (reasonable doubt), the Board recommends a disability rating of 20% for the right shoulder condition</w:t>
      </w:r>
      <w:r w:rsidR="00003D83" w:rsidRPr="008F715A">
        <w:rPr>
          <w:rFonts w:eastAsiaTheme="minorHAnsi" w:cstheme="minorBidi"/>
          <w:color w:val="auto"/>
          <w:szCs w:val="24"/>
        </w:rPr>
        <w:t xml:space="preserve"> coded as 5099-5201</w:t>
      </w:r>
      <w:r w:rsidR="00271886" w:rsidRPr="008F715A">
        <w:rPr>
          <w:rFonts w:eastAsiaTheme="minorHAnsi" w:cstheme="minorBidi"/>
          <w:color w:val="auto"/>
          <w:szCs w:val="24"/>
        </w:rPr>
        <w:t>.</w:t>
      </w:r>
      <w:r w:rsidR="00A75785" w:rsidRPr="008F715A">
        <w:rPr>
          <w:rFonts w:eastAsiaTheme="minorHAnsi" w:cstheme="minorBidi"/>
          <w:color w:val="auto"/>
          <w:szCs w:val="24"/>
        </w:rPr>
        <w:t xml:space="preserve">  </w:t>
      </w:r>
    </w:p>
    <w:p w:rsidR="00031ED1" w:rsidRPr="008F715A" w:rsidRDefault="00031ED1" w:rsidP="003C53E8">
      <w:pPr>
        <w:tabs>
          <w:tab w:val="left" w:pos="288"/>
          <w:tab w:val="left" w:pos="4752"/>
        </w:tabs>
        <w:jc w:val="left"/>
        <w:rPr>
          <w:rFonts w:asciiTheme="minorHAnsi" w:hAnsiTheme="minorHAnsi" w:cs="Times New Roman"/>
          <w:color w:val="auto"/>
          <w:szCs w:val="24"/>
        </w:rPr>
      </w:pPr>
    </w:p>
    <w:p w:rsidR="00FA2419" w:rsidRPr="008F715A" w:rsidRDefault="00E641B5" w:rsidP="00182A4F">
      <w:pPr>
        <w:tabs>
          <w:tab w:val="left" w:pos="288"/>
          <w:tab w:val="left" w:pos="4752"/>
        </w:tabs>
        <w:jc w:val="both"/>
        <w:rPr>
          <w:rFonts w:asciiTheme="minorHAnsi" w:hAnsiTheme="minorHAnsi" w:cs="Times New Roman"/>
          <w:color w:val="auto"/>
          <w:szCs w:val="24"/>
        </w:rPr>
      </w:pPr>
      <w:r w:rsidRPr="008F715A">
        <w:rPr>
          <w:color w:val="auto"/>
          <w:szCs w:val="24"/>
          <w:u w:val="single"/>
        </w:rPr>
        <w:t>B</w:t>
      </w:r>
      <w:r w:rsidR="004A74C1" w:rsidRPr="008F715A">
        <w:rPr>
          <w:color w:val="auto"/>
          <w:szCs w:val="24"/>
          <w:u w:val="single"/>
        </w:rPr>
        <w:t>i</w:t>
      </w:r>
      <w:r w:rsidRPr="008F715A">
        <w:rPr>
          <w:color w:val="auto"/>
          <w:szCs w:val="24"/>
          <w:u w:val="single"/>
        </w:rPr>
        <w:t>lateral Leg Pain Due to Tibial Stress Fractures</w:t>
      </w:r>
      <w:r w:rsidRPr="008F715A">
        <w:rPr>
          <w:color w:val="auto"/>
          <w:szCs w:val="24"/>
        </w:rPr>
        <w:t>:</w:t>
      </w:r>
      <w:r w:rsidR="00C2306B" w:rsidRPr="008F715A">
        <w:rPr>
          <w:color w:val="auto"/>
          <w:szCs w:val="24"/>
        </w:rPr>
        <w:t xml:space="preserve">  </w:t>
      </w:r>
      <w:r w:rsidR="00F53784" w:rsidRPr="008F715A">
        <w:rPr>
          <w:color w:val="auto"/>
          <w:szCs w:val="24"/>
        </w:rPr>
        <w:t xml:space="preserve">The </w:t>
      </w:r>
      <w:r w:rsidR="00B1473A" w:rsidRPr="008F715A">
        <w:rPr>
          <w:rFonts w:asciiTheme="minorHAnsi" w:hAnsiTheme="minorHAnsi" w:cs="Times New Roman"/>
          <w:color w:val="auto"/>
          <w:szCs w:val="24"/>
        </w:rPr>
        <w:t xml:space="preserve">CI </w:t>
      </w:r>
      <w:r w:rsidR="00F53784" w:rsidRPr="008F715A">
        <w:rPr>
          <w:rFonts w:asciiTheme="minorHAnsi" w:hAnsiTheme="minorHAnsi" w:cs="Times New Roman"/>
          <w:color w:val="auto"/>
          <w:szCs w:val="24"/>
        </w:rPr>
        <w:t xml:space="preserve">had a long history of bilateral lower leg and left hip pain which led to numerous temporary profiles in 1998 thru April 2000.  The record indicated worsening of the lower leg pain and a diagnosis of bilateral tibial stress fractures in March 2000 with spurring in the left hip.  Repeat bone scan </w:t>
      </w:r>
      <w:r w:rsidR="00C6527A" w:rsidRPr="008F715A">
        <w:rPr>
          <w:rFonts w:asciiTheme="minorHAnsi" w:hAnsiTheme="minorHAnsi" w:cs="Times New Roman"/>
          <w:color w:val="auto"/>
          <w:szCs w:val="24"/>
        </w:rPr>
        <w:t xml:space="preserve">in February 2001 </w:t>
      </w:r>
      <w:r w:rsidR="00F53784" w:rsidRPr="008F715A">
        <w:rPr>
          <w:rFonts w:asciiTheme="minorHAnsi" w:hAnsiTheme="minorHAnsi" w:cs="Times New Roman"/>
          <w:color w:val="auto"/>
          <w:szCs w:val="24"/>
        </w:rPr>
        <w:t xml:space="preserve">indicated chronic </w:t>
      </w:r>
      <w:r w:rsidR="00C6527A" w:rsidRPr="008F715A">
        <w:rPr>
          <w:rFonts w:asciiTheme="minorHAnsi" w:hAnsiTheme="minorHAnsi" w:cs="Times New Roman"/>
          <w:color w:val="auto"/>
          <w:szCs w:val="24"/>
        </w:rPr>
        <w:t>tibial stress fractures with resolution of hip pain.  The CI</w:t>
      </w:r>
      <w:r w:rsidR="00F53784" w:rsidRPr="008F715A">
        <w:rPr>
          <w:rFonts w:asciiTheme="minorHAnsi" w:hAnsiTheme="minorHAnsi" w:cs="Times New Roman"/>
          <w:color w:val="auto"/>
          <w:szCs w:val="24"/>
        </w:rPr>
        <w:t xml:space="preserve"> </w:t>
      </w:r>
      <w:r w:rsidR="00B1473A" w:rsidRPr="008F715A">
        <w:rPr>
          <w:rFonts w:asciiTheme="minorHAnsi" w:hAnsiTheme="minorHAnsi" w:cs="Times New Roman"/>
          <w:color w:val="auto"/>
          <w:szCs w:val="24"/>
        </w:rPr>
        <w:t>complained of pain in both legs when running and bicycling</w:t>
      </w:r>
      <w:r w:rsidR="00C6527A" w:rsidRPr="008F715A">
        <w:rPr>
          <w:rFonts w:asciiTheme="minorHAnsi" w:hAnsiTheme="minorHAnsi" w:cs="Times New Roman"/>
          <w:color w:val="auto"/>
          <w:szCs w:val="24"/>
        </w:rPr>
        <w:t xml:space="preserve"> and was restricted from field duties and physical training per the orthopedic NARSUM</w:t>
      </w:r>
      <w:r w:rsidR="00FA2419" w:rsidRPr="008F715A">
        <w:rPr>
          <w:rFonts w:asciiTheme="minorHAnsi" w:hAnsiTheme="minorHAnsi" w:cs="Times New Roman"/>
          <w:color w:val="auto"/>
          <w:szCs w:val="24"/>
        </w:rPr>
        <w:t>.  Profile restrictions included “</w:t>
      </w:r>
      <w:r w:rsidR="00AC6E05">
        <w:rPr>
          <w:rFonts w:asciiTheme="minorHAnsi" w:hAnsiTheme="minorHAnsi" w:cs="Times New Roman"/>
          <w:color w:val="auto"/>
          <w:szCs w:val="24"/>
        </w:rPr>
        <w:t>n</w:t>
      </w:r>
      <w:r w:rsidR="00FA2419" w:rsidRPr="008F715A">
        <w:rPr>
          <w:rFonts w:asciiTheme="minorHAnsi" w:hAnsiTheme="minorHAnsi" w:cs="Times New Roman"/>
          <w:color w:val="auto"/>
          <w:szCs w:val="24"/>
        </w:rPr>
        <w:t xml:space="preserve">o </w:t>
      </w:r>
      <w:proofErr w:type="spellStart"/>
      <w:r w:rsidR="00FA2419" w:rsidRPr="008F715A">
        <w:rPr>
          <w:rFonts w:asciiTheme="minorHAnsi" w:hAnsiTheme="minorHAnsi" w:cs="Times New Roman"/>
          <w:color w:val="auto"/>
          <w:szCs w:val="24"/>
        </w:rPr>
        <w:t>ruck</w:t>
      </w:r>
      <w:proofErr w:type="spellEnd"/>
      <w:r w:rsidR="00FA2419" w:rsidRPr="008F715A">
        <w:rPr>
          <w:rFonts w:asciiTheme="minorHAnsi" w:hAnsiTheme="minorHAnsi" w:cs="Times New Roman"/>
          <w:color w:val="auto"/>
          <w:szCs w:val="24"/>
        </w:rPr>
        <w:t xml:space="preserve">, no run, no jump, walk for APFT.”  </w:t>
      </w:r>
      <w:r w:rsidR="00C6527A" w:rsidRPr="008F715A">
        <w:rPr>
          <w:rFonts w:asciiTheme="minorHAnsi" w:hAnsiTheme="minorHAnsi" w:cs="Times New Roman"/>
          <w:color w:val="auto"/>
          <w:szCs w:val="24"/>
        </w:rPr>
        <w:t xml:space="preserve">The commander’s statement addressed the chronic tibial stress fractures in addition to the right shoulder condition as interfering with the CI’s ability to </w:t>
      </w:r>
      <w:r w:rsidR="00AC6E05">
        <w:rPr>
          <w:rFonts w:asciiTheme="minorHAnsi" w:hAnsiTheme="minorHAnsi" w:cs="Times New Roman"/>
          <w:color w:val="auto"/>
          <w:szCs w:val="24"/>
        </w:rPr>
        <w:t>perform the tasks within his MOS</w:t>
      </w:r>
      <w:r w:rsidR="00C6527A" w:rsidRPr="008F715A">
        <w:rPr>
          <w:rFonts w:asciiTheme="minorHAnsi" w:hAnsiTheme="minorHAnsi" w:cs="Times New Roman"/>
          <w:color w:val="auto"/>
          <w:szCs w:val="24"/>
        </w:rPr>
        <w:t xml:space="preserve">.  </w:t>
      </w:r>
    </w:p>
    <w:p w:rsidR="00FA2419" w:rsidRPr="008F715A" w:rsidRDefault="00FA2419" w:rsidP="00182A4F">
      <w:pPr>
        <w:tabs>
          <w:tab w:val="left" w:pos="288"/>
          <w:tab w:val="left" w:pos="4752"/>
        </w:tabs>
        <w:jc w:val="both"/>
        <w:rPr>
          <w:rFonts w:asciiTheme="minorHAnsi" w:hAnsiTheme="minorHAnsi" w:cs="Times New Roman"/>
          <w:color w:val="auto"/>
          <w:szCs w:val="24"/>
        </w:rPr>
      </w:pPr>
    </w:p>
    <w:p w:rsidR="00940975" w:rsidRPr="008F715A" w:rsidRDefault="00182A4F" w:rsidP="00C2306B">
      <w:pPr>
        <w:tabs>
          <w:tab w:val="left" w:pos="288"/>
          <w:tab w:val="left" w:pos="4752"/>
        </w:tabs>
        <w:jc w:val="both"/>
        <w:rPr>
          <w:rFonts w:asciiTheme="minorHAnsi" w:hAnsiTheme="minorHAnsi" w:cs="Times New Roman"/>
          <w:color w:val="auto"/>
          <w:szCs w:val="24"/>
        </w:rPr>
      </w:pPr>
      <w:r w:rsidRPr="008F715A">
        <w:rPr>
          <w:rFonts w:asciiTheme="minorHAnsi" w:hAnsiTheme="minorHAnsi" w:cs="Times New Roman"/>
          <w:color w:val="auto"/>
          <w:szCs w:val="24"/>
        </w:rPr>
        <w:t>The military exams indicated tenderness of both anterior lower legs and slightly limited knee ROM of left 120</w:t>
      </w:r>
      <w:r w:rsidRPr="008F715A">
        <w:rPr>
          <w:rFonts w:eastAsiaTheme="minorHAnsi" w:cstheme="minorBidi"/>
          <w:color w:val="auto"/>
          <w:szCs w:val="24"/>
        </w:rPr>
        <w:t>⁰</w:t>
      </w:r>
      <w:r w:rsidRPr="008F715A">
        <w:rPr>
          <w:rFonts w:asciiTheme="minorHAnsi" w:hAnsiTheme="minorHAnsi" w:cs="Times New Roman"/>
          <w:color w:val="auto"/>
          <w:szCs w:val="24"/>
        </w:rPr>
        <w:t xml:space="preserve"> and right 130</w:t>
      </w:r>
      <w:r w:rsidRPr="008F715A">
        <w:rPr>
          <w:rFonts w:eastAsiaTheme="minorHAnsi" w:cstheme="minorBidi"/>
          <w:color w:val="auto"/>
          <w:szCs w:val="24"/>
        </w:rPr>
        <w:t>⁰ (normal 140⁰)</w:t>
      </w:r>
      <w:r w:rsidRPr="008F715A">
        <w:rPr>
          <w:rFonts w:asciiTheme="minorHAnsi" w:hAnsiTheme="minorHAnsi" w:cs="Times New Roman"/>
          <w:color w:val="auto"/>
          <w:szCs w:val="24"/>
        </w:rPr>
        <w:t xml:space="preserve"> with no knee joint pathology.  There was tenderness to the anterior tibial area bilaterally.  </w:t>
      </w:r>
      <w:r w:rsidR="008E2D9D" w:rsidRPr="008F715A">
        <w:rPr>
          <w:rFonts w:asciiTheme="minorHAnsi" w:hAnsiTheme="minorHAnsi" w:cs="Times New Roman"/>
          <w:color w:val="auto"/>
          <w:szCs w:val="24"/>
        </w:rPr>
        <w:t xml:space="preserve">The final diagnosis was chronic tibial stress fractures, bilateral and the examiner and MEB indicated the condition did not meet retention standards IAW AR 40-501.  The Board adjudged that there was sufficient reasonable doubt that the bilateral chronic tibial stress fractures, when unbundled from the shoulder condition, were unfitting and ratable.  </w:t>
      </w:r>
      <w:r w:rsidRPr="008F715A">
        <w:rPr>
          <w:rFonts w:asciiTheme="minorHAnsi" w:hAnsiTheme="minorHAnsi" w:cs="Times New Roman"/>
          <w:color w:val="auto"/>
          <w:szCs w:val="24"/>
        </w:rPr>
        <w:t xml:space="preserve">The VA exam </w:t>
      </w:r>
      <w:r w:rsidR="00AC6E05">
        <w:rPr>
          <w:rFonts w:asciiTheme="minorHAnsi" w:hAnsiTheme="minorHAnsi" w:cs="Times New Roman"/>
          <w:color w:val="auto"/>
          <w:szCs w:val="24"/>
        </w:rPr>
        <w:t xml:space="preserve">after separation </w:t>
      </w:r>
      <w:r w:rsidRPr="008F715A">
        <w:rPr>
          <w:rFonts w:asciiTheme="minorHAnsi" w:hAnsiTheme="minorHAnsi" w:cs="Times New Roman"/>
          <w:color w:val="auto"/>
          <w:szCs w:val="24"/>
        </w:rPr>
        <w:t>indicated the CI had “minimal symptoms unless he stands for prolonged periods of time or runs.”  Exam indicated only mild bilateral tenderness along the medial border of the distal third of the tibia.</w:t>
      </w:r>
      <w:r w:rsidR="008E2D9D" w:rsidRPr="008F715A">
        <w:rPr>
          <w:rFonts w:asciiTheme="minorHAnsi" w:hAnsiTheme="minorHAnsi" w:cs="Times New Roman"/>
          <w:color w:val="auto"/>
          <w:szCs w:val="24"/>
        </w:rPr>
        <w:t xml:space="preserve">  The VA diagnosis was “</w:t>
      </w:r>
      <w:r w:rsidR="00AC6E05">
        <w:rPr>
          <w:rFonts w:asciiTheme="minorHAnsi" w:hAnsiTheme="minorHAnsi" w:cs="Times New Roman"/>
          <w:color w:val="auto"/>
          <w:szCs w:val="24"/>
        </w:rPr>
        <w:t>h</w:t>
      </w:r>
      <w:r w:rsidR="008E2D9D" w:rsidRPr="008F715A">
        <w:rPr>
          <w:rFonts w:asciiTheme="minorHAnsi" w:hAnsiTheme="minorHAnsi" w:cs="Times New Roman"/>
          <w:color w:val="auto"/>
          <w:szCs w:val="24"/>
        </w:rPr>
        <w:t xml:space="preserve">istory of bilateral stress fractures, minimally symptomatic” and was adjudged as likely as not to be post-separation improvement.  </w:t>
      </w:r>
      <w:r w:rsidR="00940975" w:rsidRPr="008F715A">
        <w:rPr>
          <w:rFonts w:asciiTheme="minorHAnsi" w:hAnsiTheme="minorHAnsi" w:cs="Times New Roman"/>
          <w:color w:val="auto"/>
          <w:szCs w:val="24"/>
        </w:rPr>
        <w:t xml:space="preserve">There were no documented episodes of incapacitating exacerbations, and no specific ankle or knee painful motion, although knee ROM was slightly limited bilaterally with the left more limited than the right.  </w:t>
      </w:r>
      <w:r w:rsidR="008E2D9D" w:rsidRPr="008F715A">
        <w:rPr>
          <w:rFonts w:asciiTheme="minorHAnsi" w:hAnsiTheme="minorHAnsi" w:cs="Times New Roman"/>
          <w:color w:val="auto"/>
          <w:szCs w:val="24"/>
        </w:rPr>
        <w:t xml:space="preserve">As discussed above, the PEB </w:t>
      </w:r>
      <w:r w:rsidR="00940975" w:rsidRPr="008F715A">
        <w:rPr>
          <w:rFonts w:asciiTheme="minorHAnsi" w:hAnsiTheme="minorHAnsi" w:cs="Times New Roman"/>
          <w:color w:val="auto"/>
          <w:szCs w:val="24"/>
        </w:rPr>
        <w:t xml:space="preserve">bundled the bilateral tibial condition with the shoulder under coding of 5099-5003.  </w:t>
      </w:r>
      <w:r w:rsidR="008E2D9D" w:rsidRPr="008F715A">
        <w:rPr>
          <w:rFonts w:asciiTheme="minorHAnsi" w:hAnsiTheme="minorHAnsi" w:cs="Times New Roman"/>
          <w:color w:val="auto"/>
          <w:szCs w:val="24"/>
        </w:rPr>
        <w:t xml:space="preserve">The VA </w:t>
      </w:r>
      <w:r w:rsidR="00940975" w:rsidRPr="008F715A">
        <w:rPr>
          <w:rFonts w:asciiTheme="minorHAnsi" w:hAnsiTheme="minorHAnsi" w:cs="Times New Roman"/>
          <w:color w:val="auto"/>
          <w:szCs w:val="24"/>
        </w:rPr>
        <w:t>coding was analogous to 5262, Tibia and fibula, impairme</w:t>
      </w:r>
      <w:r w:rsidR="00514584">
        <w:rPr>
          <w:rFonts w:asciiTheme="minorHAnsi" w:hAnsiTheme="minorHAnsi" w:cs="Times New Roman"/>
          <w:color w:val="auto"/>
          <w:szCs w:val="24"/>
        </w:rPr>
        <w:t>nt of at 0% as not meeting the “slight knee or ankle disability”</w:t>
      </w:r>
      <w:r w:rsidR="00940975" w:rsidRPr="008F715A">
        <w:rPr>
          <w:rFonts w:asciiTheme="minorHAnsi" w:hAnsiTheme="minorHAnsi" w:cs="Times New Roman"/>
          <w:color w:val="auto"/>
          <w:szCs w:val="24"/>
        </w:rPr>
        <w:t xml:space="preserve"> 10% rating criteria.  The Board considered the multiple profile restrictions, bilateral tenderness, pain with running or prolonged standing, repeated abnormal imaging by bone scan and the tenants of §4.40 (functional loss) of impacting the normal working movements of the body with normal excursion, strength, speed, coordination and endurance.  </w:t>
      </w:r>
      <w:r w:rsidR="00B15637" w:rsidRPr="008F715A">
        <w:rPr>
          <w:rFonts w:asciiTheme="minorHAnsi" w:hAnsiTheme="minorHAnsi" w:cs="Times New Roman"/>
          <w:color w:val="auto"/>
          <w:szCs w:val="24"/>
        </w:rPr>
        <w:t>Neither the left or right tibial condition alone clearly rose to the “slight knee</w:t>
      </w:r>
      <w:r w:rsidR="00B15637" w:rsidRPr="008F715A">
        <w:rPr>
          <w:color w:val="auto"/>
        </w:rPr>
        <w:t xml:space="preserve"> or ankle disability” 10% rating level.  However, in totality, the CI’s bilateral tibial condition was best coded under 5262-502</w:t>
      </w:r>
      <w:r w:rsidR="00002292" w:rsidRPr="008F715A">
        <w:rPr>
          <w:color w:val="auto"/>
        </w:rPr>
        <w:t>2</w:t>
      </w:r>
      <w:r w:rsidR="00B15637" w:rsidRPr="008F715A">
        <w:rPr>
          <w:color w:val="auto"/>
        </w:rPr>
        <w:t xml:space="preserve"> (</w:t>
      </w:r>
      <w:proofErr w:type="spellStart"/>
      <w:r w:rsidR="00AC6E05">
        <w:rPr>
          <w:color w:val="auto"/>
        </w:rPr>
        <w:t>p</w:t>
      </w:r>
      <w:r w:rsidR="00B15637" w:rsidRPr="008F715A">
        <w:rPr>
          <w:color w:val="auto"/>
        </w:rPr>
        <w:t>eriostitis</w:t>
      </w:r>
      <w:proofErr w:type="spellEnd"/>
      <w:r w:rsidR="00B15637" w:rsidRPr="008F715A">
        <w:rPr>
          <w:color w:val="auto"/>
        </w:rPr>
        <w:t xml:space="preserve">) which uses the criteria of VASRD code 5003 and meets the 10% rating level based on the totality of the record.  </w:t>
      </w:r>
      <w:r w:rsidR="00940975" w:rsidRPr="008F715A">
        <w:rPr>
          <w:rFonts w:eastAsia="Calibri" w:cs="Times New Roman"/>
          <w:color w:val="auto"/>
          <w:szCs w:val="24"/>
        </w:rPr>
        <w:t>After due deliberation, considering all of the evidence and mindful of VASRD §4.3 (reasonable doubt) and §4.40 (functional loss),</w:t>
      </w:r>
      <w:r w:rsidR="00514584">
        <w:rPr>
          <w:rFonts w:eastAsia="Calibri" w:cs="Times New Roman"/>
          <w:color w:val="auto"/>
          <w:szCs w:val="24"/>
        </w:rPr>
        <w:t xml:space="preserve"> the Board recommends a </w:t>
      </w:r>
      <w:r w:rsidR="00940975" w:rsidRPr="008F715A">
        <w:rPr>
          <w:rFonts w:eastAsia="Calibri" w:cs="Times New Roman"/>
          <w:color w:val="auto"/>
          <w:szCs w:val="24"/>
        </w:rPr>
        <w:t xml:space="preserve">disability rating of 10% for the </w:t>
      </w:r>
      <w:r w:rsidR="00B15637" w:rsidRPr="008F715A">
        <w:rPr>
          <w:color w:val="auto"/>
          <w:szCs w:val="24"/>
        </w:rPr>
        <w:t xml:space="preserve">bilateral tibial </w:t>
      </w:r>
      <w:r w:rsidR="00940975" w:rsidRPr="008F715A">
        <w:rPr>
          <w:rFonts w:eastAsia="Calibri" w:cs="Times New Roman"/>
          <w:color w:val="auto"/>
          <w:szCs w:val="24"/>
        </w:rPr>
        <w:t>condition.</w:t>
      </w:r>
      <w:r w:rsidR="00A75785" w:rsidRPr="008F715A">
        <w:rPr>
          <w:rFonts w:eastAsia="Calibri" w:cs="Times New Roman"/>
          <w:color w:val="auto"/>
          <w:szCs w:val="24"/>
        </w:rPr>
        <w:t xml:space="preserve">  </w:t>
      </w:r>
    </w:p>
    <w:p w:rsidR="00B15637" w:rsidRPr="008F715A" w:rsidRDefault="00B15637" w:rsidP="00C2306B">
      <w:pPr>
        <w:jc w:val="both"/>
        <w:rPr>
          <w:rFonts w:eastAsia="HiddenHorzOCR"/>
          <w:color w:val="auto"/>
          <w:szCs w:val="24"/>
          <w:u w:val="single"/>
        </w:rPr>
      </w:pPr>
    </w:p>
    <w:p w:rsidR="00EC337D" w:rsidRPr="008F715A" w:rsidRDefault="00EC337D" w:rsidP="00C2306B">
      <w:pPr>
        <w:jc w:val="both"/>
        <w:rPr>
          <w:color w:val="auto"/>
          <w:szCs w:val="24"/>
        </w:rPr>
      </w:pPr>
      <w:proofErr w:type="gramStart"/>
      <w:r w:rsidRPr="008F715A">
        <w:rPr>
          <w:rFonts w:eastAsia="HiddenHorzOCR"/>
          <w:color w:val="auto"/>
          <w:szCs w:val="24"/>
          <w:u w:val="single"/>
        </w:rPr>
        <w:lastRenderedPageBreak/>
        <w:t>Other Contended Conditions</w:t>
      </w:r>
      <w:r w:rsidRPr="008F715A">
        <w:rPr>
          <w:rFonts w:eastAsia="HiddenHorzOCR"/>
          <w:color w:val="auto"/>
          <w:szCs w:val="24"/>
        </w:rPr>
        <w:t>.</w:t>
      </w:r>
      <w:proofErr w:type="gramEnd"/>
      <w:r w:rsidRPr="008F715A">
        <w:rPr>
          <w:rFonts w:eastAsia="HiddenHorzOCR"/>
          <w:color w:val="auto"/>
          <w:szCs w:val="24"/>
        </w:rPr>
        <w:t xml:space="preserve">  The CI’s application asserts that compensable ratings should be considered for </w:t>
      </w:r>
      <w:r w:rsidR="00694AF9" w:rsidRPr="008F715A">
        <w:rPr>
          <w:color w:val="auto"/>
          <w:szCs w:val="24"/>
        </w:rPr>
        <w:t>folliculitis barbae, a non-fungal rash, hypertension, and sleep disorder</w:t>
      </w:r>
      <w:r w:rsidRPr="008F715A">
        <w:rPr>
          <w:rFonts w:eastAsia="HiddenHorzOCR"/>
          <w:color w:val="auto"/>
          <w:szCs w:val="24"/>
        </w:rPr>
        <w:t>.  All</w:t>
      </w:r>
      <w:r w:rsidRPr="008F715A">
        <w:rPr>
          <w:color w:val="auto"/>
        </w:rPr>
        <w:t xml:space="preserve"> </w:t>
      </w:r>
      <w:r w:rsidRPr="008F715A">
        <w:rPr>
          <w:color w:val="auto"/>
          <w:szCs w:val="24"/>
        </w:rPr>
        <w:t xml:space="preserve">of these conditions were reviewed by the </w:t>
      </w:r>
      <w:r w:rsidR="0080588E" w:rsidRPr="008F715A">
        <w:rPr>
          <w:color w:val="auto"/>
          <w:szCs w:val="24"/>
        </w:rPr>
        <w:t xml:space="preserve">action officer </w:t>
      </w:r>
      <w:r w:rsidRPr="008F715A">
        <w:rPr>
          <w:color w:val="auto"/>
          <w:szCs w:val="24"/>
        </w:rPr>
        <w:t>and considered by the Board.  There was no evidence for concluding that any of the conditions interfered with duty performance to a degree that could be argued as unfitting.  The Board determined therefore that none of the sta</w:t>
      </w:r>
      <w:r w:rsidR="0028261C" w:rsidRPr="008F715A">
        <w:rPr>
          <w:color w:val="auto"/>
          <w:szCs w:val="24"/>
        </w:rPr>
        <w:t xml:space="preserve">ted conditions were subject to </w:t>
      </w:r>
      <w:r w:rsidRPr="008F715A">
        <w:rPr>
          <w:color w:val="auto"/>
          <w:szCs w:val="24"/>
        </w:rPr>
        <w:t>disability rating.</w:t>
      </w:r>
      <w:r w:rsidR="00002292" w:rsidRPr="008F715A">
        <w:rPr>
          <w:color w:val="auto"/>
          <w:szCs w:val="24"/>
        </w:rPr>
        <w:t xml:space="preserve">  </w:t>
      </w:r>
    </w:p>
    <w:p w:rsidR="00EC337D" w:rsidRPr="008F715A" w:rsidRDefault="00EC337D" w:rsidP="00C2306B">
      <w:pPr>
        <w:jc w:val="both"/>
        <w:rPr>
          <w:color w:val="auto"/>
          <w:szCs w:val="24"/>
        </w:rPr>
      </w:pPr>
    </w:p>
    <w:p w:rsidR="00F6196E" w:rsidRPr="008F715A" w:rsidRDefault="00F6196E" w:rsidP="00A75785">
      <w:pPr>
        <w:jc w:val="both"/>
        <w:rPr>
          <w:color w:val="auto"/>
          <w:szCs w:val="24"/>
        </w:rPr>
      </w:pPr>
      <w:r w:rsidRPr="008F715A">
        <w:rPr>
          <w:color w:val="auto"/>
          <w:szCs w:val="24"/>
          <w:u w:val="single"/>
        </w:rPr>
        <w:t>Remaining Conditions</w:t>
      </w:r>
      <w:r w:rsidRPr="008F715A">
        <w:rPr>
          <w:color w:val="auto"/>
          <w:szCs w:val="24"/>
        </w:rPr>
        <w:t xml:space="preserve">. </w:t>
      </w:r>
      <w:r w:rsidR="003C5B54" w:rsidRPr="008F715A">
        <w:rPr>
          <w:color w:val="auto"/>
          <w:szCs w:val="24"/>
        </w:rPr>
        <w:t xml:space="preserve"> </w:t>
      </w:r>
      <w:r w:rsidRPr="008F715A">
        <w:rPr>
          <w:color w:val="auto"/>
          <w:szCs w:val="24"/>
        </w:rPr>
        <w:t xml:space="preserve">No other </w:t>
      </w:r>
      <w:r w:rsidR="00C2306B" w:rsidRPr="008F715A">
        <w:rPr>
          <w:color w:val="auto"/>
          <w:szCs w:val="24"/>
        </w:rPr>
        <w:t xml:space="preserve">occupationally limiting </w:t>
      </w:r>
      <w:r w:rsidRPr="008F715A">
        <w:rPr>
          <w:color w:val="auto"/>
          <w:szCs w:val="24"/>
        </w:rPr>
        <w:t xml:space="preserve">conditions were noted in the NARSUM, identified by the CI on the MEB physical or found elsewhere in the DES file.  The Board does not have the authority under DoDI 6040.44 to render fitness or rating recommendations for any conditions not considered by the DES. </w:t>
      </w:r>
      <w:r w:rsidR="003C294B" w:rsidRPr="008F715A">
        <w:rPr>
          <w:color w:val="auto"/>
          <w:szCs w:val="24"/>
        </w:rPr>
        <w:t xml:space="preserve"> </w:t>
      </w:r>
      <w:r w:rsidR="00EB04C6" w:rsidRPr="008F715A">
        <w:rPr>
          <w:color w:val="auto"/>
          <w:szCs w:val="24"/>
        </w:rPr>
        <w:t>The Board therefore has no reasonable basis for recommending any additional unfitting conditions for separation rating.</w:t>
      </w:r>
      <w:r w:rsidR="00E641B5" w:rsidRPr="008F715A">
        <w:rPr>
          <w:color w:val="auto"/>
          <w:szCs w:val="24"/>
        </w:rPr>
        <w:t xml:space="preserve">  </w:t>
      </w:r>
    </w:p>
    <w:p w:rsidR="001031F4" w:rsidRPr="008F715A" w:rsidRDefault="001031F4" w:rsidP="00BF0E94">
      <w:pPr>
        <w:pBdr>
          <w:bottom w:val="single" w:sz="12" w:space="1" w:color="auto"/>
        </w:pBdr>
        <w:tabs>
          <w:tab w:val="left" w:pos="288"/>
          <w:tab w:val="left" w:pos="4752"/>
        </w:tabs>
        <w:jc w:val="both"/>
        <w:rPr>
          <w:color w:val="auto"/>
        </w:rPr>
      </w:pPr>
    </w:p>
    <w:p w:rsidR="00F1737C" w:rsidRPr="008F715A" w:rsidRDefault="00F1737C" w:rsidP="006364ED">
      <w:pPr>
        <w:jc w:val="left"/>
        <w:rPr>
          <w:color w:val="auto"/>
          <w:szCs w:val="24"/>
        </w:rPr>
      </w:pPr>
    </w:p>
    <w:p w:rsidR="003C53E8" w:rsidRPr="008F715A" w:rsidRDefault="00C56FC8" w:rsidP="00C2306B">
      <w:pPr>
        <w:jc w:val="both"/>
        <w:rPr>
          <w:rFonts w:asciiTheme="minorHAnsi" w:hAnsiTheme="minorHAnsi" w:cs="Times New Roman"/>
          <w:color w:val="auto"/>
          <w:szCs w:val="24"/>
        </w:rPr>
      </w:pPr>
      <w:r w:rsidRPr="008F715A">
        <w:rPr>
          <w:color w:val="auto"/>
          <w:szCs w:val="24"/>
          <w:u w:val="single"/>
        </w:rPr>
        <w:t>BOARD FINDINGS</w:t>
      </w:r>
      <w:r w:rsidRPr="008F715A">
        <w:rPr>
          <w:color w:val="auto"/>
          <w:szCs w:val="24"/>
        </w:rPr>
        <w:t>:</w:t>
      </w:r>
      <w:r w:rsidRPr="008F715A">
        <w:rPr>
          <w:rFonts w:eastAsia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8F715A">
        <w:rPr>
          <w:rFonts w:asciiTheme="minorHAnsi" w:eastAsiaTheme="minorHAnsi" w:hAnsiTheme="minorHAnsi" w:cs="Times New Roman"/>
          <w:color w:val="auto"/>
          <w:szCs w:val="24"/>
        </w:rPr>
        <w:t xml:space="preserve">. </w:t>
      </w:r>
      <w:r w:rsidR="00C2306B" w:rsidRPr="008F715A">
        <w:rPr>
          <w:rFonts w:asciiTheme="minorHAnsi" w:eastAsiaTheme="minorHAnsi" w:hAnsiTheme="minorHAnsi" w:cs="Times New Roman"/>
          <w:color w:val="auto"/>
          <w:szCs w:val="24"/>
        </w:rPr>
        <w:t xml:space="preserve"> </w:t>
      </w:r>
      <w:r w:rsidR="003C53E8" w:rsidRPr="008F715A">
        <w:rPr>
          <w:rFonts w:asciiTheme="minorHAnsi" w:eastAsiaTheme="minorHAnsi" w:hAnsiTheme="minorHAnsi" w:cs="Times New Roman"/>
          <w:color w:val="auto"/>
          <w:szCs w:val="24"/>
        </w:rPr>
        <w:t xml:space="preserve">As discussed above, PEB reliance on the USAPDA pain policy for rating </w:t>
      </w:r>
      <w:r w:rsidR="00E641B5" w:rsidRPr="008F715A">
        <w:rPr>
          <w:rFonts w:asciiTheme="minorHAnsi" w:eastAsiaTheme="minorHAnsi" w:hAnsiTheme="minorHAnsi" w:cs="Times New Roman"/>
          <w:color w:val="auto"/>
          <w:szCs w:val="24"/>
        </w:rPr>
        <w:t>all conditions</w:t>
      </w:r>
      <w:r w:rsidR="003C53E8" w:rsidRPr="008F715A">
        <w:rPr>
          <w:rFonts w:asciiTheme="minorHAnsi" w:eastAsiaTheme="minorHAnsi" w:hAnsiTheme="minorHAnsi" w:cs="Times New Roman"/>
          <w:color w:val="auto"/>
          <w:szCs w:val="24"/>
        </w:rPr>
        <w:t xml:space="preserve"> was operant in this case and the condition</w:t>
      </w:r>
      <w:r w:rsidR="00C2306B" w:rsidRPr="008F715A">
        <w:rPr>
          <w:rFonts w:asciiTheme="minorHAnsi" w:eastAsiaTheme="minorHAnsi" w:hAnsiTheme="minorHAnsi" w:cs="Times New Roman"/>
          <w:color w:val="auto"/>
          <w:szCs w:val="24"/>
        </w:rPr>
        <w:t>s</w:t>
      </w:r>
      <w:r w:rsidR="003C53E8" w:rsidRPr="008F715A">
        <w:rPr>
          <w:rFonts w:asciiTheme="minorHAnsi" w:eastAsiaTheme="minorHAnsi" w:hAnsiTheme="minorHAnsi" w:cs="Times New Roman"/>
          <w:color w:val="auto"/>
          <w:szCs w:val="24"/>
        </w:rPr>
        <w:t xml:space="preserve"> w</w:t>
      </w:r>
      <w:r w:rsidR="00C2306B" w:rsidRPr="008F715A">
        <w:rPr>
          <w:rFonts w:asciiTheme="minorHAnsi" w:eastAsiaTheme="minorHAnsi" w:hAnsiTheme="minorHAnsi" w:cs="Times New Roman"/>
          <w:color w:val="auto"/>
          <w:szCs w:val="24"/>
        </w:rPr>
        <w:t>ere</w:t>
      </w:r>
      <w:r w:rsidR="003C53E8" w:rsidRPr="008F715A">
        <w:rPr>
          <w:rFonts w:asciiTheme="minorHAnsi" w:eastAsiaTheme="minorHAnsi" w:hAnsiTheme="minorHAnsi" w:cs="Times New Roman"/>
          <w:color w:val="auto"/>
          <w:szCs w:val="24"/>
        </w:rPr>
        <w:t xml:space="preserve"> adjudicated independently of that policy by the Board. </w:t>
      </w:r>
      <w:r w:rsidR="00E641B5" w:rsidRPr="008F715A">
        <w:rPr>
          <w:rFonts w:asciiTheme="minorHAnsi" w:eastAsiaTheme="minorHAnsi" w:hAnsiTheme="minorHAnsi" w:cs="Times New Roman"/>
          <w:color w:val="auto"/>
          <w:szCs w:val="24"/>
        </w:rPr>
        <w:t xml:space="preserve"> </w:t>
      </w:r>
      <w:r w:rsidR="004A74C1" w:rsidRPr="008F715A">
        <w:rPr>
          <w:rFonts w:asciiTheme="minorHAnsi" w:eastAsiaTheme="minorHAnsi" w:hAnsiTheme="minorHAnsi" w:cs="Times New Roman"/>
          <w:color w:val="auto"/>
          <w:szCs w:val="24"/>
        </w:rPr>
        <w:t xml:space="preserve">In the matter of the </w:t>
      </w:r>
      <w:r w:rsidR="00002292" w:rsidRPr="008F715A">
        <w:rPr>
          <w:color w:val="auto"/>
          <w:szCs w:val="24"/>
        </w:rPr>
        <w:t>chronic right shoulder pain and bilateral tibial stress fractures condition</w:t>
      </w:r>
      <w:r w:rsidR="004A74C1" w:rsidRPr="008F715A">
        <w:rPr>
          <w:rFonts w:asciiTheme="minorHAnsi" w:eastAsiaTheme="minorHAnsi" w:hAnsiTheme="minorHAnsi" w:cs="Times New Roman"/>
          <w:color w:val="auto"/>
          <w:szCs w:val="24"/>
        </w:rPr>
        <w:t xml:space="preserve">, the Board unanimously recommends that it be rated for two separate unfitting conditions as follows: </w:t>
      </w:r>
      <w:r w:rsidR="00002292" w:rsidRPr="008F715A">
        <w:rPr>
          <w:rFonts w:asciiTheme="minorHAnsi" w:eastAsiaTheme="minorHAnsi" w:hAnsiTheme="minorHAnsi" w:cs="Times New Roman"/>
          <w:color w:val="auto"/>
          <w:szCs w:val="24"/>
        </w:rPr>
        <w:t xml:space="preserve">the right shoulder </w:t>
      </w:r>
      <w:r w:rsidR="004A74C1" w:rsidRPr="008F715A">
        <w:rPr>
          <w:rFonts w:asciiTheme="minorHAnsi" w:eastAsiaTheme="minorHAnsi" w:hAnsiTheme="minorHAnsi" w:cs="Times New Roman"/>
          <w:color w:val="auto"/>
          <w:szCs w:val="24"/>
        </w:rPr>
        <w:t xml:space="preserve">coded </w:t>
      </w:r>
      <w:r w:rsidR="00002292" w:rsidRPr="008F715A">
        <w:rPr>
          <w:rFonts w:asciiTheme="minorHAnsi" w:eastAsiaTheme="minorHAnsi" w:hAnsiTheme="minorHAnsi" w:cs="Times New Roman"/>
          <w:color w:val="auto"/>
          <w:szCs w:val="24"/>
        </w:rPr>
        <w:t>5099-5201</w:t>
      </w:r>
      <w:r w:rsidR="004A74C1" w:rsidRPr="008F715A">
        <w:rPr>
          <w:rFonts w:asciiTheme="minorHAnsi" w:eastAsiaTheme="minorHAnsi" w:hAnsiTheme="minorHAnsi" w:cs="Times New Roman"/>
          <w:color w:val="auto"/>
          <w:szCs w:val="24"/>
        </w:rPr>
        <w:t xml:space="preserve"> and rated </w:t>
      </w:r>
      <w:r w:rsidR="00002292" w:rsidRPr="008F715A">
        <w:rPr>
          <w:rFonts w:asciiTheme="minorHAnsi" w:eastAsiaTheme="minorHAnsi" w:hAnsiTheme="minorHAnsi" w:cs="Times New Roman"/>
          <w:color w:val="auto"/>
          <w:szCs w:val="24"/>
        </w:rPr>
        <w:t>2</w:t>
      </w:r>
      <w:r w:rsidR="004A74C1" w:rsidRPr="008F715A">
        <w:rPr>
          <w:rFonts w:asciiTheme="minorHAnsi" w:eastAsiaTheme="minorHAnsi" w:hAnsiTheme="minorHAnsi" w:cs="Times New Roman"/>
          <w:color w:val="auto"/>
          <w:szCs w:val="24"/>
        </w:rPr>
        <w:t xml:space="preserve">0%; and, </w:t>
      </w:r>
      <w:r w:rsidR="00002292" w:rsidRPr="008F715A">
        <w:rPr>
          <w:color w:val="auto"/>
          <w:szCs w:val="24"/>
        </w:rPr>
        <w:t xml:space="preserve">bilateral leg pain due to </w:t>
      </w:r>
      <w:r w:rsidR="00514584">
        <w:rPr>
          <w:color w:val="auto"/>
          <w:szCs w:val="24"/>
        </w:rPr>
        <w:t>t</w:t>
      </w:r>
      <w:r w:rsidR="00002292" w:rsidRPr="008F715A">
        <w:rPr>
          <w:color w:val="auto"/>
          <w:szCs w:val="24"/>
        </w:rPr>
        <w:t xml:space="preserve">ibial </w:t>
      </w:r>
      <w:r w:rsidR="00514584">
        <w:rPr>
          <w:color w:val="auto"/>
          <w:szCs w:val="24"/>
        </w:rPr>
        <w:t>s</w:t>
      </w:r>
      <w:r w:rsidR="00002292" w:rsidRPr="008F715A">
        <w:rPr>
          <w:color w:val="auto"/>
          <w:szCs w:val="24"/>
        </w:rPr>
        <w:t xml:space="preserve">tress </w:t>
      </w:r>
      <w:r w:rsidR="00514584">
        <w:rPr>
          <w:color w:val="auto"/>
          <w:szCs w:val="24"/>
        </w:rPr>
        <w:t>f</w:t>
      </w:r>
      <w:r w:rsidR="00002292" w:rsidRPr="008F715A">
        <w:rPr>
          <w:color w:val="auto"/>
          <w:szCs w:val="24"/>
        </w:rPr>
        <w:t>racture</w:t>
      </w:r>
      <w:r w:rsidR="004A74C1" w:rsidRPr="008F715A">
        <w:rPr>
          <w:rFonts w:asciiTheme="minorHAnsi" w:eastAsiaTheme="minorHAnsi" w:hAnsiTheme="minorHAnsi" w:cs="Times New Roman"/>
          <w:color w:val="auto"/>
          <w:szCs w:val="24"/>
        </w:rPr>
        <w:t xml:space="preserve"> coded </w:t>
      </w:r>
      <w:r w:rsidR="00002292" w:rsidRPr="008F715A">
        <w:rPr>
          <w:color w:val="auto"/>
        </w:rPr>
        <w:t>5262-5022</w:t>
      </w:r>
      <w:r w:rsidR="004A74C1" w:rsidRPr="008F715A">
        <w:rPr>
          <w:rFonts w:asciiTheme="minorHAnsi" w:eastAsiaTheme="minorHAnsi" w:hAnsiTheme="minorHAnsi" w:cs="Times New Roman"/>
          <w:color w:val="auto"/>
          <w:szCs w:val="24"/>
        </w:rPr>
        <w:t xml:space="preserve"> and rated </w:t>
      </w:r>
      <w:r w:rsidR="00002292" w:rsidRPr="008F715A">
        <w:rPr>
          <w:rFonts w:asciiTheme="minorHAnsi" w:eastAsiaTheme="minorHAnsi" w:hAnsiTheme="minorHAnsi" w:cs="Times New Roman"/>
          <w:color w:val="auto"/>
          <w:szCs w:val="24"/>
        </w:rPr>
        <w:t>1</w:t>
      </w:r>
      <w:r w:rsidR="004A74C1" w:rsidRPr="008F715A">
        <w:rPr>
          <w:rFonts w:asciiTheme="minorHAnsi" w:eastAsiaTheme="minorHAnsi" w:hAnsiTheme="minorHAnsi" w:cs="Times New Roman"/>
          <w:color w:val="auto"/>
          <w:szCs w:val="24"/>
        </w:rPr>
        <w:t xml:space="preserve">0%; both </w:t>
      </w:r>
      <w:r w:rsidR="004A74C1" w:rsidRPr="008F715A">
        <w:rPr>
          <w:rFonts w:asciiTheme="minorHAnsi" w:hAnsiTheme="minorHAnsi" w:cs="Times New Roman"/>
          <w:color w:val="auto"/>
          <w:szCs w:val="24"/>
        </w:rPr>
        <w:t xml:space="preserve">IAW VASRD §4.71a.  </w:t>
      </w:r>
      <w:r w:rsidR="003C53E8" w:rsidRPr="008F715A">
        <w:rPr>
          <w:rFonts w:asciiTheme="minorHAnsi" w:hAnsiTheme="minorHAnsi" w:cs="Times New Roman"/>
          <w:color w:val="auto"/>
          <w:szCs w:val="24"/>
        </w:rPr>
        <w:t xml:space="preserve">In the matter of the </w:t>
      </w:r>
      <w:r w:rsidR="00002292" w:rsidRPr="008F715A">
        <w:rPr>
          <w:color w:val="auto"/>
          <w:szCs w:val="24"/>
        </w:rPr>
        <w:t>folliculitis barbae, rash, hypertension, and sleep disorder</w:t>
      </w:r>
      <w:r w:rsidR="00002292" w:rsidRPr="008F715A">
        <w:rPr>
          <w:rFonts w:asciiTheme="minorHAnsi" w:eastAsiaTheme="minorHAnsi" w:hAnsiTheme="minorHAnsi" w:cs="Times New Roman"/>
          <w:color w:val="auto"/>
          <w:szCs w:val="24"/>
        </w:rPr>
        <w:t xml:space="preserve"> </w:t>
      </w:r>
      <w:r w:rsidR="003C53E8" w:rsidRPr="008F715A">
        <w:rPr>
          <w:rFonts w:asciiTheme="minorHAnsi" w:eastAsiaTheme="minorHAnsi" w:hAnsiTheme="minorHAnsi" w:cs="Times New Roman"/>
          <w:color w:val="auto"/>
          <w:szCs w:val="24"/>
        </w:rPr>
        <w:t>conditions</w:t>
      </w:r>
      <w:r w:rsidR="003C53E8" w:rsidRPr="008F715A">
        <w:rPr>
          <w:rFonts w:asciiTheme="minorHAnsi" w:hAnsiTheme="minorHAnsi" w:cs="Times New Roman"/>
          <w:color w:val="auto"/>
          <w:szCs w:val="24"/>
        </w:rPr>
        <w:t xml:space="preserve"> or any other medical conditions eligible for Board consideration; the Board unanimously agrees that it cannot recommend any findings of unfit for additional rating at separation.</w:t>
      </w:r>
      <w:r w:rsidR="007C21D5" w:rsidRPr="008F715A">
        <w:rPr>
          <w:rFonts w:asciiTheme="minorHAnsi" w:hAnsiTheme="minorHAnsi" w:cs="Times New Roman"/>
          <w:color w:val="auto"/>
          <w:szCs w:val="24"/>
        </w:rPr>
        <w:t xml:space="preserve">  </w:t>
      </w:r>
    </w:p>
    <w:p w:rsidR="00F1737C" w:rsidRPr="008F715A" w:rsidRDefault="00F1737C" w:rsidP="00BF0E94">
      <w:pPr>
        <w:pBdr>
          <w:bottom w:val="single" w:sz="12" w:space="1" w:color="auto"/>
        </w:pBdr>
        <w:tabs>
          <w:tab w:val="left" w:pos="288"/>
          <w:tab w:val="left" w:pos="4752"/>
        </w:tabs>
        <w:jc w:val="both"/>
        <w:rPr>
          <w:color w:val="auto"/>
        </w:rPr>
      </w:pPr>
    </w:p>
    <w:p w:rsidR="00F1737C" w:rsidRPr="008F715A" w:rsidRDefault="00F1737C" w:rsidP="006364ED">
      <w:pPr>
        <w:jc w:val="left"/>
        <w:rPr>
          <w:color w:val="auto"/>
          <w:szCs w:val="24"/>
        </w:rPr>
      </w:pPr>
    </w:p>
    <w:p w:rsidR="008208C3" w:rsidRPr="008F715A" w:rsidRDefault="00C56FC8" w:rsidP="007C21D5">
      <w:pPr>
        <w:jc w:val="both"/>
        <w:rPr>
          <w:color w:val="auto"/>
        </w:rPr>
      </w:pPr>
      <w:r w:rsidRPr="008F715A">
        <w:rPr>
          <w:color w:val="auto"/>
          <w:szCs w:val="24"/>
          <w:u w:val="single"/>
        </w:rPr>
        <w:t>RECOMMENDATION</w:t>
      </w:r>
      <w:r w:rsidRPr="008F715A">
        <w:rPr>
          <w:color w:val="auto"/>
          <w:szCs w:val="24"/>
        </w:rPr>
        <w:t>:</w:t>
      </w:r>
      <w:r w:rsidR="00002292" w:rsidRPr="008F715A">
        <w:rPr>
          <w:color w:val="auto"/>
        </w:rPr>
        <w:t xml:space="preserve">  </w:t>
      </w:r>
      <w:r w:rsidR="008208C3" w:rsidRPr="008F715A">
        <w:rPr>
          <w:color w:val="auto"/>
          <w:szCs w:val="24"/>
        </w:rPr>
        <w:t>The Board recommends that the CI’s prior determination be modified as follows and that the discharge with severance pay be recharacterized to reflect permanent disability retirement, effective as of the date of his</w:t>
      </w:r>
      <w:r w:rsidR="00911B11" w:rsidRPr="008F715A">
        <w:rPr>
          <w:color w:val="auto"/>
          <w:szCs w:val="24"/>
        </w:rPr>
        <w:t xml:space="preserve"> prior medical separation:</w:t>
      </w:r>
      <w:r w:rsidR="00002292" w:rsidRPr="008F715A">
        <w:rPr>
          <w:color w:val="auto"/>
          <w:szCs w:val="24"/>
        </w:rPr>
        <w:t xml:space="preserve">  </w:t>
      </w:r>
    </w:p>
    <w:p w:rsidR="00BA6A9C" w:rsidRPr="008F715A" w:rsidRDefault="00BA6A9C" w:rsidP="00BF0E94">
      <w:pPr>
        <w:tabs>
          <w:tab w:val="left" w:pos="288"/>
          <w:tab w:val="left" w:pos="4752"/>
        </w:tabs>
        <w:jc w:val="both"/>
        <w:rPr>
          <w:color w:val="auto"/>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8F715A" w:rsidTr="0080588E">
        <w:trPr>
          <w:trHeight w:val="233"/>
          <w:jc w:val="center"/>
        </w:trPr>
        <w:tc>
          <w:tcPr>
            <w:tcW w:w="6282" w:type="dxa"/>
            <w:shd w:val="clear" w:color="auto" w:fill="D9D9D9"/>
            <w:vAlign w:val="center"/>
          </w:tcPr>
          <w:p w:rsidR="00A95BBA" w:rsidRPr="008F715A" w:rsidRDefault="00A95BBA" w:rsidP="00BF0E94">
            <w:pPr>
              <w:tabs>
                <w:tab w:val="left" w:pos="288"/>
                <w:tab w:val="left" w:pos="4752"/>
              </w:tabs>
              <w:rPr>
                <w:b/>
                <w:color w:val="auto"/>
                <w:szCs w:val="24"/>
              </w:rPr>
            </w:pPr>
            <w:r w:rsidRPr="008F715A">
              <w:rPr>
                <w:b/>
                <w:color w:val="auto"/>
                <w:szCs w:val="24"/>
              </w:rPr>
              <w:t>UNFITTING CONDITION</w:t>
            </w:r>
          </w:p>
        </w:tc>
        <w:tc>
          <w:tcPr>
            <w:tcW w:w="1710" w:type="dxa"/>
            <w:shd w:val="clear" w:color="auto" w:fill="D9D9D9"/>
            <w:vAlign w:val="center"/>
          </w:tcPr>
          <w:p w:rsidR="00A95BBA" w:rsidRPr="008F715A" w:rsidRDefault="00A95BBA" w:rsidP="00BF0E94">
            <w:pPr>
              <w:tabs>
                <w:tab w:val="left" w:pos="288"/>
                <w:tab w:val="left" w:pos="4752"/>
              </w:tabs>
              <w:rPr>
                <w:b/>
                <w:color w:val="auto"/>
                <w:szCs w:val="24"/>
              </w:rPr>
            </w:pPr>
            <w:r w:rsidRPr="008F715A">
              <w:rPr>
                <w:b/>
                <w:color w:val="auto"/>
                <w:szCs w:val="24"/>
              </w:rPr>
              <w:t>VASRD CODE</w:t>
            </w:r>
          </w:p>
        </w:tc>
        <w:tc>
          <w:tcPr>
            <w:tcW w:w="1170" w:type="dxa"/>
            <w:shd w:val="clear" w:color="auto" w:fill="D9D9D9"/>
            <w:vAlign w:val="center"/>
          </w:tcPr>
          <w:p w:rsidR="00A95BBA" w:rsidRPr="008F715A" w:rsidRDefault="00A95BBA" w:rsidP="00BF0E94">
            <w:pPr>
              <w:tabs>
                <w:tab w:val="left" w:pos="288"/>
                <w:tab w:val="left" w:pos="4752"/>
              </w:tabs>
              <w:rPr>
                <w:b/>
                <w:color w:val="auto"/>
                <w:szCs w:val="24"/>
              </w:rPr>
            </w:pPr>
            <w:r w:rsidRPr="008F715A">
              <w:rPr>
                <w:b/>
                <w:color w:val="auto"/>
                <w:szCs w:val="24"/>
              </w:rPr>
              <w:t>RATING</w:t>
            </w:r>
          </w:p>
        </w:tc>
      </w:tr>
      <w:tr w:rsidR="00003D83" w:rsidRPr="008F715A" w:rsidTr="0080588E">
        <w:trPr>
          <w:jc w:val="center"/>
        </w:trPr>
        <w:tc>
          <w:tcPr>
            <w:tcW w:w="6282" w:type="dxa"/>
            <w:vAlign w:val="center"/>
          </w:tcPr>
          <w:p w:rsidR="00003D83" w:rsidRPr="008F715A" w:rsidRDefault="00003D83" w:rsidP="00003D83">
            <w:pPr>
              <w:tabs>
                <w:tab w:val="left" w:pos="288"/>
                <w:tab w:val="left" w:pos="4752"/>
              </w:tabs>
              <w:jc w:val="left"/>
              <w:rPr>
                <w:color w:val="auto"/>
                <w:szCs w:val="24"/>
              </w:rPr>
            </w:pPr>
            <w:r w:rsidRPr="008F715A">
              <w:rPr>
                <w:color w:val="auto"/>
                <w:szCs w:val="24"/>
              </w:rPr>
              <w:t>Right Shoulder Pain and Instability</w:t>
            </w:r>
          </w:p>
        </w:tc>
        <w:tc>
          <w:tcPr>
            <w:tcW w:w="1710" w:type="dxa"/>
            <w:vAlign w:val="center"/>
          </w:tcPr>
          <w:p w:rsidR="00003D83" w:rsidRPr="008F715A" w:rsidRDefault="00003D83" w:rsidP="00003D83">
            <w:pPr>
              <w:tabs>
                <w:tab w:val="left" w:pos="288"/>
                <w:tab w:val="left" w:pos="4752"/>
              </w:tabs>
              <w:rPr>
                <w:color w:val="auto"/>
                <w:szCs w:val="24"/>
              </w:rPr>
            </w:pPr>
            <w:r w:rsidRPr="008F715A">
              <w:rPr>
                <w:color w:val="auto"/>
                <w:szCs w:val="24"/>
              </w:rPr>
              <w:t>5099-5201</w:t>
            </w:r>
          </w:p>
        </w:tc>
        <w:tc>
          <w:tcPr>
            <w:tcW w:w="1170" w:type="dxa"/>
            <w:vAlign w:val="center"/>
          </w:tcPr>
          <w:p w:rsidR="00003D83" w:rsidRPr="008F715A" w:rsidRDefault="00003D83" w:rsidP="00003D83">
            <w:pPr>
              <w:tabs>
                <w:tab w:val="left" w:pos="288"/>
                <w:tab w:val="left" w:pos="4752"/>
              </w:tabs>
              <w:rPr>
                <w:color w:val="auto"/>
                <w:szCs w:val="24"/>
              </w:rPr>
            </w:pPr>
            <w:r w:rsidRPr="008F715A">
              <w:rPr>
                <w:color w:val="auto"/>
                <w:szCs w:val="24"/>
              </w:rPr>
              <w:t>20%</w:t>
            </w:r>
          </w:p>
        </w:tc>
      </w:tr>
      <w:tr w:rsidR="004A74C1" w:rsidRPr="008F715A" w:rsidTr="0080588E">
        <w:trPr>
          <w:jc w:val="center"/>
        </w:trPr>
        <w:tc>
          <w:tcPr>
            <w:tcW w:w="6282" w:type="dxa"/>
            <w:vAlign w:val="center"/>
          </w:tcPr>
          <w:p w:rsidR="004A74C1" w:rsidRPr="008F715A" w:rsidRDefault="00940975" w:rsidP="00940975">
            <w:pPr>
              <w:tabs>
                <w:tab w:val="left" w:pos="288"/>
                <w:tab w:val="left" w:pos="4752"/>
              </w:tabs>
              <w:jc w:val="left"/>
              <w:rPr>
                <w:color w:val="auto"/>
                <w:szCs w:val="24"/>
              </w:rPr>
            </w:pPr>
            <w:r w:rsidRPr="008F715A">
              <w:rPr>
                <w:color w:val="auto"/>
                <w:szCs w:val="24"/>
              </w:rPr>
              <w:t>Bilateral Tibial Stress Fracture,</w:t>
            </w:r>
            <w:r w:rsidRPr="008F715A">
              <w:rPr>
                <w:rFonts w:asciiTheme="minorHAnsi" w:hAnsiTheme="minorHAnsi" w:cs="Times New Roman"/>
                <w:color w:val="auto"/>
                <w:szCs w:val="24"/>
              </w:rPr>
              <w:t xml:space="preserve"> Chronic</w:t>
            </w:r>
          </w:p>
        </w:tc>
        <w:tc>
          <w:tcPr>
            <w:tcW w:w="1710" w:type="dxa"/>
            <w:vAlign w:val="center"/>
          </w:tcPr>
          <w:p w:rsidR="004A74C1" w:rsidRPr="008F715A" w:rsidRDefault="00002292" w:rsidP="00002292">
            <w:pPr>
              <w:tabs>
                <w:tab w:val="left" w:pos="288"/>
                <w:tab w:val="left" w:pos="4752"/>
              </w:tabs>
              <w:rPr>
                <w:color w:val="auto"/>
                <w:szCs w:val="24"/>
              </w:rPr>
            </w:pPr>
            <w:r w:rsidRPr="008F715A">
              <w:rPr>
                <w:color w:val="auto"/>
              </w:rPr>
              <w:t>5262-5022</w:t>
            </w:r>
          </w:p>
        </w:tc>
        <w:tc>
          <w:tcPr>
            <w:tcW w:w="1170" w:type="dxa"/>
            <w:vAlign w:val="center"/>
          </w:tcPr>
          <w:p w:rsidR="004A74C1" w:rsidRPr="008F715A" w:rsidRDefault="00940975" w:rsidP="00BF0E94">
            <w:pPr>
              <w:tabs>
                <w:tab w:val="left" w:pos="288"/>
                <w:tab w:val="left" w:pos="4752"/>
              </w:tabs>
              <w:rPr>
                <w:color w:val="auto"/>
                <w:szCs w:val="24"/>
              </w:rPr>
            </w:pPr>
            <w:r w:rsidRPr="008F715A">
              <w:rPr>
                <w:color w:val="auto"/>
                <w:szCs w:val="24"/>
              </w:rPr>
              <w:t>10%</w:t>
            </w:r>
          </w:p>
        </w:tc>
      </w:tr>
      <w:tr w:rsidR="00A95BBA" w:rsidRPr="008F715A"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8F715A" w:rsidRDefault="00A95BBA" w:rsidP="00BF0E94">
            <w:pPr>
              <w:tabs>
                <w:tab w:val="left" w:pos="288"/>
                <w:tab w:val="left" w:pos="4752"/>
              </w:tabs>
              <w:rPr>
                <w:b/>
                <w:color w:val="auto"/>
                <w:szCs w:val="24"/>
              </w:rPr>
            </w:pPr>
            <w:r w:rsidRPr="008F715A">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8F715A" w:rsidRDefault="00940975" w:rsidP="00BF0E94">
            <w:pPr>
              <w:tabs>
                <w:tab w:val="left" w:pos="288"/>
                <w:tab w:val="left" w:pos="4752"/>
              </w:tabs>
              <w:rPr>
                <w:b/>
                <w:color w:val="auto"/>
                <w:szCs w:val="24"/>
              </w:rPr>
            </w:pPr>
            <w:r w:rsidRPr="008F715A">
              <w:rPr>
                <w:b/>
                <w:color w:val="auto"/>
                <w:szCs w:val="24"/>
              </w:rPr>
              <w:t>3</w:t>
            </w:r>
            <w:r w:rsidR="00A95BBA" w:rsidRPr="008F715A">
              <w:rPr>
                <w:b/>
                <w:color w:val="auto"/>
                <w:szCs w:val="24"/>
              </w:rPr>
              <w:t>0%</w:t>
            </w:r>
          </w:p>
        </w:tc>
      </w:tr>
    </w:tbl>
    <w:p w:rsidR="00002292" w:rsidRPr="008F715A" w:rsidRDefault="00002292" w:rsidP="004A74C1">
      <w:pPr>
        <w:pBdr>
          <w:bottom w:val="single" w:sz="12" w:space="1" w:color="auto"/>
        </w:pBdr>
        <w:tabs>
          <w:tab w:val="left" w:pos="288"/>
          <w:tab w:val="left" w:pos="4752"/>
        </w:tabs>
        <w:jc w:val="both"/>
        <w:rPr>
          <w:color w:val="auto"/>
        </w:rPr>
      </w:pPr>
    </w:p>
    <w:p w:rsidR="005B1D09" w:rsidRPr="008F715A" w:rsidRDefault="005B1D09" w:rsidP="004A74C1">
      <w:pPr>
        <w:jc w:val="both"/>
        <w:rPr>
          <w:color w:val="auto"/>
          <w:szCs w:val="24"/>
        </w:rPr>
      </w:pPr>
    </w:p>
    <w:p w:rsidR="00D91DA6" w:rsidRPr="008F715A" w:rsidRDefault="00FB1725" w:rsidP="004A74C1">
      <w:pPr>
        <w:tabs>
          <w:tab w:val="left" w:pos="288"/>
          <w:tab w:val="left" w:pos="4752"/>
        </w:tabs>
        <w:jc w:val="both"/>
        <w:rPr>
          <w:color w:val="auto"/>
        </w:rPr>
      </w:pPr>
      <w:r w:rsidRPr="008F715A">
        <w:rPr>
          <w:color w:val="auto"/>
        </w:rPr>
        <w:t>The following documentary evidence was considered:</w:t>
      </w:r>
    </w:p>
    <w:p w:rsidR="00EB5EFD" w:rsidRPr="008F715A" w:rsidRDefault="00EB5EFD" w:rsidP="004A74C1">
      <w:pPr>
        <w:tabs>
          <w:tab w:val="left" w:pos="288"/>
          <w:tab w:val="left" w:pos="4752"/>
        </w:tabs>
        <w:jc w:val="both"/>
        <w:rPr>
          <w:color w:val="auto"/>
        </w:rPr>
      </w:pPr>
    </w:p>
    <w:p w:rsidR="00114F20" w:rsidRPr="008F715A" w:rsidRDefault="00FB1725" w:rsidP="004A74C1">
      <w:pPr>
        <w:tabs>
          <w:tab w:val="left" w:pos="288"/>
          <w:tab w:val="left" w:pos="4752"/>
        </w:tabs>
        <w:jc w:val="both"/>
        <w:rPr>
          <w:color w:val="auto"/>
        </w:rPr>
      </w:pPr>
      <w:r w:rsidRPr="008F715A">
        <w:rPr>
          <w:color w:val="auto"/>
        </w:rPr>
        <w:t xml:space="preserve">Exhibit A.  DD Form 294, </w:t>
      </w:r>
      <w:r w:rsidRPr="008F715A">
        <w:rPr>
          <w:color w:val="auto"/>
          <w:szCs w:val="24"/>
        </w:rPr>
        <w:t>dated 20</w:t>
      </w:r>
      <w:r w:rsidR="001215DF" w:rsidRPr="008F715A">
        <w:rPr>
          <w:color w:val="auto"/>
          <w:szCs w:val="24"/>
        </w:rPr>
        <w:t>1</w:t>
      </w:r>
      <w:r w:rsidR="00694AF9" w:rsidRPr="008F715A">
        <w:rPr>
          <w:color w:val="auto"/>
          <w:szCs w:val="24"/>
        </w:rPr>
        <w:t>10824</w:t>
      </w:r>
      <w:r w:rsidR="00514584">
        <w:rPr>
          <w:color w:val="auto"/>
        </w:rPr>
        <w:t>, w/atchs</w:t>
      </w:r>
    </w:p>
    <w:p w:rsidR="00114F20" w:rsidRPr="008F715A" w:rsidRDefault="00FB1725" w:rsidP="004A74C1">
      <w:pPr>
        <w:tabs>
          <w:tab w:val="left" w:pos="288"/>
          <w:tab w:val="left" w:pos="4752"/>
        </w:tabs>
        <w:jc w:val="both"/>
        <w:rPr>
          <w:color w:val="auto"/>
        </w:rPr>
      </w:pPr>
      <w:r w:rsidRPr="008F715A">
        <w:rPr>
          <w:color w:val="auto"/>
        </w:rPr>
        <w:t xml:space="preserve">Exhibit B.  </w:t>
      </w:r>
      <w:r w:rsidR="00514584">
        <w:rPr>
          <w:color w:val="auto"/>
        </w:rPr>
        <w:t>Service Treatment Record</w:t>
      </w:r>
    </w:p>
    <w:p w:rsidR="00114F20" w:rsidRPr="008F715A" w:rsidRDefault="00FB1725" w:rsidP="004A74C1">
      <w:pPr>
        <w:tabs>
          <w:tab w:val="left" w:pos="288"/>
          <w:tab w:val="left" w:pos="4752"/>
        </w:tabs>
        <w:jc w:val="both"/>
        <w:rPr>
          <w:color w:val="auto"/>
        </w:rPr>
      </w:pPr>
      <w:r w:rsidRPr="008F715A">
        <w:rPr>
          <w:color w:val="auto"/>
        </w:rPr>
        <w:t>Exhibit C.  Department of Veterans</w:t>
      </w:r>
      <w:r w:rsidR="00514584">
        <w:rPr>
          <w:color w:val="auto"/>
        </w:rPr>
        <w:t>’ Affairs Treatment Record</w:t>
      </w:r>
    </w:p>
    <w:p w:rsidR="00D91DA6" w:rsidRPr="008F715A" w:rsidRDefault="00D91DA6" w:rsidP="00BF0E94">
      <w:pPr>
        <w:tabs>
          <w:tab w:val="left" w:pos="288"/>
          <w:tab w:val="left" w:pos="4752"/>
        </w:tabs>
        <w:jc w:val="both"/>
        <w:rPr>
          <w:color w:val="auto"/>
        </w:rPr>
      </w:pPr>
    </w:p>
    <w:p w:rsidR="00114F20" w:rsidRPr="008F715A" w:rsidRDefault="00114F20" w:rsidP="00BF0E94">
      <w:pPr>
        <w:tabs>
          <w:tab w:val="left" w:pos="288"/>
          <w:tab w:val="left" w:pos="4752"/>
        </w:tabs>
        <w:jc w:val="both"/>
        <w:rPr>
          <w:color w:val="auto"/>
        </w:rPr>
      </w:pPr>
    </w:p>
    <w:p w:rsidR="00114F20" w:rsidRPr="008F715A" w:rsidRDefault="00114F20" w:rsidP="00BF0E94">
      <w:pPr>
        <w:tabs>
          <w:tab w:val="left" w:pos="288"/>
          <w:tab w:val="left" w:pos="4752"/>
        </w:tabs>
        <w:jc w:val="both"/>
        <w:rPr>
          <w:color w:val="auto"/>
        </w:rPr>
      </w:pPr>
    </w:p>
    <w:p w:rsidR="00114F20" w:rsidRPr="008F715A" w:rsidRDefault="00114F20" w:rsidP="00BF0E94">
      <w:pPr>
        <w:tabs>
          <w:tab w:val="left" w:pos="288"/>
          <w:tab w:val="left" w:pos="4752"/>
        </w:tabs>
        <w:jc w:val="both"/>
        <w:rPr>
          <w:color w:val="auto"/>
        </w:rPr>
      </w:pPr>
    </w:p>
    <w:p w:rsidR="00E3077F" w:rsidRPr="008F715A" w:rsidRDefault="00220FA9" w:rsidP="00BF0E94">
      <w:pPr>
        <w:tabs>
          <w:tab w:val="left" w:pos="0"/>
          <w:tab w:val="left" w:pos="4320"/>
        </w:tabs>
        <w:jc w:val="both"/>
        <w:rPr>
          <w:color w:val="auto"/>
          <w:szCs w:val="24"/>
        </w:rPr>
      </w:pPr>
      <w:r w:rsidRPr="008F715A">
        <w:rPr>
          <w:color w:val="auto"/>
          <w:szCs w:val="24"/>
        </w:rPr>
        <w:tab/>
      </w:r>
      <w:r w:rsidR="008E3C90" w:rsidRPr="008F715A">
        <w:rPr>
          <w:color w:val="auto"/>
          <w:szCs w:val="24"/>
        </w:rPr>
        <w:t xml:space="preserve">           </w:t>
      </w:r>
      <w:r w:rsidR="00565D98">
        <w:rPr>
          <w:color w:val="auto"/>
          <w:szCs w:val="24"/>
        </w:rPr>
        <w:t>XXXXXXXXXX</w:t>
      </w:r>
    </w:p>
    <w:p w:rsidR="002F195B" w:rsidRPr="008F715A" w:rsidRDefault="00220FA9" w:rsidP="00BF0E94">
      <w:pPr>
        <w:tabs>
          <w:tab w:val="left" w:pos="0"/>
          <w:tab w:val="left" w:pos="4320"/>
        </w:tabs>
        <w:jc w:val="both"/>
        <w:rPr>
          <w:color w:val="auto"/>
          <w:szCs w:val="24"/>
        </w:rPr>
      </w:pPr>
      <w:r w:rsidRPr="008F715A">
        <w:rPr>
          <w:color w:val="auto"/>
          <w:szCs w:val="24"/>
        </w:rPr>
        <w:tab/>
      </w:r>
      <w:r w:rsidR="008E3C90" w:rsidRPr="008F715A">
        <w:rPr>
          <w:color w:val="auto"/>
          <w:szCs w:val="24"/>
        </w:rPr>
        <w:t xml:space="preserve">           </w:t>
      </w:r>
      <w:r w:rsidR="005F73CA" w:rsidRPr="008F715A">
        <w:rPr>
          <w:color w:val="auto"/>
          <w:szCs w:val="24"/>
        </w:rPr>
        <w:t>President</w:t>
      </w:r>
    </w:p>
    <w:p w:rsidR="00565D98" w:rsidRDefault="002F195B" w:rsidP="00BF0E94">
      <w:pPr>
        <w:tabs>
          <w:tab w:val="left" w:pos="0"/>
          <w:tab w:val="left" w:pos="4320"/>
        </w:tabs>
        <w:jc w:val="both"/>
        <w:rPr>
          <w:color w:val="auto"/>
          <w:szCs w:val="24"/>
        </w:rPr>
      </w:pPr>
      <w:r w:rsidRPr="008F715A">
        <w:rPr>
          <w:color w:val="auto"/>
          <w:szCs w:val="24"/>
        </w:rPr>
        <w:tab/>
        <w:t xml:space="preserve">           </w:t>
      </w:r>
      <w:r w:rsidR="00220FA9" w:rsidRPr="008F715A">
        <w:rPr>
          <w:color w:val="auto"/>
          <w:szCs w:val="24"/>
        </w:rPr>
        <w:t>P</w:t>
      </w:r>
      <w:r w:rsidR="00E3077F" w:rsidRPr="008F715A">
        <w:rPr>
          <w:color w:val="auto"/>
          <w:szCs w:val="24"/>
        </w:rPr>
        <w:t>hysical Disability Board of Review</w:t>
      </w:r>
      <w:r w:rsidR="00633E29" w:rsidRPr="008F715A">
        <w:rPr>
          <w:color w:val="auto"/>
          <w:szCs w:val="24"/>
        </w:rPr>
        <w:t xml:space="preserve"> </w:t>
      </w:r>
    </w:p>
    <w:p w:rsidR="00565D98" w:rsidRDefault="00565D98">
      <w:pPr>
        <w:rPr>
          <w:color w:val="auto"/>
          <w:szCs w:val="24"/>
        </w:rPr>
      </w:pPr>
      <w:r>
        <w:rPr>
          <w:color w:val="auto"/>
          <w:szCs w:val="24"/>
        </w:rPr>
        <w:br w:type="page"/>
      </w:r>
    </w:p>
    <w:p w:rsidR="00565D98" w:rsidRDefault="00565D98" w:rsidP="00565D98">
      <w:pPr>
        <w:pStyle w:val="Header"/>
        <w:tabs>
          <w:tab w:val="left" w:pos="720"/>
        </w:tabs>
        <w:jc w:val="left"/>
      </w:pPr>
      <w:r>
        <w:lastRenderedPageBreak/>
        <w:t>SFMR-RB</w:t>
      </w:r>
      <w:r>
        <w:tab/>
      </w:r>
      <w:r>
        <w:tab/>
      </w:r>
      <w:r>
        <w:tab/>
      </w:r>
      <w:r>
        <w:tab/>
      </w:r>
      <w:r>
        <w:tab/>
      </w:r>
      <w:r>
        <w:tab/>
      </w:r>
      <w:r>
        <w:tab/>
      </w:r>
      <w:r>
        <w:tab/>
      </w:r>
      <w:r>
        <w:tab/>
      </w:r>
    </w:p>
    <w:p w:rsidR="00565D98" w:rsidRDefault="00565D98" w:rsidP="00565D98">
      <w:pPr>
        <w:pStyle w:val="Header"/>
        <w:tabs>
          <w:tab w:val="left" w:pos="720"/>
        </w:tabs>
        <w:jc w:val="left"/>
      </w:pPr>
    </w:p>
    <w:p w:rsidR="00565D98" w:rsidRDefault="00565D98" w:rsidP="00565D98">
      <w:pPr>
        <w:jc w:val="left"/>
      </w:pPr>
    </w:p>
    <w:p w:rsidR="00565D98" w:rsidRDefault="00565D98" w:rsidP="00565D98">
      <w:pPr>
        <w:jc w:val="left"/>
      </w:pPr>
      <w:r>
        <w:t xml:space="preserve">MEMORANDUM FOR Commander, US Army Physical Disability Agency </w:t>
      </w:r>
    </w:p>
    <w:p w:rsidR="00565D98" w:rsidRDefault="00565D98" w:rsidP="00565D98">
      <w:pPr>
        <w:jc w:val="left"/>
      </w:pPr>
      <w:r>
        <w:t xml:space="preserve">(TAPD-ZB /), 2900 Crystal Drive, Suite 300, Arlington, </w:t>
      </w:r>
      <w:proofErr w:type="gramStart"/>
      <w:r>
        <w:t>VA  222025001</w:t>
      </w:r>
      <w:proofErr w:type="gramEnd"/>
    </w:p>
    <w:p w:rsidR="00565D98" w:rsidRDefault="00565D98" w:rsidP="00565D98">
      <w:pPr>
        <w:jc w:val="left"/>
      </w:pPr>
    </w:p>
    <w:p w:rsidR="00565D98" w:rsidRDefault="00565D98" w:rsidP="00565D98">
      <w:pPr>
        <w:ind w:right="-180"/>
        <w:jc w:val="left"/>
      </w:pPr>
      <w:r>
        <w:t xml:space="preserve">SUBJECT:  Department of Defense Physical Disability Board of Review Recommendation </w:t>
      </w:r>
    </w:p>
    <w:p w:rsidR="00565D98" w:rsidRDefault="00565D98" w:rsidP="00565D98">
      <w:pPr>
        <w:pStyle w:val="Header"/>
        <w:tabs>
          <w:tab w:val="left" w:pos="720"/>
        </w:tabs>
        <w:jc w:val="left"/>
      </w:pPr>
      <w:proofErr w:type="gramStart"/>
      <w:r>
        <w:t>for</w:t>
      </w:r>
      <w:proofErr w:type="gramEnd"/>
      <w:r>
        <w:t xml:space="preserve"> XXXXXXXXXXXXX, AR20120008879 (PD201100699)</w:t>
      </w:r>
    </w:p>
    <w:p w:rsidR="00565D98" w:rsidRDefault="00565D98" w:rsidP="00565D98">
      <w:pPr>
        <w:pStyle w:val="Header"/>
        <w:tabs>
          <w:tab w:val="left" w:pos="720"/>
        </w:tabs>
        <w:jc w:val="left"/>
      </w:pPr>
    </w:p>
    <w:p w:rsidR="00565D98" w:rsidRDefault="00565D98" w:rsidP="00565D98">
      <w:pPr>
        <w:jc w:val="left"/>
      </w:pPr>
    </w:p>
    <w:p w:rsidR="00565D98" w:rsidRDefault="00565D98" w:rsidP="00565D98">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565D98" w:rsidRDefault="00565D98" w:rsidP="00565D98">
      <w:pPr>
        <w:jc w:val="left"/>
      </w:pPr>
    </w:p>
    <w:p w:rsidR="00565D98" w:rsidRDefault="00565D98" w:rsidP="00565D98">
      <w:pPr>
        <w:jc w:val="left"/>
      </w:pPr>
      <w:r>
        <w:t>2.  I direct that all the Department of the Army records of the individual concerned be corrected accordingly no later than 120 days from the date of this memorandum:</w:t>
      </w:r>
    </w:p>
    <w:p w:rsidR="00565D98" w:rsidRDefault="00565D98" w:rsidP="00565D98">
      <w:pPr>
        <w:jc w:val="left"/>
      </w:pPr>
    </w:p>
    <w:p w:rsidR="00565D98" w:rsidRDefault="00565D98" w:rsidP="00565D98">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565D98" w:rsidRDefault="00565D98" w:rsidP="00565D98">
      <w:pPr>
        <w:jc w:val="left"/>
      </w:pPr>
    </w:p>
    <w:p w:rsidR="00565D98" w:rsidRDefault="00565D98" w:rsidP="00565D98">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565D98" w:rsidRDefault="00565D98" w:rsidP="00565D98">
      <w:pPr>
        <w:jc w:val="left"/>
      </w:pPr>
    </w:p>
    <w:p w:rsidR="00565D98" w:rsidRDefault="00565D98" w:rsidP="00565D98">
      <w:pPr>
        <w:jc w:val="left"/>
      </w:pPr>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565D98" w:rsidRDefault="00565D98" w:rsidP="00565D98">
      <w:pPr>
        <w:jc w:val="left"/>
      </w:pPr>
    </w:p>
    <w:p w:rsidR="00565D98" w:rsidRDefault="00565D98" w:rsidP="00565D98">
      <w:pPr>
        <w:jc w:val="left"/>
      </w:pPr>
      <w:r>
        <w:tab/>
      </w:r>
      <w:proofErr w:type="gramStart"/>
      <w:r>
        <w:t>d.  Affording</w:t>
      </w:r>
      <w:proofErr w:type="gramEnd"/>
      <w:r>
        <w:t xml:space="preserve"> the individual the opportunity to elect Survivor Benefit Plan (SBP) and medical TRICARE retiree options.</w:t>
      </w:r>
    </w:p>
    <w:p w:rsidR="00565D98" w:rsidRDefault="00565D98" w:rsidP="00565D98">
      <w:pPr>
        <w:jc w:val="left"/>
      </w:pPr>
    </w:p>
    <w:p w:rsidR="00565D98" w:rsidRDefault="00565D98" w:rsidP="00565D98">
      <w:pPr>
        <w:jc w:val="left"/>
      </w:pPr>
    </w:p>
    <w:p w:rsidR="00565D98" w:rsidRDefault="00565D98" w:rsidP="00565D98">
      <w:pPr>
        <w:jc w:val="left"/>
      </w:pPr>
    </w:p>
    <w:p w:rsidR="00565D98" w:rsidRDefault="00565D98" w:rsidP="00565D98">
      <w:pPr>
        <w:jc w:val="left"/>
      </w:pPr>
    </w:p>
    <w:p w:rsidR="00565D98" w:rsidRDefault="00565D98" w:rsidP="00565D98">
      <w:pPr>
        <w:jc w:val="left"/>
      </w:pPr>
    </w:p>
    <w:p w:rsidR="00565D98" w:rsidRDefault="00565D98" w:rsidP="00565D98">
      <w:pPr>
        <w:jc w:val="left"/>
      </w:pPr>
    </w:p>
    <w:p w:rsidR="00565D98" w:rsidRDefault="00565D98" w:rsidP="00565D98">
      <w:pPr>
        <w:jc w:val="left"/>
      </w:pPr>
    </w:p>
    <w:p w:rsidR="00565D98" w:rsidRDefault="00565D98" w:rsidP="00565D98">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565D98" w:rsidRDefault="00565D98" w:rsidP="00565D98">
      <w:pPr>
        <w:jc w:val="left"/>
      </w:pPr>
    </w:p>
    <w:p w:rsidR="00565D98" w:rsidRDefault="00565D98" w:rsidP="00565D98">
      <w:pPr>
        <w:jc w:val="left"/>
      </w:pPr>
      <w:r>
        <w:t>BY ORDER OF THE SECRETARY OF THE ARMY:</w:t>
      </w:r>
    </w:p>
    <w:p w:rsidR="00565D98" w:rsidRDefault="00565D98" w:rsidP="00565D98">
      <w:pPr>
        <w:jc w:val="left"/>
      </w:pPr>
    </w:p>
    <w:p w:rsidR="00565D98" w:rsidRDefault="00565D98" w:rsidP="00565D98">
      <w:pPr>
        <w:jc w:val="left"/>
      </w:pPr>
    </w:p>
    <w:p w:rsidR="00565D98" w:rsidRDefault="00565D98" w:rsidP="00565D98">
      <w:pPr>
        <w:pStyle w:val="Header"/>
        <w:tabs>
          <w:tab w:val="left" w:pos="720"/>
        </w:tabs>
        <w:jc w:val="left"/>
      </w:pPr>
    </w:p>
    <w:p w:rsidR="00565D98" w:rsidRDefault="00565D98" w:rsidP="00565D98">
      <w:pPr>
        <w:jc w:val="left"/>
      </w:pPr>
    </w:p>
    <w:p w:rsidR="00565D98" w:rsidRDefault="00565D98" w:rsidP="00565D98">
      <w:pPr>
        <w:jc w:val="left"/>
      </w:pPr>
      <w:bookmarkStart w:id="0" w:name="OLE_LINK4"/>
      <w:bookmarkStart w:id="1" w:name="OLE_LINK3"/>
      <w:r>
        <w:t>Encl</w:t>
      </w:r>
      <w:r>
        <w:tab/>
      </w:r>
      <w:r>
        <w:tab/>
      </w:r>
      <w:r>
        <w:tab/>
      </w:r>
      <w:r>
        <w:tab/>
      </w:r>
      <w:r>
        <w:tab/>
      </w:r>
      <w:r>
        <w:tab/>
        <w:t xml:space="preserve">     XXXXXXXXXXXXX</w:t>
      </w:r>
    </w:p>
    <w:p w:rsidR="00565D98" w:rsidRDefault="00565D98" w:rsidP="00565D98">
      <w:pPr>
        <w:jc w:val="left"/>
      </w:pPr>
      <w:r>
        <w:tab/>
      </w:r>
      <w:r>
        <w:tab/>
      </w:r>
      <w:r>
        <w:tab/>
      </w:r>
      <w:r>
        <w:tab/>
      </w:r>
      <w:r>
        <w:tab/>
      </w:r>
      <w:r>
        <w:tab/>
        <w:t xml:space="preserve">     Deputy Assistant Secretary</w:t>
      </w:r>
    </w:p>
    <w:p w:rsidR="00565D98" w:rsidRDefault="00565D98" w:rsidP="00565D98">
      <w:pPr>
        <w:jc w:val="left"/>
      </w:pPr>
      <w:r>
        <w:tab/>
      </w:r>
      <w:r>
        <w:tab/>
      </w:r>
      <w:r>
        <w:tab/>
      </w:r>
      <w:r>
        <w:tab/>
      </w:r>
      <w:r>
        <w:tab/>
      </w:r>
      <w:r>
        <w:tab/>
        <w:t xml:space="preserve">         (Army Review Boards)</w:t>
      </w:r>
      <w:bookmarkEnd w:id="0"/>
      <w:bookmarkEnd w:id="1"/>
    </w:p>
    <w:p w:rsidR="00565D98" w:rsidRDefault="00565D98" w:rsidP="00565D98">
      <w:pPr>
        <w:jc w:val="left"/>
      </w:pPr>
    </w:p>
    <w:p w:rsidR="00565D98" w:rsidRDefault="00565D98" w:rsidP="00565D98">
      <w:pPr>
        <w:jc w:val="left"/>
      </w:pPr>
      <w:r>
        <w:t xml:space="preserve">CF: </w:t>
      </w:r>
    </w:p>
    <w:p w:rsidR="00565D98" w:rsidRDefault="00565D98" w:rsidP="00565D98">
      <w:pPr>
        <w:jc w:val="left"/>
      </w:pPr>
      <w:r>
        <w:t xml:space="preserve">(  ) </w:t>
      </w:r>
      <w:proofErr w:type="spellStart"/>
      <w:proofErr w:type="gramStart"/>
      <w:r>
        <w:t>DoD</w:t>
      </w:r>
      <w:proofErr w:type="spellEnd"/>
      <w:proofErr w:type="gramEnd"/>
      <w:r>
        <w:t xml:space="preserve"> PDBR</w:t>
      </w:r>
    </w:p>
    <w:p w:rsidR="00565D98" w:rsidRDefault="00565D98" w:rsidP="00565D98">
      <w:pPr>
        <w:jc w:val="left"/>
      </w:pPr>
      <w:r>
        <w:t>(  ) DVA</w:t>
      </w:r>
    </w:p>
    <w:p w:rsidR="00E3077F" w:rsidRPr="008F715A" w:rsidRDefault="00E3077F" w:rsidP="00565D98">
      <w:pPr>
        <w:tabs>
          <w:tab w:val="left" w:pos="0"/>
          <w:tab w:val="left" w:pos="4320"/>
        </w:tabs>
        <w:jc w:val="left"/>
        <w:rPr>
          <w:color w:val="auto"/>
          <w:szCs w:val="24"/>
        </w:rPr>
      </w:pPr>
    </w:p>
    <w:sectPr w:rsidR="00E3077F" w:rsidRPr="008F715A"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CCA" w:rsidRDefault="00073CCA">
      <w:r>
        <w:separator/>
      </w:r>
    </w:p>
  </w:endnote>
  <w:endnote w:type="continuationSeparator" w:id="0">
    <w:p w:rsidR="00073CCA" w:rsidRDefault="00073C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940975" w:rsidRPr="00374247" w:rsidRDefault="00940975" w:rsidP="00374247">
        <w:pPr>
          <w:pStyle w:val="Footer"/>
          <w:ind w:firstLine="4320"/>
          <w:rPr>
            <w:color w:val="auto"/>
            <w:szCs w:val="24"/>
          </w:rPr>
        </w:pPr>
        <w:r w:rsidRPr="00374247">
          <w:rPr>
            <w:color w:val="auto"/>
            <w:szCs w:val="24"/>
          </w:rPr>
          <w:t xml:space="preserve">   </w:t>
        </w:r>
        <w:r w:rsidR="000C334C" w:rsidRPr="00374247">
          <w:rPr>
            <w:color w:val="auto"/>
            <w:szCs w:val="24"/>
          </w:rPr>
          <w:fldChar w:fldCharType="begin"/>
        </w:r>
        <w:r w:rsidRPr="00374247">
          <w:rPr>
            <w:color w:val="auto"/>
            <w:szCs w:val="24"/>
          </w:rPr>
          <w:instrText xml:space="preserve"> PAGE   \* MERGEFORMAT </w:instrText>
        </w:r>
        <w:r w:rsidR="000C334C" w:rsidRPr="00374247">
          <w:rPr>
            <w:color w:val="auto"/>
            <w:szCs w:val="24"/>
          </w:rPr>
          <w:fldChar w:fldCharType="separate"/>
        </w:r>
        <w:r w:rsidR="00565D98" w:rsidRPr="00565D98">
          <w:rPr>
            <w:noProof/>
            <w:color w:val="auto"/>
          </w:rPr>
          <w:t>5</w:t>
        </w:r>
        <w:r w:rsidR="000C334C" w:rsidRPr="00374247">
          <w:rPr>
            <w:color w:val="auto"/>
            <w:szCs w:val="24"/>
          </w:rPr>
          <w:fldChar w:fldCharType="end"/>
        </w:r>
        <w:r w:rsidRPr="00374247">
          <w:rPr>
            <w:color w:val="auto"/>
            <w:szCs w:val="24"/>
          </w:rPr>
          <w:t xml:space="preserve">                                                           </w:t>
        </w:r>
        <w:r w:rsidRPr="001D64F3">
          <w:rPr>
            <w:color w:val="auto"/>
            <w:szCs w:val="24"/>
          </w:rPr>
          <w:t>PD1</w:t>
        </w:r>
        <w:r w:rsidRPr="00AF66D0">
          <w:rPr>
            <w:color w:val="auto"/>
            <w:szCs w:val="24"/>
          </w:rPr>
          <w:t>10</w:t>
        </w:r>
        <w:r w:rsidRPr="001D64F3">
          <w:rPr>
            <w:color w:val="auto"/>
            <w:szCs w:val="24"/>
          </w:rPr>
          <w:t>0</w:t>
        </w:r>
        <w:r>
          <w:rPr>
            <w:color w:val="auto"/>
            <w:szCs w:val="24"/>
          </w:rPr>
          <w:t>699</w:t>
        </w:r>
      </w:p>
    </w:sdtContent>
  </w:sdt>
  <w:p w:rsidR="00940975" w:rsidRPr="00684CE6" w:rsidRDefault="0094097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CCA" w:rsidRDefault="00073CCA">
      <w:r>
        <w:separator/>
      </w:r>
    </w:p>
  </w:footnote>
  <w:footnote w:type="continuationSeparator" w:id="0">
    <w:p w:rsidR="00073CCA" w:rsidRDefault="00073C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7825"/>
  </w:hdrShapeDefaults>
  <w:footnotePr>
    <w:numRestart w:val="eachSect"/>
    <w:footnote w:id="-1"/>
    <w:footnote w:id="0"/>
  </w:footnotePr>
  <w:endnotePr>
    <w:endnote w:id="-1"/>
    <w:endnote w:id="0"/>
  </w:endnotePr>
  <w:compat/>
  <w:rsids>
    <w:rsidRoot w:val="001C28D1"/>
    <w:rsid w:val="00002292"/>
    <w:rsid w:val="000024F5"/>
    <w:rsid w:val="00003D83"/>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1ED1"/>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0E8"/>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CCA"/>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34C"/>
    <w:rsid w:val="000C3C13"/>
    <w:rsid w:val="000C4D5F"/>
    <w:rsid w:val="000C53F9"/>
    <w:rsid w:val="000C5813"/>
    <w:rsid w:val="000C714C"/>
    <w:rsid w:val="000C7161"/>
    <w:rsid w:val="000C75CF"/>
    <w:rsid w:val="000C7B83"/>
    <w:rsid w:val="000C7DE4"/>
    <w:rsid w:val="000D044D"/>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1D23"/>
    <w:rsid w:val="0012220B"/>
    <w:rsid w:val="00122ABE"/>
    <w:rsid w:val="001231DC"/>
    <w:rsid w:val="0012453A"/>
    <w:rsid w:val="0012489B"/>
    <w:rsid w:val="001272AE"/>
    <w:rsid w:val="00130006"/>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2751"/>
    <w:rsid w:val="001732C4"/>
    <w:rsid w:val="001745DD"/>
    <w:rsid w:val="00174FDE"/>
    <w:rsid w:val="00174FE3"/>
    <w:rsid w:val="00176D63"/>
    <w:rsid w:val="00177659"/>
    <w:rsid w:val="001779E5"/>
    <w:rsid w:val="00180826"/>
    <w:rsid w:val="00181240"/>
    <w:rsid w:val="00182A4C"/>
    <w:rsid w:val="00182A4F"/>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1D58"/>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017"/>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E74CF"/>
    <w:rsid w:val="001F0297"/>
    <w:rsid w:val="001F29F9"/>
    <w:rsid w:val="001F6E0B"/>
    <w:rsid w:val="00200AA0"/>
    <w:rsid w:val="00202325"/>
    <w:rsid w:val="00202736"/>
    <w:rsid w:val="00203652"/>
    <w:rsid w:val="00204562"/>
    <w:rsid w:val="00205B4F"/>
    <w:rsid w:val="002060B6"/>
    <w:rsid w:val="002066B5"/>
    <w:rsid w:val="0020673C"/>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0BF3"/>
    <w:rsid w:val="0024162D"/>
    <w:rsid w:val="0024174E"/>
    <w:rsid w:val="00242238"/>
    <w:rsid w:val="0024227D"/>
    <w:rsid w:val="00242D14"/>
    <w:rsid w:val="002432E7"/>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1886"/>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8F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2D10"/>
    <w:rsid w:val="00373F64"/>
    <w:rsid w:val="00374247"/>
    <w:rsid w:val="00374EA1"/>
    <w:rsid w:val="0037520D"/>
    <w:rsid w:val="00375724"/>
    <w:rsid w:val="00375809"/>
    <w:rsid w:val="00375CF1"/>
    <w:rsid w:val="00376237"/>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324"/>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6BFF"/>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5F95"/>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0517"/>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32F4"/>
    <w:rsid w:val="004761CC"/>
    <w:rsid w:val="004766C9"/>
    <w:rsid w:val="00480D4A"/>
    <w:rsid w:val="00481DA1"/>
    <w:rsid w:val="00482A7F"/>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4C1"/>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141"/>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3A7B"/>
    <w:rsid w:val="00514449"/>
    <w:rsid w:val="00514584"/>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65D98"/>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57A4"/>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7F1"/>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8FA"/>
    <w:rsid w:val="00615A66"/>
    <w:rsid w:val="00616959"/>
    <w:rsid w:val="0062036E"/>
    <w:rsid w:val="006211D0"/>
    <w:rsid w:val="00621595"/>
    <w:rsid w:val="0062359D"/>
    <w:rsid w:val="00623634"/>
    <w:rsid w:val="00624D0C"/>
    <w:rsid w:val="00626A0F"/>
    <w:rsid w:val="006274B4"/>
    <w:rsid w:val="006307BA"/>
    <w:rsid w:val="006315BA"/>
    <w:rsid w:val="00633E29"/>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633"/>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466"/>
    <w:rsid w:val="006937C6"/>
    <w:rsid w:val="00693C5E"/>
    <w:rsid w:val="00693CEE"/>
    <w:rsid w:val="00694AF9"/>
    <w:rsid w:val="00694EEA"/>
    <w:rsid w:val="006955B4"/>
    <w:rsid w:val="00695DEF"/>
    <w:rsid w:val="00696476"/>
    <w:rsid w:val="006965EA"/>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27E5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0E52"/>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8717D"/>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1D5"/>
    <w:rsid w:val="007C238B"/>
    <w:rsid w:val="007C2802"/>
    <w:rsid w:val="007C2F23"/>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49C8"/>
    <w:rsid w:val="0080064F"/>
    <w:rsid w:val="008012AC"/>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274D"/>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6EE0"/>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1F43"/>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2D9D"/>
    <w:rsid w:val="008E30D4"/>
    <w:rsid w:val="008E38B0"/>
    <w:rsid w:val="008E3C90"/>
    <w:rsid w:val="008E4A60"/>
    <w:rsid w:val="008E744D"/>
    <w:rsid w:val="008F1E08"/>
    <w:rsid w:val="008F30F4"/>
    <w:rsid w:val="008F58E1"/>
    <w:rsid w:val="008F6E05"/>
    <w:rsid w:val="008F6FC8"/>
    <w:rsid w:val="008F715A"/>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0975"/>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165"/>
    <w:rsid w:val="009E4C9B"/>
    <w:rsid w:val="009E4DFC"/>
    <w:rsid w:val="009E5789"/>
    <w:rsid w:val="009E57B1"/>
    <w:rsid w:val="009E6379"/>
    <w:rsid w:val="009F020F"/>
    <w:rsid w:val="009F1D30"/>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EF7"/>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785"/>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6E05"/>
    <w:rsid w:val="00AC713F"/>
    <w:rsid w:val="00AC7329"/>
    <w:rsid w:val="00AC7D96"/>
    <w:rsid w:val="00AD00E4"/>
    <w:rsid w:val="00AD067E"/>
    <w:rsid w:val="00AD168B"/>
    <w:rsid w:val="00AD1B4E"/>
    <w:rsid w:val="00AD2801"/>
    <w:rsid w:val="00AD3496"/>
    <w:rsid w:val="00AD426A"/>
    <w:rsid w:val="00AD49A1"/>
    <w:rsid w:val="00AD4F6F"/>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6D0"/>
    <w:rsid w:val="00AF6ECC"/>
    <w:rsid w:val="00B02145"/>
    <w:rsid w:val="00B022DC"/>
    <w:rsid w:val="00B04562"/>
    <w:rsid w:val="00B0472F"/>
    <w:rsid w:val="00B06930"/>
    <w:rsid w:val="00B0773A"/>
    <w:rsid w:val="00B07955"/>
    <w:rsid w:val="00B1176B"/>
    <w:rsid w:val="00B140B8"/>
    <w:rsid w:val="00B1473A"/>
    <w:rsid w:val="00B14FAA"/>
    <w:rsid w:val="00B15637"/>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1E0B"/>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837"/>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1559"/>
    <w:rsid w:val="00BF19E2"/>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06B"/>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27A"/>
    <w:rsid w:val="00C65414"/>
    <w:rsid w:val="00C665FE"/>
    <w:rsid w:val="00C71BEC"/>
    <w:rsid w:val="00C73942"/>
    <w:rsid w:val="00C73A83"/>
    <w:rsid w:val="00C74D3A"/>
    <w:rsid w:val="00C75F3D"/>
    <w:rsid w:val="00C80511"/>
    <w:rsid w:val="00C80655"/>
    <w:rsid w:val="00C81937"/>
    <w:rsid w:val="00C826F5"/>
    <w:rsid w:val="00C82BEF"/>
    <w:rsid w:val="00C830AA"/>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4FA7"/>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08"/>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56DF"/>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4D4A"/>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10"/>
    <w:rsid w:val="00DB0359"/>
    <w:rsid w:val="00DB0ABB"/>
    <w:rsid w:val="00DB1D01"/>
    <w:rsid w:val="00DB1DF6"/>
    <w:rsid w:val="00DB2AAD"/>
    <w:rsid w:val="00DB44E2"/>
    <w:rsid w:val="00DB4A6D"/>
    <w:rsid w:val="00DB5941"/>
    <w:rsid w:val="00DB626D"/>
    <w:rsid w:val="00DB6365"/>
    <w:rsid w:val="00DB756C"/>
    <w:rsid w:val="00DC07B7"/>
    <w:rsid w:val="00DC0BF1"/>
    <w:rsid w:val="00DC1607"/>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3CC"/>
    <w:rsid w:val="00E40478"/>
    <w:rsid w:val="00E405EA"/>
    <w:rsid w:val="00E408B7"/>
    <w:rsid w:val="00E412EB"/>
    <w:rsid w:val="00E41637"/>
    <w:rsid w:val="00E42789"/>
    <w:rsid w:val="00E43F59"/>
    <w:rsid w:val="00E464F0"/>
    <w:rsid w:val="00E46EF3"/>
    <w:rsid w:val="00E47370"/>
    <w:rsid w:val="00E473E9"/>
    <w:rsid w:val="00E47B47"/>
    <w:rsid w:val="00E50BEB"/>
    <w:rsid w:val="00E520B7"/>
    <w:rsid w:val="00E53460"/>
    <w:rsid w:val="00E548FA"/>
    <w:rsid w:val="00E55CD9"/>
    <w:rsid w:val="00E57703"/>
    <w:rsid w:val="00E57ED4"/>
    <w:rsid w:val="00E57FED"/>
    <w:rsid w:val="00E6092F"/>
    <w:rsid w:val="00E61EE9"/>
    <w:rsid w:val="00E62049"/>
    <w:rsid w:val="00E629DA"/>
    <w:rsid w:val="00E63D2C"/>
    <w:rsid w:val="00E641B5"/>
    <w:rsid w:val="00E64374"/>
    <w:rsid w:val="00E6451F"/>
    <w:rsid w:val="00E6469F"/>
    <w:rsid w:val="00E6546A"/>
    <w:rsid w:val="00E65C05"/>
    <w:rsid w:val="00E65D39"/>
    <w:rsid w:val="00E670F8"/>
    <w:rsid w:val="00E6741B"/>
    <w:rsid w:val="00E67A89"/>
    <w:rsid w:val="00E67FAC"/>
    <w:rsid w:val="00E70164"/>
    <w:rsid w:val="00E71485"/>
    <w:rsid w:val="00E7200B"/>
    <w:rsid w:val="00E735D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518C"/>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CD4"/>
    <w:rsid w:val="00EB5EFD"/>
    <w:rsid w:val="00EB679F"/>
    <w:rsid w:val="00EB76E4"/>
    <w:rsid w:val="00EC0E65"/>
    <w:rsid w:val="00EC1251"/>
    <w:rsid w:val="00EC2938"/>
    <w:rsid w:val="00EC337D"/>
    <w:rsid w:val="00EC38EF"/>
    <w:rsid w:val="00EC50C9"/>
    <w:rsid w:val="00EC58B4"/>
    <w:rsid w:val="00EC5BB2"/>
    <w:rsid w:val="00EC684D"/>
    <w:rsid w:val="00EC75AF"/>
    <w:rsid w:val="00ED12F0"/>
    <w:rsid w:val="00ED2874"/>
    <w:rsid w:val="00ED290C"/>
    <w:rsid w:val="00ED2A6C"/>
    <w:rsid w:val="00ED4386"/>
    <w:rsid w:val="00ED4773"/>
    <w:rsid w:val="00ED5284"/>
    <w:rsid w:val="00ED664B"/>
    <w:rsid w:val="00ED6A61"/>
    <w:rsid w:val="00ED768E"/>
    <w:rsid w:val="00ED7DA4"/>
    <w:rsid w:val="00EE03BB"/>
    <w:rsid w:val="00EE0552"/>
    <w:rsid w:val="00EE0B44"/>
    <w:rsid w:val="00EE125D"/>
    <w:rsid w:val="00EE23DE"/>
    <w:rsid w:val="00EE476A"/>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190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3784"/>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338E"/>
    <w:rsid w:val="00F83873"/>
    <w:rsid w:val="00F853AE"/>
    <w:rsid w:val="00F908D5"/>
    <w:rsid w:val="00F913B9"/>
    <w:rsid w:val="00F93C74"/>
    <w:rsid w:val="00F93DCC"/>
    <w:rsid w:val="00F9435D"/>
    <w:rsid w:val="00F966F9"/>
    <w:rsid w:val="00F96F61"/>
    <w:rsid w:val="00F97740"/>
    <w:rsid w:val="00FA0C8F"/>
    <w:rsid w:val="00FA2419"/>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565D98"/>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84883701">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24610759">
      <w:bodyDiv w:val="1"/>
      <w:marLeft w:val="0"/>
      <w:marRight w:val="0"/>
      <w:marTop w:val="0"/>
      <w:marBottom w:val="0"/>
      <w:divBdr>
        <w:top w:val="none" w:sz="0" w:space="0" w:color="auto"/>
        <w:left w:val="none" w:sz="0" w:space="0" w:color="auto"/>
        <w:bottom w:val="none" w:sz="0" w:space="0" w:color="auto"/>
        <w:right w:val="none" w:sz="0" w:space="0" w:color="auto"/>
      </w:divBdr>
      <w:divsChild>
        <w:div w:id="26761362">
          <w:marLeft w:val="0"/>
          <w:marRight w:val="0"/>
          <w:marTop w:val="0"/>
          <w:marBottom w:val="0"/>
          <w:divBdr>
            <w:top w:val="none" w:sz="0" w:space="0" w:color="auto"/>
            <w:left w:val="none" w:sz="0" w:space="0" w:color="auto"/>
            <w:bottom w:val="none" w:sz="0" w:space="0" w:color="auto"/>
            <w:right w:val="none" w:sz="0" w:space="0" w:color="auto"/>
          </w:divBdr>
          <w:divsChild>
            <w:div w:id="11310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49363474">
      <w:bodyDiv w:val="1"/>
      <w:marLeft w:val="0"/>
      <w:marRight w:val="0"/>
      <w:marTop w:val="0"/>
      <w:marBottom w:val="0"/>
      <w:divBdr>
        <w:top w:val="none" w:sz="0" w:space="0" w:color="auto"/>
        <w:left w:val="none" w:sz="0" w:space="0" w:color="auto"/>
        <w:bottom w:val="none" w:sz="0" w:space="0" w:color="auto"/>
        <w:right w:val="none" w:sz="0" w:space="0" w:color="auto"/>
      </w:divBdr>
      <w:divsChild>
        <w:div w:id="1966345430">
          <w:marLeft w:val="0"/>
          <w:marRight w:val="0"/>
          <w:marTop w:val="0"/>
          <w:marBottom w:val="0"/>
          <w:divBdr>
            <w:top w:val="none" w:sz="0" w:space="0" w:color="auto"/>
            <w:left w:val="none" w:sz="0" w:space="0" w:color="auto"/>
            <w:bottom w:val="none" w:sz="0" w:space="0" w:color="auto"/>
            <w:right w:val="none" w:sz="0" w:space="0" w:color="auto"/>
          </w:divBdr>
          <w:divsChild>
            <w:div w:id="904418593">
              <w:marLeft w:val="0"/>
              <w:marRight w:val="0"/>
              <w:marTop w:val="0"/>
              <w:marBottom w:val="0"/>
              <w:divBdr>
                <w:top w:val="none" w:sz="0" w:space="0" w:color="auto"/>
                <w:left w:val="none" w:sz="0" w:space="0" w:color="auto"/>
                <w:bottom w:val="none" w:sz="0" w:space="0" w:color="auto"/>
                <w:right w:val="none" w:sz="0" w:space="0" w:color="auto"/>
              </w:divBdr>
              <w:divsChild>
                <w:div w:id="772746181">
                  <w:marLeft w:val="0"/>
                  <w:marRight w:val="0"/>
                  <w:marTop w:val="0"/>
                  <w:marBottom w:val="0"/>
                  <w:divBdr>
                    <w:top w:val="none" w:sz="0" w:space="0" w:color="auto"/>
                    <w:left w:val="none" w:sz="0" w:space="0" w:color="auto"/>
                    <w:bottom w:val="none" w:sz="0" w:space="0" w:color="auto"/>
                    <w:right w:val="none" w:sz="0" w:space="0" w:color="auto"/>
                  </w:divBdr>
                  <w:divsChild>
                    <w:div w:id="419520046">
                      <w:marLeft w:val="0"/>
                      <w:marRight w:val="0"/>
                      <w:marTop w:val="0"/>
                      <w:marBottom w:val="85"/>
                      <w:divBdr>
                        <w:top w:val="none" w:sz="0" w:space="0" w:color="auto"/>
                        <w:left w:val="none" w:sz="0" w:space="0" w:color="auto"/>
                        <w:bottom w:val="none" w:sz="0" w:space="0" w:color="auto"/>
                        <w:right w:val="none" w:sz="0" w:space="0" w:color="auto"/>
                      </w:divBdr>
                      <w:divsChild>
                        <w:div w:id="4373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43952302">
      <w:bodyDiv w:val="1"/>
      <w:marLeft w:val="0"/>
      <w:marRight w:val="0"/>
      <w:marTop w:val="0"/>
      <w:marBottom w:val="0"/>
      <w:divBdr>
        <w:top w:val="none" w:sz="0" w:space="0" w:color="auto"/>
        <w:left w:val="none" w:sz="0" w:space="0" w:color="auto"/>
        <w:bottom w:val="none" w:sz="0" w:space="0" w:color="auto"/>
        <w:right w:val="none" w:sz="0" w:space="0" w:color="auto"/>
      </w:divBdr>
      <w:divsChild>
        <w:div w:id="1957826774">
          <w:marLeft w:val="0"/>
          <w:marRight w:val="0"/>
          <w:marTop w:val="0"/>
          <w:marBottom w:val="0"/>
          <w:divBdr>
            <w:top w:val="none" w:sz="0" w:space="0" w:color="auto"/>
            <w:left w:val="none" w:sz="0" w:space="0" w:color="auto"/>
            <w:bottom w:val="none" w:sz="0" w:space="0" w:color="auto"/>
            <w:right w:val="none" w:sz="0" w:space="0" w:color="auto"/>
          </w:divBdr>
          <w:divsChild>
            <w:div w:id="83232121">
              <w:marLeft w:val="0"/>
              <w:marRight w:val="0"/>
              <w:marTop w:val="0"/>
              <w:marBottom w:val="0"/>
              <w:divBdr>
                <w:top w:val="none" w:sz="0" w:space="0" w:color="auto"/>
                <w:left w:val="none" w:sz="0" w:space="0" w:color="auto"/>
                <w:bottom w:val="none" w:sz="0" w:space="0" w:color="auto"/>
                <w:right w:val="none" w:sz="0" w:space="0" w:color="auto"/>
              </w:divBdr>
              <w:divsChild>
                <w:div w:id="1508249611">
                  <w:marLeft w:val="0"/>
                  <w:marRight w:val="0"/>
                  <w:marTop w:val="0"/>
                  <w:marBottom w:val="0"/>
                  <w:divBdr>
                    <w:top w:val="none" w:sz="0" w:space="0" w:color="auto"/>
                    <w:left w:val="none" w:sz="0" w:space="0" w:color="auto"/>
                    <w:bottom w:val="none" w:sz="0" w:space="0" w:color="auto"/>
                    <w:right w:val="none" w:sz="0" w:space="0" w:color="auto"/>
                  </w:divBdr>
                  <w:divsChild>
                    <w:div w:id="3753684">
                      <w:marLeft w:val="0"/>
                      <w:marRight w:val="0"/>
                      <w:marTop w:val="0"/>
                      <w:marBottom w:val="0"/>
                      <w:divBdr>
                        <w:top w:val="none" w:sz="0" w:space="0" w:color="auto"/>
                        <w:left w:val="none" w:sz="0" w:space="0" w:color="auto"/>
                        <w:bottom w:val="none" w:sz="0" w:space="0" w:color="auto"/>
                        <w:right w:val="none" w:sz="0" w:space="0" w:color="auto"/>
                      </w:divBdr>
                      <w:divsChild>
                        <w:div w:id="137040667">
                          <w:marLeft w:val="0"/>
                          <w:marRight w:val="0"/>
                          <w:marTop w:val="0"/>
                          <w:marBottom w:val="0"/>
                          <w:divBdr>
                            <w:top w:val="none" w:sz="0" w:space="0" w:color="auto"/>
                            <w:left w:val="none" w:sz="0" w:space="0" w:color="auto"/>
                            <w:bottom w:val="none" w:sz="0" w:space="0" w:color="auto"/>
                            <w:right w:val="none" w:sz="0" w:space="0" w:color="auto"/>
                          </w:divBdr>
                        </w:div>
                        <w:div w:id="2101753446">
                          <w:marLeft w:val="0"/>
                          <w:marRight w:val="0"/>
                          <w:marTop w:val="0"/>
                          <w:marBottom w:val="0"/>
                          <w:divBdr>
                            <w:top w:val="none" w:sz="0" w:space="0" w:color="auto"/>
                            <w:left w:val="none" w:sz="0" w:space="0" w:color="auto"/>
                            <w:bottom w:val="none" w:sz="0" w:space="0" w:color="auto"/>
                            <w:right w:val="none" w:sz="0" w:space="0" w:color="auto"/>
                          </w:divBdr>
                        </w:div>
                        <w:div w:id="1978871957">
                          <w:marLeft w:val="0"/>
                          <w:marRight w:val="0"/>
                          <w:marTop w:val="0"/>
                          <w:marBottom w:val="0"/>
                          <w:divBdr>
                            <w:top w:val="none" w:sz="0" w:space="0" w:color="auto"/>
                            <w:left w:val="none" w:sz="0" w:space="0" w:color="auto"/>
                            <w:bottom w:val="none" w:sz="0" w:space="0" w:color="auto"/>
                            <w:right w:val="none" w:sz="0" w:space="0" w:color="auto"/>
                          </w:divBdr>
                        </w:div>
                        <w:div w:id="12809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8C699-B48A-4347-8395-54B20FA5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2548</Words>
  <Characters>14487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2012-05-08T14:36:00Z</cp:lastPrinted>
  <dcterms:created xsi:type="dcterms:W3CDTF">2012-05-31T16:20:00Z</dcterms:created>
  <dcterms:modified xsi:type="dcterms:W3CDTF">2012-05-31T16:20:00Z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