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8E34A5">
      <w:pPr>
        <w:tabs>
          <w:tab w:val="left" w:pos="288"/>
          <w:tab w:val="left" w:pos="4752"/>
          <w:tab w:val="left" w:pos="6390"/>
        </w:tabs>
        <w:jc w:val="both"/>
        <w:rPr>
          <w:caps/>
          <w:color w:val="000000" w:themeColor="text1"/>
        </w:rPr>
      </w:pPr>
      <w:r w:rsidRPr="001F29F9">
        <w:rPr>
          <w:caps/>
          <w:color w:val="000000" w:themeColor="text1"/>
        </w:rPr>
        <w:t xml:space="preserve">NAME:  </w:t>
      </w:r>
      <w:r w:rsidR="008E34A5">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3C53E8">
        <w:rPr>
          <w:caps/>
          <w:color w:val="000000" w:themeColor="text1"/>
        </w:rPr>
        <w:tab/>
      </w:r>
      <w:r w:rsidR="007E124B">
        <w:rPr>
          <w:caps/>
          <w:color w:val="000000" w:themeColor="text1"/>
        </w:rPr>
        <w:t xml:space="preserve">             </w:t>
      </w:r>
      <w:r w:rsidR="00DA6E40">
        <w:rPr>
          <w:caps/>
          <w:color w:val="000000" w:themeColor="text1"/>
        </w:rPr>
        <w:t xml:space="preserve">   </w:t>
      </w:r>
      <w:r w:rsidRPr="001F29F9">
        <w:rPr>
          <w:caps/>
          <w:color w:val="000000" w:themeColor="text1"/>
        </w:rPr>
        <w:t>BRANCH OF SERVICE</w:t>
      </w:r>
      <w:r w:rsidRPr="007E124B">
        <w:rPr>
          <w:caps/>
          <w:color w:val="000000" w:themeColor="text1"/>
        </w:rPr>
        <w:t xml:space="preserve">: </w:t>
      </w:r>
      <w:r w:rsidR="004C24C5" w:rsidRPr="007E124B">
        <w:rPr>
          <w:caps/>
          <w:color w:val="000000" w:themeColor="text1"/>
        </w:rPr>
        <w:t xml:space="preserve"> </w:t>
      </w:r>
      <w:r w:rsidR="007E124B" w:rsidRPr="007E124B">
        <w:rPr>
          <w:caps/>
          <w:color w:val="000000" w:themeColor="text1"/>
        </w:rPr>
        <w:t>MARINE CORPS</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7E124B">
        <w:rPr>
          <w:caps/>
          <w:color w:val="000000" w:themeColor="text1"/>
        </w:rPr>
        <w:t>00687</w:t>
      </w:r>
      <w:r w:rsidR="007E124B">
        <w:rPr>
          <w:color w:val="000000" w:themeColor="text1"/>
        </w:rPr>
        <w:t xml:space="preserve"> </w:t>
      </w:r>
      <w:r w:rsidR="00DE3AAD" w:rsidRPr="001F29F9">
        <w:rPr>
          <w:color w:val="000000" w:themeColor="text1"/>
        </w:rPr>
        <w:t xml:space="preserve">         </w:t>
      </w:r>
      <w:r w:rsidR="00E0346A" w:rsidRPr="001F29F9">
        <w:rPr>
          <w:color w:val="000000" w:themeColor="text1"/>
        </w:rPr>
        <w:t xml:space="preserve">                    </w:t>
      </w:r>
      <w:r w:rsidR="007E124B">
        <w:rPr>
          <w:color w:val="000000" w:themeColor="text1"/>
        </w:rPr>
        <w:t xml:space="preserve">                </w:t>
      </w:r>
      <w:r w:rsidR="007119EA">
        <w:rPr>
          <w:color w:val="000000" w:themeColor="text1"/>
        </w:rPr>
        <w:t xml:space="preserve"> </w:t>
      </w:r>
      <w:r w:rsidR="00ED0A3B">
        <w:rPr>
          <w:color w:val="000000" w:themeColor="text1"/>
        </w:rPr>
        <w:t xml:space="preserve"> </w:t>
      </w:r>
      <w:r w:rsidR="008B0FDA">
        <w:rPr>
          <w:color w:val="000000" w:themeColor="text1"/>
        </w:rPr>
        <w:t xml:space="preserve">   </w:t>
      </w:r>
      <w:r w:rsidR="00ED0A3B">
        <w:rPr>
          <w:color w:val="000000" w:themeColor="text1"/>
        </w:rPr>
        <w:t xml:space="preserve">  </w:t>
      </w:r>
      <w:r w:rsidR="00DE3AAD" w:rsidRPr="001F29F9">
        <w:rPr>
          <w:color w:val="000000" w:themeColor="text1"/>
        </w:rPr>
        <w:t>SEPARATION DATE:  200</w:t>
      </w:r>
      <w:r w:rsidR="007E124B">
        <w:rPr>
          <w:color w:val="000000" w:themeColor="text1"/>
        </w:rPr>
        <w:t>90429</w:t>
      </w:r>
    </w:p>
    <w:p w:rsidR="003C53E8" w:rsidRDefault="004F3639" w:rsidP="00DA6E40">
      <w:pPr>
        <w:tabs>
          <w:tab w:val="left" w:pos="288"/>
          <w:tab w:val="left" w:pos="5130"/>
        </w:tabs>
        <w:jc w:val="both"/>
        <w:rPr>
          <w:color w:val="000000" w:themeColor="text1"/>
        </w:rPr>
      </w:pPr>
      <w:r w:rsidRPr="001F29F9">
        <w:rPr>
          <w:caps/>
          <w:color w:val="000000" w:themeColor="text1"/>
        </w:rPr>
        <w:t>BOARD DATE:  201</w:t>
      </w:r>
      <w:r w:rsidR="007119EA">
        <w:rPr>
          <w:caps/>
          <w:color w:val="000000" w:themeColor="text1"/>
        </w:rPr>
        <w:t>20730</w:t>
      </w:r>
      <w:r w:rsidR="00DA6E40">
        <w:rPr>
          <w:caps/>
          <w:color w:val="000000" w:themeColor="text1"/>
        </w:rPr>
        <w:t xml:space="preserve">  </w:t>
      </w:r>
    </w:p>
    <w:p w:rsidR="00F73FF8" w:rsidRPr="001F29F9" w:rsidRDefault="00F73FF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F39FD" w:rsidRPr="001F29F9" w:rsidRDefault="00FB0E80" w:rsidP="002F39FD">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D43AC0">
        <w:rPr>
          <w:color w:val="000000" w:themeColor="text1"/>
          <w:szCs w:val="24"/>
        </w:rPr>
        <w:t>LCpl</w:t>
      </w:r>
      <w:r w:rsidR="00661BA2" w:rsidRPr="001F29F9">
        <w:rPr>
          <w:color w:val="000000" w:themeColor="text1"/>
          <w:szCs w:val="24"/>
        </w:rPr>
        <w:t>/E-</w:t>
      </w:r>
      <w:r w:rsidR="00C35BBA">
        <w:rPr>
          <w:color w:val="000000" w:themeColor="text1"/>
          <w:szCs w:val="24"/>
        </w:rPr>
        <w:t>3</w:t>
      </w:r>
      <w:r w:rsidR="00705C40" w:rsidRPr="001F29F9">
        <w:rPr>
          <w:color w:val="000000" w:themeColor="text1"/>
          <w:szCs w:val="24"/>
        </w:rPr>
        <w:t xml:space="preserve"> (</w:t>
      </w:r>
      <w:r w:rsidR="00C35BBA">
        <w:rPr>
          <w:color w:val="000000" w:themeColor="text1"/>
          <w:szCs w:val="24"/>
        </w:rPr>
        <w:t>0311</w:t>
      </w:r>
      <w:r w:rsidR="00C75F3D" w:rsidRPr="001F29F9">
        <w:rPr>
          <w:color w:val="000000" w:themeColor="text1"/>
          <w:szCs w:val="24"/>
        </w:rPr>
        <w:t xml:space="preserve"> / </w:t>
      </w:r>
      <w:r w:rsidR="00C35BBA">
        <w:rPr>
          <w:color w:val="000000" w:themeColor="text1"/>
          <w:szCs w:val="24"/>
        </w:rPr>
        <w:t>Rifleman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097B5C">
        <w:rPr>
          <w:color w:val="000000" w:themeColor="text1"/>
          <w:szCs w:val="24"/>
        </w:rPr>
        <w:t>a lower back condition (</w:t>
      </w:r>
      <w:r w:rsidR="00D43AC0">
        <w:rPr>
          <w:color w:val="000000" w:themeColor="text1"/>
          <w:szCs w:val="24"/>
        </w:rPr>
        <w:t xml:space="preserve">status post (s/p) fusion </w:t>
      </w:r>
      <w:r w:rsidR="00D43AC0" w:rsidRPr="000109B6">
        <w:rPr>
          <w:color w:val="000000" w:themeColor="text1"/>
          <w:szCs w:val="24"/>
        </w:rPr>
        <w:t>L4-5 and L5-S1 for HNP</w:t>
      </w:r>
      <w:r w:rsidR="00097B5C" w:rsidRPr="000109B6">
        <w:rPr>
          <w:color w:val="000000" w:themeColor="text1"/>
          <w:szCs w:val="24"/>
        </w:rPr>
        <w:t>)</w:t>
      </w:r>
      <w:r w:rsidR="00D43AC0" w:rsidRPr="000109B6">
        <w:rPr>
          <w:color w:val="000000" w:themeColor="text1"/>
          <w:szCs w:val="24"/>
        </w:rPr>
        <w:t xml:space="preserve">.  </w:t>
      </w:r>
      <w:r w:rsidR="00187BD8" w:rsidRPr="000109B6">
        <w:rPr>
          <w:color w:val="000000" w:themeColor="text1"/>
          <w:szCs w:val="24"/>
        </w:rPr>
        <w:t xml:space="preserve">The CI </w:t>
      </w:r>
      <w:r w:rsidR="009B3862" w:rsidRPr="000109B6">
        <w:rPr>
          <w:color w:val="000000" w:themeColor="text1"/>
          <w:szCs w:val="24"/>
        </w:rPr>
        <w:t xml:space="preserve">was involved in a motor vehicle </w:t>
      </w:r>
      <w:r w:rsidR="00187BD8" w:rsidRPr="000109B6">
        <w:rPr>
          <w:color w:val="000000" w:themeColor="text1"/>
          <w:szCs w:val="24"/>
        </w:rPr>
        <w:t xml:space="preserve">crash in May 2007 </w:t>
      </w:r>
      <w:r w:rsidR="009B3862" w:rsidRPr="000109B6">
        <w:rPr>
          <w:color w:val="000000" w:themeColor="text1"/>
          <w:szCs w:val="24"/>
        </w:rPr>
        <w:t xml:space="preserve">where he sustained an L2 wedge compression fracture </w:t>
      </w:r>
      <w:r w:rsidR="00187BD8" w:rsidRPr="000109B6">
        <w:rPr>
          <w:color w:val="000000" w:themeColor="text1"/>
          <w:szCs w:val="24"/>
        </w:rPr>
        <w:t>multi-level lower back herniated discs (HNP)</w:t>
      </w:r>
      <w:r w:rsidR="009B3862" w:rsidRPr="000109B6">
        <w:rPr>
          <w:color w:val="000000" w:themeColor="text1"/>
          <w:szCs w:val="24"/>
        </w:rPr>
        <w:t>.  He was initially treated with a brace</w:t>
      </w:r>
      <w:r w:rsidR="00172700" w:rsidRPr="000109B6">
        <w:rPr>
          <w:color w:val="000000" w:themeColor="text1"/>
          <w:szCs w:val="24"/>
        </w:rPr>
        <w:t xml:space="preserve">, physical therapy and epidural steroids.  In May 2008, he underwent a laminectomy with posterior interbody fusions using cages, screws and rods, but he continued to have low back pain and stiffness.  </w:t>
      </w:r>
      <w:r w:rsidR="004044AE" w:rsidRPr="000109B6">
        <w:rPr>
          <w:color w:val="000000" w:themeColor="text1"/>
          <w:szCs w:val="24"/>
        </w:rPr>
        <w:t>He did not respond adequately to treatment and was unable to perform within his Military Occupational Specialty (MOS) or meet physical fitness standards.  He was placed on limited duty and underwent a Medical Evaluation</w:t>
      </w:r>
      <w:r w:rsidR="004044AE" w:rsidRPr="002F39FD">
        <w:rPr>
          <w:color w:val="000000" w:themeColor="text1"/>
          <w:szCs w:val="24"/>
        </w:rPr>
        <w:t xml:space="preserve"> Board (MEB).  “Nonallopathic lesions of lumbar region, not elsewhere classified; unspecified orthopedic </w:t>
      </w:r>
      <w:r w:rsidR="004044AE" w:rsidRPr="000109B6">
        <w:rPr>
          <w:color w:val="000000" w:themeColor="text1"/>
          <w:szCs w:val="24"/>
        </w:rPr>
        <w:t xml:space="preserve">aftercare and lumbago” were forwarded to the Physical Evaluation Board (PEB) as medically unacceptable IAW SECNAVINST 1850.4E.  </w:t>
      </w:r>
      <w:r w:rsidR="000109B6" w:rsidRPr="000109B6">
        <w:rPr>
          <w:color w:val="000000" w:themeColor="text1"/>
          <w:szCs w:val="24"/>
        </w:rPr>
        <w:t>Only lower spine</w:t>
      </w:r>
      <w:r w:rsidR="004044AE" w:rsidRPr="000109B6">
        <w:rPr>
          <w:color w:val="000000" w:themeColor="text1"/>
          <w:szCs w:val="24"/>
        </w:rPr>
        <w:t xml:space="preserve"> conditions appeared on the MEB’s submission.  The PEB adjudicated the </w:t>
      </w:r>
      <w:r w:rsidR="00187BD8" w:rsidRPr="000109B6">
        <w:rPr>
          <w:color w:val="000000" w:themeColor="text1"/>
          <w:szCs w:val="24"/>
        </w:rPr>
        <w:t xml:space="preserve">S/P fusion L4-5 and L5-S1 for HNP </w:t>
      </w:r>
      <w:r w:rsidR="004044AE" w:rsidRPr="000109B6">
        <w:rPr>
          <w:color w:val="000000" w:themeColor="text1"/>
          <w:szCs w:val="24"/>
        </w:rPr>
        <w:t xml:space="preserve">condition as unfitting, rated </w:t>
      </w:r>
      <w:r w:rsidR="002F39FD" w:rsidRPr="000109B6">
        <w:rPr>
          <w:color w:val="000000" w:themeColor="text1"/>
          <w:szCs w:val="24"/>
        </w:rPr>
        <w:t>20</w:t>
      </w:r>
      <w:r w:rsidR="00097B5C" w:rsidRPr="000109B6">
        <w:rPr>
          <w:color w:val="000000" w:themeColor="text1"/>
          <w:szCs w:val="24"/>
        </w:rPr>
        <w:t>%</w:t>
      </w:r>
      <w:r w:rsidR="002F39FD" w:rsidRPr="000109B6">
        <w:rPr>
          <w:color w:val="000000" w:themeColor="text1"/>
          <w:szCs w:val="24"/>
        </w:rPr>
        <w:t xml:space="preserve">, </w:t>
      </w:r>
      <w:r w:rsidR="004044AE" w:rsidRPr="000109B6">
        <w:rPr>
          <w:color w:val="000000" w:themeColor="text1"/>
          <w:szCs w:val="24"/>
        </w:rPr>
        <w:t>with application of the Veterans Administration Schedule for Rating</w:t>
      </w:r>
      <w:r w:rsidR="004044AE" w:rsidRPr="002F39FD">
        <w:rPr>
          <w:color w:val="000000" w:themeColor="text1"/>
          <w:szCs w:val="24"/>
        </w:rPr>
        <w:t xml:space="preserve"> Disabilities (VASRD).</w:t>
      </w:r>
      <w:r w:rsidR="002F39FD" w:rsidRPr="002F39FD">
        <w:rPr>
          <w:color w:val="000000" w:themeColor="text1"/>
        </w:rPr>
        <w:t xml:space="preserve"> </w:t>
      </w:r>
      <w:r w:rsidR="002F39FD">
        <w:rPr>
          <w:color w:val="000000" w:themeColor="text1"/>
        </w:rPr>
        <w:t xml:space="preserve"> </w:t>
      </w:r>
      <w:r w:rsidR="00097B5C">
        <w:rPr>
          <w:color w:val="000000" w:themeColor="text1"/>
          <w:szCs w:val="24"/>
        </w:rPr>
        <w:t>A</w:t>
      </w:r>
      <w:r w:rsidR="00097B5C" w:rsidRPr="002F39FD">
        <w:rPr>
          <w:color w:val="000000" w:themeColor="text1"/>
          <w:szCs w:val="24"/>
        </w:rPr>
        <w:t>dditionally</w:t>
      </w:r>
      <w:r w:rsidR="00097B5C">
        <w:rPr>
          <w:color w:val="000000" w:themeColor="text1"/>
          <w:szCs w:val="24"/>
        </w:rPr>
        <w:t>,</w:t>
      </w:r>
      <w:r w:rsidR="00097B5C" w:rsidRPr="002F39FD">
        <w:rPr>
          <w:color w:val="000000" w:themeColor="text1"/>
          <w:szCs w:val="24"/>
        </w:rPr>
        <w:t xml:space="preserve"> </w:t>
      </w:r>
      <w:r w:rsidR="00097B5C">
        <w:rPr>
          <w:color w:val="000000" w:themeColor="text1"/>
          <w:szCs w:val="24"/>
        </w:rPr>
        <w:t xml:space="preserve">the </w:t>
      </w:r>
      <w:r w:rsidR="00187BD8">
        <w:rPr>
          <w:color w:val="000000" w:themeColor="text1"/>
          <w:szCs w:val="24"/>
        </w:rPr>
        <w:t xml:space="preserve">PEB adjudicated </w:t>
      </w:r>
      <w:r w:rsidR="00C11E66">
        <w:rPr>
          <w:color w:val="000000" w:themeColor="text1"/>
          <w:szCs w:val="24"/>
        </w:rPr>
        <w:t>the “</w:t>
      </w:r>
      <w:r w:rsidR="00097B5C" w:rsidRPr="002F39FD">
        <w:rPr>
          <w:color w:val="000000" w:themeColor="text1"/>
          <w:szCs w:val="24"/>
        </w:rPr>
        <w:t>L2 vertebral fractured healed</w:t>
      </w:r>
      <w:r w:rsidR="00C11E66">
        <w:rPr>
          <w:color w:val="000000" w:themeColor="text1"/>
          <w:szCs w:val="24"/>
        </w:rPr>
        <w:t>”</w:t>
      </w:r>
      <w:r w:rsidR="00097B5C" w:rsidRPr="002F39FD">
        <w:rPr>
          <w:color w:val="000000" w:themeColor="text1"/>
          <w:szCs w:val="24"/>
        </w:rPr>
        <w:t xml:space="preserve"> condition </w:t>
      </w:r>
      <w:r w:rsidR="00187BD8">
        <w:rPr>
          <w:color w:val="000000" w:themeColor="text1"/>
          <w:szCs w:val="24"/>
        </w:rPr>
        <w:t>as</w:t>
      </w:r>
      <w:r w:rsidR="00097B5C" w:rsidRPr="002F39FD">
        <w:rPr>
          <w:color w:val="000000" w:themeColor="text1"/>
          <w:szCs w:val="24"/>
        </w:rPr>
        <w:t xml:space="preserve"> Cat</w:t>
      </w:r>
      <w:r w:rsidR="00097B5C">
        <w:rPr>
          <w:color w:val="000000" w:themeColor="text1"/>
          <w:szCs w:val="24"/>
        </w:rPr>
        <w:t>egory</w:t>
      </w:r>
      <w:r w:rsidR="00097B5C" w:rsidRPr="002F39FD">
        <w:rPr>
          <w:color w:val="000000" w:themeColor="text1"/>
          <w:szCs w:val="24"/>
        </w:rPr>
        <w:t xml:space="preserve"> III (not separately unfitting and do not contribute to the unfitting condition)</w:t>
      </w:r>
      <w:r w:rsidR="00097B5C">
        <w:rPr>
          <w:color w:val="000000" w:themeColor="text1"/>
          <w:szCs w:val="24"/>
        </w:rPr>
        <w:t xml:space="preserve">.  </w:t>
      </w:r>
      <w:r w:rsidR="002F39FD" w:rsidRPr="001F29F9">
        <w:rPr>
          <w:color w:val="000000" w:themeColor="text1"/>
        </w:rPr>
        <w:t xml:space="preserve">The CI made no appeals, and was medically separated with a </w:t>
      </w:r>
      <w:r w:rsidR="002F39FD">
        <w:rPr>
          <w:color w:val="000000" w:themeColor="text1"/>
        </w:rPr>
        <w:t>20</w:t>
      </w:r>
      <w:r w:rsidR="002F39FD" w:rsidRPr="001F29F9">
        <w:rPr>
          <w:color w:val="000000" w:themeColor="text1"/>
        </w:rPr>
        <w:t>% combined disability rating.</w:t>
      </w:r>
      <w:r w:rsidR="00097B5C">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13C9D" w:rsidRPr="00013C9D">
        <w:rPr>
          <w:rFonts w:eastAsiaTheme="minorHAnsi"/>
          <w:b/>
          <w:color w:val="000000" w:themeColor="text1"/>
          <w:szCs w:val="24"/>
        </w:rPr>
        <w:t xml:space="preserve"> </w:t>
      </w:r>
      <w:r w:rsidR="00013C9D" w:rsidRPr="00013C9D">
        <w:rPr>
          <w:rFonts w:eastAsiaTheme="minorHAnsi"/>
          <w:color w:val="000000" w:themeColor="text1"/>
          <w:szCs w:val="24"/>
        </w:rPr>
        <w:t>The CI states</w:t>
      </w:r>
      <w:r w:rsidR="00013C9D">
        <w:rPr>
          <w:rFonts w:eastAsiaTheme="minorHAnsi"/>
          <w:color w:val="000000" w:themeColor="text1"/>
          <w:szCs w:val="24"/>
        </w:rPr>
        <w:t xml:space="preserve">:  </w:t>
      </w:r>
      <w:r w:rsidR="00013C9D" w:rsidRPr="00013C9D">
        <w:rPr>
          <w:rFonts w:eastAsiaTheme="minorHAnsi"/>
          <w:color w:val="000000" w:themeColor="text1"/>
          <w:szCs w:val="24"/>
        </w:rPr>
        <w:t>“CONSTANT PAIN IN LOWER BACK, VERY HARD TIME SLEEPING AT NIGHT, ANYTIME I SIT OR L</w:t>
      </w:r>
      <w:r w:rsidR="00013C9D">
        <w:rPr>
          <w:rFonts w:eastAsiaTheme="minorHAnsi"/>
          <w:color w:val="000000" w:themeColor="text1"/>
          <w:szCs w:val="24"/>
        </w:rPr>
        <w:t>I</w:t>
      </w:r>
      <w:r w:rsidR="00013C9D" w:rsidRPr="00013C9D">
        <w:rPr>
          <w:rFonts w:eastAsiaTheme="minorHAnsi"/>
          <w:color w:val="000000" w:themeColor="text1"/>
          <w:szCs w:val="24"/>
        </w:rPr>
        <w:t>E DOWN IN ONE POSITION FOR TOO LONG MY BACK LOCKS UP, HAVING A HARD TIME FINDING A PART-TIME JOB DUE TO LACK OF BEING ABLE TO LIFT 50 POUNDS, HAVE A HARD TIME PAYING ATTENTION IN CLASS DUE TO CONSTANTLY HAVING TO CHANGE MY POSITION IN MY DESK.”</w:t>
      </w:r>
      <w:r w:rsidR="00013C9D">
        <w:rPr>
          <w:rFonts w:eastAsiaTheme="minorHAnsi"/>
          <w:color w:val="000000" w:themeColor="text1"/>
          <w:szCs w:val="24"/>
        </w:rPr>
        <w:t xml:space="preserve">  </w:t>
      </w:r>
    </w:p>
    <w:p w:rsidR="00097B5C" w:rsidRPr="00F64312" w:rsidRDefault="00097B5C" w:rsidP="00097B5C">
      <w:pPr>
        <w:pBdr>
          <w:bottom w:val="single" w:sz="12" w:space="1" w:color="auto"/>
        </w:pBdr>
        <w:tabs>
          <w:tab w:val="left" w:pos="288"/>
          <w:tab w:val="left" w:pos="4752"/>
        </w:tabs>
        <w:jc w:val="both"/>
        <w:rPr>
          <w:color w:val="auto"/>
        </w:rPr>
      </w:pPr>
    </w:p>
    <w:p w:rsidR="00097B5C" w:rsidRPr="00F64312" w:rsidRDefault="00097B5C" w:rsidP="00097B5C">
      <w:pPr>
        <w:jc w:val="both"/>
        <w:rPr>
          <w:color w:val="auto"/>
          <w:u w:val="single"/>
        </w:rPr>
      </w:pPr>
    </w:p>
    <w:p w:rsidR="00097B5C" w:rsidRPr="00C566C9" w:rsidRDefault="00097B5C" w:rsidP="00097B5C">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Enclosure 3, paragraph </w:t>
      </w:r>
      <w:r w:rsidRPr="000109B6">
        <w:rPr>
          <w:color w:val="auto"/>
        </w:rPr>
        <w:t>5.e</w:t>
      </w:r>
      <w:proofErr w:type="gramStart"/>
      <w:r w:rsidRPr="000109B6">
        <w:rPr>
          <w:color w:val="auto"/>
        </w:rPr>
        <w:t>.(</w:t>
      </w:r>
      <w:proofErr w:type="gramEnd"/>
      <w:r w:rsidRPr="000109B6">
        <w:rPr>
          <w:color w:val="auto"/>
        </w:rPr>
        <w:t>2) is limited to those conditions which were determined by the PEB to be specifically unfitting for continued military service; or, when requested by the CI, those condition(s) “identified but not determined to be unfitting by the PEB</w:t>
      </w:r>
      <w:r w:rsidR="008B0FDA">
        <w:rPr>
          <w:color w:val="auto"/>
        </w:rPr>
        <w:t>.</w:t>
      </w:r>
      <w:r w:rsidRPr="000109B6">
        <w:rPr>
          <w:color w:val="auto"/>
        </w:rPr>
        <w:t xml:space="preserve">”  The ratings for unfitting conditions will be reviewed in all cases.  The condition of S/P Fusion L4-5 and L5-S1 for HNP and L2 </w:t>
      </w:r>
      <w:r w:rsidR="008B0FDA">
        <w:rPr>
          <w:color w:val="auto"/>
        </w:rPr>
        <w:t>v</w:t>
      </w:r>
      <w:r w:rsidRPr="000109B6">
        <w:rPr>
          <w:color w:val="auto"/>
        </w:rPr>
        <w:t xml:space="preserve">ertebral </w:t>
      </w:r>
      <w:r w:rsidR="008B0FDA">
        <w:rPr>
          <w:color w:val="auto"/>
        </w:rPr>
        <w:t>f</w:t>
      </w:r>
      <w:r w:rsidRPr="000109B6">
        <w:rPr>
          <w:color w:val="auto"/>
        </w:rPr>
        <w:t xml:space="preserve">racture </w:t>
      </w:r>
      <w:r w:rsidR="008B0FDA">
        <w:rPr>
          <w:color w:val="auto"/>
        </w:rPr>
        <w:t>h</w:t>
      </w:r>
      <w:r w:rsidRPr="000109B6">
        <w:rPr>
          <w:color w:val="auto"/>
        </w:rPr>
        <w:t>ealed are considered as requested for consideration and meet the criteria prescribed in DoDI 6040.44 for Board purview and, are addressed below.  Any conditions or contention</w:t>
      </w:r>
      <w:r w:rsidRPr="00097B5C">
        <w:rPr>
          <w:color w:val="auto"/>
        </w:rPr>
        <w:t xml:space="preserve"> not requested in this application, or otherwise outside the Board’s defined scope of review, remain eligible for future consideration by the Board for Correction of Naval Records (BCNR).</w:t>
      </w:r>
      <w:r>
        <w:rPr>
          <w:color w:val="auto"/>
        </w:rPr>
        <w:t xml:space="preserve">  </w:t>
      </w:r>
    </w:p>
    <w:p w:rsidR="00097B5C" w:rsidRPr="00F64312" w:rsidRDefault="00097B5C" w:rsidP="00097B5C">
      <w:pPr>
        <w:pBdr>
          <w:bottom w:val="single" w:sz="12" w:space="1" w:color="auto"/>
        </w:pBdr>
        <w:tabs>
          <w:tab w:val="left" w:pos="288"/>
          <w:tab w:val="left" w:pos="4752"/>
        </w:tabs>
        <w:jc w:val="both"/>
        <w:rPr>
          <w:color w:val="auto"/>
        </w:rPr>
      </w:pPr>
    </w:p>
    <w:p w:rsidR="004174F0" w:rsidRPr="001F29F9" w:rsidRDefault="004174F0" w:rsidP="00BF0E94">
      <w:pPr>
        <w:tabs>
          <w:tab w:val="left" w:pos="288"/>
          <w:tab w:val="left" w:pos="4752"/>
        </w:tabs>
        <w:jc w:val="both"/>
        <w:rPr>
          <w:color w:val="000000" w:themeColor="text1"/>
        </w:rPr>
      </w:pPr>
    </w:p>
    <w:p w:rsidR="00097B5C" w:rsidRDefault="00097B5C">
      <w:pPr>
        <w:rPr>
          <w:color w:val="000000" w:themeColor="text1"/>
          <w:u w:val="single"/>
        </w:rPr>
      </w:pPr>
      <w:r>
        <w:rPr>
          <w:color w:val="000000" w:themeColor="text1"/>
          <w:u w:val="single"/>
        </w:rPr>
        <w:br w:type="page"/>
      </w:r>
    </w:p>
    <w:p w:rsidR="001537D8" w:rsidRPr="00C268A3"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C268A3" w:rsidRDefault="002151AB" w:rsidP="00FE7C22">
      <w:pPr>
        <w:jc w:val="both"/>
        <w:rPr>
          <w:color w:val="auto"/>
        </w:rPr>
      </w:pPr>
    </w:p>
    <w:tbl>
      <w:tblPr>
        <w:tblStyle w:val="TableGrid"/>
        <w:tblpPr w:leftFromText="187" w:rightFromText="187" w:vertAnchor="text" w:tblpXSpec="center" w:tblpY="1"/>
        <w:tblOverlap w:val="never"/>
        <w:tblW w:w="9378" w:type="dxa"/>
        <w:tblLayout w:type="fixed"/>
        <w:tblLook w:val="04A0" w:firstRow="1" w:lastRow="0" w:firstColumn="1" w:lastColumn="0" w:noHBand="0" w:noVBand="1"/>
      </w:tblPr>
      <w:tblGrid>
        <w:gridCol w:w="2173"/>
        <w:gridCol w:w="1080"/>
        <w:gridCol w:w="900"/>
        <w:gridCol w:w="2321"/>
        <w:gridCol w:w="1080"/>
        <w:gridCol w:w="828"/>
        <w:gridCol w:w="996"/>
      </w:tblGrid>
      <w:tr w:rsidR="002B4E22" w:rsidRPr="00C268A3" w:rsidTr="00E74E03">
        <w:trPr>
          <w:trHeight w:val="170"/>
        </w:trPr>
        <w:tc>
          <w:tcPr>
            <w:tcW w:w="4153" w:type="dxa"/>
            <w:gridSpan w:val="3"/>
            <w:tcBorders>
              <w:right w:val="thinThickThinSmallGap" w:sz="24" w:space="0" w:color="auto"/>
            </w:tcBorders>
            <w:shd w:val="clear" w:color="auto" w:fill="D9D9D9" w:themeFill="background1" w:themeFillShade="D9"/>
            <w:vAlign w:val="center"/>
          </w:tcPr>
          <w:p w:rsidR="002B4E22" w:rsidRPr="00C268A3" w:rsidRDefault="00B731E4" w:rsidP="00DB5E2D">
            <w:pPr>
              <w:contextualSpacing/>
              <w:rPr>
                <w:rFonts w:ascii="Calibri" w:hAnsi="Calibri" w:cs="Calibri"/>
                <w:b/>
                <w:color w:val="auto"/>
                <w:sz w:val="18"/>
                <w:szCs w:val="18"/>
              </w:rPr>
            </w:pPr>
            <w:r w:rsidRPr="00C268A3">
              <w:rPr>
                <w:rFonts w:ascii="Calibri" w:hAnsi="Calibri" w:cs="Calibri"/>
                <w:b/>
                <w:color w:val="auto"/>
                <w:sz w:val="18"/>
                <w:szCs w:val="18"/>
              </w:rPr>
              <w:t>Service PEB – Dated 200</w:t>
            </w:r>
            <w:r w:rsidR="00D43AC0" w:rsidRPr="00C268A3">
              <w:rPr>
                <w:rFonts w:ascii="Calibri" w:hAnsi="Calibri" w:cs="Calibri"/>
                <w:b/>
                <w:color w:val="auto"/>
                <w:sz w:val="18"/>
                <w:szCs w:val="18"/>
              </w:rPr>
              <w:t>90225</w:t>
            </w:r>
          </w:p>
        </w:tc>
        <w:tc>
          <w:tcPr>
            <w:tcW w:w="5225" w:type="dxa"/>
            <w:gridSpan w:val="4"/>
            <w:tcBorders>
              <w:left w:val="thinThickThinSmallGap" w:sz="24" w:space="0" w:color="auto"/>
            </w:tcBorders>
            <w:shd w:val="clear" w:color="auto" w:fill="D9D9D9" w:themeFill="background1" w:themeFillShade="D9"/>
            <w:vAlign w:val="center"/>
          </w:tcPr>
          <w:p w:rsidR="002B4E22" w:rsidRPr="00C268A3" w:rsidRDefault="002B4E22" w:rsidP="00E74E03">
            <w:pPr>
              <w:contextualSpacing/>
              <w:rPr>
                <w:rFonts w:ascii="Calibri" w:hAnsi="Calibri" w:cs="Calibri"/>
                <w:b/>
                <w:color w:val="auto"/>
                <w:sz w:val="18"/>
                <w:szCs w:val="18"/>
              </w:rPr>
            </w:pPr>
            <w:r w:rsidRPr="00C268A3">
              <w:rPr>
                <w:rFonts w:ascii="Calibri" w:hAnsi="Calibri" w:cs="Calibri"/>
                <w:b/>
                <w:color w:val="auto"/>
                <w:sz w:val="18"/>
                <w:szCs w:val="18"/>
              </w:rPr>
              <w:t>VA (</w:t>
            </w:r>
            <w:r w:rsidR="00E74E03" w:rsidRPr="00C268A3">
              <w:rPr>
                <w:rFonts w:ascii="Calibri" w:hAnsi="Calibri" w:cs="Calibri"/>
                <w:b/>
                <w:color w:val="auto"/>
                <w:sz w:val="18"/>
                <w:szCs w:val="18"/>
              </w:rPr>
              <w:t>4</w:t>
            </w:r>
            <w:r w:rsidR="0079154B" w:rsidRPr="00C268A3">
              <w:rPr>
                <w:rFonts w:ascii="Calibri" w:hAnsi="Calibri" w:cs="Calibri"/>
                <w:b/>
                <w:color w:val="auto"/>
                <w:sz w:val="18"/>
                <w:szCs w:val="18"/>
              </w:rPr>
              <w:t xml:space="preserve"> </w:t>
            </w:r>
            <w:r w:rsidRPr="00C268A3">
              <w:rPr>
                <w:rFonts w:ascii="Calibri" w:hAnsi="Calibri" w:cs="Calibri"/>
                <w:b/>
                <w:color w:val="auto"/>
                <w:sz w:val="18"/>
                <w:szCs w:val="18"/>
              </w:rPr>
              <w:t>Mo</w:t>
            </w:r>
            <w:r w:rsidR="00E74E03" w:rsidRPr="00C268A3">
              <w:rPr>
                <w:rFonts w:ascii="Calibri" w:hAnsi="Calibri" w:cs="Calibri"/>
                <w:b/>
                <w:color w:val="auto"/>
                <w:sz w:val="18"/>
                <w:szCs w:val="18"/>
              </w:rPr>
              <w:t>s</w:t>
            </w:r>
            <w:r w:rsidRPr="00C268A3">
              <w:rPr>
                <w:rFonts w:ascii="Calibri" w:hAnsi="Calibri" w:cs="Calibri"/>
                <w:b/>
                <w:color w:val="auto"/>
                <w:sz w:val="18"/>
                <w:szCs w:val="18"/>
              </w:rPr>
              <w:t>. Pr</w:t>
            </w:r>
            <w:r w:rsidR="007272F1" w:rsidRPr="00C268A3">
              <w:rPr>
                <w:rFonts w:ascii="Calibri" w:hAnsi="Calibri" w:cs="Calibri"/>
                <w:b/>
                <w:color w:val="auto"/>
                <w:sz w:val="18"/>
                <w:szCs w:val="18"/>
              </w:rPr>
              <w:t>e</w:t>
            </w:r>
            <w:r w:rsidR="00E74E03" w:rsidRPr="00C268A3">
              <w:rPr>
                <w:rFonts w:ascii="Calibri" w:hAnsi="Calibri" w:cs="Calibri"/>
                <w:b/>
                <w:color w:val="auto"/>
                <w:sz w:val="18"/>
                <w:szCs w:val="18"/>
              </w:rPr>
              <w:t>-</w:t>
            </w:r>
            <w:r w:rsidRPr="00C268A3">
              <w:rPr>
                <w:rFonts w:ascii="Calibri" w:hAnsi="Calibri" w:cs="Calibri"/>
                <w:b/>
                <w:color w:val="auto"/>
                <w:sz w:val="18"/>
                <w:szCs w:val="18"/>
              </w:rPr>
              <w:t xml:space="preserve">Separation) – All Effective </w:t>
            </w:r>
            <w:r w:rsidR="00D43AC0" w:rsidRPr="00C268A3">
              <w:rPr>
                <w:rFonts w:ascii="Calibri" w:hAnsi="Calibri" w:cs="Calibri"/>
                <w:b/>
                <w:color w:val="auto"/>
                <w:sz w:val="18"/>
                <w:szCs w:val="18"/>
              </w:rPr>
              <w:t>20090430</w:t>
            </w:r>
          </w:p>
        </w:tc>
      </w:tr>
      <w:tr w:rsidR="002B4E22" w:rsidRPr="00C268A3" w:rsidTr="00E74E03">
        <w:trPr>
          <w:trHeight w:val="97"/>
        </w:trPr>
        <w:tc>
          <w:tcPr>
            <w:tcW w:w="2173" w:type="dxa"/>
            <w:tcBorders>
              <w:bottom w:val="single" w:sz="4" w:space="0" w:color="000000" w:themeColor="text1"/>
              <w:right w:val="single" w:sz="4" w:space="0" w:color="auto"/>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Rating</w:t>
            </w:r>
          </w:p>
        </w:tc>
        <w:tc>
          <w:tcPr>
            <w:tcW w:w="996" w:type="dxa"/>
            <w:tcBorders>
              <w:bottom w:val="single" w:sz="4" w:space="0" w:color="000000" w:themeColor="text1"/>
            </w:tcBorders>
            <w:shd w:val="clear" w:color="auto" w:fill="D9D9D9" w:themeFill="background1" w:themeFillShade="D9"/>
            <w:vAlign w:val="center"/>
          </w:tcPr>
          <w:p w:rsidR="002B4E22" w:rsidRPr="00C268A3" w:rsidRDefault="002B4E22" w:rsidP="00DB5E2D">
            <w:pPr>
              <w:contextualSpacing/>
              <w:rPr>
                <w:rFonts w:ascii="Calibri" w:hAnsi="Calibri" w:cs="Calibri"/>
                <w:b/>
                <w:color w:val="auto"/>
                <w:sz w:val="18"/>
                <w:szCs w:val="18"/>
              </w:rPr>
            </w:pPr>
            <w:r w:rsidRPr="00C268A3">
              <w:rPr>
                <w:rFonts w:ascii="Calibri" w:hAnsi="Calibri" w:cs="Calibri"/>
                <w:b/>
                <w:color w:val="auto"/>
                <w:sz w:val="18"/>
                <w:szCs w:val="18"/>
              </w:rPr>
              <w:t>Exam</w:t>
            </w:r>
          </w:p>
        </w:tc>
      </w:tr>
      <w:tr w:rsidR="00097B5C" w:rsidRPr="00C268A3" w:rsidTr="001F76AC">
        <w:trPr>
          <w:trHeight w:val="267"/>
        </w:trPr>
        <w:tc>
          <w:tcPr>
            <w:tcW w:w="2173" w:type="dxa"/>
            <w:tcBorders>
              <w:right w:val="single" w:sz="4" w:space="0" w:color="auto"/>
            </w:tcBorders>
            <w:shd w:val="clear" w:color="auto" w:fill="FFFFFF" w:themeFill="background1"/>
            <w:vAlign w:val="center"/>
          </w:tcPr>
          <w:p w:rsidR="00097B5C" w:rsidRPr="00C268A3" w:rsidRDefault="00097B5C" w:rsidP="00DB5E2D">
            <w:pPr>
              <w:spacing w:line="180" w:lineRule="exact"/>
              <w:contextualSpacing/>
              <w:jc w:val="left"/>
              <w:rPr>
                <w:rFonts w:ascii="Calibri" w:eastAsia="Times New Roman" w:hAnsi="Calibri" w:cs="Calibri"/>
                <w:color w:val="auto"/>
                <w:sz w:val="18"/>
                <w:szCs w:val="18"/>
              </w:rPr>
            </w:pPr>
            <w:r w:rsidRPr="00C268A3">
              <w:rPr>
                <w:rFonts w:ascii="Calibri" w:eastAsia="Times New Roman" w:hAnsi="Calibri" w:cs="Calibri"/>
                <w:color w:val="auto"/>
                <w:sz w:val="18"/>
                <w:szCs w:val="18"/>
              </w:rPr>
              <w:t>S/P Fusion L4-5 and L5-S1 for HNP</w:t>
            </w:r>
          </w:p>
        </w:tc>
        <w:tc>
          <w:tcPr>
            <w:tcW w:w="1080" w:type="dxa"/>
            <w:tcBorders>
              <w:left w:val="single" w:sz="4" w:space="0" w:color="auto"/>
            </w:tcBorders>
            <w:shd w:val="clear" w:color="auto" w:fill="FFFFFF" w:themeFill="background1"/>
            <w:vAlign w:val="center"/>
          </w:tcPr>
          <w:p w:rsidR="00097B5C" w:rsidRPr="00C268A3" w:rsidRDefault="00097B5C" w:rsidP="00DB5E2D">
            <w:pPr>
              <w:spacing w:line="180" w:lineRule="exact"/>
              <w:contextualSpacing/>
              <w:rPr>
                <w:rFonts w:ascii="Calibri" w:eastAsia="Times New Roman" w:hAnsi="Calibri" w:cs="Calibri"/>
                <w:color w:val="auto"/>
                <w:sz w:val="18"/>
                <w:szCs w:val="18"/>
              </w:rPr>
            </w:pPr>
            <w:r w:rsidRPr="00C268A3">
              <w:rPr>
                <w:rFonts w:ascii="Calibri" w:eastAsia="Times New Roman" w:hAnsi="Calibri" w:cs="Calibri"/>
                <w:color w:val="auto"/>
                <w:sz w:val="18"/>
                <w:szCs w:val="18"/>
              </w:rPr>
              <w:t>5241</w:t>
            </w:r>
          </w:p>
        </w:tc>
        <w:tc>
          <w:tcPr>
            <w:tcW w:w="900" w:type="dxa"/>
            <w:tcBorders>
              <w:right w:val="thinThickThinSmallGap" w:sz="24" w:space="0" w:color="auto"/>
            </w:tcBorders>
            <w:shd w:val="clear" w:color="auto" w:fill="FFFFFF" w:themeFill="background1"/>
            <w:vAlign w:val="center"/>
          </w:tcPr>
          <w:p w:rsidR="00097B5C" w:rsidRPr="00C268A3" w:rsidRDefault="00097B5C" w:rsidP="00DB5E2D">
            <w:pPr>
              <w:spacing w:line="180" w:lineRule="exact"/>
              <w:rPr>
                <w:rFonts w:ascii="Calibri" w:eastAsia="Times New Roman" w:hAnsi="Calibri" w:cs="Calibri"/>
                <w:color w:val="auto"/>
                <w:sz w:val="18"/>
                <w:szCs w:val="18"/>
              </w:rPr>
            </w:pPr>
            <w:r w:rsidRPr="00C268A3">
              <w:rPr>
                <w:rFonts w:ascii="Calibri" w:eastAsia="Times New Roman" w:hAnsi="Calibri" w:cs="Calibri"/>
                <w:color w:val="auto"/>
                <w:sz w:val="18"/>
                <w:szCs w:val="18"/>
              </w:rPr>
              <w:t>20%</w:t>
            </w:r>
          </w:p>
        </w:tc>
        <w:tc>
          <w:tcPr>
            <w:tcW w:w="2321" w:type="dxa"/>
            <w:vMerge w:val="restart"/>
            <w:tcBorders>
              <w:left w:val="thinThickThinSmallGap" w:sz="24" w:space="0" w:color="auto"/>
            </w:tcBorders>
            <w:shd w:val="clear" w:color="auto" w:fill="FFFFFF" w:themeFill="background1"/>
            <w:vAlign w:val="center"/>
          </w:tcPr>
          <w:p w:rsidR="00097B5C" w:rsidRPr="00C268A3" w:rsidRDefault="00097B5C" w:rsidP="001F76AC">
            <w:pPr>
              <w:spacing w:line="180" w:lineRule="exact"/>
              <w:contextualSpacing/>
              <w:jc w:val="left"/>
              <w:rPr>
                <w:rFonts w:ascii="Calibri" w:eastAsia="Times New Roman" w:hAnsi="Calibri" w:cs="Calibri"/>
                <w:color w:val="auto"/>
                <w:sz w:val="18"/>
                <w:szCs w:val="18"/>
              </w:rPr>
            </w:pPr>
            <w:r w:rsidRPr="00C268A3">
              <w:rPr>
                <w:rFonts w:ascii="Calibri" w:eastAsia="Times New Roman" w:hAnsi="Calibri" w:cs="Calibri"/>
                <w:color w:val="auto"/>
                <w:sz w:val="18"/>
                <w:szCs w:val="18"/>
              </w:rPr>
              <w:t>Post Op</w:t>
            </w:r>
            <w:r w:rsidR="001F76AC" w:rsidRPr="00C268A3">
              <w:rPr>
                <w:rFonts w:ascii="Calibri" w:eastAsia="Times New Roman" w:hAnsi="Calibri" w:cs="Calibri"/>
                <w:color w:val="auto"/>
                <w:sz w:val="18"/>
                <w:szCs w:val="18"/>
              </w:rPr>
              <w:t>.</w:t>
            </w:r>
            <w:r w:rsidRPr="00C268A3">
              <w:rPr>
                <w:rFonts w:ascii="Calibri" w:eastAsia="Times New Roman" w:hAnsi="Calibri" w:cs="Calibri"/>
                <w:color w:val="auto"/>
                <w:sz w:val="18"/>
                <w:szCs w:val="18"/>
              </w:rPr>
              <w:t xml:space="preserve"> Fracture L2, Lumbar Spine/Herniated … </w:t>
            </w:r>
          </w:p>
        </w:tc>
        <w:tc>
          <w:tcPr>
            <w:tcW w:w="1080" w:type="dxa"/>
            <w:vMerge w:val="restart"/>
            <w:shd w:val="clear" w:color="auto" w:fill="FFFFFF" w:themeFill="background1"/>
            <w:vAlign w:val="center"/>
          </w:tcPr>
          <w:p w:rsidR="00097B5C" w:rsidRPr="00C268A3" w:rsidRDefault="00097B5C" w:rsidP="00DB5E2D">
            <w:pPr>
              <w:spacing w:line="180" w:lineRule="exact"/>
              <w:contextualSpacing/>
              <w:rPr>
                <w:rFonts w:ascii="Calibri" w:eastAsia="Times New Roman" w:hAnsi="Calibri" w:cs="Calibri"/>
                <w:color w:val="auto"/>
                <w:sz w:val="18"/>
                <w:szCs w:val="18"/>
              </w:rPr>
            </w:pPr>
            <w:r w:rsidRPr="00C268A3">
              <w:rPr>
                <w:rFonts w:ascii="Calibri" w:eastAsia="Times New Roman" w:hAnsi="Calibri" w:cs="Calibri"/>
                <w:color w:val="auto"/>
                <w:sz w:val="18"/>
                <w:szCs w:val="18"/>
              </w:rPr>
              <w:t>5241</w:t>
            </w:r>
          </w:p>
        </w:tc>
        <w:tc>
          <w:tcPr>
            <w:tcW w:w="828" w:type="dxa"/>
            <w:vMerge w:val="restart"/>
            <w:shd w:val="clear" w:color="auto" w:fill="FFFFFF" w:themeFill="background1"/>
            <w:vAlign w:val="center"/>
          </w:tcPr>
          <w:p w:rsidR="00097B5C" w:rsidRPr="00C268A3" w:rsidRDefault="00097B5C" w:rsidP="00DB5E2D">
            <w:pPr>
              <w:spacing w:line="180" w:lineRule="exact"/>
              <w:contextualSpacing/>
              <w:rPr>
                <w:rFonts w:ascii="Calibri" w:eastAsia="Times New Roman" w:hAnsi="Calibri" w:cs="Calibri"/>
                <w:color w:val="auto"/>
                <w:sz w:val="18"/>
                <w:szCs w:val="18"/>
              </w:rPr>
            </w:pPr>
            <w:r w:rsidRPr="00C268A3">
              <w:rPr>
                <w:rFonts w:ascii="Calibri" w:eastAsia="Times New Roman" w:hAnsi="Calibri" w:cs="Calibri"/>
                <w:color w:val="auto"/>
                <w:sz w:val="18"/>
                <w:szCs w:val="18"/>
              </w:rPr>
              <w:t>20%</w:t>
            </w:r>
          </w:p>
        </w:tc>
        <w:tc>
          <w:tcPr>
            <w:tcW w:w="996" w:type="dxa"/>
            <w:vMerge w:val="restart"/>
            <w:shd w:val="clear" w:color="auto" w:fill="FFFFFF" w:themeFill="background1"/>
            <w:vAlign w:val="center"/>
          </w:tcPr>
          <w:p w:rsidR="00097B5C" w:rsidRPr="00C268A3" w:rsidRDefault="00097B5C" w:rsidP="00DB5E2D">
            <w:pPr>
              <w:spacing w:line="180" w:lineRule="exact"/>
              <w:contextualSpacing/>
              <w:rPr>
                <w:rFonts w:ascii="Calibri" w:eastAsia="Times New Roman" w:hAnsi="Calibri" w:cs="Calibri"/>
                <w:color w:val="auto"/>
                <w:sz w:val="18"/>
                <w:szCs w:val="18"/>
              </w:rPr>
            </w:pPr>
            <w:r w:rsidRPr="00C268A3">
              <w:rPr>
                <w:rFonts w:ascii="Calibri" w:eastAsia="Times New Roman" w:hAnsi="Calibri" w:cs="Calibri"/>
                <w:color w:val="auto"/>
                <w:sz w:val="18"/>
                <w:szCs w:val="18"/>
              </w:rPr>
              <w:t>20081212</w:t>
            </w:r>
          </w:p>
        </w:tc>
      </w:tr>
      <w:tr w:rsidR="00097B5C" w:rsidRPr="00C268A3" w:rsidTr="001F76AC">
        <w:trPr>
          <w:trHeight w:val="106"/>
        </w:trPr>
        <w:tc>
          <w:tcPr>
            <w:tcW w:w="2173" w:type="dxa"/>
            <w:tcBorders>
              <w:right w:val="single" w:sz="4" w:space="0" w:color="auto"/>
            </w:tcBorders>
            <w:shd w:val="clear" w:color="auto" w:fill="FFFFFF" w:themeFill="background1"/>
            <w:vAlign w:val="center"/>
          </w:tcPr>
          <w:p w:rsidR="00097B5C" w:rsidRPr="00C268A3" w:rsidRDefault="00097B5C" w:rsidP="00E74E03">
            <w:pPr>
              <w:spacing w:line="180" w:lineRule="exact"/>
              <w:contextualSpacing/>
              <w:jc w:val="left"/>
              <w:rPr>
                <w:rFonts w:ascii="Calibri" w:eastAsia="Times New Roman" w:hAnsi="Calibri" w:cs="Calibri"/>
                <w:color w:val="auto"/>
                <w:sz w:val="18"/>
                <w:szCs w:val="18"/>
              </w:rPr>
            </w:pPr>
            <w:r w:rsidRPr="00C268A3">
              <w:rPr>
                <w:rFonts w:ascii="Calibri" w:eastAsia="Times New Roman" w:hAnsi="Calibri" w:cs="Calibri"/>
                <w:color w:val="auto"/>
                <w:sz w:val="18"/>
                <w:szCs w:val="18"/>
              </w:rPr>
              <w:t>L2 Vertebral Fracture Healed</w:t>
            </w:r>
          </w:p>
        </w:tc>
        <w:tc>
          <w:tcPr>
            <w:tcW w:w="1980" w:type="dxa"/>
            <w:gridSpan w:val="2"/>
            <w:tcBorders>
              <w:left w:val="single" w:sz="4" w:space="0" w:color="auto"/>
              <w:right w:val="thinThickThinSmallGap" w:sz="24" w:space="0" w:color="auto"/>
            </w:tcBorders>
            <w:shd w:val="clear" w:color="auto" w:fill="FFFFFF" w:themeFill="background1"/>
            <w:vAlign w:val="center"/>
          </w:tcPr>
          <w:p w:rsidR="00097B5C" w:rsidRPr="00C268A3" w:rsidRDefault="00097B5C" w:rsidP="00E74E03">
            <w:pPr>
              <w:spacing w:line="180" w:lineRule="exact"/>
              <w:rPr>
                <w:rFonts w:ascii="Calibri" w:eastAsia="Times New Roman" w:hAnsi="Calibri" w:cs="Calibri"/>
                <w:color w:val="auto"/>
                <w:sz w:val="18"/>
                <w:szCs w:val="18"/>
              </w:rPr>
            </w:pPr>
            <w:r w:rsidRPr="00C268A3">
              <w:rPr>
                <w:rFonts w:ascii="Calibri" w:eastAsia="Times New Roman" w:hAnsi="Calibri" w:cs="Calibri"/>
                <w:color w:val="auto"/>
                <w:sz w:val="18"/>
                <w:szCs w:val="18"/>
              </w:rPr>
              <w:t>Cat III</w:t>
            </w:r>
          </w:p>
        </w:tc>
        <w:tc>
          <w:tcPr>
            <w:tcW w:w="2321" w:type="dxa"/>
            <w:vMerge/>
            <w:tcBorders>
              <w:left w:val="thinThickThinSmallGap" w:sz="24" w:space="0" w:color="auto"/>
            </w:tcBorders>
            <w:shd w:val="clear" w:color="auto" w:fill="FFFFFF" w:themeFill="background1"/>
            <w:vAlign w:val="center"/>
          </w:tcPr>
          <w:p w:rsidR="00097B5C" w:rsidRPr="00C268A3" w:rsidRDefault="00097B5C" w:rsidP="00E74E03">
            <w:pPr>
              <w:spacing w:line="180" w:lineRule="exact"/>
              <w:contextualSpacing/>
              <w:jc w:val="left"/>
              <w:rPr>
                <w:rFonts w:cs="Calibri"/>
                <w:color w:val="auto"/>
                <w:sz w:val="18"/>
                <w:szCs w:val="18"/>
              </w:rPr>
            </w:pPr>
          </w:p>
        </w:tc>
        <w:tc>
          <w:tcPr>
            <w:tcW w:w="1080" w:type="dxa"/>
            <w:vMerge/>
            <w:shd w:val="clear" w:color="auto" w:fill="FFFFFF" w:themeFill="background1"/>
            <w:vAlign w:val="center"/>
          </w:tcPr>
          <w:p w:rsidR="00097B5C" w:rsidRPr="00C268A3" w:rsidRDefault="00097B5C" w:rsidP="00E74E03">
            <w:pPr>
              <w:spacing w:line="180" w:lineRule="exact"/>
              <w:contextualSpacing/>
              <w:rPr>
                <w:rFonts w:cs="Calibri"/>
                <w:color w:val="auto"/>
                <w:sz w:val="18"/>
                <w:szCs w:val="18"/>
              </w:rPr>
            </w:pPr>
          </w:p>
        </w:tc>
        <w:tc>
          <w:tcPr>
            <w:tcW w:w="828" w:type="dxa"/>
            <w:vMerge/>
            <w:shd w:val="clear" w:color="auto" w:fill="FFFFFF" w:themeFill="background1"/>
            <w:vAlign w:val="center"/>
          </w:tcPr>
          <w:p w:rsidR="00097B5C" w:rsidRPr="00C268A3" w:rsidRDefault="00097B5C" w:rsidP="00E74E03">
            <w:pPr>
              <w:spacing w:line="180" w:lineRule="exact"/>
              <w:contextualSpacing/>
              <w:rPr>
                <w:rFonts w:cs="Calibri"/>
                <w:color w:val="auto"/>
                <w:sz w:val="18"/>
                <w:szCs w:val="18"/>
              </w:rPr>
            </w:pPr>
          </w:p>
        </w:tc>
        <w:tc>
          <w:tcPr>
            <w:tcW w:w="996" w:type="dxa"/>
            <w:vMerge/>
            <w:shd w:val="clear" w:color="auto" w:fill="FFFFFF" w:themeFill="background1"/>
            <w:vAlign w:val="center"/>
          </w:tcPr>
          <w:p w:rsidR="00097B5C" w:rsidRPr="00C268A3" w:rsidRDefault="00097B5C" w:rsidP="00E74E03">
            <w:pPr>
              <w:spacing w:line="180" w:lineRule="exact"/>
              <w:contextualSpacing/>
              <w:rPr>
                <w:rFonts w:cs="Calibri"/>
                <w:color w:val="auto"/>
                <w:sz w:val="18"/>
                <w:szCs w:val="18"/>
              </w:rPr>
            </w:pPr>
          </w:p>
        </w:tc>
      </w:tr>
      <w:tr w:rsidR="00097B5C" w:rsidRPr="00C268A3" w:rsidTr="001F76AC">
        <w:trPr>
          <w:trHeight w:val="106"/>
        </w:trPr>
        <w:tc>
          <w:tcPr>
            <w:tcW w:w="4153" w:type="dxa"/>
            <w:gridSpan w:val="3"/>
            <w:vMerge w:val="restart"/>
            <w:tcBorders>
              <w:right w:val="thinThickThinSmallGap" w:sz="24" w:space="0" w:color="auto"/>
            </w:tcBorders>
            <w:shd w:val="clear" w:color="auto" w:fill="FFFFFF" w:themeFill="background1"/>
            <w:vAlign w:val="center"/>
          </w:tcPr>
          <w:p w:rsidR="00097B5C" w:rsidRPr="00C268A3" w:rsidRDefault="00097B5C" w:rsidP="001F76AC">
            <w:pPr>
              <w:spacing w:line="180" w:lineRule="exact"/>
              <w:contextualSpacing/>
              <w:rPr>
                <w:rFonts w:cs="Calibri"/>
                <w:color w:val="auto"/>
                <w:sz w:val="18"/>
                <w:szCs w:val="18"/>
              </w:rPr>
            </w:pPr>
            <w:r w:rsidRPr="00C268A3">
              <w:rPr>
                <w:rFonts w:ascii="Calibri" w:hAnsi="Calibri" w:cs="Calibri"/>
                <w:color w:val="auto"/>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097B5C" w:rsidRPr="00C268A3" w:rsidRDefault="00097B5C" w:rsidP="00097B5C">
            <w:pPr>
              <w:spacing w:line="180" w:lineRule="exact"/>
              <w:contextualSpacing/>
              <w:jc w:val="left"/>
              <w:rPr>
                <w:rFonts w:cs="Calibri"/>
                <w:color w:val="auto"/>
                <w:sz w:val="18"/>
                <w:szCs w:val="18"/>
              </w:rPr>
            </w:pPr>
            <w:r w:rsidRPr="00C268A3">
              <w:rPr>
                <w:rFonts w:cs="Calibri"/>
                <w:color w:val="auto"/>
                <w:sz w:val="18"/>
                <w:szCs w:val="18"/>
              </w:rPr>
              <w:t>Scar, Lumbar Spine</w:t>
            </w:r>
          </w:p>
        </w:tc>
        <w:tc>
          <w:tcPr>
            <w:tcW w:w="1080" w:type="dxa"/>
            <w:tcBorders>
              <w:left w:val="single" w:sz="4" w:space="0" w:color="auto"/>
              <w:right w:val="single" w:sz="4" w:space="0" w:color="auto"/>
            </w:tcBorders>
            <w:shd w:val="clear" w:color="auto" w:fill="FFFFFF" w:themeFill="background1"/>
            <w:vAlign w:val="center"/>
          </w:tcPr>
          <w:p w:rsidR="00097B5C" w:rsidRPr="00C268A3" w:rsidRDefault="00097B5C" w:rsidP="00097B5C">
            <w:pPr>
              <w:spacing w:line="180" w:lineRule="exact"/>
              <w:contextualSpacing/>
              <w:rPr>
                <w:rFonts w:cs="Calibri"/>
                <w:color w:val="auto"/>
                <w:sz w:val="18"/>
                <w:szCs w:val="18"/>
              </w:rPr>
            </w:pPr>
            <w:r w:rsidRPr="00C268A3">
              <w:rPr>
                <w:rFonts w:cs="Calibri"/>
                <w:color w:val="auto"/>
                <w:sz w:val="18"/>
                <w:szCs w:val="18"/>
              </w:rPr>
              <w:t>7804</w:t>
            </w:r>
          </w:p>
        </w:tc>
        <w:tc>
          <w:tcPr>
            <w:tcW w:w="828" w:type="dxa"/>
            <w:tcBorders>
              <w:left w:val="single" w:sz="4" w:space="0" w:color="auto"/>
              <w:right w:val="single" w:sz="4" w:space="0" w:color="auto"/>
            </w:tcBorders>
            <w:shd w:val="clear" w:color="auto" w:fill="FFFFFF" w:themeFill="background1"/>
            <w:vAlign w:val="center"/>
          </w:tcPr>
          <w:p w:rsidR="00097B5C" w:rsidRPr="00C268A3" w:rsidRDefault="00097B5C" w:rsidP="00097B5C">
            <w:pPr>
              <w:spacing w:line="180" w:lineRule="exact"/>
              <w:contextualSpacing/>
              <w:rPr>
                <w:rFonts w:cs="Calibri"/>
                <w:color w:val="auto"/>
                <w:sz w:val="18"/>
                <w:szCs w:val="18"/>
              </w:rPr>
            </w:pPr>
            <w:r w:rsidRPr="00C268A3">
              <w:rPr>
                <w:rFonts w:cs="Calibri"/>
                <w:color w:val="auto"/>
                <w:sz w:val="18"/>
                <w:szCs w:val="18"/>
              </w:rPr>
              <w:t>0%</w:t>
            </w:r>
          </w:p>
        </w:tc>
        <w:tc>
          <w:tcPr>
            <w:tcW w:w="996" w:type="dxa"/>
            <w:tcBorders>
              <w:left w:val="single" w:sz="4" w:space="0" w:color="auto"/>
            </w:tcBorders>
            <w:shd w:val="clear" w:color="auto" w:fill="FFFFFF" w:themeFill="background1"/>
            <w:vAlign w:val="center"/>
          </w:tcPr>
          <w:p w:rsidR="00097B5C" w:rsidRPr="00C268A3" w:rsidRDefault="00097B5C" w:rsidP="00097B5C">
            <w:pPr>
              <w:spacing w:line="180" w:lineRule="exact"/>
              <w:contextualSpacing/>
              <w:rPr>
                <w:rFonts w:cs="Calibri"/>
                <w:color w:val="auto"/>
                <w:sz w:val="18"/>
                <w:szCs w:val="18"/>
              </w:rPr>
            </w:pPr>
            <w:r w:rsidRPr="00C268A3">
              <w:rPr>
                <w:rFonts w:ascii="Calibri" w:eastAsia="Times New Roman" w:hAnsi="Calibri" w:cs="Calibri"/>
                <w:color w:val="auto"/>
                <w:sz w:val="18"/>
                <w:szCs w:val="18"/>
              </w:rPr>
              <w:t>20081212</w:t>
            </w:r>
          </w:p>
        </w:tc>
      </w:tr>
      <w:tr w:rsidR="00097B5C" w:rsidRPr="00C268A3" w:rsidTr="00E74E03">
        <w:trPr>
          <w:trHeight w:val="97"/>
        </w:trPr>
        <w:tc>
          <w:tcPr>
            <w:tcW w:w="4153" w:type="dxa"/>
            <w:gridSpan w:val="3"/>
            <w:vMerge/>
            <w:tcBorders>
              <w:bottom w:val="nil"/>
              <w:right w:val="thinThickThinSmallGap" w:sz="24" w:space="0" w:color="auto"/>
            </w:tcBorders>
            <w:shd w:val="clear" w:color="auto" w:fill="FFFFFF" w:themeFill="background1"/>
            <w:vAlign w:val="center"/>
          </w:tcPr>
          <w:p w:rsidR="00097B5C" w:rsidRPr="00C268A3" w:rsidRDefault="00097B5C" w:rsidP="00E74E03">
            <w:pPr>
              <w:spacing w:line="180" w:lineRule="exact"/>
              <w:contextualSpacing/>
              <w:rPr>
                <w:rFonts w:ascii="Calibri" w:eastAsia="Times New Roman" w:hAnsi="Calibri" w:cs="Calibri"/>
                <w:color w:val="auto"/>
                <w:sz w:val="18"/>
                <w:szCs w:val="18"/>
              </w:rPr>
            </w:pPr>
          </w:p>
        </w:tc>
        <w:tc>
          <w:tcPr>
            <w:tcW w:w="4229" w:type="dxa"/>
            <w:gridSpan w:val="3"/>
            <w:tcBorders>
              <w:left w:val="thinThickThinSmallGap" w:sz="24" w:space="0" w:color="auto"/>
              <w:right w:val="single" w:sz="4" w:space="0" w:color="auto"/>
            </w:tcBorders>
            <w:shd w:val="clear" w:color="auto" w:fill="FFFFFF" w:themeFill="background1"/>
            <w:vAlign w:val="center"/>
          </w:tcPr>
          <w:p w:rsidR="00097B5C" w:rsidRPr="00C268A3" w:rsidRDefault="008B0FDA" w:rsidP="00E74E03">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1/Not Service-</w:t>
            </w:r>
            <w:r w:rsidR="00097B5C" w:rsidRPr="00C268A3">
              <w:rPr>
                <w:rFonts w:ascii="Calibri" w:hAnsi="Calibri" w:cs="Calibri"/>
                <w:color w:val="auto"/>
                <w:sz w:val="18"/>
                <w:szCs w:val="18"/>
              </w:rPr>
              <w:t>Connected x 0</w:t>
            </w:r>
          </w:p>
        </w:tc>
        <w:tc>
          <w:tcPr>
            <w:tcW w:w="996" w:type="dxa"/>
            <w:tcBorders>
              <w:left w:val="single" w:sz="4" w:space="0" w:color="auto"/>
            </w:tcBorders>
            <w:shd w:val="clear" w:color="auto" w:fill="FFFFFF" w:themeFill="background1"/>
            <w:vAlign w:val="center"/>
          </w:tcPr>
          <w:p w:rsidR="00097B5C" w:rsidRPr="00C268A3" w:rsidRDefault="00097B5C" w:rsidP="00E74E03">
            <w:pPr>
              <w:spacing w:line="180" w:lineRule="exact"/>
              <w:contextualSpacing/>
              <w:rPr>
                <w:rFonts w:ascii="Calibri" w:eastAsia="Times New Roman" w:hAnsi="Calibri" w:cs="Calibri"/>
                <w:color w:val="auto"/>
                <w:sz w:val="18"/>
                <w:szCs w:val="18"/>
              </w:rPr>
            </w:pPr>
            <w:r w:rsidRPr="00C268A3">
              <w:rPr>
                <w:rFonts w:ascii="Calibri" w:eastAsia="Times New Roman" w:hAnsi="Calibri" w:cs="Calibri"/>
                <w:color w:val="auto"/>
                <w:sz w:val="18"/>
                <w:szCs w:val="18"/>
              </w:rPr>
              <w:t>20081212</w:t>
            </w:r>
          </w:p>
        </w:tc>
      </w:tr>
      <w:tr w:rsidR="00E74E03" w:rsidRPr="00C268A3" w:rsidTr="00E74E03">
        <w:trPr>
          <w:trHeight w:val="124"/>
        </w:trPr>
        <w:tc>
          <w:tcPr>
            <w:tcW w:w="4153" w:type="dxa"/>
            <w:gridSpan w:val="3"/>
            <w:tcBorders>
              <w:right w:val="thinThickThinSmallGap" w:sz="24" w:space="0" w:color="auto"/>
            </w:tcBorders>
            <w:shd w:val="clear" w:color="auto" w:fill="D9D9D9" w:themeFill="background1" w:themeFillShade="D9"/>
            <w:vAlign w:val="center"/>
          </w:tcPr>
          <w:p w:rsidR="00E74E03" w:rsidRPr="00C268A3" w:rsidRDefault="00E74E03" w:rsidP="00E74E03">
            <w:pPr>
              <w:contextualSpacing/>
              <w:rPr>
                <w:rFonts w:ascii="Calibri" w:hAnsi="Calibri" w:cs="Calibri"/>
                <w:b/>
                <w:color w:val="auto"/>
                <w:sz w:val="18"/>
                <w:szCs w:val="18"/>
              </w:rPr>
            </w:pPr>
            <w:r w:rsidRPr="00C268A3">
              <w:rPr>
                <w:rFonts w:ascii="Calibri" w:hAnsi="Calibri" w:cs="Calibri"/>
                <w:b/>
                <w:color w:val="auto"/>
                <w:sz w:val="18"/>
                <w:szCs w:val="18"/>
              </w:rPr>
              <w:t>Combined:  20%</w:t>
            </w:r>
          </w:p>
        </w:tc>
        <w:tc>
          <w:tcPr>
            <w:tcW w:w="5225" w:type="dxa"/>
            <w:gridSpan w:val="4"/>
            <w:tcBorders>
              <w:left w:val="thinThickThinSmallGap" w:sz="24" w:space="0" w:color="auto"/>
            </w:tcBorders>
            <w:shd w:val="clear" w:color="auto" w:fill="D9D9D9" w:themeFill="background1" w:themeFillShade="D9"/>
            <w:vAlign w:val="center"/>
          </w:tcPr>
          <w:p w:rsidR="00E74E03" w:rsidRPr="00C268A3" w:rsidRDefault="00E74E03" w:rsidP="00E74E03">
            <w:pPr>
              <w:contextualSpacing/>
              <w:rPr>
                <w:rFonts w:ascii="Calibri" w:hAnsi="Calibri" w:cs="Calibri"/>
                <w:b/>
                <w:color w:val="auto"/>
                <w:sz w:val="18"/>
                <w:szCs w:val="18"/>
              </w:rPr>
            </w:pPr>
            <w:r w:rsidRPr="00C268A3">
              <w:rPr>
                <w:rFonts w:ascii="Calibri" w:hAnsi="Calibri" w:cs="Calibri"/>
                <w:b/>
                <w:color w:val="auto"/>
                <w:sz w:val="18"/>
                <w:szCs w:val="18"/>
              </w:rPr>
              <w:t>Combined:  20%</w:t>
            </w:r>
          </w:p>
        </w:tc>
      </w:tr>
    </w:tbl>
    <w:p w:rsidR="007E124B" w:rsidRPr="00C268A3" w:rsidRDefault="007E124B" w:rsidP="00A97CD9">
      <w:pPr>
        <w:pBdr>
          <w:bottom w:val="single" w:sz="12" w:space="1" w:color="auto"/>
        </w:pBdr>
        <w:tabs>
          <w:tab w:val="left" w:pos="288"/>
          <w:tab w:val="left" w:pos="4752"/>
        </w:tabs>
        <w:jc w:val="both"/>
        <w:rPr>
          <w:color w:val="auto"/>
          <w:szCs w:val="24"/>
        </w:rPr>
      </w:pPr>
    </w:p>
    <w:p w:rsidR="009369A6" w:rsidRPr="00C268A3" w:rsidRDefault="009369A6" w:rsidP="00097B5C">
      <w:pPr>
        <w:jc w:val="both"/>
        <w:rPr>
          <w:color w:val="auto"/>
          <w:szCs w:val="24"/>
          <w:u w:val="single"/>
        </w:rPr>
      </w:pPr>
    </w:p>
    <w:p w:rsidR="00121F8D" w:rsidRDefault="002C6E5B" w:rsidP="00121F8D">
      <w:pPr>
        <w:tabs>
          <w:tab w:val="left" w:pos="288"/>
          <w:tab w:val="left" w:pos="4752"/>
        </w:tabs>
        <w:jc w:val="both"/>
        <w:rPr>
          <w:color w:val="000000" w:themeColor="text1"/>
          <w:szCs w:val="24"/>
        </w:rPr>
      </w:pPr>
      <w:r w:rsidRPr="00C268A3">
        <w:rPr>
          <w:color w:val="auto"/>
          <w:szCs w:val="24"/>
          <w:u w:val="single"/>
        </w:rPr>
        <w:t>ANALYSIS SUMMARY</w:t>
      </w:r>
      <w:r w:rsidRPr="00C268A3">
        <w:rPr>
          <w:color w:val="auto"/>
          <w:szCs w:val="24"/>
        </w:rPr>
        <w:t>:</w:t>
      </w:r>
      <w:r w:rsidR="00B505E9" w:rsidRPr="00C268A3">
        <w:rPr>
          <w:color w:val="auto"/>
          <w:szCs w:val="24"/>
        </w:rPr>
        <w:t xml:space="preserve">  </w:t>
      </w:r>
      <w:r w:rsidR="00121F8D" w:rsidRPr="00C268A3">
        <w:rPr>
          <w:color w:val="auto"/>
          <w:szCs w:val="24"/>
        </w:rPr>
        <w:t>The Board acknowledges the sentiment expressed in the CI’s application regarding the significant impairment with which his</w:t>
      </w:r>
      <w:r w:rsidR="00121F8D" w:rsidRPr="00121F8D">
        <w:rPr>
          <w:color w:val="000000" w:themeColor="text1"/>
          <w:szCs w:val="24"/>
        </w:rPr>
        <w:t xml:space="preserve"> service-incurred condition continues to burden him.</w:t>
      </w:r>
      <w:r w:rsidR="00121F8D">
        <w:rPr>
          <w:color w:val="000000" w:themeColor="text1"/>
          <w:szCs w:val="24"/>
        </w:rPr>
        <w:t xml:space="preserve"> </w:t>
      </w:r>
      <w:r w:rsidR="005E31B3">
        <w:rPr>
          <w:color w:val="000000" w:themeColor="text1"/>
          <w:szCs w:val="24"/>
        </w:rPr>
        <w:t xml:space="preserve"> </w:t>
      </w:r>
      <w:r w:rsidR="00121F8D" w:rsidRPr="00121F8D">
        <w:rPr>
          <w:color w:val="000000" w:themeColor="text1"/>
          <w:szCs w:val="24"/>
        </w:rPr>
        <w:t xml:space="preserve">It is a fact, however, that the </w:t>
      </w:r>
      <w:r w:rsidR="008B0FDA">
        <w:rPr>
          <w:color w:val="000000" w:themeColor="text1"/>
          <w:szCs w:val="24"/>
        </w:rPr>
        <w:t>Disability Evaluation System (</w:t>
      </w:r>
      <w:r w:rsidR="00121F8D" w:rsidRPr="00121F8D">
        <w:rPr>
          <w:color w:val="000000" w:themeColor="text1"/>
          <w:szCs w:val="24"/>
        </w:rPr>
        <w:t>DES</w:t>
      </w:r>
      <w:r w:rsidR="008B0FDA">
        <w:rPr>
          <w:color w:val="000000" w:themeColor="text1"/>
          <w:szCs w:val="24"/>
        </w:rPr>
        <w:t>)</w:t>
      </w:r>
      <w:r w:rsidR="00121F8D" w:rsidRPr="00121F8D">
        <w:rPr>
          <w:color w:val="000000" w:themeColor="text1"/>
          <w:szCs w:val="24"/>
        </w:rPr>
        <w:t xml:space="preserve"> has neither the role nor the authority to compensate service members for anticipated future severity or potential complications of conditions resulting in medical separation.</w:t>
      </w:r>
      <w:r w:rsidR="005E31B3">
        <w:rPr>
          <w:color w:val="000000" w:themeColor="text1"/>
          <w:szCs w:val="24"/>
        </w:rPr>
        <w:t xml:space="preserve"> </w:t>
      </w:r>
      <w:r w:rsidR="00121F8D" w:rsidRPr="00121F8D">
        <w:rPr>
          <w:color w:val="000000" w:themeColor="text1"/>
          <w:szCs w:val="24"/>
        </w:rPr>
        <w:t xml:space="preserve"> This role and authority is granted by Congress to the </w:t>
      </w:r>
      <w:r w:rsidR="008B0FDA">
        <w:rPr>
          <w:color w:val="000000" w:themeColor="text1"/>
          <w:szCs w:val="24"/>
        </w:rPr>
        <w:t xml:space="preserve">Department of </w:t>
      </w:r>
      <w:r w:rsidR="00121F8D" w:rsidRPr="00121F8D">
        <w:rPr>
          <w:color w:val="000000" w:themeColor="text1"/>
          <w:szCs w:val="24"/>
        </w:rPr>
        <w:t>Veterans</w:t>
      </w:r>
      <w:r w:rsidR="008B0FDA">
        <w:rPr>
          <w:color w:val="000000" w:themeColor="text1"/>
          <w:szCs w:val="24"/>
        </w:rPr>
        <w:t>’ Affairs (DVA)</w:t>
      </w:r>
      <w:r w:rsidR="00121F8D" w:rsidRPr="005E31B3">
        <w:rPr>
          <w:color w:val="auto"/>
          <w:szCs w:val="24"/>
        </w:rPr>
        <w:t>.</w:t>
      </w:r>
      <w:r w:rsidR="00121F8D" w:rsidRPr="005E31B3">
        <w:rPr>
          <w:color w:val="auto"/>
        </w:rPr>
        <w:t xml:space="preserve"> </w:t>
      </w:r>
      <w:r w:rsidR="005E31B3" w:rsidRPr="005E31B3">
        <w:rPr>
          <w:color w:val="auto"/>
        </w:rPr>
        <w:t xml:space="preserve"> </w:t>
      </w:r>
      <w:r w:rsidR="00121F8D" w:rsidRPr="005E31B3">
        <w:rPr>
          <w:color w:val="auto"/>
          <w:szCs w:val="24"/>
        </w:rPr>
        <w:t>The Board</w:t>
      </w:r>
      <w:r w:rsidR="00121F8D" w:rsidRPr="00121F8D">
        <w:rPr>
          <w:color w:val="000000" w:themeColor="text1"/>
          <w:szCs w:val="24"/>
        </w:rPr>
        <w:t xml:space="preserve"> utilizes </w:t>
      </w:r>
      <w:r w:rsidR="008B0FDA">
        <w:rPr>
          <w:color w:val="000000" w:themeColor="text1"/>
          <w:szCs w:val="24"/>
        </w:rPr>
        <w:t>D</w:t>
      </w:r>
      <w:r w:rsidR="00121F8D" w:rsidRPr="00121F8D">
        <w:rPr>
          <w:color w:val="000000" w:themeColor="text1"/>
          <w:szCs w:val="24"/>
        </w:rPr>
        <w:t xml:space="preserve">VA evidence proximal to separation in arriving at its recommendations; and, DoDI 6040.44 defines a 12-month interval for special consideration to post-separation evidence. </w:t>
      </w:r>
      <w:r w:rsidR="005E31B3">
        <w:rPr>
          <w:color w:val="000000" w:themeColor="text1"/>
          <w:szCs w:val="24"/>
        </w:rPr>
        <w:t xml:space="preserve"> </w:t>
      </w:r>
      <w:r w:rsidR="00121F8D" w:rsidRPr="00121F8D">
        <w:rPr>
          <w:color w:val="000000" w:themeColor="text1"/>
          <w:szCs w:val="24"/>
        </w:rPr>
        <w:t xml:space="preserve">The Board’s authority as defined in DoDI 6040.44, however, resides in evaluating the fairness of DES fitness determinations and rating decisions for disability at the time of separation. </w:t>
      </w:r>
      <w:r w:rsidR="005E31B3">
        <w:rPr>
          <w:color w:val="000000" w:themeColor="text1"/>
          <w:szCs w:val="24"/>
        </w:rPr>
        <w:t xml:space="preserve"> </w:t>
      </w:r>
      <w:r w:rsidR="00121F8D" w:rsidRPr="00121F8D">
        <w:rPr>
          <w:color w:val="000000" w:themeColor="text1"/>
          <w:szCs w:val="24"/>
        </w:rPr>
        <w:t>Post-separation evidence therefore is probative only to the extent that it reasonably reflects the disability and fitness implications at the time of separation.</w:t>
      </w:r>
      <w:r w:rsidR="00AB13DA">
        <w:rPr>
          <w:color w:val="000000" w:themeColor="text1"/>
          <w:szCs w:val="24"/>
        </w:rPr>
        <w:t xml:space="preserve">  </w:t>
      </w:r>
    </w:p>
    <w:p w:rsidR="002C6E5B" w:rsidRPr="001F29F9" w:rsidRDefault="002C6E5B" w:rsidP="009369A6">
      <w:pPr>
        <w:jc w:val="left"/>
        <w:rPr>
          <w:color w:val="000000" w:themeColor="text1"/>
          <w:szCs w:val="24"/>
          <w:u w:val="single"/>
        </w:rPr>
      </w:pPr>
    </w:p>
    <w:p w:rsidR="007D0C14" w:rsidRPr="00C268A3" w:rsidRDefault="002F39FD" w:rsidP="007D0C14">
      <w:pPr>
        <w:jc w:val="both"/>
        <w:rPr>
          <w:rFonts w:asciiTheme="minorHAnsi" w:hAnsiTheme="minorHAnsi" w:cs="Times New Roman"/>
          <w:color w:val="auto"/>
          <w:szCs w:val="24"/>
        </w:rPr>
      </w:pPr>
      <w:r w:rsidRPr="002F39FD">
        <w:rPr>
          <w:color w:val="000000" w:themeColor="text1"/>
          <w:szCs w:val="24"/>
          <w:u w:val="single"/>
        </w:rPr>
        <w:t xml:space="preserve">S/P Fusion L4-5 and L5-S1 for </w:t>
      </w:r>
      <w:r w:rsidRPr="007576A8">
        <w:rPr>
          <w:color w:val="000000" w:themeColor="text1"/>
          <w:szCs w:val="24"/>
          <w:u w:val="single"/>
        </w:rPr>
        <w:t>HNP Co</w:t>
      </w:r>
      <w:r w:rsidR="003F2EEE" w:rsidRPr="007576A8">
        <w:rPr>
          <w:color w:val="000000" w:themeColor="text1"/>
          <w:szCs w:val="24"/>
          <w:u w:val="single"/>
        </w:rPr>
        <w:t>ndition</w:t>
      </w:r>
      <w:r w:rsidR="003F2EEE" w:rsidRPr="00560280">
        <w:rPr>
          <w:color w:val="000000" w:themeColor="text1"/>
          <w:szCs w:val="24"/>
        </w:rPr>
        <w:t xml:space="preserve">.  </w:t>
      </w:r>
      <w:r w:rsidR="007D0C14">
        <w:rPr>
          <w:color w:val="000000" w:themeColor="text1"/>
          <w:szCs w:val="24"/>
        </w:rPr>
        <w:t xml:space="preserve">This includes all </w:t>
      </w:r>
      <w:r w:rsidR="007D0C14" w:rsidRPr="007D0C14">
        <w:rPr>
          <w:color w:val="auto"/>
          <w:szCs w:val="24"/>
        </w:rPr>
        <w:t>thoracolumbar disability (and diagnoses) that are ratable IAW VASRD §</w:t>
      </w:r>
      <w:proofErr w:type="gramStart"/>
      <w:r w:rsidR="007D0C14" w:rsidRPr="007D0C14">
        <w:rPr>
          <w:color w:val="auto"/>
          <w:szCs w:val="24"/>
        </w:rPr>
        <w:t>4.71a.</w:t>
      </w:r>
      <w:r w:rsidR="00B1023C">
        <w:rPr>
          <w:color w:val="auto"/>
          <w:szCs w:val="24"/>
        </w:rPr>
        <w:t>,</w:t>
      </w:r>
      <w:proofErr w:type="gramEnd"/>
      <w:r w:rsidR="007D0C14" w:rsidRPr="007D0C14">
        <w:rPr>
          <w:color w:val="auto"/>
          <w:szCs w:val="24"/>
        </w:rPr>
        <w:t xml:space="preserve"> under the </w:t>
      </w:r>
      <w:r w:rsidR="008B0FDA">
        <w:rPr>
          <w:color w:val="auto"/>
          <w:szCs w:val="24"/>
        </w:rPr>
        <w:t>g</w:t>
      </w:r>
      <w:r w:rsidR="007D0C14" w:rsidRPr="007D0C14">
        <w:rPr>
          <w:color w:val="auto"/>
          <w:szCs w:val="24"/>
        </w:rPr>
        <w:t xml:space="preserve">eneral </w:t>
      </w:r>
      <w:r w:rsidR="008B0FDA">
        <w:rPr>
          <w:color w:val="auto"/>
          <w:szCs w:val="24"/>
        </w:rPr>
        <w:t>r</w:t>
      </w:r>
      <w:r w:rsidR="007D0C14" w:rsidRPr="007D0C14">
        <w:rPr>
          <w:color w:val="auto"/>
          <w:szCs w:val="24"/>
        </w:rPr>
        <w:t xml:space="preserve">ating </w:t>
      </w:r>
      <w:r w:rsidR="008B0FDA">
        <w:rPr>
          <w:color w:val="auto"/>
          <w:szCs w:val="24"/>
        </w:rPr>
        <w:t>f</w:t>
      </w:r>
      <w:r w:rsidR="007D0C14" w:rsidRPr="007D0C14">
        <w:rPr>
          <w:color w:val="auto"/>
          <w:szCs w:val="24"/>
        </w:rPr>
        <w:t xml:space="preserve">ormula for </w:t>
      </w:r>
      <w:r w:rsidR="008B0FDA">
        <w:rPr>
          <w:color w:val="auto"/>
          <w:szCs w:val="24"/>
        </w:rPr>
        <w:t>d</w:t>
      </w:r>
      <w:r w:rsidR="007D0C14" w:rsidRPr="007D0C14">
        <w:rPr>
          <w:color w:val="auto"/>
          <w:szCs w:val="24"/>
        </w:rPr>
        <w:t xml:space="preserve">iseases and </w:t>
      </w:r>
      <w:r w:rsidR="008B0FDA">
        <w:rPr>
          <w:color w:val="auto"/>
          <w:szCs w:val="24"/>
        </w:rPr>
        <w:t>i</w:t>
      </w:r>
      <w:r w:rsidR="007D0C14" w:rsidRPr="007D0C14">
        <w:rPr>
          <w:color w:val="auto"/>
          <w:szCs w:val="24"/>
        </w:rPr>
        <w:t xml:space="preserve">njuries of the </w:t>
      </w:r>
      <w:r w:rsidR="008B0FDA">
        <w:rPr>
          <w:color w:val="auto"/>
          <w:szCs w:val="24"/>
        </w:rPr>
        <w:t>s</w:t>
      </w:r>
      <w:r w:rsidR="007D0C14" w:rsidRPr="007D0C14">
        <w:rPr>
          <w:color w:val="auto"/>
          <w:szCs w:val="24"/>
        </w:rPr>
        <w:t>pine</w:t>
      </w:r>
      <w:r w:rsidR="003F2EEE" w:rsidRPr="007D0C14">
        <w:rPr>
          <w:color w:val="auto"/>
          <w:szCs w:val="24"/>
        </w:rPr>
        <w:t xml:space="preserve"> </w:t>
      </w:r>
      <w:r w:rsidR="007D0C14" w:rsidRPr="007D0C14">
        <w:rPr>
          <w:color w:val="auto"/>
          <w:szCs w:val="24"/>
        </w:rPr>
        <w:t xml:space="preserve">(specifically includes any contribution from the healed L2 </w:t>
      </w:r>
      <w:r w:rsidR="008B0FDA">
        <w:rPr>
          <w:color w:val="auto"/>
          <w:szCs w:val="24"/>
        </w:rPr>
        <w:t>v</w:t>
      </w:r>
      <w:r w:rsidR="007D0C14" w:rsidRPr="007D0C14">
        <w:rPr>
          <w:color w:val="auto"/>
          <w:szCs w:val="24"/>
        </w:rPr>
        <w:t xml:space="preserve">ertebral </w:t>
      </w:r>
      <w:r w:rsidR="008B0FDA">
        <w:rPr>
          <w:color w:val="auto"/>
          <w:szCs w:val="24"/>
        </w:rPr>
        <w:t>f</w:t>
      </w:r>
      <w:r w:rsidR="007D0C14" w:rsidRPr="007D0C14">
        <w:rPr>
          <w:color w:val="auto"/>
          <w:szCs w:val="24"/>
        </w:rPr>
        <w:t xml:space="preserve">racture).  </w:t>
      </w:r>
      <w:r w:rsidR="007D0C14" w:rsidRPr="00560280">
        <w:rPr>
          <w:color w:val="000000" w:themeColor="text1"/>
          <w:szCs w:val="24"/>
        </w:rPr>
        <w:t>T</w:t>
      </w:r>
      <w:r w:rsidR="008B0FDA">
        <w:rPr>
          <w:color w:val="000000" w:themeColor="text1"/>
          <w:szCs w:val="24"/>
        </w:rPr>
        <w:t>here were two goniometric range-of-</w:t>
      </w:r>
      <w:r w:rsidR="007D0C14" w:rsidRPr="00560280">
        <w:rPr>
          <w:color w:val="000000" w:themeColor="text1"/>
          <w:szCs w:val="24"/>
        </w:rPr>
        <w:t xml:space="preserve">motion (ROM) evaluations in </w:t>
      </w:r>
      <w:r w:rsidR="007D0C14" w:rsidRPr="00C268A3">
        <w:rPr>
          <w:color w:val="auto"/>
          <w:szCs w:val="24"/>
        </w:rPr>
        <w:t>evidence, with documentation of additional ratable criteria, which the Board weighed in arriving at its rating recommendation</w:t>
      </w:r>
      <w:r w:rsidR="007D0C14" w:rsidRPr="00C268A3">
        <w:rPr>
          <w:rFonts w:asciiTheme="minorHAnsi" w:hAnsiTheme="minorHAnsi" w:cs="Times New Roman"/>
          <w:color w:val="auto"/>
          <w:szCs w:val="24"/>
        </w:rPr>
        <w:t xml:space="preserve">.  </w:t>
      </w:r>
    </w:p>
    <w:p w:rsidR="000109B6" w:rsidRPr="00C268A3" w:rsidRDefault="000109B6" w:rsidP="007D0C14">
      <w:pPr>
        <w:jc w:val="both"/>
        <w:rPr>
          <w:rFonts w:asciiTheme="minorHAnsi" w:hAnsiTheme="minorHAns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185"/>
        <w:gridCol w:w="3060"/>
      </w:tblGrid>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B13DA" w:rsidRPr="00C268A3" w:rsidRDefault="00AB13DA" w:rsidP="001F76AC">
            <w:pPr>
              <w:pStyle w:val="ListParagraph"/>
              <w:spacing w:after="0" w:line="200" w:lineRule="exact"/>
              <w:ind w:left="0"/>
              <w:rPr>
                <w:rFonts w:eastAsia="Calibri" w:cstheme="minorHAnsi"/>
                <w:b/>
                <w:sz w:val="20"/>
                <w:szCs w:val="18"/>
              </w:rPr>
            </w:pPr>
            <w:r w:rsidRPr="00C268A3">
              <w:rPr>
                <w:rFonts w:eastAsia="Calibri" w:cstheme="minorHAnsi"/>
                <w:sz w:val="20"/>
                <w:szCs w:val="18"/>
              </w:rPr>
              <w:t>Thoracolumbar ROM</w:t>
            </w:r>
          </w:p>
        </w:tc>
        <w:tc>
          <w:tcPr>
            <w:tcW w:w="218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B13DA" w:rsidRPr="00C268A3" w:rsidRDefault="00AB13DA" w:rsidP="000109B6">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MEB ~6 Mo. Pre-Sep</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B13DA" w:rsidRPr="00C268A3" w:rsidRDefault="000109B6" w:rsidP="000109B6">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C&amp;P</w:t>
            </w:r>
            <w:r w:rsidR="00AB13DA" w:rsidRPr="00C268A3">
              <w:rPr>
                <w:rFonts w:asciiTheme="minorHAnsi" w:eastAsia="Calibri" w:hAnsiTheme="minorHAnsi"/>
                <w:color w:val="auto"/>
                <w:sz w:val="20"/>
                <w:szCs w:val="18"/>
              </w:rPr>
              <w:t xml:space="preserve"> ~4 Mo. Pre-Sep</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cstheme="minorHAnsi"/>
                <w:sz w:val="20"/>
                <w:szCs w:val="18"/>
              </w:rPr>
              <w:t>Flexion (90⁰ Normal)</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45⁰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35⁰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Ext (0-30)</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20⁰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10⁰</w:t>
            </w:r>
          </w:p>
        </w:tc>
      </w:tr>
      <w:tr w:rsidR="00AB13DA" w:rsidRPr="00C268A3" w:rsidTr="00AB13DA">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R Lat Flex (0-30)</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7D0C14">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15⁰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L Lat Flex 0-30)</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15⁰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R Rotation (0-30)</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45⁰ (30⁰)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20⁰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L Rotation (0-30)</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45⁰ (30⁰)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20⁰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Combined (240⁰)</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145⁰</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rPr>
                <w:rFonts w:asciiTheme="minorHAnsi" w:hAnsiTheme="minorHAnsi"/>
                <w:color w:val="auto"/>
                <w:sz w:val="20"/>
                <w:szCs w:val="18"/>
              </w:rPr>
            </w:pPr>
            <w:r w:rsidRPr="00C268A3">
              <w:rPr>
                <w:rFonts w:asciiTheme="minorHAnsi" w:eastAsia="Calibri" w:hAnsiTheme="minorHAnsi"/>
                <w:color w:val="auto"/>
                <w:sz w:val="20"/>
                <w:szCs w:val="18"/>
              </w:rPr>
              <w:t>115⁰</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Comment</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Normal gait; motor/reflexes normal</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Gait &amp; posture normal; + tenderness; - SLR bilat; no spasms; no pain radiation on movement; sensory/motor normal</w:t>
            </w:r>
          </w:p>
        </w:tc>
      </w:tr>
      <w:tr w:rsidR="00AB13DA" w:rsidRPr="00C268A3" w:rsidTr="00AB13D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§4.71a Rating</w:t>
            </w:r>
          </w:p>
        </w:tc>
        <w:tc>
          <w:tcPr>
            <w:tcW w:w="2185"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spacing w:line="200" w:lineRule="exact"/>
              <w:contextualSpacing/>
              <w:rPr>
                <w:rFonts w:asciiTheme="minorHAnsi" w:eastAsia="Calibri" w:hAnsiTheme="minorHAnsi"/>
                <w:color w:val="auto"/>
                <w:sz w:val="20"/>
                <w:szCs w:val="18"/>
              </w:rPr>
            </w:pPr>
            <w:r w:rsidRPr="00C268A3">
              <w:rPr>
                <w:rFonts w:asciiTheme="minorHAnsi" w:eastAsia="Calibri" w:hAnsiTheme="minorHAnsi"/>
                <w:color w:val="auto"/>
                <w:sz w:val="20"/>
                <w:szCs w:val="18"/>
              </w:rPr>
              <w:t>20%</w:t>
            </w:r>
          </w:p>
        </w:tc>
        <w:tc>
          <w:tcPr>
            <w:tcW w:w="3060" w:type="dxa"/>
            <w:tcBorders>
              <w:top w:val="single" w:sz="4" w:space="0" w:color="000000"/>
              <w:left w:val="single" w:sz="4" w:space="0" w:color="000000"/>
              <w:bottom w:val="single" w:sz="4" w:space="0" w:color="000000"/>
              <w:right w:val="single" w:sz="4" w:space="0" w:color="000000"/>
            </w:tcBorders>
            <w:vAlign w:val="center"/>
          </w:tcPr>
          <w:p w:rsidR="00AB13DA" w:rsidRPr="00C268A3" w:rsidRDefault="00AB13DA" w:rsidP="001F76AC">
            <w:pPr>
              <w:pStyle w:val="ListParagraph"/>
              <w:spacing w:after="0" w:line="200" w:lineRule="exact"/>
              <w:ind w:left="0"/>
              <w:rPr>
                <w:rFonts w:eastAsia="Calibri" w:cstheme="minorHAnsi"/>
                <w:sz w:val="20"/>
                <w:szCs w:val="18"/>
              </w:rPr>
            </w:pPr>
            <w:r w:rsidRPr="00C268A3">
              <w:rPr>
                <w:rFonts w:eastAsia="Calibri" w:cstheme="minorHAnsi"/>
                <w:sz w:val="20"/>
                <w:szCs w:val="18"/>
              </w:rPr>
              <w:t>20%</w:t>
            </w:r>
          </w:p>
        </w:tc>
      </w:tr>
    </w:tbl>
    <w:p w:rsidR="007D0C14" w:rsidRPr="00C268A3" w:rsidRDefault="007D0C14" w:rsidP="007D0C14">
      <w:pPr>
        <w:jc w:val="both"/>
        <w:rPr>
          <w:color w:val="auto"/>
          <w:szCs w:val="24"/>
        </w:rPr>
      </w:pPr>
    </w:p>
    <w:p w:rsidR="00F9564A" w:rsidRDefault="00AB13DA" w:rsidP="00F9564A">
      <w:pPr>
        <w:jc w:val="both"/>
        <w:rPr>
          <w:color w:val="auto"/>
          <w:szCs w:val="24"/>
        </w:rPr>
      </w:pPr>
      <w:r w:rsidRPr="00C268A3">
        <w:rPr>
          <w:color w:val="auto"/>
          <w:szCs w:val="24"/>
        </w:rPr>
        <w:t xml:space="preserve">At the MEB exam, the CI reported continued back pain and stiffness with limitations in bending running or performing strenuous physical activity.  There </w:t>
      </w:r>
      <w:r w:rsidR="00F9564A" w:rsidRPr="00C268A3">
        <w:rPr>
          <w:color w:val="auto"/>
          <w:szCs w:val="24"/>
        </w:rPr>
        <w:t>was no radicular pain or leg symptom</w:t>
      </w:r>
      <w:r w:rsidRPr="00C268A3">
        <w:rPr>
          <w:color w:val="auto"/>
          <w:szCs w:val="24"/>
        </w:rPr>
        <w:t xml:space="preserve">.  </w:t>
      </w:r>
      <w:r w:rsidR="00F9564A" w:rsidRPr="00C268A3">
        <w:rPr>
          <w:color w:val="auto"/>
          <w:szCs w:val="24"/>
        </w:rPr>
        <w:t xml:space="preserve">Imaging indicated good healing with retained hardware and post-surgical changes.  The MEB exam indicated well healed scars with limited ROM as charted above.  </w:t>
      </w:r>
      <w:r w:rsidRPr="00C268A3">
        <w:rPr>
          <w:color w:val="auto"/>
          <w:szCs w:val="24"/>
        </w:rPr>
        <w:t xml:space="preserve">The examiner summarized as </w:t>
      </w:r>
      <w:r w:rsidR="00F9564A" w:rsidRPr="00C268A3">
        <w:rPr>
          <w:color w:val="auto"/>
          <w:szCs w:val="24"/>
        </w:rPr>
        <w:t>“</w:t>
      </w:r>
      <w:r w:rsidR="008B0FDA">
        <w:rPr>
          <w:color w:val="auto"/>
          <w:szCs w:val="24"/>
        </w:rPr>
        <w:t>i</w:t>
      </w:r>
      <w:r w:rsidR="00F9564A" w:rsidRPr="00C268A3">
        <w:rPr>
          <w:color w:val="auto"/>
          <w:szCs w:val="24"/>
        </w:rPr>
        <w:t>n his personal life he is restricted from most leisure activities and will be unable to perform but basic household work.  He suffers from daily episo</w:t>
      </w:r>
      <w:r w:rsidR="00F9564A" w:rsidRPr="00F9564A">
        <w:rPr>
          <w:color w:val="auto"/>
          <w:szCs w:val="24"/>
        </w:rPr>
        <w:t>des of pain requiring</w:t>
      </w:r>
      <w:r w:rsidR="00F9564A">
        <w:rPr>
          <w:color w:val="auto"/>
          <w:szCs w:val="24"/>
        </w:rPr>
        <w:t xml:space="preserve"> </w:t>
      </w:r>
      <w:r w:rsidR="00F9564A" w:rsidRPr="00F9564A">
        <w:rPr>
          <w:color w:val="auto"/>
          <w:szCs w:val="24"/>
        </w:rPr>
        <w:t>intermittent use of non-steroidal anti-inflammatory drugs,</w:t>
      </w:r>
      <w:r w:rsidR="00F9564A">
        <w:rPr>
          <w:color w:val="auto"/>
          <w:szCs w:val="24"/>
        </w:rPr>
        <w:t xml:space="preserve"> </w:t>
      </w:r>
      <w:r w:rsidR="00F9564A" w:rsidRPr="00F9564A">
        <w:rPr>
          <w:color w:val="auto"/>
          <w:szCs w:val="24"/>
        </w:rPr>
        <w:t>acetaminophen, and occasional narcotics.</w:t>
      </w:r>
      <w:r w:rsidR="00F9564A">
        <w:rPr>
          <w:color w:val="auto"/>
          <w:szCs w:val="24"/>
        </w:rPr>
        <w:t xml:space="preserve">”  </w:t>
      </w:r>
    </w:p>
    <w:p w:rsidR="00F9564A" w:rsidRDefault="00F9564A" w:rsidP="00F9564A">
      <w:pPr>
        <w:jc w:val="both"/>
        <w:rPr>
          <w:color w:val="auto"/>
          <w:szCs w:val="24"/>
        </w:rPr>
      </w:pPr>
    </w:p>
    <w:p w:rsidR="008C3334" w:rsidRPr="008C3334" w:rsidRDefault="00AB13DA" w:rsidP="008C3334">
      <w:pPr>
        <w:jc w:val="both"/>
        <w:rPr>
          <w:color w:val="auto"/>
          <w:szCs w:val="24"/>
        </w:rPr>
      </w:pPr>
      <w:r w:rsidRPr="00F64312">
        <w:rPr>
          <w:color w:val="auto"/>
          <w:szCs w:val="24"/>
        </w:rPr>
        <w:lastRenderedPageBreak/>
        <w:t>At the VA Compensation and Pension (C&amp;P) exam</w:t>
      </w:r>
      <w:r>
        <w:rPr>
          <w:color w:val="auto"/>
          <w:szCs w:val="24"/>
        </w:rPr>
        <w:t xml:space="preserve"> </w:t>
      </w:r>
      <w:r w:rsidRPr="00F9564A">
        <w:rPr>
          <w:color w:val="auto"/>
          <w:szCs w:val="24"/>
        </w:rPr>
        <w:t>prior to</w:t>
      </w:r>
      <w:r w:rsidR="00F9564A" w:rsidRPr="00F9564A">
        <w:rPr>
          <w:color w:val="auto"/>
          <w:szCs w:val="24"/>
        </w:rPr>
        <w:t xml:space="preserve"> </w:t>
      </w:r>
      <w:r>
        <w:rPr>
          <w:color w:val="auto"/>
          <w:szCs w:val="24"/>
        </w:rPr>
        <w:t>separation</w:t>
      </w:r>
      <w:r w:rsidRPr="00F64312">
        <w:rPr>
          <w:color w:val="auto"/>
          <w:szCs w:val="24"/>
        </w:rPr>
        <w:t>, the CI reported</w:t>
      </w:r>
      <w:r w:rsidR="00F9564A">
        <w:rPr>
          <w:color w:val="auto"/>
          <w:szCs w:val="24"/>
        </w:rPr>
        <w:t xml:space="preserve"> similar history and complaints of constant lower back stiffness and pain with variation; “</w:t>
      </w:r>
      <w:r w:rsidR="008B0FDA">
        <w:rPr>
          <w:color w:val="auto"/>
          <w:szCs w:val="24"/>
        </w:rPr>
        <w:t>i</w:t>
      </w:r>
      <w:r w:rsidR="00F9564A">
        <w:rPr>
          <w:color w:val="auto"/>
          <w:szCs w:val="24"/>
        </w:rPr>
        <w:t xml:space="preserve">t does not travel.”  Pain was aggravated by physical activity or “sitting or lying too long (specified as 5 minutes).”  There was no period of incapacitation outside of the surgery period.  </w:t>
      </w:r>
      <w:r w:rsidR="008C3334">
        <w:rPr>
          <w:color w:val="auto"/>
          <w:szCs w:val="24"/>
        </w:rPr>
        <w:t>The pain limited ROM and back exam is charted above.  The examiner specified:  “</w:t>
      </w:r>
      <w:r w:rsidR="008B0FDA">
        <w:rPr>
          <w:color w:val="auto"/>
          <w:szCs w:val="24"/>
        </w:rPr>
        <w:t>w</w:t>
      </w:r>
      <w:r w:rsidR="008C3334" w:rsidRPr="008C3334">
        <w:rPr>
          <w:color w:val="auto"/>
          <w:szCs w:val="24"/>
        </w:rPr>
        <w:t>ith repetitive use of his back, he does have pain. There is no</w:t>
      </w:r>
      <w:r w:rsidR="008C3334">
        <w:rPr>
          <w:color w:val="auto"/>
          <w:szCs w:val="24"/>
        </w:rPr>
        <w:t xml:space="preserve"> </w:t>
      </w:r>
      <w:r w:rsidR="008C3334" w:rsidRPr="008C3334">
        <w:rPr>
          <w:color w:val="auto"/>
          <w:szCs w:val="24"/>
        </w:rPr>
        <w:t xml:space="preserve">fatigue, weakness, lack of endurance, or incoordination. </w:t>
      </w:r>
      <w:r w:rsidR="00B1023C">
        <w:rPr>
          <w:color w:val="auto"/>
          <w:szCs w:val="24"/>
        </w:rPr>
        <w:t xml:space="preserve"> </w:t>
      </w:r>
      <w:r w:rsidR="008C3334" w:rsidRPr="008C3334">
        <w:rPr>
          <w:color w:val="auto"/>
          <w:szCs w:val="24"/>
        </w:rPr>
        <w:t>There</w:t>
      </w:r>
      <w:r w:rsidR="008C3334">
        <w:rPr>
          <w:color w:val="auto"/>
          <w:szCs w:val="24"/>
        </w:rPr>
        <w:t xml:space="preserve"> </w:t>
      </w:r>
      <w:r w:rsidR="008C3334" w:rsidRPr="008C3334">
        <w:rPr>
          <w:color w:val="auto"/>
          <w:szCs w:val="24"/>
        </w:rPr>
        <w:t>is no additional limitation of motion.</w:t>
      </w:r>
      <w:r w:rsidR="008C3334">
        <w:rPr>
          <w:color w:val="auto"/>
          <w:szCs w:val="24"/>
        </w:rPr>
        <w:t xml:space="preserve">”  </w:t>
      </w:r>
    </w:p>
    <w:p w:rsidR="00AB13DA" w:rsidRPr="00F64312" w:rsidRDefault="00AB13DA" w:rsidP="00AB13DA">
      <w:pPr>
        <w:jc w:val="both"/>
        <w:rPr>
          <w:color w:val="auto"/>
          <w:szCs w:val="24"/>
        </w:rPr>
      </w:pPr>
    </w:p>
    <w:p w:rsidR="008C3334" w:rsidRPr="000109B6" w:rsidRDefault="00AB13DA" w:rsidP="005D0674">
      <w:pPr>
        <w:jc w:val="both"/>
        <w:rPr>
          <w:color w:val="000000" w:themeColor="text1"/>
          <w:szCs w:val="24"/>
        </w:rPr>
      </w:pPr>
      <w:r w:rsidRPr="00F64312">
        <w:rPr>
          <w:rFonts w:cs="Times New Roman"/>
          <w:color w:val="auto"/>
        </w:rPr>
        <w:t xml:space="preserve">The Board directs attention to its rating recommendation based on the above evidence.  </w:t>
      </w:r>
      <w:r w:rsidR="008C3334">
        <w:rPr>
          <w:rFonts w:cs="Times New Roman"/>
          <w:color w:val="auto"/>
        </w:rPr>
        <w:t xml:space="preserve">Both the PEB and VA used the same coding of </w:t>
      </w:r>
      <w:r w:rsidR="008C3334" w:rsidRPr="00560280">
        <w:rPr>
          <w:color w:val="000000" w:themeColor="text1"/>
          <w:szCs w:val="24"/>
        </w:rPr>
        <w:t>5241</w:t>
      </w:r>
      <w:r w:rsidR="008C3334">
        <w:rPr>
          <w:color w:val="000000" w:themeColor="text1"/>
          <w:szCs w:val="24"/>
        </w:rPr>
        <w:t>,</w:t>
      </w:r>
      <w:r w:rsidR="008C3334" w:rsidRPr="00560280">
        <w:rPr>
          <w:color w:val="000000" w:themeColor="text1"/>
          <w:szCs w:val="24"/>
        </w:rPr>
        <w:t xml:space="preserve"> </w:t>
      </w:r>
      <w:r w:rsidR="008B0FDA">
        <w:rPr>
          <w:color w:val="000000" w:themeColor="text1"/>
          <w:szCs w:val="24"/>
        </w:rPr>
        <w:t>s</w:t>
      </w:r>
      <w:r w:rsidR="008C3334" w:rsidRPr="00560280">
        <w:rPr>
          <w:color w:val="000000" w:themeColor="text1"/>
          <w:szCs w:val="24"/>
        </w:rPr>
        <w:t>pinal fusion</w:t>
      </w:r>
      <w:r w:rsidR="008C3334">
        <w:rPr>
          <w:color w:val="000000" w:themeColor="text1"/>
          <w:szCs w:val="24"/>
        </w:rPr>
        <w:t xml:space="preserve">, and both arrived at a 20% disability rating.  </w:t>
      </w:r>
      <w:r w:rsidR="005D0674">
        <w:rPr>
          <w:color w:val="000000" w:themeColor="text1"/>
          <w:szCs w:val="24"/>
        </w:rPr>
        <w:t xml:space="preserve">The general formula for rating the spine included </w:t>
      </w:r>
      <w:r w:rsidR="005D0674" w:rsidRPr="005D0674">
        <w:rPr>
          <w:color w:val="000000" w:themeColor="text1"/>
          <w:szCs w:val="24"/>
        </w:rPr>
        <w:t>symptoms such as pain (whether or not it radiates), stiffness, or aching in the area of the spine affected by residuals of injury or disease</w:t>
      </w:r>
      <w:r w:rsidR="005D0674">
        <w:rPr>
          <w:color w:val="000000" w:themeColor="text1"/>
          <w:szCs w:val="24"/>
        </w:rPr>
        <w:t xml:space="preserve">.  There were no periods of incapacitation in evidence.  </w:t>
      </w:r>
      <w:r w:rsidR="008C3334">
        <w:rPr>
          <w:color w:val="000000" w:themeColor="text1"/>
          <w:szCs w:val="24"/>
        </w:rPr>
        <w:t xml:space="preserve">All evidence indicated the CI’s </w:t>
      </w:r>
      <w:r w:rsidR="005D0674">
        <w:rPr>
          <w:color w:val="000000" w:themeColor="text1"/>
          <w:szCs w:val="24"/>
        </w:rPr>
        <w:t xml:space="preserve">met and did not </w:t>
      </w:r>
      <w:r w:rsidR="005D0674" w:rsidRPr="000109B6">
        <w:rPr>
          <w:color w:val="000000" w:themeColor="text1"/>
          <w:szCs w:val="24"/>
        </w:rPr>
        <w:t xml:space="preserve">exceed the 20% rating criteria for “forward flexion of the thoracolumbar spine greater than 30 degrees but not greater than 60 degrees” (VA exam also had combined ROM not greater than 120 degrees).  </w:t>
      </w:r>
    </w:p>
    <w:p w:rsidR="00AB13DA" w:rsidRPr="000109B6" w:rsidRDefault="00AB13DA" w:rsidP="00AB13DA">
      <w:pPr>
        <w:tabs>
          <w:tab w:val="left" w:pos="288"/>
          <w:tab w:val="left" w:pos="4752"/>
        </w:tabs>
        <w:jc w:val="both"/>
        <w:rPr>
          <w:rFonts w:cs="Times New Roman"/>
          <w:color w:val="auto"/>
        </w:rPr>
      </w:pPr>
    </w:p>
    <w:p w:rsidR="00AB13DA" w:rsidRPr="000109B6" w:rsidRDefault="00AB13DA" w:rsidP="00AB13DA">
      <w:pPr>
        <w:jc w:val="both"/>
        <w:rPr>
          <w:rFonts w:eastAsia="Calibri" w:cs="Times New Roman"/>
          <w:color w:val="auto"/>
          <w:szCs w:val="24"/>
        </w:rPr>
      </w:pPr>
      <w:r w:rsidRPr="000109B6">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20% adjudication for the lower back </w:t>
      </w:r>
      <w:r w:rsidR="00C11E66" w:rsidRPr="000109B6">
        <w:rPr>
          <w:rFonts w:eastAsia="Calibri" w:cs="Times New Roman"/>
          <w:color w:val="auto"/>
          <w:szCs w:val="24"/>
        </w:rPr>
        <w:t>(</w:t>
      </w:r>
      <w:r w:rsidR="00C11E66" w:rsidRPr="000109B6">
        <w:rPr>
          <w:color w:val="000000" w:themeColor="text1"/>
          <w:szCs w:val="24"/>
        </w:rPr>
        <w:t>S/P fusion L4-5 and L5-S1</w:t>
      </w:r>
      <w:r w:rsidR="00C11E66" w:rsidRPr="000109B6">
        <w:rPr>
          <w:rFonts w:eastAsia="Calibri" w:cs="Times New Roman"/>
          <w:color w:val="auto"/>
          <w:szCs w:val="24"/>
        </w:rPr>
        <w:t xml:space="preserve">) condition.  </w:t>
      </w:r>
    </w:p>
    <w:p w:rsidR="009F0B27" w:rsidRPr="000109B6" w:rsidRDefault="009F0B27" w:rsidP="007576A8">
      <w:pPr>
        <w:jc w:val="left"/>
        <w:rPr>
          <w:color w:val="000000" w:themeColor="text1"/>
          <w:szCs w:val="24"/>
        </w:rPr>
      </w:pPr>
    </w:p>
    <w:p w:rsidR="007D0C14" w:rsidRPr="00792790" w:rsidRDefault="005E31B3" w:rsidP="007D0C14">
      <w:pPr>
        <w:jc w:val="both"/>
        <w:rPr>
          <w:rFonts w:eastAsia="Calibri" w:cs="Times New Roman"/>
          <w:color w:val="auto"/>
          <w:szCs w:val="24"/>
        </w:rPr>
      </w:pPr>
      <w:r w:rsidRPr="000109B6">
        <w:rPr>
          <w:rFonts w:eastAsia="HiddenHorzOCR"/>
          <w:color w:val="000000" w:themeColor="text1"/>
          <w:szCs w:val="24"/>
          <w:u w:val="single"/>
        </w:rPr>
        <w:t xml:space="preserve">Contended </w:t>
      </w:r>
      <w:r w:rsidR="00F73FF8" w:rsidRPr="000109B6">
        <w:rPr>
          <w:rFonts w:eastAsia="HiddenHorzOCR"/>
          <w:color w:val="000000" w:themeColor="text1"/>
          <w:szCs w:val="24"/>
          <w:u w:val="single"/>
        </w:rPr>
        <w:t>PEB Conditions</w:t>
      </w:r>
      <w:r w:rsidR="00F73FF8" w:rsidRPr="000109B6">
        <w:rPr>
          <w:rFonts w:eastAsia="HiddenHorzOCR"/>
          <w:color w:val="000000" w:themeColor="text1"/>
          <w:szCs w:val="24"/>
        </w:rPr>
        <w:t xml:space="preserve">.  </w:t>
      </w:r>
      <w:r w:rsidR="008C3223" w:rsidRPr="000109B6">
        <w:rPr>
          <w:color w:val="000000" w:themeColor="text1"/>
          <w:szCs w:val="24"/>
        </w:rPr>
        <w:t>The other condition forwarded by the MEB and adjudicated as not unfitting by the PEB w</w:t>
      </w:r>
      <w:r w:rsidR="009F0B27" w:rsidRPr="000109B6">
        <w:rPr>
          <w:color w:val="000000" w:themeColor="text1"/>
          <w:szCs w:val="24"/>
        </w:rPr>
        <w:t xml:space="preserve">as L2 vertebral fracture healed.  This condition </w:t>
      </w:r>
      <w:r w:rsidRPr="000109B6">
        <w:rPr>
          <w:color w:val="000000" w:themeColor="text1"/>
          <w:szCs w:val="24"/>
        </w:rPr>
        <w:t xml:space="preserve">of the lumbar spine was fully considered in rating the CI’s unfitting thoracolumbar condition above.  </w:t>
      </w:r>
      <w:r w:rsidR="007D0C14" w:rsidRPr="000109B6">
        <w:rPr>
          <w:color w:val="000000" w:themeColor="text1"/>
          <w:szCs w:val="24"/>
        </w:rPr>
        <w:t xml:space="preserve">The condition is therefore not separately compensable.  </w:t>
      </w:r>
      <w:r w:rsidR="00B1023C" w:rsidRPr="000109B6">
        <w:rPr>
          <w:color w:val="000000" w:themeColor="text1"/>
          <w:szCs w:val="24"/>
        </w:rPr>
        <w:t xml:space="preserve">There was no benefit to the CI in either changing the unfitting condition description to include the L2 condition, or recommending it be changed to a related non-compensable </w:t>
      </w:r>
      <w:r w:rsidR="008B0FDA">
        <w:rPr>
          <w:color w:val="000000" w:themeColor="text1"/>
          <w:szCs w:val="24"/>
        </w:rPr>
        <w:t>C</w:t>
      </w:r>
      <w:r w:rsidR="00B1023C" w:rsidRPr="000109B6">
        <w:rPr>
          <w:color w:val="000000" w:themeColor="text1"/>
          <w:szCs w:val="24"/>
        </w:rPr>
        <w:t xml:space="preserve">ategory </w:t>
      </w:r>
      <w:r w:rsidR="008B0FDA">
        <w:rPr>
          <w:color w:val="000000" w:themeColor="text1"/>
          <w:szCs w:val="24"/>
        </w:rPr>
        <w:t>II</w:t>
      </w:r>
      <w:r w:rsidR="00B1023C" w:rsidRPr="000109B6">
        <w:rPr>
          <w:color w:val="000000" w:themeColor="text1"/>
          <w:szCs w:val="24"/>
        </w:rPr>
        <w:t xml:space="preserve"> condition.  </w:t>
      </w:r>
      <w:r w:rsidR="007D0C14" w:rsidRPr="000109B6">
        <w:rPr>
          <w:rFonts w:eastAsia="Calibri" w:cs="Times New Roman"/>
          <w:color w:val="auto"/>
          <w:szCs w:val="24"/>
        </w:rPr>
        <w:t>After due deliberation</w:t>
      </w:r>
      <w:r w:rsidR="00B1023C" w:rsidRPr="000109B6">
        <w:rPr>
          <w:rFonts w:eastAsia="Calibri" w:cs="Times New Roman"/>
          <w:color w:val="auto"/>
          <w:szCs w:val="24"/>
        </w:rPr>
        <w:t>,</w:t>
      </w:r>
      <w:r w:rsidR="007D0C14" w:rsidRPr="000109B6">
        <w:rPr>
          <w:rFonts w:eastAsia="Calibri" w:cs="Times New Roman"/>
          <w:color w:val="auto"/>
          <w:szCs w:val="24"/>
        </w:rPr>
        <w:t xml:space="preserve"> in consideration of the preponderance of the evidence, the Board concluded that there was insufficient cause to recommend a change in the PEB fitness determination for the</w:t>
      </w:r>
      <w:r w:rsidR="007D0C14" w:rsidRPr="00792790">
        <w:rPr>
          <w:rFonts w:eastAsia="Calibri" w:cs="Times New Roman"/>
          <w:color w:val="auto"/>
          <w:szCs w:val="24"/>
        </w:rPr>
        <w:t xml:space="preserve"> </w:t>
      </w:r>
      <w:r w:rsidR="007D0C14">
        <w:rPr>
          <w:color w:val="000000" w:themeColor="text1"/>
          <w:szCs w:val="24"/>
        </w:rPr>
        <w:t>L2 vertebral fracture healed</w:t>
      </w:r>
      <w:r w:rsidR="007D0C14" w:rsidRPr="00792790">
        <w:rPr>
          <w:rFonts w:eastAsia="Calibri" w:cs="Times New Roman"/>
          <w:color w:val="auto"/>
          <w:szCs w:val="24"/>
        </w:rPr>
        <w:t xml:space="preserve"> condition; and, therefore, no additional disability ratings can be recommended.</w:t>
      </w:r>
      <w:r w:rsidR="007D0C14">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5E31B3" w:rsidRDefault="005E31B3" w:rsidP="005E31B3">
      <w:pPr>
        <w:jc w:val="both"/>
        <w:rPr>
          <w:color w:val="auto"/>
          <w:u w:val="single"/>
        </w:rPr>
      </w:pPr>
    </w:p>
    <w:p w:rsidR="005E31B3" w:rsidRPr="00F64312" w:rsidRDefault="005E31B3" w:rsidP="005E31B3">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w:t>
      </w:r>
      <w:r w:rsidRPr="000109B6">
        <w:rPr>
          <w:color w:val="auto"/>
        </w:rPr>
        <w:t>at the time of the adjudication</w:t>
      </w:r>
      <w:r w:rsidRPr="000109B6">
        <w:rPr>
          <w:rFonts w:cs="Times New Roman"/>
          <w:color w:val="auto"/>
        </w:rPr>
        <w:t xml:space="preserve">.  The Board did not surmise from the record or PEB ruling in this case that any prerogatives outside the VASRD were exercised.  </w:t>
      </w:r>
      <w:r w:rsidRPr="000109B6">
        <w:rPr>
          <w:rFonts w:eastAsia="Calibri" w:cs="Times New Roman"/>
          <w:color w:val="auto"/>
          <w:szCs w:val="24"/>
        </w:rPr>
        <w:t xml:space="preserve">In the matter of the </w:t>
      </w:r>
      <w:r w:rsidR="00B1023C" w:rsidRPr="000109B6">
        <w:rPr>
          <w:rFonts w:eastAsia="Calibri" w:cs="Times New Roman"/>
          <w:color w:val="auto"/>
          <w:szCs w:val="24"/>
        </w:rPr>
        <w:t xml:space="preserve">S/P Fusion L4-5 and L5-S1 for HNP and L2 </w:t>
      </w:r>
      <w:r w:rsidR="008B0FDA">
        <w:rPr>
          <w:rFonts w:eastAsia="Calibri" w:cs="Times New Roman"/>
          <w:color w:val="auto"/>
          <w:szCs w:val="24"/>
        </w:rPr>
        <w:t>v</w:t>
      </w:r>
      <w:r w:rsidR="00B1023C" w:rsidRPr="000109B6">
        <w:rPr>
          <w:rFonts w:eastAsia="Calibri" w:cs="Times New Roman"/>
          <w:color w:val="auto"/>
          <w:szCs w:val="24"/>
        </w:rPr>
        <w:t xml:space="preserve">ertebral </w:t>
      </w:r>
      <w:r w:rsidR="008B0FDA">
        <w:rPr>
          <w:rFonts w:eastAsia="Calibri" w:cs="Times New Roman"/>
          <w:color w:val="auto"/>
          <w:szCs w:val="24"/>
        </w:rPr>
        <w:t>f</w:t>
      </w:r>
      <w:r w:rsidR="00B1023C" w:rsidRPr="000109B6">
        <w:rPr>
          <w:rFonts w:eastAsia="Calibri" w:cs="Times New Roman"/>
          <w:color w:val="auto"/>
          <w:szCs w:val="24"/>
        </w:rPr>
        <w:t xml:space="preserve">racture </w:t>
      </w:r>
      <w:r w:rsidR="008B0FDA">
        <w:rPr>
          <w:rFonts w:eastAsia="Calibri" w:cs="Times New Roman"/>
          <w:color w:val="auto"/>
          <w:szCs w:val="24"/>
        </w:rPr>
        <w:t>h</w:t>
      </w:r>
      <w:r w:rsidR="00B1023C" w:rsidRPr="000109B6">
        <w:rPr>
          <w:rFonts w:eastAsia="Calibri" w:cs="Times New Roman"/>
          <w:color w:val="auto"/>
          <w:szCs w:val="24"/>
        </w:rPr>
        <w:t>ealed</w:t>
      </w:r>
      <w:r w:rsidRPr="000109B6">
        <w:rPr>
          <w:rFonts w:eastAsia="Calibri" w:cs="Times New Roman"/>
          <w:color w:val="auto"/>
          <w:szCs w:val="24"/>
        </w:rPr>
        <w:t xml:space="preserve"> condition</w:t>
      </w:r>
      <w:r w:rsidR="00B1023C" w:rsidRPr="000109B6">
        <w:rPr>
          <w:rFonts w:eastAsia="Calibri" w:cs="Times New Roman"/>
          <w:color w:val="auto"/>
          <w:szCs w:val="24"/>
        </w:rPr>
        <w:t>s,</w:t>
      </w:r>
      <w:r w:rsidRPr="000109B6">
        <w:rPr>
          <w:rFonts w:eastAsia="Calibri" w:cs="Times New Roman"/>
          <w:color w:val="auto"/>
          <w:szCs w:val="24"/>
        </w:rPr>
        <w:t xml:space="preserve"> and IAW VASRD §4.71a, the Board unanimously recommends no change in the PEB adjudication</w:t>
      </w:r>
      <w:r w:rsidR="00B1023C" w:rsidRPr="000109B6">
        <w:rPr>
          <w:rFonts w:eastAsia="Calibri" w:cs="Times New Roman"/>
          <w:color w:val="auto"/>
          <w:szCs w:val="24"/>
        </w:rPr>
        <w:t>s</w:t>
      </w:r>
      <w:r w:rsidRPr="000109B6">
        <w:rPr>
          <w:rFonts w:eastAsia="Calibri" w:cs="Times New Roman"/>
          <w:color w:val="auto"/>
          <w:szCs w:val="24"/>
        </w:rPr>
        <w:t>.  There</w:t>
      </w:r>
      <w:r w:rsidRPr="00F64312">
        <w:rPr>
          <w:rFonts w:eastAsia="Calibri" w:cs="Times New Roman"/>
          <w:color w:val="auto"/>
          <w:szCs w:val="24"/>
        </w:rPr>
        <w:t xml:space="preserv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109B6" w:rsidRDefault="000109B6">
      <w:pPr>
        <w:rPr>
          <w:color w:val="000000" w:themeColor="text1"/>
          <w:szCs w:val="24"/>
          <w:u w:val="single"/>
        </w:rPr>
      </w:pPr>
      <w:r>
        <w:rPr>
          <w:color w:val="000000" w:themeColor="text1"/>
          <w:szCs w:val="24"/>
          <w:u w:val="single"/>
        </w:rPr>
        <w:br w:type="page"/>
      </w:r>
    </w:p>
    <w:p w:rsidR="00FB593A" w:rsidRPr="00C268A3" w:rsidRDefault="00C56FC8" w:rsidP="000109B6">
      <w:pPr>
        <w:jc w:val="both"/>
        <w:rPr>
          <w:color w:val="auto"/>
        </w:rPr>
      </w:pPr>
      <w:r w:rsidRPr="001F29F9">
        <w:rPr>
          <w:color w:val="000000" w:themeColor="text1"/>
          <w:szCs w:val="24"/>
          <w:u w:val="single"/>
        </w:rPr>
        <w:lastRenderedPageBreak/>
        <w:t>RECOMMENDATION</w:t>
      </w:r>
      <w:r w:rsidRPr="001F29F9">
        <w:rPr>
          <w:color w:val="000000" w:themeColor="text1"/>
          <w:szCs w:val="24"/>
        </w:rPr>
        <w:t>:</w:t>
      </w:r>
      <w:r w:rsidR="007D0C14">
        <w:rPr>
          <w:color w:val="000000" w:themeColor="text1"/>
          <w:szCs w:val="24"/>
        </w:rPr>
        <w:t xml:space="preserve">  </w:t>
      </w:r>
      <w:r w:rsidR="007D0C14" w:rsidRPr="001F29F9">
        <w:rPr>
          <w:color w:val="000000" w:themeColor="text1"/>
          <w:szCs w:val="24"/>
        </w:rPr>
        <w:t xml:space="preserve">The Board, therefore, recommends that there be no </w:t>
      </w:r>
      <w:r w:rsidR="007D0C14" w:rsidRPr="00C268A3">
        <w:rPr>
          <w:color w:val="auto"/>
          <w:szCs w:val="24"/>
        </w:rPr>
        <w:t xml:space="preserve">recharacterization of the CI’s disability and separation determination, as follows:  </w:t>
      </w:r>
    </w:p>
    <w:p w:rsidR="00BA6A9C" w:rsidRPr="00C268A3"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A95BBA" w:rsidRPr="00C268A3" w:rsidTr="0080588E">
        <w:trPr>
          <w:trHeight w:val="233"/>
          <w:jc w:val="center"/>
        </w:trPr>
        <w:tc>
          <w:tcPr>
            <w:tcW w:w="6282" w:type="dxa"/>
            <w:shd w:val="clear" w:color="auto" w:fill="D9D9D9"/>
            <w:vAlign w:val="center"/>
          </w:tcPr>
          <w:p w:rsidR="00A95BBA" w:rsidRPr="00C268A3" w:rsidRDefault="00A95BBA" w:rsidP="00BF0E94">
            <w:pPr>
              <w:tabs>
                <w:tab w:val="left" w:pos="288"/>
                <w:tab w:val="left" w:pos="4752"/>
              </w:tabs>
              <w:rPr>
                <w:b/>
                <w:color w:val="auto"/>
                <w:szCs w:val="24"/>
              </w:rPr>
            </w:pPr>
            <w:r w:rsidRPr="00C268A3">
              <w:rPr>
                <w:b/>
                <w:color w:val="auto"/>
                <w:szCs w:val="24"/>
              </w:rPr>
              <w:t>UNFITTING CONDITION</w:t>
            </w:r>
          </w:p>
        </w:tc>
        <w:tc>
          <w:tcPr>
            <w:tcW w:w="1710" w:type="dxa"/>
            <w:shd w:val="clear" w:color="auto" w:fill="D9D9D9"/>
            <w:vAlign w:val="center"/>
          </w:tcPr>
          <w:p w:rsidR="00A95BBA" w:rsidRPr="00C268A3" w:rsidRDefault="00A95BBA" w:rsidP="00BF0E94">
            <w:pPr>
              <w:tabs>
                <w:tab w:val="left" w:pos="288"/>
                <w:tab w:val="left" w:pos="4752"/>
              </w:tabs>
              <w:rPr>
                <w:b/>
                <w:color w:val="auto"/>
                <w:szCs w:val="24"/>
              </w:rPr>
            </w:pPr>
            <w:r w:rsidRPr="00C268A3">
              <w:rPr>
                <w:b/>
                <w:color w:val="auto"/>
                <w:szCs w:val="24"/>
              </w:rPr>
              <w:t>VASRD CODE</w:t>
            </w:r>
          </w:p>
        </w:tc>
        <w:tc>
          <w:tcPr>
            <w:tcW w:w="1170" w:type="dxa"/>
            <w:shd w:val="clear" w:color="auto" w:fill="D9D9D9"/>
            <w:vAlign w:val="center"/>
          </w:tcPr>
          <w:p w:rsidR="00A95BBA" w:rsidRPr="00C268A3" w:rsidRDefault="00A95BBA" w:rsidP="00BF0E94">
            <w:pPr>
              <w:tabs>
                <w:tab w:val="left" w:pos="288"/>
                <w:tab w:val="left" w:pos="4752"/>
              </w:tabs>
              <w:rPr>
                <w:b/>
                <w:color w:val="auto"/>
                <w:szCs w:val="24"/>
              </w:rPr>
            </w:pPr>
            <w:r w:rsidRPr="00C268A3">
              <w:rPr>
                <w:b/>
                <w:color w:val="auto"/>
                <w:szCs w:val="24"/>
              </w:rPr>
              <w:t>RATING</w:t>
            </w:r>
          </w:p>
        </w:tc>
      </w:tr>
      <w:tr w:rsidR="00A95BBA" w:rsidRPr="00C268A3" w:rsidTr="0080588E">
        <w:trPr>
          <w:jc w:val="center"/>
        </w:trPr>
        <w:tc>
          <w:tcPr>
            <w:tcW w:w="6282" w:type="dxa"/>
            <w:vAlign w:val="center"/>
          </w:tcPr>
          <w:p w:rsidR="00A95BBA" w:rsidRPr="00C268A3" w:rsidRDefault="007D0C14" w:rsidP="00BF0E94">
            <w:pPr>
              <w:tabs>
                <w:tab w:val="left" w:pos="288"/>
                <w:tab w:val="left" w:pos="4752"/>
              </w:tabs>
              <w:jc w:val="left"/>
              <w:rPr>
                <w:color w:val="auto"/>
                <w:szCs w:val="24"/>
              </w:rPr>
            </w:pPr>
            <w:r w:rsidRPr="00C268A3">
              <w:rPr>
                <w:color w:val="auto"/>
                <w:szCs w:val="24"/>
              </w:rPr>
              <w:t>S/P Fusion L4-5 and L5-S1 for HNP</w:t>
            </w:r>
          </w:p>
        </w:tc>
        <w:tc>
          <w:tcPr>
            <w:tcW w:w="1710" w:type="dxa"/>
            <w:vAlign w:val="center"/>
          </w:tcPr>
          <w:p w:rsidR="00A95BBA" w:rsidRPr="00C268A3" w:rsidRDefault="007D0C14" w:rsidP="00BF0E94">
            <w:pPr>
              <w:tabs>
                <w:tab w:val="left" w:pos="288"/>
                <w:tab w:val="left" w:pos="4752"/>
              </w:tabs>
              <w:rPr>
                <w:color w:val="auto"/>
                <w:szCs w:val="24"/>
              </w:rPr>
            </w:pPr>
            <w:r w:rsidRPr="00C268A3">
              <w:rPr>
                <w:color w:val="auto"/>
                <w:szCs w:val="24"/>
              </w:rPr>
              <w:t>5241</w:t>
            </w:r>
          </w:p>
        </w:tc>
        <w:tc>
          <w:tcPr>
            <w:tcW w:w="1170" w:type="dxa"/>
            <w:vAlign w:val="center"/>
          </w:tcPr>
          <w:p w:rsidR="00A95BBA" w:rsidRPr="00C268A3" w:rsidRDefault="007D0C14" w:rsidP="00BF0E94">
            <w:pPr>
              <w:tabs>
                <w:tab w:val="left" w:pos="288"/>
                <w:tab w:val="left" w:pos="4752"/>
              </w:tabs>
              <w:rPr>
                <w:color w:val="auto"/>
                <w:szCs w:val="24"/>
              </w:rPr>
            </w:pPr>
            <w:r w:rsidRPr="00C268A3">
              <w:rPr>
                <w:color w:val="auto"/>
                <w:szCs w:val="24"/>
              </w:rPr>
              <w:t>2</w:t>
            </w:r>
            <w:r w:rsidR="00A95BBA" w:rsidRPr="00C268A3">
              <w:rPr>
                <w:color w:val="auto"/>
                <w:szCs w:val="24"/>
              </w:rPr>
              <w:t>0%</w:t>
            </w:r>
          </w:p>
        </w:tc>
      </w:tr>
      <w:tr w:rsidR="007D0C14" w:rsidRPr="00C268A3" w:rsidTr="001F76AC">
        <w:trPr>
          <w:jc w:val="center"/>
        </w:trPr>
        <w:tc>
          <w:tcPr>
            <w:tcW w:w="6282" w:type="dxa"/>
            <w:vAlign w:val="center"/>
          </w:tcPr>
          <w:p w:rsidR="007D0C14" w:rsidRPr="00C268A3" w:rsidRDefault="007D0C14" w:rsidP="00BF0E94">
            <w:pPr>
              <w:tabs>
                <w:tab w:val="left" w:pos="288"/>
                <w:tab w:val="left" w:pos="4752"/>
              </w:tabs>
              <w:jc w:val="left"/>
              <w:rPr>
                <w:color w:val="auto"/>
                <w:szCs w:val="24"/>
              </w:rPr>
            </w:pPr>
            <w:r w:rsidRPr="00C268A3">
              <w:rPr>
                <w:color w:val="auto"/>
                <w:szCs w:val="24"/>
              </w:rPr>
              <w:t>L2 Vertebral Fracture Healed</w:t>
            </w:r>
          </w:p>
        </w:tc>
        <w:tc>
          <w:tcPr>
            <w:tcW w:w="2880" w:type="dxa"/>
            <w:gridSpan w:val="2"/>
            <w:vAlign w:val="center"/>
          </w:tcPr>
          <w:p w:rsidR="007D0C14" w:rsidRPr="00C268A3" w:rsidRDefault="007D0C14" w:rsidP="00BF0E94">
            <w:pPr>
              <w:tabs>
                <w:tab w:val="left" w:pos="288"/>
                <w:tab w:val="left" w:pos="4752"/>
              </w:tabs>
              <w:rPr>
                <w:color w:val="auto"/>
                <w:szCs w:val="24"/>
              </w:rPr>
            </w:pPr>
            <w:r w:rsidRPr="00C268A3">
              <w:rPr>
                <w:color w:val="auto"/>
                <w:szCs w:val="24"/>
              </w:rPr>
              <w:t>Not Separately Unfitting</w:t>
            </w:r>
          </w:p>
        </w:tc>
      </w:tr>
      <w:tr w:rsidR="00A95BBA" w:rsidRPr="00C268A3" w:rsidTr="0080588E">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268A3" w:rsidRDefault="00A95BBA" w:rsidP="00BF0E94">
            <w:pPr>
              <w:tabs>
                <w:tab w:val="left" w:pos="288"/>
                <w:tab w:val="left" w:pos="4752"/>
              </w:tabs>
              <w:rPr>
                <w:b/>
                <w:color w:val="auto"/>
                <w:szCs w:val="24"/>
              </w:rPr>
            </w:pPr>
            <w:r w:rsidRPr="00C268A3">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268A3" w:rsidRDefault="007D0C14" w:rsidP="00BF0E94">
            <w:pPr>
              <w:tabs>
                <w:tab w:val="left" w:pos="288"/>
                <w:tab w:val="left" w:pos="4752"/>
              </w:tabs>
              <w:rPr>
                <w:b/>
                <w:color w:val="auto"/>
                <w:szCs w:val="24"/>
              </w:rPr>
            </w:pPr>
            <w:r w:rsidRPr="00C268A3">
              <w:rPr>
                <w:b/>
                <w:color w:val="auto"/>
                <w:szCs w:val="24"/>
              </w:rPr>
              <w:t>2</w:t>
            </w:r>
            <w:r w:rsidR="00A95BBA" w:rsidRPr="00C268A3">
              <w:rPr>
                <w:b/>
                <w:color w:val="auto"/>
                <w:szCs w:val="24"/>
              </w:rPr>
              <w:t>0%</w:t>
            </w:r>
          </w:p>
        </w:tc>
      </w:tr>
    </w:tbl>
    <w:p w:rsidR="005B1D09" w:rsidRPr="00C268A3" w:rsidRDefault="005B1D09" w:rsidP="00097B5C">
      <w:pPr>
        <w:pBdr>
          <w:bottom w:val="single" w:sz="12" w:space="1" w:color="auto"/>
        </w:pBdr>
        <w:tabs>
          <w:tab w:val="left" w:pos="288"/>
          <w:tab w:val="left" w:pos="4752"/>
        </w:tabs>
        <w:jc w:val="both"/>
        <w:rPr>
          <w:color w:val="auto"/>
        </w:rPr>
      </w:pPr>
    </w:p>
    <w:p w:rsidR="005B1D09" w:rsidRPr="00C268A3" w:rsidRDefault="005B1D09" w:rsidP="00097B5C">
      <w:pPr>
        <w:jc w:val="both"/>
        <w:rPr>
          <w:color w:val="auto"/>
          <w:szCs w:val="24"/>
        </w:rPr>
      </w:pPr>
    </w:p>
    <w:p w:rsidR="00D91DA6" w:rsidRPr="00C268A3" w:rsidRDefault="00FB1725" w:rsidP="00097B5C">
      <w:pPr>
        <w:tabs>
          <w:tab w:val="left" w:pos="288"/>
          <w:tab w:val="left" w:pos="4752"/>
        </w:tabs>
        <w:jc w:val="both"/>
        <w:rPr>
          <w:color w:val="auto"/>
        </w:rPr>
      </w:pPr>
      <w:r w:rsidRPr="00C268A3">
        <w:rPr>
          <w:color w:val="auto"/>
        </w:rPr>
        <w:t>The following documentary evidence was considered:</w:t>
      </w:r>
    </w:p>
    <w:p w:rsidR="00EB5EFD" w:rsidRPr="00C268A3" w:rsidRDefault="00EB5EFD" w:rsidP="00097B5C">
      <w:pPr>
        <w:tabs>
          <w:tab w:val="left" w:pos="288"/>
          <w:tab w:val="left" w:pos="4752"/>
        </w:tabs>
        <w:jc w:val="both"/>
        <w:rPr>
          <w:color w:val="auto"/>
        </w:rPr>
      </w:pPr>
    </w:p>
    <w:p w:rsidR="00114F20" w:rsidRPr="001F29F9" w:rsidRDefault="00FB1725" w:rsidP="00097B5C">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B5E2D">
        <w:rPr>
          <w:color w:val="000000" w:themeColor="text1"/>
          <w:szCs w:val="24"/>
        </w:rPr>
        <w:t>10826</w:t>
      </w:r>
      <w:r w:rsidR="008B0FDA">
        <w:rPr>
          <w:color w:val="000000" w:themeColor="text1"/>
        </w:rPr>
        <w:t>, w/</w:t>
      </w:r>
      <w:proofErr w:type="spellStart"/>
      <w:r w:rsidR="008B0FDA">
        <w:rPr>
          <w:color w:val="000000" w:themeColor="text1"/>
        </w:rPr>
        <w:t>atchs</w:t>
      </w:r>
      <w:proofErr w:type="spellEnd"/>
    </w:p>
    <w:p w:rsidR="00114F20" w:rsidRPr="001F29F9" w:rsidRDefault="00FB1725" w:rsidP="00097B5C">
      <w:pPr>
        <w:tabs>
          <w:tab w:val="left" w:pos="288"/>
          <w:tab w:val="left" w:pos="4752"/>
        </w:tabs>
        <w:jc w:val="both"/>
        <w:rPr>
          <w:color w:val="000000" w:themeColor="text1"/>
        </w:rPr>
      </w:pPr>
      <w:r w:rsidRPr="001F29F9">
        <w:rPr>
          <w:color w:val="000000" w:themeColor="text1"/>
        </w:rPr>
        <w:t>Exhib</w:t>
      </w:r>
      <w:r w:rsidR="008B0FDA">
        <w:rPr>
          <w:color w:val="000000" w:themeColor="text1"/>
        </w:rPr>
        <w:t>it B.  Service Treatment Record</w:t>
      </w:r>
    </w:p>
    <w:p w:rsidR="00114F20" w:rsidRPr="001F29F9" w:rsidRDefault="00FB1725" w:rsidP="00097B5C">
      <w:pPr>
        <w:tabs>
          <w:tab w:val="left" w:pos="288"/>
          <w:tab w:val="left" w:pos="4752"/>
        </w:tabs>
        <w:jc w:val="both"/>
        <w:rPr>
          <w:color w:val="000000" w:themeColor="text1"/>
        </w:rPr>
      </w:pPr>
      <w:r w:rsidRPr="001F29F9">
        <w:rPr>
          <w:color w:val="000000" w:themeColor="text1"/>
        </w:rPr>
        <w:t>Exhibit C.  Department of Ve</w:t>
      </w:r>
      <w:r w:rsidR="008B0FDA">
        <w:rPr>
          <w:color w:val="000000" w:themeColor="text1"/>
        </w:rPr>
        <w:t>terans’ Affairs Treatment Record</w:t>
      </w:r>
    </w:p>
    <w:p w:rsidR="00D91DA6" w:rsidRPr="001F29F9" w:rsidRDefault="00D91DA6" w:rsidP="00097B5C">
      <w:pPr>
        <w:tabs>
          <w:tab w:val="left" w:pos="288"/>
          <w:tab w:val="left" w:pos="4752"/>
        </w:tabs>
        <w:jc w:val="both"/>
        <w:rPr>
          <w:color w:val="000000" w:themeColor="text1"/>
        </w:rPr>
      </w:pPr>
    </w:p>
    <w:p w:rsidR="00114F20" w:rsidRPr="001F29F9" w:rsidRDefault="00114F20" w:rsidP="00097B5C">
      <w:pPr>
        <w:tabs>
          <w:tab w:val="left" w:pos="288"/>
          <w:tab w:val="left" w:pos="4752"/>
        </w:tabs>
        <w:jc w:val="both"/>
        <w:rPr>
          <w:color w:val="000000" w:themeColor="text1"/>
        </w:rPr>
      </w:pPr>
    </w:p>
    <w:p w:rsidR="00114F20" w:rsidRPr="001F29F9" w:rsidRDefault="00114F20" w:rsidP="00097B5C">
      <w:pPr>
        <w:tabs>
          <w:tab w:val="left" w:pos="288"/>
          <w:tab w:val="left" w:pos="4752"/>
        </w:tabs>
        <w:jc w:val="both"/>
        <w:rPr>
          <w:color w:val="000000" w:themeColor="text1"/>
        </w:rPr>
      </w:pPr>
    </w:p>
    <w:p w:rsidR="00114F20" w:rsidRPr="001F29F9" w:rsidRDefault="00114F20" w:rsidP="00097B5C">
      <w:pPr>
        <w:tabs>
          <w:tab w:val="left" w:pos="288"/>
          <w:tab w:val="left" w:pos="4752"/>
        </w:tabs>
        <w:jc w:val="both"/>
        <w:rPr>
          <w:color w:val="000000" w:themeColor="text1"/>
        </w:rPr>
      </w:pPr>
    </w:p>
    <w:p w:rsidR="00E3077F" w:rsidRPr="001F29F9" w:rsidRDefault="00220FA9" w:rsidP="00097B5C">
      <w:pPr>
        <w:tabs>
          <w:tab w:val="left" w:pos="0"/>
          <w:tab w:val="left" w:pos="4320"/>
        </w:tabs>
        <w:jc w:val="both"/>
        <w:rPr>
          <w:color w:val="000000" w:themeColor="text1"/>
          <w:szCs w:val="24"/>
        </w:rPr>
      </w:pPr>
      <w:r w:rsidRPr="001F29F9">
        <w:rPr>
          <w:color w:val="000000" w:themeColor="text1"/>
          <w:szCs w:val="24"/>
        </w:rPr>
        <w:tab/>
      </w:r>
      <w:r w:rsidR="008E34A5">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4A5"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E34A5" w:rsidRDefault="008E34A5">
      <w:pPr>
        <w:rPr>
          <w:color w:val="000000" w:themeColor="text1"/>
          <w:szCs w:val="24"/>
        </w:rPr>
      </w:pPr>
      <w:r>
        <w:rPr>
          <w:color w:val="000000" w:themeColor="text1"/>
          <w:szCs w:val="24"/>
        </w:rPr>
        <w:br w:type="page"/>
      </w:r>
    </w:p>
    <w:p w:rsidR="008E34A5" w:rsidRDefault="008E34A5" w:rsidP="008E34A5">
      <w:pPr>
        <w:tabs>
          <w:tab w:val="left" w:pos="0"/>
          <w:tab w:val="left" w:pos="4320"/>
        </w:tabs>
        <w:jc w:val="both"/>
        <w:rPr>
          <w:color w:val="auto"/>
        </w:rPr>
      </w:pPr>
      <w:r>
        <w:rPr>
          <w:color w:val="auto"/>
        </w:rPr>
        <w:lastRenderedPageBreak/>
        <w:t xml:space="preserve">MEMORANDUM FOR DIRECTOR, SECRETARY OF THE NAVY COUNCIL OF REVIEW       </w:t>
      </w:r>
    </w:p>
    <w:p w:rsidR="008E34A5" w:rsidRDefault="008E34A5" w:rsidP="008E34A5">
      <w:pPr>
        <w:tabs>
          <w:tab w:val="left" w:pos="0"/>
          <w:tab w:val="left" w:pos="4320"/>
        </w:tabs>
        <w:jc w:val="both"/>
        <w:rPr>
          <w:color w:val="auto"/>
        </w:rPr>
      </w:pPr>
      <w:r>
        <w:rPr>
          <w:color w:val="auto"/>
        </w:rPr>
        <w:t xml:space="preserve">               BOARDS </w:t>
      </w:r>
    </w:p>
    <w:p w:rsidR="008E34A5" w:rsidRDefault="008E34A5" w:rsidP="008E34A5">
      <w:pPr>
        <w:tabs>
          <w:tab w:val="left" w:pos="0"/>
          <w:tab w:val="left" w:pos="4320"/>
        </w:tabs>
        <w:jc w:val="both"/>
        <w:rPr>
          <w:color w:val="000000"/>
          <w:szCs w:val="24"/>
        </w:rPr>
      </w:pPr>
    </w:p>
    <w:p w:rsidR="008E34A5" w:rsidRDefault="008E34A5" w:rsidP="008E34A5">
      <w:pPr>
        <w:tabs>
          <w:tab w:val="left" w:pos="0"/>
          <w:tab w:val="left" w:pos="4320"/>
        </w:tabs>
        <w:jc w:val="both"/>
        <w:rPr>
          <w:color w:val="auto"/>
        </w:rPr>
      </w:pPr>
      <w:proofErr w:type="spellStart"/>
      <w:r>
        <w:rPr>
          <w:color w:val="auto"/>
        </w:rPr>
        <w:t>Subj</w:t>
      </w:r>
      <w:proofErr w:type="spellEnd"/>
      <w:r>
        <w:rPr>
          <w:color w:val="auto"/>
        </w:rPr>
        <w:t>:  PHYSICAL DISABILITY BOARD OF REVIEW (PDBR) RECOMMENDATIONS</w:t>
      </w:r>
    </w:p>
    <w:p w:rsidR="008E34A5" w:rsidRDefault="008E34A5" w:rsidP="008E34A5">
      <w:pPr>
        <w:tabs>
          <w:tab w:val="left" w:pos="0"/>
          <w:tab w:val="left" w:pos="4320"/>
        </w:tabs>
        <w:jc w:val="both"/>
        <w:rPr>
          <w:color w:val="000000"/>
          <w:szCs w:val="24"/>
        </w:rPr>
      </w:pPr>
    </w:p>
    <w:p w:rsidR="008E34A5" w:rsidRDefault="008E34A5" w:rsidP="008E34A5">
      <w:pPr>
        <w:tabs>
          <w:tab w:val="left" w:pos="0"/>
          <w:tab w:val="left" w:pos="4320"/>
        </w:tabs>
        <w:jc w:val="both"/>
        <w:rPr>
          <w:color w:val="auto"/>
        </w:rPr>
      </w:pPr>
      <w:r>
        <w:rPr>
          <w:color w:val="auto"/>
        </w:rPr>
        <w:t xml:space="preserve">Ref:   (a) </w:t>
      </w:r>
      <w:proofErr w:type="spellStart"/>
      <w:r>
        <w:rPr>
          <w:color w:val="auto"/>
        </w:rPr>
        <w:t>DoDI</w:t>
      </w:r>
      <w:proofErr w:type="spellEnd"/>
      <w:r>
        <w:rPr>
          <w:color w:val="auto"/>
        </w:rPr>
        <w:t xml:space="preserve"> 6040.44</w:t>
      </w:r>
    </w:p>
    <w:p w:rsidR="008E34A5" w:rsidRDefault="008E34A5" w:rsidP="008E34A5">
      <w:pPr>
        <w:tabs>
          <w:tab w:val="left" w:pos="0"/>
          <w:tab w:val="left" w:pos="4320"/>
        </w:tabs>
        <w:jc w:val="both"/>
        <w:rPr>
          <w:color w:val="auto"/>
        </w:rPr>
      </w:pPr>
      <w:r>
        <w:rPr>
          <w:color w:val="auto"/>
        </w:rPr>
        <w:t xml:space="preserve">           (b) CORB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16 Aug 12</w:t>
      </w:r>
    </w:p>
    <w:p w:rsidR="008E34A5" w:rsidRDefault="008E34A5" w:rsidP="008E34A5">
      <w:pPr>
        <w:tabs>
          <w:tab w:val="left" w:pos="0"/>
          <w:tab w:val="left" w:pos="4320"/>
        </w:tabs>
        <w:jc w:val="both"/>
        <w:rPr>
          <w:color w:val="000000"/>
          <w:szCs w:val="24"/>
        </w:rPr>
      </w:pPr>
    </w:p>
    <w:p w:rsidR="008E34A5" w:rsidRDefault="008E34A5" w:rsidP="008E34A5">
      <w:pPr>
        <w:tabs>
          <w:tab w:val="left" w:pos="0"/>
          <w:tab w:val="left" w:pos="4320"/>
        </w:tabs>
        <w:jc w:val="both"/>
        <w:rPr>
          <w:color w:val="auto"/>
        </w:rPr>
      </w:pPr>
      <w:r>
        <w:rPr>
          <w:color w:val="auto"/>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 Physical Evaluation Board:</w:t>
      </w:r>
    </w:p>
    <w:p w:rsidR="008E34A5" w:rsidRDefault="008E34A5" w:rsidP="008E34A5">
      <w:pPr>
        <w:tabs>
          <w:tab w:val="left" w:pos="0"/>
          <w:tab w:val="left" w:pos="4320"/>
        </w:tabs>
        <w:jc w:val="both"/>
        <w:rPr>
          <w:color w:val="000000"/>
          <w:szCs w:val="24"/>
        </w:rPr>
      </w:pPr>
    </w:p>
    <w:p w:rsidR="008E34A5" w:rsidRDefault="008E34A5" w:rsidP="008E34A5">
      <w:pPr>
        <w:numPr>
          <w:ilvl w:val="0"/>
          <w:numId w:val="23"/>
        </w:numPr>
        <w:tabs>
          <w:tab w:val="left" w:pos="0"/>
          <w:tab w:val="left" w:pos="4320"/>
        </w:tabs>
        <w:jc w:val="both"/>
        <w:rPr>
          <w:color w:val="auto"/>
        </w:rPr>
      </w:pPr>
      <w:r>
        <w:rPr>
          <w:color w:val="auto"/>
        </w:rPr>
        <w:t>former USMC</w:t>
      </w:r>
    </w:p>
    <w:p w:rsidR="008E34A5" w:rsidRDefault="008E34A5" w:rsidP="008E34A5">
      <w:pPr>
        <w:numPr>
          <w:ilvl w:val="0"/>
          <w:numId w:val="23"/>
        </w:numPr>
        <w:tabs>
          <w:tab w:val="left" w:pos="0"/>
          <w:tab w:val="left" w:pos="4320"/>
        </w:tabs>
        <w:jc w:val="both"/>
        <w:rPr>
          <w:color w:val="auto"/>
        </w:rPr>
      </w:pPr>
      <w:r>
        <w:rPr>
          <w:color w:val="auto"/>
        </w:rPr>
        <w:t>former USN</w:t>
      </w:r>
    </w:p>
    <w:p w:rsidR="008E34A5" w:rsidRDefault="008E34A5" w:rsidP="008E34A5">
      <w:pPr>
        <w:numPr>
          <w:ilvl w:val="0"/>
          <w:numId w:val="23"/>
        </w:numPr>
        <w:tabs>
          <w:tab w:val="left" w:pos="0"/>
          <w:tab w:val="left" w:pos="4320"/>
        </w:tabs>
        <w:jc w:val="both"/>
        <w:rPr>
          <w:color w:val="auto"/>
        </w:rPr>
      </w:pPr>
      <w:r>
        <w:rPr>
          <w:color w:val="auto"/>
        </w:rPr>
        <w:t xml:space="preserve">former USN </w:t>
      </w:r>
    </w:p>
    <w:p w:rsidR="008E34A5" w:rsidRDefault="008E34A5" w:rsidP="008E34A5">
      <w:pPr>
        <w:numPr>
          <w:ilvl w:val="0"/>
          <w:numId w:val="23"/>
        </w:numPr>
        <w:tabs>
          <w:tab w:val="left" w:pos="0"/>
          <w:tab w:val="left" w:pos="4320"/>
        </w:tabs>
        <w:jc w:val="both"/>
        <w:rPr>
          <w:color w:val="auto"/>
        </w:rPr>
      </w:pPr>
      <w:r>
        <w:rPr>
          <w:color w:val="auto"/>
        </w:rPr>
        <w:t xml:space="preserve">former USN </w:t>
      </w:r>
    </w:p>
    <w:p w:rsidR="008E34A5" w:rsidRDefault="008E34A5" w:rsidP="008E34A5">
      <w:pPr>
        <w:numPr>
          <w:ilvl w:val="0"/>
          <w:numId w:val="23"/>
        </w:numPr>
        <w:tabs>
          <w:tab w:val="left" w:pos="0"/>
          <w:tab w:val="left" w:pos="4320"/>
        </w:tabs>
        <w:jc w:val="both"/>
        <w:rPr>
          <w:color w:val="auto"/>
        </w:rPr>
      </w:pPr>
      <w:r>
        <w:rPr>
          <w:color w:val="auto"/>
        </w:rPr>
        <w:t>former USMC</w:t>
      </w:r>
    </w:p>
    <w:p w:rsidR="008E34A5" w:rsidRDefault="008E34A5" w:rsidP="008E34A5">
      <w:pPr>
        <w:numPr>
          <w:ilvl w:val="0"/>
          <w:numId w:val="23"/>
        </w:numPr>
        <w:tabs>
          <w:tab w:val="left" w:pos="0"/>
          <w:tab w:val="left" w:pos="4320"/>
        </w:tabs>
        <w:jc w:val="both"/>
        <w:rPr>
          <w:color w:val="auto"/>
        </w:rPr>
      </w:pPr>
      <w:r>
        <w:rPr>
          <w:color w:val="auto"/>
        </w:rPr>
        <w:t xml:space="preserve">former USN </w:t>
      </w:r>
    </w:p>
    <w:p w:rsidR="008E34A5" w:rsidRDefault="008E34A5" w:rsidP="008E34A5">
      <w:pPr>
        <w:tabs>
          <w:tab w:val="left" w:pos="0"/>
          <w:tab w:val="left" w:pos="4320"/>
        </w:tabs>
        <w:jc w:val="both"/>
        <w:rPr>
          <w:color w:val="auto"/>
        </w:rPr>
      </w:pPr>
      <w:r>
        <w:rPr>
          <w:color w:val="auto"/>
        </w:rPr>
        <w:t xml:space="preserve">    </w:t>
      </w:r>
    </w:p>
    <w:p w:rsidR="008E34A5" w:rsidRDefault="008E34A5" w:rsidP="008E34A5">
      <w:pPr>
        <w:tabs>
          <w:tab w:val="left" w:pos="0"/>
          <w:tab w:val="left" w:pos="4320"/>
        </w:tabs>
        <w:jc w:val="both"/>
        <w:rPr>
          <w:color w:val="000000"/>
          <w:szCs w:val="24"/>
        </w:rPr>
      </w:pPr>
    </w:p>
    <w:p w:rsidR="008E34A5" w:rsidRDefault="008E34A5" w:rsidP="008E34A5">
      <w:pPr>
        <w:tabs>
          <w:tab w:val="left" w:pos="0"/>
          <w:tab w:val="left" w:pos="4320"/>
        </w:tabs>
        <w:jc w:val="both"/>
        <w:rPr>
          <w:color w:val="000000"/>
          <w:szCs w:val="24"/>
        </w:rPr>
      </w:pPr>
    </w:p>
    <w:p w:rsidR="008E34A5" w:rsidRDefault="008E34A5" w:rsidP="008E34A5">
      <w:pPr>
        <w:tabs>
          <w:tab w:val="left" w:pos="0"/>
          <w:tab w:val="left" w:pos="4320"/>
        </w:tabs>
        <w:jc w:val="both"/>
        <w:rPr>
          <w:color w:val="000000"/>
          <w:szCs w:val="24"/>
        </w:rPr>
      </w:pPr>
      <w:r>
        <w:rPr>
          <w:color w:val="auto"/>
          <w:szCs w:val="24"/>
        </w:rPr>
        <w:tab/>
      </w:r>
      <w:r>
        <w:rPr>
          <w:color w:val="000000"/>
          <w:szCs w:val="24"/>
        </w:rPr>
        <w:t xml:space="preserve"> </w:t>
      </w:r>
    </w:p>
    <w:p w:rsidR="008E34A5" w:rsidRDefault="008E34A5" w:rsidP="008E34A5">
      <w:pPr>
        <w:tabs>
          <w:tab w:val="left" w:pos="0"/>
          <w:tab w:val="left" w:pos="4320"/>
        </w:tabs>
        <w:jc w:val="both"/>
        <w:rPr>
          <w:color w:val="auto"/>
        </w:rPr>
      </w:pPr>
      <w:r>
        <w:rPr>
          <w:color w:val="auto"/>
          <w:szCs w:val="24"/>
        </w:rPr>
        <w:tab/>
      </w:r>
      <w:r>
        <w:rPr>
          <w:color w:val="auto"/>
        </w:rPr>
        <w:t>Assistant General Counsel</w:t>
      </w:r>
    </w:p>
    <w:p w:rsidR="008E34A5" w:rsidRDefault="008E34A5" w:rsidP="008E34A5">
      <w:pPr>
        <w:tabs>
          <w:tab w:val="left" w:pos="0"/>
          <w:tab w:val="left" w:pos="4320"/>
        </w:tabs>
        <w:jc w:val="both"/>
        <w:rPr>
          <w:color w:val="auto"/>
        </w:rPr>
      </w:pPr>
      <w:r>
        <w:rPr>
          <w:color w:val="auto"/>
          <w:szCs w:val="24"/>
        </w:rPr>
        <w:tab/>
      </w:r>
      <w:r>
        <w:rPr>
          <w:color w:val="auto"/>
        </w:rPr>
        <w:t xml:space="preserve">  (Manpower &amp; Reserve Affairs)</w:t>
      </w:r>
    </w:p>
    <w:p w:rsidR="00E3077F" w:rsidRPr="001F29F9" w:rsidRDefault="00E3077F" w:rsidP="00BF0E94">
      <w:pPr>
        <w:tabs>
          <w:tab w:val="left" w:pos="0"/>
          <w:tab w:val="left" w:pos="4320"/>
        </w:tabs>
        <w:jc w:val="both"/>
        <w:rPr>
          <w:color w:val="000000" w:themeColor="text1"/>
          <w:szCs w:val="24"/>
        </w:rPr>
      </w:pPr>
      <w:bookmarkStart w:id="0" w:name="_GoBack"/>
      <w:bookmarkEnd w:id="0"/>
    </w:p>
    <w:sectPr w:rsidR="00E3077F" w:rsidRPr="001F29F9"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0" w:rsidRDefault="00B43390">
      <w:r>
        <w:separator/>
      </w:r>
    </w:p>
  </w:endnote>
  <w:endnote w:type="continuationSeparator" w:id="0">
    <w:p w:rsidR="00B43390" w:rsidRDefault="00B4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C44C55F3-FFF9-49A0-A314-B70EF18EC7FF}"/>
    <w:embedBold r:id="rId2" w:fontKey="{81F198D9-6B9E-4B41-BD10-2FF70DB52F39}"/>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94093361"/>
      <w:docPartObj>
        <w:docPartGallery w:val="Page Numbers (Bottom of Page)"/>
        <w:docPartUnique/>
      </w:docPartObj>
    </w:sdtPr>
    <w:sdtEndPr/>
    <w:sdtContent>
      <w:p w:rsidR="005D0674" w:rsidRPr="00374247" w:rsidRDefault="005D0674" w:rsidP="00374247">
        <w:pPr>
          <w:pStyle w:val="Footer"/>
          <w:ind w:firstLine="4320"/>
          <w:rPr>
            <w:color w:val="auto"/>
            <w:szCs w:val="24"/>
          </w:rPr>
        </w:pPr>
        <w:r w:rsidRPr="00374247">
          <w:rPr>
            <w:color w:val="auto"/>
            <w:szCs w:val="24"/>
          </w:rPr>
          <w:t xml:space="preserve">   </w:t>
        </w:r>
        <w:r w:rsidR="00BF4FE4" w:rsidRPr="00374247">
          <w:rPr>
            <w:color w:val="auto"/>
            <w:szCs w:val="24"/>
          </w:rPr>
          <w:fldChar w:fldCharType="begin"/>
        </w:r>
        <w:r w:rsidRPr="00374247">
          <w:rPr>
            <w:color w:val="auto"/>
            <w:szCs w:val="24"/>
          </w:rPr>
          <w:instrText xml:space="preserve"> PAGE   \* MERGEFORMAT </w:instrText>
        </w:r>
        <w:r w:rsidR="00BF4FE4" w:rsidRPr="00374247">
          <w:rPr>
            <w:color w:val="auto"/>
            <w:szCs w:val="24"/>
          </w:rPr>
          <w:fldChar w:fldCharType="separate"/>
        </w:r>
        <w:r w:rsidR="008E34A5" w:rsidRPr="008E34A5">
          <w:rPr>
            <w:noProof/>
            <w:color w:val="auto"/>
          </w:rPr>
          <w:t>5</w:t>
        </w:r>
        <w:r w:rsidR="00BF4FE4"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100687</w:t>
        </w:r>
      </w:p>
    </w:sdtContent>
  </w:sdt>
  <w:p w:rsidR="005D0674" w:rsidRPr="00684CE6" w:rsidRDefault="005D0674">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0" w:rsidRDefault="00B43390">
      <w:r>
        <w:separator/>
      </w:r>
    </w:p>
  </w:footnote>
  <w:footnote w:type="continuationSeparator" w:id="0">
    <w:p w:rsidR="00B43390" w:rsidRDefault="00B4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D02C03"/>
    <w:multiLevelType w:val="hybridMultilevel"/>
    <w:tmpl w:val="451A4B46"/>
    <w:lvl w:ilvl="0" w:tplc="C87A9854">
      <w:start w:val="2"/>
      <w:numFmt w:val="bullet"/>
      <w:lvlText w:val="-"/>
      <w:lvlJc w:val="left"/>
      <w:pPr>
        <w:ind w:left="900" w:hanging="360"/>
      </w:pPr>
      <w:rPr>
        <w:rFonts w:ascii="Courier New" w:eastAsia="Times New Roman"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9B6"/>
    <w:rsid w:val="00010ABA"/>
    <w:rsid w:val="00010B0F"/>
    <w:rsid w:val="00012428"/>
    <w:rsid w:val="00012733"/>
    <w:rsid w:val="00013417"/>
    <w:rsid w:val="00013C9D"/>
    <w:rsid w:val="000145C2"/>
    <w:rsid w:val="0001473F"/>
    <w:rsid w:val="00014A47"/>
    <w:rsid w:val="00014A9E"/>
    <w:rsid w:val="00017778"/>
    <w:rsid w:val="00021361"/>
    <w:rsid w:val="00022CF3"/>
    <w:rsid w:val="0002318A"/>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B5C"/>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A6A"/>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1F8D"/>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2700"/>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87BD8"/>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1F76AC"/>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4C83"/>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9FD"/>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4AE"/>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77328"/>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280"/>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C39"/>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13D"/>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674"/>
    <w:rsid w:val="005D0BD3"/>
    <w:rsid w:val="005D2306"/>
    <w:rsid w:val="005D2562"/>
    <w:rsid w:val="005D2666"/>
    <w:rsid w:val="005D4548"/>
    <w:rsid w:val="005D4A74"/>
    <w:rsid w:val="005D5E91"/>
    <w:rsid w:val="005D67EF"/>
    <w:rsid w:val="005E3064"/>
    <w:rsid w:val="005E31B3"/>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78E"/>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9AB"/>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18F4"/>
    <w:rsid w:val="006E2DC8"/>
    <w:rsid w:val="006E58CB"/>
    <w:rsid w:val="006E6B68"/>
    <w:rsid w:val="006E7356"/>
    <w:rsid w:val="006E77C8"/>
    <w:rsid w:val="006F0F9C"/>
    <w:rsid w:val="006F149D"/>
    <w:rsid w:val="006F1A46"/>
    <w:rsid w:val="006F4181"/>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315"/>
    <w:rsid w:val="00707ECE"/>
    <w:rsid w:val="00710CE8"/>
    <w:rsid w:val="00711350"/>
    <w:rsid w:val="00711538"/>
    <w:rsid w:val="007116BC"/>
    <w:rsid w:val="00711961"/>
    <w:rsid w:val="007119EA"/>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6A8"/>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C14"/>
    <w:rsid w:val="007D136C"/>
    <w:rsid w:val="007D1FCE"/>
    <w:rsid w:val="007D21AC"/>
    <w:rsid w:val="007D24B0"/>
    <w:rsid w:val="007D3882"/>
    <w:rsid w:val="007D39E4"/>
    <w:rsid w:val="007D3FE7"/>
    <w:rsid w:val="007D4CFC"/>
    <w:rsid w:val="007D568A"/>
    <w:rsid w:val="007D574E"/>
    <w:rsid w:val="007D57C0"/>
    <w:rsid w:val="007D67CB"/>
    <w:rsid w:val="007D6BFE"/>
    <w:rsid w:val="007E124B"/>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17A"/>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FDA"/>
    <w:rsid w:val="008B1B11"/>
    <w:rsid w:val="008B1DF4"/>
    <w:rsid w:val="008B27FD"/>
    <w:rsid w:val="008B2FDB"/>
    <w:rsid w:val="008B3AF2"/>
    <w:rsid w:val="008B446D"/>
    <w:rsid w:val="008B515D"/>
    <w:rsid w:val="008B5D31"/>
    <w:rsid w:val="008B6705"/>
    <w:rsid w:val="008C22F3"/>
    <w:rsid w:val="008C3223"/>
    <w:rsid w:val="008C3334"/>
    <w:rsid w:val="008C3FD0"/>
    <w:rsid w:val="008C4002"/>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4A5"/>
    <w:rsid w:val="008E38B0"/>
    <w:rsid w:val="008E3C90"/>
    <w:rsid w:val="008E4A60"/>
    <w:rsid w:val="008E744D"/>
    <w:rsid w:val="008F1E08"/>
    <w:rsid w:val="008F30F4"/>
    <w:rsid w:val="008F38C5"/>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862"/>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0B27"/>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2B"/>
    <w:rsid w:val="00AA1ED0"/>
    <w:rsid w:val="00AA1F5B"/>
    <w:rsid w:val="00AA28EF"/>
    <w:rsid w:val="00AA3593"/>
    <w:rsid w:val="00AA38CA"/>
    <w:rsid w:val="00AA493E"/>
    <w:rsid w:val="00AA73AF"/>
    <w:rsid w:val="00AB062D"/>
    <w:rsid w:val="00AB0A8A"/>
    <w:rsid w:val="00AB13D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023C"/>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390"/>
    <w:rsid w:val="00B43BA2"/>
    <w:rsid w:val="00B449EE"/>
    <w:rsid w:val="00B454AE"/>
    <w:rsid w:val="00B46AAB"/>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0C5"/>
    <w:rsid w:val="00BE6365"/>
    <w:rsid w:val="00BF01B7"/>
    <w:rsid w:val="00BF0B7F"/>
    <w:rsid w:val="00BF0E94"/>
    <w:rsid w:val="00BF2988"/>
    <w:rsid w:val="00BF3FB9"/>
    <w:rsid w:val="00BF4012"/>
    <w:rsid w:val="00BF4720"/>
    <w:rsid w:val="00BF4F49"/>
    <w:rsid w:val="00BF4FE4"/>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E66"/>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8A3"/>
    <w:rsid w:val="00C26B27"/>
    <w:rsid w:val="00C26E7C"/>
    <w:rsid w:val="00C276CD"/>
    <w:rsid w:val="00C27827"/>
    <w:rsid w:val="00C30A97"/>
    <w:rsid w:val="00C31DDC"/>
    <w:rsid w:val="00C3223A"/>
    <w:rsid w:val="00C34168"/>
    <w:rsid w:val="00C34247"/>
    <w:rsid w:val="00C34326"/>
    <w:rsid w:val="00C34CEB"/>
    <w:rsid w:val="00C35BBA"/>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32"/>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F30"/>
    <w:rsid w:val="00CF4340"/>
    <w:rsid w:val="00CF4394"/>
    <w:rsid w:val="00CF48B4"/>
    <w:rsid w:val="00CF4D11"/>
    <w:rsid w:val="00CF5C12"/>
    <w:rsid w:val="00CF771D"/>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AC0"/>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6E40"/>
    <w:rsid w:val="00DB0015"/>
    <w:rsid w:val="00DB0359"/>
    <w:rsid w:val="00DB0ABB"/>
    <w:rsid w:val="00DB1D01"/>
    <w:rsid w:val="00DB2AAD"/>
    <w:rsid w:val="00DB44E2"/>
    <w:rsid w:val="00DB4A6D"/>
    <w:rsid w:val="00DB5941"/>
    <w:rsid w:val="00DB5E2D"/>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4DA4"/>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E03"/>
    <w:rsid w:val="00E75ACE"/>
    <w:rsid w:val="00E771AF"/>
    <w:rsid w:val="00E80386"/>
    <w:rsid w:val="00E809C3"/>
    <w:rsid w:val="00E814D4"/>
    <w:rsid w:val="00E81A1A"/>
    <w:rsid w:val="00E81C3E"/>
    <w:rsid w:val="00E81E2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0A3B"/>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564A"/>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409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D24E-C592-4F44-B09E-1272E297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2012-07-30T12:16:00Z</dcterms:created>
  <dcterms:modified xsi:type="dcterms:W3CDTF">2012-09-19T12:23:00Z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