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16E49" w:rsidRDefault="00F629C0" w:rsidP="0015215D">
      <w:pPr>
        <w:tabs>
          <w:tab w:val="left" w:pos="288"/>
          <w:tab w:val="left" w:pos="4752"/>
          <w:tab w:val="left" w:pos="5580"/>
          <w:tab w:val="left" w:pos="9270"/>
        </w:tabs>
        <w:jc w:val="both"/>
        <w:rPr>
          <w:caps/>
          <w:color w:val="000000" w:themeColor="text1"/>
        </w:rPr>
      </w:pPr>
      <w:r w:rsidRPr="00116E49">
        <w:rPr>
          <w:caps/>
          <w:color w:val="000000" w:themeColor="text1"/>
        </w:rPr>
        <w:t xml:space="preserve">NAME: </w:t>
      </w:r>
      <w:r w:rsidR="000A441B" w:rsidRPr="00116E49">
        <w:rPr>
          <w:caps/>
          <w:color w:val="000000" w:themeColor="text1"/>
        </w:rPr>
        <w:t xml:space="preserve"> </w:t>
      </w:r>
      <w:r w:rsidR="0015215D">
        <w:rPr>
          <w:rFonts w:asciiTheme="minorHAnsi" w:hAnsiTheme="minorHAnsi"/>
          <w:caps/>
          <w:color w:val="auto"/>
        </w:rPr>
        <w:t xml:space="preserve"> </w:t>
      </w:r>
      <w:r w:rsidR="0015215D">
        <w:rPr>
          <w:rFonts w:asciiTheme="minorHAnsi" w:hAnsiTheme="minorHAnsi"/>
          <w:caps/>
          <w:color w:val="auto"/>
        </w:rPr>
        <w:tab/>
      </w:r>
      <w:r w:rsidR="0015215D">
        <w:rPr>
          <w:rFonts w:asciiTheme="minorHAnsi" w:hAnsiTheme="minorHAnsi"/>
          <w:caps/>
          <w:color w:val="auto"/>
        </w:rPr>
        <w:tab/>
      </w:r>
      <w:r w:rsidRPr="00116E49">
        <w:rPr>
          <w:caps/>
          <w:color w:val="000000" w:themeColor="text1"/>
        </w:rPr>
        <w:t xml:space="preserve">BRANCH OF SERVICE: </w:t>
      </w:r>
      <w:r w:rsidR="004C24C5" w:rsidRPr="00116E49">
        <w:rPr>
          <w:caps/>
          <w:color w:val="000000" w:themeColor="text1"/>
        </w:rPr>
        <w:t xml:space="preserve"> </w:t>
      </w:r>
      <w:r w:rsidR="00F22BA5" w:rsidRPr="00116E49">
        <w:rPr>
          <w:caps/>
          <w:color w:val="auto"/>
        </w:rPr>
        <w:t>marine corps</w:t>
      </w:r>
    </w:p>
    <w:p w:rsidR="00DE3AAD" w:rsidRPr="00116E49" w:rsidRDefault="00012733" w:rsidP="0068098E">
      <w:pPr>
        <w:tabs>
          <w:tab w:val="left" w:pos="288"/>
          <w:tab w:val="left" w:pos="4166"/>
          <w:tab w:val="left" w:pos="4752"/>
          <w:tab w:val="left" w:pos="5130"/>
          <w:tab w:val="left" w:pos="9270"/>
        </w:tabs>
        <w:jc w:val="both"/>
        <w:rPr>
          <w:caps/>
          <w:color w:val="000000" w:themeColor="text1"/>
        </w:rPr>
      </w:pPr>
      <w:r w:rsidRPr="00116E49">
        <w:rPr>
          <w:caps/>
          <w:color w:val="000000" w:themeColor="text1"/>
        </w:rPr>
        <w:t>C</w:t>
      </w:r>
      <w:r w:rsidR="00DE3AAD" w:rsidRPr="00116E49">
        <w:rPr>
          <w:caps/>
          <w:color w:val="000000" w:themeColor="text1"/>
        </w:rPr>
        <w:t>ASE NUMBER:  PD</w:t>
      </w:r>
      <w:r w:rsidR="008F58E1" w:rsidRPr="00116E49">
        <w:rPr>
          <w:caps/>
          <w:color w:val="000000" w:themeColor="text1"/>
        </w:rPr>
        <w:t>11</w:t>
      </w:r>
      <w:r w:rsidR="00DE3AAD" w:rsidRPr="00116E49">
        <w:rPr>
          <w:caps/>
          <w:color w:val="000000" w:themeColor="text1"/>
        </w:rPr>
        <w:t>00</w:t>
      </w:r>
      <w:r w:rsidR="000C1E37">
        <w:rPr>
          <w:caps/>
          <w:color w:val="000000" w:themeColor="text1"/>
        </w:rPr>
        <w:t>678</w:t>
      </w:r>
      <w:r w:rsidR="00DE3AAD" w:rsidRPr="00116E49">
        <w:rPr>
          <w:color w:val="000000" w:themeColor="text1"/>
        </w:rPr>
        <w:tab/>
      </w:r>
      <w:r w:rsidR="0068098E" w:rsidRPr="00116E49">
        <w:rPr>
          <w:color w:val="000000" w:themeColor="text1"/>
        </w:rPr>
        <w:tab/>
      </w:r>
      <w:r w:rsidR="00DE3AAD" w:rsidRPr="00116E49">
        <w:rPr>
          <w:color w:val="000000" w:themeColor="text1"/>
        </w:rPr>
        <w:t xml:space="preserve">        </w:t>
      </w:r>
      <w:r w:rsidR="00AC63EE">
        <w:rPr>
          <w:color w:val="000000" w:themeColor="text1"/>
        </w:rPr>
        <w:t xml:space="preserve">  </w:t>
      </w:r>
      <w:r w:rsidR="00DE3AAD" w:rsidRPr="00116E49">
        <w:rPr>
          <w:color w:val="000000" w:themeColor="text1"/>
        </w:rPr>
        <w:t xml:space="preserve"> </w:t>
      </w:r>
      <w:r w:rsidR="00080C0E">
        <w:rPr>
          <w:color w:val="000000" w:themeColor="text1"/>
        </w:rPr>
        <w:t xml:space="preserve">     </w:t>
      </w:r>
      <w:r w:rsidR="00DE3AAD" w:rsidRPr="00116E49">
        <w:rPr>
          <w:color w:val="000000" w:themeColor="text1"/>
        </w:rPr>
        <w:t>SEPARATION DATE:  200</w:t>
      </w:r>
      <w:r w:rsidR="00C64389" w:rsidRPr="00116E49">
        <w:rPr>
          <w:color w:val="000000" w:themeColor="text1"/>
        </w:rPr>
        <w:t>4</w:t>
      </w:r>
      <w:r w:rsidR="00F22BA5" w:rsidRPr="00116E49">
        <w:rPr>
          <w:color w:val="000000" w:themeColor="text1"/>
        </w:rPr>
        <w:t>0831</w:t>
      </w:r>
    </w:p>
    <w:p w:rsidR="003B2143" w:rsidRPr="00116E49" w:rsidRDefault="00792738" w:rsidP="00BF0E94">
      <w:pPr>
        <w:tabs>
          <w:tab w:val="left" w:pos="288"/>
          <w:tab w:val="left" w:pos="5130"/>
        </w:tabs>
        <w:jc w:val="both"/>
        <w:rPr>
          <w:color w:val="000000" w:themeColor="text1"/>
        </w:rPr>
      </w:pPr>
      <w:r w:rsidRPr="00116E49">
        <w:rPr>
          <w:caps/>
          <w:color w:val="000000" w:themeColor="text1"/>
        </w:rPr>
        <w:t>BOARD DATE:  2012</w:t>
      </w:r>
      <w:r w:rsidR="00484AE2">
        <w:rPr>
          <w:caps/>
          <w:color w:val="000000" w:themeColor="text1"/>
        </w:rPr>
        <w:t>0405</w:t>
      </w:r>
      <w:r w:rsidR="003B2143" w:rsidRPr="00116E49">
        <w:rPr>
          <w:caps/>
          <w:color w:val="000000" w:themeColor="text1"/>
        </w:rPr>
        <w:tab/>
      </w:r>
    </w:p>
    <w:p w:rsidR="008E0D8F" w:rsidRPr="000A441B" w:rsidRDefault="00DA554C" w:rsidP="009B721E">
      <w:pPr>
        <w:jc w:val="left"/>
        <w:rPr>
          <w:b/>
          <w:color w:val="000000" w:themeColor="text1"/>
        </w:rPr>
      </w:pPr>
      <w:r w:rsidRPr="000A441B">
        <w:rPr>
          <w:b/>
          <w:color w:val="000000" w:themeColor="text1"/>
        </w:rPr>
        <w:t>______________________________________________________________________________</w:t>
      </w:r>
    </w:p>
    <w:p w:rsidR="003F1206" w:rsidRPr="001F29F9" w:rsidRDefault="003F1206" w:rsidP="00484AE2">
      <w:pPr>
        <w:tabs>
          <w:tab w:val="left" w:pos="288"/>
          <w:tab w:val="left" w:pos="4752"/>
        </w:tabs>
        <w:jc w:val="both"/>
        <w:rPr>
          <w:color w:val="000000" w:themeColor="text1"/>
        </w:rPr>
      </w:pPr>
    </w:p>
    <w:p w:rsidR="00F22BA5" w:rsidRDefault="00FB0E80" w:rsidP="00484AE2">
      <w:pPr>
        <w:tabs>
          <w:tab w:val="left" w:pos="288"/>
          <w:tab w:val="left" w:pos="4752"/>
        </w:tabs>
        <w:jc w:val="both"/>
        <w:rPr>
          <w:color w:val="auto"/>
        </w:rPr>
      </w:pPr>
      <w:r w:rsidRPr="001F29F9">
        <w:rPr>
          <w:color w:val="000000" w:themeColor="text1"/>
          <w:u w:val="single"/>
        </w:rPr>
        <w:t>SUMMARY OF CASE</w:t>
      </w:r>
      <w:r w:rsidRPr="001F29F9">
        <w:rPr>
          <w:color w:val="000000" w:themeColor="text1"/>
        </w:rPr>
        <w:t xml:space="preserve">:  </w:t>
      </w:r>
      <w:r w:rsidR="00F22BA5" w:rsidRPr="00EC337D">
        <w:rPr>
          <w:color w:val="auto"/>
        </w:rPr>
        <w:t xml:space="preserve">Data extracted from the available evidence of record reflects that this covered individual (CI) </w:t>
      </w:r>
      <w:r w:rsidR="00F22BA5" w:rsidRPr="00AD7F8F">
        <w:rPr>
          <w:color w:val="auto"/>
          <w:szCs w:val="24"/>
        </w:rPr>
        <w:t>was an active duty</w:t>
      </w:r>
      <w:r w:rsidR="00F22BA5">
        <w:rPr>
          <w:color w:val="auto"/>
          <w:szCs w:val="24"/>
        </w:rPr>
        <w:t xml:space="preserve"> member,</w:t>
      </w:r>
      <w:r w:rsidR="00F22BA5" w:rsidRPr="00AD7F8F">
        <w:rPr>
          <w:color w:val="auto"/>
          <w:szCs w:val="24"/>
        </w:rPr>
        <w:t xml:space="preserve"> </w:t>
      </w:r>
      <w:r w:rsidR="00F22BA5">
        <w:rPr>
          <w:color w:val="auto"/>
          <w:szCs w:val="24"/>
        </w:rPr>
        <w:t>C</w:t>
      </w:r>
      <w:r w:rsidR="00F22BA5" w:rsidRPr="007771AB">
        <w:rPr>
          <w:color w:val="auto"/>
          <w:szCs w:val="24"/>
        </w:rPr>
        <w:t>PL</w:t>
      </w:r>
      <w:r w:rsidR="00F22BA5" w:rsidRPr="00AD7F8F">
        <w:rPr>
          <w:color w:val="auto"/>
          <w:szCs w:val="24"/>
        </w:rPr>
        <w:t xml:space="preserve"> (</w:t>
      </w:r>
      <w:r w:rsidR="00F22BA5" w:rsidRPr="007771AB">
        <w:rPr>
          <w:color w:val="auto"/>
          <w:szCs w:val="24"/>
        </w:rPr>
        <w:t>0341</w:t>
      </w:r>
      <w:r w:rsidR="00F22BA5">
        <w:rPr>
          <w:color w:val="auto"/>
          <w:szCs w:val="24"/>
        </w:rPr>
        <w:t>/</w:t>
      </w:r>
      <w:proofErr w:type="spellStart"/>
      <w:r w:rsidR="000A441B" w:rsidRPr="007771AB">
        <w:rPr>
          <w:color w:val="auto"/>
          <w:szCs w:val="24"/>
        </w:rPr>
        <w:t>Mortarman</w:t>
      </w:r>
      <w:proofErr w:type="spellEnd"/>
      <w:r w:rsidR="00F22BA5" w:rsidRPr="00AD7F8F">
        <w:rPr>
          <w:color w:val="auto"/>
          <w:szCs w:val="24"/>
        </w:rPr>
        <w:t>)</w:t>
      </w:r>
      <w:r w:rsidR="00F22BA5">
        <w:rPr>
          <w:color w:val="auto"/>
          <w:szCs w:val="24"/>
        </w:rPr>
        <w:t xml:space="preserve">, </w:t>
      </w:r>
      <w:r w:rsidR="00F22BA5" w:rsidRPr="00AD7F8F">
        <w:rPr>
          <w:color w:val="auto"/>
          <w:szCs w:val="24"/>
        </w:rPr>
        <w:t xml:space="preserve">medically separated for </w:t>
      </w:r>
      <w:r w:rsidR="00F22BA5" w:rsidRPr="007771AB">
        <w:rPr>
          <w:color w:val="auto"/>
          <w:szCs w:val="24"/>
        </w:rPr>
        <w:t>left ankle moderate osteoarthritis</w:t>
      </w:r>
      <w:r w:rsidR="00F22BA5">
        <w:rPr>
          <w:i/>
          <w:color w:val="auto"/>
          <w:szCs w:val="24"/>
        </w:rPr>
        <w:t xml:space="preserve">. </w:t>
      </w:r>
      <w:r w:rsidR="0040674E">
        <w:rPr>
          <w:i/>
          <w:color w:val="auto"/>
          <w:szCs w:val="24"/>
        </w:rPr>
        <w:t xml:space="preserve"> </w:t>
      </w:r>
      <w:r w:rsidR="000A441B">
        <w:rPr>
          <w:color w:val="auto"/>
          <w:szCs w:val="24"/>
        </w:rPr>
        <w:t>Th</w:t>
      </w:r>
      <w:r w:rsidR="00F22BA5" w:rsidRPr="004129BF">
        <w:rPr>
          <w:color w:val="auto"/>
          <w:szCs w:val="24"/>
        </w:rPr>
        <w:t xml:space="preserve">e </w:t>
      </w:r>
      <w:r w:rsidR="000A441B">
        <w:rPr>
          <w:color w:val="auto"/>
          <w:szCs w:val="24"/>
        </w:rPr>
        <w:t xml:space="preserve">CI </w:t>
      </w:r>
      <w:r w:rsidR="00F22BA5" w:rsidRPr="004129BF">
        <w:rPr>
          <w:color w:val="auto"/>
          <w:szCs w:val="24"/>
        </w:rPr>
        <w:t xml:space="preserve">did not respond adequately to treatment and was unable to perform within his </w:t>
      </w:r>
      <w:r w:rsidR="0040674E">
        <w:rPr>
          <w:color w:val="auto"/>
          <w:szCs w:val="24"/>
        </w:rPr>
        <w:t>Military Occupational Specialty (</w:t>
      </w:r>
      <w:r w:rsidR="000A441B">
        <w:rPr>
          <w:color w:val="auto"/>
          <w:szCs w:val="24"/>
        </w:rPr>
        <w:t>MOS</w:t>
      </w:r>
      <w:r w:rsidR="0040674E">
        <w:rPr>
          <w:color w:val="auto"/>
          <w:szCs w:val="24"/>
        </w:rPr>
        <w:t>)</w:t>
      </w:r>
      <w:r w:rsidR="00F22BA5" w:rsidRPr="004129BF">
        <w:rPr>
          <w:color w:val="auto"/>
          <w:szCs w:val="24"/>
        </w:rPr>
        <w:t xml:space="preserve"> or meet physical fitness standards</w:t>
      </w:r>
      <w:r w:rsidR="00DE63EE">
        <w:rPr>
          <w:color w:val="auto"/>
          <w:szCs w:val="24"/>
        </w:rPr>
        <w:t>.</w:t>
      </w:r>
      <w:r w:rsidR="0040674E">
        <w:rPr>
          <w:color w:val="auto"/>
          <w:szCs w:val="24"/>
        </w:rPr>
        <w:t xml:space="preserve"> </w:t>
      </w:r>
      <w:r w:rsidR="00DE63EE">
        <w:rPr>
          <w:color w:val="auto"/>
          <w:szCs w:val="24"/>
        </w:rPr>
        <w:t xml:space="preserve"> </w:t>
      </w:r>
      <w:r w:rsidR="001C03B1">
        <w:rPr>
          <w:color w:val="auto"/>
          <w:szCs w:val="24"/>
        </w:rPr>
        <w:t>Th</w:t>
      </w:r>
      <w:r w:rsidR="00F22BA5" w:rsidRPr="00380AC4">
        <w:rPr>
          <w:color w:val="auto"/>
          <w:szCs w:val="24"/>
        </w:rPr>
        <w:t>e</w:t>
      </w:r>
      <w:r w:rsidR="001C03B1">
        <w:rPr>
          <w:color w:val="auto"/>
          <w:szCs w:val="24"/>
        </w:rPr>
        <w:t xml:space="preserve"> CI </w:t>
      </w:r>
      <w:r w:rsidR="00F22BA5" w:rsidRPr="00491146">
        <w:rPr>
          <w:color w:val="auto"/>
          <w:szCs w:val="24"/>
        </w:rPr>
        <w:t>was placed on light duty</w:t>
      </w:r>
      <w:r w:rsidR="00F22BA5" w:rsidRPr="004129BF">
        <w:rPr>
          <w:color w:val="auto"/>
          <w:szCs w:val="24"/>
        </w:rPr>
        <w:t xml:space="preserve"> and underwent a Medical Evaluation Board (MEB).</w:t>
      </w:r>
      <w:r w:rsidR="00F22BA5">
        <w:rPr>
          <w:color w:val="auto"/>
          <w:szCs w:val="24"/>
        </w:rPr>
        <w:t xml:space="preserve"> </w:t>
      </w:r>
      <w:r w:rsidR="00D85A56">
        <w:rPr>
          <w:color w:val="auto"/>
          <w:szCs w:val="24"/>
        </w:rPr>
        <w:t>The MEB forwarded</w:t>
      </w:r>
      <w:r w:rsidR="00F22BA5">
        <w:rPr>
          <w:color w:val="auto"/>
          <w:szCs w:val="24"/>
        </w:rPr>
        <w:t xml:space="preserve"> </w:t>
      </w:r>
      <w:r w:rsidR="00D85A56">
        <w:rPr>
          <w:color w:val="auto"/>
          <w:szCs w:val="24"/>
        </w:rPr>
        <w:t>“</w:t>
      </w:r>
      <w:r w:rsidR="0040674E">
        <w:rPr>
          <w:color w:val="auto"/>
          <w:szCs w:val="24"/>
        </w:rPr>
        <w:t>c</w:t>
      </w:r>
      <w:r w:rsidR="00F22BA5">
        <w:rPr>
          <w:color w:val="auto"/>
          <w:szCs w:val="24"/>
        </w:rPr>
        <w:t xml:space="preserve">hronic </w:t>
      </w:r>
      <w:r w:rsidR="0040674E">
        <w:rPr>
          <w:color w:val="auto"/>
          <w:szCs w:val="24"/>
        </w:rPr>
        <w:t>l</w:t>
      </w:r>
      <w:r w:rsidR="00D85A56">
        <w:rPr>
          <w:color w:val="auto"/>
          <w:szCs w:val="24"/>
        </w:rPr>
        <w:t xml:space="preserve">eft </w:t>
      </w:r>
      <w:r w:rsidR="0040674E">
        <w:rPr>
          <w:color w:val="auto"/>
          <w:szCs w:val="24"/>
        </w:rPr>
        <w:t>a</w:t>
      </w:r>
      <w:r w:rsidR="00D85A56">
        <w:rPr>
          <w:color w:val="auto"/>
          <w:szCs w:val="24"/>
        </w:rPr>
        <w:t xml:space="preserve">nkle </w:t>
      </w:r>
      <w:r w:rsidR="0040674E">
        <w:rPr>
          <w:color w:val="auto"/>
          <w:szCs w:val="24"/>
        </w:rPr>
        <w:t>p</w:t>
      </w:r>
      <w:r w:rsidR="00D85A56">
        <w:rPr>
          <w:color w:val="auto"/>
          <w:szCs w:val="24"/>
        </w:rPr>
        <w:t xml:space="preserve">ain </w:t>
      </w:r>
      <w:r w:rsidR="00F22BA5">
        <w:rPr>
          <w:color w:val="auto"/>
          <w:szCs w:val="24"/>
        </w:rPr>
        <w:t xml:space="preserve">and </w:t>
      </w:r>
      <w:r w:rsidR="0040674E">
        <w:rPr>
          <w:color w:val="auto"/>
          <w:szCs w:val="24"/>
        </w:rPr>
        <w:t>l</w:t>
      </w:r>
      <w:r w:rsidR="00D85A56" w:rsidRPr="004129BF">
        <w:rPr>
          <w:color w:val="auto"/>
          <w:szCs w:val="24"/>
        </w:rPr>
        <w:t xml:space="preserve">eft </w:t>
      </w:r>
      <w:r w:rsidR="0040674E">
        <w:rPr>
          <w:color w:val="auto"/>
          <w:szCs w:val="24"/>
        </w:rPr>
        <w:t>a</w:t>
      </w:r>
      <w:r w:rsidR="00D85A56" w:rsidRPr="004129BF">
        <w:rPr>
          <w:color w:val="auto"/>
          <w:szCs w:val="24"/>
        </w:rPr>
        <w:t xml:space="preserve">nkle </w:t>
      </w:r>
      <w:r w:rsidR="0040674E">
        <w:rPr>
          <w:color w:val="auto"/>
          <w:szCs w:val="24"/>
        </w:rPr>
        <w:t>m</w:t>
      </w:r>
      <w:r w:rsidR="00D85A56" w:rsidRPr="004129BF">
        <w:rPr>
          <w:color w:val="auto"/>
          <w:szCs w:val="24"/>
        </w:rPr>
        <w:t>oderate Osteoarthritis</w:t>
      </w:r>
      <w:r w:rsidR="00D85A56">
        <w:rPr>
          <w:color w:val="auto"/>
          <w:szCs w:val="24"/>
        </w:rPr>
        <w:t>”</w:t>
      </w:r>
      <w:r w:rsidR="00D85A56" w:rsidRPr="004129BF">
        <w:rPr>
          <w:color w:val="auto"/>
          <w:szCs w:val="24"/>
        </w:rPr>
        <w:t xml:space="preserve"> </w:t>
      </w:r>
      <w:r w:rsidR="00D85A56">
        <w:rPr>
          <w:color w:val="auto"/>
          <w:szCs w:val="24"/>
        </w:rPr>
        <w:t xml:space="preserve">on NAVMED 6100/1 </w:t>
      </w:r>
      <w:r w:rsidR="00F22BA5" w:rsidRPr="004129BF">
        <w:rPr>
          <w:color w:val="auto"/>
          <w:szCs w:val="24"/>
        </w:rPr>
        <w:t>to the Physical Evaluation Board (PEB)</w:t>
      </w:r>
      <w:r w:rsidR="00D85A56">
        <w:rPr>
          <w:color w:val="auto"/>
          <w:szCs w:val="24"/>
        </w:rPr>
        <w:t xml:space="preserve">.  </w:t>
      </w:r>
      <w:r w:rsidR="00F22BA5">
        <w:rPr>
          <w:color w:val="000000"/>
          <w:szCs w:val="24"/>
        </w:rPr>
        <w:t>No other conditions appeared on the MEB’s submission.</w:t>
      </w:r>
      <w:r w:rsidR="0040674E">
        <w:rPr>
          <w:color w:val="000000"/>
          <w:szCs w:val="24"/>
        </w:rPr>
        <w:t xml:space="preserve"> </w:t>
      </w:r>
      <w:r w:rsidR="00F22BA5">
        <w:rPr>
          <w:color w:val="000000"/>
          <w:szCs w:val="24"/>
        </w:rPr>
        <w:t xml:space="preserve"> </w:t>
      </w:r>
      <w:r w:rsidR="00F22BA5" w:rsidRPr="004129BF">
        <w:rPr>
          <w:color w:val="auto"/>
          <w:szCs w:val="24"/>
        </w:rPr>
        <w:t xml:space="preserve">The PEB adjudicated </w:t>
      </w:r>
      <w:r w:rsidR="00592C52">
        <w:rPr>
          <w:color w:val="auto"/>
          <w:szCs w:val="24"/>
        </w:rPr>
        <w:t>“</w:t>
      </w:r>
      <w:r w:rsidR="0040674E">
        <w:rPr>
          <w:color w:val="auto"/>
          <w:szCs w:val="24"/>
        </w:rPr>
        <w:t>l</w:t>
      </w:r>
      <w:r w:rsidR="00D85A56" w:rsidRPr="004129BF">
        <w:rPr>
          <w:color w:val="auto"/>
          <w:szCs w:val="24"/>
        </w:rPr>
        <w:t xml:space="preserve">eft </w:t>
      </w:r>
      <w:r w:rsidR="0040674E">
        <w:rPr>
          <w:color w:val="auto"/>
          <w:szCs w:val="24"/>
        </w:rPr>
        <w:t>a</w:t>
      </w:r>
      <w:r w:rsidR="00D85A56" w:rsidRPr="004129BF">
        <w:rPr>
          <w:color w:val="auto"/>
          <w:szCs w:val="24"/>
        </w:rPr>
        <w:t xml:space="preserve">nkle </w:t>
      </w:r>
      <w:r w:rsidR="0040674E">
        <w:rPr>
          <w:color w:val="auto"/>
          <w:szCs w:val="24"/>
        </w:rPr>
        <w:t>m</w:t>
      </w:r>
      <w:r w:rsidR="00D85A56" w:rsidRPr="004129BF">
        <w:rPr>
          <w:color w:val="auto"/>
          <w:szCs w:val="24"/>
        </w:rPr>
        <w:t xml:space="preserve">oderate </w:t>
      </w:r>
      <w:r w:rsidR="0040674E">
        <w:rPr>
          <w:color w:val="auto"/>
          <w:szCs w:val="24"/>
        </w:rPr>
        <w:t>o</w:t>
      </w:r>
      <w:r w:rsidR="00D85A56" w:rsidRPr="004129BF">
        <w:rPr>
          <w:color w:val="auto"/>
          <w:szCs w:val="24"/>
        </w:rPr>
        <w:t>steoarthritis</w:t>
      </w:r>
      <w:r w:rsidR="00592C52">
        <w:rPr>
          <w:color w:val="auto"/>
          <w:szCs w:val="24"/>
        </w:rPr>
        <w:t>”</w:t>
      </w:r>
      <w:r w:rsidR="00F22BA5" w:rsidRPr="004129BF">
        <w:rPr>
          <w:color w:val="auto"/>
          <w:szCs w:val="24"/>
        </w:rPr>
        <w:t xml:space="preserve"> condition as unfitting, rated 10</w:t>
      </w:r>
      <w:r w:rsidR="00F22BA5" w:rsidRPr="00B85406">
        <w:rPr>
          <w:color w:val="auto"/>
          <w:szCs w:val="24"/>
        </w:rPr>
        <w:t>%</w:t>
      </w:r>
      <w:r w:rsidR="0028548D">
        <w:rPr>
          <w:color w:val="auto"/>
          <w:szCs w:val="24"/>
        </w:rPr>
        <w:t xml:space="preserve"> and</w:t>
      </w:r>
      <w:r w:rsidR="007F4909">
        <w:rPr>
          <w:color w:val="auto"/>
          <w:szCs w:val="24"/>
        </w:rPr>
        <w:t xml:space="preserve"> </w:t>
      </w:r>
      <w:r w:rsidR="00D85A56">
        <w:rPr>
          <w:color w:val="000000"/>
          <w:szCs w:val="24"/>
        </w:rPr>
        <w:t>“</w:t>
      </w:r>
      <w:r w:rsidR="0040674E">
        <w:rPr>
          <w:color w:val="000000"/>
          <w:szCs w:val="24"/>
        </w:rPr>
        <w:t>c</w:t>
      </w:r>
      <w:r w:rsidR="00D85A56">
        <w:rPr>
          <w:color w:val="000000"/>
          <w:szCs w:val="24"/>
        </w:rPr>
        <w:t xml:space="preserve">hronic </w:t>
      </w:r>
      <w:r w:rsidR="0040674E">
        <w:rPr>
          <w:color w:val="000000"/>
          <w:szCs w:val="24"/>
        </w:rPr>
        <w:t>l</w:t>
      </w:r>
      <w:r w:rsidR="00D85A56">
        <w:rPr>
          <w:color w:val="000000"/>
          <w:szCs w:val="24"/>
        </w:rPr>
        <w:t xml:space="preserve">eft </w:t>
      </w:r>
      <w:r w:rsidR="0040674E">
        <w:rPr>
          <w:color w:val="000000"/>
          <w:szCs w:val="24"/>
        </w:rPr>
        <w:t>a</w:t>
      </w:r>
      <w:r w:rsidR="00D85A56">
        <w:rPr>
          <w:color w:val="000000"/>
          <w:szCs w:val="24"/>
        </w:rPr>
        <w:t xml:space="preserve">nkle </w:t>
      </w:r>
      <w:r w:rsidR="0040674E">
        <w:rPr>
          <w:color w:val="000000"/>
          <w:szCs w:val="24"/>
        </w:rPr>
        <w:t>p</w:t>
      </w:r>
      <w:r w:rsidR="00D85A56">
        <w:rPr>
          <w:color w:val="000000"/>
          <w:szCs w:val="24"/>
        </w:rPr>
        <w:t xml:space="preserve">ain” </w:t>
      </w:r>
      <w:r w:rsidR="00F22BA5" w:rsidRPr="00360F8C">
        <w:rPr>
          <w:color w:val="000000"/>
          <w:szCs w:val="24"/>
        </w:rPr>
        <w:t xml:space="preserve">rated </w:t>
      </w:r>
      <w:r w:rsidR="0040674E">
        <w:rPr>
          <w:color w:val="auto"/>
          <w:szCs w:val="24"/>
        </w:rPr>
        <w:t>c</w:t>
      </w:r>
      <w:r w:rsidR="00D85A56">
        <w:rPr>
          <w:color w:val="auto"/>
          <w:szCs w:val="24"/>
        </w:rPr>
        <w:t>ategory II (“</w:t>
      </w:r>
      <w:r w:rsidR="0040674E">
        <w:rPr>
          <w:color w:val="auto"/>
          <w:szCs w:val="24"/>
        </w:rPr>
        <w:t>c</w:t>
      </w:r>
      <w:r w:rsidR="00D85A56">
        <w:rPr>
          <w:color w:val="auto"/>
          <w:szCs w:val="24"/>
        </w:rPr>
        <w:t>onditions that contribute to the unfitting condition”)</w:t>
      </w:r>
      <w:r w:rsidR="00F22BA5" w:rsidRPr="004129BF">
        <w:rPr>
          <w:color w:val="auto"/>
          <w:szCs w:val="24"/>
        </w:rPr>
        <w:t xml:space="preserve"> with application of the </w:t>
      </w:r>
      <w:r w:rsidR="00F22BA5">
        <w:rPr>
          <w:color w:val="auto"/>
          <w:szCs w:val="24"/>
        </w:rPr>
        <w:t>SECNAVINST 1850</w:t>
      </w:r>
      <w:r w:rsidR="00F22BA5" w:rsidRPr="004129BF">
        <w:rPr>
          <w:color w:val="auto"/>
          <w:szCs w:val="24"/>
        </w:rPr>
        <w:t xml:space="preserve"> and Veterans’ Administration Schedule for Rating Disabilities (VASRD), respectively.</w:t>
      </w:r>
      <w:r w:rsidR="00DE63EE">
        <w:rPr>
          <w:color w:val="auto"/>
          <w:szCs w:val="24"/>
        </w:rPr>
        <w:t xml:space="preserve"> </w:t>
      </w:r>
      <w:r w:rsidR="0040674E">
        <w:rPr>
          <w:color w:val="auto"/>
          <w:szCs w:val="24"/>
        </w:rPr>
        <w:t xml:space="preserve"> </w:t>
      </w:r>
      <w:r w:rsidR="00F22BA5" w:rsidRPr="00C472C7">
        <w:rPr>
          <w:color w:val="auto"/>
        </w:rPr>
        <w:t xml:space="preserve">The CI made no appeals, and was medically separated with a </w:t>
      </w:r>
      <w:r w:rsidR="00F22BA5">
        <w:rPr>
          <w:color w:val="auto"/>
        </w:rPr>
        <w:t>10</w:t>
      </w:r>
      <w:r w:rsidR="00F22BA5" w:rsidRPr="00C472C7">
        <w:rPr>
          <w:color w:val="auto"/>
        </w:rPr>
        <w:t>% combined disability rating.</w:t>
      </w:r>
    </w:p>
    <w:p w:rsidR="004174F0" w:rsidRPr="001F29F9" w:rsidRDefault="004174F0" w:rsidP="00484AE2">
      <w:pPr>
        <w:pBdr>
          <w:bottom w:val="single" w:sz="12" w:space="1" w:color="auto"/>
        </w:pBdr>
        <w:tabs>
          <w:tab w:val="left" w:pos="288"/>
          <w:tab w:val="left" w:pos="4752"/>
        </w:tabs>
        <w:jc w:val="both"/>
        <w:rPr>
          <w:color w:val="000000" w:themeColor="text1"/>
        </w:rPr>
      </w:pPr>
    </w:p>
    <w:p w:rsidR="004174F0" w:rsidRPr="001F29F9" w:rsidRDefault="004174F0" w:rsidP="00484AE2">
      <w:pPr>
        <w:tabs>
          <w:tab w:val="left" w:pos="288"/>
          <w:tab w:val="left" w:pos="4752"/>
        </w:tabs>
        <w:jc w:val="both"/>
        <w:rPr>
          <w:color w:val="000000" w:themeColor="text1"/>
        </w:rPr>
      </w:pPr>
    </w:p>
    <w:p w:rsidR="00DE63EE" w:rsidRDefault="002C6E5B" w:rsidP="00484AE2">
      <w:pPr>
        <w:tabs>
          <w:tab w:val="left" w:pos="288"/>
          <w:tab w:val="left" w:pos="4752"/>
        </w:tabs>
        <w:jc w:val="both"/>
        <w:rPr>
          <w:rFonts w:eastAsia="Calibri"/>
          <w:color w:val="auto"/>
          <w:szCs w:val="24"/>
        </w:rPr>
      </w:pPr>
      <w:r w:rsidRPr="001F29F9">
        <w:rPr>
          <w:color w:val="000000" w:themeColor="text1"/>
          <w:u w:val="single"/>
        </w:rPr>
        <w:t>CI CONTENTION</w:t>
      </w:r>
      <w:r w:rsidRPr="001F29F9">
        <w:rPr>
          <w:color w:val="000000" w:themeColor="text1"/>
        </w:rPr>
        <w:t>:</w:t>
      </w:r>
      <w:r w:rsidR="00F22BA5" w:rsidRPr="00F22BA5">
        <w:rPr>
          <w:color w:val="auto"/>
        </w:rPr>
        <w:t xml:space="preserve"> </w:t>
      </w:r>
      <w:r w:rsidR="00F22BA5">
        <w:rPr>
          <w:color w:val="auto"/>
        </w:rPr>
        <w:t>“Since date</w:t>
      </w:r>
      <w:r w:rsidR="00F22BA5" w:rsidRPr="00254B33">
        <w:rPr>
          <w:color w:val="auto"/>
        </w:rPr>
        <w:t xml:space="preserve"> </w:t>
      </w:r>
      <w:r w:rsidR="00F22BA5">
        <w:rPr>
          <w:color w:val="auto"/>
        </w:rPr>
        <w:t>of</w:t>
      </w:r>
      <w:r w:rsidR="00F22BA5" w:rsidRPr="00254B33">
        <w:rPr>
          <w:color w:val="auto"/>
        </w:rPr>
        <w:t xml:space="preserve"> Discharge I have suffered pain a</w:t>
      </w:r>
      <w:r w:rsidR="00F22BA5">
        <w:rPr>
          <w:color w:val="auto"/>
        </w:rPr>
        <w:t>t least 3-</w:t>
      </w:r>
      <w:r w:rsidR="00F22BA5" w:rsidRPr="00254B33">
        <w:rPr>
          <w:color w:val="auto"/>
        </w:rPr>
        <w:t>4 days a wee</w:t>
      </w:r>
      <w:r w:rsidR="00F22BA5">
        <w:rPr>
          <w:color w:val="auto"/>
        </w:rPr>
        <w:t xml:space="preserve">k.  </w:t>
      </w:r>
      <w:proofErr w:type="gramStart"/>
      <w:r w:rsidR="00F22BA5">
        <w:rPr>
          <w:color w:val="auto"/>
        </w:rPr>
        <w:t>Have found it nearly impossib</w:t>
      </w:r>
      <w:r w:rsidR="00F22BA5" w:rsidRPr="00254B33">
        <w:rPr>
          <w:color w:val="auto"/>
        </w:rPr>
        <w:t>le to find work in any field that my injuries</w:t>
      </w:r>
      <w:r w:rsidR="00F22BA5">
        <w:rPr>
          <w:color w:val="auto"/>
        </w:rPr>
        <w:t xml:space="preserve"> do</w:t>
      </w:r>
      <w:r w:rsidR="00F22BA5" w:rsidRPr="00254B33">
        <w:rPr>
          <w:color w:val="auto"/>
        </w:rPr>
        <w:t xml:space="preserve"> not cause pain or time off from work.</w:t>
      </w:r>
      <w:r w:rsidR="00DE63EE">
        <w:rPr>
          <w:color w:val="auto"/>
        </w:rPr>
        <w:t>”</w:t>
      </w:r>
      <w:proofErr w:type="gramEnd"/>
      <w:r w:rsidR="00DE63EE">
        <w:rPr>
          <w:color w:val="auto"/>
        </w:rPr>
        <w:t xml:space="preserve"> </w:t>
      </w:r>
      <w:r w:rsidR="00F22BA5" w:rsidRPr="00254B33">
        <w:rPr>
          <w:rFonts w:eastAsia="Calibri"/>
          <w:color w:val="auto"/>
          <w:szCs w:val="24"/>
        </w:rPr>
        <w:t>He elaborates no specific contentions regarding rating or coding and mentions no additionally contended conditions</w:t>
      </w:r>
      <w:r w:rsidR="00DE63EE">
        <w:rPr>
          <w:rFonts w:eastAsia="Calibri"/>
          <w:color w:val="auto"/>
          <w:szCs w:val="24"/>
        </w:rPr>
        <w:t>.</w:t>
      </w:r>
    </w:p>
    <w:p w:rsidR="004174F0" w:rsidRPr="00484AE2" w:rsidRDefault="00F22BA5" w:rsidP="00484AE2">
      <w:pPr>
        <w:tabs>
          <w:tab w:val="left" w:pos="288"/>
          <w:tab w:val="left" w:pos="4752"/>
        </w:tabs>
        <w:jc w:val="both"/>
        <w:rPr>
          <w:b/>
          <w:color w:val="000000" w:themeColor="text1"/>
        </w:rPr>
      </w:pPr>
      <w:r w:rsidRPr="00484AE2">
        <w:rPr>
          <w:rFonts w:eastAsiaTheme="minorHAnsi"/>
          <w:b/>
          <w:color w:val="000000" w:themeColor="text1"/>
          <w:szCs w:val="24"/>
        </w:rPr>
        <w:t>______________________________________________________________________________</w:t>
      </w:r>
    </w:p>
    <w:p w:rsidR="00F22BA5" w:rsidRDefault="00F22BA5" w:rsidP="00484AE2">
      <w:pPr>
        <w:jc w:val="both"/>
        <w:rPr>
          <w:color w:val="000000" w:themeColor="text1"/>
          <w:u w:val="single"/>
        </w:rPr>
      </w:pPr>
    </w:p>
    <w:p w:rsidR="001537D8" w:rsidRPr="001F29F9" w:rsidRDefault="007F0AB7" w:rsidP="00484AE2">
      <w:pPr>
        <w:jc w:val="both"/>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F22BA5" w:rsidRPr="00FF1022" w:rsidRDefault="00F22BA5" w:rsidP="00F22BA5">
      <w:pPr>
        <w:rPr>
          <w:color w:val="auto"/>
        </w:rPr>
      </w:pPr>
    </w:p>
    <w:tbl>
      <w:tblPr>
        <w:tblW w:w="94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6"/>
        <w:gridCol w:w="1062"/>
        <w:gridCol w:w="900"/>
        <w:gridCol w:w="2537"/>
        <w:gridCol w:w="1062"/>
        <w:gridCol w:w="831"/>
        <w:gridCol w:w="990"/>
      </w:tblGrid>
      <w:tr w:rsidR="00F22BA5" w:rsidRPr="002A4119" w:rsidTr="00F22BA5">
        <w:trPr>
          <w:trHeight w:val="233"/>
          <w:jc w:val="center"/>
        </w:trPr>
        <w:tc>
          <w:tcPr>
            <w:tcW w:w="4048" w:type="dxa"/>
            <w:gridSpan w:val="3"/>
            <w:tcBorders>
              <w:right w:val="thinThickThinSmallGap" w:sz="24" w:space="0" w:color="auto"/>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Service PEB – Dated 200</w:t>
            </w:r>
            <w:r>
              <w:rPr>
                <w:rFonts w:eastAsia="Calibri"/>
                <w:b/>
                <w:color w:val="auto"/>
                <w:sz w:val="20"/>
              </w:rPr>
              <w:t>40628</w:t>
            </w:r>
          </w:p>
        </w:tc>
        <w:tc>
          <w:tcPr>
            <w:tcW w:w="5420" w:type="dxa"/>
            <w:gridSpan w:val="4"/>
            <w:tcBorders>
              <w:left w:val="thinThickThinSmallGap" w:sz="24" w:space="0" w:color="auto"/>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VA (</w:t>
            </w:r>
            <w:r>
              <w:rPr>
                <w:rFonts w:eastAsia="Calibri"/>
                <w:b/>
                <w:color w:val="auto"/>
                <w:sz w:val="20"/>
              </w:rPr>
              <w:t>1</w:t>
            </w:r>
            <w:r w:rsidRPr="00231FB3">
              <w:rPr>
                <w:rFonts w:eastAsia="Calibri"/>
                <w:b/>
                <w:color w:val="auto"/>
                <w:sz w:val="20"/>
              </w:rPr>
              <w:t xml:space="preserve"> Mo</w:t>
            </w:r>
            <w:r w:rsidRPr="00B467A8">
              <w:rPr>
                <w:rFonts w:eastAsia="Calibri"/>
                <w:b/>
                <w:color w:val="auto"/>
                <w:sz w:val="20"/>
              </w:rPr>
              <w:t>. After</w:t>
            </w:r>
            <w:r w:rsidRPr="00231FB3">
              <w:rPr>
                <w:rFonts w:eastAsia="Calibri"/>
                <w:b/>
                <w:color w:val="auto"/>
                <w:sz w:val="20"/>
              </w:rPr>
              <w:t xml:space="preserve"> Separation) – All Effective Date 200</w:t>
            </w:r>
            <w:r>
              <w:rPr>
                <w:rFonts w:eastAsia="Calibri"/>
                <w:b/>
                <w:color w:val="auto"/>
                <w:sz w:val="20"/>
              </w:rPr>
              <w:t>40901</w:t>
            </w:r>
          </w:p>
        </w:tc>
      </w:tr>
      <w:tr w:rsidR="00F22BA5" w:rsidRPr="002A4119" w:rsidTr="00F22BA5">
        <w:trPr>
          <w:trHeight w:val="278"/>
          <w:jc w:val="center"/>
        </w:trPr>
        <w:tc>
          <w:tcPr>
            <w:tcW w:w="2086" w:type="dxa"/>
            <w:tcBorders>
              <w:bottom w:val="single" w:sz="4" w:space="0" w:color="000000"/>
              <w:right w:val="single" w:sz="4" w:space="0" w:color="auto"/>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Rating</w:t>
            </w:r>
          </w:p>
        </w:tc>
        <w:tc>
          <w:tcPr>
            <w:tcW w:w="2537" w:type="dxa"/>
            <w:tcBorders>
              <w:left w:val="thinThickThinSmallGap" w:sz="24" w:space="0" w:color="auto"/>
              <w:bottom w:val="single" w:sz="4" w:space="0" w:color="000000"/>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Condition</w:t>
            </w:r>
          </w:p>
        </w:tc>
        <w:tc>
          <w:tcPr>
            <w:tcW w:w="1062" w:type="dxa"/>
            <w:tcBorders>
              <w:bottom w:val="single" w:sz="4" w:space="0" w:color="000000"/>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Code</w:t>
            </w:r>
          </w:p>
        </w:tc>
        <w:tc>
          <w:tcPr>
            <w:tcW w:w="831" w:type="dxa"/>
            <w:tcBorders>
              <w:bottom w:val="single" w:sz="4" w:space="0" w:color="000000"/>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Rating</w:t>
            </w:r>
          </w:p>
        </w:tc>
        <w:tc>
          <w:tcPr>
            <w:tcW w:w="990" w:type="dxa"/>
            <w:tcBorders>
              <w:bottom w:val="single" w:sz="4" w:space="0" w:color="000000"/>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Exam</w:t>
            </w:r>
          </w:p>
        </w:tc>
      </w:tr>
      <w:tr w:rsidR="00F22BA5" w:rsidRPr="002A4119" w:rsidTr="00F22BA5">
        <w:trPr>
          <w:trHeight w:val="287"/>
          <w:jc w:val="center"/>
        </w:trPr>
        <w:tc>
          <w:tcPr>
            <w:tcW w:w="2086" w:type="dxa"/>
            <w:tcBorders>
              <w:right w:val="single" w:sz="4" w:space="0" w:color="auto"/>
            </w:tcBorders>
            <w:shd w:val="clear" w:color="auto" w:fill="FFFFFF"/>
            <w:vAlign w:val="center"/>
          </w:tcPr>
          <w:p w:rsidR="00F22BA5" w:rsidRPr="00B467A8" w:rsidRDefault="00F22BA5" w:rsidP="0028548D">
            <w:pPr>
              <w:spacing w:line="180" w:lineRule="exact"/>
              <w:contextualSpacing/>
              <w:jc w:val="left"/>
              <w:rPr>
                <w:rFonts w:eastAsia="Calibri"/>
                <w:color w:val="auto"/>
                <w:sz w:val="18"/>
                <w:szCs w:val="18"/>
              </w:rPr>
            </w:pPr>
            <w:r w:rsidRPr="00B467A8">
              <w:rPr>
                <w:rFonts w:eastAsia="Calibri"/>
                <w:color w:val="auto"/>
                <w:sz w:val="18"/>
                <w:szCs w:val="18"/>
              </w:rPr>
              <w:t>Left Ankle Moderate Osteoarthritis</w:t>
            </w:r>
          </w:p>
        </w:tc>
        <w:tc>
          <w:tcPr>
            <w:tcW w:w="1062" w:type="dxa"/>
            <w:tcBorders>
              <w:left w:val="single" w:sz="4" w:space="0" w:color="auto"/>
            </w:tcBorders>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5299-5003</w:t>
            </w:r>
          </w:p>
        </w:tc>
        <w:tc>
          <w:tcPr>
            <w:tcW w:w="900" w:type="dxa"/>
            <w:tcBorders>
              <w:right w:val="thinThickThinSmallGap" w:sz="24" w:space="0" w:color="auto"/>
            </w:tcBorders>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10%</w:t>
            </w:r>
          </w:p>
        </w:tc>
        <w:tc>
          <w:tcPr>
            <w:tcW w:w="2537" w:type="dxa"/>
            <w:vMerge w:val="restart"/>
            <w:tcBorders>
              <w:left w:val="thinThickThinSmallGap" w:sz="24" w:space="0" w:color="auto"/>
            </w:tcBorders>
            <w:shd w:val="clear" w:color="auto" w:fill="FFFFFF"/>
            <w:vAlign w:val="center"/>
          </w:tcPr>
          <w:p w:rsidR="00F22BA5" w:rsidRPr="00B467A8" w:rsidRDefault="00F22BA5" w:rsidP="0028548D">
            <w:pPr>
              <w:spacing w:line="180" w:lineRule="exact"/>
              <w:contextualSpacing/>
              <w:jc w:val="left"/>
              <w:rPr>
                <w:rFonts w:eastAsia="Calibri"/>
                <w:color w:val="auto"/>
                <w:sz w:val="18"/>
                <w:szCs w:val="18"/>
              </w:rPr>
            </w:pPr>
            <w:r w:rsidRPr="00B467A8">
              <w:rPr>
                <w:rFonts w:eastAsia="Calibri"/>
                <w:color w:val="auto"/>
                <w:sz w:val="18"/>
                <w:szCs w:val="18"/>
              </w:rPr>
              <w:t>Degenerative Joint Disease Left Ankle</w:t>
            </w:r>
          </w:p>
        </w:tc>
        <w:tc>
          <w:tcPr>
            <w:tcW w:w="1062" w:type="dxa"/>
            <w:vMerge w:val="restart"/>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5010-5271</w:t>
            </w:r>
          </w:p>
        </w:tc>
        <w:tc>
          <w:tcPr>
            <w:tcW w:w="831" w:type="dxa"/>
            <w:vMerge w:val="restart"/>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10%</w:t>
            </w:r>
          </w:p>
        </w:tc>
        <w:tc>
          <w:tcPr>
            <w:tcW w:w="990" w:type="dxa"/>
            <w:vMerge w:val="restart"/>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200</w:t>
            </w:r>
            <w:r>
              <w:rPr>
                <w:rFonts w:eastAsia="Calibri"/>
                <w:color w:val="auto"/>
                <w:sz w:val="18"/>
                <w:szCs w:val="18"/>
              </w:rPr>
              <w:t>50624</w:t>
            </w:r>
          </w:p>
        </w:tc>
      </w:tr>
      <w:tr w:rsidR="00F22BA5" w:rsidRPr="002A4119" w:rsidTr="00F22BA5">
        <w:trPr>
          <w:trHeight w:val="287"/>
          <w:jc w:val="center"/>
        </w:trPr>
        <w:tc>
          <w:tcPr>
            <w:tcW w:w="2086" w:type="dxa"/>
            <w:tcBorders>
              <w:right w:val="single" w:sz="4" w:space="0" w:color="auto"/>
            </w:tcBorders>
            <w:shd w:val="clear" w:color="auto" w:fill="FFFFFF"/>
            <w:vAlign w:val="center"/>
          </w:tcPr>
          <w:p w:rsidR="00F22BA5" w:rsidRPr="00B467A8" w:rsidRDefault="00F22BA5" w:rsidP="0028548D">
            <w:pPr>
              <w:spacing w:line="180" w:lineRule="exact"/>
              <w:contextualSpacing/>
              <w:jc w:val="left"/>
              <w:rPr>
                <w:rFonts w:eastAsia="Calibri"/>
                <w:color w:val="auto"/>
                <w:sz w:val="18"/>
                <w:szCs w:val="18"/>
              </w:rPr>
            </w:pPr>
            <w:r w:rsidRPr="00B467A8">
              <w:rPr>
                <w:rFonts w:eastAsia="Calibri"/>
                <w:color w:val="auto"/>
                <w:sz w:val="18"/>
                <w:szCs w:val="18"/>
              </w:rPr>
              <w:t>Chronic Left Ankle Pain</w:t>
            </w:r>
          </w:p>
        </w:tc>
        <w:tc>
          <w:tcPr>
            <w:tcW w:w="1962" w:type="dxa"/>
            <w:gridSpan w:val="2"/>
            <w:tcBorders>
              <w:left w:val="single" w:sz="4" w:space="0" w:color="auto"/>
              <w:right w:val="thinThickThinSmallGap" w:sz="24" w:space="0" w:color="auto"/>
            </w:tcBorders>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CAT II</w:t>
            </w:r>
          </w:p>
        </w:tc>
        <w:tc>
          <w:tcPr>
            <w:tcW w:w="2537" w:type="dxa"/>
            <w:vMerge/>
            <w:tcBorders>
              <w:left w:val="thinThickThinSmallGap" w:sz="24" w:space="0" w:color="auto"/>
            </w:tcBorders>
            <w:shd w:val="clear" w:color="auto" w:fill="FFFFFF"/>
            <w:vAlign w:val="center"/>
          </w:tcPr>
          <w:p w:rsidR="00F22BA5" w:rsidRPr="00B467A8" w:rsidRDefault="00F22BA5" w:rsidP="0028548D">
            <w:pPr>
              <w:spacing w:line="180" w:lineRule="exact"/>
              <w:contextualSpacing/>
              <w:jc w:val="left"/>
              <w:rPr>
                <w:rFonts w:eastAsia="Calibri"/>
                <w:color w:val="auto"/>
                <w:sz w:val="18"/>
                <w:szCs w:val="18"/>
              </w:rPr>
            </w:pPr>
          </w:p>
        </w:tc>
        <w:tc>
          <w:tcPr>
            <w:tcW w:w="1062" w:type="dxa"/>
            <w:vMerge/>
            <w:shd w:val="clear" w:color="auto" w:fill="FFFFFF"/>
            <w:vAlign w:val="center"/>
          </w:tcPr>
          <w:p w:rsidR="00F22BA5" w:rsidRPr="00B467A8" w:rsidRDefault="00F22BA5" w:rsidP="00F22BA5">
            <w:pPr>
              <w:spacing w:line="180" w:lineRule="exact"/>
              <w:contextualSpacing/>
              <w:rPr>
                <w:rFonts w:eastAsia="Calibri"/>
                <w:color w:val="auto"/>
                <w:sz w:val="18"/>
                <w:szCs w:val="18"/>
              </w:rPr>
            </w:pPr>
          </w:p>
        </w:tc>
        <w:tc>
          <w:tcPr>
            <w:tcW w:w="831" w:type="dxa"/>
            <w:vMerge/>
            <w:shd w:val="clear" w:color="auto" w:fill="FFFFFF"/>
            <w:vAlign w:val="center"/>
          </w:tcPr>
          <w:p w:rsidR="00F22BA5" w:rsidRPr="00B467A8" w:rsidRDefault="00F22BA5" w:rsidP="00F22BA5">
            <w:pPr>
              <w:spacing w:line="180" w:lineRule="exact"/>
              <w:contextualSpacing/>
              <w:rPr>
                <w:rFonts w:eastAsia="Calibri"/>
                <w:color w:val="auto"/>
                <w:sz w:val="18"/>
                <w:szCs w:val="18"/>
              </w:rPr>
            </w:pPr>
          </w:p>
        </w:tc>
        <w:tc>
          <w:tcPr>
            <w:tcW w:w="990" w:type="dxa"/>
            <w:vMerge/>
            <w:shd w:val="clear" w:color="auto" w:fill="FFFFFF"/>
            <w:vAlign w:val="center"/>
          </w:tcPr>
          <w:p w:rsidR="00F22BA5" w:rsidRPr="00B467A8" w:rsidRDefault="00F22BA5" w:rsidP="00F22BA5">
            <w:pPr>
              <w:spacing w:line="180" w:lineRule="exact"/>
              <w:contextualSpacing/>
              <w:rPr>
                <w:rFonts w:eastAsia="Calibri"/>
                <w:color w:val="auto"/>
                <w:sz w:val="18"/>
                <w:szCs w:val="18"/>
              </w:rPr>
            </w:pPr>
          </w:p>
        </w:tc>
      </w:tr>
      <w:tr w:rsidR="00F22BA5" w:rsidRPr="002A4119" w:rsidTr="00F22BA5">
        <w:trPr>
          <w:trHeight w:val="287"/>
          <w:jc w:val="center"/>
        </w:trPr>
        <w:tc>
          <w:tcPr>
            <w:tcW w:w="4048" w:type="dxa"/>
            <w:gridSpan w:val="3"/>
            <w:vMerge w:val="restart"/>
            <w:tcBorders>
              <w:right w:val="thinThickThinSmallGap" w:sz="24" w:space="0" w:color="auto"/>
            </w:tcBorders>
            <w:shd w:val="clear" w:color="auto" w:fill="FFFFFF"/>
            <w:vAlign w:val="center"/>
          </w:tcPr>
          <w:p w:rsidR="00F22BA5" w:rsidRPr="00231FB3" w:rsidRDefault="00F22BA5" w:rsidP="00F22BA5">
            <w:pPr>
              <w:spacing w:line="180" w:lineRule="exact"/>
              <w:contextualSpacing/>
              <w:rPr>
                <w:rFonts w:eastAsia="Calibri"/>
                <w:color w:val="auto"/>
                <w:sz w:val="18"/>
                <w:szCs w:val="18"/>
              </w:rPr>
            </w:pPr>
            <w:r w:rsidRPr="00231FB3">
              <w:rPr>
                <w:rFonts w:eastAsia="Calibri"/>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vAlign w:val="center"/>
          </w:tcPr>
          <w:p w:rsidR="00F22BA5" w:rsidRPr="00B467A8" w:rsidRDefault="00F22BA5" w:rsidP="0028548D">
            <w:pPr>
              <w:spacing w:line="180" w:lineRule="exact"/>
              <w:contextualSpacing/>
              <w:jc w:val="left"/>
              <w:rPr>
                <w:rFonts w:eastAsia="Calibri"/>
                <w:color w:val="auto"/>
                <w:sz w:val="18"/>
                <w:szCs w:val="18"/>
              </w:rPr>
            </w:pPr>
            <w:r w:rsidRPr="00B467A8">
              <w:rPr>
                <w:rFonts w:eastAsia="Calibri"/>
                <w:color w:val="auto"/>
                <w:sz w:val="18"/>
                <w:szCs w:val="18"/>
              </w:rPr>
              <w:t>Degenerative Joint Disease Lumbar Spine</w:t>
            </w:r>
          </w:p>
        </w:tc>
        <w:tc>
          <w:tcPr>
            <w:tcW w:w="1062" w:type="dxa"/>
            <w:tcBorders>
              <w:left w:val="single" w:sz="4" w:space="0" w:color="auto"/>
              <w:right w:val="single" w:sz="4" w:space="0" w:color="auto"/>
            </w:tcBorders>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5242</w:t>
            </w:r>
          </w:p>
        </w:tc>
        <w:tc>
          <w:tcPr>
            <w:tcW w:w="831" w:type="dxa"/>
            <w:tcBorders>
              <w:left w:val="single" w:sz="4" w:space="0" w:color="auto"/>
            </w:tcBorders>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10%</w:t>
            </w:r>
          </w:p>
        </w:tc>
        <w:tc>
          <w:tcPr>
            <w:tcW w:w="990" w:type="dxa"/>
            <w:shd w:val="clear" w:color="auto" w:fill="FFFFFF"/>
            <w:vAlign w:val="center"/>
          </w:tcPr>
          <w:p w:rsidR="00F22BA5" w:rsidRPr="00B467A8" w:rsidRDefault="00F22BA5" w:rsidP="00F22BA5">
            <w:pPr>
              <w:spacing w:line="180" w:lineRule="exact"/>
              <w:contextualSpacing/>
              <w:rPr>
                <w:rFonts w:eastAsia="Calibri"/>
                <w:color w:val="auto"/>
                <w:sz w:val="18"/>
                <w:szCs w:val="18"/>
              </w:rPr>
            </w:pPr>
            <w:r w:rsidRPr="00B467A8">
              <w:rPr>
                <w:rFonts w:eastAsia="Calibri"/>
                <w:color w:val="auto"/>
                <w:sz w:val="18"/>
                <w:szCs w:val="18"/>
              </w:rPr>
              <w:t>200</w:t>
            </w:r>
            <w:r>
              <w:rPr>
                <w:rFonts w:eastAsia="Calibri"/>
                <w:color w:val="auto"/>
                <w:sz w:val="18"/>
                <w:szCs w:val="18"/>
              </w:rPr>
              <w:t>50624</w:t>
            </w:r>
          </w:p>
        </w:tc>
      </w:tr>
      <w:tr w:rsidR="0028548D" w:rsidRPr="002A4119" w:rsidTr="00F22BA5">
        <w:trPr>
          <w:trHeight w:val="287"/>
          <w:jc w:val="center"/>
        </w:trPr>
        <w:tc>
          <w:tcPr>
            <w:tcW w:w="4048" w:type="dxa"/>
            <w:gridSpan w:val="3"/>
            <w:vMerge/>
            <w:tcBorders>
              <w:right w:val="thinThickThinSmallGap" w:sz="24" w:space="0" w:color="auto"/>
            </w:tcBorders>
            <w:shd w:val="clear" w:color="auto" w:fill="FFFFFF"/>
            <w:vAlign w:val="center"/>
          </w:tcPr>
          <w:p w:rsidR="0028548D" w:rsidRPr="00231FB3" w:rsidRDefault="0028548D" w:rsidP="00F22BA5">
            <w:pPr>
              <w:spacing w:line="180" w:lineRule="exact"/>
              <w:contextualSpacing/>
              <w:rPr>
                <w:rFonts w:eastAsia="Calibri"/>
                <w:color w:val="auto"/>
                <w:sz w:val="18"/>
                <w:szCs w:val="18"/>
              </w:rPr>
            </w:pPr>
          </w:p>
        </w:tc>
        <w:tc>
          <w:tcPr>
            <w:tcW w:w="2537" w:type="dxa"/>
            <w:tcBorders>
              <w:left w:val="thinThickThinSmallGap" w:sz="24" w:space="0" w:color="auto"/>
              <w:right w:val="single" w:sz="4" w:space="0" w:color="auto"/>
            </w:tcBorders>
            <w:shd w:val="clear" w:color="auto" w:fill="FFFFFF"/>
            <w:vAlign w:val="center"/>
          </w:tcPr>
          <w:p w:rsidR="0028548D" w:rsidRPr="00B467A8" w:rsidRDefault="00D00C81" w:rsidP="0028548D">
            <w:pPr>
              <w:spacing w:line="180" w:lineRule="exact"/>
              <w:contextualSpacing/>
              <w:jc w:val="left"/>
              <w:rPr>
                <w:rFonts w:eastAsia="Calibri"/>
                <w:color w:val="auto"/>
                <w:sz w:val="18"/>
                <w:szCs w:val="18"/>
              </w:rPr>
            </w:pPr>
            <w:r>
              <w:rPr>
                <w:rFonts w:eastAsia="Calibri"/>
                <w:color w:val="auto"/>
                <w:sz w:val="18"/>
                <w:szCs w:val="18"/>
              </w:rPr>
              <w:t>Tinnitus</w:t>
            </w:r>
          </w:p>
        </w:tc>
        <w:tc>
          <w:tcPr>
            <w:tcW w:w="1062" w:type="dxa"/>
            <w:tcBorders>
              <w:left w:val="single" w:sz="4" w:space="0" w:color="auto"/>
              <w:right w:val="single" w:sz="4" w:space="0" w:color="auto"/>
            </w:tcBorders>
            <w:shd w:val="clear" w:color="auto" w:fill="FFFFFF"/>
            <w:vAlign w:val="center"/>
          </w:tcPr>
          <w:p w:rsidR="0028548D" w:rsidRPr="00B467A8" w:rsidRDefault="00D00C81" w:rsidP="00F22BA5">
            <w:pPr>
              <w:spacing w:line="180" w:lineRule="exact"/>
              <w:contextualSpacing/>
              <w:rPr>
                <w:rFonts w:eastAsia="Calibri"/>
                <w:color w:val="auto"/>
                <w:sz w:val="18"/>
                <w:szCs w:val="18"/>
              </w:rPr>
            </w:pPr>
            <w:r>
              <w:rPr>
                <w:rFonts w:eastAsia="Calibri"/>
                <w:color w:val="auto"/>
                <w:sz w:val="18"/>
                <w:szCs w:val="18"/>
              </w:rPr>
              <w:t>6260</w:t>
            </w:r>
          </w:p>
        </w:tc>
        <w:tc>
          <w:tcPr>
            <w:tcW w:w="831" w:type="dxa"/>
            <w:tcBorders>
              <w:left w:val="single" w:sz="4" w:space="0" w:color="auto"/>
            </w:tcBorders>
            <w:shd w:val="clear" w:color="auto" w:fill="FFFFFF"/>
            <w:vAlign w:val="center"/>
          </w:tcPr>
          <w:p w:rsidR="0028548D" w:rsidRPr="00B467A8" w:rsidRDefault="00D00C81" w:rsidP="00F22BA5">
            <w:pPr>
              <w:spacing w:line="180" w:lineRule="exact"/>
              <w:contextualSpacing/>
              <w:rPr>
                <w:rFonts w:eastAsia="Calibri"/>
                <w:color w:val="auto"/>
                <w:sz w:val="18"/>
                <w:szCs w:val="18"/>
              </w:rPr>
            </w:pPr>
            <w:r>
              <w:rPr>
                <w:rFonts w:eastAsia="Calibri"/>
                <w:color w:val="auto"/>
                <w:sz w:val="18"/>
                <w:szCs w:val="18"/>
              </w:rPr>
              <w:t>10%</w:t>
            </w:r>
          </w:p>
        </w:tc>
        <w:tc>
          <w:tcPr>
            <w:tcW w:w="990" w:type="dxa"/>
            <w:shd w:val="clear" w:color="auto" w:fill="FFFFFF"/>
            <w:vAlign w:val="center"/>
          </w:tcPr>
          <w:p w:rsidR="0028548D" w:rsidRPr="00B467A8" w:rsidRDefault="00D00C81" w:rsidP="00F22BA5">
            <w:pPr>
              <w:spacing w:line="180" w:lineRule="exact"/>
              <w:contextualSpacing/>
              <w:rPr>
                <w:rFonts w:eastAsia="Calibri"/>
                <w:color w:val="auto"/>
                <w:sz w:val="18"/>
                <w:szCs w:val="18"/>
              </w:rPr>
            </w:pPr>
            <w:r>
              <w:rPr>
                <w:rFonts w:eastAsia="Calibri"/>
                <w:color w:val="auto"/>
                <w:sz w:val="18"/>
                <w:szCs w:val="18"/>
              </w:rPr>
              <w:t>20050824</w:t>
            </w:r>
          </w:p>
        </w:tc>
      </w:tr>
      <w:tr w:rsidR="00D00C81" w:rsidRPr="002A4119" w:rsidTr="00DE63EE">
        <w:trPr>
          <w:trHeight w:val="323"/>
          <w:jc w:val="center"/>
        </w:trPr>
        <w:tc>
          <w:tcPr>
            <w:tcW w:w="4048" w:type="dxa"/>
            <w:gridSpan w:val="3"/>
            <w:vMerge/>
            <w:tcBorders>
              <w:bottom w:val="single" w:sz="4" w:space="0" w:color="000000"/>
              <w:right w:val="thinThickThinSmallGap" w:sz="24" w:space="0" w:color="auto"/>
            </w:tcBorders>
            <w:shd w:val="clear" w:color="auto" w:fill="FFFFFF"/>
            <w:vAlign w:val="center"/>
          </w:tcPr>
          <w:p w:rsidR="00D00C81" w:rsidRPr="00231FB3" w:rsidRDefault="00D00C81" w:rsidP="00F22BA5">
            <w:pPr>
              <w:spacing w:line="180" w:lineRule="exact"/>
              <w:contextualSpacing/>
              <w:rPr>
                <w:rFonts w:eastAsia="Calibri"/>
                <w:color w:val="auto"/>
                <w:sz w:val="18"/>
                <w:szCs w:val="18"/>
              </w:rPr>
            </w:pPr>
          </w:p>
        </w:tc>
        <w:tc>
          <w:tcPr>
            <w:tcW w:w="5420" w:type="dxa"/>
            <w:gridSpan w:val="4"/>
            <w:tcBorders>
              <w:left w:val="thinThickThinSmallGap" w:sz="24" w:space="0" w:color="auto"/>
            </w:tcBorders>
            <w:shd w:val="clear" w:color="auto" w:fill="FFFFFF"/>
            <w:vAlign w:val="center"/>
          </w:tcPr>
          <w:p w:rsidR="00D00C81" w:rsidRPr="00231FB3" w:rsidRDefault="00D00C81" w:rsidP="00DE63EE">
            <w:pPr>
              <w:spacing w:line="180" w:lineRule="exact"/>
              <w:contextualSpacing/>
              <w:rPr>
                <w:rFonts w:eastAsia="Calibri"/>
                <w:color w:val="auto"/>
                <w:sz w:val="18"/>
                <w:szCs w:val="18"/>
                <w:highlight w:val="yellow"/>
              </w:rPr>
            </w:pPr>
            <w:r w:rsidRPr="00231FB3">
              <w:rPr>
                <w:rFonts w:eastAsia="Calibri"/>
                <w:color w:val="auto"/>
                <w:sz w:val="18"/>
                <w:szCs w:val="18"/>
              </w:rPr>
              <w:t xml:space="preserve">0% x </w:t>
            </w:r>
            <w:r>
              <w:rPr>
                <w:rFonts w:eastAsia="Calibri"/>
                <w:color w:val="auto"/>
                <w:sz w:val="18"/>
                <w:szCs w:val="18"/>
              </w:rPr>
              <w:t>3</w:t>
            </w:r>
            <w:r w:rsidRPr="00231FB3">
              <w:rPr>
                <w:rFonts w:eastAsia="Calibri"/>
                <w:color w:val="auto"/>
                <w:sz w:val="18"/>
                <w:szCs w:val="18"/>
              </w:rPr>
              <w:t xml:space="preserve">/Not Service Connected x </w:t>
            </w:r>
            <w:r>
              <w:rPr>
                <w:rFonts w:eastAsia="Calibri"/>
                <w:color w:val="auto"/>
                <w:sz w:val="18"/>
                <w:szCs w:val="18"/>
              </w:rPr>
              <w:t>2</w:t>
            </w:r>
          </w:p>
        </w:tc>
      </w:tr>
      <w:tr w:rsidR="00F22BA5" w:rsidRPr="002A4119" w:rsidTr="00F22BA5">
        <w:trPr>
          <w:trHeight w:val="56"/>
          <w:jc w:val="center"/>
        </w:trPr>
        <w:tc>
          <w:tcPr>
            <w:tcW w:w="4048" w:type="dxa"/>
            <w:gridSpan w:val="3"/>
            <w:tcBorders>
              <w:right w:val="thinThickThinSmallGap" w:sz="24" w:space="0" w:color="auto"/>
            </w:tcBorders>
            <w:shd w:val="clear" w:color="auto" w:fill="D9D9D9"/>
            <w:vAlign w:val="center"/>
          </w:tcPr>
          <w:p w:rsidR="00F22BA5" w:rsidRPr="00231FB3" w:rsidRDefault="00F22BA5" w:rsidP="00F22BA5">
            <w:pPr>
              <w:spacing w:line="200" w:lineRule="exact"/>
              <w:contextualSpacing/>
              <w:rPr>
                <w:rFonts w:eastAsia="Calibri"/>
                <w:b/>
                <w:color w:val="auto"/>
                <w:sz w:val="20"/>
              </w:rPr>
            </w:pPr>
            <w:r w:rsidRPr="00231FB3">
              <w:rPr>
                <w:rFonts w:eastAsia="Calibri"/>
                <w:b/>
                <w:color w:val="auto"/>
                <w:sz w:val="20"/>
              </w:rPr>
              <w:t xml:space="preserve">Combined:  </w:t>
            </w:r>
            <w:r>
              <w:rPr>
                <w:rFonts w:eastAsia="Calibri"/>
                <w:b/>
                <w:color w:val="auto"/>
                <w:sz w:val="20"/>
              </w:rPr>
              <w:t>10</w:t>
            </w:r>
            <w:r w:rsidRPr="00231FB3">
              <w:rPr>
                <w:rFonts w:eastAsia="Calibri"/>
                <w:b/>
                <w:color w:val="auto"/>
                <w:sz w:val="20"/>
              </w:rPr>
              <w:t>%</w:t>
            </w:r>
          </w:p>
        </w:tc>
        <w:tc>
          <w:tcPr>
            <w:tcW w:w="5420" w:type="dxa"/>
            <w:gridSpan w:val="4"/>
            <w:tcBorders>
              <w:left w:val="thinThickThinSmallGap" w:sz="24" w:space="0" w:color="auto"/>
            </w:tcBorders>
            <w:shd w:val="clear" w:color="auto" w:fill="D9D9D9"/>
            <w:vAlign w:val="center"/>
          </w:tcPr>
          <w:p w:rsidR="00F22BA5" w:rsidRPr="00231FB3" w:rsidRDefault="00F22BA5" w:rsidP="00D00C81">
            <w:pPr>
              <w:spacing w:line="200" w:lineRule="exact"/>
              <w:contextualSpacing/>
              <w:rPr>
                <w:rFonts w:eastAsia="Calibri"/>
                <w:b/>
                <w:color w:val="auto"/>
                <w:sz w:val="20"/>
              </w:rPr>
            </w:pPr>
            <w:r w:rsidRPr="00231FB3">
              <w:rPr>
                <w:rFonts w:eastAsia="Calibri"/>
                <w:b/>
                <w:color w:val="auto"/>
                <w:sz w:val="20"/>
              </w:rPr>
              <w:t xml:space="preserve">Combined:  </w:t>
            </w:r>
            <w:r w:rsidR="00D00C81">
              <w:rPr>
                <w:rFonts w:eastAsia="Calibri"/>
                <w:b/>
                <w:color w:val="auto"/>
                <w:sz w:val="20"/>
              </w:rPr>
              <w:t>3</w:t>
            </w:r>
            <w:r w:rsidR="00D00C81" w:rsidRPr="00231FB3">
              <w:rPr>
                <w:rFonts w:eastAsia="Calibri"/>
                <w:b/>
                <w:color w:val="auto"/>
                <w:sz w:val="20"/>
              </w:rPr>
              <w:t>0</w:t>
            </w:r>
            <w:r w:rsidRPr="00231FB3">
              <w:rPr>
                <w:rFonts w:eastAsia="Calibri"/>
                <w:b/>
                <w:color w:val="auto"/>
                <w:sz w:val="20"/>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DA554C" w:rsidRDefault="00DA554C" w:rsidP="00DA554C">
      <w:pPr>
        <w:jc w:val="both"/>
        <w:rPr>
          <w:color w:val="000000" w:themeColor="text1"/>
        </w:rPr>
      </w:pPr>
    </w:p>
    <w:p w:rsidR="00DA554C" w:rsidRPr="00A439CE" w:rsidRDefault="00A439CE" w:rsidP="00CC2E40">
      <w:pPr>
        <w:tabs>
          <w:tab w:val="left" w:pos="288"/>
          <w:tab w:val="left" w:pos="4752"/>
        </w:tabs>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Pr="00971887">
        <w:rPr>
          <w:rFonts w:asciiTheme="minorHAnsi" w:hAnsiTheme="minorHAnsi"/>
          <w:color w:val="auto"/>
          <w:szCs w:val="24"/>
        </w:rPr>
        <w:t xml:space="preserve"> </w:t>
      </w:r>
      <w:r w:rsidR="000A441B">
        <w:rPr>
          <w:rFonts w:asciiTheme="minorHAnsi" w:hAnsiTheme="minorHAnsi"/>
          <w:color w:val="auto"/>
          <w:szCs w:val="24"/>
        </w:rPr>
        <w:t xml:space="preserve"> </w:t>
      </w:r>
      <w:r w:rsidRPr="00A439CE">
        <w:rPr>
          <w:color w:val="auto"/>
          <w:szCs w:val="24"/>
        </w:rPr>
        <w:t xml:space="preserve">The Board acknowledges the sentiment expressed in the CI’s application regarding the significant impact that his service-incurred condition has had on his current earning ability and quality of life. </w:t>
      </w:r>
      <w:r w:rsidR="0040674E">
        <w:rPr>
          <w:color w:val="auto"/>
          <w:szCs w:val="24"/>
        </w:rPr>
        <w:t xml:space="preserve"> </w:t>
      </w:r>
      <w:r w:rsidRPr="00A439CE">
        <w:rPr>
          <w:color w:val="auto"/>
          <w:szCs w:val="24"/>
        </w:rPr>
        <w:t>It is a fact, however, that the DES has neither the role nor the authority to compensate service members for anticipated future severity or potential complications of conditions resulting in medical separation.</w:t>
      </w:r>
      <w:r w:rsidR="0040674E">
        <w:rPr>
          <w:color w:val="auto"/>
          <w:szCs w:val="24"/>
        </w:rPr>
        <w:t xml:space="preserve"> </w:t>
      </w:r>
      <w:r w:rsidRPr="00A439CE">
        <w:rPr>
          <w:color w:val="auto"/>
          <w:szCs w:val="24"/>
        </w:rPr>
        <w:t xml:space="preserve"> This role and authority is granted by Congress to the </w:t>
      </w:r>
      <w:r w:rsidR="0040674E">
        <w:rPr>
          <w:color w:val="auto"/>
          <w:szCs w:val="24"/>
        </w:rPr>
        <w:t>Department of Veterans’ Affairs (DVA)</w:t>
      </w:r>
      <w:r w:rsidRPr="00A439CE">
        <w:rPr>
          <w:color w:val="auto"/>
          <w:szCs w:val="24"/>
        </w:rPr>
        <w:t xml:space="preserve">. The Board utilizes </w:t>
      </w:r>
      <w:r w:rsidR="0040674E">
        <w:rPr>
          <w:color w:val="auto"/>
          <w:szCs w:val="24"/>
        </w:rPr>
        <w:t>D</w:t>
      </w:r>
      <w:r w:rsidRPr="00A439CE">
        <w:rPr>
          <w:color w:val="auto"/>
          <w:szCs w:val="24"/>
        </w:rPr>
        <w:t>VA evidence proximal to separation in arriving at its recommendations;</w:t>
      </w:r>
      <w:r w:rsidR="0040674E">
        <w:rPr>
          <w:color w:val="auto"/>
          <w:szCs w:val="24"/>
        </w:rPr>
        <w:t xml:space="preserve"> and, DoDI 6040.44 defines a 12-</w:t>
      </w:r>
      <w:r w:rsidRPr="00A439CE">
        <w:rPr>
          <w:color w:val="auto"/>
          <w:szCs w:val="24"/>
        </w:rPr>
        <w:t xml:space="preserve">month interval for special consideration to post-separation evidence. </w:t>
      </w:r>
      <w:r w:rsidR="0040674E">
        <w:rPr>
          <w:color w:val="auto"/>
          <w:szCs w:val="24"/>
        </w:rPr>
        <w:t xml:space="preserve"> </w:t>
      </w:r>
      <w:r w:rsidRPr="00A439CE">
        <w:rPr>
          <w:color w:val="auto"/>
          <w:szCs w:val="24"/>
        </w:rPr>
        <w:t>The Board’s autho</w:t>
      </w:r>
      <w:r w:rsidR="0040674E">
        <w:rPr>
          <w:color w:val="auto"/>
          <w:szCs w:val="24"/>
        </w:rPr>
        <w:t xml:space="preserve">rity as defined in </w:t>
      </w:r>
      <w:proofErr w:type="spellStart"/>
      <w:r w:rsidR="0040674E">
        <w:rPr>
          <w:color w:val="auto"/>
          <w:szCs w:val="24"/>
        </w:rPr>
        <w:t>DoDI</w:t>
      </w:r>
      <w:proofErr w:type="spellEnd"/>
      <w:r w:rsidR="0040674E">
        <w:rPr>
          <w:color w:val="auto"/>
          <w:szCs w:val="24"/>
        </w:rPr>
        <w:t xml:space="preserve"> 6044.40;</w:t>
      </w:r>
      <w:r w:rsidRPr="00A439CE">
        <w:rPr>
          <w:color w:val="auto"/>
          <w:szCs w:val="24"/>
        </w:rPr>
        <w:t xml:space="preserve"> however, resides in evaluating the fairness of DES fitness determinations and rating decisions for disability at the time of separation.</w:t>
      </w:r>
      <w:r w:rsidR="0040674E">
        <w:rPr>
          <w:color w:val="auto"/>
          <w:szCs w:val="24"/>
        </w:rPr>
        <w:t xml:space="preserve"> </w:t>
      </w:r>
      <w:r w:rsidRPr="00A439CE">
        <w:rPr>
          <w:color w:val="auto"/>
          <w:szCs w:val="24"/>
        </w:rPr>
        <w:t xml:space="preserve"> Post-separation </w:t>
      </w:r>
      <w:r w:rsidRPr="00A439CE">
        <w:rPr>
          <w:color w:val="auto"/>
          <w:szCs w:val="24"/>
        </w:rPr>
        <w:lastRenderedPageBreak/>
        <w:t>evidence therefore is probative only to the extent that it reasonably reflects the disability and fitness implications at the time of separation.</w:t>
      </w:r>
    </w:p>
    <w:p w:rsidR="00A963D3" w:rsidRDefault="00A963D3" w:rsidP="00CC2E40">
      <w:pPr>
        <w:jc w:val="both"/>
        <w:rPr>
          <w:color w:val="auto"/>
          <w:szCs w:val="24"/>
        </w:rPr>
      </w:pPr>
    </w:p>
    <w:p w:rsidR="00A439CE" w:rsidRPr="00A963D3" w:rsidRDefault="00A963D3" w:rsidP="00CC2E40">
      <w:pPr>
        <w:jc w:val="both"/>
        <w:rPr>
          <w:color w:val="000000" w:themeColor="text1"/>
          <w:szCs w:val="24"/>
          <w:u w:val="single"/>
        </w:rPr>
      </w:pPr>
      <w:r w:rsidRPr="00A963D3">
        <w:rPr>
          <w:rFonts w:eastAsia="Calibri"/>
          <w:color w:val="auto"/>
          <w:szCs w:val="24"/>
          <w:u w:val="single"/>
        </w:rPr>
        <w:t>Left Ankle Moderate Osteoarthritis</w:t>
      </w:r>
      <w:r w:rsidRPr="00A963D3">
        <w:rPr>
          <w:color w:val="000000" w:themeColor="text1"/>
          <w:szCs w:val="24"/>
          <w:u w:val="single"/>
        </w:rPr>
        <w:t xml:space="preserve"> Condition</w:t>
      </w:r>
      <w:r w:rsidRPr="00A963D3">
        <w:rPr>
          <w:color w:val="000000" w:themeColor="text1"/>
          <w:szCs w:val="24"/>
        </w:rPr>
        <w:t xml:space="preserve">.  </w:t>
      </w:r>
      <w:r w:rsidR="00A439CE" w:rsidRPr="00DE63EE">
        <w:rPr>
          <w:color w:val="000000" w:themeColor="text1"/>
          <w:szCs w:val="24"/>
        </w:rPr>
        <w:t>There were</w:t>
      </w:r>
      <w:r w:rsidRPr="00DE63EE">
        <w:rPr>
          <w:color w:val="000000" w:themeColor="text1"/>
          <w:szCs w:val="24"/>
        </w:rPr>
        <w:t xml:space="preserve"> four</w:t>
      </w:r>
      <w:r w:rsidR="0040674E">
        <w:rPr>
          <w:color w:val="000000" w:themeColor="text1"/>
          <w:szCs w:val="24"/>
        </w:rPr>
        <w:t xml:space="preserve"> goniometric range-of-</w:t>
      </w:r>
      <w:r w:rsidR="00A439CE" w:rsidRPr="00DE63EE">
        <w:rPr>
          <w:color w:val="000000" w:themeColor="text1"/>
          <w:szCs w:val="24"/>
        </w:rPr>
        <w:t>motion (ROM) evaluations in evidence, with documentation of additional ratable criteria, which the Board weighed in arriving at its rating recommendation</w:t>
      </w:r>
      <w:r w:rsidR="00CC2E40" w:rsidRPr="00DE63EE">
        <w:rPr>
          <w:color w:val="000000" w:themeColor="text1"/>
          <w:szCs w:val="24"/>
        </w:rPr>
        <w:t>.</w:t>
      </w:r>
    </w:p>
    <w:p w:rsidR="00A439CE" w:rsidRDefault="00A439CE" w:rsidP="00A963D3">
      <w:pPr>
        <w:jc w:val="both"/>
        <w:rPr>
          <w:color w:val="auto"/>
          <w:szCs w:val="24"/>
        </w:rPr>
      </w:pPr>
    </w:p>
    <w:tbl>
      <w:tblPr>
        <w:tblW w:w="8978" w:type="dxa"/>
        <w:jc w:val="center"/>
        <w:tblInd w:w="3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5"/>
        <w:gridCol w:w="1474"/>
        <w:gridCol w:w="1620"/>
        <w:gridCol w:w="1350"/>
        <w:gridCol w:w="2846"/>
        <w:gridCol w:w="23"/>
      </w:tblGrid>
      <w:tr w:rsidR="00917A69" w:rsidRPr="005637B0" w:rsidTr="00917A69">
        <w:trPr>
          <w:trHeight w:val="467"/>
          <w:jc w:val="center"/>
        </w:trPr>
        <w:tc>
          <w:tcPr>
            <w:tcW w:w="1665" w:type="dxa"/>
            <w:shd w:val="clear" w:color="auto" w:fill="D9D9D9"/>
          </w:tcPr>
          <w:p w:rsidR="00917A69" w:rsidRPr="003B210D" w:rsidRDefault="00917A69" w:rsidP="00B80CCD">
            <w:pPr>
              <w:spacing w:line="200" w:lineRule="exact"/>
              <w:contextualSpacing/>
              <w:rPr>
                <w:rFonts w:eastAsia="Calibri"/>
                <w:color w:val="auto"/>
                <w:sz w:val="20"/>
              </w:rPr>
            </w:pPr>
          </w:p>
        </w:tc>
        <w:tc>
          <w:tcPr>
            <w:tcW w:w="7313" w:type="dxa"/>
            <w:gridSpan w:val="5"/>
            <w:shd w:val="clear" w:color="auto" w:fill="D9D9D9"/>
            <w:vAlign w:val="center"/>
          </w:tcPr>
          <w:p w:rsidR="00917A69" w:rsidRPr="008F2486" w:rsidRDefault="00917A69" w:rsidP="00B80CCD">
            <w:pPr>
              <w:spacing w:line="200" w:lineRule="exact"/>
              <w:contextualSpacing/>
              <w:rPr>
                <w:rFonts w:eastAsia="Calibri"/>
                <w:color w:val="auto"/>
                <w:sz w:val="20"/>
              </w:rPr>
            </w:pPr>
            <w:r w:rsidRPr="003B210D">
              <w:rPr>
                <w:rFonts w:eastAsia="Calibri"/>
                <w:color w:val="auto"/>
                <w:sz w:val="20"/>
              </w:rPr>
              <w:t>Separation Date:  20040831</w:t>
            </w:r>
          </w:p>
        </w:tc>
      </w:tr>
      <w:tr w:rsidR="00917A69" w:rsidRPr="005637B0" w:rsidTr="00917A69">
        <w:trPr>
          <w:gridAfter w:val="1"/>
          <w:wAfter w:w="23" w:type="dxa"/>
          <w:trHeight w:val="467"/>
          <w:jc w:val="center"/>
        </w:trPr>
        <w:tc>
          <w:tcPr>
            <w:tcW w:w="1665" w:type="dxa"/>
            <w:shd w:val="clear" w:color="auto" w:fill="D9D9D9"/>
            <w:vAlign w:val="center"/>
          </w:tcPr>
          <w:p w:rsidR="00917A69" w:rsidRPr="008F2486" w:rsidRDefault="00917A69" w:rsidP="00B80CCD">
            <w:pPr>
              <w:spacing w:line="200" w:lineRule="exact"/>
              <w:contextualSpacing/>
              <w:rPr>
                <w:rFonts w:eastAsia="Calibri"/>
                <w:color w:val="auto"/>
                <w:sz w:val="20"/>
              </w:rPr>
            </w:pPr>
            <w:r w:rsidRPr="008F2486">
              <w:rPr>
                <w:rFonts w:eastAsia="Calibri"/>
                <w:color w:val="auto"/>
                <w:sz w:val="20"/>
              </w:rPr>
              <w:t>Goniometric ROM –</w:t>
            </w:r>
          </w:p>
          <w:p w:rsidR="00917A69" w:rsidRPr="008F2486" w:rsidRDefault="00917A69" w:rsidP="00B80CCD">
            <w:pPr>
              <w:spacing w:line="200" w:lineRule="exact"/>
              <w:contextualSpacing/>
              <w:rPr>
                <w:rFonts w:eastAsia="Calibri"/>
                <w:color w:val="auto"/>
                <w:sz w:val="20"/>
              </w:rPr>
            </w:pPr>
            <w:r w:rsidRPr="008F2486">
              <w:rPr>
                <w:rFonts w:eastAsia="Calibri"/>
                <w:color w:val="auto"/>
                <w:sz w:val="20"/>
              </w:rPr>
              <w:t>L Ankle</w:t>
            </w:r>
          </w:p>
        </w:tc>
        <w:tc>
          <w:tcPr>
            <w:tcW w:w="1474" w:type="dxa"/>
            <w:shd w:val="clear" w:color="auto" w:fill="D9D9D9"/>
            <w:vAlign w:val="center"/>
          </w:tcPr>
          <w:p w:rsidR="00917A69" w:rsidRPr="00484AE2" w:rsidRDefault="00917A69" w:rsidP="00CF35ED">
            <w:pPr>
              <w:spacing w:line="200" w:lineRule="exact"/>
              <w:contextualSpacing/>
              <w:rPr>
                <w:rFonts w:eastAsia="Calibri"/>
                <w:color w:val="auto"/>
                <w:sz w:val="20"/>
              </w:rPr>
            </w:pPr>
            <w:r w:rsidRPr="00484AE2">
              <w:rPr>
                <w:rFonts w:eastAsia="Calibri"/>
                <w:color w:val="auto"/>
                <w:sz w:val="20"/>
              </w:rPr>
              <w:t>Ortho ~ 16 Mo. Pre-Sep</w:t>
            </w:r>
          </w:p>
          <w:p w:rsidR="00917A69" w:rsidRPr="00484AE2" w:rsidRDefault="00917A69" w:rsidP="00CF35ED">
            <w:pPr>
              <w:spacing w:line="200" w:lineRule="exact"/>
              <w:contextualSpacing/>
              <w:rPr>
                <w:rFonts w:eastAsia="Calibri"/>
                <w:color w:val="auto"/>
                <w:sz w:val="20"/>
              </w:rPr>
            </w:pPr>
            <w:r w:rsidRPr="00484AE2">
              <w:rPr>
                <w:rFonts w:eastAsia="Calibri"/>
                <w:color w:val="auto"/>
                <w:sz w:val="20"/>
              </w:rPr>
              <w:t>20030415</w:t>
            </w:r>
          </w:p>
        </w:tc>
        <w:tc>
          <w:tcPr>
            <w:tcW w:w="1620" w:type="dxa"/>
            <w:shd w:val="clear" w:color="auto" w:fill="D9D9D9"/>
            <w:vAlign w:val="center"/>
          </w:tcPr>
          <w:p w:rsidR="00917A69" w:rsidRPr="00484AE2" w:rsidRDefault="00917A69" w:rsidP="00CF35ED">
            <w:pPr>
              <w:spacing w:line="200" w:lineRule="exact"/>
              <w:contextualSpacing/>
              <w:rPr>
                <w:rFonts w:eastAsia="Calibri"/>
                <w:color w:val="auto"/>
                <w:sz w:val="20"/>
              </w:rPr>
            </w:pPr>
            <w:r w:rsidRPr="00484AE2">
              <w:rPr>
                <w:rFonts w:eastAsia="Calibri"/>
                <w:color w:val="auto"/>
                <w:sz w:val="20"/>
              </w:rPr>
              <w:t>PT ~ 4 Mo. Pre-Sep</w:t>
            </w:r>
          </w:p>
          <w:p w:rsidR="00917A69" w:rsidRPr="00484AE2" w:rsidRDefault="00917A69" w:rsidP="00CF35ED">
            <w:pPr>
              <w:spacing w:line="200" w:lineRule="exact"/>
              <w:contextualSpacing/>
              <w:rPr>
                <w:rFonts w:eastAsia="Calibri"/>
                <w:color w:val="auto"/>
                <w:sz w:val="20"/>
              </w:rPr>
            </w:pPr>
            <w:r w:rsidRPr="00484AE2">
              <w:rPr>
                <w:rFonts w:eastAsia="Calibri"/>
                <w:color w:val="auto"/>
                <w:sz w:val="20"/>
              </w:rPr>
              <w:t>20040402</w:t>
            </w:r>
          </w:p>
        </w:tc>
        <w:tc>
          <w:tcPr>
            <w:tcW w:w="1350" w:type="dxa"/>
            <w:shd w:val="clear" w:color="auto" w:fill="D9D9D9"/>
            <w:vAlign w:val="center"/>
          </w:tcPr>
          <w:p w:rsidR="00917A69" w:rsidRPr="00484AE2" w:rsidRDefault="00917A69" w:rsidP="00B80CCD">
            <w:pPr>
              <w:spacing w:line="200" w:lineRule="exact"/>
              <w:contextualSpacing/>
              <w:rPr>
                <w:rFonts w:eastAsia="Calibri"/>
                <w:color w:val="auto"/>
                <w:sz w:val="20"/>
              </w:rPr>
            </w:pPr>
            <w:r w:rsidRPr="00484AE2">
              <w:rPr>
                <w:rFonts w:eastAsia="Calibri"/>
                <w:color w:val="auto"/>
                <w:sz w:val="20"/>
              </w:rPr>
              <w:t>PT ~ 4 Mo. Pre-Sep</w:t>
            </w:r>
          </w:p>
          <w:p w:rsidR="00917A69" w:rsidRPr="00484AE2" w:rsidRDefault="00917A69" w:rsidP="0034245C">
            <w:pPr>
              <w:spacing w:line="200" w:lineRule="exact"/>
              <w:contextualSpacing/>
              <w:rPr>
                <w:rFonts w:eastAsia="Calibri"/>
                <w:color w:val="auto"/>
                <w:sz w:val="20"/>
              </w:rPr>
            </w:pPr>
            <w:r w:rsidRPr="00484AE2">
              <w:rPr>
                <w:rFonts w:eastAsia="Calibri"/>
                <w:color w:val="auto"/>
                <w:sz w:val="20"/>
              </w:rPr>
              <w:t>20040405</w:t>
            </w:r>
          </w:p>
        </w:tc>
        <w:tc>
          <w:tcPr>
            <w:tcW w:w="2846" w:type="dxa"/>
            <w:shd w:val="clear" w:color="auto" w:fill="D9D9D9"/>
            <w:vAlign w:val="center"/>
          </w:tcPr>
          <w:p w:rsidR="00917A69" w:rsidRPr="00484AE2" w:rsidRDefault="00917A69" w:rsidP="00B80CCD">
            <w:pPr>
              <w:spacing w:line="200" w:lineRule="exact"/>
              <w:contextualSpacing/>
              <w:rPr>
                <w:rFonts w:eastAsia="Calibri"/>
                <w:color w:val="auto"/>
                <w:sz w:val="20"/>
              </w:rPr>
            </w:pPr>
            <w:r w:rsidRPr="00484AE2">
              <w:rPr>
                <w:rFonts w:eastAsia="Calibri"/>
                <w:color w:val="auto"/>
                <w:sz w:val="20"/>
              </w:rPr>
              <w:t>VA C&amp;P ~ 10 Mo. After-Sep</w:t>
            </w:r>
          </w:p>
          <w:p w:rsidR="00917A69" w:rsidRPr="00484AE2" w:rsidRDefault="00917A69" w:rsidP="00B80CCD">
            <w:pPr>
              <w:spacing w:line="200" w:lineRule="exact"/>
              <w:contextualSpacing/>
              <w:rPr>
                <w:rFonts w:eastAsia="Calibri"/>
                <w:color w:val="auto"/>
                <w:sz w:val="20"/>
              </w:rPr>
            </w:pPr>
            <w:r w:rsidRPr="00484AE2">
              <w:rPr>
                <w:rFonts w:cs="Calibri"/>
                <w:color w:val="000000"/>
                <w:sz w:val="20"/>
              </w:rPr>
              <w:t>20050624</w:t>
            </w:r>
          </w:p>
        </w:tc>
      </w:tr>
      <w:tr w:rsidR="00917A69" w:rsidRPr="005637B0" w:rsidTr="00917A69">
        <w:trPr>
          <w:gridAfter w:val="1"/>
          <w:wAfter w:w="23" w:type="dxa"/>
          <w:jc w:val="center"/>
        </w:trPr>
        <w:tc>
          <w:tcPr>
            <w:tcW w:w="1665" w:type="dxa"/>
            <w:vAlign w:val="center"/>
          </w:tcPr>
          <w:p w:rsidR="00917A69" w:rsidRDefault="00917A69" w:rsidP="00B80CCD">
            <w:pPr>
              <w:spacing w:line="180" w:lineRule="exact"/>
              <w:contextualSpacing/>
              <w:rPr>
                <w:rFonts w:eastAsia="Calibri"/>
                <w:color w:val="auto"/>
                <w:sz w:val="18"/>
                <w:szCs w:val="18"/>
              </w:rPr>
            </w:pPr>
            <w:r w:rsidRPr="00C34CEB">
              <w:rPr>
                <w:rFonts w:eastAsia="Calibri"/>
                <w:color w:val="auto"/>
                <w:sz w:val="18"/>
                <w:szCs w:val="18"/>
              </w:rPr>
              <w:t xml:space="preserve">Left Dorsiflexion </w:t>
            </w:r>
          </w:p>
          <w:p w:rsidR="00917A69" w:rsidRPr="00C34CEB" w:rsidRDefault="00917A69" w:rsidP="00B80CCD">
            <w:pPr>
              <w:spacing w:line="180" w:lineRule="exact"/>
              <w:contextualSpacing/>
              <w:rPr>
                <w:rFonts w:eastAsia="Calibri"/>
                <w:color w:val="auto"/>
                <w:sz w:val="18"/>
                <w:szCs w:val="18"/>
              </w:rPr>
            </w:pPr>
            <w:r w:rsidRPr="00C34CEB">
              <w:rPr>
                <w:rFonts w:eastAsia="Calibri"/>
                <w:color w:val="auto"/>
                <w:sz w:val="18"/>
                <w:szCs w:val="18"/>
              </w:rPr>
              <w:t>(0-20)</w:t>
            </w:r>
          </w:p>
        </w:tc>
        <w:tc>
          <w:tcPr>
            <w:tcW w:w="1474" w:type="dxa"/>
            <w:vAlign w:val="center"/>
          </w:tcPr>
          <w:p w:rsidR="00917A69" w:rsidRPr="00484AE2" w:rsidRDefault="00917A69" w:rsidP="00CF35ED">
            <w:pPr>
              <w:spacing w:line="180" w:lineRule="exact"/>
              <w:contextualSpacing/>
              <w:rPr>
                <w:rFonts w:eastAsia="Calibri"/>
                <w:color w:val="auto"/>
                <w:sz w:val="18"/>
                <w:szCs w:val="18"/>
              </w:rPr>
            </w:pPr>
            <w:r w:rsidRPr="00484AE2">
              <w:rPr>
                <w:rFonts w:eastAsia="Calibri"/>
                <w:color w:val="auto"/>
                <w:sz w:val="18"/>
                <w:szCs w:val="18"/>
              </w:rPr>
              <w:t>10⁰</w:t>
            </w:r>
          </w:p>
        </w:tc>
        <w:tc>
          <w:tcPr>
            <w:tcW w:w="1620" w:type="dxa"/>
            <w:vAlign w:val="center"/>
          </w:tcPr>
          <w:p w:rsidR="00917A69" w:rsidRPr="00484AE2" w:rsidRDefault="00917A69" w:rsidP="00CF35ED">
            <w:pPr>
              <w:spacing w:line="180" w:lineRule="exact"/>
              <w:contextualSpacing/>
              <w:rPr>
                <w:rFonts w:eastAsia="Calibri"/>
                <w:color w:val="auto"/>
                <w:sz w:val="18"/>
                <w:szCs w:val="18"/>
              </w:rPr>
            </w:pPr>
            <w:r w:rsidRPr="00484AE2">
              <w:rPr>
                <w:rFonts w:eastAsia="Calibri"/>
                <w:color w:val="auto"/>
                <w:sz w:val="18"/>
                <w:szCs w:val="18"/>
              </w:rPr>
              <w:t>20⁰</w:t>
            </w:r>
          </w:p>
        </w:tc>
        <w:tc>
          <w:tcPr>
            <w:tcW w:w="1350" w:type="dxa"/>
            <w:vAlign w:val="center"/>
          </w:tcPr>
          <w:p w:rsidR="00917A69" w:rsidRPr="00484AE2" w:rsidRDefault="00917A69" w:rsidP="0034245C">
            <w:pPr>
              <w:spacing w:line="180" w:lineRule="exact"/>
              <w:contextualSpacing/>
              <w:rPr>
                <w:rFonts w:eastAsia="Calibri"/>
                <w:color w:val="auto"/>
                <w:sz w:val="18"/>
                <w:szCs w:val="18"/>
              </w:rPr>
            </w:pPr>
            <w:r w:rsidRPr="00484AE2">
              <w:rPr>
                <w:rFonts w:eastAsia="Calibri"/>
                <w:color w:val="auto"/>
                <w:sz w:val="18"/>
                <w:szCs w:val="18"/>
              </w:rPr>
              <w:t>5⁰</w:t>
            </w:r>
          </w:p>
        </w:tc>
        <w:tc>
          <w:tcPr>
            <w:tcW w:w="2846" w:type="dxa"/>
            <w:vAlign w:val="center"/>
          </w:tcPr>
          <w:p w:rsidR="00917A69" w:rsidRPr="00484AE2" w:rsidRDefault="00917A69" w:rsidP="00B80CCD">
            <w:pPr>
              <w:spacing w:line="180" w:lineRule="exact"/>
              <w:contextualSpacing/>
              <w:rPr>
                <w:rFonts w:eastAsia="Calibri"/>
                <w:color w:val="auto"/>
                <w:sz w:val="18"/>
                <w:szCs w:val="18"/>
              </w:rPr>
            </w:pPr>
            <w:r w:rsidRPr="00484AE2">
              <w:rPr>
                <w:rFonts w:eastAsia="Calibri"/>
                <w:color w:val="auto"/>
                <w:sz w:val="18"/>
                <w:szCs w:val="18"/>
              </w:rPr>
              <w:t>15⁰</w:t>
            </w:r>
          </w:p>
        </w:tc>
      </w:tr>
      <w:tr w:rsidR="00917A69" w:rsidRPr="005637B0" w:rsidTr="00917A69">
        <w:trPr>
          <w:gridAfter w:val="1"/>
          <w:wAfter w:w="23" w:type="dxa"/>
          <w:jc w:val="center"/>
        </w:trPr>
        <w:tc>
          <w:tcPr>
            <w:tcW w:w="1665" w:type="dxa"/>
            <w:vAlign w:val="center"/>
          </w:tcPr>
          <w:p w:rsidR="00917A69" w:rsidRDefault="00917A69" w:rsidP="00B80CCD">
            <w:pPr>
              <w:spacing w:line="180" w:lineRule="exact"/>
              <w:contextualSpacing/>
              <w:rPr>
                <w:rFonts w:eastAsia="Calibri"/>
                <w:color w:val="auto"/>
                <w:sz w:val="18"/>
                <w:szCs w:val="18"/>
              </w:rPr>
            </w:pPr>
            <w:r>
              <w:rPr>
                <w:rFonts w:eastAsia="Calibri"/>
                <w:color w:val="auto"/>
                <w:sz w:val="18"/>
                <w:szCs w:val="18"/>
              </w:rPr>
              <w:t>Left Plantar Flexion</w:t>
            </w:r>
          </w:p>
          <w:p w:rsidR="00917A69" w:rsidRPr="00C34CEB" w:rsidRDefault="00917A69" w:rsidP="00B80CCD">
            <w:pPr>
              <w:spacing w:line="180" w:lineRule="exact"/>
              <w:contextualSpacing/>
              <w:rPr>
                <w:rFonts w:eastAsia="Calibri"/>
                <w:color w:val="auto"/>
                <w:sz w:val="18"/>
                <w:szCs w:val="18"/>
              </w:rPr>
            </w:pPr>
            <w:r w:rsidRPr="00C34CEB">
              <w:rPr>
                <w:rFonts w:eastAsia="Calibri"/>
                <w:color w:val="auto"/>
                <w:sz w:val="18"/>
                <w:szCs w:val="18"/>
              </w:rPr>
              <w:t>(0-45)</w:t>
            </w:r>
          </w:p>
        </w:tc>
        <w:tc>
          <w:tcPr>
            <w:tcW w:w="1474" w:type="dxa"/>
            <w:vAlign w:val="center"/>
          </w:tcPr>
          <w:p w:rsidR="00917A69" w:rsidRPr="00484AE2" w:rsidRDefault="00917A69" w:rsidP="00CF35ED">
            <w:pPr>
              <w:spacing w:line="180" w:lineRule="exact"/>
              <w:contextualSpacing/>
              <w:rPr>
                <w:rFonts w:eastAsia="Calibri"/>
                <w:color w:val="auto"/>
                <w:sz w:val="18"/>
                <w:szCs w:val="18"/>
              </w:rPr>
            </w:pPr>
            <w:r w:rsidRPr="00484AE2">
              <w:rPr>
                <w:rFonts w:eastAsia="Calibri"/>
                <w:color w:val="auto"/>
                <w:sz w:val="18"/>
                <w:szCs w:val="18"/>
              </w:rPr>
              <w:t>25⁰</w:t>
            </w:r>
          </w:p>
        </w:tc>
        <w:tc>
          <w:tcPr>
            <w:tcW w:w="1620" w:type="dxa"/>
            <w:vAlign w:val="center"/>
          </w:tcPr>
          <w:p w:rsidR="00917A69" w:rsidRPr="00484AE2" w:rsidRDefault="00917A69" w:rsidP="00CF35ED">
            <w:pPr>
              <w:spacing w:line="180" w:lineRule="exact"/>
              <w:contextualSpacing/>
              <w:rPr>
                <w:rFonts w:eastAsia="Calibri"/>
                <w:color w:val="auto"/>
                <w:sz w:val="18"/>
                <w:szCs w:val="18"/>
              </w:rPr>
            </w:pPr>
            <w:r w:rsidRPr="00484AE2">
              <w:rPr>
                <w:rFonts w:eastAsia="Calibri"/>
                <w:color w:val="auto"/>
                <w:sz w:val="18"/>
                <w:szCs w:val="18"/>
              </w:rPr>
              <w:t>40⁰</w:t>
            </w:r>
          </w:p>
        </w:tc>
        <w:tc>
          <w:tcPr>
            <w:tcW w:w="1350" w:type="dxa"/>
            <w:vAlign w:val="center"/>
          </w:tcPr>
          <w:p w:rsidR="00917A69" w:rsidRPr="00484AE2" w:rsidRDefault="00917A69" w:rsidP="00B80CCD">
            <w:pPr>
              <w:spacing w:line="180" w:lineRule="exact"/>
              <w:contextualSpacing/>
              <w:rPr>
                <w:rFonts w:eastAsia="Calibri"/>
                <w:color w:val="auto"/>
                <w:sz w:val="18"/>
                <w:szCs w:val="18"/>
              </w:rPr>
            </w:pPr>
            <w:r w:rsidRPr="00484AE2">
              <w:rPr>
                <w:rFonts w:eastAsia="Calibri"/>
                <w:color w:val="auto"/>
                <w:sz w:val="18"/>
                <w:szCs w:val="18"/>
              </w:rPr>
              <w:t>30⁰</w:t>
            </w:r>
          </w:p>
        </w:tc>
        <w:tc>
          <w:tcPr>
            <w:tcW w:w="2846" w:type="dxa"/>
            <w:vAlign w:val="center"/>
          </w:tcPr>
          <w:p w:rsidR="00917A69" w:rsidRPr="00484AE2" w:rsidRDefault="00917A69" w:rsidP="00B80CCD">
            <w:pPr>
              <w:spacing w:line="180" w:lineRule="exact"/>
              <w:contextualSpacing/>
              <w:rPr>
                <w:rFonts w:eastAsia="Calibri"/>
                <w:color w:val="auto"/>
                <w:sz w:val="18"/>
                <w:szCs w:val="18"/>
              </w:rPr>
            </w:pPr>
            <w:r w:rsidRPr="00484AE2">
              <w:rPr>
                <w:rFonts w:eastAsia="Calibri"/>
                <w:color w:val="auto"/>
                <w:sz w:val="18"/>
                <w:szCs w:val="18"/>
              </w:rPr>
              <w:t>30⁰</w:t>
            </w:r>
          </w:p>
        </w:tc>
      </w:tr>
      <w:tr w:rsidR="00917A69" w:rsidRPr="005637B0" w:rsidTr="00917A69">
        <w:trPr>
          <w:gridAfter w:val="1"/>
          <w:wAfter w:w="23" w:type="dxa"/>
          <w:jc w:val="center"/>
        </w:trPr>
        <w:tc>
          <w:tcPr>
            <w:tcW w:w="1665" w:type="dxa"/>
            <w:vAlign w:val="center"/>
          </w:tcPr>
          <w:p w:rsidR="00917A69" w:rsidRPr="00C34CEB" w:rsidRDefault="00917A69" w:rsidP="00B80CCD">
            <w:pPr>
              <w:tabs>
                <w:tab w:val="left" w:pos="288"/>
                <w:tab w:val="left" w:pos="4752"/>
              </w:tabs>
              <w:spacing w:line="180" w:lineRule="exact"/>
              <w:rPr>
                <w:rFonts w:eastAsia="Calibri"/>
                <w:color w:val="auto"/>
                <w:sz w:val="18"/>
                <w:szCs w:val="18"/>
              </w:rPr>
            </w:pPr>
            <w:r w:rsidRPr="00C34CEB">
              <w:rPr>
                <w:rFonts w:eastAsia="Calibri"/>
                <w:color w:val="auto"/>
                <w:sz w:val="18"/>
                <w:szCs w:val="18"/>
              </w:rPr>
              <w:t>Comment</w:t>
            </w:r>
          </w:p>
        </w:tc>
        <w:tc>
          <w:tcPr>
            <w:tcW w:w="1474" w:type="dxa"/>
            <w:vAlign w:val="center"/>
          </w:tcPr>
          <w:p w:rsidR="00917A69" w:rsidRPr="00484AE2" w:rsidRDefault="00917A69" w:rsidP="00917A69">
            <w:pPr>
              <w:pStyle w:val="ListParagraph"/>
              <w:spacing w:after="0" w:line="180" w:lineRule="exact"/>
              <w:ind w:left="0"/>
              <w:rPr>
                <w:sz w:val="18"/>
                <w:szCs w:val="18"/>
              </w:rPr>
            </w:pPr>
            <w:r w:rsidRPr="00484AE2">
              <w:rPr>
                <w:sz w:val="18"/>
                <w:szCs w:val="18"/>
              </w:rPr>
              <w:t xml:space="preserve">Tenderness to palpation(TTP) lateral </w:t>
            </w:r>
            <w:proofErr w:type="spellStart"/>
            <w:r w:rsidRPr="00484AE2">
              <w:rPr>
                <w:sz w:val="18"/>
                <w:szCs w:val="18"/>
              </w:rPr>
              <w:t>malleolus</w:t>
            </w:r>
            <w:proofErr w:type="spellEnd"/>
            <w:r w:rsidRPr="00484AE2">
              <w:rPr>
                <w:sz w:val="18"/>
                <w:szCs w:val="18"/>
              </w:rPr>
              <w:t>; positive tilt; instability; edema; ankle brace</w:t>
            </w:r>
          </w:p>
        </w:tc>
        <w:tc>
          <w:tcPr>
            <w:tcW w:w="1620" w:type="dxa"/>
            <w:vAlign w:val="center"/>
          </w:tcPr>
          <w:p w:rsidR="00917A69" w:rsidRPr="00484AE2" w:rsidRDefault="00917A69" w:rsidP="00CF35ED">
            <w:pPr>
              <w:pStyle w:val="ListParagraph"/>
              <w:spacing w:after="0" w:line="180" w:lineRule="exact"/>
              <w:ind w:left="0"/>
              <w:rPr>
                <w:sz w:val="18"/>
                <w:szCs w:val="18"/>
              </w:rPr>
            </w:pPr>
            <w:r w:rsidRPr="00484AE2">
              <w:rPr>
                <w:sz w:val="18"/>
                <w:szCs w:val="18"/>
              </w:rPr>
              <w:t xml:space="preserve">Mild pain to the superior aspect of lateral </w:t>
            </w:r>
            <w:proofErr w:type="spellStart"/>
            <w:r w:rsidRPr="00484AE2">
              <w:rPr>
                <w:sz w:val="18"/>
                <w:szCs w:val="18"/>
              </w:rPr>
              <w:t>malleolus</w:t>
            </w:r>
            <w:proofErr w:type="spellEnd"/>
            <w:r w:rsidRPr="00484AE2">
              <w:rPr>
                <w:sz w:val="18"/>
                <w:szCs w:val="18"/>
              </w:rPr>
              <w:t xml:space="preserve">; motor strength 5/5; sensation intact; negative </w:t>
            </w:r>
            <w:proofErr w:type="spellStart"/>
            <w:r w:rsidRPr="00484AE2">
              <w:rPr>
                <w:sz w:val="18"/>
                <w:szCs w:val="18"/>
              </w:rPr>
              <w:t>talar</w:t>
            </w:r>
            <w:proofErr w:type="spellEnd"/>
            <w:r w:rsidRPr="00484AE2">
              <w:rPr>
                <w:sz w:val="18"/>
                <w:szCs w:val="18"/>
              </w:rPr>
              <w:t xml:space="preserve"> tile and anterior drawer</w:t>
            </w:r>
          </w:p>
        </w:tc>
        <w:tc>
          <w:tcPr>
            <w:tcW w:w="1350" w:type="dxa"/>
            <w:vAlign w:val="center"/>
          </w:tcPr>
          <w:p w:rsidR="00917A69" w:rsidRPr="00484AE2" w:rsidRDefault="00917A69" w:rsidP="00B80CCD">
            <w:pPr>
              <w:pStyle w:val="ListParagraph"/>
              <w:spacing w:after="0" w:line="180" w:lineRule="exact"/>
              <w:ind w:left="0"/>
              <w:rPr>
                <w:sz w:val="18"/>
                <w:szCs w:val="18"/>
              </w:rPr>
            </w:pPr>
            <w:r w:rsidRPr="00484AE2">
              <w:rPr>
                <w:sz w:val="18"/>
                <w:szCs w:val="18"/>
              </w:rPr>
              <w:t xml:space="preserve">Palpable nodule anterior distal fibula sensation/motor intact; mild pain with </w:t>
            </w:r>
            <w:proofErr w:type="spellStart"/>
            <w:r w:rsidRPr="00484AE2">
              <w:rPr>
                <w:sz w:val="18"/>
                <w:szCs w:val="18"/>
              </w:rPr>
              <w:t>talar</w:t>
            </w:r>
            <w:proofErr w:type="spellEnd"/>
            <w:r w:rsidRPr="00484AE2">
              <w:rPr>
                <w:sz w:val="18"/>
                <w:szCs w:val="18"/>
              </w:rPr>
              <w:t xml:space="preserve"> tilt</w:t>
            </w:r>
          </w:p>
        </w:tc>
        <w:tc>
          <w:tcPr>
            <w:tcW w:w="2846" w:type="dxa"/>
            <w:vAlign w:val="center"/>
          </w:tcPr>
          <w:p w:rsidR="00917A69" w:rsidRPr="00484AE2" w:rsidRDefault="00917A69" w:rsidP="00B80CCD">
            <w:pPr>
              <w:pStyle w:val="ListParagraph"/>
              <w:spacing w:after="0" w:line="180" w:lineRule="exact"/>
              <w:ind w:left="0"/>
              <w:rPr>
                <w:sz w:val="18"/>
                <w:szCs w:val="18"/>
              </w:rPr>
            </w:pPr>
            <w:r w:rsidRPr="00484AE2">
              <w:rPr>
                <w:sz w:val="18"/>
                <w:szCs w:val="18"/>
              </w:rPr>
              <w:t xml:space="preserve">Difficulty walking on toes/heels due to pain in left ankle; no pain on range of motion or loss of motion on repetitive motion; mild TTP lateral ankle; mild swelling  lateral aspect left ankle lateral </w:t>
            </w:r>
            <w:proofErr w:type="spellStart"/>
            <w:r w:rsidRPr="00484AE2">
              <w:rPr>
                <w:sz w:val="18"/>
                <w:szCs w:val="18"/>
              </w:rPr>
              <w:t>malleolus</w:t>
            </w:r>
            <w:proofErr w:type="spellEnd"/>
            <w:r w:rsidRPr="00484AE2">
              <w:rPr>
                <w:sz w:val="18"/>
                <w:szCs w:val="18"/>
              </w:rPr>
              <w:t xml:space="preserve"> area; no medial lateral instability; X-ray shows early degenerative changes at the </w:t>
            </w:r>
            <w:proofErr w:type="spellStart"/>
            <w:r w:rsidRPr="00484AE2">
              <w:rPr>
                <w:sz w:val="18"/>
                <w:szCs w:val="18"/>
              </w:rPr>
              <w:t>talofibular</w:t>
            </w:r>
            <w:proofErr w:type="spellEnd"/>
            <w:r w:rsidRPr="00484AE2">
              <w:rPr>
                <w:sz w:val="18"/>
                <w:szCs w:val="18"/>
              </w:rPr>
              <w:t xml:space="preserve"> area</w:t>
            </w:r>
          </w:p>
        </w:tc>
      </w:tr>
      <w:tr w:rsidR="00917A69" w:rsidRPr="005637B0" w:rsidTr="00917A69">
        <w:trPr>
          <w:gridAfter w:val="1"/>
          <w:wAfter w:w="23" w:type="dxa"/>
          <w:jc w:val="center"/>
        </w:trPr>
        <w:tc>
          <w:tcPr>
            <w:tcW w:w="1665" w:type="dxa"/>
            <w:vAlign w:val="center"/>
          </w:tcPr>
          <w:p w:rsidR="00917A69" w:rsidRPr="00C34CEB" w:rsidRDefault="00917A69" w:rsidP="00B80CCD">
            <w:pPr>
              <w:tabs>
                <w:tab w:val="left" w:pos="288"/>
                <w:tab w:val="left" w:pos="4752"/>
              </w:tabs>
              <w:spacing w:line="180" w:lineRule="exact"/>
              <w:rPr>
                <w:rFonts w:eastAsia="Calibri"/>
                <w:color w:val="auto"/>
                <w:sz w:val="18"/>
                <w:szCs w:val="18"/>
              </w:rPr>
            </w:pPr>
            <w:r w:rsidRPr="00C34CEB">
              <w:rPr>
                <w:rFonts w:eastAsia="Calibri"/>
                <w:color w:val="auto"/>
                <w:sz w:val="18"/>
                <w:szCs w:val="18"/>
              </w:rPr>
              <w:t>§4.71a Rating</w:t>
            </w:r>
          </w:p>
        </w:tc>
        <w:tc>
          <w:tcPr>
            <w:tcW w:w="1474" w:type="dxa"/>
            <w:vAlign w:val="center"/>
          </w:tcPr>
          <w:p w:rsidR="00917A69" w:rsidRPr="00FF40CB" w:rsidRDefault="00917A69" w:rsidP="00CF35ED">
            <w:pPr>
              <w:pStyle w:val="ListParagraph"/>
              <w:spacing w:after="0" w:line="180" w:lineRule="exact"/>
              <w:ind w:left="0"/>
              <w:rPr>
                <w:sz w:val="18"/>
                <w:szCs w:val="18"/>
              </w:rPr>
            </w:pPr>
            <w:r w:rsidRPr="00FF40CB">
              <w:rPr>
                <w:sz w:val="18"/>
                <w:szCs w:val="18"/>
              </w:rPr>
              <w:t>10%</w:t>
            </w:r>
          </w:p>
        </w:tc>
        <w:tc>
          <w:tcPr>
            <w:tcW w:w="1620" w:type="dxa"/>
            <w:vAlign w:val="center"/>
          </w:tcPr>
          <w:p w:rsidR="00917A69" w:rsidRPr="00FF40CB" w:rsidRDefault="00917A69" w:rsidP="00CF35ED">
            <w:pPr>
              <w:pStyle w:val="ListParagraph"/>
              <w:spacing w:after="0" w:line="180" w:lineRule="exact"/>
              <w:ind w:left="0"/>
              <w:rPr>
                <w:sz w:val="18"/>
                <w:szCs w:val="18"/>
              </w:rPr>
            </w:pPr>
            <w:r w:rsidRPr="00FF40CB">
              <w:rPr>
                <w:sz w:val="18"/>
                <w:szCs w:val="18"/>
              </w:rPr>
              <w:t>10%</w:t>
            </w:r>
          </w:p>
        </w:tc>
        <w:tc>
          <w:tcPr>
            <w:tcW w:w="1350" w:type="dxa"/>
            <w:vAlign w:val="center"/>
          </w:tcPr>
          <w:p w:rsidR="00917A69" w:rsidRPr="00FF40CB" w:rsidRDefault="00917A69" w:rsidP="00B80CCD">
            <w:pPr>
              <w:pStyle w:val="ListParagraph"/>
              <w:spacing w:after="0" w:line="180" w:lineRule="exact"/>
              <w:ind w:left="0"/>
              <w:rPr>
                <w:sz w:val="18"/>
                <w:szCs w:val="18"/>
              </w:rPr>
            </w:pPr>
            <w:r w:rsidRPr="00FF40CB">
              <w:rPr>
                <w:sz w:val="18"/>
                <w:szCs w:val="18"/>
              </w:rPr>
              <w:t>10%</w:t>
            </w:r>
          </w:p>
        </w:tc>
        <w:tc>
          <w:tcPr>
            <w:tcW w:w="2846" w:type="dxa"/>
            <w:vAlign w:val="center"/>
          </w:tcPr>
          <w:p w:rsidR="00917A69" w:rsidRPr="00231FB3" w:rsidRDefault="00917A69" w:rsidP="00B80CCD">
            <w:pPr>
              <w:pStyle w:val="ListParagraph"/>
              <w:spacing w:after="0" w:line="180" w:lineRule="exact"/>
              <w:ind w:left="0"/>
              <w:rPr>
                <w:sz w:val="18"/>
                <w:szCs w:val="18"/>
              </w:rPr>
            </w:pPr>
            <w:r>
              <w:rPr>
                <w:sz w:val="18"/>
                <w:szCs w:val="18"/>
              </w:rPr>
              <w:t>10</w:t>
            </w:r>
            <w:r w:rsidRPr="00231FB3">
              <w:rPr>
                <w:sz w:val="18"/>
                <w:szCs w:val="18"/>
              </w:rPr>
              <w:t>%</w:t>
            </w:r>
          </w:p>
        </w:tc>
      </w:tr>
    </w:tbl>
    <w:p w:rsidR="00A963D3" w:rsidRDefault="00A963D3" w:rsidP="00DA554C">
      <w:pPr>
        <w:jc w:val="both"/>
        <w:rPr>
          <w:color w:val="000000" w:themeColor="text1"/>
        </w:rPr>
      </w:pPr>
    </w:p>
    <w:p w:rsidR="00A439AD" w:rsidRPr="00484AE2" w:rsidRDefault="001C03B1" w:rsidP="00484AE2">
      <w:pPr>
        <w:jc w:val="both"/>
        <w:rPr>
          <w:color w:val="000000" w:themeColor="text1"/>
          <w:szCs w:val="24"/>
        </w:rPr>
      </w:pPr>
      <w:r w:rsidRPr="00484AE2">
        <w:rPr>
          <w:color w:val="000000" w:themeColor="text1"/>
          <w:szCs w:val="24"/>
        </w:rPr>
        <w:t>The CI had a history of left ankle pain which was documented in the service treatment record (STR) starting in March 2001</w:t>
      </w:r>
      <w:r w:rsidR="00DE63EE">
        <w:rPr>
          <w:color w:val="000000" w:themeColor="text1"/>
          <w:szCs w:val="24"/>
        </w:rPr>
        <w:t xml:space="preserve">. </w:t>
      </w:r>
      <w:r w:rsidR="0040674E">
        <w:rPr>
          <w:color w:val="000000" w:themeColor="text1"/>
          <w:szCs w:val="24"/>
        </w:rPr>
        <w:t xml:space="preserve"> </w:t>
      </w:r>
      <w:r w:rsidR="0031132F" w:rsidRPr="00484AE2">
        <w:rPr>
          <w:color w:val="000000" w:themeColor="text1"/>
          <w:szCs w:val="24"/>
        </w:rPr>
        <w:t xml:space="preserve">At that time, the CI presented for </w:t>
      </w:r>
      <w:r w:rsidR="000A441B" w:rsidRPr="00484AE2">
        <w:rPr>
          <w:color w:val="000000" w:themeColor="text1"/>
          <w:szCs w:val="24"/>
        </w:rPr>
        <w:t>follow-up</w:t>
      </w:r>
      <w:r w:rsidR="0031132F" w:rsidRPr="00484AE2">
        <w:rPr>
          <w:color w:val="000000" w:themeColor="text1"/>
          <w:szCs w:val="24"/>
        </w:rPr>
        <w:t xml:space="preserve"> on left ankle degenerative joint </w:t>
      </w:r>
      <w:r w:rsidR="000A441B" w:rsidRPr="00484AE2">
        <w:rPr>
          <w:color w:val="000000" w:themeColor="text1"/>
          <w:szCs w:val="24"/>
        </w:rPr>
        <w:t>disease</w:t>
      </w:r>
      <w:r w:rsidR="0031132F" w:rsidRPr="00484AE2">
        <w:rPr>
          <w:color w:val="000000" w:themeColor="text1"/>
          <w:szCs w:val="24"/>
        </w:rPr>
        <w:t xml:space="preserve"> and stress fracture and was given a </w:t>
      </w:r>
      <w:r w:rsidR="000A441B" w:rsidRPr="00484AE2">
        <w:rPr>
          <w:color w:val="000000" w:themeColor="text1"/>
          <w:szCs w:val="24"/>
        </w:rPr>
        <w:t>renewal</w:t>
      </w:r>
      <w:r w:rsidR="0031132F" w:rsidRPr="00484AE2">
        <w:rPr>
          <w:color w:val="000000" w:themeColor="text1"/>
          <w:szCs w:val="24"/>
        </w:rPr>
        <w:t xml:space="preserve"> of </w:t>
      </w:r>
      <w:proofErr w:type="spellStart"/>
      <w:r w:rsidR="00D22065">
        <w:rPr>
          <w:color w:val="000000" w:themeColor="text1"/>
          <w:szCs w:val="24"/>
        </w:rPr>
        <w:t>Naprosyn</w:t>
      </w:r>
      <w:proofErr w:type="spellEnd"/>
      <w:r w:rsidR="00D22065">
        <w:rPr>
          <w:color w:val="000000" w:themeColor="text1"/>
          <w:szCs w:val="24"/>
        </w:rPr>
        <w:t xml:space="preserve">, a </w:t>
      </w:r>
      <w:proofErr w:type="spellStart"/>
      <w:r w:rsidR="0031132F" w:rsidRPr="00484AE2">
        <w:rPr>
          <w:color w:val="000000" w:themeColor="text1"/>
          <w:szCs w:val="24"/>
        </w:rPr>
        <w:t>nonsteroidal</w:t>
      </w:r>
      <w:proofErr w:type="spellEnd"/>
      <w:r w:rsidR="0031132F" w:rsidRPr="00484AE2">
        <w:rPr>
          <w:color w:val="000000" w:themeColor="text1"/>
          <w:szCs w:val="24"/>
        </w:rPr>
        <w:t xml:space="preserve"> anti</w:t>
      </w:r>
      <w:r w:rsidR="003C0D6A" w:rsidRPr="00484AE2">
        <w:rPr>
          <w:color w:val="000000" w:themeColor="text1"/>
          <w:szCs w:val="24"/>
        </w:rPr>
        <w:t>-</w:t>
      </w:r>
      <w:r w:rsidR="0031132F" w:rsidRPr="00484AE2">
        <w:rPr>
          <w:color w:val="000000" w:themeColor="text1"/>
          <w:szCs w:val="24"/>
        </w:rPr>
        <w:t xml:space="preserve">inflammatory </w:t>
      </w:r>
      <w:r w:rsidR="00D22065">
        <w:rPr>
          <w:color w:val="000000" w:themeColor="text1"/>
          <w:szCs w:val="24"/>
        </w:rPr>
        <w:t>medication (NSAID)</w:t>
      </w:r>
      <w:r w:rsidR="0031132F" w:rsidRPr="00484AE2">
        <w:rPr>
          <w:color w:val="000000" w:themeColor="text1"/>
          <w:szCs w:val="24"/>
        </w:rPr>
        <w:t xml:space="preserve"> and another light duty chit for </w:t>
      </w:r>
      <w:r w:rsidR="0040674E">
        <w:rPr>
          <w:color w:val="000000" w:themeColor="text1"/>
          <w:szCs w:val="24"/>
        </w:rPr>
        <w:t>11</w:t>
      </w:r>
      <w:r w:rsidR="0031132F" w:rsidRPr="00484AE2">
        <w:rPr>
          <w:color w:val="000000" w:themeColor="text1"/>
          <w:szCs w:val="24"/>
        </w:rPr>
        <w:t xml:space="preserve"> days with limitations of no running, marching, prolonged standing, weight bearing</w:t>
      </w:r>
      <w:r w:rsidR="00D22065">
        <w:rPr>
          <w:color w:val="000000" w:themeColor="text1"/>
          <w:szCs w:val="24"/>
        </w:rPr>
        <w:t>,</w:t>
      </w:r>
      <w:r w:rsidR="0031132F" w:rsidRPr="00484AE2">
        <w:rPr>
          <w:color w:val="000000" w:themeColor="text1"/>
          <w:szCs w:val="24"/>
        </w:rPr>
        <w:t xml:space="preserve"> or driving, along </w:t>
      </w:r>
      <w:r w:rsidR="000A441B" w:rsidRPr="00484AE2">
        <w:rPr>
          <w:color w:val="000000" w:themeColor="text1"/>
          <w:szCs w:val="24"/>
        </w:rPr>
        <w:t>with</w:t>
      </w:r>
      <w:r w:rsidR="0031132F" w:rsidRPr="00484AE2">
        <w:rPr>
          <w:color w:val="000000" w:themeColor="text1"/>
          <w:szCs w:val="24"/>
        </w:rPr>
        <w:t xml:space="preserve"> a splint to the left ankle.</w:t>
      </w:r>
      <w:r w:rsidR="00DE63EE">
        <w:rPr>
          <w:color w:val="000000" w:themeColor="text1"/>
          <w:szCs w:val="24"/>
        </w:rPr>
        <w:t xml:space="preserve"> </w:t>
      </w:r>
      <w:r w:rsidR="0040674E">
        <w:rPr>
          <w:color w:val="000000" w:themeColor="text1"/>
          <w:szCs w:val="24"/>
        </w:rPr>
        <w:t xml:space="preserve"> </w:t>
      </w:r>
      <w:r w:rsidR="00B80CCD" w:rsidRPr="00484AE2">
        <w:rPr>
          <w:color w:val="000000" w:themeColor="text1"/>
          <w:szCs w:val="24"/>
        </w:rPr>
        <w:t>The CI</w:t>
      </w:r>
      <w:r w:rsidR="00965EAC" w:rsidRPr="00484AE2">
        <w:rPr>
          <w:color w:val="000000" w:themeColor="text1"/>
          <w:szCs w:val="24"/>
        </w:rPr>
        <w:t xml:space="preserve"> </w:t>
      </w:r>
      <w:r w:rsidR="00B80CCD" w:rsidRPr="00484AE2">
        <w:rPr>
          <w:color w:val="000000" w:themeColor="text1"/>
          <w:szCs w:val="24"/>
        </w:rPr>
        <w:t xml:space="preserve">was seen by </w:t>
      </w:r>
      <w:r w:rsidR="0040674E">
        <w:rPr>
          <w:color w:val="000000" w:themeColor="text1"/>
          <w:szCs w:val="24"/>
        </w:rPr>
        <w:t>o</w:t>
      </w:r>
      <w:r w:rsidR="000A441B" w:rsidRPr="00484AE2">
        <w:rPr>
          <w:color w:val="000000" w:themeColor="text1"/>
          <w:szCs w:val="24"/>
        </w:rPr>
        <w:t>rthopedics</w:t>
      </w:r>
      <w:r w:rsidR="00DE63EE">
        <w:rPr>
          <w:color w:val="000000" w:themeColor="text1"/>
          <w:szCs w:val="24"/>
        </w:rPr>
        <w:t xml:space="preserve"> in April 2003</w:t>
      </w:r>
      <w:r w:rsidR="00B80CCD" w:rsidRPr="00484AE2">
        <w:rPr>
          <w:color w:val="000000" w:themeColor="text1"/>
          <w:szCs w:val="24"/>
        </w:rPr>
        <w:t xml:space="preserve"> for</w:t>
      </w:r>
      <w:r w:rsidR="00965EAC" w:rsidRPr="00484AE2">
        <w:rPr>
          <w:color w:val="000000" w:themeColor="text1"/>
          <w:szCs w:val="24"/>
        </w:rPr>
        <w:t xml:space="preserve"> complaints </w:t>
      </w:r>
      <w:r w:rsidR="000A441B" w:rsidRPr="00484AE2">
        <w:rPr>
          <w:color w:val="000000" w:themeColor="text1"/>
          <w:szCs w:val="24"/>
        </w:rPr>
        <w:t>of left</w:t>
      </w:r>
      <w:r w:rsidR="00965EAC" w:rsidRPr="00484AE2">
        <w:rPr>
          <w:color w:val="000000" w:themeColor="text1"/>
          <w:szCs w:val="24"/>
        </w:rPr>
        <w:t xml:space="preserve"> lateral ankle pain with physical findings of lateral </w:t>
      </w:r>
      <w:proofErr w:type="spellStart"/>
      <w:r w:rsidR="00965EAC" w:rsidRPr="00484AE2">
        <w:rPr>
          <w:color w:val="000000" w:themeColor="text1"/>
          <w:szCs w:val="24"/>
        </w:rPr>
        <w:t>malleolus</w:t>
      </w:r>
      <w:proofErr w:type="spellEnd"/>
      <w:r w:rsidR="00965EAC" w:rsidRPr="00484AE2">
        <w:rPr>
          <w:color w:val="000000" w:themeColor="text1"/>
          <w:szCs w:val="24"/>
        </w:rPr>
        <w:t xml:space="preserve"> </w:t>
      </w:r>
      <w:r w:rsidR="00D22065">
        <w:rPr>
          <w:color w:val="000000" w:themeColor="text1"/>
          <w:szCs w:val="24"/>
        </w:rPr>
        <w:t>tenderness to palpation (</w:t>
      </w:r>
      <w:r w:rsidR="00965EAC" w:rsidRPr="00484AE2">
        <w:rPr>
          <w:color w:val="000000" w:themeColor="text1"/>
          <w:szCs w:val="24"/>
        </w:rPr>
        <w:t>TTP</w:t>
      </w:r>
      <w:r w:rsidR="00D22065">
        <w:rPr>
          <w:color w:val="000000" w:themeColor="text1"/>
          <w:szCs w:val="24"/>
        </w:rPr>
        <w:t>)</w:t>
      </w:r>
      <w:r w:rsidR="00965EAC" w:rsidRPr="00484AE2">
        <w:rPr>
          <w:color w:val="000000" w:themeColor="text1"/>
          <w:szCs w:val="24"/>
        </w:rPr>
        <w:t xml:space="preserve"> and positive tilt test and was continued with </w:t>
      </w:r>
      <w:r w:rsidR="00DE63EE">
        <w:rPr>
          <w:color w:val="000000" w:themeColor="text1"/>
          <w:szCs w:val="24"/>
        </w:rPr>
        <w:t xml:space="preserve">an ankle brace and light duty. </w:t>
      </w:r>
      <w:r w:rsidR="0040674E">
        <w:rPr>
          <w:color w:val="000000" w:themeColor="text1"/>
          <w:szCs w:val="24"/>
        </w:rPr>
        <w:t xml:space="preserve"> </w:t>
      </w:r>
      <w:r w:rsidR="00965EAC" w:rsidRPr="00484AE2">
        <w:rPr>
          <w:color w:val="000000" w:themeColor="text1"/>
          <w:szCs w:val="24"/>
        </w:rPr>
        <w:t>A</w:t>
      </w:r>
      <w:r w:rsidR="00DE63EE">
        <w:rPr>
          <w:color w:val="000000" w:themeColor="text1"/>
          <w:szCs w:val="24"/>
        </w:rPr>
        <w:t xml:space="preserve"> left ankle x-ray </w:t>
      </w:r>
      <w:proofErr w:type="gramStart"/>
      <w:r w:rsidR="00DE63EE">
        <w:rPr>
          <w:color w:val="000000" w:themeColor="text1"/>
          <w:szCs w:val="24"/>
        </w:rPr>
        <w:t xml:space="preserve">in </w:t>
      </w:r>
      <w:r w:rsidR="0040674E">
        <w:rPr>
          <w:color w:val="000000" w:themeColor="text1"/>
          <w:szCs w:val="24"/>
        </w:rPr>
        <w:t xml:space="preserve"> </w:t>
      </w:r>
      <w:r w:rsidR="00DE63EE">
        <w:rPr>
          <w:color w:val="000000" w:themeColor="text1"/>
          <w:szCs w:val="24"/>
        </w:rPr>
        <w:t>April</w:t>
      </w:r>
      <w:proofErr w:type="gramEnd"/>
      <w:r w:rsidR="00DE63EE">
        <w:rPr>
          <w:color w:val="000000" w:themeColor="text1"/>
          <w:szCs w:val="24"/>
        </w:rPr>
        <w:t xml:space="preserve"> 2003</w:t>
      </w:r>
      <w:r w:rsidR="00965EAC" w:rsidRPr="00484AE2">
        <w:rPr>
          <w:color w:val="000000" w:themeColor="text1"/>
          <w:szCs w:val="24"/>
        </w:rPr>
        <w:t xml:space="preserve"> </w:t>
      </w:r>
      <w:r w:rsidR="00E805CA" w:rsidRPr="00484AE2">
        <w:rPr>
          <w:color w:val="000000" w:themeColor="text1"/>
          <w:szCs w:val="24"/>
        </w:rPr>
        <w:t>demonstrated a widening of the</w:t>
      </w:r>
      <w:r w:rsidR="00DE63EE">
        <w:rPr>
          <w:color w:val="000000" w:themeColor="text1"/>
          <w:szCs w:val="24"/>
        </w:rPr>
        <w:t xml:space="preserve"> tibiotalar joint with stress. </w:t>
      </w:r>
      <w:r w:rsidR="0040674E">
        <w:rPr>
          <w:color w:val="000000" w:themeColor="text1"/>
          <w:szCs w:val="24"/>
        </w:rPr>
        <w:t xml:space="preserve"> </w:t>
      </w:r>
      <w:r w:rsidR="00E805CA" w:rsidRPr="00484AE2">
        <w:rPr>
          <w:color w:val="000000" w:themeColor="text1"/>
          <w:szCs w:val="24"/>
        </w:rPr>
        <w:t>The CI was seen i</w:t>
      </w:r>
      <w:r w:rsidR="00DE63EE">
        <w:rPr>
          <w:color w:val="000000" w:themeColor="text1"/>
          <w:szCs w:val="24"/>
        </w:rPr>
        <w:t xml:space="preserve">n </w:t>
      </w:r>
      <w:r w:rsidR="0040674E">
        <w:rPr>
          <w:color w:val="000000" w:themeColor="text1"/>
          <w:szCs w:val="24"/>
        </w:rPr>
        <w:t>o</w:t>
      </w:r>
      <w:r w:rsidR="00DE63EE">
        <w:rPr>
          <w:color w:val="000000" w:themeColor="text1"/>
          <w:szCs w:val="24"/>
        </w:rPr>
        <w:t xml:space="preserve">rthopedics in February 2004 </w:t>
      </w:r>
      <w:r w:rsidR="000A441B" w:rsidRPr="00484AE2">
        <w:rPr>
          <w:color w:val="000000" w:themeColor="text1"/>
          <w:szCs w:val="24"/>
        </w:rPr>
        <w:t>for</w:t>
      </w:r>
      <w:r w:rsidR="00E805CA" w:rsidRPr="00484AE2">
        <w:rPr>
          <w:color w:val="000000" w:themeColor="text1"/>
          <w:szCs w:val="24"/>
        </w:rPr>
        <w:t xml:space="preserve"> </w:t>
      </w:r>
      <w:r w:rsidR="004D7D99" w:rsidRPr="00484AE2">
        <w:rPr>
          <w:color w:val="000000" w:themeColor="text1"/>
          <w:szCs w:val="24"/>
        </w:rPr>
        <w:t xml:space="preserve">pain, swelling, </w:t>
      </w:r>
      <w:proofErr w:type="spellStart"/>
      <w:r w:rsidR="000A441B" w:rsidRPr="00484AE2">
        <w:rPr>
          <w:color w:val="000000" w:themeColor="text1"/>
          <w:szCs w:val="24"/>
        </w:rPr>
        <w:t>ecchymos</w:t>
      </w:r>
      <w:r w:rsidR="005723DF" w:rsidRPr="00484AE2">
        <w:rPr>
          <w:color w:val="000000" w:themeColor="text1"/>
          <w:szCs w:val="24"/>
        </w:rPr>
        <w:t>i</w:t>
      </w:r>
      <w:r w:rsidR="003C0D6A" w:rsidRPr="00484AE2">
        <w:rPr>
          <w:color w:val="000000" w:themeColor="text1"/>
          <w:szCs w:val="24"/>
        </w:rPr>
        <w:t>s</w:t>
      </w:r>
      <w:proofErr w:type="spellEnd"/>
      <w:r w:rsidR="005723DF" w:rsidRPr="00484AE2">
        <w:rPr>
          <w:color w:val="000000" w:themeColor="text1"/>
          <w:szCs w:val="24"/>
        </w:rPr>
        <w:t>,</w:t>
      </w:r>
      <w:r w:rsidR="004D7D99" w:rsidRPr="00484AE2">
        <w:rPr>
          <w:color w:val="000000" w:themeColor="text1"/>
          <w:szCs w:val="24"/>
        </w:rPr>
        <w:t xml:space="preserve"> and pain with </w:t>
      </w:r>
      <w:r w:rsidR="000A441B" w:rsidRPr="00484AE2">
        <w:rPr>
          <w:color w:val="000000" w:themeColor="text1"/>
          <w:szCs w:val="24"/>
        </w:rPr>
        <w:t>activities</w:t>
      </w:r>
      <w:r w:rsidR="004D7D99" w:rsidRPr="00484AE2">
        <w:rPr>
          <w:color w:val="000000" w:themeColor="text1"/>
          <w:szCs w:val="24"/>
        </w:rPr>
        <w:t xml:space="preserve"> and w</w:t>
      </w:r>
      <w:r w:rsidR="00D22065">
        <w:rPr>
          <w:color w:val="000000" w:themeColor="text1"/>
          <w:szCs w:val="24"/>
        </w:rPr>
        <w:t>as medically managed with NSAIDs</w:t>
      </w:r>
      <w:r w:rsidR="004D7D99" w:rsidRPr="00484AE2">
        <w:rPr>
          <w:color w:val="000000" w:themeColor="text1"/>
          <w:szCs w:val="24"/>
        </w:rPr>
        <w:t>, a n</w:t>
      </w:r>
      <w:r w:rsidR="00DE63EE">
        <w:rPr>
          <w:color w:val="000000" w:themeColor="text1"/>
          <w:szCs w:val="24"/>
        </w:rPr>
        <w:t>eoprene sleeve</w:t>
      </w:r>
      <w:r w:rsidR="00D22065">
        <w:rPr>
          <w:color w:val="000000" w:themeColor="text1"/>
          <w:szCs w:val="24"/>
        </w:rPr>
        <w:t>,</w:t>
      </w:r>
      <w:r w:rsidR="00DE63EE">
        <w:rPr>
          <w:color w:val="000000" w:themeColor="text1"/>
          <w:szCs w:val="24"/>
        </w:rPr>
        <w:t xml:space="preserve"> and light duty. </w:t>
      </w:r>
      <w:r w:rsidR="0040674E">
        <w:rPr>
          <w:color w:val="000000" w:themeColor="text1"/>
          <w:szCs w:val="24"/>
        </w:rPr>
        <w:t xml:space="preserve"> </w:t>
      </w:r>
      <w:r w:rsidR="004D7D99" w:rsidRPr="00484AE2">
        <w:rPr>
          <w:color w:val="000000" w:themeColor="text1"/>
          <w:szCs w:val="24"/>
        </w:rPr>
        <w:t xml:space="preserve">The CI was also seen by </w:t>
      </w:r>
      <w:r w:rsidR="0040674E">
        <w:rPr>
          <w:color w:val="000000" w:themeColor="text1"/>
          <w:szCs w:val="24"/>
        </w:rPr>
        <w:t>p</w:t>
      </w:r>
      <w:r w:rsidR="004D7D99" w:rsidRPr="00484AE2">
        <w:rPr>
          <w:color w:val="000000" w:themeColor="text1"/>
          <w:szCs w:val="24"/>
        </w:rPr>
        <w:t xml:space="preserve">hysical therapy </w:t>
      </w:r>
      <w:r w:rsidR="00F02247">
        <w:rPr>
          <w:color w:val="000000" w:themeColor="text1"/>
          <w:szCs w:val="24"/>
        </w:rPr>
        <w:t xml:space="preserve">(PT) </w:t>
      </w:r>
      <w:r w:rsidR="004D7D99" w:rsidRPr="00484AE2">
        <w:rPr>
          <w:color w:val="000000" w:themeColor="text1"/>
          <w:szCs w:val="24"/>
        </w:rPr>
        <w:t xml:space="preserve">in April and was found to have limited ROM and mild pain in the superior aspect of the </w:t>
      </w:r>
      <w:r w:rsidR="000A441B" w:rsidRPr="00484AE2">
        <w:rPr>
          <w:color w:val="000000" w:themeColor="text1"/>
          <w:szCs w:val="24"/>
        </w:rPr>
        <w:t>lateral</w:t>
      </w:r>
      <w:r w:rsidR="00DE63EE">
        <w:rPr>
          <w:color w:val="000000" w:themeColor="text1"/>
          <w:szCs w:val="24"/>
        </w:rPr>
        <w:t xml:space="preserve"> </w:t>
      </w:r>
      <w:proofErr w:type="spellStart"/>
      <w:r w:rsidR="00DE63EE">
        <w:rPr>
          <w:color w:val="000000" w:themeColor="text1"/>
          <w:szCs w:val="24"/>
        </w:rPr>
        <w:t>malleolus</w:t>
      </w:r>
      <w:proofErr w:type="spellEnd"/>
      <w:r w:rsidR="00DE63EE">
        <w:rPr>
          <w:color w:val="000000" w:themeColor="text1"/>
          <w:szCs w:val="24"/>
        </w:rPr>
        <w:t>.</w:t>
      </w:r>
      <w:r w:rsidR="0040674E">
        <w:rPr>
          <w:color w:val="000000" w:themeColor="text1"/>
          <w:szCs w:val="24"/>
        </w:rPr>
        <w:t xml:space="preserve"> </w:t>
      </w:r>
      <w:r w:rsidR="00DE63EE">
        <w:rPr>
          <w:color w:val="000000" w:themeColor="text1"/>
          <w:szCs w:val="24"/>
        </w:rPr>
        <w:t xml:space="preserve"> </w:t>
      </w:r>
      <w:r w:rsidR="004D7D99" w:rsidRPr="00484AE2">
        <w:rPr>
          <w:color w:val="000000" w:themeColor="text1"/>
          <w:szCs w:val="24"/>
        </w:rPr>
        <w:t>T</w:t>
      </w:r>
      <w:r w:rsidR="00D22065">
        <w:rPr>
          <w:color w:val="000000" w:themeColor="text1"/>
          <w:szCs w:val="24"/>
        </w:rPr>
        <w:t>he MEB examination</w:t>
      </w:r>
      <w:r w:rsidR="000C38CE" w:rsidRPr="00484AE2">
        <w:rPr>
          <w:color w:val="000000" w:themeColor="text1"/>
          <w:szCs w:val="24"/>
        </w:rPr>
        <w:t xml:space="preserve"> indicated a diagnosis of moderate ankle osteoarthritis, an inability to participate in any running</w:t>
      </w:r>
      <w:r w:rsidR="00A439AD" w:rsidRPr="00484AE2">
        <w:rPr>
          <w:color w:val="000000" w:themeColor="text1"/>
          <w:szCs w:val="24"/>
        </w:rPr>
        <w:t xml:space="preserve"> hikes or </w:t>
      </w:r>
      <w:r w:rsidR="000A441B" w:rsidRPr="00484AE2">
        <w:rPr>
          <w:color w:val="000000" w:themeColor="text1"/>
          <w:szCs w:val="24"/>
        </w:rPr>
        <w:t>activities</w:t>
      </w:r>
      <w:r w:rsidR="00A439AD" w:rsidRPr="00484AE2">
        <w:rPr>
          <w:color w:val="000000" w:themeColor="text1"/>
          <w:szCs w:val="24"/>
        </w:rPr>
        <w:t xml:space="preserve"> relating to prolonged standing and opined a poor prognosis. </w:t>
      </w:r>
      <w:r w:rsidR="0040674E">
        <w:rPr>
          <w:color w:val="000000" w:themeColor="text1"/>
          <w:szCs w:val="24"/>
        </w:rPr>
        <w:t xml:space="preserve"> </w:t>
      </w:r>
      <w:r w:rsidR="00126ED4" w:rsidRPr="00484AE2">
        <w:rPr>
          <w:color w:val="000000" w:themeColor="text1"/>
          <w:szCs w:val="24"/>
        </w:rPr>
        <w:t>No goniometric measurements were included in this examination.</w:t>
      </w:r>
      <w:r w:rsidR="00A439AD" w:rsidRPr="00484AE2">
        <w:rPr>
          <w:color w:val="000000" w:themeColor="text1"/>
          <w:szCs w:val="24"/>
        </w:rPr>
        <w:t xml:space="preserve"> </w:t>
      </w:r>
      <w:r w:rsidR="0040674E">
        <w:rPr>
          <w:color w:val="000000" w:themeColor="text1"/>
          <w:szCs w:val="24"/>
        </w:rPr>
        <w:t xml:space="preserve"> </w:t>
      </w:r>
      <w:r w:rsidR="000A441B" w:rsidRPr="00484AE2">
        <w:rPr>
          <w:color w:val="000000" w:themeColor="text1"/>
          <w:szCs w:val="24"/>
        </w:rPr>
        <w:t xml:space="preserve">The VA Compensation &amp; Pension (C&amp;P) examination </w:t>
      </w:r>
      <w:r w:rsidR="0040674E">
        <w:rPr>
          <w:color w:val="000000" w:themeColor="text1"/>
          <w:szCs w:val="24"/>
        </w:rPr>
        <w:t>10</w:t>
      </w:r>
      <w:r w:rsidR="000A441B" w:rsidRPr="00484AE2">
        <w:rPr>
          <w:color w:val="000000" w:themeColor="text1"/>
          <w:szCs w:val="24"/>
        </w:rPr>
        <w:t xml:space="preserve"> months </w:t>
      </w:r>
      <w:r w:rsidR="003C0D6A" w:rsidRPr="00484AE2">
        <w:rPr>
          <w:color w:val="000000" w:themeColor="text1"/>
          <w:szCs w:val="24"/>
        </w:rPr>
        <w:t xml:space="preserve">after </w:t>
      </w:r>
      <w:r w:rsidR="000A441B" w:rsidRPr="00484AE2">
        <w:rPr>
          <w:color w:val="000000" w:themeColor="text1"/>
          <w:szCs w:val="24"/>
        </w:rPr>
        <w:t>separation noted that the CI had difficulty walking on heels and toes because of pain in the left ankle and there was limited ROM, mild swelling on the lateral aspect of the left ankle lateral malleolus  and mild TTP on th</w:t>
      </w:r>
      <w:r w:rsidR="00DE63EE">
        <w:rPr>
          <w:color w:val="000000" w:themeColor="text1"/>
          <w:szCs w:val="24"/>
        </w:rPr>
        <w:t xml:space="preserve">e lateral aspect of the ankle. </w:t>
      </w:r>
      <w:r w:rsidR="0040674E">
        <w:rPr>
          <w:color w:val="000000" w:themeColor="text1"/>
          <w:szCs w:val="24"/>
        </w:rPr>
        <w:t xml:space="preserve"> </w:t>
      </w:r>
      <w:r w:rsidR="00A439AD" w:rsidRPr="00484AE2">
        <w:rPr>
          <w:color w:val="000000" w:themeColor="text1"/>
          <w:szCs w:val="24"/>
        </w:rPr>
        <w:t>The examiner also noted limitation in prolonged standing, running</w:t>
      </w:r>
      <w:r w:rsidR="005723DF" w:rsidRPr="00484AE2">
        <w:rPr>
          <w:color w:val="000000" w:themeColor="text1"/>
          <w:szCs w:val="24"/>
        </w:rPr>
        <w:t>,</w:t>
      </w:r>
      <w:r w:rsidR="00A439AD" w:rsidRPr="00484AE2">
        <w:rPr>
          <w:color w:val="000000" w:themeColor="text1"/>
          <w:szCs w:val="24"/>
        </w:rPr>
        <w:t xml:space="preserve"> and jogging.</w:t>
      </w:r>
    </w:p>
    <w:p w:rsidR="00A439AD" w:rsidRPr="00484AE2" w:rsidRDefault="00A439AD" w:rsidP="00484AE2">
      <w:pPr>
        <w:jc w:val="both"/>
        <w:rPr>
          <w:color w:val="000000" w:themeColor="text1"/>
          <w:szCs w:val="24"/>
        </w:rPr>
      </w:pPr>
    </w:p>
    <w:p w:rsidR="00FB6744" w:rsidRPr="00484AE2" w:rsidRDefault="00A439AD" w:rsidP="00484AE2">
      <w:pPr>
        <w:pStyle w:val="Default"/>
        <w:spacing w:line="240" w:lineRule="exact"/>
        <w:jc w:val="both"/>
      </w:pPr>
      <w:r w:rsidRPr="00484AE2">
        <w:rPr>
          <w:rFonts w:asciiTheme="minorHAnsi" w:hAnsiTheme="minorHAnsi" w:cstheme="minorHAnsi"/>
          <w:color w:val="000000" w:themeColor="text1"/>
        </w:rPr>
        <w:t xml:space="preserve">The PEB rated the </w:t>
      </w:r>
      <w:r w:rsidR="0040674E">
        <w:rPr>
          <w:rFonts w:asciiTheme="minorHAnsi" w:eastAsia="Calibri" w:hAnsiTheme="minorHAnsi" w:cstheme="minorHAnsi"/>
          <w:color w:val="auto"/>
        </w:rPr>
        <w:t>l</w:t>
      </w:r>
      <w:r w:rsidR="00DD2996" w:rsidRPr="00484AE2">
        <w:rPr>
          <w:rFonts w:asciiTheme="minorHAnsi" w:eastAsia="Calibri" w:hAnsiTheme="minorHAnsi" w:cstheme="minorHAnsi"/>
          <w:color w:val="auto"/>
        </w:rPr>
        <w:t xml:space="preserve">eft </w:t>
      </w:r>
      <w:r w:rsidR="0040674E">
        <w:rPr>
          <w:rFonts w:asciiTheme="minorHAnsi" w:eastAsia="Calibri" w:hAnsiTheme="minorHAnsi" w:cstheme="minorHAnsi"/>
          <w:color w:val="auto"/>
        </w:rPr>
        <w:t>a</w:t>
      </w:r>
      <w:r w:rsidR="00DD2996" w:rsidRPr="00484AE2">
        <w:rPr>
          <w:rFonts w:asciiTheme="minorHAnsi" w:eastAsia="Calibri" w:hAnsiTheme="minorHAnsi" w:cstheme="minorHAnsi"/>
          <w:color w:val="auto"/>
        </w:rPr>
        <w:t xml:space="preserve">nkle </w:t>
      </w:r>
      <w:r w:rsidR="0040674E">
        <w:rPr>
          <w:rFonts w:asciiTheme="minorHAnsi" w:eastAsia="Calibri" w:hAnsiTheme="minorHAnsi" w:cstheme="minorHAnsi"/>
          <w:color w:val="auto"/>
        </w:rPr>
        <w:t>m</w:t>
      </w:r>
      <w:r w:rsidR="00DD2996" w:rsidRPr="00484AE2">
        <w:rPr>
          <w:rFonts w:asciiTheme="minorHAnsi" w:eastAsia="Calibri" w:hAnsiTheme="minorHAnsi" w:cstheme="minorHAnsi"/>
          <w:color w:val="auto"/>
        </w:rPr>
        <w:t xml:space="preserve">oderate </w:t>
      </w:r>
      <w:r w:rsidR="0040674E">
        <w:rPr>
          <w:rFonts w:asciiTheme="minorHAnsi" w:eastAsia="Calibri" w:hAnsiTheme="minorHAnsi" w:cstheme="minorHAnsi"/>
          <w:color w:val="auto"/>
        </w:rPr>
        <w:t>o</w:t>
      </w:r>
      <w:r w:rsidR="00DD2996" w:rsidRPr="00484AE2">
        <w:rPr>
          <w:rFonts w:asciiTheme="minorHAnsi" w:eastAsia="Calibri" w:hAnsiTheme="minorHAnsi" w:cstheme="minorHAnsi"/>
          <w:color w:val="auto"/>
        </w:rPr>
        <w:t>steoarthritis</w:t>
      </w:r>
      <w:r w:rsidR="00DD2996" w:rsidRPr="00484AE2">
        <w:rPr>
          <w:rFonts w:asciiTheme="minorHAnsi" w:hAnsiTheme="minorHAnsi" w:cstheme="minorHAnsi"/>
          <w:color w:val="000000" w:themeColor="text1"/>
        </w:rPr>
        <w:t xml:space="preserve"> condition as </w:t>
      </w:r>
      <w:r w:rsidR="00D22065">
        <w:rPr>
          <w:rFonts w:asciiTheme="minorHAnsi" w:hAnsiTheme="minorHAnsi" w:cstheme="minorHAnsi"/>
          <w:color w:val="000000" w:themeColor="text1"/>
        </w:rPr>
        <w:t xml:space="preserve">5099-5003 </w:t>
      </w:r>
      <w:r w:rsidR="0040674E">
        <w:rPr>
          <w:rFonts w:asciiTheme="minorHAnsi" w:hAnsiTheme="minorHAnsi" w:cstheme="minorHAnsi"/>
          <w:color w:val="000000" w:themeColor="text1"/>
        </w:rPr>
        <w:t>a</w:t>
      </w:r>
      <w:r w:rsidR="00F87BA8" w:rsidRPr="00484AE2">
        <w:rPr>
          <w:rFonts w:asciiTheme="minorHAnsi" w:hAnsiTheme="minorHAnsi" w:cstheme="minorHAnsi"/>
          <w:color w:val="000000" w:themeColor="text1"/>
        </w:rPr>
        <w:t xml:space="preserve">rthritis, degenerative (hypertrophic </w:t>
      </w:r>
      <w:r w:rsidR="000A441B" w:rsidRPr="00484AE2">
        <w:rPr>
          <w:rFonts w:asciiTheme="minorHAnsi" w:hAnsiTheme="minorHAnsi" w:cstheme="minorHAnsi"/>
          <w:color w:val="000000" w:themeColor="text1"/>
        </w:rPr>
        <w:t>or</w:t>
      </w:r>
      <w:r w:rsidR="00D22065">
        <w:rPr>
          <w:rFonts w:asciiTheme="minorHAnsi" w:hAnsiTheme="minorHAnsi" w:cstheme="minorHAnsi"/>
          <w:color w:val="000000" w:themeColor="text1"/>
        </w:rPr>
        <w:t xml:space="preserve"> osteoarthritis)</w:t>
      </w:r>
      <w:r w:rsidR="00F87BA8" w:rsidRPr="00484AE2">
        <w:rPr>
          <w:rFonts w:asciiTheme="minorHAnsi" w:hAnsiTheme="minorHAnsi" w:cstheme="minorHAnsi"/>
          <w:color w:val="000000" w:themeColor="text1"/>
        </w:rPr>
        <w:t xml:space="preserve"> at 10% and the VA rated the left ankle </w:t>
      </w:r>
      <w:r w:rsidR="00FB6744" w:rsidRPr="00484AE2">
        <w:rPr>
          <w:rFonts w:asciiTheme="minorHAnsi" w:hAnsiTheme="minorHAnsi" w:cstheme="minorHAnsi"/>
          <w:color w:val="000000" w:themeColor="text1"/>
        </w:rPr>
        <w:t xml:space="preserve">5010-5271 </w:t>
      </w:r>
      <w:r w:rsidR="00F02247">
        <w:rPr>
          <w:color w:val="auto"/>
        </w:rPr>
        <w:t>a</w:t>
      </w:r>
      <w:r w:rsidR="00FB6744" w:rsidRPr="00484AE2">
        <w:rPr>
          <w:color w:val="auto"/>
        </w:rPr>
        <w:t>rthritis, due to trauma</w:t>
      </w:r>
      <w:r w:rsidR="00FB6744" w:rsidRPr="00484AE2">
        <w:rPr>
          <w:rFonts w:asciiTheme="minorHAnsi" w:hAnsiTheme="minorHAnsi" w:cstheme="minorHAnsi"/>
          <w:color w:val="auto"/>
        </w:rPr>
        <w:t xml:space="preserve"> </w:t>
      </w:r>
      <w:r w:rsidR="000A441B" w:rsidRPr="00484AE2">
        <w:rPr>
          <w:rFonts w:asciiTheme="minorHAnsi" w:hAnsiTheme="minorHAnsi" w:cstheme="minorHAnsi"/>
          <w:color w:val="auto"/>
        </w:rPr>
        <w:t>analogous</w:t>
      </w:r>
      <w:r w:rsidR="00FB6744" w:rsidRPr="00484AE2">
        <w:rPr>
          <w:rFonts w:asciiTheme="minorHAnsi" w:hAnsiTheme="minorHAnsi" w:cstheme="minorHAnsi"/>
          <w:color w:val="auto"/>
        </w:rPr>
        <w:t xml:space="preserve"> to 5271 </w:t>
      </w:r>
      <w:r w:rsidR="00F02247">
        <w:rPr>
          <w:color w:val="auto"/>
        </w:rPr>
        <w:t>a</w:t>
      </w:r>
      <w:r w:rsidR="00FB6744" w:rsidRPr="00484AE2">
        <w:rPr>
          <w:color w:val="auto"/>
        </w:rPr>
        <w:t>nkle, limited motion of</w:t>
      </w:r>
      <w:r w:rsidR="00DE63EE">
        <w:rPr>
          <w:rFonts w:asciiTheme="minorHAnsi" w:hAnsiTheme="minorHAnsi"/>
          <w:color w:val="auto"/>
        </w:rPr>
        <w:t xml:space="preserve"> at 10%. </w:t>
      </w:r>
      <w:r w:rsidR="00FB6744" w:rsidRPr="00484AE2">
        <w:rPr>
          <w:rFonts w:asciiTheme="minorHAnsi" w:hAnsiTheme="minorHAnsi"/>
          <w:color w:val="auto"/>
        </w:rPr>
        <w:t xml:space="preserve">The PEB and the VA chose different coding options </w:t>
      </w:r>
      <w:r w:rsidR="00D22065">
        <w:rPr>
          <w:rFonts w:asciiTheme="minorHAnsi" w:hAnsiTheme="minorHAnsi"/>
          <w:color w:val="auto"/>
        </w:rPr>
        <w:t xml:space="preserve">but this </w:t>
      </w:r>
      <w:r w:rsidR="00FB6744" w:rsidRPr="00484AE2">
        <w:rPr>
          <w:rFonts w:asciiTheme="minorHAnsi" w:hAnsiTheme="minorHAnsi"/>
          <w:color w:val="auto"/>
        </w:rPr>
        <w:t>did not significantly affect the rating as note</w:t>
      </w:r>
      <w:r w:rsidR="00DE63EE">
        <w:rPr>
          <w:rFonts w:asciiTheme="minorHAnsi" w:hAnsiTheme="minorHAnsi"/>
          <w:color w:val="auto"/>
        </w:rPr>
        <w:t xml:space="preserve">d above. </w:t>
      </w:r>
      <w:r w:rsidR="00FB6744" w:rsidRPr="00484AE2">
        <w:rPr>
          <w:rFonts w:asciiTheme="minorHAnsi" w:hAnsiTheme="minorHAnsi"/>
          <w:color w:val="auto"/>
        </w:rPr>
        <w:t xml:space="preserve">The Board considered the CI’s primary disability </w:t>
      </w:r>
      <w:r w:rsidR="00D22065">
        <w:rPr>
          <w:rFonts w:asciiTheme="minorHAnsi" w:hAnsiTheme="minorHAnsi"/>
          <w:color w:val="auto"/>
        </w:rPr>
        <w:t>to be</w:t>
      </w:r>
      <w:r w:rsidR="00FB6744" w:rsidRPr="00484AE2">
        <w:rPr>
          <w:rFonts w:asciiTheme="minorHAnsi" w:hAnsiTheme="minorHAnsi"/>
          <w:color w:val="auto"/>
        </w:rPr>
        <w:t xml:space="preserve"> the limited </w:t>
      </w:r>
      <w:r w:rsidR="000A441B" w:rsidRPr="00484AE2">
        <w:rPr>
          <w:rFonts w:asciiTheme="minorHAnsi" w:hAnsiTheme="minorHAnsi"/>
          <w:color w:val="auto"/>
        </w:rPr>
        <w:t>ROM and</w:t>
      </w:r>
      <w:r w:rsidR="00FB6744" w:rsidRPr="00484AE2">
        <w:rPr>
          <w:rFonts w:asciiTheme="minorHAnsi" w:hAnsiTheme="minorHAnsi"/>
          <w:color w:val="auto"/>
        </w:rPr>
        <w:t xml:space="preserve"> pain of the left ankle in both dor</w:t>
      </w:r>
      <w:r w:rsidR="00DE63EE">
        <w:rPr>
          <w:rFonts w:asciiTheme="minorHAnsi" w:hAnsiTheme="minorHAnsi"/>
          <w:color w:val="auto"/>
        </w:rPr>
        <w:t xml:space="preserve">siflexion and plantar flexion. </w:t>
      </w:r>
      <w:r w:rsidR="00F02247">
        <w:rPr>
          <w:rFonts w:asciiTheme="minorHAnsi" w:hAnsiTheme="minorHAnsi"/>
          <w:color w:val="auto"/>
        </w:rPr>
        <w:t xml:space="preserve"> </w:t>
      </w:r>
      <w:r w:rsidR="00FB6744" w:rsidRPr="00484AE2">
        <w:rPr>
          <w:rFonts w:asciiTheme="minorHAnsi" w:hAnsiTheme="minorHAnsi"/>
          <w:color w:val="auto"/>
        </w:rPr>
        <w:t xml:space="preserve">The MEB exam along with the </w:t>
      </w:r>
      <w:proofErr w:type="spellStart"/>
      <w:r w:rsidR="00F02247">
        <w:rPr>
          <w:rFonts w:asciiTheme="minorHAnsi" w:hAnsiTheme="minorHAnsi"/>
          <w:color w:val="auto"/>
        </w:rPr>
        <w:t>o</w:t>
      </w:r>
      <w:r w:rsidR="00FB6744" w:rsidRPr="00484AE2">
        <w:rPr>
          <w:rFonts w:asciiTheme="minorHAnsi" w:hAnsiTheme="minorHAnsi"/>
          <w:color w:val="auto"/>
        </w:rPr>
        <w:t>rtho</w:t>
      </w:r>
      <w:proofErr w:type="spellEnd"/>
      <w:r w:rsidR="00FB6744" w:rsidRPr="00484AE2">
        <w:rPr>
          <w:rFonts w:asciiTheme="minorHAnsi" w:hAnsiTheme="minorHAnsi"/>
          <w:color w:val="auto"/>
        </w:rPr>
        <w:t xml:space="preserve"> and PT exams noted that the CI </w:t>
      </w:r>
      <w:r w:rsidR="00FB6744" w:rsidRPr="00DE63EE">
        <w:rPr>
          <w:rFonts w:asciiTheme="minorHAnsi" w:hAnsiTheme="minorHAnsi"/>
          <w:color w:val="auto"/>
        </w:rPr>
        <w:t>had pain, TTP</w:t>
      </w:r>
      <w:r w:rsidR="00D22065">
        <w:rPr>
          <w:rFonts w:asciiTheme="minorHAnsi" w:hAnsiTheme="minorHAnsi"/>
          <w:color w:val="auto"/>
        </w:rPr>
        <w:t>,</w:t>
      </w:r>
      <w:r w:rsidR="00FB6744" w:rsidRPr="00DE63EE">
        <w:rPr>
          <w:rFonts w:asciiTheme="minorHAnsi" w:hAnsiTheme="minorHAnsi"/>
          <w:color w:val="auto"/>
        </w:rPr>
        <w:t xml:space="preserve"> and difficulty walking on heels and toes due to pain in the left ankle.</w:t>
      </w:r>
      <w:r w:rsidR="00F02247">
        <w:rPr>
          <w:rFonts w:asciiTheme="minorHAnsi" w:hAnsiTheme="minorHAnsi"/>
          <w:color w:val="auto"/>
        </w:rPr>
        <w:t xml:space="preserve"> </w:t>
      </w:r>
      <w:r w:rsidR="00FB6744" w:rsidRPr="00DE63EE">
        <w:rPr>
          <w:rFonts w:asciiTheme="minorHAnsi" w:hAnsiTheme="minorHAnsi"/>
          <w:color w:val="auto"/>
        </w:rPr>
        <w:t xml:space="preserve"> </w:t>
      </w:r>
      <w:r w:rsidR="00FB6744" w:rsidRPr="00DE63EE">
        <w:t>All evidence</w:t>
      </w:r>
      <w:r w:rsidR="00FB6744" w:rsidRPr="00484AE2">
        <w:t xml:space="preserve"> considered</w:t>
      </w:r>
      <w:proofErr w:type="gramStart"/>
      <w:r w:rsidR="00FB6744" w:rsidRPr="00484AE2">
        <w:t>,</w:t>
      </w:r>
      <w:proofErr w:type="gramEnd"/>
      <w:r w:rsidR="00FB6744" w:rsidRPr="00484AE2">
        <w:t xml:space="preserve"> there is not reasonable doubt in the CI’s favor </w:t>
      </w:r>
      <w:r w:rsidR="00FB6744" w:rsidRPr="00484AE2">
        <w:lastRenderedPageBreak/>
        <w:t xml:space="preserve">supporting a change from the PEB’s rating decision for the </w:t>
      </w:r>
      <w:r w:rsidR="00F02247">
        <w:rPr>
          <w:rFonts w:asciiTheme="minorHAnsi" w:eastAsia="Calibri" w:hAnsiTheme="minorHAnsi" w:cstheme="minorHAnsi"/>
          <w:color w:val="auto"/>
        </w:rPr>
        <w:t>l</w:t>
      </w:r>
      <w:r w:rsidR="00FB6744" w:rsidRPr="00484AE2">
        <w:rPr>
          <w:rFonts w:asciiTheme="minorHAnsi" w:eastAsia="Calibri" w:hAnsiTheme="minorHAnsi" w:cstheme="minorHAnsi"/>
          <w:color w:val="auto"/>
        </w:rPr>
        <w:t xml:space="preserve">eft </w:t>
      </w:r>
      <w:r w:rsidR="00F02247">
        <w:rPr>
          <w:rFonts w:asciiTheme="minorHAnsi" w:eastAsia="Calibri" w:hAnsiTheme="minorHAnsi" w:cstheme="minorHAnsi"/>
          <w:color w:val="auto"/>
        </w:rPr>
        <w:t>a</w:t>
      </w:r>
      <w:r w:rsidR="00FB6744" w:rsidRPr="00484AE2">
        <w:rPr>
          <w:rFonts w:asciiTheme="minorHAnsi" w:eastAsia="Calibri" w:hAnsiTheme="minorHAnsi" w:cstheme="minorHAnsi"/>
          <w:color w:val="auto"/>
        </w:rPr>
        <w:t xml:space="preserve">nkle </w:t>
      </w:r>
      <w:r w:rsidR="00F02247">
        <w:rPr>
          <w:rFonts w:asciiTheme="minorHAnsi" w:eastAsia="Calibri" w:hAnsiTheme="minorHAnsi" w:cstheme="minorHAnsi"/>
          <w:color w:val="auto"/>
        </w:rPr>
        <w:t>m</w:t>
      </w:r>
      <w:r w:rsidR="00FB6744" w:rsidRPr="00484AE2">
        <w:rPr>
          <w:rFonts w:asciiTheme="minorHAnsi" w:eastAsia="Calibri" w:hAnsiTheme="minorHAnsi" w:cstheme="minorHAnsi"/>
          <w:color w:val="auto"/>
        </w:rPr>
        <w:t xml:space="preserve">oderate </w:t>
      </w:r>
      <w:r w:rsidR="00F02247">
        <w:rPr>
          <w:rFonts w:asciiTheme="minorHAnsi" w:eastAsia="Calibri" w:hAnsiTheme="minorHAnsi" w:cstheme="minorHAnsi"/>
          <w:color w:val="auto"/>
        </w:rPr>
        <w:t>o</w:t>
      </w:r>
      <w:r w:rsidR="00FB6744" w:rsidRPr="00484AE2">
        <w:rPr>
          <w:rFonts w:asciiTheme="minorHAnsi" w:eastAsia="Calibri" w:hAnsiTheme="minorHAnsi" w:cstheme="minorHAnsi"/>
          <w:color w:val="auto"/>
        </w:rPr>
        <w:t>steoarthritis</w:t>
      </w:r>
      <w:r w:rsidR="00FB6744" w:rsidRPr="00484AE2">
        <w:rPr>
          <w:rFonts w:asciiTheme="minorHAnsi" w:hAnsiTheme="minorHAnsi" w:cstheme="minorHAnsi"/>
          <w:color w:val="000000" w:themeColor="text1"/>
        </w:rPr>
        <w:t xml:space="preserve"> </w:t>
      </w:r>
      <w:r w:rsidR="00FB6744" w:rsidRPr="00484AE2">
        <w:t xml:space="preserve">condition. </w:t>
      </w:r>
    </w:p>
    <w:p w:rsidR="009369A6" w:rsidRPr="00484AE2" w:rsidRDefault="009369A6" w:rsidP="00484AE2">
      <w:pPr>
        <w:jc w:val="both"/>
        <w:rPr>
          <w:rFonts w:asciiTheme="minorHAnsi" w:hAnsiTheme="minorHAnsi"/>
          <w:color w:val="000000" w:themeColor="text1"/>
          <w:szCs w:val="24"/>
        </w:rPr>
      </w:pPr>
    </w:p>
    <w:p w:rsidR="007F4909" w:rsidRPr="00484AE2" w:rsidRDefault="003F10A9" w:rsidP="00484AE2">
      <w:pPr>
        <w:jc w:val="both"/>
        <w:rPr>
          <w:color w:val="auto"/>
          <w:szCs w:val="24"/>
        </w:rPr>
      </w:pPr>
      <w:proofErr w:type="gramStart"/>
      <w:r w:rsidRPr="00484AE2">
        <w:rPr>
          <w:color w:val="auto"/>
          <w:szCs w:val="24"/>
          <w:u w:val="single"/>
        </w:rPr>
        <w:t>Remaining Conditions</w:t>
      </w:r>
      <w:r w:rsidRPr="00484AE2">
        <w:rPr>
          <w:color w:val="auto"/>
          <w:szCs w:val="24"/>
        </w:rPr>
        <w:t>.</w:t>
      </w:r>
      <w:proofErr w:type="gramEnd"/>
      <w:r w:rsidRPr="00484AE2">
        <w:rPr>
          <w:color w:val="auto"/>
          <w:szCs w:val="24"/>
        </w:rPr>
        <w:t xml:space="preserve">  </w:t>
      </w:r>
      <w:r w:rsidR="005723DF" w:rsidRPr="00484AE2">
        <w:rPr>
          <w:color w:val="auto"/>
          <w:szCs w:val="24"/>
        </w:rPr>
        <w:t xml:space="preserve">No other </w:t>
      </w:r>
      <w:r w:rsidRPr="00484AE2">
        <w:rPr>
          <w:color w:val="auto"/>
          <w:szCs w:val="24"/>
        </w:rPr>
        <w:t>conditions</w:t>
      </w:r>
      <w:r w:rsidR="005723DF" w:rsidRPr="00484AE2">
        <w:rPr>
          <w:color w:val="auto"/>
          <w:szCs w:val="24"/>
        </w:rPr>
        <w:t xml:space="preserve"> were</w:t>
      </w:r>
      <w:r w:rsidRPr="00484AE2">
        <w:rPr>
          <w:color w:val="auto"/>
          <w:szCs w:val="24"/>
        </w:rPr>
        <w:t xml:space="preserve"> identified in the DES file</w:t>
      </w:r>
      <w:r w:rsidR="005723DF" w:rsidRPr="00484AE2">
        <w:rPr>
          <w:color w:val="auto"/>
          <w:szCs w:val="24"/>
        </w:rPr>
        <w:t>.</w:t>
      </w:r>
      <w:r w:rsidRPr="00484AE2">
        <w:rPr>
          <w:color w:val="auto"/>
          <w:szCs w:val="24"/>
        </w:rPr>
        <w:t xml:space="preserve"> </w:t>
      </w:r>
      <w:r w:rsidR="00F02247">
        <w:rPr>
          <w:color w:val="auto"/>
          <w:szCs w:val="24"/>
        </w:rPr>
        <w:t xml:space="preserve"> </w:t>
      </w:r>
      <w:r w:rsidRPr="00484AE2">
        <w:rPr>
          <w:color w:val="auto"/>
          <w:szCs w:val="24"/>
        </w:rPr>
        <w:t xml:space="preserve">Degenerative </w:t>
      </w:r>
      <w:r w:rsidR="00F02247">
        <w:rPr>
          <w:color w:val="auto"/>
          <w:szCs w:val="24"/>
        </w:rPr>
        <w:t>j</w:t>
      </w:r>
      <w:r w:rsidRPr="00484AE2">
        <w:rPr>
          <w:color w:val="auto"/>
          <w:szCs w:val="24"/>
        </w:rPr>
        <w:t xml:space="preserve">oint </w:t>
      </w:r>
      <w:r w:rsidR="00F02247">
        <w:rPr>
          <w:color w:val="auto"/>
          <w:szCs w:val="24"/>
        </w:rPr>
        <w:t>d</w:t>
      </w:r>
      <w:r w:rsidRPr="00484AE2">
        <w:rPr>
          <w:color w:val="auto"/>
          <w:szCs w:val="24"/>
        </w:rPr>
        <w:t xml:space="preserve">isease </w:t>
      </w:r>
      <w:r w:rsidR="00F02247">
        <w:rPr>
          <w:color w:val="auto"/>
          <w:szCs w:val="24"/>
        </w:rPr>
        <w:t>l</w:t>
      </w:r>
      <w:r w:rsidRPr="00484AE2">
        <w:rPr>
          <w:color w:val="auto"/>
          <w:szCs w:val="24"/>
        </w:rPr>
        <w:t xml:space="preserve">umbar </w:t>
      </w:r>
      <w:r w:rsidR="00F02247">
        <w:rPr>
          <w:color w:val="auto"/>
          <w:szCs w:val="24"/>
        </w:rPr>
        <w:t>s</w:t>
      </w:r>
      <w:r w:rsidRPr="00484AE2">
        <w:rPr>
          <w:color w:val="auto"/>
          <w:szCs w:val="24"/>
        </w:rPr>
        <w:t xml:space="preserve">pine, </w:t>
      </w:r>
      <w:r w:rsidR="00F02247">
        <w:rPr>
          <w:color w:val="auto"/>
          <w:szCs w:val="24"/>
        </w:rPr>
        <w:t>h</w:t>
      </w:r>
      <w:r w:rsidR="0021711F" w:rsidRPr="00484AE2">
        <w:rPr>
          <w:color w:val="auto"/>
          <w:szCs w:val="24"/>
        </w:rPr>
        <w:t xml:space="preserve">ealed </w:t>
      </w:r>
      <w:r w:rsidR="00F02247">
        <w:rPr>
          <w:color w:val="auto"/>
          <w:szCs w:val="24"/>
        </w:rPr>
        <w:t>l</w:t>
      </w:r>
      <w:r w:rsidR="0021711F" w:rsidRPr="00484AE2">
        <w:rPr>
          <w:color w:val="auto"/>
          <w:szCs w:val="24"/>
        </w:rPr>
        <w:t xml:space="preserve">aceration </w:t>
      </w:r>
      <w:r w:rsidR="00F02247">
        <w:rPr>
          <w:color w:val="auto"/>
          <w:szCs w:val="24"/>
        </w:rPr>
        <w:t>l</w:t>
      </w:r>
      <w:r w:rsidR="0021711F" w:rsidRPr="00484AE2">
        <w:rPr>
          <w:color w:val="auto"/>
          <w:szCs w:val="24"/>
        </w:rPr>
        <w:t xml:space="preserve">eft </w:t>
      </w:r>
      <w:r w:rsidR="00F02247">
        <w:rPr>
          <w:color w:val="auto"/>
          <w:szCs w:val="24"/>
        </w:rPr>
        <w:t>h</w:t>
      </w:r>
      <w:r w:rsidR="005723DF" w:rsidRPr="00484AE2">
        <w:rPr>
          <w:color w:val="auto"/>
          <w:szCs w:val="24"/>
        </w:rPr>
        <w:t xml:space="preserve">and, </w:t>
      </w:r>
      <w:r w:rsidR="00F02247">
        <w:rPr>
          <w:color w:val="auto"/>
          <w:szCs w:val="24"/>
        </w:rPr>
        <w:t>h</w:t>
      </w:r>
      <w:r w:rsidRPr="00484AE2">
        <w:rPr>
          <w:color w:val="auto"/>
          <w:szCs w:val="24"/>
        </w:rPr>
        <w:t xml:space="preserve">earing </w:t>
      </w:r>
      <w:r w:rsidR="00F02247">
        <w:rPr>
          <w:color w:val="auto"/>
          <w:szCs w:val="24"/>
        </w:rPr>
        <w:t>l</w:t>
      </w:r>
      <w:r w:rsidRPr="00484AE2">
        <w:rPr>
          <w:color w:val="auto"/>
          <w:szCs w:val="24"/>
        </w:rPr>
        <w:t xml:space="preserve">oss </w:t>
      </w:r>
      <w:r w:rsidR="00F02247">
        <w:rPr>
          <w:color w:val="auto"/>
          <w:szCs w:val="24"/>
        </w:rPr>
        <w:t>r</w:t>
      </w:r>
      <w:r w:rsidRPr="00484AE2">
        <w:rPr>
          <w:color w:val="auto"/>
          <w:szCs w:val="24"/>
        </w:rPr>
        <w:t xml:space="preserve">ight </w:t>
      </w:r>
      <w:r w:rsidR="00F02247">
        <w:rPr>
          <w:color w:val="auto"/>
          <w:szCs w:val="24"/>
        </w:rPr>
        <w:t>e</w:t>
      </w:r>
      <w:r w:rsidRPr="00484AE2">
        <w:rPr>
          <w:color w:val="auto"/>
          <w:szCs w:val="24"/>
        </w:rPr>
        <w:t xml:space="preserve">ar, </w:t>
      </w:r>
      <w:r w:rsidR="005723DF" w:rsidRPr="00484AE2">
        <w:rPr>
          <w:color w:val="auto"/>
          <w:szCs w:val="24"/>
        </w:rPr>
        <w:t xml:space="preserve">and </w:t>
      </w:r>
      <w:r w:rsidR="00F02247">
        <w:rPr>
          <w:color w:val="auto"/>
          <w:szCs w:val="24"/>
        </w:rPr>
        <w:t>t</w:t>
      </w:r>
      <w:r w:rsidRPr="00484AE2">
        <w:rPr>
          <w:color w:val="auto"/>
          <w:szCs w:val="24"/>
        </w:rPr>
        <w:t xml:space="preserve">innitus were noted in the VA rating </w:t>
      </w:r>
      <w:r w:rsidR="0021711F" w:rsidRPr="00484AE2">
        <w:rPr>
          <w:color w:val="auto"/>
          <w:szCs w:val="24"/>
        </w:rPr>
        <w:t xml:space="preserve">decision proximal to separation but none of these conditions were </w:t>
      </w:r>
      <w:r w:rsidRPr="00484AE2">
        <w:rPr>
          <w:color w:val="auto"/>
          <w:szCs w:val="24"/>
        </w:rPr>
        <w:t>docume</w:t>
      </w:r>
      <w:r w:rsidR="00DE63EE">
        <w:rPr>
          <w:color w:val="auto"/>
          <w:szCs w:val="24"/>
        </w:rPr>
        <w:t>nted in the DES file.</w:t>
      </w:r>
      <w:r w:rsidR="00F02247">
        <w:rPr>
          <w:color w:val="auto"/>
          <w:szCs w:val="24"/>
        </w:rPr>
        <w:t xml:space="preserve"> </w:t>
      </w:r>
      <w:r w:rsidR="00DE63EE">
        <w:rPr>
          <w:color w:val="auto"/>
          <w:szCs w:val="24"/>
        </w:rPr>
        <w:t xml:space="preserve"> </w:t>
      </w:r>
      <w:r w:rsidRPr="00484AE2">
        <w:rPr>
          <w:color w:val="auto"/>
          <w:szCs w:val="24"/>
        </w:rPr>
        <w:t>The Board does not have the authority under DoDI 6040.44 to render fitness or rating recommendations for any conditi</w:t>
      </w:r>
      <w:r w:rsidR="00DE63EE">
        <w:rPr>
          <w:color w:val="auto"/>
          <w:szCs w:val="24"/>
        </w:rPr>
        <w:t xml:space="preserve">ons not considered by the DES. </w:t>
      </w:r>
      <w:r w:rsidR="00F02247">
        <w:rPr>
          <w:color w:val="auto"/>
          <w:szCs w:val="24"/>
        </w:rPr>
        <w:t xml:space="preserve"> </w:t>
      </w:r>
      <w:r w:rsidRPr="00484AE2">
        <w:rPr>
          <w:color w:val="auto"/>
          <w:szCs w:val="24"/>
        </w:rPr>
        <w:t>The Board; therefore, has no reasonable basis for recommending any additional unfitting conditions for separation rating.</w:t>
      </w:r>
    </w:p>
    <w:p w:rsidR="00615A66" w:rsidRPr="00484AE2" w:rsidRDefault="003F10A9" w:rsidP="00484AE2">
      <w:pPr>
        <w:jc w:val="both"/>
        <w:rPr>
          <w:b/>
          <w:color w:val="000000" w:themeColor="text1"/>
          <w:szCs w:val="24"/>
        </w:rPr>
      </w:pPr>
      <w:r w:rsidRPr="00484AE2">
        <w:rPr>
          <w:b/>
          <w:color w:val="000000" w:themeColor="text1"/>
          <w:szCs w:val="24"/>
        </w:rPr>
        <w:t>______________________________________________________________________________</w:t>
      </w:r>
    </w:p>
    <w:p w:rsidR="00F1737C" w:rsidRPr="00484AE2" w:rsidRDefault="00F1737C" w:rsidP="00484AE2">
      <w:pPr>
        <w:jc w:val="both"/>
        <w:rPr>
          <w:color w:val="auto"/>
          <w:szCs w:val="24"/>
        </w:rPr>
      </w:pPr>
    </w:p>
    <w:p w:rsidR="007F4909" w:rsidRPr="00484AE2" w:rsidRDefault="00C56FC8" w:rsidP="00484AE2">
      <w:pPr>
        <w:jc w:val="both"/>
        <w:rPr>
          <w:color w:val="auto"/>
          <w:szCs w:val="24"/>
        </w:rPr>
      </w:pPr>
      <w:r w:rsidRPr="00484AE2">
        <w:rPr>
          <w:color w:val="auto"/>
          <w:szCs w:val="24"/>
          <w:u w:val="single"/>
        </w:rPr>
        <w:t>BOARD FINDINGS</w:t>
      </w:r>
      <w:r w:rsidRPr="00484AE2">
        <w:rPr>
          <w:color w:val="auto"/>
          <w:szCs w:val="24"/>
        </w:rPr>
        <w:t>:</w:t>
      </w:r>
      <w:r w:rsidRPr="00484AE2">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F10A9" w:rsidRPr="00484AE2">
        <w:rPr>
          <w:color w:val="auto"/>
          <w:szCs w:val="24"/>
        </w:rPr>
        <w:t xml:space="preserve"> </w:t>
      </w:r>
      <w:r w:rsidR="00F02247">
        <w:rPr>
          <w:color w:val="auto"/>
          <w:szCs w:val="24"/>
        </w:rPr>
        <w:t xml:space="preserve"> </w:t>
      </w:r>
      <w:r w:rsidR="003F10A9" w:rsidRPr="00484AE2">
        <w:rPr>
          <w:color w:val="auto"/>
          <w:szCs w:val="24"/>
        </w:rPr>
        <w:t>In the matter of the</w:t>
      </w:r>
      <w:r w:rsidR="003F10A9" w:rsidRPr="00484AE2">
        <w:rPr>
          <w:rFonts w:asciiTheme="minorHAnsi" w:eastAsia="Calibri" w:hAnsiTheme="minorHAnsi"/>
          <w:color w:val="auto"/>
          <w:szCs w:val="24"/>
        </w:rPr>
        <w:t xml:space="preserve"> </w:t>
      </w:r>
      <w:r w:rsidR="00F02247">
        <w:rPr>
          <w:rFonts w:asciiTheme="minorHAnsi" w:eastAsia="Calibri" w:hAnsiTheme="minorHAnsi"/>
          <w:color w:val="auto"/>
          <w:szCs w:val="24"/>
        </w:rPr>
        <w:t>l</w:t>
      </w:r>
      <w:r w:rsidR="003F10A9" w:rsidRPr="00484AE2">
        <w:rPr>
          <w:rFonts w:asciiTheme="minorHAnsi" w:eastAsia="Calibri" w:hAnsiTheme="minorHAnsi"/>
          <w:color w:val="auto"/>
          <w:szCs w:val="24"/>
        </w:rPr>
        <w:t xml:space="preserve">eft </w:t>
      </w:r>
      <w:r w:rsidR="00F02247">
        <w:rPr>
          <w:rFonts w:asciiTheme="minorHAnsi" w:eastAsia="Calibri" w:hAnsiTheme="minorHAnsi"/>
          <w:color w:val="auto"/>
          <w:szCs w:val="24"/>
        </w:rPr>
        <w:t>a</w:t>
      </w:r>
      <w:r w:rsidR="003F10A9" w:rsidRPr="00484AE2">
        <w:rPr>
          <w:rFonts w:asciiTheme="minorHAnsi" w:eastAsia="Calibri" w:hAnsiTheme="minorHAnsi"/>
          <w:color w:val="auto"/>
          <w:szCs w:val="24"/>
        </w:rPr>
        <w:t xml:space="preserve">nkle </w:t>
      </w:r>
      <w:r w:rsidR="00F02247">
        <w:rPr>
          <w:rFonts w:asciiTheme="minorHAnsi" w:eastAsia="Calibri" w:hAnsiTheme="minorHAnsi"/>
          <w:color w:val="auto"/>
          <w:szCs w:val="24"/>
        </w:rPr>
        <w:t>m</w:t>
      </w:r>
      <w:r w:rsidR="003F10A9" w:rsidRPr="00484AE2">
        <w:rPr>
          <w:rFonts w:asciiTheme="minorHAnsi" w:eastAsia="Calibri" w:hAnsiTheme="minorHAnsi"/>
          <w:color w:val="auto"/>
          <w:szCs w:val="24"/>
        </w:rPr>
        <w:t xml:space="preserve">oderate </w:t>
      </w:r>
      <w:r w:rsidR="00F02247">
        <w:rPr>
          <w:rFonts w:asciiTheme="minorHAnsi" w:eastAsia="Calibri" w:hAnsiTheme="minorHAnsi"/>
          <w:color w:val="auto"/>
          <w:szCs w:val="24"/>
        </w:rPr>
        <w:t>o</w:t>
      </w:r>
      <w:r w:rsidR="003F10A9" w:rsidRPr="00484AE2">
        <w:rPr>
          <w:rFonts w:asciiTheme="minorHAnsi" w:eastAsia="Calibri" w:hAnsiTheme="minorHAnsi"/>
          <w:color w:val="auto"/>
          <w:szCs w:val="24"/>
        </w:rPr>
        <w:t>steoarthritis</w:t>
      </w:r>
      <w:r w:rsidR="003F10A9" w:rsidRPr="00484AE2">
        <w:rPr>
          <w:rFonts w:asciiTheme="minorHAnsi" w:hAnsiTheme="minorHAnsi"/>
          <w:color w:val="auto"/>
          <w:szCs w:val="24"/>
        </w:rPr>
        <w:t xml:space="preserve"> </w:t>
      </w:r>
      <w:r w:rsidR="003F10A9" w:rsidRPr="00484AE2">
        <w:rPr>
          <w:color w:val="auto"/>
          <w:szCs w:val="24"/>
        </w:rPr>
        <w:t xml:space="preserve">condition, the Board unanimously recommends no change in the PEB adjudication </w:t>
      </w:r>
      <w:r w:rsidR="00D22065">
        <w:rPr>
          <w:color w:val="auto"/>
          <w:szCs w:val="24"/>
        </w:rPr>
        <w:t>of 5299-5003 at 10%</w:t>
      </w:r>
      <w:r w:rsidR="00D22065" w:rsidRPr="00484AE2">
        <w:rPr>
          <w:color w:val="auto"/>
          <w:szCs w:val="24"/>
        </w:rPr>
        <w:t xml:space="preserve"> IAW VASRD §4.71a</w:t>
      </w:r>
      <w:r w:rsidR="007F4909" w:rsidRPr="00484AE2">
        <w:rPr>
          <w:color w:val="auto"/>
          <w:szCs w:val="24"/>
        </w:rPr>
        <w:t>.</w:t>
      </w:r>
    </w:p>
    <w:p w:rsidR="00BF4F49" w:rsidRPr="00484AE2" w:rsidRDefault="000A441B" w:rsidP="00484AE2">
      <w:pPr>
        <w:jc w:val="both"/>
        <w:rPr>
          <w:rFonts w:eastAsiaTheme="minorHAnsi"/>
          <w:b/>
          <w:color w:val="000000" w:themeColor="text1"/>
          <w:szCs w:val="24"/>
        </w:rPr>
      </w:pPr>
      <w:r w:rsidRPr="00484AE2">
        <w:rPr>
          <w:rFonts w:eastAsiaTheme="minorHAnsi"/>
          <w:b/>
          <w:color w:val="000000" w:themeColor="text1"/>
          <w:szCs w:val="24"/>
        </w:rPr>
        <w:t>______________________________________________________________________________</w:t>
      </w:r>
    </w:p>
    <w:p w:rsidR="00F1737C" w:rsidRPr="00484AE2" w:rsidRDefault="00F1737C" w:rsidP="00484AE2">
      <w:pPr>
        <w:jc w:val="both"/>
        <w:rPr>
          <w:color w:val="000000" w:themeColor="text1"/>
          <w:szCs w:val="24"/>
        </w:rPr>
      </w:pPr>
    </w:p>
    <w:p w:rsidR="00FB593A" w:rsidRPr="00484AE2" w:rsidRDefault="00C56FC8" w:rsidP="00484AE2">
      <w:pPr>
        <w:jc w:val="both"/>
        <w:rPr>
          <w:color w:val="000000" w:themeColor="text1"/>
          <w:szCs w:val="24"/>
        </w:rPr>
      </w:pPr>
      <w:r w:rsidRPr="00484AE2">
        <w:rPr>
          <w:color w:val="000000" w:themeColor="text1"/>
          <w:szCs w:val="24"/>
          <w:u w:val="single"/>
        </w:rPr>
        <w:t>RECOMMENDATION</w:t>
      </w:r>
      <w:r w:rsidRPr="00484AE2">
        <w:rPr>
          <w:color w:val="000000" w:themeColor="text1"/>
          <w:szCs w:val="24"/>
        </w:rPr>
        <w:t>:</w:t>
      </w:r>
      <w:r w:rsidR="000A441B" w:rsidRPr="00484AE2">
        <w:rPr>
          <w:color w:val="000000" w:themeColor="text1"/>
          <w:szCs w:val="24"/>
        </w:rPr>
        <w:t xml:space="preserve"> The Board, therefore, recommends that there be no recharacterization of the CI’s disability and separation determination, as follows:</w:t>
      </w:r>
    </w:p>
    <w:p w:rsidR="00BA6A9C" w:rsidRPr="00484AE2" w:rsidRDefault="00BA6A9C" w:rsidP="00484AE2">
      <w:pPr>
        <w:tabs>
          <w:tab w:val="left" w:pos="288"/>
          <w:tab w:val="left" w:pos="4752"/>
        </w:tabs>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484AE2" w:rsidTr="0080588E">
        <w:trPr>
          <w:trHeight w:val="233"/>
          <w:jc w:val="center"/>
        </w:trPr>
        <w:tc>
          <w:tcPr>
            <w:tcW w:w="6282" w:type="dxa"/>
            <w:shd w:val="clear" w:color="auto" w:fill="D9D9D9"/>
            <w:vAlign w:val="center"/>
          </w:tcPr>
          <w:p w:rsidR="00A95BBA" w:rsidRPr="00484AE2" w:rsidRDefault="00A95BBA" w:rsidP="00BF0E94">
            <w:pPr>
              <w:tabs>
                <w:tab w:val="left" w:pos="288"/>
                <w:tab w:val="left" w:pos="4752"/>
              </w:tabs>
              <w:rPr>
                <w:b/>
                <w:color w:val="000000" w:themeColor="text1"/>
                <w:szCs w:val="24"/>
              </w:rPr>
            </w:pPr>
            <w:r w:rsidRPr="00484AE2">
              <w:rPr>
                <w:b/>
                <w:color w:val="000000" w:themeColor="text1"/>
                <w:szCs w:val="24"/>
              </w:rPr>
              <w:t>UNFITTING CONDITION</w:t>
            </w:r>
          </w:p>
        </w:tc>
        <w:tc>
          <w:tcPr>
            <w:tcW w:w="1710" w:type="dxa"/>
            <w:shd w:val="clear" w:color="auto" w:fill="D9D9D9"/>
            <w:vAlign w:val="center"/>
          </w:tcPr>
          <w:p w:rsidR="00A95BBA" w:rsidRPr="00484AE2" w:rsidRDefault="00A95BBA" w:rsidP="00BF0E94">
            <w:pPr>
              <w:tabs>
                <w:tab w:val="left" w:pos="288"/>
                <w:tab w:val="left" w:pos="4752"/>
              </w:tabs>
              <w:rPr>
                <w:b/>
                <w:color w:val="000000" w:themeColor="text1"/>
                <w:szCs w:val="24"/>
              </w:rPr>
            </w:pPr>
            <w:r w:rsidRPr="00484AE2">
              <w:rPr>
                <w:b/>
                <w:color w:val="000000" w:themeColor="text1"/>
                <w:szCs w:val="24"/>
              </w:rPr>
              <w:t>VASRD CODE</w:t>
            </w:r>
          </w:p>
        </w:tc>
        <w:tc>
          <w:tcPr>
            <w:tcW w:w="1170" w:type="dxa"/>
            <w:shd w:val="clear" w:color="auto" w:fill="D9D9D9"/>
            <w:vAlign w:val="center"/>
          </w:tcPr>
          <w:p w:rsidR="00A95BBA" w:rsidRPr="00484AE2" w:rsidRDefault="00A95BBA" w:rsidP="00BF0E94">
            <w:pPr>
              <w:tabs>
                <w:tab w:val="left" w:pos="288"/>
                <w:tab w:val="left" w:pos="4752"/>
              </w:tabs>
              <w:rPr>
                <w:b/>
                <w:color w:val="000000" w:themeColor="text1"/>
                <w:szCs w:val="24"/>
              </w:rPr>
            </w:pPr>
            <w:r w:rsidRPr="00484AE2">
              <w:rPr>
                <w:b/>
                <w:color w:val="000000" w:themeColor="text1"/>
                <w:szCs w:val="24"/>
              </w:rPr>
              <w:t>RATING</w:t>
            </w:r>
          </w:p>
        </w:tc>
      </w:tr>
      <w:tr w:rsidR="00A95BBA" w:rsidRPr="00484AE2" w:rsidTr="0080588E">
        <w:trPr>
          <w:jc w:val="center"/>
        </w:trPr>
        <w:tc>
          <w:tcPr>
            <w:tcW w:w="6282" w:type="dxa"/>
            <w:vAlign w:val="center"/>
          </w:tcPr>
          <w:p w:rsidR="00A95BBA" w:rsidRPr="00484AE2" w:rsidRDefault="00DA554C" w:rsidP="00BF0E94">
            <w:pPr>
              <w:tabs>
                <w:tab w:val="left" w:pos="288"/>
                <w:tab w:val="left" w:pos="4752"/>
              </w:tabs>
              <w:jc w:val="left"/>
              <w:rPr>
                <w:color w:val="000000" w:themeColor="text1"/>
                <w:szCs w:val="24"/>
              </w:rPr>
            </w:pPr>
            <w:r w:rsidRPr="00484AE2">
              <w:rPr>
                <w:rFonts w:eastAsia="Calibri"/>
                <w:color w:val="auto"/>
                <w:szCs w:val="18"/>
              </w:rPr>
              <w:t>Left Ankle Moderate Osteoarthritis</w:t>
            </w:r>
          </w:p>
        </w:tc>
        <w:tc>
          <w:tcPr>
            <w:tcW w:w="1710" w:type="dxa"/>
            <w:vAlign w:val="center"/>
          </w:tcPr>
          <w:p w:rsidR="00A95BBA" w:rsidRPr="00484AE2" w:rsidRDefault="00DA554C" w:rsidP="00BF0E94">
            <w:pPr>
              <w:tabs>
                <w:tab w:val="left" w:pos="288"/>
                <w:tab w:val="left" w:pos="4752"/>
              </w:tabs>
              <w:rPr>
                <w:color w:val="000000" w:themeColor="text1"/>
                <w:szCs w:val="24"/>
              </w:rPr>
            </w:pPr>
            <w:r w:rsidRPr="00484AE2">
              <w:rPr>
                <w:color w:val="000000" w:themeColor="text1"/>
                <w:szCs w:val="24"/>
              </w:rPr>
              <w:t>5299-5003</w:t>
            </w:r>
          </w:p>
        </w:tc>
        <w:tc>
          <w:tcPr>
            <w:tcW w:w="1170" w:type="dxa"/>
            <w:vAlign w:val="center"/>
          </w:tcPr>
          <w:p w:rsidR="00A95BBA" w:rsidRPr="00484AE2" w:rsidRDefault="00DA554C" w:rsidP="00BF0E94">
            <w:pPr>
              <w:tabs>
                <w:tab w:val="left" w:pos="288"/>
                <w:tab w:val="left" w:pos="4752"/>
              </w:tabs>
              <w:rPr>
                <w:color w:val="000000" w:themeColor="text1"/>
                <w:szCs w:val="24"/>
              </w:rPr>
            </w:pPr>
            <w:r w:rsidRPr="00484AE2">
              <w:rPr>
                <w:color w:val="000000" w:themeColor="text1"/>
                <w:szCs w:val="24"/>
              </w:rPr>
              <w:t>1</w:t>
            </w:r>
            <w:r w:rsidR="00A95BBA" w:rsidRPr="00484AE2">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484AE2" w:rsidRDefault="00A95BBA" w:rsidP="00BF0E94">
            <w:pPr>
              <w:tabs>
                <w:tab w:val="left" w:pos="288"/>
                <w:tab w:val="left" w:pos="4752"/>
              </w:tabs>
              <w:rPr>
                <w:b/>
                <w:color w:val="000000" w:themeColor="text1"/>
                <w:szCs w:val="24"/>
              </w:rPr>
            </w:pPr>
            <w:r w:rsidRPr="00484AE2">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DA554C" w:rsidP="00BF0E94">
            <w:pPr>
              <w:tabs>
                <w:tab w:val="left" w:pos="288"/>
                <w:tab w:val="left" w:pos="4752"/>
              </w:tabs>
              <w:rPr>
                <w:b/>
                <w:color w:val="000000" w:themeColor="text1"/>
                <w:szCs w:val="24"/>
              </w:rPr>
            </w:pPr>
            <w:r w:rsidRPr="00484AE2">
              <w:rPr>
                <w:b/>
                <w:color w:val="000000" w:themeColor="text1"/>
                <w:szCs w:val="24"/>
              </w:rPr>
              <w:t>1</w:t>
            </w:r>
            <w:r w:rsidR="00A95BBA" w:rsidRPr="00484AE2">
              <w:rPr>
                <w:b/>
                <w:color w:val="000000" w:themeColor="text1"/>
                <w:szCs w:val="24"/>
              </w:rPr>
              <w:t>0%</w:t>
            </w:r>
          </w:p>
        </w:tc>
      </w:tr>
    </w:tbl>
    <w:p w:rsidR="00484AE2" w:rsidRPr="001F29F9" w:rsidRDefault="00484AE2"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484AE2">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484AE2">
      <w:pPr>
        <w:tabs>
          <w:tab w:val="left" w:pos="288"/>
          <w:tab w:val="left" w:pos="4752"/>
        </w:tabs>
        <w:jc w:val="both"/>
        <w:rPr>
          <w:color w:val="000000" w:themeColor="text1"/>
        </w:rPr>
      </w:pPr>
    </w:p>
    <w:p w:rsidR="00114F20" w:rsidRPr="001F29F9" w:rsidRDefault="00FB1725" w:rsidP="00484AE2">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A554C">
        <w:rPr>
          <w:color w:val="000000" w:themeColor="text1"/>
          <w:szCs w:val="24"/>
        </w:rPr>
        <w:t>10822</w:t>
      </w:r>
      <w:r w:rsidR="00F02247">
        <w:rPr>
          <w:color w:val="000000" w:themeColor="text1"/>
        </w:rPr>
        <w:t>, w/</w:t>
      </w:r>
      <w:proofErr w:type="spellStart"/>
      <w:r w:rsidR="00F02247">
        <w:rPr>
          <w:color w:val="000000" w:themeColor="text1"/>
        </w:rPr>
        <w:t>atchs</w:t>
      </w:r>
      <w:proofErr w:type="spellEnd"/>
    </w:p>
    <w:p w:rsidR="00114F20" w:rsidRPr="001F29F9" w:rsidRDefault="00FB1725" w:rsidP="00484AE2">
      <w:pPr>
        <w:tabs>
          <w:tab w:val="left" w:pos="288"/>
          <w:tab w:val="left" w:pos="4752"/>
        </w:tabs>
        <w:jc w:val="both"/>
        <w:rPr>
          <w:color w:val="000000" w:themeColor="text1"/>
        </w:rPr>
      </w:pPr>
      <w:r w:rsidRPr="001F29F9">
        <w:rPr>
          <w:color w:val="000000" w:themeColor="text1"/>
        </w:rPr>
        <w:t>Exhib</w:t>
      </w:r>
      <w:r w:rsidR="00F02247">
        <w:rPr>
          <w:color w:val="000000" w:themeColor="text1"/>
        </w:rPr>
        <w:t>it B.  Service Treatment Record</w:t>
      </w:r>
    </w:p>
    <w:p w:rsidR="00114F20" w:rsidRPr="001F29F9" w:rsidRDefault="00FB1725" w:rsidP="00484AE2">
      <w:pPr>
        <w:tabs>
          <w:tab w:val="left" w:pos="288"/>
          <w:tab w:val="left" w:pos="4752"/>
        </w:tabs>
        <w:jc w:val="both"/>
        <w:rPr>
          <w:color w:val="000000" w:themeColor="text1"/>
        </w:rPr>
      </w:pPr>
      <w:r w:rsidRPr="001F29F9">
        <w:rPr>
          <w:color w:val="000000" w:themeColor="text1"/>
        </w:rPr>
        <w:t>Exhibit C.  Department of Ve</w:t>
      </w:r>
      <w:r w:rsidR="00F02247">
        <w:rPr>
          <w:color w:val="000000" w:themeColor="text1"/>
        </w:rPr>
        <w:t>terans Affairs Treatment Record</w:t>
      </w:r>
    </w:p>
    <w:p w:rsidR="00D91DA6" w:rsidRPr="001F29F9" w:rsidRDefault="00D91DA6" w:rsidP="00484AE2">
      <w:pPr>
        <w:tabs>
          <w:tab w:val="left" w:pos="288"/>
          <w:tab w:val="left" w:pos="4752"/>
        </w:tabs>
        <w:jc w:val="both"/>
        <w:rPr>
          <w:color w:val="000000" w:themeColor="text1"/>
        </w:rPr>
      </w:pPr>
    </w:p>
    <w:p w:rsidR="00114F20" w:rsidRPr="001F29F9" w:rsidRDefault="00114F20" w:rsidP="00484AE2">
      <w:pPr>
        <w:tabs>
          <w:tab w:val="left" w:pos="288"/>
          <w:tab w:val="left" w:pos="4752"/>
        </w:tabs>
        <w:jc w:val="both"/>
        <w:rPr>
          <w:color w:val="000000" w:themeColor="text1"/>
        </w:rPr>
      </w:pPr>
    </w:p>
    <w:p w:rsidR="002F195B" w:rsidRPr="001F29F9" w:rsidRDefault="00220FA9" w:rsidP="00484AE2">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484AE2">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5215D" w:rsidRDefault="0015215D">
      <w:pPr>
        <w:rPr>
          <w:color w:val="000000" w:themeColor="text1"/>
          <w:szCs w:val="24"/>
        </w:rPr>
      </w:pPr>
      <w:r>
        <w:rPr>
          <w:color w:val="000000" w:themeColor="text1"/>
          <w:szCs w:val="24"/>
        </w:rPr>
        <w:br w:type="page"/>
      </w: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lastRenderedPageBreak/>
        <w:t>MEMORANDUM FOR DIRECTOR, SECRETARY OF THE NAVY COUNCIL OF REVIEW</w:t>
      </w: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t xml:space="preserve">                                        BOARDS </w:t>
      </w:r>
    </w:p>
    <w:p w:rsidR="0015215D" w:rsidRPr="00166FEC" w:rsidRDefault="0015215D" w:rsidP="0015215D">
      <w:pPr>
        <w:tabs>
          <w:tab w:val="left" w:pos="0"/>
          <w:tab w:val="left" w:pos="4320"/>
        </w:tabs>
        <w:jc w:val="both"/>
        <w:rPr>
          <w:color w:val="000000" w:themeColor="text1"/>
          <w:szCs w:val="24"/>
        </w:rPr>
      </w:pPr>
    </w:p>
    <w:p w:rsidR="0015215D" w:rsidRPr="00166FEC" w:rsidRDefault="0015215D" w:rsidP="0015215D">
      <w:pPr>
        <w:tabs>
          <w:tab w:val="left" w:pos="0"/>
          <w:tab w:val="left" w:pos="4320"/>
        </w:tabs>
        <w:jc w:val="both"/>
        <w:rPr>
          <w:color w:val="000000" w:themeColor="text1"/>
          <w:szCs w:val="24"/>
        </w:rPr>
      </w:pPr>
      <w:proofErr w:type="spellStart"/>
      <w:r w:rsidRPr="00166FEC">
        <w:rPr>
          <w:color w:val="000000" w:themeColor="text1"/>
          <w:szCs w:val="24"/>
        </w:rPr>
        <w:t>Subj</w:t>
      </w:r>
      <w:proofErr w:type="spellEnd"/>
      <w:r w:rsidRPr="00166FEC">
        <w:rPr>
          <w:color w:val="000000" w:themeColor="text1"/>
          <w:szCs w:val="24"/>
        </w:rPr>
        <w:t>:  PHYSICAL DISABILITY BOARD OF REVIEW (PDBR) RECOMMENDATIONS</w:t>
      </w:r>
    </w:p>
    <w:p w:rsidR="0015215D" w:rsidRPr="00166FEC" w:rsidRDefault="0015215D" w:rsidP="0015215D">
      <w:pPr>
        <w:tabs>
          <w:tab w:val="left" w:pos="0"/>
          <w:tab w:val="left" w:pos="4320"/>
        </w:tabs>
        <w:jc w:val="both"/>
        <w:rPr>
          <w:color w:val="000000" w:themeColor="text1"/>
          <w:szCs w:val="24"/>
        </w:rPr>
      </w:pP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t xml:space="preserve">Ref:   (a) </w:t>
      </w:r>
      <w:proofErr w:type="spellStart"/>
      <w:r w:rsidRPr="00166FEC">
        <w:rPr>
          <w:color w:val="000000" w:themeColor="text1"/>
          <w:szCs w:val="24"/>
        </w:rPr>
        <w:t>DoDI</w:t>
      </w:r>
      <w:proofErr w:type="spellEnd"/>
      <w:r w:rsidRPr="00166FEC">
        <w:rPr>
          <w:color w:val="000000" w:themeColor="text1"/>
          <w:szCs w:val="24"/>
        </w:rPr>
        <w:t xml:space="preserve"> 6040.44</w:t>
      </w: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t xml:space="preserve">          (b) CORB </w:t>
      </w:r>
      <w:proofErr w:type="spellStart"/>
      <w:r w:rsidRPr="00166FEC">
        <w:rPr>
          <w:color w:val="000000" w:themeColor="text1"/>
          <w:szCs w:val="24"/>
        </w:rPr>
        <w:t>ltr</w:t>
      </w:r>
      <w:proofErr w:type="spellEnd"/>
      <w:r w:rsidRPr="00166FEC">
        <w:rPr>
          <w:color w:val="000000" w:themeColor="text1"/>
          <w:szCs w:val="24"/>
        </w:rPr>
        <w:t xml:space="preserve"> </w:t>
      </w:r>
      <w:proofErr w:type="spellStart"/>
      <w:r w:rsidRPr="00166FEC">
        <w:rPr>
          <w:color w:val="000000" w:themeColor="text1"/>
          <w:szCs w:val="24"/>
        </w:rPr>
        <w:t>dtd</w:t>
      </w:r>
      <w:proofErr w:type="spellEnd"/>
      <w:r w:rsidRPr="00166FEC">
        <w:rPr>
          <w:color w:val="000000" w:themeColor="text1"/>
          <w:szCs w:val="24"/>
        </w:rPr>
        <w:t xml:space="preserve"> 23 Apr 12</w:t>
      </w:r>
    </w:p>
    <w:p w:rsidR="0015215D" w:rsidRPr="00166FEC" w:rsidRDefault="0015215D" w:rsidP="0015215D">
      <w:pPr>
        <w:tabs>
          <w:tab w:val="left" w:pos="0"/>
          <w:tab w:val="left" w:pos="4320"/>
        </w:tabs>
        <w:jc w:val="both"/>
        <w:rPr>
          <w:color w:val="000000" w:themeColor="text1"/>
          <w:szCs w:val="24"/>
        </w:rPr>
      </w:pP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15215D" w:rsidRPr="00166FEC" w:rsidRDefault="0015215D" w:rsidP="0015215D">
      <w:pPr>
        <w:tabs>
          <w:tab w:val="left" w:pos="0"/>
          <w:tab w:val="left" w:pos="4320"/>
        </w:tabs>
        <w:jc w:val="both"/>
        <w:rPr>
          <w:color w:val="000000" w:themeColor="text1"/>
          <w:szCs w:val="24"/>
        </w:rPr>
      </w:pPr>
    </w:p>
    <w:p w:rsidR="0015215D" w:rsidRPr="00166FEC" w:rsidRDefault="0015215D" w:rsidP="0015215D">
      <w:pPr>
        <w:tabs>
          <w:tab w:val="left" w:pos="0"/>
          <w:tab w:val="left" w:pos="4320"/>
        </w:tabs>
        <w:jc w:val="both"/>
        <w:rPr>
          <w:color w:val="000000" w:themeColor="text1"/>
          <w:szCs w:val="24"/>
        </w:rPr>
      </w:pPr>
    </w:p>
    <w:p w:rsidR="0015215D" w:rsidRPr="00166FEC" w:rsidRDefault="0015215D" w:rsidP="0015215D">
      <w:pPr>
        <w:tabs>
          <w:tab w:val="left" w:pos="0"/>
          <w:tab w:val="left" w:pos="4320"/>
        </w:tabs>
        <w:jc w:val="both"/>
        <w:rPr>
          <w:color w:val="000000" w:themeColor="text1"/>
          <w:szCs w:val="24"/>
        </w:rPr>
      </w:pPr>
    </w:p>
    <w:p w:rsidR="0015215D" w:rsidRDefault="0015215D" w:rsidP="0015215D">
      <w:pPr>
        <w:tabs>
          <w:tab w:val="left" w:pos="0"/>
          <w:tab w:val="left" w:pos="4320"/>
        </w:tabs>
        <w:jc w:val="both"/>
        <w:rPr>
          <w:color w:val="000000" w:themeColor="text1"/>
          <w:szCs w:val="24"/>
        </w:rPr>
      </w:pPr>
    </w:p>
    <w:p w:rsidR="0015215D" w:rsidRDefault="0015215D" w:rsidP="0015215D">
      <w:pPr>
        <w:tabs>
          <w:tab w:val="left" w:pos="0"/>
          <w:tab w:val="left" w:pos="4320"/>
        </w:tabs>
        <w:jc w:val="both"/>
        <w:rPr>
          <w:color w:val="000000" w:themeColor="text1"/>
          <w:szCs w:val="24"/>
        </w:rPr>
      </w:pPr>
    </w:p>
    <w:p w:rsidR="0015215D" w:rsidRDefault="0015215D" w:rsidP="0015215D">
      <w:pPr>
        <w:tabs>
          <w:tab w:val="left" w:pos="0"/>
          <w:tab w:val="left" w:pos="4320"/>
        </w:tabs>
        <w:jc w:val="both"/>
        <w:rPr>
          <w:color w:val="000000" w:themeColor="text1"/>
          <w:szCs w:val="24"/>
        </w:rPr>
      </w:pP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t>Assistant General Counsel</w:t>
      </w:r>
    </w:p>
    <w:p w:rsidR="0015215D" w:rsidRPr="00166FEC" w:rsidRDefault="0015215D" w:rsidP="0015215D">
      <w:pPr>
        <w:tabs>
          <w:tab w:val="left" w:pos="0"/>
          <w:tab w:val="left" w:pos="4320"/>
        </w:tabs>
        <w:jc w:val="both"/>
        <w:rPr>
          <w:color w:val="000000" w:themeColor="text1"/>
          <w:szCs w:val="24"/>
        </w:rPr>
      </w:pPr>
      <w:r w:rsidRPr="00166FEC">
        <w:rPr>
          <w:color w:val="000000" w:themeColor="text1"/>
          <w:szCs w:val="24"/>
        </w:rPr>
        <w:t xml:space="preserve">  (Manpower &amp; Reserve Affairs)</w:t>
      </w:r>
    </w:p>
    <w:p w:rsidR="0015215D" w:rsidRPr="001F29F9" w:rsidRDefault="0015215D" w:rsidP="00484AE2">
      <w:pPr>
        <w:tabs>
          <w:tab w:val="left" w:pos="0"/>
          <w:tab w:val="left" w:pos="4320"/>
        </w:tabs>
        <w:jc w:val="both"/>
        <w:rPr>
          <w:color w:val="000000" w:themeColor="text1"/>
          <w:szCs w:val="24"/>
        </w:rPr>
      </w:pPr>
    </w:p>
    <w:p w:rsidR="008E3C90" w:rsidRPr="00484AE2" w:rsidRDefault="008E3C90" w:rsidP="00484AE2">
      <w:pPr>
        <w:jc w:val="both"/>
        <w:rPr>
          <w:rFonts w:asciiTheme="minorHAnsi" w:hAnsiTheme="minorHAnsi"/>
          <w:color w:val="auto"/>
          <w:sz w:val="18"/>
          <w:szCs w:val="18"/>
          <w:u w:val="single"/>
        </w:rPr>
      </w:pPr>
    </w:p>
    <w:sectPr w:rsidR="008E3C90" w:rsidRPr="00484AE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2B" w:rsidRDefault="00E9312B">
      <w:r>
        <w:separator/>
      </w:r>
    </w:p>
  </w:endnote>
  <w:endnote w:type="continuationSeparator" w:id="0">
    <w:p w:rsidR="00E9312B" w:rsidRDefault="00E93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26ED4" w:rsidRPr="00374247" w:rsidRDefault="00126ED4" w:rsidP="00374247">
        <w:pPr>
          <w:pStyle w:val="Footer"/>
          <w:ind w:firstLine="4320"/>
          <w:rPr>
            <w:color w:val="auto"/>
            <w:szCs w:val="24"/>
          </w:rPr>
        </w:pPr>
        <w:r w:rsidRPr="00374247">
          <w:rPr>
            <w:color w:val="auto"/>
            <w:szCs w:val="24"/>
          </w:rPr>
          <w:t xml:space="preserve">   </w:t>
        </w:r>
        <w:r w:rsidR="007C4FBC" w:rsidRPr="00F22BA5">
          <w:rPr>
            <w:color w:val="auto"/>
            <w:szCs w:val="24"/>
          </w:rPr>
          <w:fldChar w:fldCharType="begin"/>
        </w:r>
        <w:r w:rsidRPr="00F22BA5">
          <w:rPr>
            <w:color w:val="auto"/>
            <w:szCs w:val="24"/>
          </w:rPr>
          <w:instrText xml:space="preserve"> PAGE   \* MERGEFORMAT </w:instrText>
        </w:r>
        <w:r w:rsidR="007C4FBC" w:rsidRPr="00F22BA5">
          <w:rPr>
            <w:color w:val="auto"/>
            <w:szCs w:val="24"/>
          </w:rPr>
          <w:fldChar w:fldCharType="separate"/>
        </w:r>
        <w:r w:rsidR="0015215D" w:rsidRPr="0015215D">
          <w:rPr>
            <w:noProof/>
            <w:color w:val="auto"/>
          </w:rPr>
          <w:t>4</w:t>
        </w:r>
        <w:r w:rsidR="007C4FBC" w:rsidRPr="00F22BA5">
          <w:rPr>
            <w:color w:val="auto"/>
            <w:szCs w:val="24"/>
          </w:rPr>
          <w:fldChar w:fldCharType="end"/>
        </w:r>
        <w:r w:rsidRPr="00F22BA5">
          <w:rPr>
            <w:color w:val="auto"/>
            <w:szCs w:val="24"/>
          </w:rPr>
          <w:t xml:space="preserve">                                                           PD1100</w:t>
        </w:r>
        <w:r w:rsidR="000C1E37">
          <w:rPr>
            <w:color w:val="auto"/>
            <w:szCs w:val="24"/>
          </w:rPr>
          <w:t>678</w:t>
        </w:r>
      </w:p>
    </w:sdtContent>
  </w:sdt>
  <w:p w:rsidR="00126ED4" w:rsidRPr="00684CE6" w:rsidRDefault="00126ED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2B" w:rsidRDefault="00E9312B">
      <w:r>
        <w:separator/>
      </w:r>
    </w:p>
  </w:footnote>
  <w:footnote w:type="continuationSeparator" w:id="0">
    <w:p w:rsidR="00E9312B" w:rsidRDefault="00E93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0E"/>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41B"/>
    <w:rsid w:val="000A4BBA"/>
    <w:rsid w:val="000A5071"/>
    <w:rsid w:val="000B0AD2"/>
    <w:rsid w:val="000B1022"/>
    <w:rsid w:val="000B2FB8"/>
    <w:rsid w:val="000B471C"/>
    <w:rsid w:val="000B4C99"/>
    <w:rsid w:val="000C06F6"/>
    <w:rsid w:val="000C110F"/>
    <w:rsid w:val="000C15F8"/>
    <w:rsid w:val="000C1D34"/>
    <w:rsid w:val="000C1E37"/>
    <w:rsid w:val="000C2362"/>
    <w:rsid w:val="000C2FA8"/>
    <w:rsid w:val="000C38CE"/>
    <w:rsid w:val="000C3C13"/>
    <w:rsid w:val="000C4D5F"/>
    <w:rsid w:val="000C53F9"/>
    <w:rsid w:val="000C5813"/>
    <w:rsid w:val="000C714C"/>
    <w:rsid w:val="000C7161"/>
    <w:rsid w:val="000C75CF"/>
    <w:rsid w:val="000C7B83"/>
    <w:rsid w:val="000C7DE4"/>
    <w:rsid w:val="000D0A0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6E49"/>
    <w:rsid w:val="0011737D"/>
    <w:rsid w:val="001211AF"/>
    <w:rsid w:val="001215DF"/>
    <w:rsid w:val="001219DF"/>
    <w:rsid w:val="0012220B"/>
    <w:rsid w:val="00122ABE"/>
    <w:rsid w:val="001231DC"/>
    <w:rsid w:val="0012453A"/>
    <w:rsid w:val="0012489B"/>
    <w:rsid w:val="00126ED4"/>
    <w:rsid w:val="001272AE"/>
    <w:rsid w:val="00130756"/>
    <w:rsid w:val="001315DD"/>
    <w:rsid w:val="00134008"/>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215D"/>
    <w:rsid w:val="00153740"/>
    <w:rsid w:val="001537D8"/>
    <w:rsid w:val="00153D88"/>
    <w:rsid w:val="001541C5"/>
    <w:rsid w:val="0015623F"/>
    <w:rsid w:val="00156585"/>
    <w:rsid w:val="00156BA9"/>
    <w:rsid w:val="00161642"/>
    <w:rsid w:val="00161761"/>
    <w:rsid w:val="0016211C"/>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3B1"/>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11F"/>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47138"/>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8D"/>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32F"/>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45C"/>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2E94"/>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D6A"/>
    <w:rsid w:val="003C247E"/>
    <w:rsid w:val="003C294B"/>
    <w:rsid w:val="003C31AA"/>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0A9"/>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74E"/>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39"/>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AE2"/>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D7D99"/>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23DF"/>
    <w:rsid w:val="005738F5"/>
    <w:rsid w:val="00573D34"/>
    <w:rsid w:val="00574A1B"/>
    <w:rsid w:val="00575963"/>
    <w:rsid w:val="00575EBE"/>
    <w:rsid w:val="0058039C"/>
    <w:rsid w:val="00580A63"/>
    <w:rsid w:val="00583379"/>
    <w:rsid w:val="0058417C"/>
    <w:rsid w:val="005854F9"/>
    <w:rsid w:val="00586EC6"/>
    <w:rsid w:val="00587DDE"/>
    <w:rsid w:val="00592C52"/>
    <w:rsid w:val="00593043"/>
    <w:rsid w:val="00595B60"/>
    <w:rsid w:val="00595B63"/>
    <w:rsid w:val="00595BF0"/>
    <w:rsid w:val="00597E16"/>
    <w:rsid w:val="005A0B1D"/>
    <w:rsid w:val="005A1846"/>
    <w:rsid w:val="005A258C"/>
    <w:rsid w:val="005A3560"/>
    <w:rsid w:val="005A464E"/>
    <w:rsid w:val="005A62FC"/>
    <w:rsid w:val="005A6649"/>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38"/>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3CB"/>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464B7"/>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940"/>
    <w:rsid w:val="006D5CE2"/>
    <w:rsid w:val="006D7854"/>
    <w:rsid w:val="006E06D1"/>
    <w:rsid w:val="006E110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59"/>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6C87"/>
    <w:rsid w:val="00771043"/>
    <w:rsid w:val="0077272B"/>
    <w:rsid w:val="00773AF7"/>
    <w:rsid w:val="00774FFD"/>
    <w:rsid w:val="00775AEF"/>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4FBC"/>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7B4"/>
    <w:rsid w:val="007F30E4"/>
    <w:rsid w:val="007F4909"/>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17A69"/>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1D14"/>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EAC"/>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9AD"/>
    <w:rsid w:val="00A439CE"/>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3D3"/>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AD7"/>
    <w:rsid w:val="00AC0C1C"/>
    <w:rsid w:val="00AC1305"/>
    <w:rsid w:val="00AC37BE"/>
    <w:rsid w:val="00AC439D"/>
    <w:rsid w:val="00AC62CC"/>
    <w:rsid w:val="00AC63EE"/>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CCD"/>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6021"/>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E40"/>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0C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065"/>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5B64"/>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A56"/>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4C"/>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996"/>
    <w:rsid w:val="00DD2CAF"/>
    <w:rsid w:val="00DD3593"/>
    <w:rsid w:val="00DD64E0"/>
    <w:rsid w:val="00DD775C"/>
    <w:rsid w:val="00DD7BE0"/>
    <w:rsid w:val="00DE0C67"/>
    <w:rsid w:val="00DE3AAD"/>
    <w:rsid w:val="00DE598A"/>
    <w:rsid w:val="00DE63EE"/>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5CA"/>
    <w:rsid w:val="00E809C3"/>
    <w:rsid w:val="00E814D4"/>
    <w:rsid w:val="00E81A1A"/>
    <w:rsid w:val="00E81C3E"/>
    <w:rsid w:val="00E82344"/>
    <w:rsid w:val="00E82359"/>
    <w:rsid w:val="00E82B6D"/>
    <w:rsid w:val="00E83187"/>
    <w:rsid w:val="00E831E9"/>
    <w:rsid w:val="00E84DDA"/>
    <w:rsid w:val="00E8608F"/>
    <w:rsid w:val="00E86C1D"/>
    <w:rsid w:val="00E90703"/>
    <w:rsid w:val="00E90A62"/>
    <w:rsid w:val="00E9265E"/>
    <w:rsid w:val="00E9312B"/>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6F"/>
    <w:rsid w:val="00EF2E75"/>
    <w:rsid w:val="00EF4034"/>
    <w:rsid w:val="00EF4C74"/>
    <w:rsid w:val="00EF5268"/>
    <w:rsid w:val="00EF608E"/>
    <w:rsid w:val="00EF6C4A"/>
    <w:rsid w:val="00F0044B"/>
    <w:rsid w:val="00F00E60"/>
    <w:rsid w:val="00F02247"/>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021"/>
    <w:rsid w:val="00F171F9"/>
    <w:rsid w:val="00F1737C"/>
    <w:rsid w:val="00F173AA"/>
    <w:rsid w:val="00F22A26"/>
    <w:rsid w:val="00F22A52"/>
    <w:rsid w:val="00F22BA5"/>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6C27"/>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7BA8"/>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744"/>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0CB"/>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965EAC"/>
    <w:pPr>
      <w:spacing w:before="100" w:beforeAutospacing="1" w:after="100" w:afterAutospacing="1" w:line="240" w:lineRule="auto"/>
      <w:jc w:val="left"/>
    </w:pPr>
    <w:rPr>
      <w:rFonts w:ascii="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31000807">
      <w:bodyDiv w:val="1"/>
      <w:marLeft w:val="0"/>
      <w:marRight w:val="0"/>
      <w:marTop w:val="0"/>
      <w:marBottom w:val="0"/>
      <w:divBdr>
        <w:top w:val="none" w:sz="0" w:space="0" w:color="auto"/>
        <w:left w:val="none" w:sz="0" w:space="0" w:color="auto"/>
        <w:bottom w:val="none" w:sz="0" w:space="0" w:color="auto"/>
        <w:right w:val="none" w:sz="0" w:space="0" w:color="auto"/>
      </w:divBdr>
      <w:divsChild>
        <w:div w:id="2000112051">
          <w:marLeft w:val="0"/>
          <w:marRight w:val="0"/>
          <w:marTop w:val="0"/>
          <w:marBottom w:val="0"/>
          <w:divBdr>
            <w:top w:val="none" w:sz="0" w:space="0" w:color="auto"/>
            <w:left w:val="none" w:sz="0" w:space="0" w:color="auto"/>
            <w:bottom w:val="none" w:sz="0" w:space="0" w:color="auto"/>
            <w:right w:val="none" w:sz="0" w:space="0" w:color="auto"/>
          </w:divBdr>
          <w:divsChild>
            <w:div w:id="202252900">
              <w:marLeft w:val="0"/>
              <w:marRight w:val="0"/>
              <w:marTop w:val="0"/>
              <w:marBottom w:val="0"/>
              <w:divBdr>
                <w:top w:val="none" w:sz="0" w:space="0" w:color="auto"/>
                <w:left w:val="none" w:sz="0" w:space="0" w:color="auto"/>
                <w:bottom w:val="none" w:sz="0" w:space="0" w:color="auto"/>
                <w:right w:val="none" w:sz="0" w:space="0" w:color="auto"/>
              </w:divBdr>
              <w:divsChild>
                <w:div w:id="2024478168">
                  <w:marLeft w:val="0"/>
                  <w:marRight w:val="0"/>
                  <w:marTop w:val="0"/>
                  <w:marBottom w:val="0"/>
                  <w:divBdr>
                    <w:top w:val="none" w:sz="0" w:space="0" w:color="auto"/>
                    <w:left w:val="none" w:sz="0" w:space="0" w:color="auto"/>
                    <w:bottom w:val="none" w:sz="0" w:space="0" w:color="auto"/>
                    <w:right w:val="none" w:sz="0" w:space="0" w:color="auto"/>
                  </w:divBdr>
                  <w:divsChild>
                    <w:div w:id="1043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F025-A49F-4265-A055-6961394A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2012-04-09T13:29:00Z</cp:lastPrinted>
  <dcterms:created xsi:type="dcterms:W3CDTF">2012-04-05T13:28:00Z</dcterms:created>
  <dcterms:modified xsi:type="dcterms:W3CDTF">2012-05-04T17:01:00Z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-385992238</vt:i4>
  </property>
</Properties>
</file>