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C47F7F" w:rsidRDefault="00F629C0" w:rsidP="000A670B">
      <w:pPr>
        <w:tabs>
          <w:tab w:val="left" w:pos="288"/>
          <w:tab w:val="left" w:pos="6120"/>
          <w:tab w:val="left" w:pos="9270"/>
        </w:tabs>
        <w:jc w:val="both"/>
        <w:rPr>
          <w:caps/>
          <w:color w:val="000000" w:themeColor="text1"/>
        </w:rPr>
      </w:pPr>
      <w:r w:rsidRPr="00C47F7F">
        <w:rPr>
          <w:caps/>
          <w:color w:val="000000" w:themeColor="text1"/>
        </w:rPr>
        <w:t xml:space="preserve">NAME:  </w:t>
      </w:r>
      <w:r w:rsidR="00201296">
        <w:rPr>
          <w:caps/>
          <w:color w:val="000000" w:themeColor="text1"/>
        </w:rPr>
        <w:t>XXXXXXXXXX</w:t>
      </w:r>
      <w:r w:rsidR="00F1766A" w:rsidRPr="00C47F7F">
        <w:rPr>
          <w:caps/>
          <w:color w:val="000000" w:themeColor="text1"/>
        </w:rPr>
        <w:tab/>
      </w:r>
      <w:r w:rsidRPr="00C47F7F">
        <w:rPr>
          <w:caps/>
          <w:color w:val="000000" w:themeColor="text1"/>
        </w:rPr>
        <w:t xml:space="preserve">BRANCH OF SERVICE: </w:t>
      </w:r>
      <w:r w:rsidR="004C24C5" w:rsidRPr="00C47F7F">
        <w:rPr>
          <w:caps/>
          <w:color w:val="000000" w:themeColor="text1"/>
        </w:rPr>
        <w:t xml:space="preserve"> </w:t>
      </w:r>
      <w:r w:rsidR="000A670B" w:rsidRPr="00C47F7F">
        <w:rPr>
          <w:caps/>
          <w:color w:val="000000" w:themeColor="text1"/>
        </w:rPr>
        <w:t>air force</w:t>
      </w:r>
    </w:p>
    <w:p w:rsidR="00DE3AAD" w:rsidRPr="001F29F9" w:rsidRDefault="00012733" w:rsidP="000A670B">
      <w:pPr>
        <w:tabs>
          <w:tab w:val="left" w:pos="288"/>
          <w:tab w:val="left" w:pos="6120"/>
          <w:tab w:val="left" w:pos="9270"/>
        </w:tabs>
        <w:jc w:val="both"/>
        <w:rPr>
          <w:caps/>
          <w:color w:val="000000" w:themeColor="text1"/>
        </w:rPr>
      </w:pPr>
      <w:r w:rsidRPr="00C47F7F">
        <w:rPr>
          <w:caps/>
          <w:color w:val="000000" w:themeColor="text1"/>
        </w:rPr>
        <w:t>C</w:t>
      </w:r>
      <w:r w:rsidR="00DE3AAD" w:rsidRPr="00C47F7F">
        <w:rPr>
          <w:caps/>
          <w:color w:val="000000" w:themeColor="text1"/>
        </w:rPr>
        <w:t>ASE NUMBER:  PD</w:t>
      </w:r>
      <w:r w:rsidR="008F58E1" w:rsidRPr="00C47F7F">
        <w:rPr>
          <w:caps/>
          <w:color w:val="000000" w:themeColor="text1"/>
        </w:rPr>
        <w:t>11</w:t>
      </w:r>
      <w:r w:rsidR="00DE3AAD" w:rsidRPr="00C47F7F">
        <w:rPr>
          <w:caps/>
          <w:color w:val="000000" w:themeColor="text1"/>
        </w:rPr>
        <w:t>00</w:t>
      </w:r>
      <w:r w:rsidR="00C47F7F" w:rsidRPr="00C47F7F">
        <w:rPr>
          <w:caps/>
          <w:color w:val="000000" w:themeColor="text1"/>
        </w:rPr>
        <w:t>669</w:t>
      </w:r>
      <w:r w:rsidR="00F1766A" w:rsidRPr="00C47F7F">
        <w:rPr>
          <w:color w:val="000000" w:themeColor="text1"/>
        </w:rPr>
        <w:tab/>
      </w:r>
      <w:r w:rsidR="00DE3AAD" w:rsidRPr="00C47F7F">
        <w:rPr>
          <w:color w:val="000000" w:themeColor="text1"/>
        </w:rPr>
        <w:t>SEPARATION DATE:  2</w:t>
      </w:r>
      <w:r w:rsidR="000A670B" w:rsidRPr="00C47F7F">
        <w:rPr>
          <w:color w:val="000000" w:themeColor="text1"/>
        </w:rPr>
        <w:t>0090526</w:t>
      </w:r>
    </w:p>
    <w:p w:rsidR="003B2143" w:rsidRPr="001F29F9" w:rsidRDefault="004F3639" w:rsidP="00C47F7F">
      <w:pPr>
        <w:tabs>
          <w:tab w:val="left" w:pos="288"/>
          <w:tab w:val="left" w:pos="3600"/>
        </w:tabs>
        <w:jc w:val="both"/>
        <w:rPr>
          <w:color w:val="000000" w:themeColor="text1"/>
        </w:rPr>
      </w:pPr>
      <w:r w:rsidRPr="001F29F9">
        <w:rPr>
          <w:caps/>
          <w:color w:val="000000" w:themeColor="text1"/>
        </w:rPr>
        <w:t>BOARD DATE:  201</w:t>
      </w:r>
      <w:r w:rsidR="006344DE">
        <w:rPr>
          <w:caps/>
          <w:color w:val="000000" w:themeColor="text1"/>
        </w:rPr>
        <w:t>2</w:t>
      </w:r>
      <w:r w:rsidR="0014087C">
        <w:rPr>
          <w:caps/>
          <w:color w:val="000000" w:themeColor="text1"/>
        </w:rPr>
        <w:t>0405</w:t>
      </w:r>
      <w:r w:rsidR="00C47F7F">
        <w:rPr>
          <w:caps/>
          <w:color w:val="000000" w:themeColor="text1"/>
        </w:rPr>
        <w:tab/>
      </w:r>
      <w:r w:rsidR="003C53E8">
        <w:rPr>
          <w:rFonts w:cs="Times New Roman"/>
          <w:caps/>
          <w:color w:val="000000" w:themeColor="text1"/>
          <w:szCs w:val="24"/>
        </w:rPr>
        <w:tab/>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2C6E5B" w:rsidRPr="001F29F9"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C47F7F" w:rsidRPr="00C47F7F">
        <w:rPr>
          <w:color w:val="000000" w:themeColor="text1"/>
        </w:rPr>
        <w:t xml:space="preserve">Data extracted from the available evidence of record reflects that this covered individual (CI) was </w:t>
      </w:r>
      <w:r w:rsidR="001B5DC8">
        <w:rPr>
          <w:color w:val="000000" w:themeColor="text1"/>
        </w:rPr>
        <w:t>an active duty SSGT/E-5 (3E3X1, Structural Craftsman</w:t>
      </w:r>
      <w:r w:rsidR="00FD40DE">
        <w:rPr>
          <w:color w:val="000000" w:themeColor="text1"/>
        </w:rPr>
        <w:t>)</w:t>
      </w:r>
      <w:r w:rsidR="00C47F7F" w:rsidRPr="00C47F7F">
        <w:rPr>
          <w:color w:val="000000" w:themeColor="text1"/>
        </w:rPr>
        <w:t xml:space="preserve"> medically separated for </w:t>
      </w:r>
      <w:r w:rsidR="00FD40DE">
        <w:rPr>
          <w:color w:val="000000" w:themeColor="text1"/>
        </w:rPr>
        <w:t>a lumbar spine condition</w:t>
      </w:r>
      <w:r w:rsidR="00C47F7F" w:rsidRPr="00C47F7F">
        <w:rPr>
          <w:color w:val="000000" w:themeColor="text1"/>
        </w:rPr>
        <w:t xml:space="preserve">. </w:t>
      </w:r>
      <w:r w:rsidR="004A7B4E">
        <w:rPr>
          <w:color w:val="000000" w:themeColor="text1"/>
        </w:rPr>
        <w:t xml:space="preserve"> </w:t>
      </w:r>
      <w:r w:rsidR="00C47F7F" w:rsidRPr="00C47F7F">
        <w:rPr>
          <w:color w:val="000000" w:themeColor="text1"/>
        </w:rPr>
        <w:t xml:space="preserve">The CI had </w:t>
      </w:r>
      <w:r w:rsidR="0014087C">
        <w:rPr>
          <w:color w:val="000000" w:themeColor="text1"/>
        </w:rPr>
        <w:t xml:space="preserve">a </w:t>
      </w:r>
      <w:r w:rsidR="001B5DC8">
        <w:rPr>
          <w:color w:val="000000" w:themeColor="text1"/>
        </w:rPr>
        <w:t>gradual onset of back pain diagnosed as degenerative disc disease</w:t>
      </w:r>
      <w:r w:rsidR="0014087C">
        <w:rPr>
          <w:color w:val="000000" w:themeColor="text1"/>
        </w:rPr>
        <w:t>,</w:t>
      </w:r>
      <w:r w:rsidR="001B5DC8">
        <w:rPr>
          <w:color w:val="000000" w:themeColor="text1"/>
        </w:rPr>
        <w:t xml:space="preserve"> and underwent </w:t>
      </w:r>
      <w:r w:rsidR="00C47F7F" w:rsidRPr="00C47F7F">
        <w:rPr>
          <w:color w:val="000000" w:themeColor="text1"/>
        </w:rPr>
        <w:t>several surgical interventions with only minimal improvement</w:t>
      </w:r>
      <w:r w:rsidR="001B5DC8">
        <w:rPr>
          <w:color w:val="000000" w:themeColor="text1"/>
        </w:rPr>
        <w:t xml:space="preserve">.  </w:t>
      </w:r>
      <w:r w:rsidR="0014087C">
        <w:rPr>
          <w:color w:val="000000" w:themeColor="text1"/>
        </w:rPr>
        <w:t>The condition</w:t>
      </w:r>
      <w:r w:rsidR="00B21E88">
        <w:rPr>
          <w:color w:val="000000" w:themeColor="text1"/>
        </w:rPr>
        <w:t xml:space="preserve"> </w:t>
      </w:r>
      <w:r w:rsidR="00B21E88" w:rsidRPr="00F566B7">
        <w:rPr>
          <w:color w:val="000000"/>
        </w:rPr>
        <w:t xml:space="preserve">could not be adequately rehabilitated to meet the physical requirements of his </w:t>
      </w:r>
      <w:r w:rsidR="00B21E88" w:rsidRPr="00C47F7F">
        <w:rPr>
          <w:color w:val="000000" w:themeColor="text1"/>
        </w:rPr>
        <w:t xml:space="preserve">Air Force Specialty (AFS) </w:t>
      </w:r>
      <w:r w:rsidR="00B21E88" w:rsidRPr="00F566B7">
        <w:rPr>
          <w:color w:val="000000"/>
        </w:rPr>
        <w:t>or satis</w:t>
      </w:r>
      <w:r w:rsidR="0014087C">
        <w:rPr>
          <w:color w:val="000000"/>
        </w:rPr>
        <w:t>fy physical fitness standards.</w:t>
      </w:r>
      <w:r w:rsidR="00B21E88">
        <w:rPr>
          <w:color w:val="000000"/>
        </w:rPr>
        <w:t xml:space="preserve"> </w:t>
      </w:r>
      <w:r w:rsidR="0014087C">
        <w:rPr>
          <w:color w:val="000000"/>
        </w:rPr>
        <w:t xml:space="preserve"> He </w:t>
      </w:r>
      <w:r w:rsidR="00C47F7F" w:rsidRPr="00C47F7F">
        <w:rPr>
          <w:color w:val="000000" w:themeColor="text1"/>
        </w:rPr>
        <w:t>was issued a</w:t>
      </w:r>
      <w:r w:rsidR="00B21E88">
        <w:rPr>
          <w:color w:val="000000" w:themeColor="text1"/>
        </w:rPr>
        <w:t>n</w:t>
      </w:r>
      <w:r w:rsidR="00C47F7F" w:rsidRPr="00C47F7F">
        <w:rPr>
          <w:color w:val="000000" w:themeColor="text1"/>
        </w:rPr>
        <w:t xml:space="preserve"> L4 profile</w:t>
      </w:r>
      <w:r w:rsidR="0014087C">
        <w:rPr>
          <w:color w:val="000000" w:themeColor="text1"/>
        </w:rPr>
        <w:t xml:space="preserve"> and </w:t>
      </w:r>
      <w:r w:rsidR="00C47F7F" w:rsidRPr="00C47F7F">
        <w:rPr>
          <w:color w:val="000000" w:themeColor="text1"/>
        </w:rPr>
        <w:t>a Duty Limiting Co</w:t>
      </w:r>
      <w:r w:rsidR="00C47F7F">
        <w:rPr>
          <w:color w:val="000000" w:themeColor="text1"/>
        </w:rPr>
        <w:t>n</w:t>
      </w:r>
      <w:r w:rsidR="00C47F7F" w:rsidRPr="00C47F7F">
        <w:rPr>
          <w:color w:val="000000" w:themeColor="text1"/>
        </w:rPr>
        <w:t>dition Report with mobility restrictions</w:t>
      </w:r>
      <w:r w:rsidR="00B21E88">
        <w:rPr>
          <w:color w:val="000000" w:themeColor="text1"/>
        </w:rPr>
        <w:t>;</w:t>
      </w:r>
      <w:r w:rsidR="00C47F7F" w:rsidRPr="00C47F7F">
        <w:rPr>
          <w:color w:val="000000" w:themeColor="text1"/>
        </w:rPr>
        <w:t xml:space="preserve"> and</w:t>
      </w:r>
      <w:r w:rsidR="00B21E88">
        <w:rPr>
          <w:color w:val="000000" w:themeColor="text1"/>
        </w:rPr>
        <w:t>,</w:t>
      </w:r>
      <w:r w:rsidR="00C47F7F" w:rsidRPr="00C47F7F">
        <w:rPr>
          <w:color w:val="000000" w:themeColor="text1"/>
        </w:rPr>
        <w:t xml:space="preserve"> </w:t>
      </w:r>
      <w:r w:rsidR="00B21E88">
        <w:rPr>
          <w:color w:val="000000" w:themeColor="text1"/>
        </w:rPr>
        <w:t xml:space="preserve">was referred </w:t>
      </w:r>
      <w:r w:rsidR="003A6298">
        <w:rPr>
          <w:color w:val="000000" w:themeColor="text1"/>
        </w:rPr>
        <w:t xml:space="preserve">to </w:t>
      </w:r>
      <w:r w:rsidR="00C47F7F" w:rsidRPr="00C47F7F">
        <w:rPr>
          <w:color w:val="000000" w:themeColor="text1"/>
        </w:rPr>
        <w:t>a Medical Evaluation Board (MEB).  Lumbar radiculopathy was forwarded to the</w:t>
      </w:r>
      <w:r w:rsidR="004A7B4E">
        <w:rPr>
          <w:color w:val="000000" w:themeColor="text1"/>
        </w:rPr>
        <w:t xml:space="preserve"> Informal</w:t>
      </w:r>
      <w:r w:rsidR="00C47F7F" w:rsidRPr="00C47F7F">
        <w:rPr>
          <w:color w:val="000000" w:themeColor="text1"/>
        </w:rPr>
        <w:t xml:space="preserve"> Physical Evaluation Board (</w:t>
      </w:r>
      <w:r w:rsidR="004A7B4E">
        <w:rPr>
          <w:color w:val="000000" w:themeColor="text1"/>
        </w:rPr>
        <w:t>I</w:t>
      </w:r>
      <w:r w:rsidR="00C47F7F" w:rsidRPr="00C47F7F">
        <w:rPr>
          <w:color w:val="000000" w:themeColor="text1"/>
        </w:rPr>
        <w:t xml:space="preserve">PEB) as medically unacceptable IAW AFI 48-123.  </w:t>
      </w:r>
      <w:r w:rsidR="00C47F7F" w:rsidRPr="00C47F7F">
        <w:rPr>
          <w:rFonts w:asciiTheme="minorHAnsi" w:hAnsiTheme="minorHAnsi"/>
          <w:color w:val="auto"/>
          <w:szCs w:val="24"/>
        </w:rPr>
        <w:t>One additional condition, obesity, was listed on the MEB submission.  This is not a ratable condition IAW DoD and VA regulations and will not be discussed further.</w:t>
      </w:r>
      <w:r w:rsidR="00C47F7F">
        <w:rPr>
          <w:rFonts w:asciiTheme="minorHAnsi" w:hAnsiTheme="minorHAnsi"/>
          <w:color w:val="auto"/>
          <w:szCs w:val="24"/>
        </w:rPr>
        <w:t xml:space="preserve"> </w:t>
      </w:r>
      <w:r w:rsidR="00C47F7F" w:rsidRPr="00C47F7F">
        <w:rPr>
          <w:color w:val="000000" w:themeColor="text1"/>
        </w:rPr>
        <w:t xml:space="preserve"> The </w:t>
      </w:r>
      <w:r w:rsidR="004A7B4E">
        <w:rPr>
          <w:color w:val="000000" w:themeColor="text1"/>
        </w:rPr>
        <w:t>I</w:t>
      </w:r>
      <w:r w:rsidR="003A6298">
        <w:rPr>
          <w:color w:val="000000" w:themeColor="text1"/>
        </w:rPr>
        <w:t>PEB</w:t>
      </w:r>
      <w:r w:rsidR="00C47F7F" w:rsidRPr="00C47F7F">
        <w:rPr>
          <w:color w:val="000000" w:themeColor="text1"/>
        </w:rPr>
        <w:t xml:space="preserve"> adjudicated the </w:t>
      </w:r>
      <w:r w:rsidR="00B21E88">
        <w:rPr>
          <w:color w:val="000000" w:themeColor="text1"/>
        </w:rPr>
        <w:t>lumbar spine condition, characterized as “</w:t>
      </w:r>
      <w:r w:rsidR="00C47F7F" w:rsidRPr="00C47F7F">
        <w:rPr>
          <w:color w:val="000000" w:themeColor="text1"/>
        </w:rPr>
        <w:t>chronic low back pain with radicular symptoms</w:t>
      </w:r>
      <w:r w:rsidR="00B21E88">
        <w:rPr>
          <w:color w:val="000000" w:themeColor="text1"/>
        </w:rPr>
        <w:t>, status-post diskectomies of L4 through S1 and decompression exploration</w:t>
      </w:r>
      <w:r w:rsidR="004A7B4E">
        <w:rPr>
          <w:color w:val="000000" w:themeColor="text1"/>
        </w:rPr>
        <w:t>,</w:t>
      </w:r>
      <w:r w:rsidR="00B21E88">
        <w:rPr>
          <w:color w:val="000000" w:themeColor="text1"/>
        </w:rPr>
        <w:t>” as unfitting;</w:t>
      </w:r>
      <w:r w:rsidR="00C47F7F" w:rsidRPr="00C47F7F">
        <w:rPr>
          <w:color w:val="000000" w:themeColor="text1"/>
        </w:rPr>
        <w:t xml:space="preserve"> rated 20%</w:t>
      </w:r>
      <w:r w:rsidR="00707FF0">
        <w:rPr>
          <w:color w:val="000000" w:themeColor="text1"/>
        </w:rPr>
        <w:t>,</w:t>
      </w:r>
      <w:r w:rsidR="00B21E88">
        <w:rPr>
          <w:color w:val="000000" w:themeColor="text1"/>
        </w:rPr>
        <w:t xml:space="preserve"> referencing</w:t>
      </w:r>
      <w:r w:rsidR="001B5DC8" w:rsidRPr="001B5DC8">
        <w:rPr>
          <w:color w:val="000000" w:themeColor="text1"/>
        </w:rPr>
        <w:t xml:space="preserve"> </w:t>
      </w:r>
      <w:r w:rsidR="001B5DC8">
        <w:rPr>
          <w:color w:val="000000" w:themeColor="text1"/>
        </w:rPr>
        <w:t xml:space="preserve">the </w:t>
      </w:r>
      <w:r w:rsidR="001B5DC8" w:rsidRPr="00C47F7F">
        <w:rPr>
          <w:color w:val="000000" w:themeColor="text1"/>
        </w:rPr>
        <w:t>Veterans Administration Schedule for Rating Disabilities (VASRD)</w:t>
      </w:r>
      <w:r w:rsidR="00C47F7F" w:rsidRPr="00C47F7F">
        <w:rPr>
          <w:color w:val="000000" w:themeColor="text1"/>
        </w:rPr>
        <w:t xml:space="preserve">.  The CI appealed to </w:t>
      </w:r>
      <w:r w:rsidR="004F2EA8">
        <w:rPr>
          <w:color w:val="000000" w:themeColor="text1"/>
        </w:rPr>
        <w:t>the Formal PEB (</w:t>
      </w:r>
      <w:r w:rsidR="00C47F7F" w:rsidRPr="00C47F7F">
        <w:rPr>
          <w:color w:val="000000" w:themeColor="text1"/>
        </w:rPr>
        <w:t>FPEB</w:t>
      </w:r>
      <w:r w:rsidR="004F2EA8">
        <w:rPr>
          <w:color w:val="000000" w:themeColor="text1"/>
        </w:rPr>
        <w:t>)</w:t>
      </w:r>
      <w:r w:rsidR="00F47EF5">
        <w:rPr>
          <w:color w:val="000000" w:themeColor="text1"/>
        </w:rPr>
        <w:t xml:space="preserve"> for the 20% thoracolumbar rating plus additional 10% ratings each for his cervical spine and lower extremity radiculopathy.  The FPEB</w:t>
      </w:r>
      <w:r w:rsidR="003A6298">
        <w:rPr>
          <w:color w:val="000000" w:themeColor="text1"/>
        </w:rPr>
        <w:t xml:space="preserve"> affirmed the </w:t>
      </w:r>
      <w:r w:rsidR="004A7B4E">
        <w:rPr>
          <w:color w:val="000000" w:themeColor="text1"/>
        </w:rPr>
        <w:t>I</w:t>
      </w:r>
      <w:r w:rsidR="00331575">
        <w:rPr>
          <w:color w:val="000000" w:themeColor="text1"/>
        </w:rPr>
        <w:t>PEB</w:t>
      </w:r>
      <w:r w:rsidR="00F47EF5">
        <w:rPr>
          <w:color w:val="000000" w:themeColor="text1"/>
        </w:rPr>
        <w:t>’s</w:t>
      </w:r>
      <w:r w:rsidR="00331575">
        <w:rPr>
          <w:color w:val="000000" w:themeColor="text1"/>
        </w:rPr>
        <w:t xml:space="preserve"> </w:t>
      </w:r>
      <w:r w:rsidR="00F47EF5">
        <w:rPr>
          <w:color w:val="000000" w:themeColor="text1"/>
        </w:rPr>
        <w:t xml:space="preserve">20% </w:t>
      </w:r>
      <w:proofErr w:type="spellStart"/>
      <w:r w:rsidR="00F47EF5">
        <w:rPr>
          <w:color w:val="000000" w:themeColor="text1"/>
        </w:rPr>
        <w:t>thoracolumbar</w:t>
      </w:r>
      <w:proofErr w:type="spellEnd"/>
      <w:r w:rsidR="00F47EF5">
        <w:rPr>
          <w:color w:val="000000" w:themeColor="text1"/>
        </w:rPr>
        <w:t xml:space="preserve"> rating, and found no unfitting cervical or radiculopathy conditions. The CI</w:t>
      </w:r>
      <w:r w:rsidR="00C47F7F" w:rsidRPr="00C47F7F">
        <w:rPr>
          <w:color w:val="000000" w:themeColor="text1"/>
        </w:rPr>
        <w:t xml:space="preserve"> was </w:t>
      </w:r>
      <w:r w:rsidR="00F47EF5">
        <w:rPr>
          <w:color w:val="000000" w:themeColor="text1"/>
        </w:rPr>
        <w:t xml:space="preserve">thus </w:t>
      </w:r>
      <w:r w:rsidR="00C47F7F" w:rsidRPr="00C47F7F">
        <w:rPr>
          <w:color w:val="000000" w:themeColor="text1"/>
        </w:rPr>
        <w:t>medically separated with a 20%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C47F7F">
        <w:rPr>
          <w:color w:val="000000" w:themeColor="text1"/>
        </w:rPr>
        <w:t xml:space="preserve"> </w:t>
      </w:r>
      <w:r w:rsidR="00C47F7F" w:rsidRPr="00C47F7F">
        <w:rPr>
          <w:color w:val="000000" w:themeColor="text1"/>
        </w:rPr>
        <w:t xml:space="preserve">“The reason my case should be reevaluated is due to the fact that when the informal Physical Evaluation Board reviewed my case it only looked a vague description of me having chronic lower back pain when the determination should have been made based on the cause of my chronic back pain. I suffer from degenerative disc disease which affects several areas: my neck, my lower, mid and upper back.”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718"/>
        <w:gridCol w:w="720"/>
        <w:gridCol w:w="720"/>
        <w:gridCol w:w="2880"/>
        <w:gridCol w:w="630"/>
        <w:gridCol w:w="720"/>
        <w:gridCol w:w="990"/>
      </w:tblGrid>
      <w:tr w:rsidR="00C47F7F" w:rsidRPr="001F29F9" w:rsidTr="00D2754A">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C47F7F" w:rsidRPr="001F29F9" w:rsidRDefault="00C47F7F"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Pr>
                <w:rFonts w:ascii="Calibri" w:hAnsi="Calibri" w:cs="Calibri"/>
                <w:b/>
                <w:color w:val="000000" w:themeColor="text1"/>
                <w:sz w:val="18"/>
                <w:szCs w:val="18"/>
              </w:rPr>
              <w:t>F</w:t>
            </w:r>
            <w:r w:rsidRPr="001F29F9">
              <w:rPr>
                <w:rFonts w:ascii="Calibri" w:hAnsi="Calibri" w:cs="Calibri"/>
                <w:b/>
                <w:color w:val="000000" w:themeColor="text1"/>
                <w:sz w:val="18"/>
                <w:szCs w:val="18"/>
              </w:rPr>
              <w:t>PEB – Dated 200</w:t>
            </w:r>
            <w:r>
              <w:rPr>
                <w:rFonts w:ascii="Calibri" w:hAnsi="Calibri" w:cs="Calibri"/>
                <w:b/>
                <w:color w:val="000000" w:themeColor="text1"/>
                <w:sz w:val="18"/>
                <w:szCs w:val="18"/>
              </w:rPr>
              <w:t>90213</w:t>
            </w:r>
          </w:p>
        </w:tc>
        <w:tc>
          <w:tcPr>
            <w:tcW w:w="5220" w:type="dxa"/>
            <w:gridSpan w:val="4"/>
            <w:tcBorders>
              <w:left w:val="thinThickThinSmallGap" w:sz="24" w:space="0" w:color="auto"/>
            </w:tcBorders>
            <w:shd w:val="clear" w:color="auto" w:fill="D9D9D9" w:themeFill="background1" w:themeFillShade="D9"/>
            <w:vAlign w:val="center"/>
          </w:tcPr>
          <w:p w:rsidR="00C47F7F" w:rsidRPr="00FF242A" w:rsidRDefault="00C47F7F" w:rsidP="00D2754A">
            <w:pPr>
              <w:contextualSpacing/>
              <w:rPr>
                <w:rFonts w:ascii="Calibri" w:hAnsi="Calibri" w:cs="Calibri"/>
                <w:b/>
                <w:color w:val="000000" w:themeColor="text1"/>
                <w:sz w:val="18"/>
                <w:szCs w:val="18"/>
              </w:rPr>
            </w:pPr>
            <w:r w:rsidRPr="00FF242A">
              <w:rPr>
                <w:rFonts w:ascii="Calibri" w:hAnsi="Calibri" w:cs="Calibri"/>
                <w:b/>
                <w:color w:val="000000" w:themeColor="text1"/>
                <w:sz w:val="18"/>
                <w:szCs w:val="18"/>
              </w:rPr>
              <w:t>VA (</w:t>
            </w:r>
            <w:r w:rsidR="000D16DF">
              <w:rPr>
                <w:rFonts w:ascii="Calibri" w:hAnsi="Calibri" w:cs="Calibri"/>
                <w:b/>
                <w:color w:val="000000" w:themeColor="text1"/>
                <w:sz w:val="18"/>
                <w:szCs w:val="18"/>
              </w:rPr>
              <w:t>2</w:t>
            </w:r>
            <w:r w:rsidRPr="00FF242A">
              <w:rPr>
                <w:rFonts w:ascii="Calibri" w:hAnsi="Calibri" w:cs="Calibri"/>
                <w:b/>
                <w:color w:val="000000" w:themeColor="text1"/>
                <w:sz w:val="18"/>
                <w:szCs w:val="18"/>
              </w:rPr>
              <w:t xml:space="preserve"> Mo. After Separation) – All Effective 20090527</w:t>
            </w:r>
          </w:p>
        </w:tc>
      </w:tr>
      <w:tr w:rsidR="002B4E22" w:rsidRPr="001F29F9" w:rsidTr="00D2754A">
        <w:trPr>
          <w:trHeight w:val="97"/>
          <w:jc w:val="center"/>
        </w:trPr>
        <w:tc>
          <w:tcPr>
            <w:tcW w:w="271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88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47F7F" w:rsidRPr="001F29F9" w:rsidTr="00D2754A">
        <w:trPr>
          <w:trHeight w:val="115"/>
          <w:jc w:val="center"/>
        </w:trPr>
        <w:tc>
          <w:tcPr>
            <w:tcW w:w="2718" w:type="dxa"/>
            <w:tcBorders>
              <w:right w:val="single" w:sz="4" w:space="0" w:color="auto"/>
            </w:tcBorders>
            <w:shd w:val="clear" w:color="auto" w:fill="FFFFFF" w:themeFill="background1"/>
            <w:vAlign w:val="center"/>
          </w:tcPr>
          <w:p w:rsidR="00C47F7F" w:rsidRPr="001F29F9" w:rsidRDefault="00C47F7F" w:rsidP="00C64B2D">
            <w:pPr>
              <w:spacing w:line="220" w:lineRule="exact"/>
              <w:contextualSpacing/>
              <w:jc w:val="left"/>
              <w:rPr>
                <w:rFonts w:ascii="Calibri" w:eastAsia="Times New Roman" w:hAnsi="Calibri" w:cs="Calibri"/>
                <w:color w:val="000000" w:themeColor="text1"/>
                <w:sz w:val="18"/>
                <w:szCs w:val="18"/>
              </w:rPr>
            </w:pPr>
            <w:r w:rsidRPr="00C47F7F">
              <w:rPr>
                <w:rFonts w:ascii="Calibri" w:hAnsi="Calibri" w:cs="Calibri"/>
                <w:color w:val="000000" w:themeColor="text1"/>
                <w:sz w:val="18"/>
                <w:szCs w:val="18"/>
              </w:rPr>
              <w:t>Chronic Low Back Pain</w:t>
            </w:r>
            <w:r>
              <w:rPr>
                <w:rFonts w:ascii="Calibri" w:hAnsi="Calibri" w:cs="Calibri"/>
                <w:color w:val="000000" w:themeColor="text1"/>
                <w:sz w:val="18"/>
                <w:szCs w:val="18"/>
              </w:rPr>
              <w:t xml:space="preserve"> …</w:t>
            </w:r>
          </w:p>
        </w:tc>
        <w:tc>
          <w:tcPr>
            <w:tcW w:w="720" w:type="dxa"/>
            <w:tcBorders>
              <w:left w:val="single" w:sz="4" w:space="0" w:color="auto"/>
            </w:tcBorders>
            <w:shd w:val="clear" w:color="auto" w:fill="FFFFFF" w:themeFill="background1"/>
            <w:vAlign w:val="center"/>
          </w:tcPr>
          <w:p w:rsidR="00C47F7F" w:rsidRPr="001F29F9" w:rsidRDefault="00C47F7F" w:rsidP="00D2754A">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5243</w:t>
            </w:r>
          </w:p>
        </w:tc>
        <w:tc>
          <w:tcPr>
            <w:tcW w:w="720" w:type="dxa"/>
            <w:tcBorders>
              <w:right w:val="thinThickThinSmallGap" w:sz="24" w:space="0" w:color="auto"/>
            </w:tcBorders>
            <w:shd w:val="clear" w:color="auto" w:fill="FFFFFF" w:themeFill="background1"/>
            <w:vAlign w:val="center"/>
          </w:tcPr>
          <w:p w:rsidR="00C47F7F" w:rsidRPr="001F29F9" w:rsidRDefault="00C47F7F" w:rsidP="00D2754A">
            <w:pPr>
              <w:spacing w:line="22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2880" w:type="dxa"/>
            <w:tcBorders>
              <w:left w:val="thinThickThinSmallGap" w:sz="24" w:space="0" w:color="auto"/>
            </w:tcBorders>
            <w:shd w:val="clear" w:color="auto" w:fill="FFFFFF" w:themeFill="background1"/>
            <w:vAlign w:val="center"/>
          </w:tcPr>
          <w:p w:rsidR="00C47F7F" w:rsidRPr="001F29F9" w:rsidRDefault="00C47F7F" w:rsidP="00C64B2D">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Lumbar </w:t>
            </w:r>
            <w:r w:rsidR="0062140F">
              <w:rPr>
                <w:rFonts w:ascii="Calibri" w:hAnsi="Calibri" w:cs="Calibri"/>
                <w:color w:val="000000" w:themeColor="text1"/>
                <w:sz w:val="18"/>
                <w:szCs w:val="18"/>
              </w:rPr>
              <w:t>DJD/Radiculopathy</w:t>
            </w:r>
          </w:p>
        </w:tc>
        <w:tc>
          <w:tcPr>
            <w:tcW w:w="630" w:type="dxa"/>
            <w:shd w:val="clear" w:color="auto" w:fill="FFFFFF" w:themeFill="background1"/>
            <w:vAlign w:val="center"/>
          </w:tcPr>
          <w:p w:rsidR="00C47F7F" w:rsidRPr="001F29F9" w:rsidRDefault="00C47F7F" w:rsidP="00D2754A">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5242</w:t>
            </w:r>
          </w:p>
        </w:tc>
        <w:tc>
          <w:tcPr>
            <w:tcW w:w="720" w:type="dxa"/>
            <w:shd w:val="clear" w:color="auto" w:fill="FFFFFF" w:themeFill="background1"/>
            <w:vAlign w:val="center"/>
          </w:tcPr>
          <w:p w:rsidR="00C47F7F" w:rsidRPr="001F29F9" w:rsidRDefault="00C47F7F" w:rsidP="00D2754A">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40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C47F7F" w:rsidRPr="001F29F9" w:rsidRDefault="00C47F7F" w:rsidP="00D2754A">
            <w:pPr>
              <w:spacing w:line="220" w:lineRule="exact"/>
              <w:contextualSpacing/>
              <w:rPr>
                <w:rFonts w:ascii="Calibri" w:eastAsia="Times New Roman" w:hAnsi="Calibri" w:cs="Calibri"/>
                <w:color w:val="000000" w:themeColor="text1"/>
                <w:sz w:val="18"/>
                <w:szCs w:val="18"/>
              </w:rPr>
            </w:pPr>
            <w:r w:rsidRPr="00FF242A">
              <w:rPr>
                <w:rFonts w:ascii="Calibri" w:eastAsia="Times New Roman" w:hAnsi="Calibri" w:cs="Calibri"/>
                <w:color w:val="000000" w:themeColor="text1"/>
                <w:sz w:val="18"/>
                <w:szCs w:val="18"/>
              </w:rPr>
              <w:t>20090715</w:t>
            </w:r>
          </w:p>
        </w:tc>
      </w:tr>
      <w:tr w:rsidR="007A65A9" w:rsidRPr="001F29F9" w:rsidTr="00D2754A">
        <w:trPr>
          <w:trHeight w:val="160"/>
          <w:jc w:val="center"/>
        </w:trPr>
        <w:tc>
          <w:tcPr>
            <w:tcW w:w="2718" w:type="dxa"/>
            <w:tcBorders>
              <w:right w:val="single" w:sz="4" w:space="0" w:color="auto"/>
            </w:tcBorders>
            <w:shd w:val="clear" w:color="auto" w:fill="FFFFFF" w:themeFill="background1"/>
            <w:vAlign w:val="center"/>
          </w:tcPr>
          <w:p w:rsidR="00BC5860" w:rsidRPr="001F29F9" w:rsidRDefault="00FF7280" w:rsidP="00C64B2D">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Obesity</w:t>
            </w:r>
          </w:p>
        </w:tc>
        <w:tc>
          <w:tcPr>
            <w:tcW w:w="1440"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C47F7F" w:rsidP="00D2754A">
            <w:pPr>
              <w:spacing w:line="22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Category III</w:t>
            </w:r>
          </w:p>
        </w:tc>
        <w:tc>
          <w:tcPr>
            <w:tcW w:w="4230" w:type="dxa"/>
            <w:gridSpan w:val="3"/>
            <w:tcBorders>
              <w:left w:val="thinThickThinSmallGap" w:sz="24" w:space="0" w:color="auto"/>
            </w:tcBorders>
            <w:shd w:val="clear" w:color="auto" w:fill="FFFFFF" w:themeFill="background1"/>
            <w:vAlign w:val="center"/>
          </w:tcPr>
          <w:p w:rsidR="00BC5860" w:rsidRPr="001F29F9" w:rsidRDefault="00FF7280" w:rsidP="00D2754A">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 VA Entry</w:t>
            </w:r>
          </w:p>
        </w:tc>
        <w:tc>
          <w:tcPr>
            <w:tcW w:w="990" w:type="dxa"/>
            <w:shd w:val="clear" w:color="auto" w:fill="FFFFFF" w:themeFill="background1"/>
            <w:vAlign w:val="center"/>
          </w:tcPr>
          <w:p w:rsidR="00BC5860" w:rsidRPr="001F29F9" w:rsidRDefault="00B472E1" w:rsidP="00D2754A">
            <w:pPr>
              <w:spacing w:line="220" w:lineRule="exact"/>
              <w:contextualSpacing/>
              <w:rPr>
                <w:rFonts w:ascii="Calibri" w:eastAsia="Times New Roman" w:hAnsi="Calibri" w:cs="Calibri"/>
                <w:color w:val="000000" w:themeColor="text1"/>
                <w:sz w:val="18"/>
                <w:szCs w:val="18"/>
                <w:highlight w:val="yellow"/>
              </w:rPr>
            </w:pPr>
            <w:r w:rsidRPr="00FF242A">
              <w:rPr>
                <w:rFonts w:ascii="Calibri" w:eastAsia="Times New Roman" w:hAnsi="Calibri" w:cs="Calibri"/>
                <w:color w:val="000000" w:themeColor="text1"/>
                <w:sz w:val="18"/>
                <w:szCs w:val="18"/>
              </w:rPr>
              <w:t>20090715</w:t>
            </w:r>
          </w:p>
        </w:tc>
      </w:tr>
      <w:tr w:rsidR="00C47F7F" w:rsidRPr="001F29F9" w:rsidTr="00D2754A">
        <w:trPr>
          <w:trHeight w:val="142"/>
          <w:jc w:val="center"/>
        </w:trPr>
        <w:tc>
          <w:tcPr>
            <w:tcW w:w="4158" w:type="dxa"/>
            <w:gridSpan w:val="3"/>
            <w:vMerge w:val="restart"/>
            <w:tcBorders>
              <w:right w:val="thinThickThinSmallGap" w:sz="24" w:space="0" w:color="auto"/>
            </w:tcBorders>
            <w:shd w:val="clear" w:color="auto" w:fill="FFFFFF" w:themeFill="background1"/>
          </w:tcPr>
          <w:p w:rsidR="00C47F7F" w:rsidRPr="001F29F9" w:rsidRDefault="00C47F7F" w:rsidP="00D2754A">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880" w:type="dxa"/>
            <w:tcBorders>
              <w:left w:val="thinThickThinSmallGap" w:sz="24" w:space="0" w:color="auto"/>
              <w:right w:val="single" w:sz="4" w:space="0" w:color="auto"/>
            </w:tcBorders>
            <w:shd w:val="clear" w:color="auto" w:fill="FFFFFF" w:themeFill="background1"/>
            <w:vAlign w:val="center"/>
          </w:tcPr>
          <w:p w:rsidR="00C47F7F" w:rsidRPr="001F29F9" w:rsidRDefault="00C47F7F" w:rsidP="00C64B2D">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DJD Cervical Spine</w:t>
            </w:r>
          </w:p>
        </w:tc>
        <w:tc>
          <w:tcPr>
            <w:tcW w:w="630" w:type="dxa"/>
            <w:tcBorders>
              <w:left w:val="single" w:sz="4" w:space="0" w:color="auto"/>
            </w:tcBorders>
            <w:shd w:val="clear" w:color="auto" w:fill="FFFFFF" w:themeFill="background1"/>
            <w:vAlign w:val="center"/>
          </w:tcPr>
          <w:p w:rsidR="00C47F7F" w:rsidRPr="00FF242A" w:rsidRDefault="00C47F7F" w:rsidP="00D2754A">
            <w:pPr>
              <w:spacing w:line="220" w:lineRule="exact"/>
              <w:contextualSpacing/>
              <w:rPr>
                <w:rFonts w:ascii="Calibri" w:eastAsia="Times New Roman" w:hAnsi="Calibri" w:cs="Calibri"/>
                <w:color w:val="000000" w:themeColor="text1"/>
                <w:sz w:val="18"/>
                <w:szCs w:val="18"/>
              </w:rPr>
            </w:pPr>
            <w:r w:rsidRPr="00FF242A">
              <w:rPr>
                <w:rFonts w:ascii="Calibri" w:eastAsia="Times New Roman" w:hAnsi="Calibri" w:cs="Calibri"/>
                <w:color w:val="000000" w:themeColor="text1"/>
                <w:sz w:val="18"/>
                <w:szCs w:val="18"/>
              </w:rPr>
              <w:t>5242</w:t>
            </w:r>
          </w:p>
        </w:tc>
        <w:tc>
          <w:tcPr>
            <w:tcW w:w="720" w:type="dxa"/>
            <w:shd w:val="clear" w:color="auto" w:fill="FFFFFF" w:themeFill="background1"/>
            <w:vAlign w:val="center"/>
          </w:tcPr>
          <w:p w:rsidR="00C47F7F" w:rsidRPr="00FF242A" w:rsidRDefault="00C47F7F" w:rsidP="00D2754A">
            <w:pPr>
              <w:spacing w:line="220" w:lineRule="exact"/>
              <w:contextualSpacing/>
              <w:rPr>
                <w:rFonts w:ascii="Calibri" w:eastAsia="Times New Roman" w:hAnsi="Calibri" w:cs="Calibri"/>
                <w:color w:val="000000" w:themeColor="text1"/>
                <w:sz w:val="18"/>
                <w:szCs w:val="18"/>
              </w:rPr>
            </w:pPr>
            <w:r w:rsidRPr="00FF242A">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C47F7F" w:rsidRPr="00FF242A" w:rsidRDefault="00C47F7F" w:rsidP="00D2754A">
            <w:pPr>
              <w:spacing w:line="220" w:lineRule="exact"/>
              <w:contextualSpacing/>
              <w:rPr>
                <w:rFonts w:ascii="Calibri" w:eastAsia="Times New Roman" w:hAnsi="Calibri" w:cs="Calibri"/>
                <w:color w:val="000000" w:themeColor="text1"/>
                <w:sz w:val="18"/>
                <w:szCs w:val="18"/>
              </w:rPr>
            </w:pPr>
            <w:r w:rsidRPr="00FF242A">
              <w:rPr>
                <w:rFonts w:ascii="Calibri" w:eastAsia="Times New Roman" w:hAnsi="Calibri" w:cs="Calibri"/>
                <w:color w:val="000000" w:themeColor="text1"/>
                <w:sz w:val="18"/>
                <w:szCs w:val="18"/>
              </w:rPr>
              <w:t>20090715</w:t>
            </w:r>
          </w:p>
        </w:tc>
      </w:tr>
      <w:tr w:rsidR="007A65A9" w:rsidRPr="001F29F9" w:rsidTr="00D2754A">
        <w:trPr>
          <w:trHeight w:val="133"/>
          <w:jc w:val="center"/>
        </w:trPr>
        <w:tc>
          <w:tcPr>
            <w:tcW w:w="4158" w:type="dxa"/>
            <w:gridSpan w:val="3"/>
            <w:vMerge/>
            <w:tcBorders>
              <w:right w:val="thinThickThinSmallGap" w:sz="24" w:space="0" w:color="auto"/>
            </w:tcBorders>
            <w:shd w:val="clear" w:color="auto" w:fill="FFFFFF" w:themeFill="background1"/>
            <w:vAlign w:val="center"/>
          </w:tcPr>
          <w:p w:rsidR="00BC5860" w:rsidRPr="001F29F9" w:rsidRDefault="00BC5860" w:rsidP="00D2754A">
            <w:pPr>
              <w:spacing w:line="22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BC5860" w:rsidRPr="001F29F9" w:rsidRDefault="007A65A9" w:rsidP="00D2754A">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62140F">
              <w:rPr>
                <w:rFonts w:ascii="Calibri" w:hAnsi="Calibri" w:cs="Calibri"/>
                <w:color w:val="000000" w:themeColor="text1"/>
                <w:sz w:val="18"/>
                <w:szCs w:val="18"/>
              </w:rPr>
              <w:t xml:space="preserve">2 </w:t>
            </w:r>
            <w:r w:rsidRPr="001F29F9">
              <w:rPr>
                <w:rFonts w:ascii="Calibri" w:hAnsi="Calibri" w:cs="Calibri"/>
                <w:color w:val="000000" w:themeColor="text1"/>
                <w:sz w:val="18"/>
                <w:szCs w:val="18"/>
              </w:rPr>
              <w:t>/</w:t>
            </w:r>
            <w:r w:rsidR="0062140F">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w:t>
            </w:r>
            <w:r w:rsidR="00374EA1" w:rsidRPr="001F29F9">
              <w:rPr>
                <w:rFonts w:ascii="Calibri" w:hAnsi="Calibri" w:cs="Calibri"/>
                <w:color w:val="000000" w:themeColor="text1"/>
                <w:sz w:val="18"/>
                <w:szCs w:val="18"/>
              </w:rPr>
              <w:t>x</w:t>
            </w:r>
            <w:r w:rsidRPr="001F29F9">
              <w:rPr>
                <w:rFonts w:ascii="Calibri" w:hAnsi="Calibri" w:cs="Calibri"/>
                <w:color w:val="000000" w:themeColor="text1"/>
                <w:sz w:val="18"/>
                <w:szCs w:val="18"/>
              </w:rPr>
              <w:t xml:space="preserve"> </w:t>
            </w:r>
            <w:r w:rsidR="0062140F">
              <w:rPr>
                <w:rFonts w:ascii="Calibri" w:hAnsi="Calibri" w:cs="Calibri"/>
                <w:color w:val="000000" w:themeColor="text1"/>
                <w:sz w:val="18"/>
                <w:szCs w:val="18"/>
              </w:rPr>
              <w:t>4</w:t>
            </w:r>
          </w:p>
        </w:tc>
        <w:tc>
          <w:tcPr>
            <w:tcW w:w="990" w:type="dxa"/>
            <w:shd w:val="clear" w:color="auto" w:fill="FFFFFF" w:themeFill="background1"/>
            <w:vAlign w:val="center"/>
          </w:tcPr>
          <w:p w:rsidR="00BC5860" w:rsidRPr="001F29F9" w:rsidRDefault="00C47F7F" w:rsidP="00D2754A">
            <w:pPr>
              <w:spacing w:line="220" w:lineRule="exact"/>
              <w:contextualSpacing/>
              <w:rPr>
                <w:rFonts w:ascii="Calibri" w:eastAsia="Times New Roman" w:hAnsi="Calibri" w:cs="Calibri"/>
                <w:color w:val="000000" w:themeColor="text1"/>
                <w:sz w:val="18"/>
                <w:szCs w:val="18"/>
              </w:rPr>
            </w:pPr>
            <w:r w:rsidRPr="00FF242A">
              <w:rPr>
                <w:rFonts w:ascii="Calibri" w:eastAsia="Times New Roman" w:hAnsi="Calibri" w:cs="Calibri"/>
                <w:color w:val="000000" w:themeColor="text1"/>
                <w:sz w:val="18"/>
                <w:szCs w:val="18"/>
              </w:rPr>
              <w:t>20090715</w:t>
            </w:r>
          </w:p>
        </w:tc>
      </w:tr>
      <w:tr w:rsidR="007A65A9" w:rsidRPr="001F29F9" w:rsidTr="00D2754A">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C47F7F">
              <w:rPr>
                <w:rFonts w:ascii="Calibri" w:hAnsi="Calibri" w:cs="Calibri"/>
                <w:b/>
                <w:color w:val="000000" w:themeColor="text1"/>
                <w:sz w:val="18"/>
                <w:szCs w:val="18"/>
              </w:rPr>
              <w:t>2</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D275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C47F7F">
              <w:rPr>
                <w:rFonts w:ascii="Calibri" w:hAnsi="Calibri" w:cs="Calibri"/>
                <w:b/>
                <w:color w:val="000000" w:themeColor="text1"/>
                <w:sz w:val="18"/>
                <w:szCs w:val="18"/>
              </w:rPr>
              <w:t>5</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C47F7F">
      <w:pPr>
        <w:jc w:val="both"/>
        <w:rPr>
          <w:color w:val="000000" w:themeColor="text1"/>
          <w:szCs w:val="24"/>
          <w:u w:val="single"/>
        </w:rPr>
      </w:pPr>
    </w:p>
    <w:p w:rsidR="00F328BE" w:rsidRDefault="002C6E5B" w:rsidP="000D16DF">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0D16DF" w:rsidRPr="000D16DF">
        <w:rPr>
          <w:color w:val="000000" w:themeColor="text1"/>
          <w:szCs w:val="24"/>
        </w:rPr>
        <w:t xml:space="preserve">The Board acknowledges the sentiment expressed in the CI’s application regarding the significant impairment with which his service-incurred condition continues to burden him. </w:t>
      </w:r>
      <w:r w:rsidR="00C64B2D">
        <w:rPr>
          <w:color w:val="000000" w:themeColor="text1"/>
          <w:szCs w:val="24"/>
        </w:rPr>
        <w:t xml:space="preserve"> </w:t>
      </w:r>
      <w:r w:rsidR="000D16DF" w:rsidRPr="000D16DF">
        <w:rPr>
          <w:color w:val="000000" w:themeColor="text1"/>
          <w:szCs w:val="24"/>
        </w:rPr>
        <w:t xml:space="preserve">The Board wishes to clarify that it is subject to the same laws for service disability entitlements as those under which the Disability Evaluation System (DES) operates. </w:t>
      </w:r>
      <w:r w:rsidR="00C64B2D">
        <w:rPr>
          <w:color w:val="000000" w:themeColor="text1"/>
          <w:szCs w:val="24"/>
        </w:rPr>
        <w:t xml:space="preserve"> </w:t>
      </w:r>
      <w:r w:rsidR="000D16DF" w:rsidRPr="000D16DF">
        <w:rPr>
          <w:color w:val="000000" w:themeColor="text1"/>
          <w:szCs w:val="24"/>
        </w:rPr>
        <w:t xml:space="preserve">The DES has neither the role nor the authority to compensate service members for anticipated future severity or potential complications of conditions resulting in medical separation. </w:t>
      </w:r>
      <w:r w:rsidR="00C64B2D">
        <w:rPr>
          <w:color w:val="000000" w:themeColor="text1"/>
          <w:szCs w:val="24"/>
        </w:rPr>
        <w:t xml:space="preserve"> </w:t>
      </w:r>
      <w:r w:rsidR="000D16DF" w:rsidRPr="000D16DF">
        <w:rPr>
          <w:color w:val="000000" w:themeColor="text1"/>
          <w:szCs w:val="24"/>
        </w:rPr>
        <w:t>That role and authority is granted by Congress to the Department of Veteran</w:t>
      </w:r>
      <w:r w:rsidR="003A6298">
        <w:rPr>
          <w:color w:val="000000" w:themeColor="text1"/>
          <w:szCs w:val="24"/>
        </w:rPr>
        <w:t>s’ Affairs (DVA)</w:t>
      </w:r>
      <w:r w:rsidR="000D16DF" w:rsidRPr="000D16DF">
        <w:rPr>
          <w:color w:val="000000" w:themeColor="text1"/>
          <w:szCs w:val="24"/>
        </w:rPr>
        <w:t xml:space="preserve">, operating under </w:t>
      </w:r>
      <w:r w:rsidR="000D16DF" w:rsidRPr="000D16DF">
        <w:rPr>
          <w:color w:val="000000" w:themeColor="text1"/>
          <w:szCs w:val="24"/>
        </w:rPr>
        <w:lastRenderedPageBreak/>
        <w:t xml:space="preserve">a different set of laws (Title 38, United States Code). </w:t>
      </w:r>
      <w:r w:rsidR="00C64B2D">
        <w:rPr>
          <w:color w:val="000000" w:themeColor="text1"/>
          <w:szCs w:val="24"/>
        </w:rPr>
        <w:t xml:space="preserve"> </w:t>
      </w:r>
      <w:r w:rsidR="000D16DF" w:rsidRPr="000D16DF">
        <w:rPr>
          <w:color w:val="000000" w:themeColor="text1"/>
          <w:szCs w:val="24"/>
        </w:rPr>
        <w:t xml:space="preserve">The Board evaluates </w:t>
      </w:r>
      <w:r w:rsidR="004A7B4E">
        <w:rPr>
          <w:color w:val="000000" w:themeColor="text1"/>
          <w:szCs w:val="24"/>
        </w:rPr>
        <w:t>D</w:t>
      </w:r>
      <w:r w:rsidR="000D16DF" w:rsidRPr="000D16DF">
        <w:rPr>
          <w:color w:val="000000" w:themeColor="text1"/>
          <w:szCs w:val="24"/>
        </w:rPr>
        <w:t>VA evidence proximal to separation in arriving at its recommendations, but its authority resides in evaluating the fairness of DES fitness decisions and rating determinations for disability at the time of separation.</w:t>
      </w:r>
      <w:r w:rsidR="00C64B2D">
        <w:rPr>
          <w:color w:val="000000" w:themeColor="text1"/>
          <w:szCs w:val="24"/>
        </w:rPr>
        <w:t xml:space="preserve"> </w:t>
      </w:r>
      <w:r w:rsidR="000D16DF" w:rsidRPr="000D16DF">
        <w:rPr>
          <w:color w:val="000000" w:themeColor="text1"/>
          <w:szCs w:val="24"/>
        </w:rPr>
        <w:t xml:space="preserve"> </w:t>
      </w:r>
      <w:r w:rsidR="00186347">
        <w:rPr>
          <w:color w:val="000000" w:themeColor="text1"/>
          <w:szCs w:val="24"/>
        </w:rPr>
        <w:t>The Board also acknowledges the CI's contention suggesting that service ratings should have been conferred for other conditions documented at the time of separation and for conditions not diagnosed while in the service (but later determined to be service-connected by the DVA).  While the DES considers all of the service member's medical conditions, compensation can only be offered for those medical conditions that cut short a career, and then only to the degree of severity present at the time of final disposition.  The DVA, however, is empowered to compensate service-connected conditions and to periodically re-evaluate said conditions for the purpose of adjusting the Veteran's disability rating should the degree of impairment vary over time.</w:t>
      </w:r>
    </w:p>
    <w:p w:rsidR="00C47F7F" w:rsidRPr="00F328BE" w:rsidRDefault="00C47F7F" w:rsidP="00F328BE">
      <w:pPr>
        <w:jc w:val="left"/>
        <w:rPr>
          <w:color w:val="000000" w:themeColor="text1"/>
          <w:szCs w:val="24"/>
        </w:rPr>
      </w:pPr>
    </w:p>
    <w:p w:rsidR="003C53E8" w:rsidRPr="003C53E8" w:rsidRDefault="0062140F" w:rsidP="004F2EA8">
      <w:pPr>
        <w:jc w:val="both"/>
        <w:rPr>
          <w:rFonts w:asciiTheme="minorHAnsi" w:hAnsiTheme="minorHAnsi" w:cs="Times New Roman"/>
          <w:color w:val="auto"/>
          <w:szCs w:val="24"/>
        </w:rPr>
      </w:pPr>
      <w:proofErr w:type="gramStart"/>
      <w:r w:rsidRPr="0062140F">
        <w:rPr>
          <w:color w:val="000000" w:themeColor="text1"/>
          <w:szCs w:val="24"/>
          <w:u w:val="single"/>
        </w:rPr>
        <w:t>Low Back</w:t>
      </w:r>
      <w:r w:rsidR="0080588E" w:rsidRPr="0062140F">
        <w:rPr>
          <w:color w:val="000000" w:themeColor="text1"/>
          <w:szCs w:val="24"/>
          <w:u w:val="single"/>
        </w:rPr>
        <w:t xml:space="preserve"> </w:t>
      </w:r>
      <w:r w:rsidR="003F2EEE" w:rsidRPr="0062140F">
        <w:rPr>
          <w:color w:val="000000" w:themeColor="text1"/>
          <w:szCs w:val="24"/>
          <w:u w:val="single"/>
        </w:rPr>
        <w:t>Condition</w:t>
      </w:r>
      <w:r w:rsidR="003F2EEE" w:rsidRPr="0062140F">
        <w:rPr>
          <w:color w:val="000000" w:themeColor="text1"/>
          <w:szCs w:val="24"/>
        </w:rPr>
        <w:t>.</w:t>
      </w:r>
      <w:proofErr w:type="gramEnd"/>
      <w:r w:rsidR="003F2EEE" w:rsidRPr="0062140F">
        <w:rPr>
          <w:color w:val="000000" w:themeColor="text1"/>
          <w:szCs w:val="24"/>
        </w:rPr>
        <w:t xml:space="preserve">  </w:t>
      </w:r>
      <w:r w:rsidR="000D16DF">
        <w:rPr>
          <w:color w:val="000000" w:themeColor="text1"/>
          <w:szCs w:val="24"/>
        </w:rPr>
        <w:t xml:space="preserve">The CI’s back pain </w:t>
      </w:r>
      <w:r w:rsidR="00707FF0">
        <w:rPr>
          <w:color w:val="000000" w:themeColor="text1"/>
          <w:szCs w:val="24"/>
        </w:rPr>
        <w:t>was not associated with trauma or specific inciting event</w:t>
      </w:r>
      <w:r w:rsidR="000D16DF">
        <w:rPr>
          <w:color w:val="000000" w:themeColor="text1"/>
          <w:szCs w:val="24"/>
        </w:rPr>
        <w:t xml:space="preserve">.  </w:t>
      </w:r>
      <w:r w:rsidR="00707FF0">
        <w:rPr>
          <w:color w:val="000000" w:themeColor="text1"/>
          <w:szCs w:val="24"/>
        </w:rPr>
        <w:t>It</w:t>
      </w:r>
      <w:r w:rsidR="000D16DF">
        <w:rPr>
          <w:color w:val="000000" w:themeColor="text1"/>
          <w:szCs w:val="24"/>
        </w:rPr>
        <w:t xml:space="preserve"> </w:t>
      </w:r>
      <w:r w:rsidR="00DE7045">
        <w:rPr>
          <w:color w:val="000000" w:themeColor="text1"/>
          <w:szCs w:val="24"/>
        </w:rPr>
        <w:t xml:space="preserve">was diagnosed </w:t>
      </w:r>
      <w:r w:rsidR="00707FF0">
        <w:rPr>
          <w:color w:val="000000" w:themeColor="text1"/>
          <w:szCs w:val="24"/>
        </w:rPr>
        <w:t>as</w:t>
      </w:r>
      <w:r w:rsidR="00DE7045">
        <w:rPr>
          <w:color w:val="000000" w:themeColor="text1"/>
          <w:szCs w:val="24"/>
        </w:rPr>
        <w:t xml:space="preserve"> degenerative disc disease in 2005</w:t>
      </w:r>
      <w:r w:rsidR="00707FF0">
        <w:rPr>
          <w:color w:val="000000" w:themeColor="text1"/>
          <w:szCs w:val="24"/>
        </w:rPr>
        <w:t>,</w:t>
      </w:r>
      <w:r w:rsidR="00DE7045">
        <w:rPr>
          <w:color w:val="000000" w:themeColor="text1"/>
          <w:szCs w:val="24"/>
        </w:rPr>
        <w:t xml:space="preserve"> and </w:t>
      </w:r>
      <w:r w:rsidR="00707FF0">
        <w:rPr>
          <w:color w:val="000000" w:themeColor="text1"/>
          <w:szCs w:val="24"/>
        </w:rPr>
        <w:t>resulted in</w:t>
      </w:r>
      <w:r w:rsidR="00DE7045">
        <w:rPr>
          <w:color w:val="000000" w:themeColor="text1"/>
          <w:szCs w:val="24"/>
        </w:rPr>
        <w:t xml:space="preserve"> </w:t>
      </w:r>
      <w:r w:rsidR="00CD2FD5">
        <w:rPr>
          <w:color w:val="000000" w:themeColor="text1"/>
          <w:szCs w:val="24"/>
        </w:rPr>
        <w:t xml:space="preserve">multi-level discectomy </w:t>
      </w:r>
      <w:r w:rsidR="00DE7045">
        <w:rPr>
          <w:color w:val="000000" w:themeColor="text1"/>
          <w:szCs w:val="24"/>
        </w:rPr>
        <w:t>surgery</w:t>
      </w:r>
      <w:r w:rsidR="00707FF0">
        <w:rPr>
          <w:color w:val="000000" w:themeColor="text1"/>
          <w:szCs w:val="24"/>
        </w:rPr>
        <w:t xml:space="preserve"> that year</w:t>
      </w:r>
      <w:r w:rsidR="00DE7045">
        <w:rPr>
          <w:color w:val="000000" w:themeColor="text1"/>
          <w:szCs w:val="24"/>
        </w:rPr>
        <w:t xml:space="preserve">.  </w:t>
      </w:r>
      <w:r w:rsidR="0009758A">
        <w:rPr>
          <w:color w:val="000000" w:themeColor="text1"/>
          <w:szCs w:val="24"/>
        </w:rPr>
        <w:t xml:space="preserve">He had a second lumbar spine </w:t>
      </w:r>
      <w:r w:rsidR="00CD2FD5">
        <w:rPr>
          <w:color w:val="000000" w:themeColor="text1"/>
          <w:szCs w:val="24"/>
        </w:rPr>
        <w:t xml:space="preserve">decompression </w:t>
      </w:r>
      <w:r w:rsidR="0009758A">
        <w:rPr>
          <w:color w:val="000000" w:themeColor="text1"/>
          <w:szCs w:val="24"/>
        </w:rPr>
        <w:t xml:space="preserve">surgery in 2008 with good results initially. </w:t>
      </w:r>
      <w:r w:rsidR="00BD7030">
        <w:rPr>
          <w:color w:val="000000" w:themeColor="text1"/>
          <w:szCs w:val="24"/>
        </w:rPr>
        <w:t xml:space="preserve"> </w:t>
      </w:r>
      <w:r w:rsidR="0009758A">
        <w:rPr>
          <w:color w:val="000000" w:themeColor="text1"/>
          <w:szCs w:val="24"/>
        </w:rPr>
        <w:t xml:space="preserve">However, when symptoms </w:t>
      </w:r>
      <w:r w:rsidR="0009758A" w:rsidRPr="00CD2FD5">
        <w:rPr>
          <w:color w:val="000000" w:themeColor="text1"/>
          <w:szCs w:val="24"/>
        </w:rPr>
        <w:t>again worsened</w:t>
      </w:r>
      <w:r w:rsidR="00CD2FD5" w:rsidRPr="00CD2FD5">
        <w:rPr>
          <w:color w:val="000000" w:themeColor="text1"/>
          <w:szCs w:val="24"/>
        </w:rPr>
        <w:t xml:space="preserve"> he declined further surgical intervention. </w:t>
      </w:r>
      <w:r w:rsidR="00BD7030">
        <w:rPr>
          <w:color w:val="000000" w:themeColor="text1"/>
          <w:szCs w:val="24"/>
        </w:rPr>
        <w:t xml:space="preserve"> </w:t>
      </w:r>
      <w:r w:rsidR="00CD2FD5" w:rsidRPr="00CD2FD5">
        <w:rPr>
          <w:color w:val="000000" w:themeColor="text1"/>
          <w:szCs w:val="24"/>
        </w:rPr>
        <w:t>His symptoms included muscle spasm, restricted range of motion (ROM), and radicular paresthesia to the right leg</w:t>
      </w:r>
      <w:r w:rsidR="00F13286">
        <w:rPr>
          <w:color w:val="000000" w:themeColor="text1"/>
          <w:szCs w:val="24"/>
        </w:rPr>
        <w:t xml:space="preserve"> without weakness</w:t>
      </w:r>
      <w:r w:rsidR="00CD2FD5" w:rsidRPr="00CD2FD5">
        <w:rPr>
          <w:color w:val="000000" w:themeColor="text1"/>
          <w:szCs w:val="24"/>
        </w:rPr>
        <w:t xml:space="preserve">.  </w:t>
      </w:r>
      <w:r w:rsidR="00A57C35" w:rsidRPr="00CD2FD5">
        <w:rPr>
          <w:color w:val="000000" w:themeColor="text1"/>
          <w:szCs w:val="24"/>
        </w:rPr>
        <w:t xml:space="preserve">There </w:t>
      </w:r>
      <w:r w:rsidR="00331575">
        <w:rPr>
          <w:color w:val="000000" w:themeColor="text1"/>
          <w:szCs w:val="24"/>
        </w:rPr>
        <w:t>was one</w:t>
      </w:r>
      <w:r w:rsidR="00A57C35" w:rsidRPr="00CD2FD5">
        <w:rPr>
          <w:color w:val="000000" w:themeColor="text1"/>
          <w:szCs w:val="24"/>
        </w:rPr>
        <w:t xml:space="preserve"> goniometric </w:t>
      </w:r>
      <w:r w:rsidR="00331575">
        <w:rPr>
          <w:color w:val="000000" w:themeColor="text1"/>
          <w:szCs w:val="24"/>
        </w:rPr>
        <w:t>and one</w:t>
      </w:r>
      <w:r w:rsidR="00F52864" w:rsidRPr="00CD2FD5">
        <w:rPr>
          <w:color w:val="000000" w:themeColor="text1"/>
          <w:szCs w:val="24"/>
        </w:rPr>
        <w:t xml:space="preserve"> non-goniometric ROM </w:t>
      </w:r>
      <w:r w:rsidR="00A57C35" w:rsidRPr="00CD2FD5">
        <w:rPr>
          <w:color w:val="000000" w:themeColor="text1"/>
          <w:szCs w:val="24"/>
        </w:rPr>
        <w:t>evaluation in evidence, with documentation of additional ratable criteria, which the Board weighed in arriving at its rating recommendation</w:t>
      </w:r>
      <w:r w:rsidR="003C53E8" w:rsidRPr="00CD2FD5">
        <w:rPr>
          <w:rFonts w:asciiTheme="minorHAnsi" w:hAnsiTheme="minorHAnsi" w:cs="Times New Roman"/>
          <w:color w:val="auto"/>
          <w:szCs w:val="24"/>
        </w:rPr>
        <w:t>.</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6930" w:type="dxa"/>
        <w:jc w:val="center"/>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2340"/>
        <w:gridCol w:w="2430"/>
      </w:tblGrid>
      <w:tr w:rsidR="003C53E8" w:rsidRPr="003C53E8" w:rsidTr="00D2754A">
        <w:trPr>
          <w:jc w:val="center"/>
        </w:trPr>
        <w:tc>
          <w:tcPr>
            <w:tcW w:w="2160" w:type="dxa"/>
            <w:shd w:val="clear" w:color="auto" w:fill="D9D9D9" w:themeFill="background1" w:themeFillShade="D9"/>
            <w:vAlign w:val="center"/>
          </w:tcPr>
          <w:p w:rsidR="003C53E8" w:rsidRPr="003C53E8" w:rsidRDefault="003C53E8" w:rsidP="00D2754A">
            <w:pPr>
              <w:contextualSpacing/>
              <w:rPr>
                <w:rFonts w:eastAsia="Calibri" w:cs="Times New Roman"/>
                <w:color w:val="auto"/>
                <w:sz w:val="22"/>
                <w:szCs w:val="22"/>
              </w:rPr>
            </w:pPr>
            <w:r w:rsidRPr="003C53E8">
              <w:rPr>
                <w:rFonts w:eastAsia="Calibri" w:cs="Times New Roman"/>
                <w:color w:val="auto"/>
                <w:sz w:val="22"/>
                <w:szCs w:val="22"/>
              </w:rPr>
              <w:t>Thoracolumbar ROM</w:t>
            </w:r>
          </w:p>
        </w:tc>
        <w:tc>
          <w:tcPr>
            <w:tcW w:w="2340" w:type="dxa"/>
            <w:shd w:val="clear" w:color="auto" w:fill="D9D9D9" w:themeFill="background1" w:themeFillShade="D9"/>
            <w:vAlign w:val="center"/>
          </w:tcPr>
          <w:p w:rsidR="003C53E8" w:rsidRPr="003C53E8" w:rsidRDefault="00F52864" w:rsidP="00D2754A">
            <w:pPr>
              <w:contextualSpacing/>
              <w:rPr>
                <w:rFonts w:eastAsia="Calibri" w:cs="Times New Roman"/>
                <w:color w:val="auto"/>
                <w:sz w:val="22"/>
                <w:szCs w:val="22"/>
              </w:rPr>
            </w:pPr>
            <w:r>
              <w:rPr>
                <w:rFonts w:eastAsia="Calibri" w:cs="Times New Roman"/>
                <w:color w:val="auto"/>
                <w:sz w:val="22"/>
                <w:szCs w:val="22"/>
              </w:rPr>
              <w:t>PT</w:t>
            </w:r>
            <w:r w:rsidR="00D2754A">
              <w:rPr>
                <w:rFonts w:eastAsia="Calibri" w:cs="Times New Roman"/>
                <w:color w:val="auto"/>
                <w:sz w:val="22"/>
                <w:szCs w:val="22"/>
              </w:rPr>
              <w:t xml:space="preserve"> ~</w:t>
            </w:r>
            <w:r>
              <w:rPr>
                <w:rFonts w:eastAsia="Calibri" w:cs="Times New Roman"/>
                <w:color w:val="auto"/>
                <w:sz w:val="22"/>
                <w:szCs w:val="22"/>
              </w:rPr>
              <w:t>11 Mo.</w:t>
            </w:r>
            <w:r w:rsidR="00D2754A">
              <w:rPr>
                <w:rFonts w:eastAsia="Calibri" w:cs="Times New Roman"/>
                <w:color w:val="auto"/>
                <w:sz w:val="22"/>
                <w:szCs w:val="22"/>
              </w:rPr>
              <w:t xml:space="preserve"> Pre-</w:t>
            </w:r>
            <w:r w:rsidR="003C53E8" w:rsidRPr="003C53E8">
              <w:rPr>
                <w:rFonts w:eastAsia="Calibri" w:cs="Times New Roman"/>
                <w:color w:val="auto"/>
                <w:sz w:val="22"/>
                <w:szCs w:val="22"/>
              </w:rPr>
              <w:t>Sep</w:t>
            </w:r>
          </w:p>
        </w:tc>
        <w:tc>
          <w:tcPr>
            <w:tcW w:w="2430" w:type="dxa"/>
            <w:shd w:val="clear" w:color="auto" w:fill="D9D9D9" w:themeFill="background1" w:themeFillShade="D9"/>
            <w:vAlign w:val="center"/>
          </w:tcPr>
          <w:p w:rsidR="003C53E8" w:rsidRPr="003C53E8" w:rsidRDefault="003C53E8" w:rsidP="00D2754A">
            <w:pPr>
              <w:contextualSpacing/>
              <w:rPr>
                <w:rFonts w:eastAsiaTheme="minorHAnsi" w:cstheme="minorBidi"/>
                <w:color w:val="auto"/>
                <w:sz w:val="22"/>
                <w:szCs w:val="22"/>
              </w:rPr>
            </w:pPr>
            <w:r w:rsidRPr="003C53E8">
              <w:rPr>
                <w:rFonts w:eastAsia="Calibri" w:cs="Times New Roman"/>
                <w:color w:val="auto"/>
                <w:sz w:val="22"/>
                <w:szCs w:val="22"/>
              </w:rPr>
              <w:t>VA</w:t>
            </w:r>
            <w:r w:rsidR="00D2754A">
              <w:rPr>
                <w:rFonts w:eastAsiaTheme="minorHAnsi" w:cstheme="minorBidi"/>
                <w:color w:val="auto"/>
                <w:sz w:val="22"/>
                <w:szCs w:val="22"/>
              </w:rPr>
              <w:t xml:space="preserve"> C&amp;P ~</w:t>
            </w:r>
            <w:r w:rsidR="00F52864">
              <w:rPr>
                <w:rFonts w:eastAsiaTheme="minorHAnsi" w:cstheme="minorBidi"/>
                <w:color w:val="auto"/>
                <w:sz w:val="22"/>
                <w:szCs w:val="22"/>
              </w:rPr>
              <w:t>2</w:t>
            </w:r>
            <w:r w:rsidRPr="003C53E8">
              <w:rPr>
                <w:rFonts w:eastAsiaTheme="minorHAnsi" w:cstheme="minorBidi"/>
                <w:color w:val="auto"/>
                <w:sz w:val="22"/>
                <w:szCs w:val="22"/>
              </w:rPr>
              <w:t xml:space="preserve"> </w:t>
            </w:r>
            <w:r w:rsidR="00F52864">
              <w:rPr>
                <w:rFonts w:eastAsiaTheme="minorHAnsi" w:cstheme="minorBidi"/>
                <w:color w:val="auto"/>
                <w:sz w:val="22"/>
                <w:szCs w:val="22"/>
              </w:rPr>
              <w:t>Mo.</w:t>
            </w:r>
            <w:r w:rsidR="00D2754A">
              <w:rPr>
                <w:rFonts w:eastAsiaTheme="minorHAnsi" w:cstheme="minorBidi"/>
                <w:color w:val="auto"/>
                <w:sz w:val="22"/>
                <w:szCs w:val="22"/>
              </w:rPr>
              <w:t xml:space="preserve"> Post-</w:t>
            </w:r>
            <w:r w:rsidRPr="003C53E8">
              <w:rPr>
                <w:rFonts w:eastAsiaTheme="minorHAnsi" w:cstheme="minorBidi"/>
                <w:color w:val="auto"/>
                <w:sz w:val="22"/>
                <w:szCs w:val="22"/>
              </w:rPr>
              <w:t>Sep</w:t>
            </w:r>
          </w:p>
        </w:tc>
      </w:tr>
      <w:tr w:rsidR="003C53E8" w:rsidRPr="003C53E8" w:rsidTr="00D2754A">
        <w:trPr>
          <w:jc w:val="center"/>
        </w:trPr>
        <w:tc>
          <w:tcPr>
            <w:tcW w:w="2160" w:type="dxa"/>
            <w:vAlign w:val="center"/>
          </w:tcPr>
          <w:p w:rsidR="003C53E8" w:rsidRPr="003C53E8" w:rsidRDefault="00D2754A" w:rsidP="00D2754A">
            <w:pPr>
              <w:contextualSpacing/>
              <w:rPr>
                <w:rFonts w:eastAsia="Calibri" w:cs="Times New Roman"/>
                <w:color w:val="auto"/>
                <w:sz w:val="22"/>
                <w:szCs w:val="22"/>
              </w:rPr>
            </w:pPr>
            <w:r>
              <w:rPr>
                <w:rFonts w:eastAsia="Calibri" w:cs="Times New Roman"/>
                <w:color w:val="auto"/>
                <w:sz w:val="22"/>
                <w:szCs w:val="22"/>
              </w:rPr>
              <w:t>Flexion (90⁰ N</w:t>
            </w:r>
            <w:r w:rsidR="003C53E8" w:rsidRPr="003C53E8">
              <w:rPr>
                <w:rFonts w:eastAsia="Calibri" w:cs="Times New Roman"/>
                <w:color w:val="auto"/>
                <w:sz w:val="22"/>
                <w:szCs w:val="22"/>
              </w:rPr>
              <w:t>ormal</w:t>
            </w:r>
            <w:r>
              <w:rPr>
                <w:rFonts w:eastAsia="Calibri" w:cs="Times New Roman"/>
                <w:color w:val="auto"/>
                <w:sz w:val="22"/>
                <w:szCs w:val="22"/>
              </w:rPr>
              <w:t>)</w:t>
            </w:r>
          </w:p>
        </w:tc>
        <w:tc>
          <w:tcPr>
            <w:tcW w:w="2340" w:type="dxa"/>
            <w:vAlign w:val="center"/>
          </w:tcPr>
          <w:p w:rsidR="003C53E8" w:rsidRPr="003C53E8" w:rsidRDefault="00CD2FD5" w:rsidP="00D2754A">
            <w:pPr>
              <w:contextualSpacing/>
              <w:rPr>
                <w:rFonts w:eastAsia="Calibri" w:cs="Times New Roman"/>
                <w:color w:val="auto"/>
                <w:sz w:val="22"/>
                <w:szCs w:val="22"/>
              </w:rPr>
            </w:pPr>
            <w:r>
              <w:rPr>
                <w:rFonts w:eastAsia="Calibri" w:cs="Times New Roman"/>
                <w:color w:val="auto"/>
                <w:sz w:val="22"/>
                <w:szCs w:val="22"/>
              </w:rPr>
              <w:t>50%</w:t>
            </w:r>
            <w:r w:rsidR="000A7A2B">
              <w:rPr>
                <w:rFonts w:eastAsia="Calibri" w:cs="Times New Roman"/>
                <w:color w:val="auto"/>
                <w:sz w:val="22"/>
                <w:szCs w:val="22"/>
              </w:rPr>
              <w:t xml:space="preserve"> (~45</w:t>
            </w:r>
            <w:r w:rsidR="000A7A2B">
              <w:rPr>
                <w:rFonts w:eastAsia="Calibri" w:cs="Calibri"/>
                <w:color w:val="auto"/>
                <w:sz w:val="22"/>
                <w:szCs w:val="22"/>
              </w:rPr>
              <w:t>⁰</w:t>
            </w:r>
            <w:r w:rsidR="000A7A2B">
              <w:rPr>
                <w:rFonts w:eastAsia="Calibri" w:cs="Times New Roman"/>
                <w:color w:val="auto"/>
                <w:sz w:val="22"/>
                <w:szCs w:val="22"/>
              </w:rPr>
              <w:t>)</w:t>
            </w:r>
          </w:p>
        </w:tc>
        <w:tc>
          <w:tcPr>
            <w:tcW w:w="2430" w:type="dxa"/>
            <w:vAlign w:val="center"/>
          </w:tcPr>
          <w:p w:rsidR="003C53E8" w:rsidRPr="003C53E8" w:rsidRDefault="00E37E70" w:rsidP="00D2754A">
            <w:pPr>
              <w:contextualSpacing/>
              <w:rPr>
                <w:rFonts w:eastAsia="Calibri" w:cs="Times New Roman"/>
                <w:color w:val="auto"/>
                <w:sz w:val="22"/>
                <w:szCs w:val="22"/>
              </w:rPr>
            </w:pPr>
            <w:r>
              <w:rPr>
                <w:rFonts w:eastAsia="Calibri" w:cs="Times New Roman"/>
                <w:color w:val="auto"/>
                <w:sz w:val="22"/>
                <w:szCs w:val="22"/>
              </w:rPr>
              <w:t>45</w:t>
            </w:r>
            <w:r w:rsidR="003C53E8" w:rsidRPr="003C53E8">
              <w:rPr>
                <w:rFonts w:eastAsia="Calibri" w:cs="Times New Roman"/>
                <w:color w:val="auto"/>
                <w:sz w:val="22"/>
                <w:szCs w:val="22"/>
              </w:rPr>
              <w:t>⁰</w:t>
            </w:r>
            <w:r w:rsidR="00331575">
              <w:rPr>
                <w:rFonts w:eastAsia="Calibri" w:cs="Times New Roman"/>
                <w:color w:val="auto"/>
                <w:sz w:val="22"/>
                <w:szCs w:val="22"/>
              </w:rPr>
              <w:t xml:space="preserve"> / 30</w:t>
            </w:r>
            <w:r w:rsidR="00331575">
              <w:rPr>
                <w:rFonts w:eastAsia="Calibri" w:cs="Calibri"/>
                <w:color w:val="auto"/>
                <w:sz w:val="22"/>
                <w:szCs w:val="22"/>
              </w:rPr>
              <w:t>⁰*</w:t>
            </w:r>
          </w:p>
        </w:tc>
      </w:tr>
      <w:tr w:rsidR="003C53E8" w:rsidRPr="003C53E8" w:rsidTr="00D2754A">
        <w:trPr>
          <w:jc w:val="center"/>
        </w:trPr>
        <w:tc>
          <w:tcPr>
            <w:tcW w:w="2160" w:type="dxa"/>
            <w:vAlign w:val="center"/>
          </w:tcPr>
          <w:p w:rsidR="003C53E8" w:rsidRPr="003C53E8" w:rsidRDefault="003C53E8" w:rsidP="00D2754A">
            <w:pPr>
              <w:contextualSpacing/>
              <w:rPr>
                <w:rFonts w:eastAsia="Calibri" w:cs="Times New Roman"/>
                <w:color w:val="auto"/>
                <w:sz w:val="22"/>
                <w:szCs w:val="22"/>
              </w:rPr>
            </w:pPr>
            <w:r w:rsidRPr="003C53E8">
              <w:rPr>
                <w:rFonts w:eastAsia="Calibri" w:cs="Times New Roman"/>
                <w:color w:val="auto"/>
                <w:sz w:val="22"/>
                <w:szCs w:val="22"/>
              </w:rPr>
              <w:t xml:space="preserve">Combined </w:t>
            </w:r>
            <w:r w:rsidR="00D2754A">
              <w:rPr>
                <w:rFonts w:eastAsia="Calibri" w:cs="Times New Roman"/>
                <w:color w:val="auto"/>
                <w:sz w:val="22"/>
                <w:szCs w:val="22"/>
              </w:rPr>
              <w:t>(</w:t>
            </w:r>
            <w:r w:rsidRPr="003C53E8">
              <w:rPr>
                <w:rFonts w:eastAsia="Calibri" w:cs="Times New Roman"/>
                <w:color w:val="auto"/>
                <w:sz w:val="22"/>
                <w:szCs w:val="22"/>
              </w:rPr>
              <w:t>240⁰</w:t>
            </w:r>
            <w:r w:rsidR="00D2754A">
              <w:rPr>
                <w:rFonts w:eastAsia="Calibri" w:cs="Times New Roman"/>
                <w:color w:val="auto"/>
                <w:sz w:val="22"/>
                <w:szCs w:val="22"/>
              </w:rPr>
              <w:t>)</w:t>
            </w:r>
          </w:p>
        </w:tc>
        <w:tc>
          <w:tcPr>
            <w:tcW w:w="2340" w:type="dxa"/>
            <w:vAlign w:val="center"/>
          </w:tcPr>
          <w:p w:rsidR="003C53E8" w:rsidRPr="003C53E8" w:rsidRDefault="000D76A1" w:rsidP="00D2754A">
            <w:pPr>
              <w:contextualSpacing/>
              <w:rPr>
                <w:rFonts w:eastAsia="Calibri" w:cs="Times New Roman"/>
                <w:color w:val="auto"/>
                <w:sz w:val="22"/>
                <w:szCs w:val="22"/>
              </w:rPr>
            </w:pPr>
            <w:r>
              <w:rPr>
                <w:rFonts w:eastAsia="Calibri" w:cs="Times New Roman"/>
                <w:color w:val="auto"/>
                <w:sz w:val="22"/>
                <w:szCs w:val="22"/>
              </w:rPr>
              <w:t>40 - 75% (~145</w:t>
            </w:r>
            <w:r>
              <w:rPr>
                <w:rFonts w:eastAsia="Calibri" w:cs="Calibri"/>
                <w:color w:val="auto"/>
                <w:sz w:val="22"/>
                <w:szCs w:val="22"/>
              </w:rPr>
              <w:t>⁰</w:t>
            </w:r>
            <w:r>
              <w:rPr>
                <w:rFonts w:eastAsia="Calibri" w:cs="Times New Roman"/>
                <w:color w:val="auto"/>
                <w:sz w:val="22"/>
                <w:szCs w:val="22"/>
              </w:rPr>
              <w:t>)</w:t>
            </w:r>
          </w:p>
        </w:tc>
        <w:tc>
          <w:tcPr>
            <w:tcW w:w="2430" w:type="dxa"/>
            <w:vAlign w:val="center"/>
          </w:tcPr>
          <w:p w:rsidR="003C53E8" w:rsidRPr="003C53E8" w:rsidRDefault="00E37E70" w:rsidP="00D2754A">
            <w:pPr>
              <w:contextualSpacing/>
              <w:rPr>
                <w:rFonts w:eastAsia="Calibri" w:cs="Times New Roman"/>
                <w:color w:val="auto"/>
                <w:sz w:val="22"/>
                <w:szCs w:val="22"/>
              </w:rPr>
            </w:pPr>
            <w:r>
              <w:rPr>
                <w:rFonts w:eastAsia="Calibri" w:cs="Times New Roman"/>
                <w:color w:val="auto"/>
                <w:sz w:val="22"/>
                <w:szCs w:val="22"/>
              </w:rPr>
              <w:t>180</w:t>
            </w:r>
            <w:r w:rsidR="003C53E8" w:rsidRPr="003C53E8">
              <w:rPr>
                <w:rFonts w:eastAsia="Calibri" w:cs="Times New Roman"/>
                <w:color w:val="auto"/>
                <w:sz w:val="22"/>
                <w:szCs w:val="22"/>
              </w:rPr>
              <w:t>⁰</w:t>
            </w:r>
            <w:r w:rsidR="00331575">
              <w:rPr>
                <w:rFonts w:eastAsia="Calibri" w:cs="Times New Roman"/>
                <w:color w:val="auto"/>
                <w:sz w:val="22"/>
                <w:szCs w:val="22"/>
              </w:rPr>
              <w:t xml:space="preserve"> / 160*</w:t>
            </w:r>
          </w:p>
        </w:tc>
      </w:tr>
      <w:tr w:rsidR="003C53E8" w:rsidRPr="003C53E8" w:rsidTr="00D2754A">
        <w:trPr>
          <w:jc w:val="center"/>
        </w:trPr>
        <w:tc>
          <w:tcPr>
            <w:tcW w:w="2160" w:type="dxa"/>
            <w:vAlign w:val="center"/>
          </w:tcPr>
          <w:p w:rsidR="003C53E8" w:rsidRPr="003C53E8" w:rsidRDefault="003C53E8" w:rsidP="000D76A1">
            <w:pPr>
              <w:tabs>
                <w:tab w:val="left" w:pos="288"/>
                <w:tab w:val="left" w:pos="4752"/>
              </w:tabs>
              <w:spacing w:line="220" w:lineRule="exact"/>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2340" w:type="dxa"/>
            <w:vAlign w:val="center"/>
          </w:tcPr>
          <w:p w:rsidR="003C53E8" w:rsidRPr="003C53E8" w:rsidRDefault="00CD2FD5" w:rsidP="000D76A1">
            <w:pPr>
              <w:tabs>
                <w:tab w:val="left" w:pos="288"/>
                <w:tab w:val="left" w:pos="4752"/>
              </w:tabs>
              <w:spacing w:line="220" w:lineRule="exact"/>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Painful motion</w:t>
            </w:r>
            <w:r w:rsidR="00D2754A">
              <w:rPr>
                <w:rFonts w:asciiTheme="minorHAnsi" w:eastAsiaTheme="minorHAnsi" w:hAnsiTheme="minorHAnsi" w:cs="Times New Roman"/>
                <w:color w:val="auto"/>
                <w:sz w:val="22"/>
                <w:szCs w:val="22"/>
              </w:rPr>
              <w:t>; normal gait; n</w:t>
            </w:r>
            <w:r w:rsidR="00E37E70">
              <w:rPr>
                <w:rFonts w:asciiTheme="minorHAnsi" w:eastAsiaTheme="minorHAnsi" w:hAnsiTheme="minorHAnsi" w:cs="Times New Roman"/>
                <w:color w:val="auto"/>
                <w:sz w:val="22"/>
                <w:szCs w:val="22"/>
              </w:rPr>
              <w:t>o spasm</w:t>
            </w:r>
            <w:r w:rsidR="00D2754A">
              <w:rPr>
                <w:rFonts w:asciiTheme="minorHAnsi" w:eastAsiaTheme="minorHAnsi" w:hAnsiTheme="minorHAnsi" w:cs="Times New Roman"/>
                <w:color w:val="auto"/>
                <w:sz w:val="22"/>
                <w:szCs w:val="22"/>
              </w:rPr>
              <w:t>.</w:t>
            </w:r>
          </w:p>
        </w:tc>
        <w:tc>
          <w:tcPr>
            <w:tcW w:w="2430" w:type="dxa"/>
            <w:vAlign w:val="center"/>
          </w:tcPr>
          <w:p w:rsidR="003C53E8" w:rsidRPr="003C53E8" w:rsidRDefault="00CD2FD5" w:rsidP="000D76A1">
            <w:pPr>
              <w:tabs>
                <w:tab w:val="left" w:pos="288"/>
                <w:tab w:val="left" w:pos="4752"/>
              </w:tabs>
              <w:spacing w:line="220" w:lineRule="exact"/>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 xml:space="preserve">Normal gait; </w:t>
            </w:r>
            <w:r w:rsidR="00D2754A">
              <w:rPr>
                <w:rFonts w:asciiTheme="minorHAnsi" w:eastAsiaTheme="minorHAnsi" w:hAnsiTheme="minorHAnsi" w:cs="Times New Roman"/>
                <w:color w:val="auto"/>
                <w:sz w:val="22"/>
                <w:szCs w:val="22"/>
              </w:rPr>
              <w:t>s</w:t>
            </w:r>
            <w:r>
              <w:rPr>
                <w:rFonts w:asciiTheme="minorHAnsi" w:eastAsiaTheme="minorHAnsi" w:hAnsiTheme="minorHAnsi" w:cs="Times New Roman"/>
                <w:color w:val="auto"/>
                <w:sz w:val="22"/>
                <w:szCs w:val="22"/>
              </w:rPr>
              <w:t>pasm</w:t>
            </w:r>
            <w:r w:rsidR="00E37E70">
              <w:rPr>
                <w:rFonts w:asciiTheme="minorHAnsi" w:eastAsiaTheme="minorHAnsi" w:hAnsiTheme="minorHAnsi" w:cs="Times New Roman"/>
                <w:color w:val="auto"/>
                <w:sz w:val="22"/>
                <w:szCs w:val="22"/>
              </w:rPr>
              <w:t>; DeLuca positive</w:t>
            </w:r>
            <w:r w:rsidR="00D2754A">
              <w:rPr>
                <w:rFonts w:asciiTheme="minorHAnsi" w:eastAsiaTheme="minorHAnsi" w:hAnsiTheme="minorHAnsi" w:cs="Times New Roman"/>
                <w:color w:val="auto"/>
                <w:sz w:val="22"/>
                <w:szCs w:val="22"/>
              </w:rPr>
              <w:t>.</w:t>
            </w:r>
          </w:p>
        </w:tc>
      </w:tr>
      <w:tr w:rsidR="003C53E8" w:rsidRPr="003C53E8" w:rsidTr="00D2754A">
        <w:trPr>
          <w:trHeight w:val="70"/>
          <w:jc w:val="center"/>
        </w:trPr>
        <w:tc>
          <w:tcPr>
            <w:tcW w:w="2160" w:type="dxa"/>
            <w:vAlign w:val="center"/>
          </w:tcPr>
          <w:p w:rsidR="003C53E8" w:rsidRPr="003C53E8" w:rsidRDefault="003C53E8" w:rsidP="00D2754A">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2340" w:type="dxa"/>
            <w:vAlign w:val="center"/>
          </w:tcPr>
          <w:p w:rsidR="003C53E8" w:rsidRPr="003C53E8" w:rsidRDefault="00E37E70" w:rsidP="00D2754A">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p>
        </w:tc>
        <w:tc>
          <w:tcPr>
            <w:tcW w:w="2430" w:type="dxa"/>
            <w:vAlign w:val="center"/>
          </w:tcPr>
          <w:p w:rsidR="003C53E8" w:rsidRPr="003C53E8" w:rsidRDefault="00E37E70" w:rsidP="00D2754A">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20</w:t>
            </w:r>
            <w:r w:rsidR="003C53E8" w:rsidRPr="003C53E8">
              <w:rPr>
                <w:rFonts w:asciiTheme="minorHAnsi" w:eastAsiaTheme="minorHAnsi" w:hAnsiTheme="minorHAnsi" w:cs="Times New Roman"/>
                <w:color w:val="auto"/>
                <w:sz w:val="22"/>
                <w:szCs w:val="22"/>
              </w:rPr>
              <w:t>%</w:t>
            </w:r>
            <w:r w:rsidR="00D2754A">
              <w:rPr>
                <w:rFonts w:asciiTheme="minorHAnsi" w:eastAsiaTheme="minorHAnsi" w:hAnsiTheme="minorHAnsi" w:cs="Times New Roman"/>
                <w:color w:val="auto"/>
                <w:sz w:val="22"/>
                <w:szCs w:val="22"/>
              </w:rPr>
              <w:t xml:space="preserve"> </w:t>
            </w:r>
            <w:r>
              <w:rPr>
                <w:rFonts w:asciiTheme="minorHAnsi" w:eastAsiaTheme="minorHAnsi" w:hAnsiTheme="minorHAnsi" w:cs="Times New Roman"/>
                <w:color w:val="auto"/>
                <w:sz w:val="22"/>
                <w:szCs w:val="22"/>
              </w:rPr>
              <w:t>/</w:t>
            </w:r>
            <w:r w:rsidR="00D2754A">
              <w:rPr>
                <w:rFonts w:asciiTheme="minorHAnsi" w:eastAsiaTheme="minorHAnsi" w:hAnsiTheme="minorHAnsi" w:cs="Times New Roman"/>
                <w:color w:val="auto"/>
                <w:sz w:val="22"/>
                <w:szCs w:val="22"/>
              </w:rPr>
              <w:t xml:space="preserve"> </w:t>
            </w:r>
            <w:r>
              <w:rPr>
                <w:rFonts w:asciiTheme="minorHAnsi" w:eastAsiaTheme="minorHAnsi" w:hAnsiTheme="minorHAnsi" w:cs="Times New Roman"/>
                <w:color w:val="auto"/>
                <w:sz w:val="22"/>
                <w:szCs w:val="22"/>
              </w:rPr>
              <w:t>40%</w:t>
            </w:r>
            <w:r w:rsidR="004F2EA8">
              <w:rPr>
                <w:rFonts w:asciiTheme="minorHAnsi" w:eastAsiaTheme="minorHAnsi" w:hAnsiTheme="minorHAnsi" w:cs="Times New Roman"/>
                <w:color w:val="auto"/>
                <w:sz w:val="22"/>
                <w:szCs w:val="22"/>
              </w:rPr>
              <w:t>*</w:t>
            </w:r>
          </w:p>
        </w:tc>
      </w:tr>
    </w:tbl>
    <w:p w:rsidR="003C53E8" w:rsidRPr="003C53E8" w:rsidRDefault="003C53E8" w:rsidP="003C53E8">
      <w:pPr>
        <w:tabs>
          <w:tab w:val="left" w:pos="288"/>
          <w:tab w:val="left" w:pos="4752"/>
        </w:tabs>
        <w:jc w:val="left"/>
        <w:rPr>
          <w:rFonts w:asciiTheme="minorHAnsi" w:hAnsiTheme="minorHAnsi" w:cs="Times New Roman"/>
          <w:color w:val="auto"/>
          <w:sz w:val="18"/>
          <w:szCs w:val="24"/>
        </w:rPr>
      </w:pPr>
      <w:r w:rsidRPr="003C53E8">
        <w:rPr>
          <w:rFonts w:cs="Times New Roman"/>
          <w:color w:val="auto"/>
          <w:sz w:val="18"/>
          <w:szCs w:val="24"/>
        </w:rPr>
        <w:tab/>
      </w:r>
      <w:r w:rsidRPr="00D2754A">
        <w:rPr>
          <w:rFonts w:cs="Times New Roman"/>
          <w:color w:val="auto"/>
          <w:sz w:val="22"/>
          <w:szCs w:val="22"/>
        </w:rPr>
        <w:t xml:space="preserve">                       </w:t>
      </w:r>
      <w:r w:rsidR="00D2754A">
        <w:rPr>
          <w:rFonts w:cs="Times New Roman"/>
          <w:color w:val="auto"/>
          <w:sz w:val="22"/>
          <w:szCs w:val="22"/>
        </w:rPr>
        <w:t xml:space="preserve">                             </w:t>
      </w:r>
      <w:r w:rsidR="00331575" w:rsidRPr="00331575">
        <w:rPr>
          <w:rFonts w:cs="Times New Roman"/>
          <w:color w:val="auto"/>
          <w:sz w:val="22"/>
          <w:szCs w:val="22"/>
        </w:rPr>
        <w:t>* With DeLuca deduction</w:t>
      </w:r>
      <w:r w:rsidR="00331575">
        <w:rPr>
          <w:rFonts w:cs="Times New Roman"/>
          <w:color w:val="auto"/>
          <w:sz w:val="22"/>
          <w:szCs w:val="22"/>
        </w:rPr>
        <w:t>s</w:t>
      </w:r>
      <w:r w:rsidR="00331575" w:rsidRPr="00331575">
        <w:rPr>
          <w:rFonts w:cs="Times New Roman"/>
          <w:color w:val="auto"/>
          <w:sz w:val="22"/>
          <w:szCs w:val="22"/>
        </w:rPr>
        <w:t xml:space="preserve"> </w:t>
      </w:r>
      <w:r w:rsidR="00331575">
        <w:rPr>
          <w:rFonts w:cs="Times New Roman"/>
          <w:color w:val="auto"/>
          <w:sz w:val="22"/>
          <w:szCs w:val="22"/>
        </w:rPr>
        <w:t>of 15</w:t>
      </w:r>
      <w:r w:rsidR="00331575">
        <w:rPr>
          <w:rFonts w:cs="Calibri"/>
          <w:color w:val="auto"/>
          <w:sz w:val="22"/>
          <w:szCs w:val="22"/>
        </w:rPr>
        <w:t>⁰</w:t>
      </w:r>
      <w:r w:rsidR="00331575">
        <w:rPr>
          <w:rFonts w:cs="Times New Roman"/>
          <w:color w:val="auto"/>
          <w:sz w:val="22"/>
          <w:szCs w:val="22"/>
        </w:rPr>
        <w:t xml:space="preserve"> </w:t>
      </w:r>
      <w:r w:rsidR="00331575" w:rsidRPr="00331575">
        <w:rPr>
          <w:rFonts w:cs="Times New Roman"/>
          <w:color w:val="auto"/>
          <w:sz w:val="22"/>
          <w:szCs w:val="22"/>
        </w:rPr>
        <w:t>flexion</w:t>
      </w:r>
      <w:r w:rsidR="00331575">
        <w:rPr>
          <w:rFonts w:cs="Times New Roman"/>
          <w:color w:val="auto"/>
          <w:sz w:val="22"/>
          <w:szCs w:val="22"/>
        </w:rPr>
        <w:t xml:space="preserve"> and 20</w:t>
      </w:r>
      <w:r w:rsidR="00331575">
        <w:rPr>
          <w:rFonts w:cs="Calibri"/>
          <w:color w:val="auto"/>
          <w:sz w:val="22"/>
          <w:szCs w:val="22"/>
        </w:rPr>
        <w:t xml:space="preserve">⁰ </w:t>
      </w:r>
      <w:r w:rsidR="00331575">
        <w:rPr>
          <w:rFonts w:cs="Times New Roman"/>
          <w:color w:val="auto"/>
          <w:sz w:val="22"/>
          <w:szCs w:val="22"/>
        </w:rPr>
        <w:t>extension</w:t>
      </w:r>
      <w:r w:rsidR="00331575" w:rsidRPr="00331575">
        <w:rPr>
          <w:rFonts w:cs="Times New Roman"/>
          <w:color w:val="auto"/>
          <w:sz w:val="22"/>
          <w:szCs w:val="22"/>
        </w:rPr>
        <w:t>.</w:t>
      </w:r>
    </w:p>
    <w:p w:rsidR="003C53E8" w:rsidRPr="003C53E8" w:rsidRDefault="003C53E8" w:rsidP="003C53E8">
      <w:pPr>
        <w:tabs>
          <w:tab w:val="left" w:pos="288"/>
          <w:tab w:val="left" w:pos="4752"/>
        </w:tabs>
        <w:jc w:val="left"/>
        <w:rPr>
          <w:rFonts w:asciiTheme="minorHAnsi" w:hAnsiTheme="minorHAnsi" w:cs="Times New Roman"/>
          <w:color w:val="auto"/>
          <w:szCs w:val="24"/>
        </w:rPr>
      </w:pPr>
    </w:p>
    <w:p w:rsidR="001A3F8B" w:rsidRDefault="003A6298" w:rsidP="003A3798">
      <w:pPr>
        <w:jc w:val="both"/>
        <w:rPr>
          <w:color w:val="000000" w:themeColor="text1"/>
          <w:szCs w:val="24"/>
        </w:rPr>
      </w:pPr>
      <w:r>
        <w:rPr>
          <w:rFonts w:asciiTheme="minorHAnsi" w:hAnsiTheme="minorHAnsi" w:cs="Times New Roman"/>
          <w:color w:val="auto"/>
          <w:szCs w:val="24"/>
        </w:rPr>
        <w:t xml:space="preserve">A memorandum from the </w:t>
      </w:r>
      <w:r w:rsidR="00DC4EA6">
        <w:rPr>
          <w:rFonts w:asciiTheme="minorHAnsi" w:hAnsiTheme="minorHAnsi" w:cs="Times New Roman"/>
          <w:color w:val="auto"/>
          <w:szCs w:val="24"/>
        </w:rPr>
        <w:t xml:space="preserve">PEB dated 16 October 2008 indicates that clinic notes in the electronic medical record served the purpose of a formal narrative summary (NARSUM).  The MEB </w:t>
      </w:r>
      <w:r w:rsidR="00510971">
        <w:rPr>
          <w:rFonts w:asciiTheme="minorHAnsi" w:hAnsiTheme="minorHAnsi" w:cs="Times New Roman"/>
          <w:color w:val="auto"/>
          <w:szCs w:val="24"/>
        </w:rPr>
        <w:t>physician</w:t>
      </w:r>
      <w:r w:rsidR="00DC4EA6">
        <w:rPr>
          <w:rFonts w:asciiTheme="minorHAnsi" w:hAnsiTheme="minorHAnsi" w:cs="Times New Roman"/>
          <w:color w:val="auto"/>
          <w:szCs w:val="24"/>
        </w:rPr>
        <w:t xml:space="preserve"> </w:t>
      </w:r>
      <w:r w:rsidR="00510971">
        <w:rPr>
          <w:rFonts w:asciiTheme="minorHAnsi" w:hAnsiTheme="minorHAnsi" w:cs="Times New Roman"/>
          <w:color w:val="auto"/>
          <w:szCs w:val="24"/>
        </w:rPr>
        <w:t>recorded normal gait and stance, and normal muscle tone and strength.  The examiner stated that “</w:t>
      </w:r>
      <w:proofErr w:type="spellStart"/>
      <w:r>
        <w:rPr>
          <w:rFonts w:asciiTheme="minorHAnsi" w:hAnsiTheme="minorHAnsi" w:cs="Times New Roman"/>
          <w:color w:val="auto"/>
          <w:szCs w:val="24"/>
        </w:rPr>
        <w:t>t</w:t>
      </w:r>
      <w:r w:rsidR="00510971" w:rsidRPr="00510971">
        <w:rPr>
          <w:rFonts w:asciiTheme="minorHAnsi" w:hAnsiTheme="minorHAnsi" w:cs="Times New Roman"/>
          <w:color w:val="auto"/>
          <w:szCs w:val="24"/>
        </w:rPr>
        <w:t>horacolumbar</w:t>
      </w:r>
      <w:proofErr w:type="spellEnd"/>
      <w:r w:rsidR="00510971" w:rsidRPr="00510971">
        <w:rPr>
          <w:rFonts w:asciiTheme="minorHAnsi" w:hAnsiTheme="minorHAnsi" w:cs="Times New Roman"/>
          <w:color w:val="auto"/>
          <w:szCs w:val="24"/>
        </w:rPr>
        <w:t xml:space="preserve"> spine demonstrated full range of motion except as noted</w:t>
      </w:r>
      <w:r w:rsidR="004A7B4E">
        <w:rPr>
          <w:rFonts w:asciiTheme="minorHAnsi" w:hAnsiTheme="minorHAnsi" w:cs="Times New Roman"/>
          <w:color w:val="auto"/>
          <w:szCs w:val="24"/>
        </w:rPr>
        <w:t>;</w:t>
      </w:r>
      <w:r w:rsidR="00510971">
        <w:rPr>
          <w:rFonts w:asciiTheme="minorHAnsi" w:hAnsiTheme="minorHAnsi" w:cs="Times New Roman"/>
          <w:color w:val="auto"/>
          <w:szCs w:val="24"/>
        </w:rPr>
        <w:t>”</w:t>
      </w:r>
      <w:r w:rsidR="00F13286">
        <w:rPr>
          <w:rFonts w:asciiTheme="minorHAnsi" w:hAnsiTheme="minorHAnsi" w:cs="Times New Roman"/>
          <w:color w:val="auto"/>
          <w:szCs w:val="24"/>
        </w:rPr>
        <w:t xml:space="preserve"> however</w:t>
      </w:r>
      <w:r w:rsidR="00082821">
        <w:rPr>
          <w:rFonts w:asciiTheme="minorHAnsi" w:hAnsiTheme="minorHAnsi" w:cs="Times New Roman"/>
          <w:color w:val="auto"/>
          <w:szCs w:val="24"/>
        </w:rPr>
        <w:t>,</w:t>
      </w:r>
      <w:r w:rsidR="00F13286">
        <w:rPr>
          <w:rFonts w:asciiTheme="minorHAnsi" w:hAnsiTheme="minorHAnsi" w:cs="Times New Roman"/>
          <w:color w:val="auto"/>
          <w:szCs w:val="24"/>
        </w:rPr>
        <w:t xml:space="preserve"> no limitations of ROM were specified in the document</w:t>
      </w:r>
      <w:r w:rsidR="00510971" w:rsidRPr="00510971">
        <w:rPr>
          <w:rFonts w:asciiTheme="minorHAnsi" w:hAnsiTheme="minorHAnsi" w:cs="Times New Roman"/>
          <w:color w:val="auto"/>
          <w:szCs w:val="24"/>
        </w:rPr>
        <w:t>.</w:t>
      </w:r>
      <w:r w:rsidR="00F13286">
        <w:rPr>
          <w:rFonts w:asciiTheme="minorHAnsi" w:hAnsiTheme="minorHAnsi" w:cs="Times New Roman"/>
          <w:color w:val="auto"/>
          <w:szCs w:val="24"/>
        </w:rPr>
        <w:t xml:space="preserve">  </w:t>
      </w:r>
      <w:r w:rsidR="00510971">
        <w:rPr>
          <w:rFonts w:asciiTheme="minorHAnsi" w:hAnsiTheme="minorHAnsi" w:cs="Times New Roman"/>
          <w:color w:val="auto"/>
          <w:szCs w:val="24"/>
        </w:rPr>
        <w:t xml:space="preserve">A </w:t>
      </w:r>
      <w:r>
        <w:rPr>
          <w:rFonts w:asciiTheme="minorHAnsi" w:hAnsiTheme="minorHAnsi" w:cs="Times New Roman"/>
          <w:color w:val="auto"/>
          <w:szCs w:val="24"/>
        </w:rPr>
        <w:t>physical t</w:t>
      </w:r>
      <w:r w:rsidR="000A7A2B">
        <w:rPr>
          <w:rFonts w:asciiTheme="minorHAnsi" w:hAnsiTheme="minorHAnsi" w:cs="Times New Roman"/>
          <w:color w:val="auto"/>
          <w:szCs w:val="24"/>
        </w:rPr>
        <w:t>herapy (PT) evaluation</w:t>
      </w:r>
      <w:r w:rsidR="00510971">
        <w:rPr>
          <w:rFonts w:asciiTheme="minorHAnsi" w:hAnsiTheme="minorHAnsi" w:cs="Times New Roman"/>
          <w:color w:val="auto"/>
          <w:szCs w:val="24"/>
        </w:rPr>
        <w:t xml:space="preserve"> 4 months earlier re</w:t>
      </w:r>
      <w:r w:rsidR="000A7A2B">
        <w:rPr>
          <w:rFonts w:asciiTheme="minorHAnsi" w:hAnsiTheme="minorHAnsi" w:cs="Times New Roman"/>
          <w:color w:val="auto"/>
          <w:szCs w:val="24"/>
        </w:rPr>
        <w:t>corded forward flexion at 50% (of</w:t>
      </w:r>
      <w:r w:rsidR="00510971">
        <w:rPr>
          <w:rFonts w:asciiTheme="minorHAnsi" w:hAnsiTheme="minorHAnsi" w:cs="Times New Roman"/>
          <w:color w:val="auto"/>
          <w:szCs w:val="24"/>
        </w:rPr>
        <w:t xml:space="preserve"> normal</w:t>
      </w:r>
      <w:r w:rsidR="000A7A2B">
        <w:rPr>
          <w:rFonts w:asciiTheme="minorHAnsi" w:hAnsiTheme="minorHAnsi" w:cs="Times New Roman"/>
          <w:color w:val="auto"/>
          <w:szCs w:val="24"/>
        </w:rPr>
        <w:t>)</w:t>
      </w:r>
      <w:r w:rsidR="00510971">
        <w:rPr>
          <w:rFonts w:asciiTheme="minorHAnsi" w:hAnsiTheme="minorHAnsi" w:cs="Times New Roman"/>
          <w:color w:val="auto"/>
          <w:szCs w:val="24"/>
        </w:rPr>
        <w:t>, extensio</w:t>
      </w:r>
      <w:r w:rsidR="000A7A2B">
        <w:rPr>
          <w:rFonts w:asciiTheme="minorHAnsi" w:hAnsiTheme="minorHAnsi" w:cs="Times New Roman"/>
          <w:color w:val="auto"/>
          <w:szCs w:val="24"/>
        </w:rPr>
        <w:t>n 40%</w:t>
      </w:r>
      <w:r w:rsidR="00510971">
        <w:rPr>
          <w:rFonts w:asciiTheme="minorHAnsi" w:hAnsiTheme="minorHAnsi" w:cs="Times New Roman"/>
          <w:color w:val="auto"/>
          <w:szCs w:val="24"/>
        </w:rPr>
        <w:t xml:space="preserve">, lateral flexion 65%, and rotation 75% </w:t>
      </w:r>
      <w:r w:rsidR="000D76A1">
        <w:rPr>
          <w:rFonts w:asciiTheme="minorHAnsi" w:hAnsiTheme="minorHAnsi" w:cs="Times New Roman"/>
          <w:color w:val="auto"/>
          <w:szCs w:val="24"/>
        </w:rPr>
        <w:t>bilaterally;</w:t>
      </w:r>
      <w:r w:rsidR="00510971">
        <w:rPr>
          <w:rFonts w:asciiTheme="minorHAnsi" w:hAnsiTheme="minorHAnsi" w:cs="Times New Roman"/>
          <w:color w:val="auto"/>
          <w:szCs w:val="24"/>
        </w:rPr>
        <w:t xml:space="preserve"> with pain in all planes of motion.</w:t>
      </w:r>
      <w:r w:rsidR="00FC4E64">
        <w:rPr>
          <w:rFonts w:asciiTheme="minorHAnsi" w:hAnsiTheme="minorHAnsi" w:cs="Times New Roman"/>
          <w:color w:val="auto"/>
          <w:szCs w:val="24"/>
        </w:rPr>
        <w:t xml:space="preserve">  The </w:t>
      </w:r>
      <w:r w:rsidR="003C53E8" w:rsidRPr="003C53E8">
        <w:rPr>
          <w:rFonts w:asciiTheme="minorHAnsi" w:hAnsiTheme="minorHAnsi" w:cs="Times New Roman"/>
          <w:color w:val="auto"/>
          <w:szCs w:val="24"/>
        </w:rPr>
        <w:t>VA Compensation &amp; Pension (C&amp;P) exam</w:t>
      </w:r>
      <w:r w:rsidR="00FC4E64">
        <w:rPr>
          <w:rFonts w:asciiTheme="minorHAnsi" w:hAnsiTheme="minorHAnsi" w:cs="Times New Roman"/>
          <w:color w:val="auto"/>
          <w:szCs w:val="24"/>
        </w:rPr>
        <w:t>iner also noted normal gait and spinal curvature, a normal motor and sensory examination, and bilateral paraspinous muscle spasm.  ROM was limited in flexion and extension only</w:t>
      </w:r>
      <w:r w:rsidR="004F2EA8">
        <w:rPr>
          <w:rFonts w:asciiTheme="minorHAnsi" w:hAnsiTheme="minorHAnsi" w:cs="Times New Roman"/>
          <w:color w:val="auto"/>
          <w:szCs w:val="24"/>
        </w:rPr>
        <w:t>, with evidence of painful motion</w:t>
      </w:r>
      <w:r w:rsidR="00FC4E64">
        <w:rPr>
          <w:rFonts w:asciiTheme="minorHAnsi" w:hAnsiTheme="minorHAnsi" w:cs="Times New Roman"/>
          <w:color w:val="auto"/>
          <w:szCs w:val="24"/>
        </w:rPr>
        <w:t xml:space="preserve">.  </w:t>
      </w:r>
      <w:r w:rsidR="000A7A2B">
        <w:rPr>
          <w:rFonts w:asciiTheme="minorHAnsi" w:hAnsiTheme="minorHAnsi" w:cs="Times New Roman"/>
          <w:color w:val="auto"/>
          <w:szCs w:val="24"/>
        </w:rPr>
        <w:t xml:space="preserve">The baseline measurements, as charted above, were </w:t>
      </w:r>
      <w:r w:rsidR="00F47EF5">
        <w:rPr>
          <w:rFonts w:asciiTheme="minorHAnsi" w:hAnsiTheme="minorHAnsi" w:cs="Times New Roman"/>
          <w:color w:val="auto"/>
          <w:szCs w:val="24"/>
        </w:rPr>
        <w:t>concordant</w:t>
      </w:r>
      <w:r w:rsidR="000A7A2B">
        <w:rPr>
          <w:rFonts w:asciiTheme="minorHAnsi" w:hAnsiTheme="minorHAnsi" w:cs="Times New Roman"/>
          <w:color w:val="auto"/>
          <w:szCs w:val="24"/>
        </w:rPr>
        <w:t xml:space="preserve"> with those noted by </w:t>
      </w:r>
      <w:r w:rsidR="00F47EF5">
        <w:rPr>
          <w:rFonts w:asciiTheme="minorHAnsi" w:hAnsiTheme="minorHAnsi" w:cs="Times New Roman"/>
          <w:color w:val="auto"/>
          <w:szCs w:val="24"/>
        </w:rPr>
        <w:t xml:space="preserve">the MEB PT evaluation and gross observations in outpatient notes.  </w:t>
      </w:r>
      <w:r w:rsidR="00082821">
        <w:rPr>
          <w:rFonts w:asciiTheme="minorHAnsi" w:hAnsiTheme="minorHAnsi" w:cs="Times New Roman"/>
          <w:color w:val="auto"/>
          <w:szCs w:val="24"/>
        </w:rPr>
        <w:t>F</w:t>
      </w:r>
      <w:r w:rsidR="00FC4E64">
        <w:rPr>
          <w:rFonts w:asciiTheme="minorHAnsi" w:hAnsiTheme="minorHAnsi" w:cs="Times New Roman"/>
          <w:color w:val="auto"/>
          <w:szCs w:val="24"/>
        </w:rPr>
        <w:t>orward flexion was reduced to 30</w:t>
      </w:r>
      <w:r w:rsidR="00FC4E64" w:rsidRPr="00FC4E64">
        <w:rPr>
          <w:rFonts w:asciiTheme="minorHAnsi" w:hAnsiTheme="minorHAnsi" w:cs="Times New Roman"/>
          <w:color w:val="auto"/>
          <w:szCs w:val="24"/>
        </w:rPr>
        <w:t>⁰</w:t>
      </w:r>
      <w:r w:rsidR="004F2EA8">
        <w:rPr>
          <w:rFonts w:asciiTheme="minorHAnsi" w:hAnsiTheme="minorHAnsi" w:cs="Times New Roman"/>
          <w:color w:val="auto"/>
          <w:szCs w:val="24"/>
        </w:rPr>
        <w:t xml:space="preserve"> </w:t>
      </w:r>
      <w:r w:rsidR="00590544">
        <w:rPr>
          <w:rFonts w:asciiTheme="minorHAnsi" w:hAnsiTheme="minorHAnsi" w:cs="Times New Roman"/>
          <w:color w:val="auto"/>
          <w:szCs w:val="24"/>
        </w:rPr>
        <w:t>and extension to 10</w:t>
      </w:r>
      <w:r w:rsidR="00590544">
        <w:rPr>
          <w:rFonts w:asciiTheme="minorHAnsi" w:hAnsiTheme="minorHAnsi"/>
          <w:color w:val="auto"/>
          <w:szCs w:val="24"/>
        </w:rPr>
        <w:t>⁰</w:t>
      </w:r>
      <w:r w:rsidR="00590544">
        <w:rPr>
          <w:rFonts w:asciiTheme="minorHAnsi" w:hAnsiTheme="minorHAnsi" w:cs="Times New Roman"/>
          <w:color w:val="auto"/>
          <w:szCs w:val="24"/>
        </w:rPr>
        <w:t xml:space="preserve"> </w:t>
      </w:r>
      <w:r w:rsidR="00082821">
        <w:rPr>
          <w:rFonts w:asciiTheme="minorHAnsi" w:hAnsiTheme="minorHAnsi" w:cs="Times New Roman"/>
          <w:color w:val="auto"/>
          <w:szCs w:val="24"/>
        </w:rPr>
        <w:t xml:space="preserve">following three repetitions, </w:t>
      </w:r>
      <w:r w:rsidR="00590544">
        <w:rPr>
          <w:rFonts w:asciiTheme="minorHAnsi" w:hAnsiTheme="minorHAnsi" w:cs="Times New Roman"/>
          <w:color w:val="auto"/>
          <w:szCs w:val="24"/>
        </w:rPr>
        <w:t xml:space="preserve">although bilateral rotation and lateral flexion remained normal </w:t>
      </w:r>
      <w:r w:rsidR="00082821">
        <w:rPr>
          <w:rFonts w:asciiTheme="minorHAnsi" w:hAnsiTheme="minorHAnsi" w:cs="Times New Roman"/>
          <w:color w:val="auto"/>
          <w:szCs w:val="24"/>
        </w:rPr>
        <w:t>(</w:t>
      </w:r>
      <w:r w:rsidR="00590544">
        <w:rPr>
          <w:rFonts w:asciiTheme="minorHAnsi" w:hAnsiTheme="minorHAnsi" w:cs="Times New Roman"/>
          <w:color w:val="auto"/>
          <w:szCs w:val="24"/>
        </w:rPr>
        <w:t>before and after repetitions</w:t>
      </w:r>
      <w:r w:rsidR="00082821">
        <w:rPr>
          <w:rFonts w:asciiTheme="minorHAnsi" w:hAnsiTheme="minorHAnsi" w:cs="Times New Roman"/>
          <w:color w:val="auto"/>
          <w:szCs w:val="24"/>
        </w:rPr>
        <w:t>)</w:t>
      </w:r>
      <w:r w:rsidR="00590544">
        <w:rPr>
          <w:rFonts w:asciiTheme="minorHAnsi" w:hAnsiTheme="minorHAnsi" w:cs="Times New Roman"/>
          <w:color w:val="auto"/>
          <w:szCs w:val="24"/>
        </w:rPr>
        <w:t xml:space="preserve">.  The </w:t>
      </w:r>
      <w:r w:rsidR="001A3F8B">
        <w:rPr>
          <w:rFonts w:asciiTheme="minorHAnsi" w:hAnsiTheme="minorHAnsi" w:cs="Times New Roman"/>
          <w:color w:val="auto"/>
          <w:szCs w:val="24"/>
        </w:rPr>
        <w:t xml:space="preserve">VA examiner recorded “fatigue” as </w:t>
      </w:r>
      <w:r w:rsidR="00590544">
        <w:rPr>
          <w:rFonts w:asciiTheme="minorHAnsi" w:hAnsiTheme="minorHAnsi" w:cs="Times New Roman"/>
          <w:color w:val="auto"/>
          <w:szCs w:val="24"/>
        </w:rPr>
        <w:t>“</w:t>
      </w:r>
      <w:r w:rsidR="001A3F8B">
        <w:rPr>
          <w:rFonts w:asciiTheme="minorHAnsi" w:hAnsiTheme="minorHAnsi" w:cs="Times New Roman"/>
          <w:color w:val="auto"/>
          <w:szCs w:val="24"/>
        </w:rPr>
        <w:t xml:space="preserve">the </w:t>
      </w:r>
      <w:r w:rsidR="00590544">
        <w:rPr>
          <w:rFonts w:asciiTheme="minorHAnsi" w:hAnsiTheme="minorHAnsi" w:cs="Times New Roman"/>
          <w:color w:val="auto"/>
          <w:szCs w:val="24"/>
        </w:rPr>
        <w:t xml:space="preserve">most important factor” for the reduced ROM with repetition.  </w:t>
      </w:r>
      <w:r w:rsidR="00B76A08">
        <w:rPr>
          <w:color w:val="000000" w:themeColor="text1"/>
          <w:szCs w:val="24"/>
        </w:rPr>
        <w:t xml:space="preserve">A VA electrodiagnostic (EMG) study was normal without evidence of neuropathy. </w:t>
      </w:r>
    </w:p>
    <w:p w:rsidR="00BD7030" w:rsidRDefault="00BD7030" w:rsidP="003A3798">
      <w:pPr>
        <w:jc w:val="both"/>
        <w:rPr>
          <w:rFonts w:asciiTheme="minorHAnsi" w:hAnsiTheme="minorHAnsi" w:cs="Times New Roman"/>
          <w:color w:val="auto"/>
          <w:szCs w:val="24"/>
        </w:rPr>
      </w:pPr>
    </w:p>
    <w:p w:rsidR="00BD7030" w:rsidRPr="00BD7030" w:rsidRDefault="001A3F8B" w:rsidP="003E03EA">
      <w:pPr>
        <w:jc w:val="both"/>
        <w:rPr>
          <w:rFonts w:asciiTheme="minorHAnsi" w:hAnsiTheme="minorHAns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3A3798" w:rsidRPr="00700A30">
        <w:rPr>
          <w:color w:val="000000"/>
          <w:szCs w:val="24"/>
        </w:rPr>
        <w:t>The MEB and VA applied different VASRD codes</w:t>
      </w:r>
      <w:r w:rsidR="00082821">
        <w:rPr>
          <w:color w:val="000000"/>
          <w:szCs w:val="24"/>
        </w:rPr>
        <w:t>,</w:t>
      </w:r>
      <w:r w:rsidR="003A3798" w:rsidRPr="00700A30">
        <w:rPr>
          <w:color w:val="000000"/>
          <w:szCs w:val="24"/>
        </w:rPr>
        <w:t xml:space="preserve"> </w:t>
      </w:r>
      <w:r w:rsidR="00082821">
        <w:rPr>
          <w:color w:val="000000"/>
          <w:szCs w:val="24"/>
        </w:rPr>
        <w:t>but were subject to</w:t>
      </w:r>
      <w:r w:rsidR="003A3798" w:rsidRPr="00700A30">
        <w:rPr>
          <w:color w:val="000000"/>
          <w:szCs w:val="24"/>
        </w:rPr>
        <w:t xml:space="preserve"> </w:t>
      </w:r>
      <w:r w:rsidR="003A3798">
        <w:rPr>
          <w:color w:val="000000"/>
          <w:szCs w:val="24"/>
        </w:rPr>
        <w:t xml:space="preserve">the </w:t>
      </w:r>
      <w:r w:rsidR="00082821">
        <w:rPr>
          <w:color w:val="000000"/>
          <w:szCs w:val="24"/>
        </w:rPr>
        <w:t xml:space="preserve">same </w:t>
      </w:r>
      <w:r w:rsidR="003A3798" w:rsidRPr="00700A30">
        <w:rPr>
          <w:color w:val="000000"/>
          <w:szCs w:val="24"/>
        </w:rPr>
        <w:t xml:space="preserve">rating criteria.  </w:t>
      </w:r>
      <w:r w:rsidR="003C53E8" w:rsidRPr="0063738E">
        <w:rPr>
          <w:rFonts w:asciiTheme="minorHAnsi" w:hAnsiTheme="minorHAnsi" w:cs="Times New Roman"/>
          <w:color w:val="auto"/>
          <w:szCs w:val="24"/>
        </w:rPr>
        <w:t xml:space="preserve">The </w:t>
      </w:r>
      <w:r>
        <w:rPr>
          <w:rFonts w:asciiTheme="minorHAnsi" w:hAnsiTheme="minorHAnsi" w:cs="Times New Roman"/>
          <w:color w:val="auto"/>
          <w:szCs w:val="24"/>
        </w:rPr>
        <w:t>F</w:t>
      </w:r>
      <w:r w:rsidR="003C53E8" w:rsidRPr="0063738E">
        <w:rPr>
          <w:rFonts w:asciiTheme="minorHAnsi" w:hAnsiTheme="minorHAnsi" w:cs="Times New Roman"/>
          <w:color w:val="auto"/>
          <w:szCs w:val="24"/>
        </w:rPr>
        <w:t xml:space="preserve">PEB’s </w:t>
      </w:r>
      <w:r w:rsidR="0063738E" w:rsidRPr="0063738E">
        <w:rPr>
          <w:rFonts w:asciiTheme="minorHAnsi" w:hAnsiTheme="minorHAnsi" w:cs="Times New Roman"/>
          <w:color w:val="auto"/>
          <w:szCs w:val="24"/>
        </w:rPr>
        <w:t>AF</w:t>
      </w:r>
      <w:r w:rsidR="003C53E8" w:rsidRPr="0063738E">
        <w:rPr>
          <w:rFonts w:asciiTheme="minorHAnsi" w:hAnsiTheme="minorHAnsi" w:cs="Times New Roman"/>
          <w:color w:val="auto"/>
          <w:szCs w:val="24"/>
        </w:rPr>
        <w:t xml:space="preserve"> Form </w:t>
      </w:r>
      <w:r w:rsidR="0063738E" w:rsidRPr="0063738E">
        <w:rPr>
          <w:rFonts w:asciiTheme="minorHAnsi" w:hAnsiTheme="minorHAnsi" w:cs="Times New Roman"/>
          <w:color w:val="auto"/>
          <w:szCs w:val="24"/>
        </w:rPr>
        <w:t>356</w:t>
      </w:r>
      <w:r>
        <w:rPr>
          <w:rFonts w:asciiTheme="minorHAnsi" w:hAnsiTheme="minorHAnsi" w:cs="Times New Roman"/>
          <w:color w:val="auto"/>
          <w:szCs w:val="24"/>
        </w:rPr>
        <w:t xml:space="preserve"> stated that the CI’s “</w:t>
      </w:r>
      <w:r w:rsidRPr="001A3F8B">
        <w:rPr>
          <w:rFonts w:cs="Times New Roman"/>
          <w:color w:val="auto"/>
        </w:rPr>
        <w:t>thoracolumbar range of motion over the past</w:t>
      </w:r>
      <w:r>
        <w:rPr>
          <w:rFonts w:cs="Times New Roman"/>
          <w:color w:val="auto"/>
        </w:rPr>
        <w:t xml:space="preserve"> </w:t>
      </w:r>
      <w:r w:rsidRPr="001A3F8B">
        <w:rPr>
          <w:rFonts w:cs="Times New Roman"/>
          <w:color w:val="auto"/>
        </w:rPr>
        <w:t>several months has varied from 50% of normal to full within the last year.</w:t>
      </w:r>
      <w:r>
        <w:rPr>
          <w:rFonts w:asciiTheme="minorHAnsi" w:hAnsiTheme="minorHAnsi" w:cs="Times New Roman"/>
          <w:color w:val="auto"/>
          <w:szCs w:val="24"/>
        </w:rPr>
        <w:t xml:space="preserve">”  </w:t>
      </w:r>
      <w:r w:rsidR="0063738E">
        <w:rPr>
          <w:rFonts w:asciiTheme="minorHAnsi" w:hAnsiTheme="minorHAnsi" w:cs="Times New Roman"/>
          <w:color w:val="auto"/>
          <w:szCs w:val="24"/>
        </w:rPr>
        <w:t xml:space="preserve">The VA rating decision </w:t>
      </w:r>
      <w:r w:rsidR="00576355">
        <w:rPr>
          <w:rFonts w:asciiTheme="minorHAnsi" w:hAnsiTheme="minorHAnsi" w:cs="Times New Roman"/>
          <w:color w:val="auto"/>
          <w:szCs w:val="24"/>
        </w:rPr>
        <w:t>stat</w:t>
      </w:r>
      <w:r w:rsidR="0063738E">
        <w:rPr>
          <w:rFonts w:asciiTheme="minorHAnsi" w:hAnsiTheme="minorHAnsi" w:cs="Times New Roman"/>
          <w:color w:val="auto"/>
          <w:szCs w:val="24"/>
        </w:rPr>
        <w:t xml:space="preserve">es that </w:t>
      </w:r>
      <w:r w:rsidR="00576355">
        <w:rPr>
          <w:rFonts w:asciiTheme="minorHAnsi" w:hAnsiTheme="minorHAnsi" w:cs="Times New Roman"/>
          <w:color w:val="auto"/>
          <w:szCs w:val="24"/>
        </w:rPr>
        <w:t>its</w:t>
      </w:r>
      <w:r w:rsidR="0063738E">
        <w:rPr>
          <w:rFonts w:asciiTheme="minorHAnsi" w:hAnsiTheme="minorHAnsi" w:cs="Times New Roman"/>
          <w:color w:val="auto"/>
          <w:szCs w:val="24"/>
        </w:rPr>
        <w:t xml:space="preserve"> </w:t>
      </w:r>
      <w:r w:rsidR="00576355">
        <w:rPr>
          <w:rFonts w:asciiTheme="minorHAnsi" w:hAnsiTheme="minorHAnsi" w:cs="Times New Roman"/>
          <w:color w:val="auto"/>
          <w:szCs w:val="24"/>
        </w:rPr>
        <w:t>determination</w:t>
      </w:r>
      <w:r w:rsidR="0063738E">
        <w:rPr>
          <w:rFonts w:asciiTheme="minorHAnsi" w:hAnsiTheme="minorHAnsi" w:cs="Times New Roman"/>
          <w:color w:val="auto"/>
          <w:szCs w:val="24"/>
        </w:rPr>
        <w:t xml:space="preserve"> was based on “evidence of </w:t>
      </w:r>
      <w:r w:rsidR="0063738E" w:rsidRPr="0063738E">
        <w:rPr>
          <w:rFonts w:asciiTheme="minorHAnsi" w:hAnsiTheme="minorHAnsi" w:cs="Times New Roman"/>
          <w:color w:val="auto"/>
          <w:szCs w:val="24"/>
        </w:rPr>
        <w:t>additional limited joint function on repetition due to pain and fatigue, but not</w:t>
      </w:r>
      <w:r w:rsidR="0063738E">
        <w:rPr>
          <w:rFonts w:asciiTheme="minorHAnsi" w:hAnsiTheme="minorHAnsi" w:cs="Times New Roman"/>
          <w:color w:val="auto"/>
          <w:szCs w:val="24"/>
        </w:rPr>
        <w:t xml:space="preserve"> </w:t>
      </w:r>
      <w:r w:rsidR="0063738E" w:rsidRPr="0063738E">
        <w:rPr>
          <w:rFonts w:asciiTheme="minorHAnsi" w:hAnsiTheme="minorHAnsi" w:cs="Times New Roman"/>
          <w:color w:val="auto"/>
          <w:szCs w:val="24"/>
        </w:rPr>
        <w:t>weakness; lack of endurance; or incoordination</w:t>
      </w:r>
      <w:r>
        <w:rPr>
          <w:rFonts w:asciiTheme="minorHAnsi" w:hAnsiTheme="minorHAnsi" w:cs="Times New Roman"/>
          <w:color w:val="auto"/>
          <w:szCs w:val="24"/>
        </w:rPr>
        <w:t xml:space="preserve">” </w:t>
      </w:r>
      <w:r>
        <w:rPr>
          <w:rFonts w:asciiTheme="minorHAnsi" w:hAnsiTheme="minorHAnsi" w:cs="Times New Roman"/>
          <w:color w:val="auto"/>
          <w:szCs w:val="24"/>
        </w:rPr>
        <w:lastRenderedPageBreak/>
        <w:t>(</w:t>
      </w:r>
      <w:r w:rsidR="0063738E">
        <w:rPr>
          <w:rFonts w:asciiTheme="minorHAnsi" w:hAnsiTheme="minorHAnsi" w:cs="Times New Roman"/>
          <w:color w:val="auto"/>
          <w:szCs w:val="24"/>
        </w:rPr>
        <w:t xml:space="preserve">DeLuca </w:t>
      </w:r>
      <w:r>
        <w:rPr>
          <w:rFonts w:asciiTheme="minorHAnsi" w:hAnsiTheme="minorHAnsi" w:cs="Times New Roman"/>
          <w:color w:val="auto"/>
          <w:szCs w:val="24"/>
        </w:rPr>
        <w:t>language)</w:t>
      </w:r>
      <w:r w:rsidR="00576355">
        <w:rPr>
          <w:rFonts w:asciiTheme="minorHAnsi" w:hAnsiTheme="minorHAnsi" w:cs="Times New Roman"/>
          <w:color w:val="auto"/>
          <w:szCs w:val="24"/>
        </w:rPr>
        <w:t>; and, the resulting 30</w:t>
      </w:r>
      <w:r w:rsidR="00576355">
        <w:rPr>
          <w:rFonts w:asciiTheme="minorHAnsi" w:hAnsiTheme="minorHAnsi"/>
          <w:color w:val="auto"/>
          <w:szCs w:val="24"/>
        </w:rPr>
        <w:t>⁰</w:t>
      </w:r>
      <w:r w:rsidR="00576355">
        <w:rPr>
          <w:rFonts w:asciiTheme="minorHAnsi" w:hAnsiTheme="minorHAnsi" w:cs="Times New Roman"/>
          <w:color w:val="auto"/>
          <w:szCs w:val="24"/>
        </w:rPr>
        <w:t xml:space="preserve"> of flexion is the threshold </w:t>
      </w:r>
      <w:r w:rsidR="00D8298A">
        <w:rPr>
          <w:rFonts w:asciiTheme="minorHAnsi" w:hAnsiTheme="minorHAnsi" w:cs="Times New Roman"/>
          <w:color w:val="auto"/>
          <w:szCs w:val="24"/>
        </w:rPr>
        <w:t>between 20% and 40% ratings under the VASRD general spine formula</w:t>
      </w:r>
      <w:r w:rsidR="0063738E" w:rsidRPr="0063738E">
        <w:rPr>
          <w:rFonts w:asciiTheme="minorHAnsi" w:hAnsiTheme="minorHAnsi" w:cs="Times New Roman"/>
          <w:color w:val="auto"/>
          <w:szCs w:val="24"/>
        </w:rPr>
        <w:t>.</w:t>
      </w:r>
      <w:r w:rsidR="0063738E">
        <w:rPr>
          <w:rFonts w:asciiTheme="minorHAnsi" w:hAnsiTheme="minorHAnsi" w:cs="Times New Roman"/>
          <w:color w:val="auto"/>
          <w:szCs w:val="24"/>
        </w:rPr>
        <w:t xml:space="preserve">  </w:t>
      </w:r>
      <w:r w:rsidR="00576355">
        <w:rPr>
          <w:rFonts w:asciiTheme="minorHAnsi" w:hAnsiTheme="minorHAnsi" w:cs="Times New Roman"/>
          <w:color w:val="auto"/>
          <w:szCs w:val="24"/>
        </w:rPr>
        <w:t xml:space="preserve">The Board notes that the single ROM evaluation in evidence from the </w:t>
      </w:r>
      <w:r w:rsidR="004A7B4E">
        <w:rPr>
          <w:rFonts w:asciiTheme="minorHAnsi" w:hAnsiTheme="minorHAnsi" w:cs="Times New Roman"/>
          <w:color w:val="auto"/>
          <w:szCs w:val="24"/>
        </w:rPr>
        <w:t>s</w:t>
      </w:r>
      <w:r w:rsidR="00576355">
        <w:rPr>
          <w:rFonts w:asciiTheme="minorHAnsi" w:hAnsiTheme="minorHAnsi" w:cs="Times New Roman"/>
          <w:color w:val="auto"/>
          <w:szCs w:val="24"/>
        </w:rPr>
        <w:t xml:space="preserve">ervice, although applied to VASRD </w:t>
      </w:r>
      <w:r w:rsidR="00576355" w:rsidRPr="00576355">
        <w:rPr>
          <w:rFonts w:asciiTheme="minorHAnsi" w:hAnsiTheme="minorHAnsi" w:cs="Times New Roman"/>
          <w:color w:val="auto"/>
          <w:szCs w:val="24"/>
        </w:rPr>
        <w:t>§</w:t>
      </w:r>
      <w:r w:rsidR="00576355">
        <w:rPr>
          <w:rFonts w:asciiTheme="minorHAnsi" w:hAnsiTheme="minorHAnsi" w:cs="Times New Roman"/>
          <w:color w:val="auto"/>
          <w:szCs w:val="24"/>
        </w:rPr>
        <w:t xml:space="preserve">4.71a rating standards, was not compliant with </w:t>
      </w:r>
      <w:r w:rsidR="00576355" w:rsidRPr="00576355">
        <w:rPr>
          <w:rFonts w:asciiTheme="minorHAnsi" w:hAnsiTheme="minorHAnsi" w:cs="Times New Roman"/>
          <w:color w:val="auto"/>
          <w:szCs w:val="24"/>
        </w:rPr>
        <w:t>VASRD §4.46 (accurate measurement)</w:t>
      </w:r>
      <w:r w:rsidR="00576355">
        <w:rPr>
          <w:rFonts w:asciiTheme="minorHAnsi" w:hAnsiTheme="minorHAnsi" w:cs="Times New Roman"/>
          <w:color w:val="auto"/>
          <w:szCs w:val="24"/>
        </w:rPr>
        <w:t xml:space="preserve">.  The MEB’s ROM evaluation therefore is considered probative, but not ratable.  The Board deliberated as to whether </w:t>
      </w:r>
      <w:r w:rsidR="000B2457">
        <w:rPr>
          <w:rFonts w:asciiTheme="minorHAnsi" w:hAnsiTheme="minorHAnsi" w:cs="Times New Roman"/>
          <w:color w:val="auto"/>
          <w:szCs w:val="24"/>
        </w:rPr>
        <w:t xml:space="preserve">the </w:t>
      </w:r>
      <w:r w:rsidR="00D8298A">
        <w:rPr>
          <w:rFonts w:asciiTheme="minorHAnsi" w:hAnsiTheme="minorHAnsi" w:cs="Times New Roman"/>
          <w:color w:val="auto"/>
          <w:szCs w:val="24"/>
        </w:rPr>
        <w:t xml:space="preserve">application of DeLuca </w:t>
      </w:r>
      <w:r w:rsidR="000B2457">
        <w:rPr>
          <w:rFonts w:asciiTheme="minorHAnsi" w:hAnsiTheme="minorHAnsi" w:cs="Times New Roman"/>
          <w:color w:val="auto"/>
          <w:szCs w:val="24"/>
        </w:rPr>
        <w:t xml:space="preserve">provisions </w:t>
      </w:r>
      <w:r w:rsidR="00082821">
        <w:rPr>
          <w:rFonts w:asciiTheme="minorHAnsi" w:hAnsiTheme="minorHAnsi" w:cs="Times New Roman"/>
          <w:color w:val="auto"/>
          <w:szCs w:val="24"/>
        </w:rPr>
        <w:t xml:space="preserve">to </w:t>
      </w:r>
      <w:r w:rsidR="00D8298A">
        <w:rPr>
          <w:rFonts w:asciiTheme="minorHAnsi" w:hAnsiTheme="minorHAnsi" w:cs="Times New Roman"/>
          <w:color w:val="auto"/>
          <w:szCs w:val="24"/>
        </w:rPr>
        <w:t xml:space="preserve">achieve the 40% rating threshold was </w:t>
      </w:r>
      <w:r w:rsidR="00081079">
        <w:rPr>
          <w:rFonts w:asciiTheme="minorHAnsi" w:hAnsiTheme="minorHAnsi" w:cs="Times New Roman"/>
          <w:color w:val="auto"/>
          <w:szCs w:val="24"/>
        </w:rPr>
        <w:t xml:space="preserve">indicated in this case.  </w:t>
      </w:r>
      <w:r w:rsidR="000B2457">
        <w:rPr>
          <w:rFonts w:asciiTheme="minorHAnsi" w:hAnsiTheme="minorHAnsi" w:cs="Times New Roman"/>
          <w:color w:val="auto"/>
          <w:szCs w:val="24"/>
        </w:rPr>
        <w:t xml:space="preserve">The </w:t>
      </w:r>
      <w:r w:rsidR="004A7B4E">
        <w:rPr>
          <w:rFonts w:asciiTheme="minorHAnsi" w:hAnsiTheme="minorHAnsi" w:cs="Times New Roman"/>
          <w:color w:val="auto"/>
          <w:szCs w:val="24"/>
        </w:rPr>
        <w:t>a</w:t>
      </w:r>
      <w:r w:rsidR="00081079">
        <w:rPr>
          <w:rFonts w:asciiTheme="minorHAnsi" w:hAnsiTheme="minorHAnsi" w:cs="Times New Roman"/>
          <w:color w:val="auto"/>
          <w:szCs w:val="24"/>
        </w:rPr>
        <w:t xml:space="preserve">ction </w:t>
      </w:r>
      <w:r w:rsidR="004A7B4E">
        <w:rPr>
          <w:rFonts w:asciiTheme="minorHAnsi" w:hAnsiTheme="minorHAnsi" w:cs="Times New Roman"/>
          <w:color w:val="auto"/>
          <w:szCs w:val="24"/>
        </w:rPr>
        <w:t>o</w:t>
      </w:r>
      <w:r w:rsidR="00081079">
        <w:rPr>
          <w:rFonts w:asciiTheme="minorHAnsi" w:hAnsiTheme="minorHAnsi" w:cs="Times New Roman"/>
          <w:color w:val="auto"/>
          <w:szCs w:val="24"/>
        </w:rPr>
        <w:t xml:space="preserve">fficer </w:t>
      </w:r>
      <w:r w:rsidR="00835A8D">
        <w:rPr>
          <w:rFonts w:asciiTheme="minorHAnsi" w:hAnsiTheme="minorHAnsi" w:cs="Times New Roman"/>
          <w:color w:val="auto"/>
          <w:szCs w:val="24"/>
        </w:rPr>
        <w:t>notes</w:t>
      </w:r>
      <w:r w:rsidR="00081079">
        <w:rPr>
          <w:rFonts w:asciiTheme="minorHAnsi" w:hAnsiTheme="minorHAnsi" w:cs="Times New Roman"/>
          <w:color w:val="auto"/>
          <w:szCs w:val="24"/>
        </w:rPr>
        <w:t xml:space="preserve"> </w:t>
      </w:r>
      <w:r w:rsidR="000B2457">
        <w:rPr>
          <w:rFonts w:asciiTheme="minorHAnsi" w:hAnsiTheme="minorHAnsi" w:cs="Times New Roman"/>
          <w:color w:val="auto"/>
          <w:szCs w:val="24"/>
        </w:rPr>
        <w:t xml:space="preserve">that </w:t>
      </w:r>
      <w:r w:rsidR="0063738E" w:rsidRPr="0063738E">
        <w:rPr>
          <w:rFonts w:asciiTheme="minorHAnsi" w:hAnsiTheme="minorHAnsi" w:cs="Times New Roman"/>
          <w:color w:val="auto"/>
          <w:szCs w:val="24"/>
        </w:rPr>
        <w:t xml:space="preserve">forward flexion is </w:t>
      </w:r>
      <w:r w:rsidR="00081079">
        <w:rPr>
          <w:rFonts w:asciiTheme="minorHAnsi" w:hAnsiTheme="minorHAnsi" w:cs="Times New Roman"/>
          <w:color w:val="auto"/>
          <w:szCs w:val="24"/>
        </w:rPr>
        <w:t>primarily</w:t>
      </w:r>
      <w:r w:rsidR="0063738E" w:rsidRPr="0063738E">
        <w:rPr>
          <w:rFonts w:asciiTheme="minorHAnsi" w:hAnsiTheme="minorHAnsi" w:cs="Times New Roman"/>
          <w:color w:val="auto"/>
          <w:szCs w:val="24"/>
        </w:rPr>
        <w:t xml:space="preserve"> a passive motion driven by gravity.  Decreased flexion </w:t>
      </w:r>
      <w:r w:rsidR="0063738E" w:rsidRPr="00BD7030">
        <w:rPr>
          <w:rFonts w:asciiTheme="minorHAnsi" w:hAnsiTheme="minorHAnsi" w:cs="Times New Roman"/>
          <w:color w:val="auto"/>
          <w:szCs w:val="24"/>
        </w:rPr>
        <w:t>due to fatigue</w:t>
      </w:r>
      <w:r w:rsidR="00081079" w:rsidRPr="00BD7030">
        <w:rPr>
          <w:rFonts w:asciiTheme="minorHAnsi" w:hAnsiTheme="minorHAnsi" w:cs="Times New Roman"/>
          <w:color w:val="auto"/>
          <w:szCs w:val="24"/>
        </w:rPr>
        <w:t xml:space="preserve">, </w:t>
      </w:r>
      <w:r w:rsidR="00835A8D" w:rsidRPr="00BD7030">
        <w:rPr>
          <w:rFonts w:asciiTheme="minorHAnsi" w:hAnsiTheme="minorHAnsi" w:cs="Times New Roman"/>
          <w:color w:val="auto"/>
          <w:szCs w:val="24"/>
        </w:rPr>
        <w:t>and without</w:t>
      </w:r>
      <w:r w:rsidR="00081079" w:rsidRPr="00BD7030">
        <w:rPr>
          <w:rFonts w:asciiTheme="minorHAnsi" w:hAnsiTheme="minorHAnsi" w:cs="Times New Roman"/>
          <w:color w:val="auto"/>
          <w:szCs w:val="24"/>
        </w:rPr>
        <w:t xml:space="preserve"> weakness or </w:t>
      </w:r>
      <w:r w:rsidR="00835A8D" w:rsidRPr="00BD7030">
        <w:rPr>
          <w:rFonts w:asciiTheme="minorHAnsi" w:hAnsiTheme="minorHAnsi" w:cs="Times New Roman"/>
          <w:color w:val="auto"/>
          <w:szCs w:val="24"/>
        </w:rPr>
        <w:t>an increase in pain</w:t>
      </w:r>
      <w:r w:rsidR="00081079" w:rsidRPr="00BD7030">
        <w:rPr>
          <w:rFonts w:asciiTheme="minorHAnsi" w:hAnsiTheme="minorHAnsi" w:cs="Times New Roman"/>
          <w:color w:val="auto"/>
          <w:szCs w:val="24"/>
        </w:rPr>
        <w:t xml:space="preserve">, </w:t>
      </w:r>
      <w:r w:rsidR="0063738E" w:rsidRPr="00BD7030">
        <w:rPr>
          <w:rFonts w:asciiTheme="minorHAnsi" w:hAnsiTheme="minorHAnsi" w:cs="Times New Roman"/>
          <w:color w:val="auto"/>
          <w:szCs w:val="24"/>
        </w:rPr>
        <w:t xml:space="preserve">is </w:t>
      </w:r>
      <w:r w:rsidR="00835A8D" w:rsidRPr="00BD7030">
        <w:rPr>
          <w:rFonts w:asciiTheme="minorHAnsi" w:hAnsiTheme="minorHAnsi" w:cs="Times New Roman"/>
          <w:color w:val="auto"/>
          <w:szCs w:val="24"/>
        </w:rPr>
        <w:t xml:space="preserve">thus </w:t>
      </w:r>
      <w:r w:rsidR="0063738E" w:rsidRPr="00BD7030">
        <w:rPr>
          <w:rFonts w:asciiTheme="minorHAnsi" w:hAnsiTheme="minorHAnsi" w:cs="Times New Roman"/>
          <w:color w:val="auto"/>
          <w:szCs w:val="24"/>
        </w:rPr>
        <w:t>illogical.</w:t>
      </w:r>
      <w:r w:rsidR="000D087C" w:rsidRPr="00BD7030">
        <w:rPr>
          <w:rFonts w:asciiTheme="minorHAnsi" w:hAnsiTheme="minorHAnsi" w:cs="Times New Roman"/>
          <w:color w:val="auto"/>
          <w:szCs w:val="24"/>
        </w:rPr>
        <w:t xml:space="preserve"> </w:t>
      </w:r>
      <w:r w:rsidR="00835A8D" w:rsidRPr="00BD7030">
        <w:rPr>
          <w:rFonts w:asciiTheme="minorHAnsi" w:hAnsiTheme="minorHAnsi" w:cs="Times New Roman"/>
          <w:color w:val="auto"/>
          <w:szCs w:val="24"/>
        </w:rPr>
        <w:t xml:space="preserve"> If the other DeLuca factors were in play, but not appropriately captured, it is difficult to explain the unaffected </w:t>
      </w:r>
      <w:r w:rsidR="007C6866" w:rsidRPr="00BD7030">
        <w:rPr>
          <w:rFonts w:asciiTheme="minorHAnsi" w:hAnsiTheme="minorHAnsi" w:cs="Times New Roman"/>
          <w:color w:val="auto"/>
          <w:szCs w:val="24"/>
        </w:rPr>
        <w:t xml:space="preserve">and normal </w:t>
      </w:r>
      <w:r w:rsidR="00835A8D" w:rsidRPr="00BD7030">
        <w:rPr>
          <w:rFonts w:asciiTheme="minorHAnsi" w:hAnsiTheme="minorHAnsi" w:cs="Times New Roman"/>
          <w:color w:val="auto"/>
          <w:szCs w:val="24"/>
        </w:rPr>
        <w:t>ROMs with lateral flexion.</w:t>
      </w:r>
      <w:r w:rsidR="007C6866" w:rsidRPr="00BD7030">
        <w:rPr>
          <w:rFonts w:asciiTheme="minorHAnsi" w:hAnsiTheme="minorHAnsi" w:cs="Times New Roman"/>
          <w:color w:val="auto"/>
          <w:szCs w:val="24"/>
        </w:rPr>
        <w:t xml:space="preserve">  After considerable deliberation, member consensus was that despite the clinical incongruity</w:t>
      </w:r>
      <w:r w:rsidR="0076025A" w:rsidRPr="00BD7030">
        <w:rPr>
          <w:rFonts w:asciiTheme="minorHAnsi" w:hAnsiTheme="minorHAnsi" w:cs="Times New Roman"/>
          <w:color w:val="auto"/>
          <w:szCs w:val="24"/>
        </w:rPr>
        <w:t xml:space="preserve"> of the DeLuca observation, reasonable doubt was sufficient to support the higher rating</w:t>
      </w:r>
      <w:r w:rsidR="00952EB0" w:rsidRPr="00BD7030">
        <w:rPr>
          <w:rFonts w:asciiTheme="minorHAnsi" w:hAnsiTheme="minorHAnsi" w:cs="Times New Roman"/>
          <w:color w:val="auto"/>
          <w:szCs w:val="24"/>
        </w:rPr>
        <w:t xml:space="preserve"> based on the DeLuca derived flexion of 30</w:t>
      </w:r>
      <w:r w:rsidR="00952EB0" w:rsidRPr="00BD7030">
        <w:rPr>
          <w:rFonts w:asciiTheme="minorHAnsi" w:hAnsiTheme="minorHAnsi"/>
          <w:color w:val="auto"/>
          <w:szCs w:val="24"/>
        </w:rPr>
        <w:t>⁰</w:t>
      </w:r>
      <w:r w:rsidR="0076025A" w:rsidRPr="00BD7030">
        <w:rPr>
          <w:rFonts w:asciiTheme="minorHAnsi" w:hAnsiTheme="minorHAnsi" w:cs="Times New Roman"/>
          <w:color w:val="auto"/>
          <w:szCs w:val="24"/>
        </w:rPr>
        <w:t>.</w:t>
      </w:r>
      <w:r w:rsidR="0076025A">
        <w:rPr>
          <w:rFonts w:asciiTheme="minorHAnsi" w:hAnsiTheme="minorHAnsi" w:cs="Times New Roman"/>
          <w:color w:val="auto"/>
          <w:szCs w:val="24"/>
        </w:rPr>
        <w:t xml:space="preserve">  The Board further considered if the FPEB’s denial of additional rating for the residual right lower </w:t>
      </w:r>
      <w:r w:rsidR="00B76A08">
        <w:rPr>
          <w:rFonts w:asciiTheme="minorHAnsi" w:hAnsiTheme="minorHAnsi" w:cs="Times New Roman"/>
          <w:color w:val="auto"/>
          <w:szCs w:val="24"/>
        </w:rPr>
        <w:t xml:space="preserve">extremity </w:t>
      </w:r>
      <w:r w:rsidR="00BD7030">
        <w:rPr>
          <w:rFonts w:asciiTheme="minorHAnsi" w:hAnsiTheme="minorHAnsi" w:cs="Times New Roman"/>
          <w:color w:val="auto"/>
          <w:szCs w:val="24"/>
        </w:rPr>
        <w:t xml:space="preserve">radiculopathy </w:t>
      </w:r>
      <w:r w:rsidR="00B76A08">
        <w:rPr>
          <w:rFonts w:asciiTheme="minorHAnsi" w:hAnsiTheme="minorHAnsi" w:cs="Times New Roman"/>
          <w:color w:val="auto"/>
          <w:szCs w:val="24"/>
        </w:rPr>
        <w:t xml:space="preserve">was fair.  The </w:t>
      </w:r>
      <w:r w:rsidR="00B76A08" w:rsidRPr="0063738E">
        <w:rPr>
          <w:rFonts w:asciiTheme="minorHAnsi" w:hAnsiTheme="minorHAnsi" w:cs="Times New Roman"/>
          <w:color w:val="auto"/>
          <w:szCs w:val="24"/>
        </w:rPr>
        <w:t>AF Form 356</w:t>
      </w:r>
      <w:r w:rsidR="00B76A08">
        <w:rPr>
          <w:rFonts w:asciiTheme="minorHAnsi" w:hAnsiTheme="minorHAnsi" w:cs="Times New Roman"/>
          <w:color w:val="auto"/>
          <w:szCs w:val="24"/>
        </w:rPr>
        <w:t xml:space="preserve"> cited normal EMG findings in its conclusion that there was no ratable neuropathy</w:t>
      </w:r>
      <w:r w:rsidR="0093467E">
        <w:rPr>
          <w:rFonts w:asciiTheme="minorHAnsi" w:hAnsiTheme="minorHAnsi" w:cs="Times New Roman"/>
          <w:color w:val="auto"/>
          <w:szCs w:val="24"/>
        </w:rPr>
        <w:t xml:space="preserve">.  The VA incorporated “right lumbar radiculopathy” into its 40% spine rating, noting the normal neurologic findings.  </w:t>
      </w:r>
      <w:r w:rsidR="0093467E" w:rsidRPr="0093467E">
        <w:rPr>
          <w:rFonts w:asciiTheme="minorHAnsi" w:hAnsiTheme="minorHAnsi" w:cs="Times New Roman"/>
          <w:color w:val="auto"/>
          <w:szCs w:val="24"/>
        </w:rPr>
        <w:t xml:space="preserve">Firm Board precedent requires a functional impairment tied to fitness to support a recommendation for addition of a peripheral nerve rating to </w:t>
      </w:r>
      <w:r w:rsidR="004A7B4E">
        <w:rPr>
          <w:rFonts w:asciiTheme="minorHAnsi" w:hAnsiTheme="minorHAnsi" w:cs="Times New Roman"/>
          <w:color w:val="auto"/>
          <w:szCs w:val="24"/>
        </w:rPr>
        <w:t>s</w:t>
      </w:r>
      <w:r w:rsidR="0093467E" w:rsidRPr="0093467E">
        <w:rPr>
          <w:rFonts w:asciiTheme="minorHAnsi" w:hAnsiTheme="minorHAnsi" w:cs="Times New Roman"/>
          <w:color w:val="auto"/>
          <w:szCs w:val="24"/>
        </w:rPr>
        <w:t>ervice disability in spine cases.</w:t>
      </w:r>
      <w:r w:rsidR="0093467E">
        <w:rPr>
          <w:rFonts w:asciiTheme="minorHAnsi" w:hAnsiTheme="minorHAnsi" w:cs="Times New Roman"/>
          <w:color w:val="auto"/>
          <w:szCs w:val="24"/>
        </w:rPr>
        <w:t xml:space="preserve"> </w:t>
      </w:r>
      <w:r w:rsidR="0093467E" w:rsidRPr="0093467E">
        <w:rPr>
          <w:rFonts w:asciiTheme="minorHAnsi" w:hAnsiTheme="minorHAnsi" w:cs="Times New Roman"/>
          <w:color w:val="auto"/>
          <w:szCs w:val="24"/>
        </w:rPr>
        <w:t xml:space="preserve"> The pain component of a radiculopathy is subsumed under the general spine rating as specified in §4.71a.  The sensory component in this case has no functional implications, and no motor weakness was in evidence. Since no evidence of functional impairment exists in this case, the Board cannot support a recommendation for additional rating based on peripheral nerve impairment.</w:t>
      </w:r>
      <w:r w:rsidR="0093467E">
        <w:rPr>
          <w:rFonts w:asciiTheme="minorHAnsi" w:hAnsiTheme="minorHAnsi" w:cs="Times New Roman"/>
          <w:color w:val="auto"/>
          <w:szCs w:val="24"/>
        </w:rPr>
        <w:t xml:space="preserve">  There was no evidence for incapacitating episodes to achieve a higher rating </w:t>
      </w:r>
      <w:r w:rsidR="00082821">
        <w:rPr>
          <w:rFonts w:asciiTheme="minorHAnsi" w:hAnsiTheme="minorHAnsi" w:cs="Times New Roman"/>
          <w:color w:val="auto"/>
          <w:szCs w:val="24"/>
        </w:rPr>
        <w:t>under that alternate formula</w:t>
      </w:r>
      <w:r w:rsidR="0093467E">
        <w:rPr>
          <w:rFonts w:asciiTheme="minorHAnsi" w:hAnsiTheme="minorHAnsi" w:cs="Times New Roman"/>
          <w:color w:val="auto"/>
          <w:szCs w:val="24"/>
        </w:rPr>
        <w:t xml:space="preserve">.  </w:t>
      </w:r>
    </w:p>
    <w:p w:rsidR="00BD7030" w:rsidRDefault="00BD7030" w:rsidP="003E03EA">
      <w:pPr>
        <w:jc w:val="both"/>
        <w:rPr>
          <w:rFonts w:eastAsia="Calibri" w:cs="Times New Roman"/>
          <w:color w:val="auto"/>
          <w:szCs w:val="24"/>
        </w:rPr>
      </w:pPr>
    </w:p>
    <w:p w:rsidR="003E03EA" w:rsidRDefault="003E03EA" w:rsidP="003E03EA">
      <w:pPr>
        <w:jc w:val="both"/>
        <w:rPr>
          <w:rFonts w:eastAsia="Calibri" w:cs="Times New Roman"/>
          <w:color w:val="auto"/>
          <w:szCs w:val="24"/>
        </w:rPr>
      </w:pPr>
      <w:r w:rsidRPr="00BD7030">
        <w:rPr>
          <w:rFonts w:eastAsia="Calibri" w:cs="Times New Roman"/>
          <w:color w:val="auto"/>
          <w:szCs w:val="24"/>
        </w:rPr>
        <w:t xml:space="preserve">After due deliberation, considering all of the evidence and applying the principles of the </w:t>
      </w:r>
      <w:r w:rsidRPr="00BD7030">
        <w:rPr>
          <w:rFonts w:eastAsia="Calibri" w:cs="Times New Roman"/>
          <w:i/>
          <w:color w:val="auto"/>
          <w:szCs w:val="24"/>
        </w:rPr>
        <w:t>DeLuca v. Brown</w:t>
      </w:r>
      <w:r w:rsidRPr="00BD7030">
        <w:rPr>
          <w:rFonts w:eastAsia="Calibri" w:cs="Times New Roman"/>
          <w:color w:val="auto"/>
          <w:szCs w:val="24"/>
        </w:rPr>
        <w:t xml:space="preserve"> decision, the Board recommends a disability rating of 40% for the lumbar spine condition.</w:t>
      </w:r>
    </w:p>
    <w:p w:rsidR="00CE6327" w:rsidRPr="003E03EA" w:rsidRDefault="00CE6327" w:rsidP="0093467E">
      <w:pPr>
        <w:jc w:val="both"/>
        <w:rPr>
          <w:rFonts w:eastAsia="Calibri" w:cs="Times New Roman"/>
          <w:color w:val="auto"/>
          <w:szCs w:val="24"/>
        </w:rPr>
      </w:pPr>
    </w:p>
    <w:p w:rsidR="00EC337D" w:rsidRPr="001F29F9" w:rsidRDefault="00EC337D" w:rsidP="00474EE7">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application asserts that compensable ratings should be considered for </w:t>
      </w:r>
      <w:r w:rsidR="00211005">
        <w:rPr>
          <w:rFonts w:eastAsia="HiddenHorzOCR"/>
          <w:color w:val="000000" w:themeColor="text1"/>
          <w:szCs w:val="24"/>
        </w:rPr>
        <w:t>degenerative disease of the upper back and neck</w:t>
      </w:r>
      <w:r w:rsidRPr="001F29F9">
        <w:rPr>
          <w:rFonts w:eastAsia="HiddenHorzOCR"/>
          <w:color w:val="000000" w:themeColor="text1"/>
          <w:szCs w:val="24"/>
        </w:rPr>
        <w:t xml:space="preserve">.  </w:t>
      </w:r>
      <w:r w:rsidR="00211005">
        <w:rPr>
          <w:rFonts w:eastAsia="HiddenHorzOCR"/>
          <w:color w:val="000000" w:themeColor="text1"/>
          <w:szCs w:val="24"/>
        </w:rPr>
        <w:t xml:space="preserve">Per VASRD </w:t>
      </w:r>
      <w:r w:rsidR="00211005" w:rsidRPr="00211005">
        <w:rPr>
          <w:rFonts w:eastAsia="HiddenHorzOCR"/>
          <w:color w:val="000000" w:themeColor="text1"/>
          <w:szCs w:val="24"/>
        </w:rPr>
        <w:t xml:space="preserve">§4.71a </w:t>
      </w:r>
      <w:r w:rsidR="00211005">
        <w:rPr>
          <w:rFonts w:eastAsia="HiddenHorzOCR"/>
          <w:color w:val="000000" w:themeColor="text1"/>
          <w:szCs w:val="24"/>
        </w:rPr>
        <w:t xml:space="preserve">the upper and lower back (thoracolumbar spine) are evaluated as a single unit.  Therefore, any disability associated with the upper back is accounted for in the above lumbar spine rating.  </w:t>
      </w:r>
      <w:r w:rsidR="003C070F">
        <w:rPr>
          <w:rFonts w:eastAsia="HiddenHorzOCR"/>
          <w:color w:val="000000" w:themeColor="text1"/>
          <w:szCs w:val="24"/>
        </w:rPr>
        <w:t xml:space="preserve">The CI’s cervical spine </w:t>
      </w:r>
      <w:r w:rsidR="003C070F" w:rsidRPr="003C070F">
        <w:rPr>
          <w:rFonts w:eastAsia="HiddenHorzOCR"/>
          <w:color w:val="000000" w:themeColor="text1"/>
          <w:szCs w:val="24"/>
        </w:rPr>
        <w:t xml:space="preserve">condition </w:t>
      </w:r>
      <w:r w:rsidR="00474EE7">
        <w:rPr>
          <w:rFonts w:eastAsia="HiddenHorzOCR"/>
          <w:color w:val="000000" w:themeColor="text1"/>
          <w:szCs w:val="24"/>
        </w:rPr>
        <w:t>is scantly mentioned in the service treatment record</w:t>
      </w:r>
      <w:r w:rsidR="003C070F" w:rsidRPr="003C070F">
        <w:rPr>
          <w:rFonts w:eastAsia="HiddenHorzOCR"/>
          <w:color w:val="000000" w:themeColor="text1"/>
          <w:szCs w:val="24"/>
        </w:rPr>
        <w:t xml:space="preserve">, did not </w:t>
      </w:r>
      <w:r w:rsidR="003C070F" w:rsidRPr="003C070F">
        <w:rPr>
          <w:color w:val="000000" w:themeColor="text1"/>
          <w:szCs w:val="24"/>
        </w:rPr>
        <w:t>carry an attached profile, and was not implicated in the commander’s statement.</w:t>
      </w:r>
      <w:r w:rsidR="003C070F" w:rsidRPr="003C070F">
        <w:rPr>
          <w:rFonts w:eastAsia="HiddenHorzOCR"/>
          <w:color w:val="000000" w:themeColor="text1"/>
          <w:szCs w:val="24"/>
        </w:rPr>
        <w:t xml:space="preserve">  </w:t>
      </w:r>
      <w:r w:rsidR="0035589C">
        <w:rPr>
          <w:rFonts w:eastAsia="HiddenHorzOCR"/>
          <w:color w:val="000000" w:themeColor="text1"/>
          <w:szCs w:val="24"/>
        </w:rPr>
        <w:t xml:space="preserve">It was specifically considered by the FPEB which concluded that the </w:t>
      </w:r>
      <w:r w:rsidR="00923ACB">
        <w:rPr>
          <w:rFonts w:eastAsia="HiddenHorzOCR"/>
          <w:color w:val="000000" w:themeColor="text1"/>
          <w:szCs w:val="24"/>
        </w:rPr>
        <w:t>CI’s “neck symptomatology is not</w:t>
      </w:r>
      <w:r w:rsidR="0035589C">
        <w:rPr>
          <w:rFonts w:eastAsia="HiddenHorzOCR"/>
          <w:color w:val="000000" w:themeColor="text1"/>
          <w:szCs w:val="24"/>
        </w:rPr>
        <w:t xml:space="preserve"> unfitting for military service</w:t>
      </w:r>
      <w:r w:rsidR="00634591">
        <w:rPr>
          <w:rFonts w:eastAsia="HiddenHorzOCR"/>
          <w:color w:val="000000" w:themeColor="text1"/>
          <w:szCs w:val="24"/>
        </w:rPr>
        <w:t>.</w:t>
      </w:r>
      <w:r w:rsidR="0035589C">
        <w:rPr>
          <w:rFonts w:eastAsia="HiddenHorzOCR"/>
          <w:color w:val="000000" w:themeColor="text1"/>
          <w:szCs w:val="24"/>
        </w:rPr>
        <w:t xml:space="preserve">”  </w:t>
      </w:r>
      <w:r w:rsidR="003C070F" w:rsidRPr="003C070F">
        <w:rPr>
          <w:rFonts w:eastAsia="HiddenHorzOCR"/>
          <w:color w:val="000000" w:themeColor="text1"/>
          <w:szCs w:val="24"/>
        </w:rPr>
        <w:t>T</w:t>
      </w:r>
      <w:r w:rsidR="0035589C">
        <w:rPr>
          <w:color w:val="000000" w:themeColor="text1"/>
          <w:szCs w:val="24"/>
        </w:rPr>
        <w:t>he</w:t>
      </w:r>
      <w:r w:rsidRPr="003C070F">
        <w:rPr>
          <w:color w:val="000000" w:themeColor="text1"/>
          <w:szCs w:val="24"/>
        </w:rPr>
        <w:t xml:space="preserve"> </w:t>
      </w:r>
      <w:r w:rsidR="0035589C">
        <w:rPr>
          <w:color w:val="000000" w:themeColor="text1"/>
          <w:szCs w:val="24"/>
        </w:rPr>
        <w:t>cervical spine condition</w:t>
      </w:r>
      <w:r w:rsidRPr="003C070F">
        <w:rPr>
          <w:color w:val="000000" w:themeColor="text1"/>
          <w:szCs w:val="24"/>
        </w:rPr>
        <w:t xml:space="preserve"> </w:t>
      </w:r>
      <w:r w:rsidR="0035589C">
        <w:rPr>
          <w:color w:val="000000" w:themeColor="text1"/>
          <w:szCs w:val="24"/>
        </w:rPr>
        <w:t>was</w:t>
      </w:r>
      <w:r w:rsidRPr="003C070F">
        <w:rPr>
          <w:color w:val="000000" w:themeColor="text1"/>
          <w:szCs w:val="24"/>
        </w:rPr>
        <w:t xml:space="preserve"> reviewed by the </w:t>
      </w:r>
      <w:r w:rsidR="004A7B4E">
        <w:rPr>
          <w:color w:val="000000" w:themeColor="text1"/>
          <w:szCs w:val="24"/>
        </w:rPr>
        <w:t>a</w:t>
      </w:r>
      <w:r w:rsidR="00261709" w:rsidRPr="003C070F">
        <w:rPr>
          <w:color w:val="000000" w:themeColor="text1"/>
          <w:szCs w:val="24"/>
        </w:rPr>
        <w:t xml:space="preserve">ction </w:t>
      </w:r>
      <w:r w:rsidR="004A7B4E">
        <w:rPr>
          <w:color w:val="000000" w:themeColor="text1"/>
          <w:szCs w:val="24"/>
        </w:rPr>
        <w:t>o</w:t>
      </w:r>
      <w:r w:rsidR="00261709" w:rsidRPr="003C070F">
        <w:rPr>
          <w:color w:val="000000" w:themeColor="text1"/>
          <w:szCs w:val="24"/>
        </w:rPr>
        <w:t xml:space="preserve">fficer </w:t>
      </w:r>
      <w:r w:rsidR="0035589C">
        <w:rPr>
          <w:color w:val="000000" w:themeColor="text1"/>
          <w:szCs w:val="24"/>
        </w:rPr>
        <w:t>and considered by the Board; and, t</w:t>
      </w:r>
      <w:r w:rsidRPr="003C070F">
        <w:rPr>
          <w:color w:val="000000" w:themeColor="text1"/>
          <w:szCs w:val="24"/>
        </w:rPr>
        <w:t xml:space="preserve">here was no evidence for concluding that </w:t>
      </w:r>
      <w:r w:rsidR="0035589C">
        <w:rPr>
          <w:color w:val="000000" w:themeColor="text1"/>
          <w:szCs w:val="24"/>
        </w:rPr>
        <w:t>it</w:t>
      </w:r>
      <w:r w:rsidRPr="003C070F">
        <w:rPr>
          <w:color w:val="000000" w:themeColor="text1"/>
          <w:szCs w:val="24"/>
        </w:rPr>
        <w:t xml:space="preserve"> interfered with duty performance</w:t>
      </w:r>
      <w:r w:rsidRPr="001F29F9">
        <w:rPr>
          <w:color w:val="000000" w:themeColor="text1"/>
          <w:szCs w:val="24"/>
        </w:rPr>
        <w:t xml:space="preserve"> to a degree that could be argued as unfitting.  The Board determined therefore that </w:t>
      </w:r>
      <w:r w:rsidR="003C070F">
        <w:rPr>
          <w:color w:val="000000" w:themeColor="text1"/>
          <w:szCs w:val="24"/>
        </w:rPr>
        <w:t>neither</w:t>
      </w:r>
      <w:r w:rsidRPr="001F29F9">
        <w:rPr>
          <w:color w:val="000000" w:themeColor="text1"/>
          <w:szCs w:val="24"/>
        </w:rPr>
        <w:t xml:space="preserve"> of the </w:t>
      </w:r>
      <w:r w:rsidR="0035589C">
        <w:rPr>
          <w:color w:val="000000" w:themeColor="text1"/>
          <w:szCs w:val="24"/>
        </w:rPr>
        <w:t xml:space="preserve">contended conditions was subject to a separate </w:t>
      </w:r>
      <w:r w:rsidRPr="001F29F9">
        <w:rPr>
          <w:color w:val="000000" w:themeColor="text1"/>
          <w:szCs w:val="24"/>
        </w:rPr>
        <w:t>disability rating.</w:t>
      </w:r>
    </w:p>
    <w:p w:rsidR="00A02AA8" w:rsidRPr="001F29F9" w:rsidRDefault="00A02AA8" w:rsidP="00A02AA8">
      <w:pPr>
        <w:jc w:val="both"/>
        <w:rPr>
          <w:color w:val="000000" w:themeColor="text1"/>
          <w:szCs w:val="24"/>
        </w:rPr>
      </w:pPr>
    </w:p>
    <w:p w:rsidR="003C070F" w:rsidRPr="001F29F9" w:rsidRDefault="00F6196E" w:rsidP="003C070F">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3C5B54" w:rsidRPr="001F29F9">
        <w:rPr>
          <w:color w:val="000000" w:themeColor="text1"/>
          <w:szCs w:val="24"/>
        </w:rPr>
        <w:t xml:space="preserve"> </w:t>
      </w:r>
      <w:r w:rsidRPr="001F29F9">
        <w:rPr>
          <w:color w:val="000000" w:themeColor="text1"/>
          <w:szCs w:val="24"/>
        </w:rPr>
        <w:t>No other conditions were noted in the NARSUM</w:t>
      </w:r>
      <w:r w:rsidR="003C070F" w:rsidRPr="003C070F">
        <w:rPr>
          <w:color w:val="000000" w:themeColor="text1"/>
          <w:szCs w:val="24"/>
        </w:rPr>
        <w:t xml:space="preserve"> </w:t>
      </w:r>
      <w:r w:rsidR="003C070F" w:rsidRPr="001F29F9">
        <w:rPr>
          <w:color w:val="000000" w:themeColor="text1"/>
          <w:szCs w:val="24"/>
        </w:rPr>
        <w:t>or found elsewhere in the DES file</w:t>
      </w:r>
      <w:r w:rsidR="003C070F">
        <w:rPr>
          <w:color w:val="000000" w:themeColor="text1"/>
          <w:szCs w:val="24"/>
        </w:rPr>
        <w:t>.</w:t>
      </w:r>
      <w:r w:rsidRPr="001F29F9">
        <w:rPr>
          <w:color w:val="000000" w:themeColor="text1"/>
          <w:szCs w:val="24"/>
        </w:rPr>
        <w:t xml:space="preserve"> </w:t>
      </w:r>
      <w:r w:rsidR="003C070F">
        <w:rPr>
          <w:color w:val="000000" w:themeColor="text1"/>
          <w:szCs w:val="24"/>
        </w:rPr>
        <w:t xml:space="preserve"> </w:t>
      </w:r>
      <w:r w:rsidR="003C070F" w:rsidRPr="001F29F9">
        <w:rPr>
          <w:color w:val="000000" w:themeColor="text1"/>
          <w:szCs w:val="24"/>
        </w:rPr>
        <w:t>No other conditions were</w:t>
      </w:r>
      <w:r w:rsidRPr="001F29F9">
        <w:rPr>
          <w:color w:val="000000" w:themeColor="text1"/>
          <w:szCs w:val="24"/>
        </w:rPr>
        <w:t xml:space="preserve"> </w:t>
      </w:r>
      <w:r w:rsidR="003C070F" w:rsidRPr="001F29F9">
        <w:rPr>
          <w:color w:val="000000" w:themeColor="text1"/>
          <w:szCs w:val="24"/>
        </w:rPr>
        <w:t xml:space="preserve">service connected with a compensable rating by the VA within 12 months of separation or contended by the CI.  The Board therefore has no reasonable basis for recommending any additional unfitting conditions for </w:t>
      </w:r>
      <w:r w:rsidR="0035589C">
        <w:rPr>
          <w:color w:val="000000" w:themeColor="text1"/>
          <w:szCs w:val="24"/>
        </w:rPr>
        <w:t>disability</w:t>
      </w:r>
      <w:r w:rsidR="003C070F" w:rsidRPr="001F29F9">
        <w:rPr>
          <w:color w:val="000000" w:themeColor="text1"/>
          <w:szCs w:val="24"/>
        </w:rPr>
        <w:t xml:space="preserve">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8235B8" w:rsidRDefault="008235B8" w:rsidP="00377453">
      <w:pPr>
        <w:jc w:val="both"/>
        <w:rPr>
          <w:color w:val="000000" w:themeColor="text1"/>
          <w:szCs w:val="24"/>
          <w:u w:val="single"/>
        </w:rPr>
      </w:pPr>
    </w:p>
    <w:p w:rsidR="003C53E8" w:rsidRDefault="00C56FC8" w:rsidP="00377453">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1B5DC8">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The Board did not surmise from the record or PEB ruling in this case that any </w:t>
      </w:r>
      <w:r w:rsidR="003C53E8" w:rsidRPr="0068513E">
        <w:rPr>
          <w:rFonts w:eastAsiaTheme="minorHAnsi"/>
          <w:color w:val="000000" w:themeColor="text1"/>
          <w:szCs w:val="24"/>
        </w:rPr>
        <w:t>prerogatives outside the VASRD were exercised.</w:t>
      </w:r>
      <w:r w:rsidR="0035589C" w:rsidRPr="0068513E">
        <w:rPr>
          <w:rFonts w:eastAsiaTheme="minorHAnsi"/>
          <w:color w:val="000000" w:themeColor="text1"/>
          <w:szCs w:val="24"/>
        </w:rPr>
        <w:t xml:space="preserve">  </w:t>
      </w:r>
      <w:r w:rsidR="001B5DC8" w:rsidRPr="0068513E">
        <w:rPr>
          <w:rFonts w:eastAsiaTheme="minorHAnsi"/>
          <w:color w:val="000000" w:themeColor="text1"/>
          <w:szCs w:val="24"/>
        </w:rPr>
        <w:t xml:space="preserve">In the matter of the </w:t>
      </w:r>
      <w:r w:rsidR="0035589C" w:rsidRPr="0068513E">
        <w:rPr>
          <w:rFonts w:eastAsiaTheme="minorHAnsi"/>
          <w:color w:val="000000" w:themeColor="text1"/>
          <w:szCs w:val="24"/>
        </w:rPr>
        <w:t>lumbar spine</w:t>
      </w:r>
      <w:r w:rsidR="001B5DC8" w:rsidRPr="0068513E">
        <w:rPr>
          <w:rFonts w:eastAsiaTheme="minorHAnsi"/>
          <w:color w:val="000000" w:themeColor="text1"/>
          <w:szCs w:val="24"/>
        </w:rPr>
        <w:t xml:space="preserve"> condition and IAW VASRD §4.71a, the Board </w:t>
      </w:r>
      <w:r w:rsidR="00BD7030" w:rsidRPr="0068513E">
        <w:rPr>
          <w:rFonts w:eastAsiaTheme="minorHAnsi"/>
          <w:color w:val="000000" w:themeColor="text1"/>
          <w:szCs w:val="24"/>
        </w:rPr>
        <w:t>by a vote of 2:1</w:t>
      </w:r>
      <w:r w:rsidR="001B5DC8" w:rsidRPr="0068513E">
        <w:rPr>
          <w:rFonts w:eastAsiaTheme="minorHAnsi"/>
          <w:color w:val="000000" w:themeColor="text1"/>
          <w:szCs w:val="24"/>
        </w:rPr>
        <w:t xml:space="preserve"> </w:t>
      </w:r>
      <w:r w:rsidR="003C53E8" w:rsidRPr="0068513E">
        <w:rPr>
          <w:rFonts w:eastAsiaTheme="minorHAnsi"/>
          <w:color w:val="000000" w:themeColor="text1"/>
          <w:szCs w:val="24"/>
        </w:rPr>
        <w:t xml:space="preserve">recommends a rating of </w:t>
      </w:r>
      <w:r w:rsidR="001B5DC8" w:rsidRPr="0068513E">
        <w:rPr>
          <w:rFonts w:eastAsiaTheme="minorHAnsi"/>
          <w:color w:val="000000" w:themeColor="text1"/>
          <w:szCs w:val="24"/>
        </w:rPr>
        <w:t>4</w:t>
      </w:r>
      <w:r w:rsidR="003C53E8" w:rsidRPr="0068513E">
        <w:rPr>
          <w:rFonts w:eastAsiaTheme="minorHAnsi"/>
          <w:color w:val="000000" w:themeColor="text1"/>
          <w:szCs w:val="24"/>
        </w:rPr>
        <w:t xml:space="preserve">0% coded </w:t>
      </w:r>
      <w:r w:rsidR="001B5DC8" w:rsidRPr="0068513E">
        <w:rPr>
          <w:rFonts w:eastAsiaTheme="minorHAnsi"/>
          <w:color w:val="000000" w:themeColor="text1"/>
          <w:szCs w:val="24"/>
        </w:rPr>
        <w:t>5243</w:t>
      </w:r>
      <w:r w:rsidR="003C53E8" w:rsidRPr="0068513E">
        <w:rPr>
          <w:rFonts w:eastAsiaTheme="minorHAnsi"/>
          <w:color w:val="000000" w:themeColor="text1"/>
          <w:szCs w:val="24"/>
        </w:rPr>
        <w:t xml:space="preserve"> IAW VASRD §4.71a.  </w:t>
      </w:r>
      <w:r w:rsidR="0068513E" w:rsidRPr="0068513E">
        <w:rPr>
          <w:rFonts w:eastAsiaTheme="minorHAnsi"/>
          <w:color w:val="000000" w:themeColor="text1"/>
          <w:szCs w:val="24"/>
        </w:rPr>
        <w:t xml:space="preserve">The single voter for dissent (who recommended </w:t>
      </w:r>
      <w:r w:rsidR="0068513E">
        <w:rPr>
          <w:rFonts w:eastAsiaTheme="minorHAnsi"/>
          <w:color w:val="000000" w:themeColor="text1"/>
          <w:szCs w:val="24"/>
        </w:rPr>
        <w:t>no change from the PEB rating of 20%</w:t>
      </w:r>
      <w:r w:rsidR="0068513E" w:rsidRPr="0068513E">
        <w:rPr>
          <w:rFonts w:eastAsiaTheme="minorHAnsi"/>
          <w:color w:val="000000" w:themeColor="text1"/>
          <w:szCs w:val="24"/>
        </w:rPr>
        <w:t xml:space="preserve">) submitted </w:t>
      </w:r>
      <w:r w:rsidR="004A7B4E">
        <w:rPr>
          <w:rFonts w:eastAsiaTheme="minorHAnsi"/>
          <w:color w:val="000000" w:themeColor="text1"/>
          <w:szCs w:val="24"/>
        </w:rPr>
        <w:t>the</w:t>
      </w:r>
      <w:r w:rsidR="00634591">
        <w:rPr>
          <w:rFonts w:eastAsiaTheme="minorHAnsi"/>
          <w:color w:val="000000" w:themeColor="text1"/>
          <w:szCs w:val="24"/>
        </w:rPr>
        <w:t xml:space="preserve"> </w:t>
      </w:r>
      <w:proofErr w:type="spellStart"/>
      <w:r w:rsidR="0068513E" w:rsidRPr="0068513E">
        <w:rPr>
          <w:rFonts w:eastAsiaTheme="minorHAnsi"/>
          <w:color w:val="000000" w:themeColor="text1"/>
          <w:szCs w:val="24"/>
        </w:rPr>
        <w:lastRenderedPageBreak/>
        <w:t>addended</w:t>
      </w:r>
      <w:proofErr w:type="spellEnd"/>
      <w:r w:rsidR="0068513E" w:rsidRPr="0068513E">
        <w:rPr>
          <w:rFonts w:eastAsiaTheme="minorHAnsi"/>
          <w:color w:val="000000" w:themeColor="text1"/>
          <w:szCs w:val="24"/>
        </w:rPr>
        <w:t xml:space="preserve"> minority opinion.</w:t>
      </w:r>
      <w:r w:rsidR="0068513E">
        <w:rPr>
          <w:rFonts w:eastAsiaTheme="minorHAnsi"/>
          <w:color w:val="000000" w:themeColor="text1"/>
          <w:szCs w:val="24"/>
        </w:rPr>
        <w:t xml:space="preserve"> </w:t>
      </w:r>
      <w:r w:rsidR="0068513E" w:rsidRPr="0068513E">
        <w:rPr>
          <w:rFonts w:eastAsiaTheme="minorHAnsi"/>
          <w:color w:val="000000" w:themeColor="text1"/>
          <w:szCs w:val="24"/>
        </w:rPr>
        <w:t xml:space="preserve"> I</w:t>
      </w:r>
      <w:r w:rsidR="00377453" w:rsidRPr="0068513E">
        <w:rPr>
          <w:rFonts w:eastAsiaTheme="minorHAnsi"/>
          <w:color w:val="000000" w:themeColor="text1"/>
          <w:szCs w:val="24"/>
        </w:rPr>
        <w:t>n the matter of the contended lumbar radiculopathy, the Board unanimously agrees that it cannot</w:t>
      </w:r>
      <w:r w:rsidR="00377453" w:rsidRPr="00377453">
        <w:rPr>
          <w:rFonts w:asciiTheme="minorHAnsi" w:hAnsiTheme="minorHAnsi" w:cs="Times New Roman"/>
          <w:color w:val="auto"/>
          <w:szCs w:val="24"/>
        </w:rPr>
        <w:t xml:space="preserve"> recommend </w:t>
      </w:r>
      <w:r w:rsidR="00377453">
        <w:rPr>
          <w:rFonts w:asciiTheme="minorHAnsi" w:hAnsiTheme="minorHAnsi" w:cs="Times New Roman"/>
          <w:color w:val="auto"/>
          <w:szCs w:val="24"/>
        </w:rPr>
        <w:t>it</w:t>
      </w:r>
      <w:r w:rsidR="00377453" w:rsidRPr="00377453">
        <w:rPr>
          <w:rFonts w:asciiTheme="minorHAnsi" w:hAnsiTheme="minorHAnsi" w:cs="Times New Roman"/>
          <w:color w:val="auto"/>
          <w:szCs w:val="24"/>
        </w:rPr>
        <w:t xml:space="preserve"> for additional disability rating.</w:t>
      </w:r>
      <w:r w:rsidR="00377453">
        <w:rPr>
          <w:rFonts w:asciiTheme="minorHAnsi" w:hAnsiTheme="minorHAnsi" w:cs="Times New Roman"/>
          <w:color w:val="auto"/>
          <w:szCs w:val="24"/>
        </w:rPr>
        <w:t xml:space="preserve">  </w:t>
      </w:r>
      <w:r w:rsidR="003C53E8" w:rsidRPr="003C53E8">
        <w:rPr>
          <w:rFonts w:asciiTheme="minorHAnsi" w:hAnsiTheme="minorHAnsi" w:cs="Times New Roman"/>
          <w:color w:val="auto"/>
          <w:szCs w:val="24"/>
        </w:rPr>
        <w:t xml:space="preserve">In the </w:t>
      </w:r>
      <w:r w:rsidR="003C53E8" w:rsidRPr="00377453">
        <w:rPr>
          <w:rFonts w:asciiTheme="minorHAnsi" w:hAnsiTheme="minorHAnsi" w:cs="Times New Roman"/>
          <w:color w:val="auto"/>
          <w:szCs w:val="24"/>
        </w:rPr>
        <w:t xml:space="preserve">matter of the </w:t>
      </w:r>
      <w:r w:rsidR="00377453" w:rsidRPr="00377453">
        <w:rPr>
          <w:rFonts w:asciiTheme="minorHAnsi" w:hAnsiTheme="minorHAnsi" w:cs="Times New Roman"/>
          <w:color w:val="auto"/>
          <w:szCs w:val="24"/>
        </w:rPr>
        <w:t xml:space="preserve">contended </w:t>
      </w:r>
      <w:r w:rsidR="001B5DC8" w:rsidRPr="00377453">
        <w:rPr>
          <w:rFonts w:asciiTheme="minorHAnsi" w:hAnsiTheme="minorHAnsi" w:cs="Times New Roman"/>
          <w:color w:val="auto"/>
          <w:szCs w:val="24"/>
        </w:rPr>
        <w:t>thoracic and cervical spine</w:t>
      </w:r>
      <w:r w:rsidR="003C53E8" w:rsidRPr="00377453">
        <w:rPr>
          <w:rFonts w:asciiTheme="minorHAnsi" w:hAnsiTheme="minorHAnsi" w:cs="Times New Roman"/>
          <w:color w:val="auto"/>
          <w:szCs w:val="24"/>
        </w:rPr>
        <w:t xml:space="preserve"> condition</w:t>
      </w:r>
      <w:r w:rsidR="001B5DC8" w:rsidRPr="00377453">
        <w:rPr>
          <w:rFonts w:asciiTheme="minorHAnsi" w:hAnsiTheme="minorHAnsi" w:cs="Times New Roman"/>
          <w:color w:val="auto"/>
          <w:szCs w:val="24"/>
        </w:rPr>
        <w:t>s</w:t>
      </w:r>
      <w:r w:rsidR="003C53E8" w:rsidRPr="00377453">
        <w:rPr>
          <w:rFonts w:asciiTheme="minorHAnsi" w:hAnsiTheme="minorHAnsi" w:cs="Times New Roman"/>
          <w:color w:val="auto"/>
          <w:szCs w:val="24"/>
        </w:rPr>
        <w:t>, the Board unanimously agrees that it cannot</w:t>
      </w:r>
      <w:r w:rsidR="003C53E8" w:rsidRPr="00377453">
        <w:rPr>
          <w:rFonts w:asciiTheme="minorHAnsi" w:hAnsiTheme="minorHAnsi" w:cs="Times New Roman"/>
          <w:color w:val="000080"/>
          <w:szCs w:val="24"/>
        </w:rPr>
        <w:t xml:space="preserve"> </w:t>
      </w:r>
      <w:r w:rsidR="003C53E8" w:rsidRPr="00377453">
        <w:rPr>
          <w:rFonts w:asciiTheme="minorHAnsi" w:hAnsiTheme="minorHAnsi" w:cs="Times New Roman"/>
          <w:color w:val="auto"/>
          <w:szCs w:val="24"/>
        </w:rPr>
        <w:t xml:space="preserve">recommend a finding of unfit </w:t>
      </w:r>
      <w:r w:rsidR="00377453" w:rsidRPr="00377453">
        <w:rPr>
          <w:rFonts w:asciiTheme="minorHAnsi" w:hAnsiTheme="minorHAnsi" w:cs="Times New Roman"/>
          <w:color w:val="auto"/>
          <w:szCs w:val="24"/>
        </w:rPr>
        <w:t>for additional disability rating.</w:t>
      </w:r>
      <w:r w:rsidR="003C53E8" w:rsidRPr="00377453">
        <w:rPr>
          <w:rFonts w:asciiTheme="minorHAnsi" w:hAnsiTheme="minorHAnsi" w:cs="Times New Roman"/>
          <w:color w:val="auto"/>
          <w:szCs w:val="24"/>
        </w:rPr>
        <w:t xml:space="preserve">  The Board unanimously agrees that</w:t>
      </w:r>
      <w:r w:rsidR="003C53E8" w:rsidRPr="003C53E8">
        <w:rPr>
          <w:rFonts w:asciiTheme="minorHAnsi" w:hAnsiTheme="minorHAnsi" w:cs="Times New Roman"/>
          <w:color w:val="auto"/>
          <w:szCs w:val="24"/>
        </w:rPr>
        <w:t xml:space="preserve"> there were no other conditions eligible for Board consideration which could be recommended as additionally unfitting for </w:t>
      </w:r>
      <w:r w:rsidR="00377453" w:rsidRPr="00377453">
        <w:rPr>
          <w:rFonts w:asciiTheme="minorHAnsi" w:hAnsiTheme="minorHAnsi" w:cs="Times New Roman"/>
          <w:color w:val="auto"/>
          <w:szCs w:val="24"/>
        </w:rPr>
        <w:t>disability rating.</w:t>
      </w:r>
      <w:r w:rsidR="00377453" w:rsidRPr="003C53E8">
        <w:rPr>
          <w:rFonts w:asciiTheme="minorHAnsi" w:hAnsiTheme="minorHAns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68513E" w:rsidRDefault="00C56FC8" w:rsidP="0068513E">
      <w:pPr>
        <w:jc w:val="both"/>
        <w:rPr>
          <w:b/>
          <w:color w:val="000000" w:themeColor="text1"/>
          <w:szCs w:val="24"/>
        </w:rPr>
      </w:pPr>
      <w:r w:rsidRPr="0068513E">
        <w:rPr>
          <w:color w:val="000000" w:themeColor="text1"/>
          <w:szCs w:val="24"/>
          <w:u w:val="single"/>
        </w:rPr>
        <w:t>RECOMMENDATION</w:t>
      </w:r>
      <w:r w:rsidRPr="0068513E">
        <w:rPr>
          <w:color w:val="000000" w:themeColor="text1"/>
          <w:szCs w:val="24"/>
        </w:rPr>
        <w:t>:</w:t>
      </w:r>
      <w:r w:rsidR="001B5DC8" w:rsidRPr="0068513E">
        <w:rPr>
          <w:color w:val="000000" w:themeColor="text1"/>
          <w:szCs w:val="24"/>
        </w:rPr>
        <w:t xml:space="preserve"> </w:t>
      </w:r>
      <w:r w:rsidR="0068513E" w:rsidRPr="0068513E">
        <w:rPr>
          <w:color w:val="000000" w:themeColor="text1"/>
          <w:szCs w:val="24"/>
        </w:rPr>
        <w:t xml:space="preserve"> </w:t>
      </w:r>
      <w:r w:rsidR="008208C3" w:rsidRPr="0068513E">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68513E">
        <w:rPr>
          <w:color w:val="000000" w:themeColor="text1"/>
          <w:szCs w:val="24"/>
        </w:rPr>
        <w:t xml:space="preserve"> prior medical separation:</w:t>
      </w:r>
    </w:p>
    <w:p w:rsidR="00BA6A9C" w:rsidRPr="0068513E"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78"/>
        <w:gridCol w:w="1530"/>
        <w:gridCol w:w="1170"/>
      </w:tblGrid>
      <w:tr w:rsidR="00A95BBA" w:rsidRPr="0068513E" w:rsidTr="009F4982">
        <w:trPr>
          <w:trHeight w:val="233"/>
          <w:jc w:val="center"/>
        </w:trPr>
        <w:tc>
          <w:tcPr>
            <w:tcW w:w="6678" w:type="dxa"/>
            <w:shd w:val="clear" w:color="auto" w:fill="D9D9D9"/>
            <w:vAlign w:val="center"/>
          </w:tcPr>
          <w:p w:rsidR="00A95BBA" w:rsidRPr="0068513E" w:rsidRDefault="00A95BBA" w:rsidP="00BF0E94">
            <w:pPr>
              <w:tabs>
                <w:tab w:val="left" w:pos="288"/>
                <w:tab w:val="left" w:pos="4752"/>
              </w:tabs>
              <w:rPr>
                <w:b/>
                <w:color w:val="000000" w:themeColor="text1"/>
                <w:szCs w:val="24"/>
              </w:rPr>
            </w:pPr>
            <w:r w:rsidRPr="0068513E">
              <w:rPr>
                <w:b/>
                <w:color w:val="000000" w:themeColor="text1"/>
                <w:szCs w:val="24"/>
              </w:rPr>
              <w:t>UNFITTING CONDITION</w:t>
            </w:r>
          </w:p>
        </w:tc>
        <w:tc>
          <w:tcPr>
            <w:tcW w:w="1530" w:type="dxa"/>
            <w:shd w:val="clear" w:color="auto" w:fill="D9D9D9"/>
            <w:vAlign w:val="center"/>
          </w:tcPr>
          <w:p w:rsidR="00A95BBA" w:rsidRPr="0068513E" w:rsidRDefault="00A95BBA" w:rsidP="00BF0E94">
            <w:pPr>
              <w:tabs>
                <w:tab w:val="left" w:pos="288"/>
                <w:tab w:val="left" w:pos="4752"/>
              </w:tabs>
              <w:rPr>
                <w:b/>
                <w:color w:val="000000" w:themeColor="text1"/>
                <w:szCs w:val="24"/>
              </w:rPr>
            </w:pPr>
            <w:r w:rsidRPr="0068513E">
              <w:rPr>
                <w:b/>
                <w:color w:val="000000" w:themeColor="text1"/>
                <w:szCs w:val="24"/>
              </w:rPr>
              <w:t>VASRD CODE</w:t>
            </w:r>
          </w:p>
        </w:tc>
        <w:tc>
          <w:tcPr>
            <w:tcW w:w="1170" w:type="dxa"/>
            <w:shd w:val="clear" w:color="auto" w:fill="D9D9D9"/>
            <w:vAlign w:val="center"/>
          </w:tcPr>
          <w:p w:rsidR="00A95BBA" w:rsidRPr="0068513E" w:rsidRDefault="00A95BBA" w:rsidP="00BF0E94">
            <w:pPr>
              <w:tabs>
                <w:tab w:val="left" w:pos="288"/>
                <w:tab w:val="left" w:pos="4752"/>
              </w:tabs>
              <w:rPr>
                <w:b/>
                <w:color w:val="000000" w:themeColor="text1"/>
                <w:szCs w:val="24"/>
              </w:rPr>
            </w:pPr>
            <w:r w:rsidRPr="0068513E">
              <w:rPr>
                <w:b/>
                <w:color w:val="000000" w:themeColor="text1"/>
                <w:szCs w:val="24"/>
              </w:rPr>
              <w:t>RATING</w:t>
            </w:r>
          </w:p>
        </w:tc>
      </w:tr>
      <w:tr w:rsidR="00A95BBA" w:rsidRPr="0068513E" w:rsidTr="009F4982">
        <w:trPr>
          <w:jc w:val="center"/>
        </w:trPr>
        <w:tc>
          <w:tcPr>
            <w:tcW w:w="6678" w:type="dxa"/>
            <w:vAlign w:val="center"/>
          </w:tcPr>
          <w:p w:rsidR="00A95BBA" w:rsidRPr="0068513E" w:rsidRDefault="00377453" w:rsidP="00BF0E94">
            <w:pPr>
              <w:tabs>
                <w:tab w:val="left" w:pos="288"/>
                <w:tab w:val="left" w:pos="4752"/>
              </w:tabs>
              <w:jc w:val="left"/>
              <w:rPr>
                <w:color w:val="000000" w:themeColor="text1"/>
                <w:szCs w:val="24"/>
              </w:rPr>
            </w:pPr>
            <w:r w:rsidRPr="0068513E">
              <w:rPr>
                <w:color w:val="000000" w:themeColor="text1"/>
                <w:szCs w:val="24"/>
              </w:rPr>
              <w:t>Lumbar Disc Disease</w:t>
            </w:r>
          </w:p>
        </w:tc>
        <w:tc>
          <w:tcPr>
            <w:tcW w:w="1530" w:type="dxa"/>
            <w:vAlign w:val="center"/>
          </w:tcPr>
          <w:p w:rsidR="00A95BBA" w:rsidRPr="0068513E" w:rsidRDefault="001B5DC8" w:rsidP="00BF0E94">
            <w:pPr>
              <w:tabs>
                <w:tab w:val="left" w:pos="288"/>
                <w:tab w:val="left" w:pos="4752"/>
              </w:tabs>
              <w:rPr>
                <w:color w:val="000000" w:themeColor="text1"/>
                <w:szCs w:val="24"/>
              </w:rPr>
            </w:pPr>
            <w:r w:rsidRPr="0068513E">
              <w:rPr>
                <w:color w:val="000000" w:themeColor="text1"/>
                <w:szCs w:val="24"/>
              </w:rPr>
              <w:t>5243</w:t>
            </w:r>
          </w:p>
        </w:tc>
        <w:tc>
          <w:tcPr>
            <w:tcW w:w="1170" w:type="dxa"/>
            <w:vAlign w:val="center"/>
          </w:tcPr>
          <w:p w:rsidR="00A95BBA" w:rsidRPr="0068513E" w:rsidRDefault="001B5DC8" w:rsidP="00BF0E94">
            <w:pPr>
              <w:tabs>
                <w:tab w:val="left" w:pos="288"/>
                <w:tab w:val="left" w:pos="4752"/>
              </w:tabs>
              <w:rPr>
                <w:color w:val="000000" w:themeColor="text1"/>
                <w:szCs w:val="24"/>
              </w:rPr>
            </w:pPr>
            <w:r w:rsidRPr="0068513E">
              <w:rPr>
                <w:color w:val="000000" w:themeColor="text1"/>
                <w:szCs w:val="24"/>
              </w:rPr>
              <w:t>40</w:t>
            </w:r>
            <w:r w:rsidR="00A95BBA" w:rsidRPr="0068513E">
              <w:rPr>
                <w:color w:val="000000" w:themeColor="text1"/>
                <w:szCs w:val="24"/>
              </w:rPr>
              <w:t>%</w:t>
            </w:r>
          </w:p>
        </w:tc>
      </w:tr>
      <w:tr w:rsidR="00A95BBA" w:rsidRPr="001F29F9" w:rsidTr="009F4982">
        <w:tblPrEx>
          <w:tblLook w:val="0000"/>
        </w:tblPrEx>
        <w:trPr>
          <w:gridBefore w:val="1"/>
          <w:wBefore w:w="667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68513E" w:rsidRDefault="00A95BBA" w:rsidP="00BF0E94">
            <w:pPr>
              <w:tabs>
                <w:tab w:val="left" w:pos="288"/>
                <w:tab w:val="left" w:pos="4752"/>
              </w:tabs>
              <w:rPr>
                <w:b/>
                <w:color w:val="000000" w:themeColor="text1"/>
                <w:szCs w:val="24"/>
              </w:rPr>
            </w:pPr>
            <w:r w:rsidRPr="0068513E">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8513E" w:rsidRDefault="001B5DC8" w:rsidP="00BF0E94">
            <w:pPr>
              <w:tabs>
                <w:tab w:val="left" w:pos="288"/>
                <w:tab w:val="left" w:pos="4752"/>
              </w:tabs>
              <w:rPr>
                <w:b/>
                <w:color w:val="000000" w:themeColor="text1"/>
                <w:szCs w:val="24"/>
              </w:rPr>
            </w:pPr>
            <w:r w:rsidRPr="0068513E">
              <w:rPr>
                <w:b/>
                <w:color w:val="000000" w:themeColor="text1"/>
                <w:szCs w:val="24"/>
              </w:rPr>
              <w:t>4</w:t>
            </w:r>
            <w:r w:rsidR="00A95BBA" w:rsidRPr="0068513E">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186347">
      <w:pPr>
        <w:tabs>
          <w:tab w:val="left" w:pos="288"/>
          <w:tab w:val="left" w:pos="4752"/>
        </w:tabs>
        <w:spacing w:line="240" w:lineRule="auto"/>
        <w:jc w:val="both"/>
        <w:rPr>
          <w:color w:val="000000" w:themeColor="text1"/>
        </w:rPr>
      </w:pPr>
      <w:r w:rsidRPr="001F29F9">
        <w:rPr>
          <w:color w:val="000000" w:themeColor="text1"/>
        </w:rPr>
        <w:t>The following documentary evidence was considered:</w:t>
      </w:r>
    </w:p>
    <w:p w:rsidR="00EB5EFD" w:rsidRPr="001F29F9" w:rsidRDefault="00EB5EFD" w:rsidP="00186347">
      <w:pPr>
        <w:tabs>
          <w:tab w:val="left" w:pos="288"/>
          <w:tab w:val="left" w:pos="4752"/>
        </w:tabs>
        <w:spacing w:line="240" w:lineRule="auto"/>
        <w:jc w:val="both"/>
        <w:rPr>
          <w:color w:val="000000" w:themeColor="text1"/>
        </w:rPr>
      </w:pPr>
    </w:p>
    <w:p w:rsidR="00114F20" w:rsidRPr="00186347" w:rsidRDefault="00FB1725" w:rsidP="00186347">
      <w:pPr>
        <w:tabs>
          <w:tab w:val="left" w:pos="288"/>
          <w:tab w:val="left" w:pos="4752"/>
        </w:tabs>
        <w:spacing w:line="240" w:lineRule="auto"/>
        <w:jc w:val="both"/>
        <w:rPr>
          <w:color w:val="000000" w:themeColor="text1"/>
          <w:szCs w:val="24"/>
        </w:rPr>
      </w:pPr>
      <w:r w:rsidRPr="00186347">
        <w:rPr>
          <w:color w:val="000000" w:themeColor="text1"/>
          <w:szCs w:val="24"/>
        </w:rPr>
        <w:t xml:space="preserve">Exhibit A.  DD Form </w:t>
      </w:r>
      <w:proofErr w:type="gramStart"/>
      <w:r w:rsidRPr="00186347">
        <w:rPr>
          <w:color w:val="000000" w:themeColor="text1"/>
          <w:szCs w:val="24"/>
        </w:rPr>
        <w:t>294,</w:t>
      </w:r>
      <w:proofErr w:type="gramEnd"/>
      <w:r w:rsidRPr="00186347">
        <w:rPr>
          <w:color w:val="000000" w:themeColor="text1"/>
          <w:szCs w:val="24"/>
        </w:rPr>
        <w:t xml:space="preserve"> </w:t>
      </w:r>
      <w:r w:rsidRPr="001F29F9">
        <w:rPr>
          <w:color w:val="000000" w:themeColor="text1"/>
          <w:szCs w:val="24"/>
        </w:rPr>
        <w:t>dated 20</w:t>
      </w:r>
      <w:r w:rsidR="001215DF" w:rsidRPr="001F29F9">
        <w:rPr>
          <w:color w:val="000000" w:themeColor="text1"/>
          <w:szCs w:val="24"/>
        </w:rPr>
        <w:t>1</w:t>
      </w:r>
      <w:r w:rsidR="00FF7280">
        <w:rPr>
          <w:color w:val="000000" w:themeColor="text1"/>
          <w:szCs w:val="24"/>
        </w:rPr>
        <w:t>10725</w:t>
      </w:r>
      <w:r w:rsidRPr="00186347">
        <w:rPr>
          <w:color w:val="000000" w:themeColor="text1"/>
          <w:szCs w:val="24"/>
        </w:rPr>
        <w:t>, w/</w:t>
      </w:r>
      <w:proofErr w:type="spellStart"/>
      <w:r w:rsidRPr="00186347">
        <w:rPr>
          <w:color w:val="000000" w:themeColor="text1"/>
          <w:szCs w:val="24"/>
        </w:rPr>
        <w:t>atchs</w:t>
      </w:r>
      <w:proofErr w:type="spellEnd"/>
      <w:r w:rsidRPr="00186347">
        <w:rPr>
          <w:color w:val="000000" w:themeColor="text1"/>
          <w:szCs w:val="24"/>
        </w:rPr>
        <w:t>.</w:t>
      </w:r>
    </w:p>
    <w:p w:rsidR="00114F20" w:rsidRPr="00186347" w:rsidRDefault="00FB1725" w:rsidP="00186347">
      <w:pPr>
        <w:tabs>
          <w:tab w:val="left" w:pos="288"/>
          <w:tab w:val="left" w:pos="4752"/>
        </w:tabs>
        <w:spacing w:line="240" w:lineRule="auto"/>
        <w:jc w:val="both"/>
        <w:rPr>
          <w:color w:val="000000" w:themeColor="text1"/>
          <w:szCs w:val="24"/>
        </w:rPr>
      </w:pPr>
      <w:r w:rsidRPr="00186347">
        <w:rPr>
          <w:color w:val="000000" w:themeColor="text1"/>
          <w:szCs w:val="24"/>
        </w:rPr>
        <w:t xml:space="preserve">Exhibit B.  </w:t>
      </w:r>
      <w:proofErr w:type="gramStart"/>
      <w:r w:rsidRPr="00186347">
        <w:rPr>
          <w:color w:val="000000" w:themeColor="text1"/>
          <w:szCs w:val="24"/>
        </w:rPr>
        <w:t>Service Treatment Record.</w:t>
      </w:r>
      <w:proofErr w:type="gramEnd"/>
    </w:p>
    <w:p w:rsidR="00114F20" w:rsidRPr="00186347" w:rsidRDefault="00FB1725" w:rsidP="00186347">
      <w:pPr>
        <w:tabs>
          <w:tab w:val="left" w:pos="288"/>
          <w:tab w:val="left" w:pos="4752"/>
        </w:tabs>
        <w:spacing w:line="240" w:lineRule="auto"/>
        <w:jc w:val="both"/>
        <w:rPr>
          <w:color w:val="000000" w:themeColor="text1"/>
          <w:szCs w:val="24"/>
        </w:rPr>
      </w:pPr>
      <w:r w:rsidRPr="00186347">
        <w:rPr>
          <w:color w:val="000000" w:themeColor="text1"/>
          <w:szCs w:val="24"/>
        </w:rPr>
        <w:t xml:space="preserve">Exhibit C.  </w:t>
      </w:r>
      <w:proofErr w:type="gramStart"/>
      <w:r w:rsidRPr="00186347">
        <w:rPr>
          <w:color w:val="000000" w:themeColor="text1"/>
          <w:szCs w:val="24"/>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68513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8513E" w:rsidRDefault="0068513E">
      <w:pPr>
        <w:rPr>
          <w:color w:val="000000" w:themeColor="text1"/>
          <w:szCs w:val="24"/>
        </w:rPr>
      </w:pPr>
      <w:r>
        <w:rPr>
          <w:color w:val="000000" w:themeColor="text1"/>
          <w:szCs w:val="24"/>
        </w:rPr>
        <w:br w:type="page"/>
      </w:r>
    </w:p>
    <w:p w:rsidR="00E3077F" w:rsidRDefault="0068513E" w:rsidP="00BF0E94">
      <w:pPr>
        <w:tabs>
          <w:tab w:val="left" w:pos="0"/>
          <w:tab w:val="left" w:pos="4320"/>
        </w:tabs>
        <w:jc w:val="both"/>
        <w:rPr>
          <w:color w:val="000000" w:themeColor="text1"/>
          <w:szCs w:val="24"/>
        </w:rPr>
      </w:pPr>
      <w:r w:rsidRPr="0068513E">
        <w:rPr>
          <w:color w:val="000000" w:themeColor="text1"/>
          <w:szCs w:val="24"/>
          <w:u w:val="single"/>
        </w:rPr>
        <w:lastRenderedPageBreak/>
        <w:t>MINORITY OPINION</w:t>
      </w:r>
      <w:r>
        <w:rPr>
          <w:color w:val="000000" w:themeColor="text1"/>
          <w:szCs w:val="24"/>
        </w:rPr>
        <w:t>:</w:t>
      </w:r>
    </w:p>
    <w:p w:rsidR="0068513E" w:rsidRDefault="0068513E" w:rsidP="00BF0E94">
      <w:pPr>
        <w:tabs>
          <w:tab w:val="left" w:pos="0"/>
          <w:tab w:val="left" w:pos="4320"/>
        </w:tabs>
        <w:jc w:val="both"/>
        <w:rPr>
          <w:color w:val="000000" w:themeColor="text1"/>
          <w:szCs w:val="24"/>
        </w:rPr>
      </w:pPr>
    </w:p>
    <w:p w:rsidR="0068513E" w:rsidRDefault="004A7B4E" w:rsidP="00BF0E94">
      <w:pPr>
        <w:tabs>
          <w:tab w:val="left" w:pos="0"/>
          <w:tab w:val="left" w:pos="4320"/>
        </w:tabs>
        <w:jc w:val="both"/>
        <w:rPr>
          <w:color w:val="000000" w:themeColor="text1"/>
          <w:szCs w:val="24"/>
        </w:rPr>
      </w:pPr>
      <w:r>
        <w:rPr>
          <w:color w:val="000000" w:themeColor="text1"/>
          <w:szCs w:val="24"/>
        </w:rPr>
        <w:t>The s</w:t>
      </w:r>
      <w:r w:rsidR="0091154F">
        <w:rPr>
          <w:color w:val="000000" w:themeColor="text1"/>
          <w:szCs w:val="24"/>
        </w:rPr>
        <w:t>ervice rating in this case was carefully reviewed by the FPEB</w:t>
      </w:r>
      <w:r w:rsidR="00CC585E">
        <w:rPr>
          <w:color w:val="000000" w:themeColor="text1"/>
          <w:szCs w:val="24"/>
        </w:rPr>
        <w:t>,</w:t>
      </w:r>
      <w:r w:rsidR="0091154F">
        <w:rPr>
          <w:color w:val="000000" w:themeColor="text1"/>
          <w:szCs w:val="24"/>
        </w:rPr>
        <w:t xml:space="preserve"> and its conclusion well articulated in its AF Form 356 narrative.  This accurately observed that the CI’s range of motion “has varied from 50% of normal to full within the past year</w:t>
      </w:r>
      <w:r w:rsidR="00634591">
        <w:rPr>
          <w:color w:val="000000" w:themeColor="text1"/>
          <w:szCs w:val="24"/>
        </w:rPr>
        <w:t>.</w:t>
      </w:r>
      <w:r w:rsidR="0091154F">
        <w:rPr>
          <w:color w:val="000000" w:themeColor="text1"/>
          <w:szCs w:val="24"/>
        </w:rPr>
        <w:t>”  Although the goniometric evidence accepted by the PEB was not compliant with VA standards of measurement, it was rated IAW the VASRD general spine formula; and</w:t>
      </w:r>
      <w:r w:rsidR="00B92A5B">
        <w:rPr>
          <w:color w:val="000000" w:themeColor="text1"/>
          <w:szCs w:val="24"/>
        </w:rPr>
        <w:t>, was in fact rated for the more</w:t>
      </w:r>
      <w:r w:rsidR="0091154F">
        <w:rPr>
          <w:color w:val="000000" w:themeColor="text1"/>
          <w:szCs w:val="24"/>
        </w:rPr>
        <w:t xml:space="preserve"> severe limitations in evidence.  I have no difficulty equating the </w:t>
      </w:r>
      <w:r w:rsidR="002E77DD">
        <w:rPr>
          <w:color w:val="000000" w:themeColor="text1"/>
          <w:szCs w:val="24"/>
        </w:rPr>
        <w:t>formally measured 50% of normal flexion with the conclusion that 45</w:t>
      </w:r>
      <w:r w:rsidR="002E77DD">
        <w:rPr>
          <w:rFonts w:cs="Calibri"/>
          <w:color w:val="000000" w:themeColor="text1"/>
          <w:szCs w:val="24"/>
        </w:rPr>
        <w:t>⁰</w:t>
      </w:r>
      <w:r w:rsidR="002E77DD">
        <w:rPr>
          <w:color w:val="000000" w:themeColor="text1"/>
          <w:szCs w:val="24"/>
        </w:rPr>
        <w:t xml:space="preserve"> is 50% of the normal flexion of 90</w:t>
      </w:r>
      <w:r w:rsidR="002E77DD">
        <w:rPr>
          <w:rFonts w:cs="Calibri"/>
          <w:color w:val="000000" w:themeColor="text1"/>
          <w:szCs w:val="24"/>
        </w:rPr>
        <w:t>⁰</w:t>
      </w:r>
      <w:r w:rsidR="002E77DD">
        <w:rPr>
          <w:color w:val="000000" w:themeColor="text1"/>
          <w:szCs w:val="24"/>
        </w:rPr>
        <w:t>.  There is no evidence from physician and PT notes that flexion was ever as severely impaired as 30</w:t>
      </w:r>
      <w:r w:rsidR="002E77DD">
        <w:rPr>
          <w:rFonts w:cs="Calibri"/>
          <w:color w:val="000000" w:themeColor="text1"/>
          <w:szCs w:val="24"/>
        </w:rPr>
        <w:t>⁰</w:t>
      </w:r>
      <w:r w:rsidR="002E77DD">
        <w:rPr>
          <w:color w:val="000000" w:themeColor="text1"/>
          <w:szCs w:val="24"/>
        </w:rPr>
        <w:t xml:space="preserve">, nor was the CI’s documented functional status consistent with such a severe reduction in spine mobility.  The baseline ROM measurements by the VA post-separation examiner were equivalent to </w:t>
      </w:r>
      <w:r w:rsidR="00B92A5B">
        <w:rPr>
          <w:color w:val="000000" w:themeColor="text1"/>
          <w:szCs w:val="24"/>
        </w:rPr>
        <w:t>those</w:t>
      </w:r>
      <w:r w:rsidR="002E77DD">
        <w:rPr>
          <w:color w:val="000000" w:themeColor="text1"/>
          <w:szCs w:val="24"/>
        </w:rPr>
        <w:t xml:space="preserve"> rated by the PEB and with all other evidence of record.</w:t>
      </w:r>
      <w:r w:rsidR="000D1D0F">
        <w:rPr>
          <w:color w:val="000000" w:themeColor="text1"/>
          <w:szCs w:val="24"/>
        </w:rPr>
        <w:t xml:space="preserve">  As stated in these proceedings, the DeLuca criteria applied by the majority in its rating recommendation are clinically incongruous.  If fatigue after three repetitions (and not affecting lateral or rotational planes) did have such a profound impact on flexion, one should consider that the CI’s unratable obesity made a very significant contribution to the degradation.  That is especially true </w:t>
      </w:r>
      <w:r w:rsidR="00B92A5B">
        <w:rPr>
          <w:color w:val="000000" w:themeColor="text1"/>
          <w:szCs w:val="24"/>
        </w:rPr>
        <w:t>given</w:t>
      </w:r>
      <w:r w:rsidR="000D1D0F">
        <w:rPr>
          <w:color w:val="000000" w:themeColor="text1"/>
          <w:szCs w:val="24"/>
        </w:rPr>
        <w:t xml:space="preserve"> that </w:t>
      </w:r>
      <w:r w:rsidR="00544CF5">
        <w:rPr>
          <w:color w:val="000000" w:themeColor="text1"/>
          <w:szCs w:val="24"/>
        </w:rPr>
        <w:t>if even 1</w:t>
      </w:r>
      <w:r w:rsidR="00544CF5">
        <w:rPr>
          <w:rFonts w:cs="Calibri"/>
          <w:color w:val="000000" w:themeColor="text1"/>
          <w:szCs w:val="24"/>
        </w:rPr>
        <w:t>⁰</w:t>
      </w:r>
      <w:r w:rsidR="00544CF5">
        <w:rPr>
          <w:color w:val="000000" w:themeColor="text1"/>
          <w:szCs w:val="24"/>
        </w:rPr>
        <w:t xml:space="preserve"> of the DeLuca deduction was thereby unratable, then the 40% rating threshold would not </w:t>
      </w:r>
      <w:r w:rsidR="00D27BC2">
        <w:rPr>
          <w:color w:val="000000" w:themeColor="text1"/>
          <w:szCs w:val="24"/>
        </w:rPr>
        <w:t xml:space="preserve">have been </w:t>
      </w:r>
      <w:r w:rsidR="00544CF5">
        <w:rPr>
          <w:color w:val="000000" w:themeColor="text1"/>
          <w:szCs w:val="24"/>
        </w:rPr>
        <w:t xml:space="preserve">met.  </w:t>
      </w:r>
      <w:r w:rsidR="00D27BC2">
        <w:rPr>
          <w:color w:val="000000" w:themeColor="text1"/>
          <w:szCs w:val="24"/>
        </w:rPr>
        <w:t xml:space="preserve">One should also consider that </w:t>
      </w:r>
      <w:r w:rsidR="00D27BC2" w:rsidRPr="00D27BC2">
        <w:rPr>
          <w:color w:val="000000" w:themeColor="text1"/>
          <w:szCs w:val="24"/>
        </w:rPr>
        <w:t>VA rating evaluations based on ROM rely on subjective pain thresholds which are patently associated with financial incentive, thus inherently subject to some loss of objectivity.</w:t>
      </w:r>
      <w:r w:rsidR="00D27BC2">
        <w:rPr>
          <w:color w:val="000000" w:themeColor="text1"/>
          <w:szCs w:val="24"/>
        </w:rPr>
        <w:t xml:space="preserve"> </w:t>
      </w:r>
      <w:r w:rsidR="00D27BC2" w:rsidRPr="00D27BC2">
        <w:rPr>
          <w:color w:val="000000" w:themeColor="text1"/>
          <w:szCs w:val="24"/>
        </w:rPr>
        <w:t xml:space="preserve"> </w:t>
      </w:r>
      <w:r w:rsidR="00544CF5">
        <w:rPr>
          <w:color w:val="000000" w:themeColor="text1"/>
          <w:szCs w:val="24"/>
        </w:rPr>
        <w:t>DoDI 6040.44 stipulates that this Board will apply the VASRD in its recommendations.  It does not stipulate that the Board should apply all of the non-VASRD practices and policies of the</w:t>
      </w:r>
      <w:r w:rsidR="000D1D0F">
        <w:rPr>
          <w:color w:val="000000" w:themeColor="text1"/>
          <w:szCs w:val="24"/>
        </w:rPr>
        <w:t xml:space="preserve"> </w:t>
      </w:r>
      <w:r w:rsidR="00544CF5">
        <w:rPr>
          <w:color w:val="000000" w:themeColor="text1"/>
          <w:szCs w:val="24"/>
        </w:rPr>
        <w:t xml:space="preserve">DVA, which would include the very liberal interpretation of the DeLuca ruling </w:t>
      </w:r>
      <w:r w:rsidR="00D27BC2">
        <w:rPr>
          <w:color w:val="000000" w:themeColor="text1"/>
          <w:szCs w:val="24"/>
        </w:rPr>
        <w:t>that</w:t>
      </w:r>
      <w:r w:rsidR="00544CF5">
        <w:rPr>
          <w:color w:val="000000" w:themeColor="text1"/>
          <w:szCs w:val="24"/>
        </w:rPr>
        <w:t xml:space="preserve"> it conceded in this case.  </w:t>
      </w:r>
      <w:r w:rsidR="00D27BC2">
        <w:rPr>
          <w:color w:val="000000" w:themeColor="text1"/>
          <w:szCs w:val="24"/>
        </w:rPr>
        <w:t>The DeLuca principle is sound, but the principle simply was not violated based on the clinical reality of this case.  DoDI 6040.44 does state that this Board will render “fair and equitable”</w:t>
      </w:r>
      <w:r w:rsidR="00B92A5B">
        <w:rPr>
          <w:color w:val="000000" w:themeColor="text1"/>
          <w:szCs w:val="24"/>
        </w:rPr>
        <w:t xml:space="preserve"> recommendations, and I firmly believe that 20% is a fair, equitable, and logical rating for the thoracolumbar spine condition in this case.</w:t>
      </w:r>
    </w:p>
    <w:p w:rsidR="00B92A5B" w:rsidRDefault="00B92A5B" w:rsidP="00BF0E94">
      <w:pPr>
        <w:tabs>
          <w:tab w:val="left" w:pos="0"/>
          <w:tab w:val="left" w:pos="4320"/>
        </w:tabs>
        <w:jc w:val="both"/>
        <w:rPr>
          <w:color w:val="000000" w:themeColor="text1"/>
          <w:szCs w:val="24"/>
        </w:rPr>
      </w:pPr>
    </w:p>
    <w:p w:rsidR="00B92A5B" w:rsidRDefault="00B92A5B" w:rsidP="00B92A5B">
      <w:pPr>
        <w:jc w:val="both"/>
        <w:rPr>
          <w:color w:val="auto"/>
          <w:szCs w:val="24"/>
        </w:rPr>
      </w:pPr>
      <w:r>
        <w:rPr>
          <w:color w:val="000000" w:themeColor="text1"/>
          <w:szCs w:val="24"/>
        </w:rPr>
        <w:t xml:space="preserve">I respectfully submit that the Secretary </w:t>
      </w:r>
      <w:r w:rsidRPr="00B92A5B">
        <w:rPr>
          <w:color w:val="auto"/>
          <w:szCs w:val="24"/>
        </w:rPr>
        <w:t>consider the minority recommendation that there be no recharacterization of the CI’s disability and separation determination:</w:t>
      </w:r>
    </w:p>
    <w:p w:rsidR="00B92A5B" w:rsidRDefault="00B92A5B" w:rsidP="00B92A5B">
      <w:pPr>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8"/>
        <w:gridCol w:w="1530"/>
        <w:gridCol w:w="1080"/>
      </w:tblGrid>
      <w:tr w:rsidR="00B92A5B" w:rsidRPr="0068513E" w:rsidTr="009F4982">
        <w:trPr>
          <w:trHeight w:val="233"/>
          <w:jc w:val="center"/>
        </w:trPr>
        <w:tc>
          <w:tcPr>
            <w:tcW w:w="6768" w:type="dxa"/>
            <w:shd w:val="clear" w:color="auto" w:fill="D9D9D9"/>
            <w:vAlign w:val="center"/>
          </w:tcPr>
          <w:p w:rsidR="00B92A5B" w:rsidRPr="0068513E" w:rsidRDefault="00B92A5B" w:rsidP="00186347">
            <w:pPr>
              <w:tabs>
                <w:tab w:val="left" w:pos="288"/>
                <w:tab w:val="left" w:pos="4752"/>
              </w:tabs>
              <w:rPr>
                <w:b/>
                <w:color w:val="000000" w:themeColor="text1"/>
                <w:szCs w:val="24"/>
              </w:rPr>
            </w:pPr>
            <w:r w:rsidRPr="0068513E">
              <w:rPr>
                <w:b/>
                <w:color w:val="000000" w:themeColor="text1"/>
                <w:szCs w:val="24"/>
              </w:rPr>
              <w:t>UNFITTING CONDITION</w:t>
            </w:r>
          </w:p>
        </w:tc>
        <w:tc>
          <w:tcPr>
            <w:tcW w:w="1530" w:type="dxa"/>
            <w:shd w:val="clear" w:color="auto" w:fill="D9D9D9"/>
            <w:vAlign w:val="center"/>
          </w:tcPr>
          <w:p w:rsidR="00B92A5B" w:rsidRPr="0068513E" w:rsidRDefault="00B92A5B" w:rsidP="00186347">
            <w:pPr>
              <w:tabs>
                <w:tab w:val="left" w:pos="288"/>
                <w:tab w:val="left" w:pos="4752"/>
              </w:tabs>
              <w:rPr>
                <w:b/>
                <w:color w:val="000000" w:themeColor="text1"/>
                <w:szCs w:val="24"/>
              </w:rPr>
            </w:pPr>
            <w:r w:rsidRPr="0068513E">
              <w:rPr>
                <w:b/>
                <w:color w:val="000000" w:themeColor="text1"/>
                <w:szCs w:val="24"/>
              </w:rPr>
              <w:t>VASRD CODE</w:t>
            </w:r>
          </w:p>
        </w:tc>
        <w:tc>
          <w:tcPr>
            <w:tcW w:w="1080" w:type="dxa"/>
            <w:shd w:val="clear" w:color="auto" w:fill="D9D9D9"/>
            <w:vAlign w:val="center"/>
          </w:tcPr>
          <w:p w:rsidR="00B92A5B" w:rsidRPr="0068513E" w:rsidRDefault="00B92A5B" w:rsidP="00186347">
            <w:pPr>
              <w:tabs>
                <w:tab w:val="left" w:pos="288"/>
                <w:tab w:val="left" w:pos="4752"/>
              </w:tabs>
              <w:rPr>
                <w:b/>
                <w:color w:val="000000" w:themeColor="text1"/>
                <w:szCs w:val="24"/>
              </w:rPr>
            </w:pPr>
            <w:r w:rsidRPr="0068513E">
              <w:rPr>
                <w:b/>
                <w:color w:val="000000" w:themeColor="text1"/>
                <w:szCs w:val="24"/>
              </w:rPr>
              <w:t>RATING</w:t>
            </w:r>
          </w:p>
        </w:tc>
      </w:tr>
      <w:tr w:rsidR="00B92A5B" w:rsidRPr="0068513E" w:rsidTr="009F4982">
        <w:trPr>
          <w:jc w:val="center"/>
        </w:trPr>
        <w:tc>
          <w:tcPr>
            <w:tcW w:w="6768" w:type="dxa"/>
            <w:vAlign w:val="center"/>
          </w:tcPr>
          <w:p w:rsidR="00B92A5B" w:rsidRPr="0068513E" w:rsidRDefault="00B92A5B" w:rsidP="00186347">
            <w:pPr>
              <w:tabs>
                <w:tab w:val="left" w:pos="288"/>
                <w:tab w:val="left" w:pos="4752"/>
              </w:tabs>
              <w:jc w:val="left"/>
              <w:rPr>
                <w:color w:val="000000" w:themeColor="text1"/>
                <w:szCs w:val="24"/>
              </w:rPr>
            </w:pPr>
            <w:r w:rsidRPr="0068513E">
              <w:rPr>
                <w:color w:val="000000" w:themeColor="text1"/>
                <w:szCs w:val="24"/>
              </w:rPr>
              <w:t>Lumbar Disc Disease</w:t>
            </w:r>
          </w:p>
        </w:tc>
        <w:tc>
          <w:tcPr>
            <w:tcW w:w="1530" w:type="dxa"/>
            <w:vAlign w:val="center"/>
          </w:tcPr>
          <w:p w:rsidR="00B92A5B" w:rsidRPr="0068513E" w:rsidRDefault="00B92A5B" w:rsidP="00186347">
            <w:pPr>
              <w:tabs>
                <w:tab w:val="left" w:pos="288"/>
                <w:tab w:val="left" w:pos="4752"/>
              </w:tabs>
              <w:rPr>
                <w:color w:val="000000" w:themeColor="text1"/>
                <w:szCs w:val="24"/>
              </w:rPr>
            </w:pPr>
            <w:r w:rsidRPr="0068513E">
              <w:rPr>
                <w:color w:val="000000" w:themeColor="text1"/>
                <w:szCs w:val="24"/>
              </w:rPr>
              <w:t>5243</w:t>
            </w:r>
          </w:p>
        </w:tc>
        <w:tc>
          <w:tcPr>
            <w:tcW w:w="1080" w:type="dxa"/>
            <w:vAlign w:val="center"/>
          </w:tcPr>
          <w:p w:rsidR="00B92A5B" w:rsidRPr="0068513E" w:rsidRDefault="00B92A5B" w:rsidP="00186347">
            <w:pPr>
              <w:tabs>
                <w:tab w:val="left" w:pos="288"/>
                <w:tab w:val="left" w:pos="4752"/>
              </w:tabs>
              <w:rPr>
                <w:color w:val="000000" w:themeColor="text1"/>
                <w:szCs w:val="24"/>
              </w:rPr>
            </w:pPr>
            <w:r>
              <w:rPr>
                <w:color w:val="000000" w:themeColor="text1"/>
                <w:szCs w:val="24"/>
              </w:rPr>
              <w:t>2</w:t>
            </w:r>
            <w:r w:rsidRPr="0068513E">
              <w:rPr>
                <w:color w:val="000000" w:themeColor="text1"/>
                <w:szCs w:val="24"/>
              </w:rPr>
              <w:t>0%</w:t>
            </w:r>
          </w:p>
        </w:tc>
      </w:tr>
      <w:tr w:rsidR="00B92A5B" w:rsidRPr="001F29F9" w:rsidTr="009F4982">
        <w:tblPrEx>
          <w:tblLook w:val="0000"/>
        </w:tblPrEx>
        <w:trPr>
          <w:gridBefore w:val="1"/>
          <w:wBefore w:w="6768"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B92A5B" w:rsidRPr="0068513E" w:rsidRDefault="00B92A5B" w:rsidP="00186347">
            <w:pPr>
              <w:tabs>
                <w:tab w:val="left" w:pos="288"/>
                <w:tab w:val="left" w:pos="4752"/>
              </w:tabs>
              <w:rPr>
                <w:b/>
                <w:color w:val="000000" w:themeColor="text1"/>
                <w:szCs w:val="24"/>
              </w:rPr>
            </w:pPr>
            <w:r w:rsidRPr="0068513E">
              <w:rPr>
                <w:b/>
                <w:color w:val="000000" w:themeColor="text1"/>
                <w:szCs w:val="24"/>
              </w:rPr>
              <w:t>COMBINED</w:t>
            </w:r>
          </w:p>
        </w:tc>
        <w:tc>
          <w:tcPr>
            <w:tcW w:w="1080" w:type="dxa"/>
            <w:tcBorders>
              <w:bottom w:val="single" w:sz="4" w:space="0" w:color="000000"/>
            </w:tcBorders>
            <w:shd w:val="clear" w:color="auto" w:fill="D9D9D9" w:themeFill="background1" w:themeFillShade="D9"/>
            <w:vAlign w:val="center"/>
          </w:tcPr>
          <w:p w:rsidR="00B92A5B" w:rsidRPr="0068513E" w:rsidRDefault="00B92A5B" w:rsidP="00186347">
            <w:pPr>
              <w:tabs>
                <w:tab w:val="left" w:pos="288"/>
                <w:tab w:val="left" w:pos="4752"/>
              </w:tabs>
              <w:rPr>
                <w:b/>
                <w:color w:val="000000" w:themeColor="text1"/>
                <w:szCs w:val="24"/>
              </w:rPr>
            </w:pPr>
            <w:r>
              <w:rPr>
                <w:b/>
                <w:color w:val="000000" w:themeColor="text1"/>
                <w:szCs w:val="24"/>
              </w:rPr>
              <w:t>2</w:t>
            </w:r>
            <w:r w:rsidRPr="0068513E">
              <w:rPr>
                <w:b/>
                <w:color w:val="000000" w:themeColor="text1"/>
                <w:szCs w:val="24"/>
              </w:rPr>
              <w:t>0%</w:t>
            </w:r>
          </w:p>
        </w:tc>
      </w:tr>
    </w:tbl>
    <w:p w:rsidR="00B92A5B" w:rsidRPr="00B92A5B" w:rsidRDefault="00B92A5B" w:rsidP="00B92A5B">
      <w:pPr>
        <w:jc w:val="both"/>
        <w:rPr>
          <w:color w:val="auto"/>
          <w:szCs w:val="24"/>
        </w:rPr>
      </w:pPr>
    </w:p>
    <w:p w:rsidR="00B92A5B" w:rsidRPr="00B92A5B" w:rsidRDefault="00B92A5B" w:rsidP="00BF0E94">
      <w:pPr>
        <w:tabs>
          <w:tab w:val="left" w:pos="0"/>
          <w:tab w:val="left" w:pos="4320"/>
        </w:tabs>
        <w:jc w:val="both"/>
        <w:rPr>
          <w:color w:val="auto"/>
          <w:szCs w:val="24"/>
        </w:rPr>
      </w:pPr>
    </w:p>
    <w:p w:rsidR="00201296" w:rsidRDefault="00201296">
      <w:pPr>
        <w:rPr>
          <w:color w:val="000000" w:themeColor="text1"/>
          <w:szCs w:val="24"/>
        </w:rPr>
      </w:pPr>
      <w:r>
        <w:rPr>
          <w:color w:val="000000" w:themeColor="text1"/>
          <w:szCs w:val="24"/>
        </w:rPr>
        <w:br w:type="page"/>
      </w:r>
    </w:p>
    <w:p w:rsidR="00201296" w:rsidRPr="00201296" w:rsidRDefault="00201296" w:rsidP="00201296">
      <w:pPr>
        <w:tabs>
          <w:tab w:val="left" w:pos="576"/>
        </w:tabs>
        <w:ind w:right="-1080"/>
        <w:jc w:val="left"/>
        <w:rPr>
          <w:rFonts w:ascii="Times New Roman" w:hAnsi="Times New Roman" w:cs="Times New Roman"/>
          <w:color w:val="auto"/>
        </w:rPr>
      </w:pPr>
      <w:r w:rsidRPr="00201296">
        <w:rPr>
          <w:rFonts w:ascii="Times New Roman" w:hAnsi="Times New Roman" w:cs="Times New Roman"/>
          <w:color w:val="auto"/>
        </w:rPr>
        <w:lastRenderedPageBreak/>
        <w:t>SAF/MRB</w:t>
      </w:r>
    </w:p>
    <w:p w:rsidR="00201296" w:rsidRPr="00201296" w:rsidRDefault="00201296" w:rsidP="00201296">
      <w:pPr>
        <w:tabs>
          <w:tab w:val="left" w:pos="576"/>
        </w:tabs>
        <w:ind w:right="-1080"/>
        <w:jc w:val="left"/>
        <w:rPr>
          <w:rFonts w:ascii="Times New Roman" w:hAnsi="Times New Roman" w:cs="Times New Roman"/>
          <w:color w:val="auto"/>
        </w:rPr>
      </w:pPr>
      <w:r w:rsidRPr="00201296">
        <w:rPr>
          <w:rFonts w:ascii="Times New Roman" w:hAnsi="Times New Roman" w:cs="Times New Roman"/>
          <w:color w:val="auto"/>
        </w:rPr>
        <w:t>1500 West Perimeter Road, Suite 3700</w:t>
      </w:r>
    </w:p>
    <w:p w:rsidR="00201296" w:rsidRPr="00201296" w:rsidRDefault="00201296" w:rsidP="00201296">
      <w:pPr>
        <w:tabs>
          <w:tab w:val="left" w:pos="576"/>
        </w:tabs>
        <w:ind w:right="-1080"/>
        <w:jc w:val="left"/>
        <w:rPr>
          <w:rFonts w:ascii="Times New Roman" w:hAnsi="Times New Roman" w:cs="Times New Roman"/>
          <w:color w:val="auto"/>
        </w:rPr>
      </w:pPr>
      <w:r w:rsidRPr="00201296">
        <w:rPr>
          <w:rFonts w:ascii="Times New Roman" w:hAnsi="Times New Roman" w:cs="Times New Roman"/>
          <w:color w:val="auto"/>
        </w:rPr>
        <w:t>Joint Base Andrews MD  20762</w:t>
      </w:r>
    </w:p>
    <w:p w:rsidR="00201296" w:rsidRPr="00201296" w:rsidRDefault="00201296" w:rsidP="00201296">
      <w:pPr>
        <w:tabs>
          <w:tab w:val="left" w:pos="720"/>
        </w:tabs>
        <w:ind w:right="-1080"/>
        <w:jc w:val="left"/>
        <w:rPr>
          <w:rFonts w:ascii="Times New Roman" w:hAnsi="Times New Roman" w:cs="Times New Roman"/>
          <w:bCs/>
          <w:color w:val="auto"/>
        </w:rPr>
      </w:pPr>
    </w:p>
    <w:p w:rsidR="00201296" w:rsidRPr="00201296" w:rsidRDefault="00201296" w:rsidP="00201296">
      <w:pPr>
        <w:tabs>
          <w:tab w:val="left" w:pos="720"/>
        </w:tabs>
        <w:ind w:right="-1080"/>
        <w:jc w:val="left"/>
        <w:rPr>
          <w:rFonts w:ascii="Times New Roman" w:hAnsi="Times New Roman" w:cs="Times New Roman"/>
          <w:bCs/>
          <w:color w:val="auto"/>
        </w:rPr>
      </w:pPr>
      <w:r>
        <w:rPr>
          <w:rFonts w:ascii="Times New Roman" w:hAnsi="Times New Roman" w:cs="Times New Roman"/>
          <w:bCs/>
          <w:color w:val="auto"/>
        </w:rPr>
        <w:t>XXXX</w:t>
      </w: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 xml:space="preserve">Dear </w:t>
      </w:r>
      <w:r>
        <w:rPr>
          <w:rFonts w:ascii="Times New Roman" w:hAnsi="Times New Roman" w:cs="Times New Roman"/>
          <w:color w:val="auto"/>
        </w:rPr>
        <w:t>XXXX</w:t>
      </w: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360"/>
        <w:jc w:val="left"/>
        <w:rPr>
          <w:rFonts w:ascii="Times New Roman" w:hAnsi="Times New Roman" w:cs="Times New Roman"/>
          <w:color w:val="auto"/>
          <w:szCs w:val="22"/>
        </w:rPr>
      </w:pPr>
      <w:r w:rsidRPr="00201296">
        <w:rPr>
          <w:rFonts w:ascii="Times New Roman" w:hAnsi="Times New Roman" w:cs="Times New Roman"/>
          <w:color w:val="auto"/>
          <w:szCs w:val="22"/>
        </w:rPr>
        <w:tab/>
        <w:t xml:space="preserve">Reference your application submitted under the provisions of </w:t>
      </w:r>
      <w:proofErr w:type="spellStart"/>
      <w:r w:rsidRPr="00201296">
        <w:rPr>
          <w:rFonts w:ascii="Times New Roman" w:hAnsi="Times New Roman" w:cs="Times New Roman"/>
          <w:color w:val="auto"/>
          <w:szCs w:val="22"/>
        </w:rPr>
        <w:t>DoDI</w:t>
      </w:r>
      <w:proofErr w:type="spellEnd"/>
      <w:r w:rsidRPr="00201296">
        <w:rPr>
          <w:rFonts w:ascii="Times New Roman" w:hAnsi="Times New Roman" w:cs="Times New Roman"/>
          <w:color w:val="auto"/>
          <w:szCs w:val="22"/>
        </w:rPr>
        <w:t xml:space="preserve"> 6040.44 (Title 10 U.S.C. §1554a), PDBR Case Number PD-2011-00669.</w:t>
      </w: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360"/>
        <w:jc w:val="left"/>
        <w:rPr>
          <w:rFonts w:ascii="Times New Roman" w:hAnsi="Times New Roman" w:cs="Times New Roman"/>
          <w:color w:val="auto"/>
        </w:rPr>
      </w:pPr>
      <w:r w:rsidRPr="00201296">
        <w:rPr>
          <w:rFonts w:ascii="Times New Roman" w:hAnsi="Times New Roman" w:cs="Times New Roman"/>
          <w:color w:val="auto"/>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jc w:val="left"/>
        <w:rPr>
          <w:rFonts w:ascii="Times New Roman" w:hAnsi="Times New Roman" w:cs="Times New Roman"/>
          <w:color w:val="auto"/>
        </w:rPr>
      </w:pPr>
      <w:r w:rsidRPr="00201296">
        <w:rPr>
          <w:rFonts w:ascii="Times New Roman" w:hAnsi="Times New Roman" w:cs="Times New Roman"/>
          <w:color w:val="auto"/>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201296" w:rsidRPr="00201296" w:rsidRDefault="00201296" w:rsidP="00201296">
      <w:pPr>
        <w:tabs>
          <w:tab w:val="left" w:pos="720"/>
        </w:tabs>
        <w:jc w:val="left"/>
        <w:rPr>
          <w:rFonts w:ascii="Times New Roman" w:hAnsi="Times New Roman" w:cs="Times New Roman"/>
          <w:color w:val="auto"/>
          <w:sz w:val="20"/>
        </w:rPr>
      </w:pPr>
    </w:p>
    <w:p w:rsidR="00201296" w:rsidRPr="00201296" w:rsidRDefault="00201296" w:rsidP="00201296">
      <w:pPr>
        <w:tabs>
          <w:tab w:val="left" w:pos="720"/>
        </w:tabs>
        <w:jc w:val="left"/>
        <w:rPr>
          <w:rFonts w:ascii="Times New Roman" w:hAnsi="Times New Roman" w:cs="Times New Roman"/>
          <w:color w:val="auto"/>
        </w:rPr>
      </w:pPr>
      <w:r w:rsidRPr="00201296">
        <w:rPr>
          <w:rFonts w:ascii="Times New Roman" w:hAnsi="Times New Roman" w:cs="Times New Roman"/>
          <w:color w:val="auto"/>
        </w:rPr>
        <w:tab/>
        <w:t xml:space="preserve">As a result of the aforementioned correction, you are entitled by law to elect coverage under the Survivor Benefit Plan (SBP).  Upon receipt of this letter, you must contact the Air Force Personnel Center at (210) 565-2273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201296" w:rsidRPr="00201296" w:rsidRDefault="00201296" w:rsidP="00201296">
      <w:pPr>
        <w:tabs>
          <w:tab w:val="left" w:pos="720"/>
        </w:tabs>
        <w:jc w:val="left"/>
        <w:rPr>
          <w:rFonts w:ascii="Times New Roman" w:hAnsi="Times New Roman" w:cs="Times New Roman"/>
          <w:color w:val="auto"/>
          <w:sz w:val="20"/>
        </w:rPr>
      </w:pP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ab/>
      </w:r>
      <w:r w:rsidRPr="00201296">
        <w:rPr>
          <w:rFonts w:ascii="Times New Roman" w:hAnsi="Times New Roman" w:cs="Times New Roman"/>
          <w:color w:val="auto"/>
        </w:rPr>
        <w:tab/>
      </w:r>
      <w:r w:rsidRPr="00201296">
        <w:rPr>
          <w:rFonts w:ascii="Times New Roman" w:hAnsi="Times New Roman" w:cs="Times New Roman"/>
          <w:color w:val="auto"/>
        </w:rPr>
        <w:tab/>
      </w:r>
      <w:r w:rsidRPr="00201296">
        <w:rPr>
          <w:rFonts w:ascii="Times New Roman" w:hAnsi="Times New Roman" w:cs="Times New Roman"/>
          <w:color w:val="auto"/>
        </w:rPr>
        <w:tab/>
      </w:r>
      <w:r w:rsidRPr="00201296">
        <w:rPr>
          <w:rFonts w:ascii="Times New Roman" w:hAnsi="Times New Roman" w:cs="Times New Roman"/>
          <w:color w:val="auto"/>
        </w:rPr>
        <w:tab/>
      </w:r>
      <w:r w:rsidRPr="00201296">
        <w:rPr>
          <w:rFonts w:ascii="Times New Roman" w:hAnsi="Times New Roman" w:cs="Times New Roman"/>
          <w:color w:val="auto"/>
        </w:rPr>
        <w:tab/>
      </w:r>
      <w:r w:rsidRPr="00201296">
        <w:rPr>
          <w:rFonts w:ascii="Times New Roman" w:hAnsi="Times New Roman" w:cs="Times New Roman"/>
          <w:color w:val="auto"/>
        </w:rPr>
        <w:tab/>
        <w:t>Sincerely,</w:t>
      </w: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right="-1080"/>
        <w:jc w:val="left"/>
        <w:rPr>
          <w:rFonts w:ascii="Times New Roman" w:hAnsi="Times New Roman" w:cs="Times New Roman"/>
          <w:color w:val="auto"/>
          <w:sz w:val="20"/>
        </w:rPr>
      </w:pPr>
    </w:p>
    <w:p w:rsidR="00201296" w:rsidRPr="00201296" w:rsidRDefault="00201296" w:rsidP="00201296">
      <w:pPr>
        <w:tabs>
          <w:tab w:val="left" w:pos="720"/>
        </w:tabs>
        <w:ind w:left="5040" w:right="-1080"/>
        <w:jc w:val="left"/>
        <w:rPr>
          <w:rFonts w:ascii="Times New Roman" w:hAnsi="Times New Roman" w:cs="Times New Roman"/>
          <w:color w:val="auto"/>
        </w:rPr>
      </w:pPr>
      <w:r w:rsidRPr="00201296">
        <w:rPr>
          <w:rFonts w:ascii="Times New Roman" w:hAnsi="Times New Roman" w:cs="Times New Roman"/>
          <w:color w:val="auto"/>
        </w:rPr>
        <w:t>Director</w:t>
      </w:r>
    </w:p>
    <w:p w:rsidR="00201296" w:rsidRPr="00201296" w:rsidRDefault="00201296" w:rsidP="00201296">
      <w:pPr>
        <w:tabs>
          <w:tab w:val="left" w:pos="720"/>
        </w:tabs>
        <w:ind w:left="5040" w:right="-1080"/>
        <w:jc w:val="left"/>
        <w:rPr>
          <w:rFonts w:ascii="Times New Roman" w:hAnsi="Times New Roman" w:cs="Times New Roman"/>
          <w:color w:val="auto"/>
        </w:rPr>
      </w:pPr>
      <w:r w:rsidRPr="00201296">
        <w:rPr>
          <w:rFonts w:ascii="Times New Roman" w:hAnsi="Times New Roman" w:cs="Times New Roman"/>
          <w:color w:val="auto"/>
        </w:rPr>
        <w:t>Air Force Review Boards Agency</w:t>
      </w:r>
    </w:p>
    <w:p w:rsidR="00201296" w:rsidRPr="00201296" w:rsidRDefault="00201296" w:rsidP="00201296">
      <w:pPr>
        <w:tabs>
          <w:tab w:val="left" w:pos="720"/>
        </w:tabs>
        <w:ind w:right="-1080"/>
        <w:jc w:val="left"/>
        <w:rPr>
          <w:rFonts w:ascii="Times New Roman" w:hAnsi="Times New Roman" w:cs="Times New Roman"/>
          <w:color w:val="auto"/>
        </w:rPr>
      </w:pP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Attachment:</w:t>
      </w: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Record of Proceedings</w:t>
      </w:r>
    </w:p>
    <w:p w:rsidR="00201296" w:rsidRPr="00201296" w:rsidRDefault="00201296" w:rsidP="00201296">
      <w:pPr>
        <w:tabs>
          <w:tab w:val="left" w:pos="720"/>
        </w:tabs>
        <w:ind w:right="-1080"/>
        <w:jc w:val="left"/>
        <w:rPr>
          <w:rFonts w:ascii="Times New Roman" w:hAnsi="Times New Roman" w:cs="Times New Roman"/>
          <w:color w:val="auto"/>
        </w:rPr>
      </w:pP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cc:</w:t>
      </w:r>
    </w:p>
    <w:p w:rsidR="00201296" w:rsidRPr="00201296" w:rsidRDefault="00201296" w:rsidP="00201296">
      <w:pPr>
        <w:tabs>
          <w:tab w:val="left" w:pos="720"/>
        </w:tabs>
        <w:ind w:right="-1080"/>
        <w:jc w:val="left"/>
        <w:rPr>
          <w:rFonts w:ascii="Times New Roman" w:hAnsi="Times New Roman" w:cs="Times New Roman"/>
          <w:color w:val="auto"/>
        </w:rPr>
      </w:pPr>
      <w:r w:rsidRPr="00201296">
        <w:rPr>
          <w:rFonts w:ascii="Times New Roman" w:hAnsi="Times New Roman" w:cs="Times New Roman"/>
          <w:color w:val="auto"/>
        </w:rPr>
        <w:t>SAF/MRBR</w:t>
      </w:r>
    </w:p>
    <w:p w:rsidR="00201296" w:rsidRDefault="00201296" w:rsidP="00201296">
      <w:pPr>
        <w:tabs>
          <w:tab w:val="left" w:pos="0"/>
          <w:tab w:val="left" w:pos="4320"/>
        </w:tabs>
        <w:jc w:val="both"/>
        <w:rPr>
          <w:rFonts w:ascii="Times New Roman" w:hAnsi="Times New Roman" w:cs="Times New Roman"/>
          <w:color w:val="auto"/>
        </w:rPr>
      </w:pPr>
      <w:r w:rsidRPr="00201296">
        <w:rPr>
          <w:rFonts w:ascii="Times New Roman" w:hAnsi="Times New Roman" w:cs="Times New Roman"/>
          <w:color w:val="auto"/>
        </w:rPr>
        <w:t>DFAS-IN</w:t>
      </w:r>
    </w:p>
    <w:p w:rsidR="00201296" w:rsidRDefault="00201296">
      <w:pPr>
        <w:rPr>
          <w:rFonts w:ascii="Times New Roman" w:hAnsi="Times New Roman" w:cs="Times New Roman"/>
          <w:color w:val="auto"/>
        </w:rPr>
      </w:pPr>
      <w:r>
        <w:rPr>
          <w:rFonts w:ascii="Times New Roman" w:hAnsi="Times New Roman" w:cs="Times New Roman"/>
          <w:color w:val="auto"/>
        </w:rPr>
        <w:br w:type="page"/>
      </w:r>
    </w:p>
    <w:p w:rsidR="00201296" w:rsidRPr="00201296" w:rsidRDefault="00201296" w:rsidP="00201296">
      <w:pPr>
        <w:tabs>
          <w:tab w:val="left" w:pos="720"/>
        </w:tabs>
        <w:ind w:right="-360"/>
        <w:jc w:val="left"/>
        <w:outlineLvl w:val="0"/>
        <w:rPr>
          <w:rFonts w:ascii="Times New Roman" w:hAnsi="Times New Roman" w:cs="Times New Roman"/>
          <w:color w:val="auto"/>
        </w:rPr>
      </w:pPr>
      <w:r w:rsidRPr="00201296">
        <w:rPr>
          <w:rFonts w:ascii="Times New Roman" w:hAnsi="Times New Roman" w:cs="Times New Roman"/>
          <w:color w:val="auto"/>
        </w:rPr>
        <w:lastRenderedPageBreak/>
        <w:t xml:space="preserve">PDBR PD-2011-00669 </w:t>
      </w: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outlineLvl w:val="0"/>
        <w:rPr>
          <w:rFonts w:ascii="Times New Roman" w:hAnsi="Times New Roman" w:cs="Times New Roman"/>
          <w:color w:val="auto"/>
        </w:rPr>
      </w:pPr>
      <w:r w:rsidRPr="00201296">
        <w:rPr>
          <w:rFonts w:ascii="Times New Roman" w:hAnsi="Times New Roman" w:cs="Times New Roman"/>
          <w:color w:val="auto"/>
        </w:rPr>
        <w:t>MEMORANDUM FOR THE CHIEF OF STAFF</w:t>
      </w: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jc w:val="left"/>
        <w:rPr>
          <w:rFonts w:ascii="Times New Roman" w:hAnsi="Times New Roman" w:cs="Times New Roman"/>
          <w:color w:val="auto"/>
        </w:rPr>
      </w:pPr>
      <w:r w:rsidRPr="00201296">
        <w:rPr>
          <w:rFonts w:ascii="Times New Roman" w:hAnsi="Times New Roman" w:cs="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r w:rsidRPr="00201296">
        <w:rPr>
          <w:rFonts w:ascii="Times New Roman" w:hAnsi="Times New Roman" w:cs="Times New Roman"/>
          <w:color w:val="auto"/>
        </w:rPr>
        <w:tab/>
        <w:t xml:space="preserve">The pertinent military records of the Department of the Air Force relating to </w:t>
      </w:r>
      <w:proofErr w:type="gramStart"/>
      <w:r>
        <w:rPr>
          <w:rFonts w:ascii="Times New Roman" w:hAnsi="Times New Roman" w:cs="Times New Roman"/>
          <w:color w:val="auto"/>
        </w:rPr>
        <w:t>XXXXXXXXXXXXX</w:t>
      </w:r>
      <w:r w:rsidRPr="00201296">
        <w:rPr>
          <w:rFonts w:ascii="Times New Roman" w:hAnsi="Times New Roman" w:cs="Times New Roman"/>
          <w:color w:val="auto"/>
        </w:rPr>
        <w:t>,</w:t>
      </w:r>
      <w:proofErr w:type="gramEnd"/>
      <w:r w:rsidRPr="00201296">
        <w:rPr>
          <w:rFonts w:ascii="Times New Roman" w:hAnsi="Times New Roman" w:cs="Times New Roman"/>
          <w:color w:val="auto"/>
        </w:rPr>
        <w:t xml:space="preserve"> be corrected to show that:</w:t>
      </w: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r w:rsidRPr="00201296">
        <w:rPr>
          <w:rFonts w:ascii="Times New Roman" w:hAnsi="Times New Roman" w:cs="Times New Roman"/>
          <w:color w:val="auto"/>
        </w:rPr>
        <w:tab/>
      </w:r>
      <w:r w:rsidRPr="00201296">
        <w:rPr>
          <w:rFonts w:ascii="Times New Roman" w:hAnsi="Times New Roman" w:cs="Times New Roman"/>
          <w:color w:val="auto"/>
        </w:rPr>
        <w:tab/>
        <w:t>a.</w:t>
      </w:r>
      <w:proofErr w:type="gramStart"/>
      <w:r w:rsidRPr="00201296">
        <w:rPr>
          <w:rFonts w:ascii="Times New Roman" w:hAnsi="Times New Roman" w:cs="Times New Roman"/>
          <w:color w:val="auto"/>
        </w:rPr>
        <w:t>  The</w:t>
      </w:r>
      <w:proofErr w:type="gramEnd"/>
      <w:r w:rsidRPr="00201296">
        <w:rPr>
          <w:rFonts w:ascii="Times New Roman" w:hAnsi="Times New Roman" w:cs="Times New Roman"/>
          <w:color w:val="auto"/>
        </w:rPr>
        <w:t xml:space="preserve"> diagnosis in his finding of unfitness was Lumbar Disc Disease, VASRD code 5243, rated at 40%; rather than Chronic Low Back Pain, VASRD code 5243, rated at 20%.  </w:t>
      </w:r>
    </w:p>
    <w:p w:rsidR="00201296" w:rsidRPr="00201296" w:rsidRDefault="00201296" w:rsidP="00201296">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p>
    <w:p w:rsidR="00201296" w:rsidRPr="00201296" w:rsidRDefault="00201296" w:rsidP="00201296">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201296">
        <w:rPr>
          <w:rFonts w:ascii="Times New Roman" w:hAnsi="Times New Roman" w:cs="Times New Roman"/>
          <w:color w:val="auto"/>
        </w:rPr>
        <w:tab/>
      </w:r>
      <w:r w:rsidRPr="00201296">
        <w:rPr>
          <w:rFonts w:ascii="Times New Roman" w:hAnsi="Times New Roman" w:cs="Times New Roman"/>
          <w:color w:val="auto"/>
        </w:rPr>
        <w:tab/>
        <w:t>b.   On 25 May 2009, he elected not to participate in the Survivor Benefit Plan.</w:t>
      </w:r>
    </w:p>
    <w:p w:rsidR="00201296" w:rsidRPr="00201296" w:rsidRDefault="00201296" w:rsidP="00201296">
      <w:pPr>
        <w:tabs>
          <w:tab w:val="left" w:pos="576"/>
          <w:tab w:val="left" w:pos="1152"/>
          <w:tab w:val="left" w:pos="2304"/>
          <w:tab w:val="left" w:pos="3456"/>
          <w:tab w:val="left" w:pos="4608"/>
          <w:tab w:val="left" w:pos="5760"/>
        </w:tabs>
        <w:ind w:right="-360"/>
        <w:jc w:val="left"/>
        <w:rPr>
          <w:rFonts w:ascii="Times New Roman" w:hAnsi="Times New Roman" w:cs="Times New Roman"/>
          <w:color w:val="auto"/>
        </w:rPr>
      </w:pPr>
    </w:p>
    <w:p w:rsidR="00201296" w:rsidRPr="00201296" w:rsidRDefault="00201296" w:rsidP="00201296">
      <w:pPr>
        <w:tabs>
          <w:tab w:val="left" w:pos="576"/>
          <w:tab w:val="left" w:pos="1170"/>
          <w:tab w:val="left" w:pos="2304"/>
          <w:tab w:val="left" w:pos="3456"/>
          <w:tab w:val="left" w:pos="4608"/>
          <w:tab w:val="left" w:pos="5760"/>
        </w:tabs>
        <w:ind w:right="-360"/>
        <w:jc w:val="left"/>
        <w:rPr>
          <w:rFonts w:ascii="Times New Roman" w:hAnsi="Times New Roman" w:cs="Times New Roman"/>
          <w:color w:val="auto"/>
        </w:rPr>
      </w:pPr>
      <w:r w:rsidRPr="00201296">
        <w:rPr>
          <w:rFonts w:ascii="Times New Roman" w:hAnsi="Times New Roman" w:cs="Times New Roman"/>
          <w:color w:val="auto"/>
        </w:rPr>
        <w:tab/>
      </w:r>
      <w:r w:rsidRPr="00201296">
        <w:rPr>
          <w:rFonts w:ascii="Times New Roman" w:hAnsi="Times New Roman" w:cs="Times New Roman"/>
          <w:color w:val="auto"/>
        </w:rPr>
        <w:tab/>
        <w:t xml:space="preserve">c.   He was not discharged on 26 May 2009; rather, on that date he was released from active duty and on 27 May 2009 his name was placed on the Permanent Disability Retired List.  </w:t>
      </w: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rPr>
          <w:rFonts w:ascii="Times New Roman" w:hAnsi="Times New Roman" w:cs="Times New Roman"/>
          <w:color w:val="auto"/>
        </w:rPr>
      </w:pPr>
    </w:p>
    <w:p w:rsidR="00201296" w:rsidRPr="00201296" w:rsidRDefault="00201296" w:rsidP="00201296">
      <w:pPr>
        <w:tabs>
          <w:tab w:val="left" w:pos="720"/>
        </w:tabs>
        <w:ind w:right="-360"/>
        <w:jc w:val="left"/>
        <w:outlineLvl w:val="0"/>
        <w:rPr>
          <w:rFonts w:ascii="Times New Roman" w:hAnsi="Times New Roman" w:cs="Times New Roman"/>
          <w:color w:val="auto"/>
        </w:rPr>
      </w:pPr>
      <w:r w:rsidRPr="00201296">
        <w:rPr>
          <w:rFonts w:ascii="Times New Roman" w:hAnsi="Times New Roman" w:cs="Times New Roman"/>
          <w:color w:val="auto"/>
        </w:rPr>
        <w:t xml:space="preserve">                                                </w:t>
      </w:r>
    </w:p>
    <w:p w:rsidR="00201296" w:rsidRPr="00201296" w:rsidRDefault="00201296" w:rsidP="00201296">
      <w:pPr>
        <w:tabs>
          <w:tab w:val="left" w:pos="720"/>
        </w:tabs>
        <w:ind w:right="-360"/>
        <w:jc w:val="left"/>
        <w:outlineLvl w:val="0"/>
        <w:rPr>
          <w:rFonts w:ascii="Times New Roman" w:hAnsi="Times New Roman" w:cs="Times New Roman"/>
          <w:color w:val="auto"/>
        </w:rPr>
      </w:pPr>
      <w:r w:rsidRPr="00201296">
        <w:rPr>
          <w:rFonts w:ascii="Times New Roman" w:hAnsi="Times New Roman" w:cs="Times New Roman"/>
          <w:color w:val="auto"/>
        </w:rPr>
        <w:t xml:space="preserve">                                                                            Director</w:t>
      </w:r>
    </w:p>
    <w:p w:rsidR="00201296" w:rsidRPr="00201296" w:rsidRDefault="00201296" w:rsidP="00201296">
      <w:pPr>
        <w:tabs>
          <w:tab w:val="left" w:pos="720"/>
        </w:tabs>
        <w:ind w:right="-360"/>
        <w:jc w:val="left"/>
        <w:rPr>
          <w:rFonts w:ascii="Times New Roman" w:hAnsi="Times New Roman" w:cs="Times New Roman"/>
          <w:color w:val="auto"/>
        </w:rPr>
      </w:pPr>
      <w:r w:rsidRPr="00201296">
        <w:rPr>
          <w:rFonts w:ascii="Times New Roman" w:hAnsi="Times New Roman" w:cs="Times New Roman"/>
          <w:color w:val="auto"/>
        </w:rPr>
        <w:t xml:space="preserve">                                                                            Air Force Review Boards Agency</w:t>
      </w:r>
    </w:p>
    <w:p w:rsidR="00B92A5B" w:rsidRPr="001F29F9" w:rsidRDefault="00B92A5B" w:rsidP="00201296">
      <w:pPr>
        <w:tabs>
          <w:tab w:val="left" w:pos="0"/>
          <w:tab w:val="left" w:pos="4320"/>
        </w:tabs>
        <w:jc w:val="both"/>
        <w:rPr>
          <w:color w:val="000000" w:themeColor="text1"/>
          <w:szCs w:val="24"/>
        </w:rPr>
      </w:pPr>
    </w:p>
    <w:sectPr w:rsidR="00B92A5B"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AC2" w:rsidRDefault="001C7AC2">
      <w:r>
        <w:separator/>
      </w:r>
    </w:p>
  </w:endnote>
  <w:endnote w:type="continuationSeparator" w:id="0">
    <w:p w:rsidR="001C7AC2" w:rsidRDefault="001C7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86347" w:rsidRPr="00374247" w:rsidRDefault="00186347" w:rsidP="00374247">
        <w:pPr>
          <w:pStyle w:val="Footer"/>
          <w:ind w:firstLine="4320"/>
          <w:rPr>
            <w:color w:val="auto"/>
            <w:szCs w:val="24"/>
          </w:rPr>
        </w:pPr>
        <w:r w:rsidRPr="00374247">
          <w:rPr>
            <w:color w:val="auto"/>
            <w:szCs w:val="24"/>
          </w:rPr>
          <w:t xml:space="preserve">   </w:t>
        </w:r>
        <w:r w:rsidR="0083688B" w:rsidRPr="00374247">
          <w:rPr>
            <w:color w:val="auto"/>
            <w:szCs w:val="24"/>
          </w:rPr>
          <w:fldChar w:fldCharType="begin"/>
        </w:r>
        <w:r w:rsidRPr="00374247">
          <w:rPr>
            <w:color w:val="auto"/>
            <w:szCs w:val="24"/>
          </w:rPr>
          <w:instrText xml:space="preserve"> PAGE   \* MERGEFORMAT </w:instrText>
        </w:r>
        <w:r w:rsidR="0083688B" w:rsidRPr="00374247">
          <w:rPr>
            <w:color w:val="auto"/>
            <w:szCs w:val="24"/>
          </w:rPr>
          <w:fldChar w:fldCharType="separate"/>
        </w:r>
        <w:r w:rsidR="00201296" w:rsidRPr="00201296">
          <w:rPr>
            <w:noProof/>
            <w:color w:val="auto"/>
          </w:rPr>
          <w:t>6</w:t>
        </w:r>
        <w:r w:rsidR="0083688B" w:rsidRPr="00374247">
          <w:rPr>
            <w:color w:val="auto"/>
            <w:szCs w:val="24"/>
          </w:rPr>
          <w:fldChar w:fldCharType="end"/>
        </w:r>
        <w:r w:rsidRPr="00374247">
          <w:rPr>
            <w:color w:val="auto"/>
            <w:szCs w:val="24"/>
          </w:rPr>
          <w:t xml:space="preserve">                                                           </w:t>
        </w:r>
        <w:r w:rsidRPr="003375E4">
          <w:rPr>
            <w:color w:val="auto"/>
            <w:szCs w:val="24"/>
          </w:rPr>
          <w:t>PD1100</w:t>
        </w:r>
        <w:r w:rsidRPr="0062140F">
          <w:rPr>
            <w:color w:val="auto"/>
            <w:szCs w:val="24"/>
          </w:rPr>
          <w:t>669</w:t>
        </w:r>
      </w:p>
    </w:sdtContent>
  </w:sdt>
  <w:p w:rsidR="00186347" w:rsidRPr="00684CE6" w:rsidRDefault="0018634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AC2" w:rsidRDefault="001C7AC2">
      <w:r>
        <w:separator/>
      </w:r>
    </w:p>
  </w:footnote>
  <w:footnote w:type="continuationSeparator" w:id="0">
    <w:p w:rsidR="001C7AC2" w:rsidRDefault="001C7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34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1079"/>
    <w:rsid w:val="00082482"/>
    <w:rsid w:val="00082821"/>
    <w:rsid w:val="00082CA0"/>
    <w:rsid w:val="00084CF2"/>
    <w:rsid w:val="00085D7B"/>
    <w:rsid w:val="0008708B"/>
    <w:rsid w:val="00091B58"/>
    <w:rsid w:val="00092619"/>
    <w:rsid w:val="00092C66"/>
    <w:rsid w:val="000949DD"/>
    <w:rsid w:val="00094E4F"/>
    <w:rsid w:val="0009758A"/>
    <w:rsid w:val="000A2BCE"/>
    <w:rsid w:val="000A31E2"/>
    <w:rsid w:val="000A33C8"/>
    <w:rsid w:val="000A41E3"/>
    <w:rsid w:val="000A4BBA"/>
    <w:rsid w:val="000A5071"/>
    <w:rsid w:val="000A670B"/>
    <w:rsid w:val="000A7A2B"/>
    <w:rsid w:val="000B0AD2"/>
    <w:rsid w:val="000B1022"/>
    <w:rsid w:val="000B2457"/>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87C"/>
    <w:rsid w:val="000D0AE6"/>
    <w:rsid w:val="000D15E7"/>
    <w:rsid w:val="000D16DF"/>
    <w:rsid w:val="000D1A24"/>
    <w:rsid w:val="000D1CF4"/>
    <w:rsid w:val="000D1D0F"/>
    <w:rsid w:val="000D1DBC"/>
    <w:rsid w:val="000D21C7"/>
    <w:rsid w:val="000D248A"/>
    <w:rsid w:val="000D2CFD"/>
    <w:rsid w:val="000D35D8"/>
    <w:rsid w:val="000D43F9"/>
    <w:rsid w:val="000D4717"/>
    <w:rsid w:val="000D6457"/>
    <w:rsid w:val="000D76A1"/>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87C"/>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347"/>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3F8B"/>
    <w:rsid w:val="001A5320"/>
    <w:rsid w:val="001A5E62"/>
    <w:rsid w:val="001A6848"/>
    <w:rsid w:val="001A7538"/>
    <w:rsid w:val="001B06FB"/>
    <w:rsid w:val="001B0B1A"/>
    <w:rsid w:val="001B20E6"/>
    <w:rsid w:val="001B4C0B"/>
    <w:rsid w:val="001B4D12"/>
    <w:rsid w:val="001B4EC2"/>
    <w:rsid w:val="001B5B59"/>
    <w:rsid w:val="001B5DC8"/>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AC2"/>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296"/>
    <w:rsid w:val="00202325"/>
    <w:rsid w:val="00202736"/>
    <w:rsid w:val="00203652"/>
    <w:rsid w:val="00204562"/>
    <w:rsid w:val="00205B4F"/>
    <w:rsid w:val="002060B6"/>
    <w:rsid w:val="002066B5"/>
    <w:rsid w:val="00210EAC"/>
    <w:rsid w:val="00211005"/>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5EC2"/>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7DD"/>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157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89C"/>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0E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453"/>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798"/>
    <w:rsid w:val="003A40B4"/>
    <w:rsid w:val="003A41BA"/>
    <w:rsid w:val="003A5491"/>
    <w:rsid w:val="003A58EC"/>
    <w:rsid w:val="003A5958"/>
    <w:rsid w:val="003A6298"/>
    <w:rsid w:val="003A6A99"/>
    <w:rsid w:val="003A6E60"/>
    <w:rsid w:val="003A76AB"/>
    <w:rsid w:val="003A7FF8"/>
    <w:rsid w:val="003B17AC"/>
    <w:rsid w:val="003B2143"/>
    <w:rsid w:val="003B227A"/>
    <w:rsid w:val="003B3A77"/>
    <w:rsid w:val="003B4319"/>
    <w:rsid w:val="003B5854"/>
    <w:rsid w:val="003B6764"/>
    <w:rsid w:val="003B7A8B"/>
    <w:rsid w:val="003C070F"/>
    <w:rsid w:val="003C247E"/>
    <w:rsid w:val="003C294B"/>
    <w:rsid w:val="003C5046"/>
    <w:rsid w:val="003C53E8"/>
    <w:rsid w:val="003C5B54"/>
    <w:rsid w:val="003C6068"/>
    <w:rsid w:val="003C7AEC"/>
    <w:rsid w:val="003D2BA3"/>
    <w:rsid w:val="003D316B"/>
    <w:rsid w:val="003D39D4"/>
    <w:rsid w:val="003D3C22"/>
    <w:rsid w:val="003D56A0"/>
    <w:rsid w:val="003D609F"/>
    <w:rsid w:val="003D69F5"/>
    <w:rsid w:val="003D7089"/>
    <w:rsid w:val="003D7DDB"/>
    <w:rsid w:val="003E024F"/>
    <w:rsid w:val="003E02C7"/>
    <w:rsid w:val="003E03EA"/>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317"/>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60F3"/>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8F9"/>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4EE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B4E"/>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2EA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971"/>
    <w:rsid w:val="00510F9C"/>
    <w:rsid w:val="0051146C"/>
    <w:rsid w:val="005116E9"/>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CF5"/>
    <w:rsid w:val="005450E6"/>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355"/>
    <w:rsid w:val="00577254"/>
    <w:rsid w:val="0058039C"/>
    <w:rsid w:val="00580A63"/>
    <w:rsid w:val="00583379"/>
    <w:rsid w:val="0058417C"/>
    <w:rsid w:val="005854F9"/>
    <w:rsid w:val="00586EC6"/>
    <w:rsid w:val="00587DDE"/>
    <w:rsid w:val="00590544"/>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5641"/>
    <w:rsid w:val="00615A66"/>
    <w:rsid w:val="00616959"/>
    <w:rsid w:val="0062036E"/>
    <w:rsid w:val="006211D0"/>
    <w:rsid w:val="0062140F"/>
    <w:rsid w:val="00621595"/>
    <w:rsid w:val="0062359D"/>
    <w:rsid w:val="00623634"/>
    <w:rsid w:val="00624D0C"/>
    <w:rsid w:val="00626A0F"/>
    <w:rsid w:val="006274B4"/>
    <w:rsid w:val="006307BA"/>
    <w:rsid w:val="006315BA"/>
    <w:rsid w:val="006344DE"/>
    <w:rsid w:val="00634591"/>
    <w:rsid w:val="00634C4A"/>
    <w:rsid w:val="0063532E"/>
    <w:rsid w:val="0063579F"/>
    <w:rsid w:val="006364ED"/>
    <w:rsid w:val="00637063"/>
    <w:rsid w:val="0063737C"/>
    <w:rsid w:val="0063738E"/>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6AC"/>
    <w:rsid w:val="006606C4"/>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13E"/>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4E2C"/>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07FF0"/>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AB6"/>
    <w:rsid w:val="00750C82"/>
    <w:rsid w:val="00750E3A"/>
    <w:rsid w:val="00752035"/>
    <w:rsid w:val="0076025A"/>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866"/>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0F8"/>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5B8"/>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A8D"/>
    <w:rsid w:val="00835BF8"/>
    <w:rsid w:val="00835FB7"/>
    <w:rsid w:val="0083688B"/>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5C97"/>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82"/>
    <w:rsid w:val="0090045D"/>
    <w:rsid w:val="00900906"/>
    <w:rsid w:val="00900D8F"/>
    <w:rsid w:val="00901229"/>
    <w:rsid w:val="009014E3"/>
    <w:rsid w:val="009020ED"/>
    <w:rsid w:val="009026E8"/>
    <w:rsid w:val="00902FDD"/>
    <w:rsid w:val="00905EEF"/>
    <w:rsid w:val="00906EB7"/>
    <w:rsid w:val="00907FE6"/>
    <w:rsid w:val="009102BF"/>
    <w:rsid w:val="00911490"/>
    <w:rsid w:val="0091154F"/>
    <w:rsid w:val="009115F2"/>
    <w:rsid w:val="00911B11"/>
    <w:rsid w:val="00913121"/>
    <w:rsid w:val="00914ADB"/>
    <w:rsid w:val="00917182"/>
    <w:rsid w:val="00920251"/>
    <w:rsid w:val="00921CFD"/>
    <w:rsid w:val="00923ACB"/>
    <w:rsid w:val="00923B25"/>
    <w:rsid w:val="0092402E"/>
    <w:rsid w:val="009259BA"/>
    <w:rsid w:val="00926FCB"/>
    <w:rsid w:val="009303BB"/>
    <w:rsid w:val="0093108A"/>
    <w:rsid w:val="00931B6D"/>
    <w:rsid w:val="0093311A"/>
    <w:rsid w:val="0093467E"/>
    <w:rsid w:val="009346D0"/>
    <w:rsid w:val="0093536B"/>
    <w:rsid w:val="009369A6"/>
    <w:rsid w:val="00937F57"/>
    <w:rsid w:val="0094031E"/>
    <w:rsid w:val="009419B4"/>
    <w:rsid w:val="00941A4C"/>
    <w:rsid w:val="00942645"/>
    <w:rsid w:val="009461E6"/>
    <w:rsid w:val="00950A3A"/>
    <w:rsid w:val="00952CC5"/>
    <w:rsid w:val="00952EB0"/>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592"/>
    <w:rsid w:val="00972996"/>
    <w:rsid w:val="009730B4"/>
    <w:rsid w:val="0097320E"/>
    <w:rsid w:val="009732B8"/>
    <w:rsid w:val="00974647"/>
    <w:rsid w:val="00974D65"/>
    <w:rsid w:val="0097514A"/>
    <w:rsid w:val="0097589F"/>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1EAA"/>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033"/>
    <w:rsid w:val="009E1181"/>
    <w:rsid w:val="009E1283"/>
    <w:rsid w:val="009E3A7F"/>
    <w:rsid w:val="009E4C9B"/>
    <w:rsid w:val="009E4DFC"/>
    <w:rsid w:val="009E5789"/>
    <w:rsid w:val="009E57B1"/>
    <w:rsid w:val="009E6379"/>
    <w:rsid w:val="009F020F"/>
    <w:rsid w:val="009F3B63"/>
    <w:rsid w:val="009F43E2"/>
    <w:rsid w:val="009F498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E8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72E1"/>
    <w:rsid w:val="00B50227"/>
    <w:rsid w:val="00B50510"/>
    <w:rsid w:val="00B505E9"/>
    <w:rsid w:val="00B51D41"/>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303"/>
    <w:rsid w:val="00B727A9"/>
    <w:rsid w:val="00B72C72"/>
    <w:rsid w:val="00B72ED9"/>
    <w:rsid w:val="00B731E4"/>
    <w:rsid w:val="00B751CE"/>
    <w:rsid w:val="00B75A8B"/>
    <w:rsid w:val="00B75B61"/>
    <w:rsid w:val="00B76796"/>
    <w:rsid w:val="00B76A08"/>
    <w:rsid w:val="00B771E0"/>
    <w:rsid w:val="00B7793B"/>
    <w:rsid w:val="00B77EE7"/>
    <w:rsid w:val="00B80EDD"/>
    <w:rsid w:val="00B812BD"/>
    <w:rsid w:val="00B81964"/>
    <w:rsid w:val="00B82019"/>
    <w:rsid w:val="00B82277"/>
    <w:rsid w:val="00B83F87"/>
    <w:rsid w:val="00B8478F"/>
    <w:rsid w:val="00B84F93"/>
    <w:rsid w:val="00B91676"/>
    <w:rsid w:val="00B92A5B"/>
    <w:rsid w:val="00B9316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030"/>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47F7F"/>
    <w:rsid w:val="00C5019E"/>
    <w:rsid w:val="00C50C8C"/>
    <w:rsid w:val="00C51962"/>
    <w:rsid w:val="00C5377C"/>
    <w:rsid w:val="00C53E8A"/>
    <w:rsid w:val="00C54DF3"/>
    <w:rsid w:val="00C560A7"/>
    <w:rsid w:val="00C56FC8"/>
    <w:rsid w:val="00C60F23"/>
    <w:rsid w:val="00C61172"/>
    <w:rsid w:val="00C6170B"/>
    <w:rsid w:val="00C62EB2"/>
    <w:rsid w:val="00C63431"/>
    <w:rsid w:val="00C64B2D"/>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2A5"/>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85E"/>
    <w:rsid w:val="00CC69EC"/>
    <w:rsid w:val="00CC78A2"/>
    <w:rsid w:val="00CC7DF8"/>
    <w:rsid w:val="00CD15BE"/>
    <w:rsid w:val="00CD1EF2"/>
    <w:rsid w:val="00CD2FD5"/>
    <w:rsid w:val="00CD32BD"/>
    <w:rsid w:val="00CD34C7"/>
    <w:rsid w:val="00CD5653"/>
    <w:rsid w:val="00CD5E6D"/>
    <w:rsid w:val="00CD63C8"/>
    <w:rsid w:val="00CD76F8"/>
    <w:rsid w:val="00CD78A5"/>
    <w:rsid w:val="00CE02E8"/>
    <w:rsid w:val="00CE069E"/>
    <w:rsid w:val="00CE0DE0"/>
    <w:rsid w:val="00CE2CC2"/>
    <w:rsid w:val="00CE3722"/>
    <w:rsid w:val="00CE4342"/>
    <w:rsid w:val="00CE6327"/>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54A"/>
    <w:rsid w:val="00D27BC2"/>
    <w:rsid w:val="00D27C99"/>
    <w:rsid w:val="00D31683"/>
    <w:rsid w:val="00D31BF5"/>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66F"/>
    <w:rsid w:val="00D67FD7"/>
    <w:rsid w:val="00D704E4"/>
    <w:rsid w:val="00D72410"/>
    <w:rsid w:val="00D73D53"/>
    <w:rsid w:val="00D7402C"/>
    <w:rsid w:val="00D7408A"/>
    <w:rsid w:val="00D74261"/>
    <w:rsid w:val="00D7441B"/>
    <w:rsid w:val="00D75589"/>
    <w:rsid w:val="00D76AB2"/>
    <w:rsid w:val="00D80490"/>
    <w:rsid w:val="00D828F9"/>
    <w:rsid w:val="00D8298A"/>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EA6"/>
    <w:rsid w:val="00DC4FA4"/>
    <w:rsid w:val="00DC5B37"/>
    <w:rsid w:val="00DD286D"/>
    <w:rsid w:val="00DD2CAF"/>
    <w:rsid w:val="00DD3593"/>
    <w:rsid w:val="00DD64E0"/>
    <w:rsid w:val="00DD775C"/>
    <w:rsid w:val="00DD7BE0"/>
    <w:rsid w:val="00DE0C67"/>
    <w:rsid w:val="00DE3AAD"/>
    <w:rsid w:val="00DE598A"/>
    <w:rsid w:val="00DE6952"/>
    <w:rsid w:val="00DE6FBE"/>
    <w:rsid w:val="00DE7045"/>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EAC"/>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E70"/>
    <w:rsid w:val="00E40478"/>
    <w:rsid w:val="00E405EA"/>
    <w:rsid w:val="00E408B7"/>
    <w:rsid w:val="00E412EB"/>
    <w:rsid w:val="00E41637"/>
    <w:rsid w:val="00E42789"/>
    <w:rsid w:val="00E43F59"/>
    <w:rsid w:val="00E464F0"/>
    <w:rsid w:val="00E46521"/>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6F98"/>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286"/>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47EF5"/>
    <w:rsid w:val="00F50F30"/>
    <w:rsid w:val="00F5126A"/>
    <w:rsid w:val="00F5126E"/>
    <w:rsid w:val="00F516EF"/>
    <w:rsid w:val="00F51755"/>
    <w:rsid w:val="00F52864"/>
    <w:rsid w:val="00F531D9"/>
    <w:rsid w:val="00F5489B"/>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0E3"/>
    <w:rsid w:val="00F8311F"/>
    <w:rsid w:val="00F83248"/>
    <w:rsid w:val="00F83376"/>
    <w:rsid w:val="00F853AE"/>
    <w:rsid w:val="00F908D5"/>
    <w:rsid w:val="00F90A44"/>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E64"/>
    <w:rsid w:val="00FC5FF5"/>
    <w:rsid w:val="00FC6285"/>
    <w:rsid w:val="00FC78FB"/>
    <w:rsid w:val="00FC7DBC"/>
    <w:rsid w:val="00FD076A"/>
    <w:rsid w:val="00FD0AA0"/>
    <w:rsid w:val="00FD1D5A"/>
    <w:rsid w:val="00FD40DE"/>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7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7062-BC8F-4600-8455-9F77DB54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2012-04-11T14:04:00Z</cp:lastPrinted>
  <dcterms:created xsi:type="dcterms:W3CDTF">2012-04-04T21:00:00Z</dcterms:created>
  <dcterms:modified xsi:type="dcterms:W3CDTF">2012-06-05T17:24:00Z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