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117264">
      <w:pPr>
        <w:tabs>
          <w:tab w:val="left" w:pos="288"/>
          <w:tab w:val="left" w:pos="4752"/>
          <w:tab w:val="left" w:pos="6300"/>
          <w:tab w:val="left" w:pos="9270"/>
        </w:tabs>
        <w:jc w:val="both"/>
        <w:rPr>
          <w:caps/>
          <w:color w:val="000000" w:themeColor="text1"/>
        </w:rPr>
      </w:pPr>
      <w:r w:rsidRPr="00B77CC0">
        <w:rPr>
          <w:caps/>
          <w:color w:val="000000" w:themeColor="text1"/>
        </w:rPr>
        <w:t xml:space="preserve">NAME:  </w:t>
      </w:r>
      <w:r w:rsidR="00DF0A5C">
        <w:rPr>
          <w:caps/>
          <w:color w:val="000000" w:themeColor="text1"/>
        </w:rPr>
        <w:t xml:space="preserve"> </w:t>
      </w:r>
      <w:r w:rsidR="00117264" w:rsidRPr="00B77CC0">
        <w:rPr>
          <w:caps/>
          <w:color w:val="000000" w:themeColor="text1"/>
        </w:rPr>
        <w:tab/>
      </w:r>
      <w:r w:rsidR="00117264" w:rsidRPr="00B77CC0">
        <w:rPr>
          <w:caps/>
          <w:color w:val="000000" w:themeColor="text1"/>
        </w:rPr>
        <w:tab/>
      </w:r>
      <w:r w:rsidRPr="00B77CC0">
        <w:rPr>
          <w:caps/>
          <w:color w:val="000000" w:themeColor="text1"/>
        </w:rPr>
        <w:t xml:space="preserve">BRANCH OF SERVICE: </w:t>
      </w:r>
      <w:r w:rsidR="004C24C5" w:rsidRPr="00B77CC0">
        <w:rPr>
          <w:caps/>
          <w:color w:val="000000" w:themeColor="text1"/>
        </w:rPr>
        <w:t xml:space="preserve"> </w:t>
      </w:r>
      <w:r w:rsidR="00332DE3" w:rsidRPr="00B77CC0">
        <w:rPr>
          <w:caps/>
          <w:color w:val="000000" w:themeColor="text1"/>
        </w:rPr>
        <w:t xml:space="preserve">Army </w:t>
      </w:r>
    </w:p>
    <w:p w:rsidR="00DE3AAD" w:rsidRPr="001F29F9" w:rsidRDefault="00012733" w:rsidP="00117264">
      <w:pPr>
        <w:tabs>
          <w:tab w:val="left" w:pos="288"/>
          <w:tab w:val="left" w:pos="6300"/>
          <w:tab w:val="left" w:pos="9270"/>
        </w:tabs>
        <w:jc w:val="both"/>
        <w:rPr>
          <w:caps/>
          <w:color w:val="000000" w:themeColor="text1"/>
        </w:rPr>
      </w:pPr>
      <w:r w:rsidRPr="001F29F9">
        <w:rPr>
          <w:caps/>
          <w:color w:val="000000" w:themeColor="text1"/>
        </w:rPr>
        <w:t>C</w:t>
      </w:r>
      <w:r w:rsidR="00DE3AAD" w:rsidRPr="001F29F9">
        <w:rPr>
          <w:caps/>
          <w:color w:val="000000" w:themeColor="text1"/>
        </w:rPr>
        <w:t xml:space="preserve">ASE NUMBER:  </w:t>
      </w:r>
      <w:r w:rsidR="00117264" w:rsidRPr="00117264">
        <w:rPr>
          <w:caps/>
          <w:color w:val="000000" w:themeColor="text1"/>
        </w:rPr>
        <w:t>PD1100667</w:t>
      </w:r>
      <w:r w:rsidR="00117264">
        <w:rPr>
          <w:caps/>
          <w:color w:val="000000" w:themeColor="text1"/>
        </w:rPr>
        <w:tab/>
      </w:r>
      <w:r w:rsidR="00DE3AAD" w:rsidRPr="001F29F9">
        <w:rPr>
          <w:color w:val="000000" w:themeColor="text1"/>
        </w:rPr>
        <w:t xml:space="preserve">SEPARATION DATE:  </w:t>
      </w:r>
      <w:r w:rsidR="00117264" w:rsidRPr="00117264">
        <w:rPr>
          <w:color w:val="000000" w:themeColor="text1"/>
        </w:rPr>
        <w:t>20070205</w:t>
      </w:r>
    </w:p>
    <w:p w:rsidR="003B2143" w:rsidRPr="001F29F9" w:rsidRDefault="001223AE" w:rsidP="00117264">
      <w:pPr>
        <w:tabs>
          <w:tab w:val="left" w:pos="288"/>
          <w:tab w:val="left" w:pos="3600"/>
        </w:tabs>
        <w:jc w:val="both"/>
        <w:rPr>
          <w:color w:val="000000" w:themeColor="text1"/>
        </w:rPr>
      </w:pPr>
      <w:r>
        <w:rPr>
          <w:caps/>
          <w:color w:val="000000" w:themeColor="text1"/>
        </w:rPr>
        <w:t>BOARD DATE:  20120320</w:t>
      </w:r>
      <w:r w:rsidR="003C53E8">
        <w:rPr>
          <w:rFonts w:cs="Times New Roman"/>
          <w:caps/>
          <w:color w:val="000000" w:themeColor="text1"/>
          <w:szCs w:val="24"/>
        </w:rPr>
        <w:tab/>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2C6E5B" w:rsidRPr="00B77CC0" w:rsidRDefault="00FB0E80" w:rsidP="00BF0E94">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B77CC0" w:rsidRPr="001223AE">
        <w:rPr>
          <w:rFonts w:asciiTheme="minorHAnsi" w:hAnsiTheme="minorHAnsi"/>
          <w:color w:val="000000" w:themeColor="text1"/>
        </w:rPr>
        <w:t xml:space="preserve">Data extracted from the available evidence of record reflects that this covered individual (CI) was a National Guard SGT/E-5 (63B, Light-Wheeled Vehicle Mechanic), medically separated for chronic bilateral knee </w:t>
      </w:r>
      <w:r w:rsidR="00C77B70" w:rsidRPr="001223AE">
        <w:rPr>
          <w:rFonts w:asciiTheme="minorHAnsi" w:hAnsiTheme="minorHAnsi"/>
          <w:color w:val="000000" w:themeColor="text1"/>
        </w:rPr>
        <w:t>condition</w:t>
      </w:r>
      <w:r w:rsidR="00B77CC0" w:rsidRPr="001223AE">
        <w:rPr>
          <w:rFonts w:asciiTheme="minorHAnsi" w:hAnsiTheme="minorHAnsi"/>
          <w:i/>
          <w:color w:val="000000" w:themeColor="text1"/>
        </w:rPr>
        <w:t>.</w:t>
      </w:r>
      <w:r w:rsidR="001223AE">
        <w:rPr>
          <w:rFonts w:asciiTheme="minorHAnsi" w:hAnsiTheme="minorHAnsi"/>
          <w:color w:val="000000" w:themeColor="text1"/>
        </w:rPr>
        <w:t xml:space="preserve"> </w:t>
      </w:r>
      <w:r w:rsidR="00DB2F2F" w:rsidRPr="001223AE">
        <w:rPr>
          <w:rFonts w:asciiTheme="minorHAnsi" w:hAnsiTheme="minorHAnsi"/>
          <w:color w:val="000000" w:themeColor="text1"/>
        </w:rPr>
        <w:t xml:space="preserve"> </w:t>
      </w:r>
      <w:r w:rsidR="001223AE">
        <w:rPr>
          <w:rFonts w:asciiTheme="minorHAnsi" w:hAnsiTheme="minorHAnsi"/>
          <w:color w:val="000000" w:themeColor="text1"/>
        </w:rPr>
        <w:t xml:space="preserve">After </w:t>
      </w:r>
      <w:r w:rsidR="00DB2F2F" w:rsidRPr="001223AE">
        <w:rPr>
          <w:rFonts w:asciiTheme="minorHAnsi" w:hAnsiTheme="minorHAnsi"/>
          <w:color w:val="000000" w:themeColor="text1"/>
        </w:rPr>
        <w:t xml:space="preserve">bilateral arthroscopic repair </w:t>
      </w:r>
      <w:r w:rsidR="001223AE">
        <w:rPr>
          <w:rFonts w:asciiTheme="minorHAnsi" w:hAnsiTheme="minorHAnsi"/>
          <w:color w:val="000000" w:themeColor="text1"/>
        </w:rPr>
        <w:t>for meniscal</w:t>
      </w:r>
      <w:r w:rsidR="00C77B70" w:rsidRPr="001223AE">
        <w:rPr>
          <w:rFonts w:asciiTheme="minorHAnsi" w:hAnsiTheme="minorHAnsi"/>
          <w:color w:val="000000" w:themeColor="text1"/>
        </w:rPr>
        <w:t xml:space="preserve"> disease of his knees </w:t>
      </w:r>
      <w:r w:rsidR="001223AE">
        <w:rPr>
          <w:rFonts w:asciiTheme="minorHAnsi" w:hAnsiTheme="minorHAnsi"/>
          <w:color w:val="000000" w:themeColor="text1"/>
        </w:rPr>
        <w:t>he</w:t>
      </w:r>
      <w:r w:rsidR="00B77CC0" w:rsidRPr="001223AE">
        <w:rPr>
          <w:rFonts w:asciiTheme="minorHAnsi" w:hAnsiTheme="minorHAnsi"/>
          <w:color w:val="000000" w:themeColor="text1"/>
        </w:rPr>
        <w:t xml:space="preserve"> failed to respond adequately to physical therapy to </w:t>
      </w:r>
      <w:r w:rsidR="00DB2F2F" w:rsidRPr="001223AE">
        <w:rPr>
          <w:rFonts w:asciiTheme="minorHAnsi" w:hAnsiTheme="minorHAnsi"/>
          <w:color w:val="000000" w:themeColor="text1"/>
        </w:rPr>
        <w:t xml:space="preserve">fully </w:t>
      </w:r>
      <w:r w:rsidR="00B77CC0" w:rsidRPr="001223AE">
        <w:rPr>
          <w:rFonts w:asciiTheme="minorHAnsi" w:hAnsiTheme="minorHAnsi"/>
          <w:color w:val="000000" w:themeColor="text1"/>
        </w:rPr>
        <w:t>perform within his Military Occupational Specialty (MOS) or meet physical fitness standards.  He was issued a permanent L3 profile and underwent a Medical Evaluation Board (MEB).  Chronic bilateral knee pain was forwarded to the Physical Evaluation Board (PEB) as medically unacceptable IAW AR 40-501.  Five other conditions, as identified in the rating chart below, were forwarded on the MEB submission as medically acceptable conditions.  The PEB adjudicated the chronic bilateral knee pain condition as unfitting, rated 10%</w:t>
      </w:r>
      <w:r w:rsidR="00DB2F2F" w:rsidRPr="001223AE">
        <w:rPr>
          <w:rFonts w:asciiTheme="minorHAnsi" w:hAnsiTheme="minorHAnsi"/>
          <w:color w:val="000000" w:themeColor="text1"/>
        </w:rPr>
        <w:t>,</w:t>
      </w:r>
      <w:r w:rsidR="00B77CC0" w:rsidRPr="001223AE">
        <w:rPr>
          <w:rFonts w:asciiTheme="minorHAnsi" w:hAnsiTheme="minorHAnsi"/>
          <w:color w:val="000000" w:themeColor="text1"/>
        </w:rPr>
        <w:t xml:space="preserve"> with application of the US Army Physical Disability Agency (USAPDA) pain policy.  The CI appealed to </w:t>
      </w:r>
      <w:r w:rsidR="00DB2F2F" w:rsidRPr="001223AE">
        <w:rPr>
          <w:rFonts w:asciiTheme="minorHAnsi" w:hAnsiTheme="minorHAnsi"/>
          <w:color w:val="000000" w:themeColor="text1"/>
        </w:rPr>
        <w:t>the Formal PEB (</w:t>
      </w:r>
      <w:r w:rsidR="00B77CC0" w:rsidRPr="001223AE">
        <w:rPr>
          <w:rFonts w:asciiTheme="minorHAnsi" w:hAnsiTheme="minorHAnsi"/>
          <w:color w:val="000000" w:themeColor="text1"/>
        </w:rPr>
        <w:t>FPEB</w:t>
      </w:r>
      <w:r w:rsidR="00DB2F2F" w:rsidRPr="001223AE">
        <w:rPr>
          <w:rFonts w:asciiTheme="minorHAnsi" w:hAnsiTheme="minorHAnsi"/>
          <w:color w:val="000000" w:themeColor="text1"/>
        </w:rPr>
        <w:t>)</w:t>
      </w:r>
      <w:r w:rsidR="00B77CC0" w:rsidRPr="001223AE">
        <w:rPr>
          <w:rFonts w:asciiTheme="minorHAnsi" w:hAnsiTheme="minorHAnsi"/>
          <w:color w:val="000000" w:themeColor="text1"/>
        </w:rPr>
        <w:t xml:space="preserve">, and </w:t>
      </w:r>
      <w:r w:rsidR="00DB2F2F" w:rsidRPr="001223AE">
        <w:rPr>
          <w:rFonts w:asciiTheme="minorHAnsi" w:hAnsiTheme="minorHAnsi"/>
          <w:color w:val="000000" w:themeColor="text1"/>
        </w:rPr>
        <w:t xml:space="preserve">then, following USAPDA review, </w:t>
      </w:r>
      <w:r w:rsidR="00B77CC0" w:rsidRPr="001223AE">
        <w:rPr>
          <w:rFonts w:asciiTheme="minorHAnsi" w:hAnsiTheme="minorHAnsi"/>
          <w:color w:val="000000" w:themeColor="text1"/>
        </w:rPr>
        <w:t>was medically separated with a 10%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B77CC0">
        <w:rPr>
          <w:color w:val="000000" w:themeColor="text1"/>
        </w:rPr>
        <w:t xml:space="preserve">  </w:t>
      </w:r>
      <w:r w:rsidR="001223AE" w:rsidRPr="00810067">
        <w:rPr>
          <w:rFonts w:asciiTheme="minorHAnsi" w:hAnsiTheme="minorHAnsi"/>
          <w:color w:val="000000" w:themeColor="text1"/>
        </w:rPr>
        <w:t>The CI</w:t>
      </w:r>
      <w:r w:rsidR="00B77CC0" w:rsidRPr="00810067">
        <w:rPr>
          <w:rFonts w:asciiTheme="minorHAnsi" w:hAnsiTheme="minorHAnsi"/>
          <w:color w:val="000000" w:themeColor="text1"/>
        </w:rPr>
        <w:t xml:space="preserve"> refers to his VA conditions and ratings as per the rating chart below.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358"/>
        <w:gridCol w:w="1080"/>
        <w:gridCol w:w="720"/>
        <w:gridCol w:w="2430"/>
        <w:gridCol w:w="1080"/>
        <w:gridCol w:w="720"/>
        <w:gridCol w:w="990"/>
      </w:tblGrid>
      <w:tr w:rsidR="00B77CC0" w:rsidRPr="001F29F9" w:rsidTr="003C53E8">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B77CC0" w:rsidRPr="001F29F9" w:rsidRDefault="00B77CC0" w:rsidP="00B77CC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Pr>
                <w:rFonts w:ascii="Calibri" w:hAnsi="Calibri" w:cs="Calibri"/>
                <w:b/>
                <w:color w:val="000000" w:themeColor="text1"/>
                <w:sz w:val="18"/>
                <w:szCs w:val="18"/>
              </w:rPr>
              <w:t>F</w:t>
            </w:r>
            <w:r w:rsidRPr="001F29F9">
              <w:rPr>
                <w:rFonts w:ascii="Calibri" w:hAnsi="Calibri" w:cs="Calibri"/>
                <w:b/>
                <w:color w:val="000000" w:themeColor="text1"/>
                <w:sz w:val="18"/>
                <w:szCs w:val="18"/>
              </w:rPr>
              <w:t>PEB – Dated 200</w:t>
            </w:r>
            <w:r>
              <w:rPr>
                <w:rFonts w:ascii="Calibri" w:hAnsi="Calibri" w:cs="Calibri"/>
                <w:b/>
                <w:color w:val="000000" w:themeColor="text1"/>
                <w:sz w:val="18"/>
                <w:szCs w:val="18"/>
              </w:rPr>
              <w:t>61208</w:t>
            </w:r>
          </w:p>
        </w:tc>
        <w:tc>
          <w:tcPr>
            <w:tcW w:w="5220" w:type="dxa"/>
            <w:gridSpan w:val="4"/>
            <w:tcBorders>
              <w:left w:val="thinThickThinSmallGap" w:sz="24" w:space="0" w:color="auto"/>
            </w:tcBorders>
            <w:shd w:val="clear" w:color="auto" w:fill="D9D9D9" w:themeFill="background1" w:themeFillShade="D9"/>
            <w:vAlign w:val="center"/>
          </w:tcPr>
          <w:p w:rsidR="00B77CC0" w:rsidRPr="001F29F9" w:rsidRDefault="00B77CC0" w:rsidP="00B77CC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Pr>
                <w:rFonts w:ascii="Calibri" w:hAnsi="Calibri" w:cs="Calibri"/>
                <w:b/>
                <w:color w:val="000000" w:themeColor="text1"/>
                <w:sz w:val="18"/>
                <w:szCs w:val="18"/>
              </w:rPr>
              <w:t>2</w:t>
            </w:r>
            <w:r w:rsidRPr="001F29F9">
              <w:rPr>
                <w:rFonts w:ascii="Calibri" w:hAnsi="Calibri" w:cs="Calibri"/>
                <w:b/>
                <w:color w:val="000000" w:themeColor="text1"/>
                <w:sz w:val="18"/>
                <w:szCs w:val="18"/>
              </w:rPr>
              <w:t xml:space="preserve"> Mo. </w:t>
            </w:r>
            <w:r w:rsidRPr="009D34CA">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200</w:t>
            </w:r>
            <w:r>
              <w:rPr>
                <w:rFonts w:ascii="Calibri" w:hAnsi="Calibri" w:cs="Calibri"/>
                <w:b/>
                <w:color w:val="000000" w:themeColor="text1"/>
                <w:sz w:val="18"/>
                <w:szCs w:val="18"/>
              </w:rPr>
              <w:t>70206</w:t>
            </w:r>
          </w:p>
        </w:tc>
      </w:tr>
      <w:tr w:rsidR="002B4E22" w:rsidRPr="001F29F9" w:rsidTr="00B77CC0">
        <w:trPr>
          <w:trHeight w:val="97"/>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43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B77CC0" w:rsidRPr="001F29F9" w:rsidTr="00B77CC0">
        <w:trPr>
          <w:trHeight w:val="115"/>
          <w:jc w:val="center"/>
        </w:trPr>
        <w:tc>
          <w:tcPr>
            <w:tcW w:w="2358" w:type="dxa"/>
            <w:vMerge w:val="restart"/>
            <w:tcBorders>
              <w:right w:val="single" w:sz="4" w:space="0" w:color="auto"/>
            </w:tcBorders>
            <w:shd w:val="clear" w:color="auto" w:fill="FFFFFF" w:themeFill="background1"/>
            <w:vAlign w:val="center"/>
          </w:tcPr>
          <w:p w:rsidR="00B77CC0" w:rsidRPr="001F29F9" w:rsidRDefault="00B77CC0" w:rsidP="00B77CC0">
            <w:pPr>
              <w:spacing w:line="180" w:lineRule="exact"/>
              <w:contextualSpacing/>
              <w:jc w:val="left"/>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Bilateral Knee Pain</w:t>
            </w:r>
          </w:p>
        </w:tc>
        <w:tc>
          <w:tcPr>
            <w:tcW w:w="1080" w:type="dxa"/>
            <w:vMerge w:val="restart"/>
            <w:tcBorders>
              <w:left w:val="single" w:sz="4" w:space="0" w:color="auto"/>
            </w:tcBorders>
            <w:shd w:val="clear" w:color="auto" w:fill="FFFFFF" w:themeFill="background1"/>
            <w:vAlign w:val="center"/>
          </w:tcPr>
          <w:p w:rsidR="00B77CC0" w:rsidRPr="001F29F9" w:rsidRDefault="00B77CC0" w:rsidP="00B77CC0">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5099-5003</w:t>
            </w:r>
          </w:p>
        </w:tc>
        <w:tc>
          <w:tcPr>
            <w:tcW w:w="720" w:type="dxa"/>
            <w:vMerge w:val="restart"/>
            <w:tcBorders>
              <w:right w:val="thinThickThinSmallGap" w:sz="24" w:space="0" w:color="auto"/>
            </w:tcBorders>
            <w:shd w:val="clear" w:color="auto" w:fill="FFFFFF" w:themeFill="background1"/>
            <w:vAlign w:val="center"/>
          </w:tcPr>
          <w:p w:rsidR="00B77CC0" w:rsidRPr="001F29F9" w:rsidRDefault="00B77CC0" w:rsidP="00B77CC0">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2430" w:type="dxa"/>
            <w:tcBorders>
              <w:left w:val="thinThickThinSmallGap" w:sz="24" w:space="0" w:color="auto"/>
            </w:tcBorders>
            <w:shd w:val="clear" w:color="auto" w:fill="FFFFFF" w:themeFill="background1"/>
            <w:vAlign w:val="center"/>
          </w:tcPr>
          <w:p w:rsidR="00B77CC0" w:rsidRPr="001F29F9" w:rsidRDefault="00B77CC0" w:rsidP="00B77CC0">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Residuals Right Knee Surgery</w:t>
            </w:r>
          </w:p>
        </w:tc>
        <w:tc>
          <w:tcPr>
            <w:tcW w:w="1080" w:type="dxa"/>
            <w:shd w:val="clear" w:color="auto" w:fill="FFFFFF" w:themeFill="background1"/>
            <w:vAlign w:val="center"/>
          </w:tcPr>
          <w:p w:rsidR="00B77CC0" w:rsidRPr="001F29F9" w:rsidRDefault="00B77CC0" w:rsidP="00B77CC0">
            <w:pPr>
              <w:spacing w:line="180" w:lineRule="exact"/>
              <w:contextualSpacing/>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5299-5260</w:t>
            </w:r>
          </w:p>
        </w:tc>
        <w:tc>
          <w:tcPr>
            <w:tcW w:w="720" w:type="dxa"/>
            <w:shd w:val="clear" w:color="auto" w:fill="FFFFFF" w:themeFill="background1"/>
            <w:vAlign w:val="center"/>
          </w:tcPr>
          <w:p w:rsidR="00B77CC0" w:rsidRPr="001F29F9" w:rsidRDefault="00B77CC0" w:rsidP="00B77CC0">
            <w:pPr>
              <w:spacing w:line="180" w:lineRule="exact"/>
              <w:contextualSpacing/>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B77CC0" w:rsidRPr="001F29F9" w:rsidRDefault="00B77CC0" w:rsidP="00B77CC0">
            <w:pPr>
              <w:spacing w:line="180" w:lineRule="exact"/>
              <w:contextualSpacing/>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20070425</w:t>
            </w:r>
          </w:p>
        </w:tc>
      </w:tr>
      <w:tr w:rsidR="00B77CC0" w:rsidRPr="001F29F9" w:rsidTr="00B77CC0">
        <w:trPr>
          <w:trHeight w:val="115"/>
          <w:jc w:val="center"/>
        </w:trPr>
        <w:tc>
          <w:tcPr>
            <w:tcW w:w="2358" w:type="dxa"/>
            <w:vMerge/>
            <w:tcBorders>
              <w:right w:val="single" w:sz="4" w:space="0" w:color="auto"/>
            </w:tcBorders>
            <w:shd w:val="clear" w:color="auto" w:fill="FFFFFF" w:themeFill="background1"/>
            <w:vAlign w:val="center"/>
          </w:tcPr>
          <w:p w:rsidR="00B77CC0" w:rsidRPr="00B77CC0" w:rsidRDefault="00B77CC0" w:rsidP="00B77CC0">
            <w:pPr>
              <w:spacing w:line="180" w:lineRule="exact"/>
              <w:contextualSpacing/>
              <w:jc w:val="left"/>
              <w:rPr>
                <w:rFonts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B77CC0" w:rsidRDefault="00B77CC0" w:rsidP="00B77CC0">
            <w:pPr>
              <w:spacing w:line="180" w:lineRule="exact"/>
              <w:contextualSpacing/>
              <w:rPr>
                <w:rFonts w:cs="Calibri"/>
                <w:color w:val="000000" w:themeColor="text1"/>
                <w:sz w:val="18"/>
                <w:szCs w:val="18"/>
              </w:rPr>
            </w:pPr>
          </w:p>
        </w:tc>
        <w:tc>
          <w:tcPr>
            <w:tcW w:w="720" w:type="dxa"/>
            <w:vMerge/>
            <w:tcBorders>
              <w:right w:val="thinThickThinSmallGap" w:sz="24" w:space="0" w:color="auto"/>
            </w:tcBorders>
            <w:shd w:val="clear" w:color="auto" w:fill="FFFFFF" w:themeFill="background1"/>
            <w:vAlign w:val="center"/>
          </w:tcPr>
          <w:p w:rsidR="00B77CC0" w:rsidRDefault="00B77CC0" w:rsidP="00B77CC0">
            <w:pPr>
              <w:spacing w:line="180" w:lineRule="exact"/>
              <w:rPr>
                <w:rFonts w:cs="Calibri"/>
                <w:color w:val="000000" w:themeColor="text1"/>
                <w:sz w:val="18"/>
                <w:szCs w:val="18"/>
              </w:rPr>
            </w:pPr>
          </w:p>
        </w:tc>
        <w:tc>
          <w:tcPr>
            <w:tcW w:w="2430" w:type="dxa"/>
            <w:tcBorders>
              <w:left w:val="thinThickThinSmallGap" w:sz="24" w:space="0" w:color="auto"/>
            </w:tcBorders>
            <w:shd w:val="clear" w:color="auto" w:fill="FFFFFF" w:themeFill="background1"/>
            <w:vAlign w:val="center"/>
          </w:tcPr>
          <w:p w:rsidR="00B77CC0" w:rsidRPr="001F29F9" w:rsidRDefault="00B77CC0" w:rsidP="00B77CC0">
            <w:pPr>
              <w:spacing w:line="180" w:lineRule="exact"/>
              <w:contextualSpacing/>
              <w:jc w:val="left"/>
              <w:rPr>
                <w:rFonts w:cs="Calibri"/>
                <w:color w:val="000000" w:themeColor="text1"/>
                <w:sz w:val="18"/>
                <w:szCs w:val="18"/>
              </w:rPr>
            </w:pPr>
            <w:r>
              <w:rPr>
                <w:rFonts w:ascii="Calibri" w:eastAsia="Times New Roman" w:hAnsi="Calibri" w:cs="Calibri"/>
                <w:color w:val="000000" w:themeColor="text1"/>
                <w:sz w:val="18"/>
                <w:szCs w:val="18"/>
              </w:rPr>
              <w:t>Residuals Left Knee Surgery</w:t>
            </w:r>
          </w:p>
        </w:tc>
        <w:tc>
          <w:tcPr>
            <w:tcW w:w="1080" w:type="dxa"/>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sidRPr="00B77CC0">
              <w:rPr>
                <w:rFonts w:cs="Calibri"/>
                <w:color w:val="000000" w:themeColor="text1"/>
                <w:sz w:val="18"/>
                <w:szCs w:val="18"/>
              </w:rPr>
              <w:t>5299-5260</w:t>
            </w:r>
          </w:p>
        </w:tc>
        <w:tc>
          <w:tcPr>
            <w:tcW w:w="720" w:type="dxa"/>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sidRPr="00B77CC0">
              <w:rPr>
                <w:rFonts w:cs="Calibri"/>
                <w:color w:val="000000" w:themeColor="text1"/>
                <w:sz w:val="18"/>
                <w:szCs w:val="18"/>
              </w:rPr>
              <w:t>10%</w:t>
            </w:r>
          </w:p>
        </w:tc>
        <w:tc>
          <w:tcPr>
            <w:tcW w:w="990" w:type="dxa"/>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sidRPr="00B77CC0">
              <w:rPr>
                <w:rFonts w:cs="Calibri"/>
                <w:color w:val="000000" w:themeColor="text1"/>
                <w:sz w:val="18"/>
                <w:szCs w:val="18"/>
              </w:rPr>
              <w:t>20070425</w:t>
            </w:r>
          </w:p>
        </w:tc>
      </w:tr>
      <w:tr w:rsidR="00B77CC0" w:rsidRPr="001F29F9" w:rsidTr="00B77CC0">
        <w:trPr>
          <w:trHeight w:val="106"/>
          <w:jc w:val="center"/>
        </w:trPr>
        <w:tc>
          <w:tcPr>
            <w:tcW w:w="2358" w:type="dxa"/>
            <w:tcBorders>
              <w:right w:val="single" w:sz="4" w:space="0" w:color="auto"/>
            </w:tcBorders>
            <w:shd w:val="clear" w:color="auto" w:fill="FFFFFF" w:themeFill="background1"/>
            <w:vAlign w:val="center"/>
          </w:tcPr>
          <w:p w:rsidR="00B77CC0" w:rsidRPr="001F29F9" w:rsidRDefault="00B77CC0" w:rsidP="00B77CC0">
            <w:pPr>
              <w:spacing w:line="180" w:lineRule="exact"/>
              <w:contextualSpacing/>
              <w:jc w:val="left"/>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L</w:t>
            </w:r>
            <w:r>
              <w:rPr>
                <w:rFonts w:ascii="Calibri" w:eastAsia="Times New Roman" w:hAnsi="Calibri" w:cs="Calibri"/>
                <w:color w:val="000000" w:themeColor="text1"/>
                <w:sz w:val="18"/>
                <w:szCs w:val="18"/>
              </w:rPr>
              <w:t>ef</w:t>
            </w:r>
            <w:r w:rsidRPr="00B77CC0">
              <w:rPr>
                <w:rFonts w:ascii="Calibri" w:eastAsia="Times New Roman" w:hAnsi="Calibri" w:cs="Calibri"/>
                <w:color w:val="000000" w:themeColor="text1"/>
                <w:sz w:val="18"/>
                <w:szCs w:val="18"/>
              </w:rPr>
              <w:t>t Shoulder Impingement</w:t>
            </w:r>
          </w:p>
        </w:tc>
        <w:tc>
          <w:tcPr>
            <w:tcW w:w="1800" w:type="dxa"/>
            <w:gridSpan w:val="2"/>
            <w:tcBorders>
              <w:left w:val="single" w:sz="4" w:space="0" w:color="auto"/>
              <w:right w:val="thinThickThinSmallGap" w:sz="24" w:space="0" w:color="auto"/>
            </w:tcBorders>
            <w:shd w:val="clear" w:color="auto" w:fill="FFFFFF" w:themeFill="background1"/>
            <w:vAlign w:val="center"/>
          </w:tcPr>
          <w:p w:rsidR="00B77CC0" w:rsidRPr="001F29F9" w:rsidRDefault="00B77CC0" w:rsidP="00B77CC0">
            <w:pPr>
              <w:spacing w:line="18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2430" w:type="dxa"/>
            <w:tcBorders>
              <w:left w:val="thinThickThinSmallGap" w:sz="24" w:space="0" w:color="auto"/>
              <w:right w:val="single" w:sz="4" w:space="0" w:color="auto"/>
            </w:tcBorders>
            <w:shd w:val="clear" w:color="auto" w:fill="FFFFFF" w:themeFill="background1"/>
            <w:vAlign w:val="center"/>
          </w:tcPr>
          <w:p w:rsidR="00B77CC0" w:rsidRPr="001F29F9" w:rsidRDefault="00B77CC0" w:rsidP="00B77CC0">
            <w:pPr>
              <w:spacing w:line="180" w:lineRule="exact"/>
              <w:contextualSpacing/>
              <w:jc w:val="left"/>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L</w:t>
            </w:r>
            <w:r>
              <w:rPr>
                <w:rFonts w:ascii="Calibri" w:eastAsia="Times New Roman" w:hAnsi="Calibri" w:cs="Calibri"/>
                <w:color w:val="000000" w:themeColor="text1"/>
                <w:sz w:val="18"/>
                <w:szCs w:val="18"/>
              </w:rPr>
              <w:t>ef</w:t>
            </w:r>
            <w:r w:rsidRPr="00B77CC0">
              <w:rPr>
                <w:rFonts w:ascii="Calibri" w:eastAsia="Times New Roman" w:hAnsi="Calibri" w:cs="Calibri"/>
                <w:color w:val="000000" w:themeColor="text1"/>
                <w:sz w:val="18"/>
                <w:szCs w:val="18"/>
              </w:rPr>
              <w:t>t Shoulder Condition</w:t>
            </w:r>
          </w:p>
        </w:tc>
        <w:tc>
          <w:tcPr>
            <w:tcW w:w="1080" w:type="dxa"/>
            <w:tcBorders>
              <w:left w:val="single" w:sz="4" w:space="0" w:color="auto"/>
            </w:tcBorders>
            <w:shd w:val="clear" w:color="auto" w:fill="FFFFFF" w:themeFill="background1"/>
            <w:vAlign w:val="center"/>
          </w:tcPr>
          <w:p w:rsidR="00B77CC0" w:rsidRPr="001F29F9" w:rsidRDefault="00B77CC0" w:rsidP="00B77CC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5299-5201</w:t>
            </w:r>
          </w:p>
        </w:tc>
        <w:tc>
          <w:tcPr>
            <w:tcW w:w="720" w:type="dxa"/>
            <w:shd w:val="clear" w:color="auto" w:fill="FFFFFF" w:themeFill="background1"/>
            <w:vAlign w:val="center"/>
          </w:tcPr>
          <w:p w:rsidR="00B77CC0" w:rsidRPr="001F29F9" w:rsidRDefault="00B77CC0" w:rsidP="00B77CC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NSC</w:t>
            </w:r>
          </w:p>
        </w:tc>
        <w:tc>
          <w:tcPr>
            <w:tcW w:w="990" w:type="dxa"/>
            <w:shd w:val="clear" w:color="auto" w:fill="FFFFFF" w:themeFill="background1"/>
            <w:vAlign w:val="center"/>
          </w:tcPr>
          <w:p w:rsidR="00B77CC0" w:rsidRPr="001F29F9" w:rsidRDefault="00B77CC0" w:rsidP="00B77CC0">
            <w:pPr>
              <w:spacing w:line="180" w:lineRule="exact"/>
              <w:contextualSpacing/>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20070425</w:t>
            </w:r>
          </w:p>
        </w:tc>
      </w:tr>
      <w:tr w:rsidR="00B77CC0" w:rsidRPr="001F29F9" w:rsidTr="00B77CC0">
        <w:trPr>
          <w:trHeight w:val="97"/>
          <w:jc w:val="center"/>
        </w:trPr>
        <w:tc>
          <w:tcPr>
            <w:tcW w:w="2358" w:type="dxa"/>
            <w:tcBorders>
              <w:right w:val="single" w:sz="4" w:space="0" w:color="auto"/>
            </w:tcBorders>
            <w:shd w:val="clear" w:color="auto" w:fill="FFFFFF" w:themeFill="background1"/>
            <w:vAlign w:val="center"/>
          </w:tcPr>
          <w:p w:rsidR="00B77CC0" w:rsidRPr="001F29F9" w:rsidRDefault="00B77CC0" w:rsidP="00B77CC0">
            <w:pPr>
              <w:spacing w:line="180" w:lineRule="exact"/>
              <w:contextualSpacing/>
              <w:jc w:val="left"/>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Plantar Fa</w:t>
            </w:r>
            <w:r>
              <w:rPr>
                <w:rFonts w:ascii="Calibri" w:eastAsia="Times New Roman" w:hAnsi="Calibri" w:cs="Calibri"/>
                <w:color w:val="000000" w:themeColor="text1"/>
                <w:sz w:val="18"/>
                <w:szCs w:val="18"/>
              </w:rPr>
              <w:t>s</w:t>
            </w:r>
            <w:r w:rsidRPr="00B77CC0">
              <w:rPr>
                <w:rFonts w:ascii="Calibri" w:eastAsia="Times New Roman" w:hAnsi="Calibri" w:cs="Calibri"/>
                <w:color w:val="000000" w:themeColor="text1"/>
                <w:sz w:val="18"/>
                <w:szCs w:val="18"/>
              </w:rPr>
              <w:t>ciitis</w:t>
            </w:r>
          </w:p>
        </w:tc>
        <w:tc>
          <w:tcPr>
            <w:tcW w:w="1800" w:type="dxa"/>
            <w:gridSpan w:val="2"/>
            <w:tcBorders>
              <w:left w:val="single" w:sz="4" w:space="0" w:color="auto"/>
              <w:right w:val="thinThickThinSmallGap" w:sz="24" w:space="0" w:color="auto"/>
            </w:tcBorders>
            <w:shd w:val="clear" w:color="auto" w:fill="FFFFFF" w:themeFill="background1"/>
            <w:vAlign w:val="center"/>
          </w:tcPr>
          <w:p w:rsidR="00B77CC0" w:rsidRPr="001F29F9" w:rsidRDefault="00B77CC0" w:rsidP="00B77CC0">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2430" w:type="dxa"/>
            <w:tcBorders>
              <w:left w:val="thinThickThinSmallGap" w:sz="24" w:space="0" w:color="auto"/>
              <w:right w:val="single" w:sz="4" w:space="0" w:color="auto"/>
            </w:tcBorders>
            <w:shd w:val="clear" w:color="auto" w:fill="FFFFFF" w:themeFill="background1"/>
            <w:vAlign w:val="center"/>
          </w:tcPr>
          <w:p w:rsidR="00B77CC0" w:rsidRPr="001F29F9" w:rsidRDefault="00B77CC0" w:rsidP="00B77CC0">
            <w:pPr>
              <w:spacing w:line="180" w:lineRule="exact"/>
              <w:contextualSpacing/>
              <w:jc w:val="left"/>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Bilateral Pes Planus</w:t>
            </w:r>
          </w:p>
        </w:tc>
        <w:tc>
          <w:tcPr>
            <w:tcW w:w="1080" w:type="dxa"/>
            <w:tcBorders>
              <w:left w:val="single" w:sz="4" w:space="0" w:color="auto"/>
            </w:tcBorders>
            <w:shd w:val="clear" w:color="auto" w:fill="FFFFFF" w:themeFill="background1"/>
            <w:vAlign w:val="center"/>
          </w:tcPr>
          <w:p w:rsidR="00B77CC0" w:rsidRPr="001F29F9" w:rsidRDefault="00B77CC0" w:rsidP="00B77CC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5010-5276</w:t>
            </w:r>
          </w:p>
        </w:tc>
        <w:tc>
          <w:tcPr>
            <w:tcW w:w="720" w:type="dxa"/>
            <w:shd w:val="clear" w:color="auto" w:fill="FFFFFF" w:themeFill="background1"/>
            <w:vAlign w:val="center"/>
          </w:tcPr>
          <w:p w:rsidR="00B77CC0" w:rsidRPr="00400890" w:rsidRDefault="00B77CC0" w:rsidP="00B77CC0">
            <w:pPr>
              <w:spacing w:line="180" w:lineRule="exact"/>
              <w:contextualSpacing/>
              <w:rPr>
                <w:rFonts w:ascii="Calibri" w:eastAsia="Times New Roman" w:hAnsi="Calibri" w:cs="Calibri"/>
                <w:b/>
                <w:color w:val="000000" w:themeColor="text1"/>
                <w:sz w:val="18"/>
                <w:szCs w:val="18"/>
              </w:rPr>
            </w:pPr>
            <w:r w:rsidRPr="00400890">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B77CC0" w:rsidRPr="00BB6075" w:rsidRDefault="00B77CC0" w:rsidP="00B77CC0">
            <w:pPr>
              <w:spacing w:line="180" w:lineRule="exact"/>
              <w:contextualSpacing/>
              <w:rPr>
                <w:rFonts w:ascii="Calibri" w:eastAsia="Times New Roman" w:hAnsi="Calibri" w:cs="Calibri"/>
                <w:color w:val="000000" w:themeColor="text1"/>
                <w:sz w:val="18"/>
                <w:szCs w:val="18"/>
              </w:rPr>
            </w:pPr>
            <w:r w:rsidRPr="00BB6075">
              <w:rPr>
                <w:rFonts w:ascii="Calibri" w:eastAsia="Times New Roman" w:hAnsi="Calibri" w:cs="Calibri"/>
                <w:color w:val="000000" w:themeColor="text1"/>
                <w:sz w:val="18"/>
                <w:szCs w:val="18"/>
              </w:rPr>
              <w:t>20070425</w:t>
            </w:r>
          </w:p>
        </w:tc>
      </w:tr>
      <w:tr w:rsidR="00B77CC0" w:rsidRPr="001F29F9" w:rsidTr="00B77CC0">
        <w:trPr>
          <w:trHeight w:val="178"/>
          <w:jc w:val="center"/>
        </w:trPr>
        <w:tc>
          <w:tcPr>
            <w:tcW w:w="2358" w:type="dxa"/>
            <w:tcBorders>
              <w:right w:val="single" w:sz="4" w:space="0" w:color="auto"/>
            </w:tcBorders>
            <w:shd w:val="clear" w:color="auto" w:fill="FFFFFF" w:themeFill="background1"/>
            <w:vAlign w:val="center"/>
          </w:tcPr>
          <w:p w:rsidR="00B77CC0" w:rsidRPr="001F29F9" w:rsidRDefault="00B77CC0" w:rsidP="00B77CC0">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Intermittent </w:t>
            </w:r>
            <w:r w:rsidR="001D28C6">
              <w:rPr>
                <w:rFonts w:ascii="Calibri" w:eastAsia="Times New Roman" w:hAnsi="Calibri" w:cs="Calibri"/>
                <w:color w:val="000000" w:themeColor="text1"/>
                <w:sz w:val="18"/>
                <w:szCs w:val="18"/>
              </w:rPr>
              <w:t xml:space="preserve">Low </w:t>
            </w:r>
            <w:r w:rsidRPr="00B77CC0">
              <w:rPr>
                <w:rFonts w:ascii="Calibri" w:eastAsia="Times New Roman" w:hAnsi="Calibri" w:cs="Calibri"/>
                <w:color w:val="000000" w:themeColor="text1"/>
                <w:sz w:val="18"/>
                <w:szCs w:val="18"/>
              </w:rPr>
              <w:t>B</w:t>
            </w:r>
            <w:r>
              <w:rPr>
                <w:rFonts w:ascii="Calibri" w:eastAsia="Times New Roman" w:hAnsi="Calibri" w:cs="Calibri"/>
                <w:color w:val="000000" w:themeColor="text1"/>
                <w:sz w:val="18"/>
                <w:szCs w:val="18"/>
              </w:rPr>
              <w:t xml:space="preserve">ack </w:t>
            </w:r>
            <w:r w:rsidRPr="00B77CC0">
              <w:rPr>
                <w:rFonts w:ascii="Calibri" w:eastAsia="Times New Roman" w:hAnsi="Calibri" w:cs="Calibri"/>
                <w:color w:val="000000" w:themeColor="text1"/>
                <w:sz w:val="18"/>
                <w:szCs w:val="18"/>
              </w:rPr>
              <w:t>P</w:t>
            </w:r>
            <w:r>
              <w:rPr>
                <w:rFonts w:ascii="Calibri" w:eastAsia="Times New Roman" w:hAnsi="Calibri" w:cs="Calibri"/>
                <w:color w:val="000000" w:themeColor="text1"/>
                <w:sz w:val="18"/>
                <w:szCs w:val="18"/>
              </w:rPr>
              <w:t>ain</w:t>
            </w:r>
          </w:p>
        </w:tc>
        <w:tc>
          <w:tcPr>
            <w:tcW w:w="1800" w:type="dxa"/>
            <w:gridSpan w:val="2"/>
            <w:tcBorders>
              <w:left w:val="single" w:sz="4" w:space="0" w:color="auto"/>
              <w:right w:val="thinThickThinSmallGap" w:sz="24" w:space="0" w:color="auto"/>
            </w:tcBorders>
            <w:shd w:val="clear" w:color="auto" w:fill="FFFFFF" w:themeFill="background1"/>
            <w:vAlign w:val="center"/>
          </w:tcPr>
          <w:p w:rsidR="00B77CC0" w:rsidRPr="001F29F9" w:rsidRDefault="00B77CC0" w:rsidP="00B77CC0">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2430" w:type="dxa"/>
            <w:tcBorders>
              <w:left w:val="thinThickThinSmallGap" w:sz="24" w:space="0" w:color="auto"/>
              <w:right w:val="single" w:sz="4" w:space="0" w:color="auto"/>
            </w:tcBorders>
            <w:shd w:val="clear" w:color="auto" w:fill="FFFFFF" w:themeFill="background1"/>
            <w:vAlign w:val="center"/>
          </w:tcPr>
          <w:p w:rsidR="00B77CC0" w:rsidRPr="001F29F9" w:rsidRDefault="00B77CC0" w:rsidP="00B77CC0">
            <w:pPr>
              <w:spacing w:line="180" w:lineRule="exact"/>
              <w:contextualSpacing/>
              <w:jc w:val="left"/>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Lumbar Spine Degenerative</w:t>
            </w:r>
            <w:r>
              <w:rPr>
                <w:rFonts w:ascii="Calibri" w:eastAsia="Times New Roman" w:hAnsi="Calibri" w:cs="Calibri"/>
                <w:color w:val="000000" w:themeColor="text1"/>
                <w:sz w:val="18"/>
                <w:szCs w:val="18"/>
              </w:rPr>
              <w:t>…</w:t>
            </w:r>
          </w:p>
        </w:tc>
        <w:tc>
          <w:tcPr>
            <w:tcW w:w="1080" w:type="dxa"/>
            <w:tcBorders>
              <w:left w:val="single" w:sz="4" w:space="0" w:color="auto"/>
            </w:tcBorders>
            <w:shd w:val="clear" w:color="auto" w:fill="FFFFFF" w:themeFill="background1"/>
            <w:vAlign w:val="center"/>
          </w:tcPr>
          <w:p w:rsidR="00B77CC0" w:rsidRPr="001F29F9" w:rsidRDefault="00B77CC0" w:rsidP="00B77CC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5242</w:t>
            </w:r>
          </w:p>
        </w:tc>
        <w:tc>
          <w:tcPr>
            <w:tcW w:w="720" w:type="dxa"/>
            <w:shd w:val="clear" w:color="auto" w:fill="FFFFFF" w:themeFill="background1"/>
            <w:vAlign w:val="center"/>
          </w:tcPr>
          <w:p w:rsidR="00B77CC0" w:rsidRPr="001F29F9" w:rsidRDefault="00B77CC0" w:rsidP="00B77CC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B77CC0" w:rsidRPr="00BB6075" w:rsidRDefault="00B77CC0" w:rsidP="00B77CC0">
            <w:pPr>
              <w:spacing w:line="180" w:lineRule="exact"/>
              <w:contextualSpacing/>
              <w:rPr>
                <w:rFonts w:ascii="Calibri" w:eastAsia="Times New Roman" w:hAnsi="Calibri" w:cs="Calibri"/>
                <w:color w:val="000000" w:themeColor="text1"/>
                <w:sz w:val="18"/>
                <w:szCs w:val="18"/>
              </w:rPr>
            </w:pPr>
            <w:r w:rsidRPr="00BB6075">
              <w:rPr>
                <w:rFonts w:ascii="Calibri" w:eastAsia="Times New Roman" w:hAnsi="Calibri" w:cs="Calibri"/>
                <w:color w:val="000000" w:themeColor="text1"/>
                <w:sz w:val="18"/>
                <w:szCs w:val="18"/>
              </w:rPr>
              <w:t>20070425</w:t>
            </w:r>
          </w:p>
        </w:tc>
      </w:tr>
      <w:tr w:rsidR="00B77CC0" w:rsidRPr="001F29F9" w:rsidTr="00B77CC0">
        <w:trPr>
          <w:trHeight w:val="70"/>
          <w:jc w:val="center"/>
        </w:trPr>
        <w:tc>
          <w:tcPr>
            <w:tcW w:w="2358" w:type="dxa"/>
            <w:tcBorders>
              <w:right w:val="single" w:sz="4" w:space="0" w:color="auto"/>
            </w:tcBorders>
            <w:shd w:val="clear" w:color="auto" w:fill="FFFFFF" w:themeFill="background1"/>
            <w:vAlign w:val="center"/>
          </w:tcPr>
          <w:p w:rsidR="00B77CC0" w:rsidRPr="001F29F9" w:rsidRDefault="00B77CC0" w:rsidP="00B77CC0">
            <w:pPr>
              <w:spacing w:line="180" w:lineRule="exact"/>
              <w:contextualSpacing/>
              <w:jc w:val="left"/>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Mild Liver Enzyme Elevations</w:t>
            </w:r>
          </w:p>
        </w:tc>
        <w:tc>
          <w:tcPr>
            <w:tcW w:w="1800" w:type="dxa"/>
            <w:gridSpan w:val="2"/>
            <w:tcBorders>
              <w:left w:val="single" w:sz="4" w:space="0" w:color="auto"/>
              <w:right w:val="thinThickThinSmallGap" w:sz="24" w:space="0" w:color="auto"/>
            </w:tcBorders>
            <w:shd w:val="clear" w:color="auto" w:fill="FFFFFF" w:themeFill="background1"/>
            <w:vAlign w:val="center"/>
          </w:tcPr>
          <w:p w:rsidR="00B77CC0" w:rsidRPr="001F29F9" w:rsidRDefault="00B77CC0" w:rsidP="00B77CC0">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2430" w:type="dxa"/>
            <w:tcBorders>
              <w:left w:val="thinThickThinSmallGap" w:sz="24" w:space="0" w:color="auto"/>
              <w:right w:val="single" w:sz="4" w:space="0" w:color="auto"/>
            </w:tcBorders>
            <w:shd w:val="clear" w:color="auto" w:fill="FFFFFF" w:themeFill="background1"/>
            <w:vAlign w:val="center"/>
          </w:tcPr>
          <w:p w:rsidR="00B77CC0" w:rsidRPr="001F29F9" w:rsidRDefault="00B77CC0" w:rsidP="00B77CC0">
            <w:pPr>
              <w:spacing w:line="180" w:lineRule="exact"/>
              <w:contextualSpacing/>
              <w:jc w:val="left"/>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Inflamed Liver</w:t>
            </w:r>
          </w:p>
        </w:tc>
        <w:tc>
          <w:tcPr>
            <w:tcW w:w="1080" w:type="dxa"/>
            <w:tcBorders>
              <w:left w:val="single" w:sz="4" w:space="0" w:color="auto"/>
              <w:right w:val="single" w:sz="4" w:space="0" w:color="auto"/>
            </w:tcBorders>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Pr>
                <w:rFonts w:cs="Calibri"/>
                <w:color w:val="000000" w:themeColor="text1"/>
                <w:sz w:val="18"/>
                <w:szCs w:val="18"/>
              </w:rPr>
              <w:t>7399-7312</w:t>
            </w:r>
          </w:p>
        </w:tc>
        <w:tc>
          <w:tcPr>
            <w:tcW w:w="720" w:type="dxa"/>
            <w:tcBorders>
              <w:left w:val="single" w:sz="4" w:space="0" w:color="auto"/>
            </w:tcBorders>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shd w:val="clear" w:color="auto" w:fill="FFFFFF" w:themeFill="background1"/>
            <w:vAlign w:val="center"/>
          </w:tcPr>
          <w:p w:rsidR="00B77CC0" w:rsidRPr="00BB6075" w:rsidRDefault="00B77CC0" w:rsidP="00B77CC0">
            <w:pPr>
              <w:spacing w:line="180" w:lineRule="exact"/>
              <w:contextualSpacing/>
              <w:rPr>
                <w:rFonts w:ascii="Calibri" w:eastAsia="Times New Roman" w:hAnsi="Calibri" w:cs="Calibri"/>
                <w:color w:val="000000" w:themeColor="text1"/>
                <w:sz w:val="18"/>
                <w:szCs w:val="18"/>
              </w:rPr>
            </w:pPr>
            <w:r w:rsidRPr="00BB6075">
              <w:rPr>
                <w:rFonts w:ascii="Calibri" w:eastAsia="Times New Roman" w:hAnsi="Calibri" w:cs="Calibri"/>
                <w:color w:val="000000" w:themeColor="text1"/>
                <w:sz w:val="18"/>
                <w:szCs w:val="18"/>
              </w:rPr>
              <w:t>20070425</w:t>
            </w:r>
          </w:p>
        </w:tc>
      </w:tr>
      <w:tr w:rsidR="007A65A9" w:rsidRPr="001F29F9" w:rsidTr="00B77CC0">
        <w:trPr>
          <w:trHeight w:val="160"/>
          <w:jc w:val="center"/>
        </w:trPr>
        <w:tc>
          <w:tcPr>
            <w:tcW w:w="2358" w:type="dxa"/>
            <w:tcBorders>
              <w:right w:val="single" w:sz="4" w:space="0" w:color="auto"/>
            </w:tcBorders>
            <w:shd w:val="clear" w:color="auto" w:fill="FFFFFF" w:themeFill="background1"/>
            <w:vAlign w:val="center"/>
          </w:tcPr>
          <w:p w:rsidR="00BC5860" w:rsidRPr="001F29F9" w:rsidRDefault="007467B2">
            <w:pPr>
              <w:spacing w:line="180" w:lineRule="exact"/>
              <w:contextualSpacing/>
              <w:jc w:val="left"/>
              <w:rPr>
                <w:rFonts w:ascii="Calibri" w:eastAsia="Times New Roman" w:hAnsi="Calibri" w:cs="Calibri"/>
                <w:color w:val="000000" w:themeColor="text1"/>
                <w:sz w:val="18"/>
                <w:szCs w:val="18"/>
              </w:rPr>
            </w:pPr>
            <w:r w:rsidRPr="007467B2">
              <w:rPr>
                <w:rFonts w:ascii="Calibri" w:eastAsia="Times New Roman" w:hAnsi="Calibri" w:cs="Calibri"/>
                <w:color w:val="000000" w:themeColor="text1"/>
                <w:sz w:val="18"/>
                <w:szCs w:val="18"/>
              </w:rPr>
              <w:t>Psoriasis</w:t>
            </w:r>
          </w:p>
        </w:tc>
        <w:tc>
          <w:tcPr>
            <w:tcW w:w="1800" w:type="dxa"/>
            <w:gridSpan w:val="2"/>
            <w:tcBorders>
              <w:left w:val="single" w:sz="4" w:space="0" w:color="auto"/>
              <w:right w:val="thinThickThinSmallGap" w:sz="24" w:space="0" w:color="auto"/>
            </w:tcBorders>
            <w:shd w:val="clear" w:color="auto" w:fill="FFFFFF" w:themeFill="background1"/>
            <w:vAlign w:val="center"/>
          </w:tcPr>
          <w:p w:rsidR="00BC5860" w:rsidRPr="001F29F9" w:rsidRDefault="002660AF">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4230" w:type="dxa"/>
            <w:gridSpan w:val="3"/>
            <w:tcBorders>
              <w:left w:val="thinThickThinSmallGap" w:sz="24" w:space="0" w:color="auto"/>
            </w:tcBorders>
            <w:shd w:val="clear" w:color="auto" w:fill="FFFFFF" w:themeFill="background1"/>
            <w:vAlign w:val="center"/>
          </w:tcPr>
          <w:p w:rsidR="00BC5860" w:rsidRPr="001F29F9" w:rsidRDefault="00B77CC0">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No </w:t>
            </w:r>
            <w:r w:rsidRPr="001F29F9">
              <w:rPr>
                <w:rFonts w:ascii="Calibri" w:hAnsi="Calibri" w:cs="Calibri"/>
                <w:color w:val="000000" w:themeColor="text1"/>
                <w:sz w:val="18"/>
                <w:szCs w:val="18"/>
              </w:rPr>
              <w:t>VA Entry</w:t>
            </w:r>
          </w:p>
        </w:tc>
        <w:tc>
          <w:tcPr>
            <w:tcW w:w="990" w:type="dxa"/>
            <w:shd w:val="clear" w:color="auto" w:fill="FFFFFF" w:themeFill="background1"/>
            <w:vAlign w:val="center"/>
          </w:tcPr>
          <w:p w:rsidR="00BC5860" w:rsidRPr="00BB6075" w:rsidRDefault="00B77CC0">
            <w:pPr>
              <w:spacing w:line="180" w:lineRule="exact"/>
              <w:contextualSpacing/>
              <w:rPr>
                <w:rFonts w:ascii="Calibri" w:eastAsia="Times New Roman" w:hAnsi="Calibri" w:cs="Calibri"/>
                <w:color w:val="000000" w:themeColor="text1"/>
                <w:sz w:val="18"/>
                <w:szCs w:val="18"/>
              </w:rPr>
            </w:pPr>
            <w:r w:rsidRPr="00BB6075">
              <w:rPr>
                <w:rFonts w:ascii="Calibri" w:eastAsia="Times New Roman" w:hAnsi="Calibri" w:cs="Calibri"/>
                <w:color w:val="000000" w:themeColor="text1"/>
                <w:sz w:val="18"/>
                <w:szCs w:val="18"/>
              </w:rPr>
              <w:t>20070425</w:t>
            </w:r>
          </w:p>
        </w:tc>
      </w:tr>
      <w:tr w:rsidR="00390CFA" w:rsidRPr="001F29F9" w:rsidTr="00B77CC0">
        <w:trPr>
          <w:trHeight w:val="142"/>
          <w:jc w:val="center"/>
        </w:trPr>
        <w:tc>
          <w:tcPr>
            <w:tcW w:w="4158" w:type="dxa"/>
            <w:gridSpan w:val="3"/>
            <w:vMerge w:val="restart"/>
            <w:tcBorders>
              <w:right w:val="thinThickThinSmallGap" w:sz="24" w:space="0" w:color="auto"/>
            </w:tcBorders>
            <w:shd w:val="clear" w:color="auto" w:fill="FFFFFF" w:themeFill="background1"/>
            <w:vAlign w:val="center"/>
          </w:tcPr>
          <w:p w:rsidR="00BC5860" w:rsidRPr="001F29F9" w:rsidRDefault="00390CFA">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430" w:type="dxa"/>
            <w:tcBorders>
              <w:left w:val="thinThickThinSmallGap" w:sz="24" w:space="0" w:color="auto"/>
              <w:right w:val="single" w:sz="4" w:space="0" w:color="auto"/>
            </w:tcBorders>
            <w:shd w:val="clear" w:color="auto" w:fill="FFFFFF" w:themeFill="background1"/>
            <w:vAlign w:val="center"/>
          </w:tcPr>
          <w:p w:rsidR="00BC5860" w:rsidRPr="001F29F9" w:rsidRDefault="00B77CC0" w:rsidP="00B77CC0">
            <w:pPr>
              <w:spacing w:line="180" w:lineRule="exact"/>
              <w:jc w:val="left"/>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Residuals Left Femur</w:t>
            </w:r>
          </w:p>
        </w:tc>
        <w:tc>
          <w:tcPr>
            <w:tcW w:w="1080" w:type="dxa"/>
            <w:tcBorders>
              <w:left w:val="single" w:sz="4" w:space="0" w:color="auto"/>
            </w:tcBorders>
            <w:shd w:val="clear" w:color="auto" w:fill="FFFFFF" w:themeFill="background1"/>
            <w:vAlign w:val="center"/>
          </w:tcPr>
          <w:p w:rsidR="00BC5860" w:rsidRPr="001F29F9" w:rsidRDefault="00B77CC0">
            <w:pPr>
              <w:spacing w:line="180" w:lineRule="exact"/>
              <w:contextualSpacing/>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5255</w:t>
            </w:r>
          </w:p>
        </w:tc>
        <w:tc>
          <w:tcPr>
            <w:tcW w:w="720" w:type="dxa"/>
            <w:shd w:val="clear" w:color="auto" w:fill="FFFFFF" w:themeFill="background1"/>
            <w:vAlign w:val="center"/>
          </w:tcPr>
          <w:p w:rsidR="00BC5860" w:rsidRPr="001F29F9" w:rsidRDefault="00B77CC0">
            <w:pPr>
              <w:spacing w:line="180" w:lineRule="exact"/>
              <w:contextualSpacing/>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BC5860" w:rsidRPr="001F29F9" w:rsidRDefault="00B77CC0">
            <w:pPr>
              <w:spacing w:line="180" w:lineRule="exact"/>
              <w:contextualSpacing/>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20070425</w:t>
            </w:r>
          </w:p>
        </w:tc>
      </w:tr>
      <w:tr w:rsidR="00B77CC0" w:rsidRPr="001F29F9" w:rsidTr="00B77CC0">
        <w:trPr>
          <w:trHeight w:val="142"/>
          <w:jc w:val="center"/>
        </w:trPr>
        <w:tc>
          <w:tcPr>
            <w:tcW w:w="4158" w:type="dxa"/>
            <w:gridSpan w:val="3"/>
            <w:vMerge/>
            <w:tcBorders>
              <w:right w:val="thinThickThinSmallGap" w:sz="24" w:space="0" w:color="auto"/>
            </w:tcBorders>
            <w:shd w:val="clear" w:color="auto" w:fill="FFFFFF" w:themeFill="background1"/>
            <w:vAlign w:val="center"/>
          </w:tcPr>
          <w:p w:rsidR="00B77CC0" w:rsidRPr="001F29F9" w:rsidRDefault="00B77CC0">
            <w:pPr>
              <w:spacing w:line="180" w:lineRule="exact"/>
              <w:contextualSpacing/>
              <w:rPr>
                <w:rFonts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B77CC0" w:rsidRPr="001F29F9" w:rsidRDefault="00B77CC0" w:rsidP="00B77CC0">
            <w:pPr>
              <w:spacing w:line="180" w:lineRule="exact"/>
              <w:jc w:val="left"/>
              <w:rPr>
                <w:rFonts w:cs="Calibri"/>
                <w:color w:val="000000" w:themeColor="text1"/>
                <w:sz w:val="18"/>
                <w:szCs w:val="18"/>
              </w:rPr>
            </w:pPr>
            <w:r w:rsidRPr="00B77CC0">
              <w:rPr>
                <w:rFonts w:ascii="Calibri" w:eastAsia="Times New Roman" w:hAnsi="Calibri" w:cs="Calibri"/>
                <w:color w:val="000000" w:themeColor="text1"/>
                <w:sz w:val="18"/>
                <w:szCs w:val="18"/>
              </w:rPr>
              <w:t xml:space="preserve">Residuals </w:t>
            </w:r>
            <w:r>
              <w:rPr>
                <w:rFonts w:ascii="Calibri" w:eastAsia="Times New Roman" w:hAnsi="Calibri" w:cs="Calibri"/>
                <w:color w:val="000000" w:themeColor="text1"/>
                <w:sz w:val="18"/>
                <w:szCs w:val="18"/>
              </w:rPr>
              <w:t>Right</w:t>
            </w:r>
            <w:r w:rsidRPr="00B77CC0">
              <w:rPr>
                <w:rFonts w:ascii="Calibri" w:eastAsia="Times New Roman" w:hAnsi="Calibri" w:cs="Calibri"/>
                <w:color w:val="000000" w:themeColor="text1"/>
                <w:sz w:val="18"/>
                <w:szCs w:val="18"/>
              </w:rPr>
              <w:t xml:space="preserve"> Femur</w:t>
            </w:r>
          </w:p>
        </w:tc>
        <w:tc>
          <w:tcPr>
            <w:tcW w:w="1080" w:type="dxa"/>
            <w:tcBorders>
              <w:left w:val="single" w:sz="4" w:space="0" w:color="auto"/>
            </w:tcBorders>
            <w:shd w:val="clear" w:color="auto" w:fill="FFFFFF" w:themeFill="background1"/>
            <w:vAlign w:val="center"/>
          </w:tcPr>
          <w:p w:rsidR="00B77CC0" w:rsidRPr="001F29F9" w:rsidRDefault="00B77CC0">
            <w:pPr>
              <w:spacing w:line="180" w:lineRule="exact"/>
              <w:contextualSpacing/>
              <w:rPr>
                <w:rFonts w:cs="Calibri"/>
                <w:color w:val="000000" w:themeColor="text1"/>
                <w:sz w:val="18"/>
                <w:szCs w:val="18"/>
              </w:rPr>
            </w:pPr>
            <w:r w:rsidRPr="00B77CC0">
              <w:rPr>
                <w:rFonts w:cs="Calibri"/>
                <w:color w:val="000000" w:themeColor="text1"/>
                <w:sz w:val="18"/>
                <w:szCs w:val="18"/>
              </w:rPr>
              <w:t>5255</w:t>
            </w:r>
          </w:p>
        </w:tc>
        <w:tc>
          <w:tcPr>
            <w:tcW w:w="720" w:type="dxa"/>
            <w:shd w:val="clear" w:color="auto" w:fill="FFFFFF" w:themeFill="background1"/>
            <w:vAlign w:val="center"/>
          </w:tcPr>
          <w:p w:rsidR="00B77CC0" w:rsidRPr="001F29F9" w:rsidRDefault="00B77CC0">
            <w:pPr>
              <w:spacing w:line="180" w:lineRule="exact"/>
              <w:contextualSpacing/>
              <w:rPr>
                <w:rFonts w:cs="Calibri"/>
                <w:color w:val="000000" w:themeColor="text1"/>
                <w:sz w:val="18"/>
                <w:szCs w:val="18"/>
              </w:rPr>
            </w:pPr>
            <w:r w:rsidRPr="00B77CC0">
              <w:rPr>
                <w:rFonts w:cs="Calibri"/>
                <w:color w:val="000000" w:themeColor="text1"/>
                <w:sz w:val="18"/>
                <w:szCs w:val="18"/>
              </w:rPr>
              <w:t>10%</w:t>
            </w:r>
          </w:p>
        </w:tc>
        <w:tc>
          <w:tcPr>
            <w:tcW w:w="990" w:type="dxa"/>
            <w:shd w:val="clear" w:color="auto" w:fill="FFFFFF" w:themeFill="background1"/>
            <w:vAlign w:val="center"/>
          </w:tcPr>
          <w:p w:rsidR="00B77CC0" w:rsidRPr="001F29F9" w:rsidRDefault="00B77CC0">
            <w:pPr>
              <w:spacing w:line="180" w:lineRule="exact"/>
              <w:contextualSpacing/>
              <w:rPr>
                <w:rFonts w:cs="Calibri"/>
                <w:color w:val="000000" w:themeColor="text1"/>
                <w:sz w:val="18"/>
                <w:szCs w:val="18"/>
              </w:rPr>
            </w:pPr>
            <w:r w:rsidRPr="00B77CC0">
              <w:rPr>
                <w:rFonts w:cs="Calibri"/>
                <w:color w:val="000000" w:themeColor="text1"/>
                <w:sz w:val="18"/>
                <w:szCs w:val="18"/>
              </w:rPr>
              <w:t>20070425</w:t>
            </w:r>
          </w:p>
        </w:tc>
      </w:tr>
      <w:tr w:rsidR="00B77CC0" w:rsidRPr="001F29F9" w:rsidTr="00B77CC0">
        <w:trPr>
          <w:trHeight w:val="142"/>
          <w:jc w:val="center"/>
        </w:trPr>
        <w:tc>
          <w:tcPr>
            <w:tcW w:w="4158" w:type="dxa"/>
            <w:gridSpan w:val="3"/>
            <w:vMerge/>
            <w:tcBorders>
              <w:right w:val="thinThickThinSmallGap" w:sz="24" w:space="0" w:color="auto"/>
            </w:tcBorders>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B77CC0" w:rsidRPr="001F29F9" w:rsidRDefault="00B77CC0" w:rsidP="00B77CC0">
            <w:pPr>
              <w:spacing w:line="180" w:lineRule="exact"/>
              <w:contextualSpacing/>
              <w:jc w:val="left"/>
              <w:rPr>
                <w:rFonts w:cs="Calibri"/>
                <w:color w:val="000000" w:themeColor="text1"/>
                <w:sz w:val="18"/>
                <w:szCs w:val="18"/>
              </w:rPr>
            </w:pPr>
            <w:r>
              <w:rPr>
                <w:rFonts w:cs="Calibri"/>
                <w:color w:val="000000" w:themeColor="text1"/>
                <w:sz w:val="18"/>
                <w:szCs w:val="18"/>
              </w:rPr>
              <w:t>Tinnitus</w:t>
            </w:r>
          </w:p>
        </w:tc>
        <w:tc>
          <w:tcPr>
            <w:tcW w:w="1080" w:type="dxa"/>
            <w:tcBorders>
              <w:left w:val="single" w:sz="4" w:space="0" w:color="auto"/>
            </w:tcBorders>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Pr>
                <w:rFonts w:cs="Calibri"/>
                <w:color w:val="000000" w:themeColor="text1"/>
                <w:sz w:val="18"/>
                <w:szCs w:val="18"/>
              </w:rPr>
              <w:t>6260</w:t>
            </w:r>
          </w:p>
        </w:tc>
        <w:tc>
          <w:tcPr>
            <w:tcW w:w="720" w:type="dxa"/>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sidRPr="00B77CC0">
              <w:rPr>
                <w:rFonts w:cs="Calibri"/>
                <w:color w:val="000000" w:themeColor="text1"/>
                <w:sz w:val="18"/>
                <w:szCs w:val="18"/>
              </w:rPr>
              <w:t>10%</w:t>
            </w:r>
          </w:p>
        </w:tc>
        <w:tc>
          <w:tcPr>
            <w:tcW w:w="990" w:type="dxa"/>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sidRPr="00B77CC0">
              <w:rPr>
                <w:rFonts w:cs="Calibri"/>
                <w:color w:val="000000" w:themeColor="text1"/>
                <w:sz w:val="18"/>
                <w:szCs w:val="18"/>
              </w:rPr>
              <w:t>20070425</w:t>
            </w:r>
          </w:p>
        </w:tc>
      </w:tr>
      <w:tr w:rsidR="00B77CC0" w:rsidRPr="001F29F9" w:rsidTr="00B77CC0">
        <w:trPr>
          <w:trHeight w:val="142"/>
          <w:jc w:val="center"/>
        </w:trPr>
        <w:tc>
          <w:tcPr>
            <w:tcW w:w="4158" w:type="dxa"/>
            <w:gridSpan w:val="3"/>
            <w:vMerge/>
            <w:tcBorders>
              <w:right w:val="thinThickThinSmallGap" w:sz="24" w:space="0" w:color="auto"/>
            </w:tcBorders>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B77CC0" w:rsidRPr="001F29F9" w:rsidRDefault="00B77CC0" w:rsidP="00B77CC0">
            <w:pPr>
              <w:spacing w:line="180" w:lineRule="exact"/>
              <w:contextualSpacing/>
              <w:jc w:val="left"/>
              <w:rPr>
                <w:rFonts w:cs="Calibri"/>
                <w:color w:val="000000" w:themeColor="text1"/>
                <w:sz w:val="18"/>
                <w:szCs w:val="18"/>
              </w:rPr>
            </w:pPr>
            <w:r>
              <w:rPr>
                <w:rFonts w:cs="Calibri"/>
                <w:color w:val="000000" w:themeColor="text1"/>
                <w:sz w:val="18"/>
                <w:szCs w:val="18"/>
              </w:rPr>
              <w:t>Left Hip Scar</w:t>
            </w:r>
          </w:p>
        </w:tc>
        <w:tc>
          <w:tcPr>
            <w:tcW w:w="1080" w:type="dxa"/>
            <w:tcBorders>
              <w:left w:val="single" w:sz="4" w:space="0" w:color="auto"/>
            </w:tcBorders>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Pr>
                <w:rFonts w:cs="Calibri"/>
                <w:color w:val="000000" w:themeColor="text1"/>
                <w:sz w:val="18"/>
                <w:szCs w:val="18"/>
              </w:rPr>
              <w:t>7804</w:t>
            </w:r>
          </w:p>
        </w:tc>
        <w:tc>
          <w:tcPr>
            <w:tcW w:w="720" w:type="dxa"/>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sidRPr="00B77CC0">
              <w:rPr>
                <w:rFonts w:cs="Calibri"/>
                <w:color w:val="000000" w:themeColor="text1"/>
                <w:sz w:val="18"/>
                <w:szCs w:val="18"/>
              </w:rPr>
              <w:t>10%</w:t>
            </w:r>
          </w:p>
        </w:tc>
        <w:tc>
          <w:tcPr>
            <w:tcW w:w="990" w:type="dxa"/>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sidRPr="00B77CC0">
              <w:rPr>
                <w:rFonts w:cs="Calibri"/>
                <w:color w:val="000000" w:themeColor="text1"/>
                <w:sz w:val="18"/>
                <w:szCs w:val="18"/>
              </w:rPr>
              <w:t>20070425</w:t>
            </w:r>
          </w:p>
        </w:tc>
      </w:tr>
      <w:tr w:rsidR="00B77CC0" w:rsidRPr="001F29F9" w:rsidTr="00B77CC0">
        <w:trPr>
          <w:trHeight w:val="142"/>
          <w:jc w:val="center"/>
        </w:trPr>
        <w:tc>
          <w:tcPr>
            <w:tcW w:w="4158" w:type="dxa"/>
            <w:gridSpan w:val="3"/>
            <w:vMerge/>
            <w:tcBorders>
              <w:right w:val="thinThickThinSmallGap" w:sz="24" w:space="0" w:color="auto"/>
            </w:tcBorders>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B77CC0" w:rsidRPr="001F29F9" w:rsidRDefault="00B77CC0" w:rsidP="00BB6075">
            <w:pPr>
              <w:spacing w:line="180" w:lineRule="exact"/>
              <w:contextualSpacing/>
              <w:jc w:val="left"/>
              <w:rPr>
                <w:rFonts w:cs="Calibri"/>
                <w:color w:val="000000" w:themeColor="text1"/>
                <w:sz w:val="18"/>
                <w:szCs w:val="18"/>
              </w:rPr>
            </w:pPr>
            <w:r>
              <w:rPr>
                <w:rFonts w:cs="Calibri"/>
                <w:color w:val="000000" w:themeColor="text1"/>
                <w:sz w:val="18"/>
                <w:szCs w:val="18"/>
              </w:rPr>
              <w:t>Right Hip &amp; Thigh Scars</w:t>
            </w:r>
          </w:p>
        </w:tc>
        <w:tc>
          <w:tcPr>
            <w:tcW w:w="1080" w:type="dxa"/>
            <w:tcBorders>
              <w:left w:val="single" w:sz="4" w:space="0" w:color="auto"/>
            </w:tcBorders>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Pr>
                <w:rFonts w:cs="Calibri"/>
                <w:color w:val="000000" w:themeColor="text1"/>
                <w:sz w:val="18"/>
                <w:szCs w:val="18"/>
              </w:rPr>
              <w:t>7804</w:t>
            </w:r>
          </w:p>
        </w:tc>
        <w:tc>
          <w:tcPr>
            <w:tcW w:w="720" w:type="dxa"/>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sidRPr="00B77CC0">
              <w:rPr>
                <w:rFonts w:cs="Calibri"/>
                <w:color w:val="000000" w:themeColor="text1"/>
                <w:sz w:val="18"/>
                <w:szCs w:val="18"/>
              </w:rPr>
              <w:t>10%</w:t>
            </w:r>
          </w:p>
        </w:tc>
        <w:tc>
          <w:tcPr>
            <w:tcW w:w="990" w:type="dxa"/>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sidRPr="00B77CC0">
              <w:rPr>
                <w:rFonts w:cs="Calibri"/>
                <w:color w:val="000000" w:themeColor="text1"/>
                <w:sz w:val="18"/>
                <w:szCs w:val="18"/>
              </w:rPr>
              <w:t>20070425</w:t>
            </w:r>
          </w:p>
        </w:tc>
      </w:tr>
      <w:tr w:rsidR="00B77CC0" w:rsidRPr="001F29F9" w:rsidTr="00B77CC0">
        <w:trPr>
          <w:trHeight w:val="142"/>
          <w:jc w:val="center"/>
        </w:trPr>
        <w:tc>
          <w:tcPr>
            <w:tcW w:w="4158" w:type="dxa"/>
            <w:gridSpan w:val="3"/>
            <w:vMerge/>
            <w:tcBorders>
              <w:right w:val="thinThickThinSmallGap" w:sz="24" w:space="0" w:color="auto"/>
            </w:tcBorders>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B77CC0" w:rsidRPr="001F29F9" w:rsidRDefault="00B77CC0" w:rsidP="00B77CC0">
            <w:pPr>
              <w:spacing w:line="180" w:lineRule="exact"/>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Right Ankle Strain</w:t>
            </w:r>
          </w:p>
        </w:tc>
        <w:tc>
          <w:tcPr>
            <w:tcW w:w="1080" w:type="dxa"/>
            <w:tcBorders>
              <w:left w:val="single" w:sz="4" w:space="0" w:color="auto"/>
            </w:tcBorders>
            <w:shd w:val="clear" w:color="auto" w:fill="FFFFFF" w:themeFill="background1"/>
            <w:vAlign w:val="center"/>
          </w:tcPr>
          <w:p w:rsidR="00B77CC0" w:rsidRPr="001F29F9" w:rsidRDefault="00B77CC0" w:rsidP="00B77CC0">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5099-5024</w:t>
            </w:r>
          </w:p>
        </w:tc>
        <w:tc>
          <w:tcPr>
            <w:tcW w:w="720" w:type="dxa"/>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sidRPr="00B77CC0">
              <w:rPr>
                <w:rFonts w:cs="Calibri"/>
                <w:color w:val="000000" w:themeColor="text1"/>
                <w:sz w:val="18"/>
                <w:szCs w:val="18"/>
              </w:rPr>
              <w:t>10%</w:t>
            </w:r>
          </w:p>
        </w:tc>
        <w:tc>
          <w:tcPr>
            <w:tcW w:w="990" w:type="dxa"/>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sidRPr="00B77CC0">
              <w:rPr>
                <w:rFonts w:cs="Calibri"/>
                <w:color w:val="000000" w:themeColor="text1"/>
                <w:sz w:val="18"/>
                <w:szCs w:val="18"/>
              </w:rPr>
              <w:t>20070425</w:t>
            </w:r>
          </w:p>
        </w:tc>
      </w:tr>
      <w:tr w:rsidR="00B77CC0" w:rsidRPr="001F29F9" w:rsidTr="00B77CC0">
        <w:trPr>
          <w:trHeight w:val="142"/>
          <w:jc w:val="center"/>
        </w:trPr>
        <w:tc>
          <w:tcPr>
            <w:tcW w:w="4158" w:type="dxa"/>
            <w:gridSpan w:val="3"/>
            <w:vMerge/>
            <w:tcBorders>
              <w:right w:val="thinThickThinSmallGap" w:sz="24" w:space="0" w:color="auto"/>
            </w:tcBorders>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B77CC0" w:rsidRPr="001F29F9" w:rsidRDefault="00B77CC0" w:rsidP="00B77CC0">
            <w:pPr>
              <w:spacing w:line="180" w:lineRule="exact"/>
              <w:jc w:val="left"/>
              <w:rPr>
                <w:rFonts w:cs="Calibri"/>
                <w:color w:val="000000" w:themeColor="text1"/>
                <w:sz w:val="18"/>
                <w:szCs w:val="18"/>
              </w:rPr>
            </w:pPr>
            <w:r>
              <w:rPr>
                <w:rFonts w:cs="Calibri"/>
                <w:color w:val="000000" w:themeColor="text1"/>
                <w:sz w:val="18"/>
                <w:szCs w:val="18"/>
              </w:rPr>
              <w:t>Left Ankle Strain</w:t>
            </w:r>
          </w:p>
        </w:tc>
        <w:tc>
          <w:tcPr>
            <w:tcW w:w="1080" w:type="dxa"/>
            <w:tcBorders>
              <w:left w:val="single" w:sz="4" w:space="0" w:color="auto"/>
            </w:tcBorders>
            <w:shd w:val="clear" w:color="auto" w:fill="FFFFFF" w:themeFill="background1"/>
            <w:vAlign w:val="center"/>
          </w:tcPr>
          <w:p w:rsidR="00B77CC0" w:rsidRPr="001F29F9" w:rsidRDefault="00B77CC0" w:rsidP="00B77CC0">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5099-5024</w:t>
            </w:r>
          </w:p>
        </w:tc>
        <w:tc>
          <w:tcPr>
            <w:tcW w:w="720" w:type="dxa"/>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sidRPr="00B77CC0">
              <w:rPr>
                <w:rFonts w:cs="Calibri"/>
                <w:color w:val="000000" w:themeColor="text1"/>
                <w:sz w:val="18"/>
                <w:szCs w:val="18"/>
              </w:rPr>
              <w:t>10%</w:t>
            </w:r>
          </w:p>
        </w:tc>
        <w:tc>
          <w:tcPr>
            <w:tcW w:w="990" w:type="dxa"/>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sidRPr="00B77CC0">
              <w:rPr>
                <w:rFonts w:cs="Calibri"/>
                <w:color w:val="000000" w:themeColor="text1"/>
                <w:sz w:val="18"/>
                <w:szCs w:val="18"/>
              </w:rPr>
              <w:t>20070425</w:t>
            </w:r>
          </w:p>
        </w:tc>
      </w:tr>
      <w:tr w:rsidR="00B77CC0" w:rsidRPr="001F29F9" w:rsidTr="00B77CC0">
        <w:trPr>
          <w:trHeight w:val="142"/>
          <w:jc w:val="center"/>
        </w:trPr>
        <w:tc>
          <w:tcPr>
            <w:tcW w:w="4158" w:type="dxa"/>
            <w:gridSpan w:val="3"/>
            <w:vMerge/>
            <w:tcBorders>
              <w:right w:val="thinThickThinSmallGap" w:sz="24" w:space="0" w:color="auto"/>
            </w:tcBorders>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B77CC0" w:rsidRPr="001F29F9" w:rsidRDefault="00B77CC0" w:rsidP="00B77CC0">
            <w:pPr>
              <w:spacing w:line="180" w:lineRule="exact"/>
              <w:jc w:val="left"/>
              <w:rPr>
                <w:rFonts w:cs="Calibri"/>
                <w:color w:val="000000" w:themeColor="text1"/>
                <w:sz w:val="18"/>
                <w:szCs w:val="18"/>
              </w:rPr>
            </w:pPr>
            <w:r>
              <w:rPr>
                <w:rFonts w:cs="Calibri"/>
                <w:color w:val="000000" w:themeColor="text1"/>
                <w:sz w:val="18"/>
                <w:szCs w:val="18"/>
              </w:rPr>
              <w:t>C-Spine Discogenic Disease</w:t>
            </w:r>
          </w:p>
        </w:tc>
        <w:tc>
          <w:tcPr>
            <w:tcW w:w="1080" w:type="dxa"/>
            <w:tcBorders>
              <w:left w:val="single" w:sz="4" w:space="0" w:color="auto"/>
            </w:tcBorders>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Pr>
                <w:rFonts w:cs="Calibri"/>
                <w:color w:val="000000" w:themeColor="text1"/>
                <w:sz w:val="18"/>
                <w:szCs w:val="18"/>
              </w:rPr>
              <w:t>5242</w:t>
            </w:r>
          </w:p>
        </w:tc>
        <w:tc>
          <w:tcPr>
            <w:tcW w:w="720" w:type="dxa"/>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sidRPr="00B77CC0">
              <w:rPr>
                <w:rFonts w:cs="Calibri"/>
                <w:color w:val="000000" w:themeColor="text1"/>
                <w:sz w:val="18"/>
                <w:szCs w:val="18"/>
              </w:rPr>
              <w:t>10%</w:t>
            </w:r>
          </w:p>
        </w:tc>
        <w:tc>
          <w:tcPr>
            <w:tcW w:w="990" w:type="dxa"/>
            <w:shd w:val="clear" w:color="auto" w:fill="FFFFFF" w:themeFill="background1"/>
            <w:vAlign w:val="center"/>
          </w:tcPr>
          <w:p w:rsidR="00B77CC0" w:rsidRPr="001F29F9" w:rsidRDefault="00B77CC0" w:rsidP="00B77CC0">
            <w:pPr>
              <w:spacing w:line="180" w:lineRule="exact"/>
              <w:contextualSpacing/>
              <w:rPr>
                <w:rFonts w:cs="Calibri"/>
                <w:color w:val="000000" w:themeColor="text1"/>
                <w:sz w:val="18"/>
                <w:szCs w:val="18"/>
              </w:rPr>
            </w:pPr>
            <w:r w:rsidRPr="00B77CC0">
              <w:rPr>
                <w:rFonts w:cs="Calibri"/>
                <w:color w:val="000000" w:themeColor="text1"/>
                <w:sz w:val="18"/>
                <w:szCs w:val="18"/>
              </w:rPr>
              <w:t>20070425</w:t>
            </w:r>
          </w:p>
        </w:tc>
      </w:tr>
      <w:tr w:rsidR="00B77CC0" w:rsidRPr="001F29F9" w:rsidTr="003C53E8">
        <w:trPr>
          <w:trHeight w:val="133"/>
          <w:jc w:val="center"/>
        </w:trPr>
        <w:tc>
          <w:tcPr>
            <w:tcW w:w="4158" w:type="dxa"/>
            <w:gridSpan w:val="3"/>
            <w:vMerge/>
            <w:tcBorders>
              <w:right w:val="thinThickThinSmallGap" w:sz="24" w:space="0" w:color="auto"/>
            </w:tcBorders>
            <w:shd w:val="clear" w:color="auto" w:fill="FFFFFF" w:themeFill="background1"/>
          </w:tcPr>
          <w:p w:rsidR="00B77CC0" w:rsidRPr="001F29F9" w:rsidRDefault="00B77CC0" w:rsidP="00B77CC0">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B77CC0" w:rsidRPr="001F29F9" w:rsidRDefault="00B77CC0" w:rsidP="00BB6075">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sidR="00BB6075">
              <w:rPr>
                <w:rFonts w:ascii="Calibri" w:hAnsi="Calibri" w:cs="Calibri"/>
                <w:color w:val="000000" w:themeColor="text1"/>
                <w:sz w:val="18"/>
                <w:szCs w:val="18"/>
              </w:rPr>
              <w:t xml:space="preserve">5 </w:t>
            </w:r>
            <w:r w:rsidRPr="001F29F9">
              <w:rPr>
                <w:rFonts w:ascii="Calibri" w:hAnsi="Calibri" w:cs="Calibri"/>
                <w:color w:val="000000" w:themeColor="text1"/>
                <w:sz w:val="18"/>
                <w:szCs w:val="18"/>
              </w:rPr>
              <w:t>/</w:t>
            </w:r>
            <w:r w:rsidR="00BB6075">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 xml:space="preserve">Not Service Connected x </w:t>
            </w:r>
            <w:r w:rsidR="00BB6075">
              <w:rPr>
                <w:rFonts w:ascii="Calibri" w:hAnsi="Calibri" w:cs="Calibri"/>
                <w:color w:val="000000" w:themeColor="text1"/>
                <w:sz w:val="18"/>
                <w:szCs w:val="18"/>
              </w:rPr>
              <w:t>4</w:t>
            </w:r>
          </w:p>
        </w:tc>
        <w:tc>
          <w:tcPr>
            <w:tcW w:w="990" w:type="dxa"/>
            <w:shd w:val="clear" w:color="auto" w:fill="FFFFFF" w:themeFill="background1"/>
            <w:vAlign w:val="center"/>
          </w:tcPr>
          <w:p w:rsidR="00B77CC0" w:rsidRPr="001F29F9" w:rsidRDefault="00B77CC0" w:rsidP="00B77CC0">
            <w:pPr>
              <w:spacing w:line="180" w:lineRule="exact"/>
              <w:contextualSpacing/>
              <w:rPr>
                <w:rFonts w:ascii="Calibri" w:eastAsia="Times New Roman" w:hAnsi="Calibri" w:cs="Calibri"/>
                <w:color w:val="000000" w:themeColor="text1"/>
                <w:sz w:val="18"/>
                <w:szCs w:val="18"/>
              </w:rPr>
            </w:pPr>
            <w:r w:rsidRPr="00B77CC0">
              <w:rPr>
                <w:rFonts w:ascii="Calibri" w:eastAsia="Times New Roman" w:hAnsi="Calibri" w:cs="Calibri"/>
                <w:color w:val="000000" w:themeColor="text1"/>
                <w:sz w:val="18"/>
                <w:szCs w:val="18"/>
              </w:rPr>
              <w:t>20070425</w:t>
            </w:r>
          </w:p>
        </w:tc>
      </w:tr>
      <w:tr w:rsidR="00B77CC0" w:rsidRPr="001F29F9" w:rsidTr="003C53E8">
        <w:trPr>
          <w:trHeight w:val="124"/>
          <w:jc w:val="center"/>
        </w:trPr>
        <w:tc>
          <w:tcPr>
            <w:tcW w:w="4158" w:type="dxa"/>
            <w:gridSpan w:val="3"/>
            <w:tcBorders>
              <w:right w:val="thinThickThinSmallGap" w:sz="24" w:space="0" w:color="auto"/>
            </w:tcBorders>
            <w:shd w:val="clear" w:color="auto" w:fill="D9D9D9" w:themeFill="background1" w:themeFillShade="D9"/>
            <w:vAlign w:val="center"/>
          </w:tcPr>
          <w:p w:rsidR="00B77CC0" w:rsidRPr="001F29F9" w:rsidRDefault="00B77CC0" w:rsidP="00BB607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BB6075">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B77CC0" w:rsidRPr="001F29F9" w:rsidRDefault="00B77CC0" w:rsidP="00BB607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BB6075">
              <w:rPr>
                <w:rFonts w:ascii="Calibri" w:hAnsi="Calibri" w:cs="Calibri"/>
                <w:b/>
                <w:color w:val="000000" w:themeColor="text1"/>
                <w:sz w:val="18"/>
                <w:szCs w:val="18"/>
              </w:rPr>
              <w:t>7</w:t>
            </w:r>
            <w:r w:rsidRPr="001F29F9">
              <w:rPr>
                <w:rFonts w:ascii="Calibri" w:hAnsi="Calibri" w:cs="Calibri"/>
                <w:b/>
                <w:color w:val="000000" w:themeColor="text1"/>
                <w:sz w:val="18"/>
                <w:szCs w:val="18"/>
              </w:rPr>
              <w:t>0%</w:t>
            </w:r>
          </w:p>
        </w:tc>
      </w:tr>
    </w:tbl>
    <w:p w:rsidR="00A97CD9" w:rsidRPr="003C53E8" w:rsidRDefault="00A97CD9" w:rsidP="00A97CD9">
      <w:pPr>
        <w:pBdr>
          <w:bottom w:val="single" w:sz="12" w:space="1" w:color="auto"/>
        </w:pBdr>
        <w:tabs>
          <w:tab w:val="left" w:pos="288"/>
          <w:tab w:val="left" w:pos="4752"/>
        </w:tabs>
        <w:jc w:val="both"/>
        <w:rPr>
          <w:color w:val="000000" w:themeColor="text1"/>
          <w:sz w:val="18"/>
          <w:szCs w:val="18"/>
        </w:rPr>
      </w:pPr>
    </w:p>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B77CC0">
      <w:pPr>
        <w:jc w:val="both"/>
        <w:rPr>
          <w:color w:val="000000" w:themeColor="text1"/>
          <w:szCs w:val="24"/>
          <w:u w:val="single"/>
        </w:rPr>
      </w:pPr>
    </w:p>
    <w:p w:rsidR="001223AE" w:rsidRDefault="002C6E5B" w:rsidP="004C2787">
      <w:pPr>
        <w:jc w:val="both"/>
        <w:rPr>
          <w:color w:val="000000" w:themeColor="text1"/>
          <w:szCs w:val="24"/>
        </w:rPr>
      </w:pPr>
      <w:r w:rsidRPr="00810067">
        <w:rPr>
          <w:rFonts w:asciiTheme="minorHAnsi" w:hAnsiTheme="minorHAnsi"/>
          <w:color w:val="000000" w:themeColor="text1"/>
          <w:szCs w:val="24"/>
          <w:u w:val="single"/>
        </w:rPr>
        <w:t>ANALYSIS SUMMARY</w:t>
      </w:r>
      <w:r w:rsidRPr="00810067">
        <w:rPr>
          <w:rFonts w:asciiTheme="minorHAnsi" w:hAnsiTheme="minorHAnsi"/>
          <w:color w:val="000000" w:themeColor="text1"/>
          <w:szCs w:val="24"/>
        </w:rPr>
        <w:t>:</w:t>
      </w:r>
      <w:r w:rsidR="00B505E9">
        <w:rPr>
          <w:color w:val="000000" w:themeColor="text1"/>
          <w:szCs w:val="24"/>
        </w:rPr>
        <w:t xml:space="preserve">  </w:t>
      </w:r>
      <w:r w:rsidR="00703F4D" w:rsidRPr="00810067">
        <w:rPr>
          <w:rFonts w:asciiTheme="minorHAnsi" w:hAnsiTheme="minorHAnsi"/>
          <w:color w:val="000000" w:themeColor="text1"/>
          <w:szCs w:val="24"/>
        </w:rPr>
        <w:t>The Board acknowledges the</w:t>
      </w:r>
      <w:r w:rsidR="00465645">
        <w:rPr>
          <w:rFonts w:asciiTheme="minorHAnsi" w:hAnsiTheme="minorHAnsi"/>
          <w:color w:val="000000" w:themeColor="text1"/>
          <w:szCs w:val="24"/>
        </w:rPr>
        <w:t xml:space="preserve"> CI’s contention that suggests s</w:t>
      </w:r>
      <w:r w:rsidR="00703F4D" w:rsidRPr="00810067">
        <w:rPr>
          <w:rFonts w:asciiTheme="minorHAnsi" w:hAnsiTheme="minorHAnsi"/>
          <w:color w:val="000000" w:themeColor="text1"/>
          <w:szCs w:val="24"/>
        </w:rPr>
        <w:t xml:space="preserve">ervice ratings should have been conferred for other conditions documented at the time of separation. The Board wishes to clarify that it is subject to the same laws for </w:t>
      </w:r>
      <w:r w:rsidR="00465645">
        <w:rPr>
          <w:rFonts w:asciiTheme="minorHAnsi" w:hAnsiTheme="minorHAnsi"/>
          <w:color w:val="000000" w:themeColor="text1"/>
          <w:szCs w:val="24"/>
        </w:rPr>
        <w:t>s</w:t>
      </w:r>
      <w:r w:rsidR="00703F4D" w:rsidRPr="00810067">
        <w:rPr>
          <w:rFonts w:asciiTheme="minorHAnsi" w:hAnsiTheme="minorHAnsi"/>
          <w:color w:val="000000" w:themeColor="text1"/>
          <w:szCs w:val="24"/>
        </w:rPr>
        <w:t xml:space="preserve">ervice disability entitlements as those under which the </w:t>
      </w:r>
      <w:r w:rsidR="00465645">
        <w:rPr>
          <w:rFonts w:asciiTheme="minorHAnsi" w:hAnsiTheme="minorHAnsi"/>
          <w:color w:val="000000" w:themeColor="text1"/>
          <w:szCs w:val="24"/>
        </w:rPr>
        <w:t xml:space="preserve">Disability Evaluation System (DES) operates. While the </w:t>
      </w:r>
      <w:r w:rsidR="00703F4D" w:rsidRPr="00810067">
        <w:rPr>
          <w:rFonts w:asciiTheme="minorHAnsi" w:hAnsiTheme="minorHAnsi"/>
          <w:color w:val="000000" w:themeColor="text1"/>
          <w:szCs w:val="24"/>
        </w:rPr>
        <w:t xml:space="preserve">DES considers all of the service member's medical conditions, compensation can only be offered for those </w:t>
      </w:r>
      <w:r w:rsidR="00703F4D" w:rsidRPr="00810067">
        <w:rPr>
          <w:rFonts w:asciiTheme="minorHAnsi" w:hAnsiTheme="minorHAnsi"/>
          <w:color w:val="000000" w:themeColor="text1"/>
          <w:szCs w:val="24"/>
        </w:rPr>
        <w:lastRenderedPageBreak/>
        <w:t>medical conditions that cut short a service member’s career, and then only to the degree of severity present at the time of final disposition. However the Department of Veteran</w:t>
      </w:r>
      <w:r w:rsidR="00465645">
        <w:rPr>
          <w:rFonts w:asciiTheme="minorHAnsi" w:hAnsiTheme="minorHAnsi"/>
          <w:color w:val="000000" w:themeColor="text1"/>
          <w:szCs w:val="24"/>
        </w:rPr>
        <w:t>s’</w:t>
      </w:r>
      <w:r w:rsidR="00703F4D" w:rsidRPr="00810067">
        <w:rPr>
          <w:rFonts w:asciiTheme="minorHAnsi" w:hAnsiTheme="minorHAnsi"/>
          <w:color w:val="000000" w:themeColor="text1"/>
          <w:szCs w:val="24"/>
        </w:rPr>
        <w:t xml:space="preserve"> Affairs (DVA), operating under a different set of laws (Title 38, United States Code), is empowered to compensate all service</w:t>
      </w:r>
      <w:r w:rsidR="00465645">
        <w:rPr>
          <w:rFonts w:asciiTheme="minorHAnsi" w:hAnsiTheme="minorHAnsi"/>
          <w:color w:val="000000" w:themeColor="text1"/>
          <w:szCs w:val="24"/>
        </w:rPr>
        <w:t>-</w:t>
      </w:r>
      <w:r w:rsidR="00703F4D" w:rsidRPr="00810067">
        <w:rPr>
          <w:rFonts w:asciiTheme="minorHAnsi" w:hAnsiTheme="minorHAnsi"/>
          <w:color w:val="000000" w:themeColor="text1"/>
          <w:szCs w:val="24"/>
        </w:rPr>
        <w:t xml:space="preserve">connected conditions and to periodically reevaluate said conditions for the purpose of adjusting the </w:t>
      </w:r>
      <w:r w:rsidR="00465645">
        <w:rPr>
          <w:rFonts w:asciiTheme="minorHAnsi" w:hAnsiTheme="minorHAnsi"/>
          <w:color w:val="000000" w:themeColor="text1"/>
          <w:szCs w:val="24"/>
        </w:rPr>
        <w:t>V</w:t>
      </w:r>
      <w:r w:rsidR="00703F4D" w:rsidRPr="00810067">
        <w:rPr>
          <w:rFonts w:asciiTheme="minorHAnsi" w:hAnsiTheme="minorHAnsi"/>
          <w:color w:val="000000" w:themeColor="text1"/>
          <w:szCs w:val="24"/>
        </w:rPr>
        <w:t xml:space="preserve">eteran’s disability rating should </w:t>
      </w:r>
      <w:r w:rsidR="00465645">
        <w:rPr>
          <w:rFonts w:asciiTheme="minorHAnsi" w:hAnsiTheme="minorHAnsi"/>
          <w:color w:val="000000" w:themeColor="text1"/>
          <w:szCs w:val="24"/>
        </w:rPr>
        <w:t>the</w:t>
      </w:r>
      <w:r w:rsidR="00703F4D" w:rsidRPr="00810067">
        <w:rPr>
          <w:rFonts w:asciiTheme="minorHAnsi" w:hAnsiTheme="minorHAnsi"/>
          <w:color w:val="000000" w:themeColor="text1"/>
          <w:szCs w:val="24"/>
        </w:rPr>
        <w:t xml:space="preserve"> degree of impairment vary over time.  </w:t>
      </w:r>
    </w:p>
    <w:p w:rsidR="001223AE" w:rsidRDefault="001223AE" w:rsidP="004C2787">
      <w:pPr>
        <w:jc w:val="both"/>
        <w:rPr>
          <w:color w:val="000000" w:themeColor="text1"/>
          <w:szCs w:val="24"/>
        </w:rPr>
      </w:pPr>
    </w:p>
    <w:p w:rsidR="00703F4D" w:rsidRPr="00810067" w:rsidRDefault="001223AE" w:rsidP="004C2787">
      <w:pPr>
        <w:jc w:val="both"/>
        <w:rPr>
          <w:rFonts w:asciiTheme="minorHAnsi" w:hAnsiTheme="minorHAnsi"/>
          <w:color w:val="000000" w:themeColor="text1"/>
          <w:szCs w:val="24"/>
        </w:rPr>
      </w:pPr>
      <w:r w:rsidRPr="00810067">
        <w:rPr>
          <w:rFonts w:asciiTheme="minorHAnsi" w:hAnsiTheme="minorHAnsi"/>
          <w:color w:val="000000" w:themeColor="text1"/>
          <w:szCs w:val="24"/>
          <w:u w:val="single"/>
        </w:rPr>
        <w:t>Bilateral Knee Condition</w:t>
      </w:r>
      <w:r w:rsidRPr="00810067">
        <w:rPr>
          <w:rFonts w:asciiTheme="minorHAnsi" w:hAnsiTheme="minorHAnsi"/>
          <w:color w:val="000000" w:themeColor="text1"/>
          <w:szCs w:val="24"/>
        </w:rPr>
        <w:t xml:space="preserve">.  </w:t>
      </w:r>
      <w:r w:rsidR="00703F4D" w:rsidRPr="00810067">
        <w:rPr>
          <w:rFonts w:asciiTheme="minorHAnsi" w:hAnsiTheme="minorHAnsi"/>
          <w:color w:val="000000" w:themeColor="text1"/>
          <w:szCs w:val="24"/>
        </w:rPr>
        <w:t>The PEB rated left knee pain and right knee pain under the single analogous 5003 (degenerative arthritis) code.  This coding approach is countenanced by AR 635-40 (B.24 f.), but IAW DoDI 6040.44 the Board must apply only VASRD guidance to its recommendation.  The Board must therefore apply separate codes and ratings in its recommendations if compensable ratings for each joint are achieved IAW VASRD §4.71a.  If the Board judges that two or more separate ratings are warranted in such cases</w:t>
      </w:r>
      <w:r w:rsidR="00465645">
        <w:rPr>
          <w:rFonts w:asciiTheme="minorHAnsi" w:hAnsiTheme="minorHAnsi"/>
          <w:color w:val="000000" w:themeColor="text1"/>
          <w:szCs w:val="24"/>
        </w:rPr>
        <w:t>;</w:t>
      </w:r>
      <w:r w:rsidR="00703F4D" w:rsidRPr="00810067">
        <w:rPr>
          <w:rFonts w:asciiTheme="minorHAnsi" w:hAnsiTheme="minorHAnsi"/>
          <w:color w:val="000000" w:themeColor="text1"/>
          <w:szCs w:val="24"/>
        </w:rPr>
        <w:t xml:space="preserve"> however, it must satisfy the requirement that each “unbundled” condition was unfitting in and of itself.  Since §4.71a criteria are met for separate joint ratings in this case, the Board is pursuing separate rating and fitness evaluations as follows.</w:t>
      </w:r>
    </w:p>
    <w:p w:rsidR="00703F4D" w:rsidRDefault="00703F4D" w:rsidP="00B505E9">
      <w:pPr>
        <w:jc w:val="left"/>
        <w:rPr>
          <w:color w:val="000000" w:themeColor="text1"/>
          <w:szCs w:val="24"/>
        </w:rPr>
      </w:pPr>
    </w:p>
    <w:p w:rsidR="003C53E8" w:rsidRPr="00810067" w:rsidRDefault="001223AE" w:rsidP="004C2787">
      <w:pPr>
        <w:jc w:val="both"/>
        <w:rPr>
          <w:rFonts w:asciiTheme="minorHAnsi" w:hAnsiTheme="minorHAnsi"/>
          <w:color w:val="auto"/>
          <w:szCs w:val="24"/>
        </w:rPr>
      </w:pPr>
      <w:r w:rsidRPr="00810067">
        <w:rPr>
          <w:rFonts w:asciiTheme="minorHAnsi" w:hAnsiTheme="minorHAnsi"/>
          <w:color w:val="000000" w:themeColor="text1"/>
          <w:szCs w:val="24"/>
          <w:u w:val="single"/>
        </w:rPr>
        <w:t xml:space="preserve">Right and Left </w:t>
      </w:r>
      <w:r w:rsidR="0080588E" w:rsidRPr="00810067">
        <w:rPr>
          <w:rFonts w:asciiTheme="minorHAnsi" w:hAnsiTheme="minorHAnsi"/>
          <w:color w:val="000000" w:themeColor="text1"/>
          <w:szCs w:val="24"/>
          <w:u w:val="single"/>
        </w:rPr>
        <w:t xml:space="preserve">Knee </w:t>
      </w:r>
      <w:r w:rsidR="003F2EEE" w:rsidRPr="00810067">
        <w:rPr>
          <w:rFonts w:asciiTheme="minorHAnsi" w:hAnsiTheme="minorHAnsi"/>
          <w:color w:val="000000" w:themeColor="text1"/>
          <w:szCs w:val="24"/>
          <w:u w:val="single"/>
        </w:rPr>
        <w:t>Condition</w:t>
      </w:r>
      <w:r w:rsidR="003F2EEE" w:rsidRPr="00810067">
        <w:rPr>
          <w:rFonts w:asciiTheme="minorHAnsi" w:hAnsiTheme="minorHAnsi"/>
          <w:color w:val="000000" w:themeColor="text1"/>
          <w:szCs w:val="24"/>
        </w:rPr>
        <w:t xml:space="preserve">.  </w:t>
      </w:r>
      <w:r w:rsidR="001748B9" w:rsidRPr="00810067">
        <w:rPr>
          <w:rFonts w:asciiTheme="minorHAnsi" w:hAnsiTheme="minorHAnsi"/>
          <w:color w:val="000000" w:themeColor="text1"/>
          <w:szCs w:val="24"/>
        </w:rPr>
        <w:t xml:space="preserve">The CI sustained extensive lower extremity injuries, including bilateral femur fractures, in </w:t>
      </w:r>
      <w:r w:rsidR="004C2787" w:rsidRPr="00810067">
        <w:rPr>
          <w:rFonts w:asciiTheme="minorHAnsi" w:hAnsiTheme="minorHAnsi"/>
          <w:color w:val="000000" w:themeColor="text1"/>
          <w:szCs w:val="24"/>
        </w:rPr>
        <w:t xml:space="preserve">a </w:t>
      </w:r>
      <w:r w:rsidR="005264C6" w:rsidRPr="00810067">
        <w:rPr>
          <w:rFonts w:asciiTheme="minorHAnsi" w:hAnsiTheme="minorHAnsi"/>
          <w:color w:val="000000" w:themeColor="text1"/>
          <w:szCs w:val="24"/>
        </w:rPr>
        <w:t xml:space="preserve">tactical vehicle </w:t>
      </w:r>
      <w:r w:rsidR="001748B9" w:rsidRPr="00810067">
        <w:rPr>
          <w:rFonts w:asciiTheme="minorHAnsi" w:hAnsiTheme="minorHAnsi"/>
          <w:color w:val="000000" w:themeColor="text1"/>
          <w:szCs w:val="24"/>
        </w:rPr>
        <w:t xml:space="preserve">accident </w:t>
      </w:r>
      <w:r w:rsidR="005264C6" w:rsidRPr="00810067">
        <w:rPr>
          <w:rFonts w:asciiTheme="minorHAnsi" w:hAnsiTheme="minorHAnsi"/>
          <w:color w:val="000000" w:themeColor="text1"/>
          <w:szCs w:val="24"/>
        </w:rPr>
        <w:t xml:space="preserve">in Iraq </w:t>
      </w:r>
      <w:r w:rsidR="001748B9" w:rsidRPr="00810067">
        <w:rPr>
          <w:rFonts w:asciiTheme="minorHAnsi" w:hAnsiTheme="minorHAnsi"/>
          <w:color w:val="000000" w:themeColor="text1"/>
          <w:szCs w:val="24"/>
        </w:rPr>
        <w:t xml:space="preserve">in February 2005.  The femur </w:t>
      </w:r>
      <w:r w:rsidR="005264C6" w:rsidRPr="00810067">
        <w:rPr>
          <w:rFonts w:asciiTheme="minorHAnsi" w:hAnsiTheme="minorHAnsi"/>
          <w:color w:val="000000" w:themeColor="text1"/>
          <w:szCs w:val="24"/>
        </w:rPr>
        <w:t>fractures were</w:t>
      </w:r>
      <w:r w:rsidR="001748B9" w:rsidRPr="00810067">
        <w:rPr>
          <w:rFonts w:asciiTheme="minorHAnsi" w:hAnsiTheme="minorHAnsi"/>
          <w:color w:val="000000" w:themeColor="text1"/>
          <w:szCs w:val="24"/>
        </w:rPr>
        <w:t xml:space="preserve"> repaired surgically</w:t>
      </w:r>
      <w:r w:rsidR="004C2787" w:rsidRPr="00810067">
        <w:rPr>
          <w:rFonts w:asciiTheme="minorHAnsi" w:hAnsiTheme="minorHAnsi"/>
          <w:color w:val="000000" w:themeColor="text1"/>
          <w:szCs w:val="24"/>
        </w:rPr>
        <w:t xml:space="preserve"> and healed well</w:t>
      </w:r>
      <w:r w:rsidR="001748B9" w:rsidRPr="00810067">
        <w:rPr>
          <w:rFonts w:asciiTheme="minorHAnsi" w:hAnsiTheme="minorHAnsi"/>
          <w:color w:val="000000" w:themeColor="text1"/>
          <w:szCs w:val="24"/>
        </w:rPr>
        <w:t>.  During the rehabilitation period evaluation of knee pain revealed a complex tear of the posterior horn</w:t>
      </w:r>
      <w:r w:rsidR="005264C6" w:rsidRPr="00810067">
        <w:rPr>
          <w:rFonts w:asciiTheme="minorHAnsi" w:hAnsiTheme="minorHAnsi"/>
          <w:color w:val="000000" w:themeColor="text1"/>
          <w:szCs w:val="24"/>
        </w:rPr>
        <w:t xml:space="preserve"> of the </w:t>
      </w:r>
      <w:r w:rsidR="001748B9" w:rsidRPr="00810067">
        <w:rPr>
          <w:rFonts w:asciiTheme="minorHAnsi" w:hAnsiTheme="minorHAnsi"/>
          <w:color w:val="000000" w:themeColor="text1"/>
          <w:szCs w:val="24"/>
        </w:rPr>
        <w:t>medial meniscus of the right knee and a small tear of the mid portion of the lateral</w:t>
      </w:r>
      <w:r w:rsidR="005264C6" w:rsidRPr="00810067">
        <w:rPr>
          <w:rFonts w:asciiTheme="minorHAnsi" w:hAnsiTheme="minorHAnsi"/>
          <w:color w:val="000000" w:themeColor="text1"/>
          <w:szCs w:val="24"/>
        </w:rPr>
        <w:t xml:space="preserve"> </w:t>
      </w:r>
      <w:r w:rsidR="001748B9" w:rsidRPr="00810067">
        <w:rPr>
          <w:rFonts w:asciiTheme="minorHAnsi" w:hAnsiTheme="minorHAnsi"/>
          <w:color w:val="000000" w:themeColor="text1"/>
          <w:szCs w:val="24"/>
        </w:rPr>
        <w:t>meniscus</w:t>
      </w:r>
      <w:r w:rsidR="005264C6" w:rsidRPr="00810067">
        <w:rPr>
          <w:rFonts w:asciiTheme="minorHAnsi" w:hAnsiTheme="minorHAnsi"/>
          <w:color w:val="000000" w:themeColor="text1"/>
          <w:szCs w:val="24"/>
        </w:rPr>
        <w:t xml:space="preserve"> of the left knee</w:t>
      </w:r>
      <w:r w:rsidR="001748B9" w:rsidRPr="00810067">
        <w:rPr>
          <w:rFonts w:asciiTheme="minorHAnsi" w:hAnsiTheme="minorHAnsi"/>
          <w:color w:val="000000" w:themeColor="text1"/>
          <w:szCs w:val="24"/>
        </w:rPr>
        <w:t>.</w:t>
      </w:r>
      <w:r w:rsidR="005264C6" w:rsidRPr="00810067">
        <w:rPr>
          <w:rFonts w:asciiTheme="minorHAnsi" w:hAnsiTheme="minorHAnsi"/>
          <w:color w:val="000000" w:themeColor="text1"/>
          <w:szCs w:val="24"/>
        </w:rPr>
        <w:t xml:space="preserve">  Arthroscopic surgery </w:t>
      </w:r>
      <w:r w:rsidR="0027597D" w:rsidRPr="00810067">
        <w:rPr>
          <w:rFonts w:asciiTheme="minorHAnsi" w:hAnsiTheme="minorHAnsi"/>
          <w:color w:val="000000" w:themeColor="text1"/>
          <w:szCs w:val="24"/>
        </w:rPr>
        <w:t>with</w:t>
      </w:r>
      <w:r w:rsidR="001D28C6" w:rsidRPr="00810067">
        <w:rPr>
          <w:rFonts w:asciiTheme="minorHAnsi" w:hAnsiTheme="minorHAnsi"/>
          <w:color w:val="000000" w:themeColor="text1"/>
          <w:szCs w:val="24"/>
        </w:rPr>
        <w:t xml:space="preserve"> partial meniscectomy </w:t>
      </w:r>
      <w:r w:rsidR="005264C6" w:rsidRPr="00810067">
        <w:rPr>
          <w:rFonts w:asciiTheme="minorHAnsi" w:hAnsiTheme="minorHAnsi"/>
          <w:color w:val="000000" w:themeColor="text1"/>
          <w:szCs w:val="24"/>
        </w:rPr>
        <w:t xml:space="preserve">was performed on both knees.  </w:t>
      </w:r>
      <w:r w:rsidR="004C2787" w:rsidRPr="00810067">
        <w:rPr>
          <w:rFonts w:asciiTheme="minorHAnsi" w:hAnsiTheme="minorHAnsi"/>
          <w:color w:val="000000" w:themeColor="text1"/>
          <w:szCs w:val="24"/>
        </w:rPr>
        <w:t xml:space="preserve">After </w:t>
      </w:r>
      <w:r w:rsidR="00465645">
        <w:rPr>
          <w:rFonts w:asciiTheme="minorHAnsi" w:hAnsiTheme="minorHAnsi"/>
          <w:color w:val="000000" w:themeColor="text1"/>
          <w:szCs w:val="24"/>
        </w:rPr>
        <w:t>eight</w:t>
      </w:r>
      <w:r w:rsidR="004C2787" w:rsidRPr="00810067">
        <w:rPr>
          <w:rFonts w:asciiTheme="minorHAnsi" w:hAnsiTheme="minorHAnsi"/>
          <w:color w:val="000000" w:themeColor="text1"/>
          <w:szCs w:val="24"/>
        </w:rPr>
        <w:t xml:space="preserve"> months of rehabilitation the CI was judged to be unable to fully resume the duties of his MOS and MEB proceedings were initiated.  </w:t>
      </w:r>
      <w:r w:rsidRPr="00810067">
        <w:rPr>
          <w:rFonts w:asciiTheme="minorHAnsi" w:hAnsiTheme="minorHAnsi"/>
          <w:color w:val="000000" w:themeColor="text1"/>
          <w:szCs w:val="24"/>
        </w:rPr>
        <w:t xml:space="preserve">The permanent profile limitations included no aerobic physical training test </w:t>
      </w:r>
      <w:r w:rsidR="00F661C4" w:rsidRPr="00810067">
        <w:rPr>
          <w:rFonts w:asciiTheme="minorHAnsi" w:hAnsiTheme="minorHAnsi"/>
          <w:color w:val="000000" w:themeColor="text1"/>
          <w:szCs w:val="24"/>
        </w:rPr>
        <w:t xml:space="preserve">and no functional activities that required the CI to run, </w:t>
      </w:r>
      <w:r w:rsidR="00465645">
        <w:rPr>
          <w:rFonts w:asciiTheme="minorHAnsi" w:hAnsiTheme="minorHAnsi"/>
          <w:color w:val="000000" w:themeColor="text1"/>
          <w:szCs w:val="24"/>
        </w:rPr>
        <w:t>bend, or dig and deemed him non-</w:t>
      </w:r>
      <w:r w:rsidR="00F661C4" w:rsidRPr="00810067">
        <w:rPr>
          <w:rFonts w:asciiTheme="minorHAnsi" w:hAnsiTheme="minorHAnsi"/>
          <w:color w:val="000000" w:themeColor="text1"/>
          <w:szCs w:val="24"/>
        </w:rPr>
        <w:t xml:space="preserve">deployable.  The </w:t>
      </w:r>
      <w:r w:rsidR="00465645">
        <w:rPr>
          <w:rFonts w:asciiTheme="minorHAnsi" w:hAnsiTheme="minorHAnsi"/>
          <w:color w:val="000000" w:themeColor="text1"/>
          <w:szCs w:val="24"/>
        </w:rPr>
        <w:t>c</w:t>
      </w:r>
      <w:r w:rsidR="00F661C4" w:rsidRPr="00810067">
        <w:rPr>
          <w:rFonts w:asciiTheme="minorHAnsi" w:hAnsiTheme="minorHAnsi"/>
          <w:color w:val="000000" w:themeColor="text1"/>
          <w:szCs w:val="24"/>
        </w:rPr>
        <w:t>ommander’s statement documented the CI was not working in his MOS but was able to work a normal duty day.  There</w:t>
      </w:r>
      <w:r w:rsidR="00A57C35" w:rsidRPr="00810067">
        <w:rPr>
          <w:rFonts w:asciiTheme="minorHAnsi" w:hAnsiTheme="minorHAnsi"/>
          <w:color w:val="000000" w:themeColor="text1"/>
          <w:szCs w:val="24"/>
        </w:rPr>
        <w:t xml:space="preserve"> were </w:t>
      </w:r>
      <w:r w:rsidR="00465645">
        <w:rPr>
          <w:rFonts w:asciiTheme="minorHAnsi" w:hAnsiTheme="minorHAnsi"/>
          <w:color w:val="000000" w:themeColor="text1"/>
          <w:szCs w:val="24"/>
        </w:rPr>
        <w:t>three</w:t>
      </w:r>
      <w:r w:rsidR="00A57C35" w:rsidRPr="00810067">
        <w:rPr>
          <w:rFonts w:asciiTheme="minorHAnsi" w:hAnsiTheme="minorHAnsi"/>
          <w:color w:val="000000" w:themeColor="text1"/>
          <w:szCs w:val="24"/>
        </w:rPr>
        <w:t xml:space="preserve"> goniometric range</w:t>
      </w:r>
      <w:r w:rsidR="00465645">
        <w:rPr>
          <w:rFonts w:asciiTheme="minorHAnsi" w:hAnsiTheme="minorHAnsi"/>
          <w:color w:val="000000" w:themeColor="text1"/>
          <w:szCs w:val="24"/>
        </w:rPr>
        <w:t>-</w:t>
      </w:r>
      <w:r w:rsidR="00A57C35" w:rsidRPr="00810067">
        <w:rPr>
          <w:rFonts w:asciiTheme="minorHAnsi" w:hAnsiTheme="minorHAnsi"/>
          <w:color w:val="000000" w:themeColor="text1"/>
          <w:szCs w:val="24"/>
        </w:rPr>
        <w:t>of</w:t>
      </w:r>
      <w:r w:rsidR="00465645">
        <w:rPr>
          <w:rFonts w:asciiTheme="minorHAnsi" w:hAnsiTheme="minorHAnsi"/>
          <w:color w:val="000000" w:themeColor="text1"/>
          <w:szCs w:val="24"/>
        </w:rPr>
        <w:t>-</w:t>
      </w:r>
      <w:r w:rsidR="00A57C35" w:rsidRPr="00810067">
        <w:rPr>
          <w:rFonts w:asciiTheme="minorHAnsi" w:hAnsiTheme="minorHAnsi"/>
          <w:color w:val="000000" w:themeColor="text1"/>
          <w:szCs w:val="24"/>
        </w:rPr>
        <w:t>motion (ROM) evaluations in evidence, with documentation of additional ratable criteria, which the Board weighed in arriving at its rating recommendation</w:t>
      </w:r>
      <w:r w:rsidR="003C53E8" w:rsidRPr="00810067">
        <w:rPr>
          <w:rFonts w:asciiTheme="minorHAnsi" w:hAnsiTheme="minorHAnsi"/>
          <w:color w:val="auto"/>
          <w:szCs w:val="24"/>
        </w:rPr>
        <w:t>.</w:t>
      </w:r>
    </w:p>
    <w:p w:rsidR="001748B9" w:rsidRDefault="001748B9" w:rsidP="003C53E8">
      <w:pPr>
        <w:tabs>
          <w:tab w:val="left" w:pos="288"/>
          <w:tab w:val="left" w:pos="4752"/>
        </w:tabs>
        <w:rPr>
          <w:rFonts w:asciiTheme="minorHAnsi" w:hAnsiTheme="minorHAnsi" w:cs="Times New Roman"/>
          <w:color w:val="auto"/>
          <w:szCs w:val="24"/>
        </w:rPr>
      </w:pPr>
    </w:p>
    <w:tbl>
      <w:tblPr>
        <w:tblW w:w="8966" w:type="dxa"/>
        <w:jc w:val="center"/>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6"/>
        <w:gridCol w:w="1004"/>
        <w:gridCol w:w="10"/>
        <w:gridCol w:w="966"/>
        <w:gridCol w:w="1085"/>
        <w:gridCol w:w="1075"/>
        <w:gridCol w:w="1237"/>
        <w:gridCol w:w="10"/>
        <w:gridCol w:w="1183"/>
      </w:tblGrid>
      <w:tr w:rsidR="001748B9" w:rsidRPr="003C53E8" w:rsidTr="004C2787">
        <w:trPr>
          <w:jc w:val="center"/>
        </w:trPr>
        <w:tc>
          <w:tcPr>
            <w:tcW w:w="2396" w:type="dxa"/>
            <w:vMerge w:val="restart"/>
            <w:shd w:val="clear" w:color="auto" w:fill="D9D9D9" w:themeFill="background1" w:themeFillShade="D9"/>
          </w:tcPr>
          <w:p w:rsidR="001748B9" w:rsidRPr="003C53E8" w:rsidRDefault="001748B9" w:rsidP="004C2787">
            <w:pPr>
              <w:contextualSpacing/>
              <w:rPr>
                <w:rFonts w:eastAsia="Calibri" w:cs="Times New Roman"/>
                <w:color w:val="auto"/>
                <w:sz w:val="22"/>
                <w:szCs w:val="22"/>
              </w:rPr>
            </w:pPr>
            <w:r w:rsidRPr="001748B9">
              <w:rPr>
                <w:rFonts w:eastAsia="Calibri" w:cs="Times New Roman"/>
                <w:color w:val="auto"/>
                <w:sz w:val="22"/>
                <w:szCs w:val="22"/>
              </w:rPr>
              <w:t>L/R Knee ROM</w:t>
            </w:r>
          </w:p>
        </w:tc>
        <w:tc>
          <w:tcPr>
            <w:tcW w:w="1980" w:type="dxa"/>
            <w:gridSpan w:val="3"/>
            <w:shd w:val="clear" w:color="auto" w:fill="D9D9D9" w:themeFill="background1" w:themeFillShade="D9"/>
          </w:tcPr>
          <w:p w:rsidR="001748B9" w:rsidRPr="003C53E8" w:rsidRDefault="001748B9" w:rsidP="001748B9">
            <w:pPr>
              <w:contextualSpacing/>
              <w:rPr>
                <w:rFonts w:eastAsia="Calibri" w:cs="Times New Roman"/>
                <w:color w:val="auto"/>
                <w:sz w:val="22"/>
                <w:szCs w:val="22"/>
              </w:rPr>
            </w:pPr>
            <w:r w:rsidRPr="003C53E8">
              <w:rPr>
                <w:rFonts w:eastAsia="Calibri" w:cs="Times New Roman"/>
                <w:color w:val="auto"/>
                <w:sz w:val="22"/>
                <w:szCs w:val="22"/>
              </w:rPr>
              <w:t xml:space="preserve">PT – </w:t>
            </w:r>
            <w:r>
              <w:rPr>
                <w:rFonts w:eastAsia="Calibri" w:cs="Times New Roman"/>
                <w:color w:val="auto"/>
                <w:sz w:val="22"/>
                <w:szCs w:val="22"/>
              </w:rPr>
              <w:t>7 Mo.</w:t>
            </w:r>
            <w:r w:rsidRPr="003C53E8">
              <w:rPr>
                <w:rFonts w:eastAsia="Calibri" w:cs="Times New Roman"/>
                <w:color w:val="auto"/>
                <w:sz w:val="22"/>
                <w:szCs w:val="22"/>
              </w:rPr>
              <w:t xml:space="preserve"> Pre Sep</w:t>
            </w:r>
          </w:p>
        </w:tc>
        <w:tc>
          <w:tcPr>
            <w:tcW w:w="2160" w:type="dxa"/>
            <w:gridSpan w:val="2"/>
            <w:shd w:val="clear" w:color="auto" w:fill="D9D9D9" w:themeFill="background1" w:themeFillShade="D9"/>
          </w:tcPr>
          <w:p w:rsidR="001748B9" w:rsidRPr="003C53E8" w:rsidRDefault="001748B9" w:rsidP="001748B9">
            <w:pPr>
              <w:contextualSpacing/>
              <w:rPr>
                <w:rFonts w:eastAsia="Calibri" w:cs="Times New Roman"/>
                <w:color w:val="auto"/>
                <w:sz w:val="22"/>
                <w:szCs w:val="22"/>
              </w:rPr>
            </w:pPr>
            <w:r w:rsidRPr="003C53E8">
              <w:rPr>
                <w:rFonts w:eastAsia="Calibri" w:cs="Times New Roman"/>
                <w:color w:val="auto"/>
                <w:sz w:val="22"/>
                <w:szCs w:val="22"/>
              </w:rPr>
              <w:t xml:space="preserve">MEB – </w:t>
            </w:r>
            <w:r>
              <w:rPr>
                <w:rFonts w:eastAsia="Calibri" w:cs="Times New Roman"/>
                <w:color w:val="auto"/>
                <w:sz w:val="22"/>
                <w:szCs w:val="22"/>
              </w:rPr>
              <w:t>4 Mo.</w:t>
            </w:r>
            <w:r w:rsidRPr="003C53E8">
              <w:rPr>
                <w:rFonts w:eastAsia="Calibri" w:cs="Times New Roman"/>
                <w:color w:val="auto"/>
                <w:sz w:val="22"/>
                <w:szCs w:val="22"/>
              </w:rPr>
              <w:t xml:space="preserve"> Pre Sep</w:t>
            </w:r>
          </w:p>
        </w:tc>
        <w:tc>
          <w:tcPr>
            <w:tcW w:w="2430" w:type="dxa"/>
            <w:gridSpan w:val="3"/>
            <w:shd w:val="clear" w:color="auto" w:fill="D9D9D9" w:themeFill="background1" w:themeFillShade="D9"/>
          </w:tcPr>
          <w:p w:rsidR="001748B9" w:rsidRPr="003C53E8" w:rsidRDefault="001748B9" w:rsidP="001748B9">
            <w:pPr>
              <w:contextualSpacing/>
              <w:rPr>
                <w:rFonts w:eastAsiaTheme="minorHAnsi" w:cstheme="minorBidi"/>
                <w:color w:val="auto"/>
                <w:sz w:val="22"/>
                <w:szCs w:val="22"/>
              </w:rPr>
            </w:pPr>
            <w:r w:rsidRPr="003C53E8">
              <w:rPr>
                <w:rFonts w:eastAsia="Calibri" w:cs="Times New Roman"/>
                <w:color w:val="auto"/>
                <w:sz w:val="22"/>
                <w:szCs w:val="22"/>
              </w:rPr>
              <w:t>VA</w:t>
            </w:r>
            <w:r w:rsidRPr="003C53E8">
              <w:rPr>
                <w:rFonts w:eastAsiaTheme="minorHAnsi" w:cstheme="minorBidi"/>
                <w:color w:val="auto"/>
                <w:sz w:val="22"/>
                <w:szCs w:val="22"/>
              </w:rPr>
              <w:t xml:space="preserve"> C&amp;P –</w:t>
            </w:r>
            <w:r>
              <w:rPr>
                <w:rFonts w:eastAsiaTheme="minorHAnsi" w:cstheme="minorBidi"/>
                <w:color w:val="auto"/>
                <w:sz w:val="22"/>
                <w:szCs w:val="22"/>
              </w:rPr>
              <w:t>2 Mo.</w:t>
            </w:r>
            <w:r w:rsidRPr="003C53E8">
              <w:rPr>
                <w:rFonts w:eastAsiaTheme="minorHAnsi" w:cstheme="minorBidi"/>
                <w:color w:val="auto"/>
                <w:sz w:val="22"/>
                <w:szCs w:val="22"/>
              </w:rPr>
              <w:t xml:space="preserve"> Post Sep</w:t>
            </w:r>
          </w:p>
        </w:tc>
      </w:tr>
      <w:tr w:rsidR="001748B9" w:rsidRPr="003C53E8" w:rsidTr="004C2787">
        <w:trPr>
          <w:jc w:val="center"/>
        </w:trPr>
        <w:tc>
          <w:tcPr>
            <w:tcW w:w="2396" w:type="dxa"/>
            <w:vMerge/>
            <w:shd w:val="clear" w:color="auto" w:fill="D9D9D9" w:themeFill="background1" w:themeFillShade="D9"/>
          </w:tcPr>
          <w:p w:rsidR="001748B9" w:rsidRPr="001748B9" w:rsidRDefault="001748B9" w:rsidP="001748B9">
            <w:pPr>
              <w:contextualSpacing/>
              <w:rPr>
                <w:rFonts w:eastAsia="Calibri" w:cs="Times New Roman"/>
                <w:color w:val="auto"/>
                <w:sz w:val="22"/>
                <w:szCs w:val="22"/>
              </w:rPr>
            </w:pPr>
          </w:p>
        </w:tc>
        <w:tc>
          <w:tcPr>
            <w:tcW w:w="1004" w:type="dxa"/>
            <w:tcBorders>
              <w:right w:val="single" w:sz="4" w:space="0" w:color="auto"/>
            </w:tcBorders>
            <w:shd w:val="clear" w:color="auto" w:fill="D9D9D9" w:themeFill="background1" w:themeFillShade="D9"/>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Left</w:t>
            </w:r>
          </w:p>
        </w:tc>
        <w:tc>
          <w:tcPr>
            <w:tcW w:w="976" w:type="dxa"/>
            <w:gridSpan w:val="2"/>
            <w:tcBorders>
              <w:left w:val="single" w:sz="4" w:space="0" w:color="auto"/>
            </w:tcBorders>
            <w:shd w:val="clear" w:color="auto" w:fill="D9D9D9" w:themeFill="background1" w:themeFillShade="D9"/>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Right</w:t>
            </w:r>
          </w:p>
        </w:tc>
        <w:tc>
          <w:tcPr>
            <w:tcW w:w="1085" w:type="dxa"/>
            <w:tcBorders>
              <w:right w:val="single" w:sz="4" w:space="0" w:color="auto"/>
            </w:tcBorders>
            <w:shd w:val="clear" w:color="auto" w:fill="D9D9D9" w:themeFill="background1" w:themeFillShade="D9"/>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Left</w:t>
            </w:r>
          </w:p>
        </w:tc>
        <w:tc>
          <w:tcPr>
            <w:tcW w:w="1075" w:type="dxa"/>
            <w:tcBorders>
              <w:right w:val="single" w:sz="4" w:space="0" w:color="auto"/>
            </w:tcBorders>
            <w:shd w:val="clear" w:color="auto" w:fill="D9D9D9" w:themeFill="background1" w:themeFillShade="D9"/>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Right</w:t>
            </w:r>
          </w:p>
        </w:tc>
        <w:tc>
          <w:tcPr>
            <w:tcW w:w="1237" w:type="dxa"/>
            <w:tcBorders>
              <w:left w:val="single" w:sz="4" w:space="0" w:color="auto"/>
              <w:right w:val="single" w:sz="4" w:space="0" w:color="auto"/>
            </w:tcBorders>
            <w:shd w:val="clear" w:color="auto" w:fill="D9D9D9" w:themeFill="background1" w:themeFillShade="D9"/>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Left</w:t>
            </w:r>
          </w:p>
        </w:tc>
        <w:tc>
          <w:tcPr>
            <w:tcW w:w="1193" w:type="dxa"/>
            <w:gridSpan w:val="2"/>
            <w:tcBorders>
              <w:left w:val="single" w:sz="4" w:space="0" w:color="auto"/>
            </w:tcBorders>
            <w:shd w:val="clear" w:color="auto" w:fill="D9D9D9" w:themeFill="background1" w:themeFillShade="D9"/>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Right</w:t>
            </w:r>
          </w:p>
        </w:tc>
      </w:tr>
      <w:tr w:rsidR="001748B9" w:rsidRPr="003C53E8" w:rsidTr="004C2787">
        <w:trPr>
          <w:jc w:val="center"/>
        </w:trPr>
        <w:tc>
          <w:tcPr>
            <w:tcW w:w="2396" w:type="dxa"/>
          </w:tcPr>
          <w:p w:rsidR="001748B9" w:rsidRPr="003C53E8" w:rsidRDefault="008D61D1" w:rsidP="001748B9">
            <w:pPr>
              <w:contextualSpacing/>
              <w:rPr>
                <w:rFonts w:eastAsia="Calibri" w:cs="Times New Roman"/>
                <w:color w:val="auto"/>
                <w:sz w:val="22"/>
                <w:szCs w:val="22"/>
              </w:rPr>
            </w:pPr>
            <w:r>
              <w:rPr>
                <w:rFonts w:eastAsia="Calibri" w:cs="Times New Roman"/>
                <w:color w:val="auto"/>
                <w:sz w:val="22"/>
                <w:szCs w:val="22"/>
              </w:rPr>
              <w:t xml:space="preserve">Flexion </w:t>
            </w:r>
            <w:r w:rsidR="00CA3264">
              <w:rPr>
                <w:rFonts w:eastAsia="Calibri" w:cs="Times New Roman"/>
                <w:color w:val="auto"/>
                <w:sz w:val="22"/>
                <w:szCs w:val="22"/>
              </w:rPr>
              <w:t>(</w:t>
            </w:r>
            <w:r>
              <w:rPr>
                <w:rFonts w:eastAsia="Calibri" w:cs="Times New Roman"/>
                <w:color w:val="auto"/>
                <w:sz w:val="22"/>
                <w:szCs w:val="22"/>
              </w:rPr>
              <w:t>0-140</w:t>
            </w:r>
            <w:r w:rsidR="001748B9" w:rsidRPr="003C53E8">
              <w:rPr>
                <w:rFonts w:eastAsia="Calibri" w:cs="Times New Roman"/>
                <w:color w:val="auto"/>
                <w:sz w:val="22"/>
                <w:szCs w:val="22"/>
              </w:rPr>
              <w:t>⁰ normal</w:t>
            </w:r>
            <w:r w:rsidR="00CA3264">
              <w:rPr>
                <w:rFonts w:eastAsia="Calibri" w:cs="Times New Roman"/>
                <w:color w:val="auto"/>
                <w:sz w:val="22"/>
                <w:szCs w:val="22"/>
              </w:rPr>
              <w:t>)</w:t>
            </w:r>
          </w:p>
        </w:tc>
        <w:tc>
          <w:tcPr>
            <w:tcW w:w="1004" w:type="dxa"/>
            <w:tcBorders>
              <w:right w:val="single" w:sz="4" w:space="0" w:color="auto"/>
            </w:tcBorders>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116⁰</w:t>
            </w:r>
          </w:p>
        </w:tc>
        <w:tc>
          <w:tcPr>
            <w:tcW w:w="976" w:type="dxa"/>
            <w:gridSpan w:val="2"/>
            <w:tcBorders>
              <w:left w:val="single" w:sz="4" w:space="0" w:color="auto"/>
            </w:tcBorders>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112⁰</w:t>
            </w:r>
          </w:p>
        </w:tc>
        <w:tc>
          <w:tcPr>
            <w:tcW w:w="1085" w:type="dxa"/>
            <w:tcBorders>
              <w:right w:val="single" w:sz="4" w:space="0" w:color="auto"/>
            </w:tcBorders>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124⁰</w:t>
            </w:r>
          </w:p>
        </w:tc>
        <w:tc>
          <w:tcPr>
            <w:tcW w:w="1075" w:type="dxa"/>
            <w:tcBorders>
              <w:left w:val="single" w:sz="4" w:space="0" w:color="auto"/>
            </w:tcBorders>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112⁰</w:t>
            </w:r>
            <w:r w:rsidR="004C2787">
              <w:rPr>
                <w:rFonts w:eastAsia="Calibri" w:cs="Times New Roman"/>
                <w:color w:val="auto"/>
                <w:sz w:val="22"/>
                <w:szCs w:val="22"/>
              </w:rPr>
              <w:t>*</w:t>
            </w:r>
          </w:p>
        </w:tc>
        <w:tc>
          <w:tcPr>
            <w:tcW w:w="1237" w:type="dxa"/>
            <w:tcBorders>
              <w:right w:val="single" w:sz="4" w:space="0" w:color="auto"/>
            </w:tcBorders>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115⁰</w:t>
            </w:r>
          </w:p>
        </w:tc>
        <w:tc>
          <w:tcPr>
            <w:tcW w:w="1193" w:type="dxa"/>
            <w:gridSpan w:val="2"/>
            <w:tcBorders>
              <w:left w:val="single" w:sz="4" w:space="0" w:color="auto"/>
            </w:tcBorders>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110⁰</w:t>
            </w:r>
          </w:p>
        </w:tc>
      </w:tr>
      <w:tr w:rsidR="001748B9" w:rsidRPr="003C53E8" w:rsidTr="004C2787">
        <w:trPr>
          <w:jc w:val="center"/>
        </w:trPr>
        <w:tc>
          <w:tcPr>
            <w:tcW w:w="2396" w:type="dxa"/>
          </w:tcPr>
          <w:p w:rsidR="001748B9" w:rsidRPr="003C53E8" w:rsidRDefault="00CA3264" w:rsidP="001748B9">
            <w:pPr>
              <w:contextualSpacing/>
              <w:rPr>
                <w:rFonts w:eastAsia="Calibri" w:cs="Times New Roman"/>
                <w:color w:val="auto"/>
                <w:sz w:val="22"/>
                <w:szCs w:val="22"/>
              </w:rPr>
            </w:pPr>
            <w:r w:rsidRPr="00CA3264">
              <w:rPr>
                <w:rFonts w:eastAsia="Calibri" w:cs="Times New Roman"/>
                <w:color w:val="auto"/>
                <w:sz w:val="22"/>
                <w:szCs w:val="22"/>
              </w:rPr>
              <w:t>Extension (0⁰ normal)</w:t>
            </w:r>
          </w:p>
        </w:tc>
        <w:tc>
          <w:tcPr>
            <w:tcW w:w="1004" w:type="dxa"/>
            <w:tcBorders>
              <w:right w:val="single" w:sz="4" w:space="0" w:color="auto"/>
            </w:tcBorders>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0⁰</w:t>
            </w:r>
          </w:p>
        </w:tc>
        <w:tc>
          <w:tcPr>
            <w:tcW w:w="976" w:type="dxa"/>
            <w:gridSpan w:val="2"/>
            <w:tcBorders>
              <w:left w:val="single" w:sz="4" w:space="0" w:color="auto"/>
            </w:tcBorders>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0⁰</w:t>
            </w:r>
          </w:p>
        </w:tc>
        <w:tc>
          <w:tcPr>
            <w:tcW w:w="1085" w:type="dxa"/>
            <w:tcBorders>
              <w:right w:val="single" w:sz="4" w:space="0" w:color="auto"/>
            </w:tcBorders>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0⁰</w:t>
            </w:r>
          </w:p>
        </w:tc>
        <w:tc>
          <w:tcPr>
            <w:tcW w:w="1075" w:type="dxa"/>
            <w:tcBorders>
              <w:left w:val="single" w:sz="4" w:space="0" w:color="auto"/>
            </w:tcBorders>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0⁰</w:t>
            </w:r>
          </w:p>
        </w:tc>
        <w:tc>
          <w:tcPr>
            <w:tcW w:w="1237" w:type="dxa"/>
            <w:tcBorders>
              <w:right w:val="single" w:sz="4" w:space="0" w:color="auto"/>
            </w:tcBorders>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0⁰</w:t>
            </w:r>
          </w:p>
        </w:tc>
        <w:tc>
          <w:tcPr>
            <w:tcW w:w="1193" w:type="dxa"/>
            <w:gridSpan w:val="2"/>
            <w:tcBorders>
              <w:left w:val="single" w:sz="4" w:space="0" w:color="auto"/>
            </w:tcBorders>
            <w:vAlign w:val="center"/>
          </w:tcPr>
          <w:p w:rsidR="001748B9" w:rsidRPr="001748B9" w:rsidRDefault="001748B9" w:rsidP="001748B9">
            <w:pPr>
              <w:contextualSpacing/>
              <w:rPr>
                <w:rFonts w:eastAsia="Calibri" w:cs="Times New Roman"/>
                <w:color w:val="auto"/>
                <w:sz w:val="22"/>
                <w:szCs w:val="22"/>
              </w:rPr>
            </w:pPr>
            <w:r w:rsidRPr="001748B9">
              <w:rPr>
                <w:rFonts w:eastAsia="Calibri" w:cs="Times New Roman"/>
                <w:color w:val="auto"/>
                <w:sz w:val="22"/>
                <w:szCs w:val="22"/>
              </w:rPr>
              <w:t>0⁰</w:t>
            </w:r>
          </w:p>
        </w:tc>
      </w:tr>
      <w:tr w:rsidR="001748B9" w:rsidRPr="003C53E8" w:rsidTr="004C2787">
        <w:trPr>
          <w:jc w:val="center"/>
        </w:trPr>
        <w:tc>
          <w:tcPr>
            <w:tcW w:w="2396" w:type="dxa"/>
          </w:tcPr>
          <w:p w:rsidR="001748B9" w:rsidRPr="003C53E8" w:rsidRDefault="001748B9" w:rsidP="004C2787">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Comments</w:t>
            </w:r>
          </w:p>
        </w:tc>
        <w:tc>
          <w:tcPr>
            <w:tcW w:w="1980" w:type="dxa"/>
            <w:gridSpan w:val="3"/>
          </w:tcPr>
          <w:p w:rsidR="001748B9" w:rsidRPr="00BC3712" w:rsidRDefault="001748B9" w:rsidP="004C2787">
            <w:pPr>
              <w:tabs>
                <w:tab w:val="left" w:pos="288"/>
                <w:tab w:val="left" w:pos="4752"/>
              </w:tabs>
              <w:rPr>
                <w:rFonts w:asciiTheme="minorHAnsi" w:eastAsiaTheme="minorHAnsi" w:hAnsiTheme="minorHAnsi" w:cs="Times New Roman"/>
                <w:color w:val="auto"/>
                <w:sz w:val="20"/>
                <w:szCs w:val="22"/>
              </w:rPr>
            </w:pPr>
          </w:p>
        </w:tc>
        <w:tc>
          <w:tcPr>
            <w:tcW w:w="2160" w:type="dxa"/>
            <w:gridSpan w:val="2"/>
          </w:tcPr>
          <w:p w:rsidR="001748B9" w:rsidRPr="00BC3712" w:rsidRDefault="004C2787" w:rsidP="004C2787">
            <w:pPr>
              <w:tabs>
                <w:tab w:val="left" w:pos="288"/>
                <w:tab w:val="left" w:pos="4752"/>
              </w:tabs>
              <w:rPr>
                <w:rFonts w:asciiTheme="minorHAnsi" w:eastAsiaTheme="minorHAnsi" w:hAnsiTheme="minorHAnsi" w:cs="Times New Roman"/>
                <w:color w:val="auto"/>
                <w:sz w:val="20"/>
                <w:szCs w:val="22"/>
              </w:rPr>
            </w:pPr>
            <w:r w:rsidRPr="00BC3712">
              <w:rPr>
                <w:rFonts w:asciiTheme="minorHAnsi" w:eastAsiaTheme="minorHAnsi" w:hAnsiTheme="minorHAnsi" w:cs="Times New Roman"/>
                <w:color w:val="auto"/>
                <w:sz w:val="20"/>
                <w:szCs w:val="22"/>
              </w:rPr>
              <w:t>No instability</w:t>
            </w:r>
          </w:p>
        </w:tc>
        <w:tc>
          <w:tcPr>
            <w:tcW w:w="2430" w:type="dxa"/>
            <w:gridSpan w:val="3"/>
          </w:tcPr>
          <w:p w:rsidR="001748B9" w:rsidRPr="00BC3712" w:rsidRDefault="00D6432D" w:rsidP="004C2787">
            <w:pPr>
              <w:tabs>
                <w:tab w:val="left" w:pos="288"/>
                <w:tab w:val="left" w:pos="4752"/>
              </w:tabs>
              <w:rPr>
                <w:rFonts w:asciiTheme="minorHAnsi" w:eastAsiaTheme="minorHAnsi" w:hAnsiTheme="minorHAnsi" w:cs="Times New Roman"/>
                <w:color w:val="auto"/>
                <w:sz w:val="20"/>
                <w:szCs w:val="22"/>
              </w:rPr>
            </w:pPr>
            <w:r w:rsidRPr="00BC3712">
              <w:rPr>
                <w:rFonts w:asciiTheme="minorHAnsi" w:eastAsiaTheme="minorHAnsi" w:hAnsiTheme="minorHAnsi" w:cs="Times New Roman"/>
                <w:color w:val="auto"/>
                <w:sz w:val="20"/>
                <w:szCs w:val="22"/>
              </w:rPr>
              <w:t>Normal gait</w:t>
            </w:r>
            <w:r w:rsidR="00BC3712" w:rsidRPr="00BC3712">
              <w:rPr>
                <w:rFonts w:asciiTheme="minorHAnsi" w:eastAsiaTheme="minorHAnsi" w:hAnsiTheme="minorHAnsi" w:cs="Times New Roman"/>
                <w:color w:val="auto"/>
                <w:sz w:val="20"/>
                <w:szCs w:val="22"/>
              </w:rPr>
              <w:t>, No instability</w:t>
            </w:r>
          </w:p>
        </w:tc>
      </w:tr>
      <w:tr w:rsidR="001748B9" w:rsidRPr="003C53E8" w:rsidTr="001748B9">
        <w:trPr>
          <w:trHeight w:val="70"/>
          <w:jc w:val="center"/>
        </w:trPr>
        <w:tc>
          <w:tcPr>
            <w:tcW w:w="2396" w:type="dxa"/>
          </w:tcPr>
          <w:p w:rsidR="001748B9" w:rsidRPr="003C53E8" w:rsidRDefault="001748B9" w:rsidP="004C2787">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§4.71a Rating</w:t>
            </w:r>
            <w:r>
              <w:rPr>
                <w:rFonts w:asciiTheme="minorHAnsi" w:eastAsiaTheme="minorHAnsi" w:hAnsiTheme="minorHAnsi" w:cs="Times New Roman"/>
                <w:color w:val="auto"/>
                <w:sz w:val="22"/>
                <w:szCs w:val="22"/>
              </w:rPr>
              <w:t>*</w:t>
            </w:r>
          </w:p>
        </w:tc>
        <w:tc>
          <w:tcPr>
            <w:tcW w:w="1014" w:type="dxa"/>
            <w:gridSpan w:val="2"/>
            <w:tcBorders>
              <w:right w:val="single" w:sz="4" w:space="0" w:color="auto"/>
            </w:tcBorders>
          </w:tcPr>
          <w:p w:rsidR="001748B9" w:rsidRPr="003C53E8" w:rsidRDefault="001748B9" w:rsidP="004C2787">
            <w:pPr>
              <w:tabs>
                <w:tab w:val="left" w:pos="288"/>
                <w:tab w:val="left" w:pos="4752"/>
              </w:tabs>
              <w:rPr>
                <w:rFonts w:asciiTheme="minorHAnsi" w:eastAsiaTheme="minorHAnsi" w:hAnsiTheme="minorHAnsi" w:cs="Times New Roman"/>
                <w:color w:val="auto"/>
                <w:sz w:val="22"/>
                <w:szCs w:val="22"/>
              </w:rPr>
            </w:pPr>
            <w:r w:rsidRPr="001748B9">
              <w:rPr>
                <w:rFonts w:asciiTheme="minorHAnsi" w:eastAsiaTheme="minorHAnsi" w:hAnsiTheme="minorHAnsi" w:cs="Times New Roman"/>
                <w:color w:val="auto"/>
                <w:sz w:val="22"/>
                <w:szCs w:val="22"/>
              </w:rPr>
              <w:t>10%</w:t>
            </w:r>
            <w:r w:rsidR="00CA3264">
              <w:rPr>
                <w:rFonts w:eastAsia="Calibri" w:cs="Times New Roman"/>
                <w:color w:val="auto"/>
                <w:sz w:val="22"/>
                <w:szCs w:val="22"/>
              </w:rPr>
              <w:t>*</w:t>
            </w:r>
          </w:p>
        </w:tc>
        <w:tc>
          <w:tcPr>
            <w:tcW w:w="966" w:type="dxa"/>
            <w:tcBorders>
              <w:left w:val="single" w:sz="4" w:space="0" w:color="auto"/>
            </w:tcBorders>
          </w:tcPr>
          <w:p w:rsidR="001748B9" w:rsidRDefault="001748B9">
            <w:r w:rsidRPr="00087BF0">
              <w:rPr>
                <w:rFonts w:asciiTheme="minorHAnsi" w:eastAsiaTheme="minorHAnsi" w:hAnsiTheme="minorHAnsi" w:cs="Times New Roman"/>
                <w:color w:val="auto"/>
                <w:sz w:val="22"/>
                <w:szCs w:val="22"/>
              </w:rPr>
              <w:t>10%</w:t>
            </w:r>
            <w:r w:rsidR="00CA3264">
              <w:rPr>
                <w:rFonts w:eastAsia="Calibri" w:cs="Times New Roman"/>
                <w:color w:val="auto"/>
                <w:sz w:val="22"/>
                <w:szCs w:val="22"/>
              </w:rPr>
              <w:t>*</w:t>
            </w:r>
          </w:p>
        </w:tc>
        <w:tc>
          <w:tcPr>
            <w:tcW w:w="1085" w:type="dxa"/>
            <w:tcBorders>
              <w:right w:val="single" w:sz="4" w:space="0" w:color="auto"/>
            </w:tcBorders>
          </w:tcPr>
          <w:p w:rsidR="001748B9" w:rsidRDefault="001748B9">
            <w:r w:rsidRPr="00087BF0">
              <w:rPr>
                <w:rFonts w:asciiTheme="minorHAnsi" w:eastAsiaTheme="minorHAnsi" w:hAnsiTheme="minorHAnsi" w:cs="Times New Roman"/>
                <w:color w:val="auto"/>
                <w:sz w:val="22"/>
                <w:szCs w:val="22"/>
              </w:rPr>
              <w:t>10%</w:t>
            </w:r>
            <w:r w:rsidR="00CA3264">
              <w:rPr>
                <w:rFonts w:eastAsia="Calibri" w:cs="Times New Roman"/>
                <w:color w:val="auto"/>
                <w:sz w:val="22"/>
                <w:szCs w:val="22"/>
              </w:rPr>
              <w:t>*</w:t>
            </w:r>
          </w:p>
        </w:tc>
        <w:tc>
          <w:tcPr>
            <w:tcW w:w="1075" w:type="dxa"/>
            <w:tcBorders>
              <w:left w:val="single" w:sz="4" w:space="0" w:color="auto"/>
            </w:tcBorders>
          </w:tcPr>
          <w:p w:rsidR="001748B9" w:rsidRDefault="001748B9">
            <w:r w:rsidRPr="00087BF0">
              <w:rPr>
                <w:rFonts w:asciiTheme="minorHAnsi" w:eastAsiaTheme="minorHAnsi" w:hAnsiTheme="minorHAnsi" w:cs="Times New Roman"/>
                <w:color w:val="auto"/>
                <w:sz w:val="22"/>
                <w:szCs w:val="22"/>
              </w:rPr>
              <w:t>10%</w:t>
            </w:r>
            <w:r w:rsidR="00CA3264">
              <w:rPr>
                <w:rFonts w:eastAsia="Calibri" w:cs="Times New Roman"/>
                <w:color w:val="auto"/>
                <w:sz w:val="22"/>
                <w:szCs w:val="22"/>
              </w:rPr>
              <w:t>*</w:t>
            </w:r>
          </w:p>
        </w:tc>
        <w:tc>
          <w:tcPr>
            <w:tcW w:w="1247" w:type="dxa"/>
            <w:gridSpan w:val="2"/>
            <w:tcBorders>
              <w:right w:val="single" w:sz="4" w:space="0" w:color="auto"/>
            </w:tcBorders>
          </w:tcPr>
          <w:p w:rsidR="001748B9" w:rsidRDefault="001748B9">
            <w:r w:rsidRPr="00087BF0">
              <w:rPr>
                <w:rFonts w:asciiTheme="minorHAnsi" w:eastAsiaTheme="minorHAnsi" w:hAnsiTheme="minorHAnsi" w:cs="Times New Roman"/>
                <w:color w:val="auto"/>
                <w:sz w:val="22"/>
                <w:szCs w:val="22"/>
              </w:rPr>
              <w:t>10%</w:t>
            </w:r>
            <w:r w:rsidR="00CA3264">
              <w:rPr>
                <w:rFonts w:eastAsia="Calibri" w:cs="Times New Roman"/>
                <w:color w:val="auto"/>
                <w:sz w:val="22"/>
                <w:szCs w:val="22"/>
              </w:rPr>
              <w:t>*</w:t>
            </w:r>
          </w:p>
        </w:tc>
        <w:tc>
          <w:tcPr>
            <w:tcW w:w="1183" w:type="dxa"/>
            <w:tcBorders>
              <w:left w:val="single" w:sz="4" w:space="0" w:color="auto"/>
            </w:tcBorders>
          </w:tcPr>
          <w:p w:rsidR="001748B9" w:rsidRDefault="001748B9">
            <w:r w:rsidRPr="00087BF0">
              <w:rPr>
                <w:rFonts w:asciiTheme="minorHAnsi" w:eastAsiaTheme="minorHAnsi" w:hAnsiTheme="minorHAnsi" w:cs="Times New Roman"/>
                <w:color w:val="auto"/>
                <w:sz w:val="22"/>
                <w:szCs w:val="22"/>
              </w:rPr>
              <w:t>10%</w:t>
            </w:r>
            <w:r w:rsidR="00CA3264">
              <w:rPr>
                <w:rFonts w:eastAsia="Calibri" w:cs="Times New Roman"/>
                <w:color w:val="auto"/>
                <w:sz w:val="22"/>
                <w:szCs w:val="22"/>
              </w:rPr>
              <w:t>*</w:t>
            </w:r>
          </w:p>
        </w:tc>
      </w:tr>
    </w:tbl>
    <w:p w:rsidR="001748B9" w:rsidRPr="003C53E8" w:rsidRDefault="00B76B3A" w:rsidP="004C2787">
      <w:pPr>
        <w:tabs>
          <w:tab w:val="left" w:pos="1980"/>
          <w:tab w:val="left" w:pos="4752"/>
        </w:tabs>
        <w:jc w:val="left"/>
        <w:rPr>
          <w:rFonts w:asciiTheme="minorHAnsi" w:hAnsiTheme="minorHAnsi" w:cs="Times New Roman"/>
          <w:color w:val="auto"/>
          <w:sz w:val="18"/>
          <w:szCs w:val="24"/>
        </w:rPr>
      </w:pPr>
      <w:r>
        <w:rPr>
          <w:rFonts w:cs="Times New Roman"/>
          <w:color w:val="auto"/>
          <w:sz w:val="18"/>
          <w:szCs w:val="24"/>
        </w:rPr>
        <w:tab/>
      </w:r>
      <w:r w:rsidR="004C2787">
        <w:rPr>
          <w:rFonts w:cs="Times New Roman"/>
          <w:color w:val="auto"/>
          <w:sz w:val="18"/>
          <w:szCs w:val="24"/>
        </w:rPr>
        <w:t>*</w:t>
      </w:r>
      <w:r w:rsidR="001748B9" w:rsidRPr="003C53E8">
        <w:rPr>
          <w:rFonts w:cs="Times New Roman"/>
          <w:color w:val="auto"/>
          <w:sz w:val="18"/>
          <w:szCs w:val="24"/>
        </w:rPr>
        <w:t xml:space="preserve"> Conceding </w:t>
      </w:r>
      <w:r w:rsidR="001748B9" w:rsidRPr="003C53E8">
        <w:rPr>
          <w:rFonts w:asciiTheme="minorHAnsi" w:hAnsiTheme="minorHAnsi" w:cs="Times New Roman"/>
          <w:color w:val="auto"/>
          <w:sz w:val="18"/>
          <w:szCs w:val="24"/>
        </w:rPr>
        <w:t xml:space="preserve">§4.59 (painful motion) </w:t>
      </w:r>
    </w:p>
    <w:p w:rsidR="002735BE" w:rsidRDefault="002735BE" w:rsidP="001748B9">
      <w:pPr>
        <w:tabs>
          <w:tab w:val="left" w:pos="288"/>
          <w:tab w:val="left" w:pos="4752"/>
        </w:tabs>
        <w:jc w:val="left"/>
        <w:rPr>
          <w:rFonts w:asciiTheme="minorHAnsi" w:hAnsiTheme="minorHAnsi" w:cs="Times New Roman"/>
          <w:color w:val="auto"/>
          <w:szCs w:val="24"/>
        </w:rPr>
      </w:pPr>
    </w:p>
    <w:p w:rsidR="00C77B70" w:rsidRPr="00810067" w:rsidRDefault="001223AE" w:rsidP="002301CC">
      <w:pPr>
        <w:tabs>
          <w:tab w:val="left" w:pos="288"/>
          <w:tab w:val="left" w:pos="4752"/>
        </w:tabs>
        <w:jc w:val="both"/>
        <w:rPr>
          <w:rFonts w:asciiTheme="minorHAnsi" w:hAnsiTheme="minorHAnsi"/>
          <w:color w:val="auto"/>
          <w:szCs w:val="24"/>
        </w:rPr>
      </w:pPr>
      <w:r w:rsidRPr="00810067">
        <w:rPr>
          <w:rFonts w:asciiTheme="minorHAnsi" w:hAnsiTheme="minorHAnsi"/>
          <w:color w:val="000000" w:themeColor="text1"/>
          <w:szCs w:val="24"/>
        </w:rPr>
        <w:t xml:space="preserve">At the time of the MEB the CI reported symptoms of pain “70% of the time,” swelling and increased pain of the knees with activity, and “give way” of his right knee.  </w:t>
      </w:r>
      <w:r w:rsidR="004C2787" w:rsidRPr="00810067">
        <w:rPr>
          <w:rFonts w:asciiTheme="minorHAnsi" w:hAnsiTheme="minorHAnsi"/>
          <w:color w:val="auto"/>
          <w:szCs w:val="24"/>
        </w:rPr>
        <w:t xml:space="preserve">The MEB examiner </w:t>
      </w:r>
      <w:r w:rsidR="001D28C6" w:rsidRPr="00A87D78">
        <w:rPr>
          <w:rFonts w:asciiTheme="minorHAnsi" w:hAnsiTheme="minorHAnsi"/>
          <w:color w:val="auto"/>
          <w:szCs w:val="24"/>
        </w:rPr>
        <w:t xml:space="preserve">noted a normal gait.  There was no effusion or instability of either knee.  Right knee ROM was limited by pain.  </w:t>
      </w:r>
      <w:r w:rsidR="007B5DD7" w:rsidRPr="00A87D78">
        <w:rPr>
          <w:rFonts w:asciiTheme="minorHAnsi" w:hAnsiTheme="minorHAnsi"/>
          <w:color w:val="auto"/>
          <w:szCs w:val="24"/>
        </w:rPr>
        <w:t>The examiner</w:t>
      </w:r>
      <w:r w:rsidR="001D28C6" w:rsidRPr="00A87D78">
        <w:rPr>
          <w:rFonts w:asciiTheme="minorHAnsi" w:hAnsiTheme="minorHAnsi"/>
          <w:color w:val="auto"/>
          <w:szCs w:val="24"/>
        </w:rPr>
        <w:t xml:space="preserve"> opined that the right knee give way was likely due to weakness since there was no evidence of instability.  </w:t>
      </w:r>
      <w:r w:rsidR="00D6432D" w:rsidRPr="00A87D78">
        <w:rPr>
          <w:rFonts w:asciiTheme="minorHAnsi" w:hAnsiTheme="minorHAnsi"/>
          <w:color w:val="auto"/>
          <w:szCs w:val="24"/>
        </w:rPr>
        <w:t>An earlier physical therapy evaluation documented nearly identical ROMs of the knees</w:t>
      </w:r>
      <w:r w:rsidR="00D6432D" w:rsidRPr="00810067">
        <w:rPr>
          <w:rFonts w:asciiTheme="minorHAnsi" w:hAnsiTheme="minorHAnsi"/>
          <w:color w:val="auto"/>
          <w:szCs w:val="24"/>
        </w:rPr>
        <w:t xml:space="preserve"> without comment on other ratable parameters.  Other physical therapy </w:t>
      </w:r>
      <w:r w:rsidR="00A87D78">
        <w:rPr>
          <w:rFonts w:asciiTheme="minorHAnsi" w:hAnsiTheme="minorHAnsi"/>
          <w:color w:val="auto"/>
          <w:szCs w:val="24"/>
        </w:rPr>
        <w:t>notes documented painful motion</w:t>
      </w:r>
      <w:r w:rsidR="00D6432D" w:rsidRPr="00810067">
        <w:rPr>
          <w:rFonts w:asciiTheme="minorHAnsi" w:hAnsiTheme="minorHAnsi"/>
          <w:color w:val="auto"/>
          <w:szCs w:val="24"/>
        </w:rPr>
        <w:t xml:space="preserve">.  A </w:t>
      </w:r>
      <w:r w:rsidR="003C53E8" w:rsidRPr="00810067">
        <w:rPr>
          <w:rFonts w:asciiTheme="minorHAnsi" w:hAnsiTheme="minorHAnsi"/>
          <w:color w:val="auto"/>
          <w:szCs w:val="24"/>
        </w:rPr>
        <w:t xml:space="preserve">VA Compensation </w:t>
      </w:r>
      <w:r w:rsidR="00465645">
        <w:rPr>
          <w:rFonts w:asciiTheme="minorHAnsi" w:hAnsiTheme="minorHAnsi"/>
          <w:color w:val="auto"/>
          <w:szCs w:val="24"/>
        </w:rPr>
        <w:t>and</w:t>
      </w:r>
      <w:r w:rsidR="003C53E8" w:rsidRPr="00810067">
        <w:rPr>
          <w:rFonts w:asciiTheme="minorHAnsi" w:hAnsiTheme="minorHAnsi"/>
          <w:color w:val="auto"/>
          <w:szCs w:val="24"/>
        </w:rPr>
        <w:t xml:space="preserve"> Pension (C&amp;P) exam</w:t>
      </w:r>
      <w:r w:rsidR="00F15BB6" w:rsidRPr="00810067">
        <w:rPr>
          <w:rFonts w:asciiTheme="minorHAnsi" w:hAnsiTheme="minorHAnsi"/>
          <w:color w:val="auto"/>
          <w:szCs w:val="24"/>
        </w:rPr>
        <w:t xml:space="preserve"> two months after separation documented a normal gait.  ROM measurements were again nearly identical to the pr</w:t>
      </w:r>
      <w:r w:rsidR="00465645">
        <w:rPr>
          <w:rFonts w:asciiTheme="minorHAnsi" w:hAnsiTheme="minorHAnsi"/>
          <w:color w:val="auto"/>
          <w:szCs w:val="24"/>
        </w:rPr>
        <w:t xml:space="preserve">ior to </w:t>
      </w:r>
      <w:r w:rsidR="00F15BB6" w:rsidRPr="00810067">
        <w:rPr>
          <w:rFonts w:asciiTheme="minorHAnsi" w:hAnsiTheme="minorHAnsi"/>
          <w:color w:val="auto"/>
          <w:szCs w:val="24"/>
        </w:rPr>
        <w:t xml:space="preserve">separation MEB measurements.  The examiner further noted that there </w:t>
      </w:r>
      <w:r w:rsidR="00F15BB6" w:rsidRPr="00A87D78">
        <w:rPr>
          <w:rFonts w:asciiTheme="minorHAnsi" w:hAnsiTheme="minorHAnsi"/>
          <w:color w:val="auto"/>
          <w:szCs w:val="24"/>
        </w:rPr>
        <w:t>was “no objective evidence of painful motion, edema, effusion, instability,</w:t>
      </w:r>
      <w:r w:rsidR="00F15BB6" w:rsidRPr="00810067">
        <w:rPr>
          <w:rFonts w:asciiTheme="minorHAnsi" w:hAnsiTheme="minorHAnsi"/>
          <w:color w:val="auto"/>
          <w:szCs w:val="24"/>
        </w:rPr>
        <w:t xml:space="preserve"> weakness, tenderness, redness, heat, abnormal movement, guarding of movement” and “no evidence of fatigue; weakness; lack of endurance; or in</w:t>
      </w:r>
      <w:r w:rsidR="00465645">
        <w:rPr>
          <w:rFonts w:asciiTheme="minorHAnsi" w:hAnsiTheme="minorHAnsi"/>
          <w:color w:val="auto"/>
          <w:szCs w:val="24"/>
        </w:rPr>
        <w:t xml:space="preserve"> </w:t>
      </w:r>
      <w:r w:rsidR="00F15BB6" w:rsidRPr="00810067">
        <w:rPr>
          <w:rFonts w:asciiTheme="minorHAnsi" w:hAnsiTheme="minorHAnsi"/>
          <w:color w:val="auto"/>
          <w:szCs w:val="24"/>
        </w:rPr>
        <w:t>coordination w</w:t>
      </w:r>
      <w:r w:rsidR="00C77B70" w:rsidRPr="00810067">
        <w:rPr>
          <w:rFonts w:asciiTheme="minorHAnsi" w:hAnsiTheme="minorHAnsi"/>
          <w:color w:val="auto"/>
          <w:szCs w:val="24"/>
        </w:rPr>
        <w:t>ith</w:t>
      </w:r>
      <w:r w:rsidR="00756217" w:rsidRPr="00810067">
        <w:rPr>
          <w:rFonts w:asciiTheme="minorHAnsi" w:hAnsiTheme="minorHAnsi"/>
          <w:color w:val="auto"/>
          <w:szCs w:val="24"/>
        </w:rPr>
        <w:t xml:space="preserve"> </w:t>
      </w:r>
      <w:r w:rsidR="00F15BB6" w:rsidRPr="00810067">
        <w:rPr>
          <w:rFonts w:asciiTheme="minorHAnsi" w:hAnsiTheme="minorHAnsi"/>
          <w:color w:val="auto"/>
          <w:szCs w:val="24"/>
        </w:rPr>
        <w:t>repetitive use</w:t>
      </w:r>
      <w:r w:rsidR="00465645">
        <w:rPr>
          <w:rFonts w:asciiTheme="minorHAnsi" w:hAnsiTheme="minorHAnsi"/>
          <w:color w:val="auto"/>
          <w:szCs w:val="24"/>
        </w:rPr>
        <w:t>.</w:t>
      </w:r>
      <w:r w:rsidR="00F15BB6" w:rsidRPr="00810067">
        <w:rPr>
          <w:rFonts w:asciiTheme="minorHAnsi" w:hAnsiTheme="minorHAnsi"/>
          <w:color w:val="auto"/>
          <w:szCs w:val="24"/>
        </w:rPr>
        <w:t xml:space="preserve">”  </w:t>
      </w:r>
      <w:r w:rsidR="009D54BC" w:rsidRPr="00810067">
        <w:rPr>
          <w:rFonts w:asciiTheme="minorHAnsi" w:hAnsiTheme="minorHAnsi"/>
          <w:color w:val="auto"/>
          <w:szCs w:val="24"/>
        </w:rPr>
        <w:t xml:space="preserve">Imaging studies demonstrated damaged menisci as noted above.  </w:t>
      </w:r>
    </w:p>
    <w:p w:rsidR="0076645A" w:rsidRDefault="00756217" w:rsidP="002301CC">
      <w:pPr>
        <w:tabs>
          <w:tab w:val="left" w:pos="288"/>
          <w:tab w:val="left" w:pos="4752"/>
        </w:tabs>
        <w:jc w:val="both"/>
        <w:rPr>
          <w:rFonts w:asciiTheme="minorHAnsi" w:hAnsiTheme="minorHAnsi" w:cs="Times New Roman"/>
          <w:color w:val="auto"/>
          <w:szCs w:val="24"/>
        </w:rPr>
      </w:pPr>
      <w:r w:rsidRPr="00810067">
        <w:rPr>
          <w:rFonts w:asciiTheme="minorHAnsi" w:hAnsiTheme="minorHAnsi" w:cs="Times New Roman"/>
          <w:color w:val="auto"/>
          <w:szCs w:val="24"/>
        </w:rPr>
        <w:lastRenderedPageBreak/>
        <w:t xml:space="preserve">The Board first considered if each knee, having been de-coupled from the combined PEB adjudication, remained independently unfitting as established above.  All members agreed that either knee, as an isolated condition, would have rendered the CI incapable of continued service within his MOS, and accordingly merits a separate service rating.  There was no evidence in the clinical record, the profile, or the commander’s statement to distinguish one knee from the other in terms of duty impairment.  </w:t>
      </w:r>
      <w:r w:rsidR="003C53E8" w:rsidRPr="00810067">
        <w:rPr>
          <w:rFonts w:asciiTheme="minorHAnsi" w:hAnsiTheme="minorHAnsi" w:cs="Times New Roman"/>
          <w:color w:val="auto"/>
          <w:szCs w:val="24"/>
        </w:rPr>
        <w:t xml:space="preserve">The PEB and VA chose different coding options for the condition, but this did not bear on rating.  The PEB’s DA Form 199 reflected application of the USAPDA pain policy for rating, </w:t>
      </w:r>
      <w:r w:rsidR="009D54BC" w:rsidRPr="00810067">
        <w:rPr>
          <w:rFonts w:asciiTheme="minorHAnsi" w:hAnsiTheme="minorHAnsi" w:cs="Times New Roman"/>
          <w:color w:val="auto"/>
          <w:szCs w:val="24"/>
        </w:rPr>
        <w:t>and</w:t>
      </w:r>
      <w:r w:rsidR="003C53E8" w:rsidRPr="00810067">
        <w:rPr>
          <w:rFonts w:asciiTheme="minorHAnsi" w:hAnsiTheme="minorHAnsi" w:cs="Times New Roman"/>
          <w:color w:val="auto"/>
          <w:szCs w:val="24"/>
        </w:rPr>
        <w:t xml:space="preserve"> its 10% determination was</w:t>
      </w:r>
      <w:r w:rsidR="009D54BC" w:rsidRPr="00810067">
        <w:rPr>
          <w:rFonts w:asciiTheme="minorHAnsi" w:hAnsiTheme="minorHAnsi" w:cs="Times New Roman"/>
          <w:color w:val="auto"/>
          <w:szCs w:val="24"/>
        </w:rPr>
        <w:t xml:space="preserve"> not</w:t>
      </w:r>
      <w:r w:rsidR="003C53E8" w:rsidRPr="00810067">
        <w:rPr>
          <w:rFonts w:asciiTheme="minorHAnsi" w:hAnsiTheme="minorHAnsi" w:cs="Times New Roman"/>
          <w:color w:val="auto"/>
          <w:szCs w:val="24"/>
        </w:rPr>
        <w:t xml:space="preserve"> consistent with §4.71a standards.</w:t>
      </w:r>
      <w:r w:rsidR="009D54BC" w:rsidRPr="00810067">
        <w:rPr>
          <w:rFonts w:asciiTheme="minorHAnsi" w:hAnsiTheme="minorHAnsi" w:cs="Times New Roman"/>
          <w:color w:val="auto"/>
          <w:szCs w:val="24"/>
        </w:rPr>
        <w:t xml:space="preserve">  </w:t>
      </w:r>
      <w:r w:rsidR="0076645A" w:rsidRPr="00810067">
        <w:rPr>
          <w:rFonts w:asciiTheme="minorHAnsi" w:hAnsiTheme="minorHAnsi" w:cs="Times New Roman"/>
          <w:color w:val="auto"/>
          <w:szCs w:val="24"/>
        </w:rPr>
        <w:t xml:space="preserve">The PEB’s chosen code 5003 </w:t>
      </w:r>
      <w:r w:rsidR="00BC3712" w:rsidRPr="00810067">
        <w:rPr>
          <w:rFonts w:asciiTheme="minorHAnsi" w:hAnsiTheme="minorHAnsi" w:cs="Times New Roman"/>
          <w:color w:val="auto"/>
          <w:szCs w:val="24"/>
        </w:rPr>
        <w:t>specifies that</w:t>
      </w:r>
      <w:r w:rsidR="009D54BC" w:rsidRPr="00810067">
        <w:rPr>
          <w:rFonts w:asciiTheme="minorHAnsi" w:hAnsiTheme="minorHAnsi" w:cs="Times New Roman"/>
          <w:color w:val="auto"/>
          <w:szCs w:val="24"/>
        </w:rPr>
        <w:t xml:space="preserve">, in the presence of degenerative arthritis established by </w:t>
      </w:r>
      <w:r w:rsidR="00465645">
        <w:rPr>
          <w:rFonts w:asciiTheme="minorHAnsi" w:hAnsiTheme="minorHAnsi" w:cs="Times New Roman"/>
          <w:color w:val="auto"/>
          <w:szCs w:val="24"/>
        </w:rPr>
        <w:t>x</w:t>
      </w:r>
      <w:r w:rsidR="009D54BC" w:rsidRPr="00810067">
        <w:rPr>
          <w:rFonts w:asciiTheme="minorHAnsi" w:hAnsiTheme="minorHAnsi" w:cs="Times New Roman"/>
          <w:color w:val="auto"/>
          <w:szCs w:val="24"/>
        </w:rPr>
        <w:t>-ray findings,</w:t>
      </w:r>
      <w:r w:rsidR="00F15BB6" w:rsidRPr="00810067">
        <w:rPr>
          <w:rFonts w:asciiTheme="minorHAnsi" w:hAnsiTheme="minorHAnsi" w:cs="Times New Roman"/>
          <w:color w:val="auto"/>
          <w:szCs w:val="24"/>
        </w:rPr>
        <w:t xml:space="preserve"> when</w:t>
      </w:r>
      <w:r w:rsidR="00BC3712" w:rsidRPr="00810067">
        <w:rPr>
          <w:rFonts w:asciiTheme="minorHAnsi" w:hAnsiTheme="minorHAnsi" w:cs="Times New Roman"/>
          <w:color w:val="auto"/>
          <w:szCs w:val="24"/>
        </w:rPr>
        <w:t xml:space="preserve"> “</w:t>
      </w:r>
      <w:r w:rsidR="00F15BB6" w:rsidRPr="00810067">
        <w:rPr>
          <w:rFonts w:asciiTheme="minorHAnsi" w:hAnsiTheme="minorHAnsi" w:cs="Times New Roman"/>
          <w:color w:val="auto"/>
          <w:szCs w:val="24"/>
        </w:rPr>
        <w:t>the limitation of motion of the specific joint or joints involved is non</w:t>
      </w:r>
      <w:r w:rsidR="00465645">
        <w:rPr>
          <w:rFonts w:asciiTheme="minorHAnsi" w:hAnsiTheme="minorHAnsi" w:cs="Times New Roman"/>
          <w:color w:val="auto"/>
          <w:szCs w:val="24"/>
        </w:rPr>
        <w:t>-</w:t>
      </w:r>
      <w:r w:rsidR="00F15BB6" w:rsidRPr="00810067">
        <w:rPr>
          <w:rFonts w:asciiTheme="minorHAnsi" w:hAnsiTheme="minorHAnsi" w:cs="Times New Roman"/>
          <w:color w:val="auto"/>
          <w:szCs w:val="24"/>
        </w:rPr>
        <w:t>compensable under the appropriate diagnostic codes, a</w:t>
      </w:r>
      <w:r w:rsidR="00BC3712" w:rsidRPr="00810067">
        <w:rPr>
          <w:rFonts w:asciiTheme="minorHAnsi" w:hAnsiTheme="minorHAnsi" w:cs="Times New Roman"/>
          <w:color w:val="auto"/>
          <w:szCs w:val="24"/>
        </w:rPr>
        <w:t xml:space="preserve"> rating of 10 pct is for application for each such major joint or group of minor joints affected by limitation of motion, to be combined, not added under diagnostic code 5003.</w:t>
      </w:r>
      <w:r w:rsidR="0076645A" w:rsidRPr="00810067">
        <w:rPr>
          <w:rFonts w:asciiTheme="minorHAnsi" w:hAnsiTheme="minorHAnsi" w:cs="Times New Roman"/>
          <w:color w:val="auto"/>
          <w:szCs w:val="24"/>
        </w:rPr>
        <w:t xml:space="preserve">  Limitation of motion must be objectively confirmed by findings such as swelling, muscle spasm, or satisfactory evidence of painful motion.</w:t>
      </w:r>
      <w:r w:rsidR="00BC3712" w:rsidRPr="00810067">
        <w:rPr>
          <w:rFonts w:asciiTheme="minorHAnsi" w:hAnsiTheme="minorHAnsi" w:cs="Times New Roman"/>
          <w:color w:val="auto"/>
          <w:szCs w:val="24"/>
        </w:rPr>
        <w:t xml:space="preserve">”  There was noncompensable ROM impairment of each knee, </w:t>
      </w:r>
      <w:r w:rsidR="009D54BC" w:rsidRPr="00810067">
        <w:rPr>
          <w:rFonts w:asciiTheme="minorHAnsi" w:hAnsiTheme="minorHAnsi" w:cs="Times New Roman"/>
          <w:color w:val="auto"/>
          <w:szCs w:val="24"/>
        </w:rPr>
        <w:t xml:space="preserve">and the Board </w:t>
      </w:r>
      <w:r w:rsidR="00F661C4" w:rsidRPr="00810067">
        <w:rPr>
          <w:rFonts w:asciiTheme="minorHAnsi" w:hAnsiTheme="minorHAnsi" w:cs="Times New Roman"/>
          <w:color w:val="auto"/>
          <w:szCs w:val="24"/>
        </w:rPr>
        <w:t>agreed</w:t>
      </w:r>
      <w:r w:rsidR="009D54BC" w:rsidRPr="00810067">
        <w:rPr>
          <w:rFonts w:asciiTheme="minorHAnsi" w:hAnsiTheme="minorHAnsi" w:cs="Times New Roman"/>
          <w:color w:val="auto"/>
          <w:szCs w:val="24"/>
        </w:rPr>
        <w:t xml:space="preserve"> that there </w:t>
      </w:r>
      <w:r w:rsidR="00F661C4" w:rsidRPr="00810067">
        <w:rPr>
          <w:rFonts w:asciiTheme="minorHAnsi" w:hAnsiTheme="minorHAnsi" w:cs="Times New Roman"/>
          <w:color w:val="auto"/>
          <w:szCs w:val="24"/>
        </w:rPr>
        <w:t>was</w:t>
      </w:r>
      <w:r w:rsidR="00BC3712" w:rsidRPr="00810067">
        <w:rPr>
          <w:rFonts w:asciiTheme="minorHAnsi" w:hAnsiTheme="minorHAnsi" w:cs="Times New Roman"/>
          <w:color w:val="auto"/>
          <w:szCs w:val="24"/>
        </w:rPr>
        <w:t xml:space="preserve"> adequate documentation of </w:t>
      </w:r>
      <w:r w:rsidR="00F15BB6" w:rsidRPr="00810067">
        <w:rPr>
          <w:rFonts w:asciiTheme="minorHAnsi" w:hAnsiTheme="minorHAnsi" w:cs="Times New Roman"/>
          <w:color w:val="auto"/>
          <w:szCs w:val="24"/>
        </w:rPr>
        <w:t xml:space="preserve">degenerative changes and </w:t>
      </w:r>
      <w:r w:rsidR="00F661C4" w:rsidRPr="00810067">
        <w:rPr>
          <w:rFonts w:asciiTheme="minorHAnsi" w:hAnsiTheme="minorHAnsi" w:cs="Times New Roman"/>
          <w:color w:val="auto"/>
          <w:szCs w:val="24"/>
        </w:rPr>
        <w:t xml:space="preserve">painful motion of each joint </w:t>
      </w:r>
      <w:r w:rsidR="009D54BC" w:rsidRPr="00810067">
        <w:rPr>
          <w:rFonts w:asciiTheme="minorHAnsi" w:hAnsiTheme="minorHAnsi" w:cs="Times New Roman"/>
          <w:color w:val="auto"/>
          <w:szCs w:val="24"/>
        </w:rPr>
        <w:t>in the pre-separation data</w:t>
      </w:r>
      <w:r w:rsidRPr="00810067">
        <w:rPr>
          <w:rFonts w:asciiTheme="minorHAnsi" w:hAnsiTheme="minorHAnsi" w:cs="Times New Roman"/>
          <w:color w:val="auto"/>
          <w:szCs w:val="24"/>
        </w:rPr>
        <w:t xml:space="preserve"> to merit application of a minimal compensable rating under this code</w:t>
      </w:r>
      <w:r w:rsidR="00BC3712" w:rsidRPr="00810067">
        <w:rPr>
          <w:rFonts w:asciiTheme="minorHAnsi" w:hAnsiTheme="minorHAnsi" w:cs="Times New Roman"/>
          <w:color w:val="auto"/>
          <w:szCs w:val="24"/>
        </w:rPr>
        <w:t xml:space="preserve">.  </w:t>
      </w:r>
      <w:r w:rsidRPr="00810067">
        <w:rPr>
          <w:rFonts w:asciiTheme="minorHAnsi" w:hAnsiTheme="minorHAnsi" w:cs="Times New Roman"/>
          <w:color w:val="auto"/>
          <w:szCs w:val="24"/>
        </w:rPr>
        <w:t xml:space="preserve">The Board </w:t>
      </w:r>
      <w:r w:rsidR="007B5DD7" w:rsidRPr="00810067">
        <w:rPr>
          <w:rFonts w:asciiTheme="minorHAnsi" w:hAnsiTheme="minorHAnsi" w:cs="Times New Roman"/>
          <w:color w:val="auto"/>
          <w:szCs w:val="24"/>
        </w:rPr>
        <w:t xml:space="preserve">also </w:t>
      </w:r>
      <w:r w:rsidRPr="00810067">
        <w:rPr>
          <w:rFonts w:asciiTheme="minorHAnsi" w:hAnsiTheme="minorHAnsi" w:cs="Times New Roman"/>
          <w:color w:val="auto"/>
          <w:szCs w:val="24"/>
        </w:rPr>
        <w:t>considered code 5259 (</w:t>
      </w:r>
      <w:r w:rsidR="00465645">
        <w:rPr>
          <w:rFonts w:asciiTheme="minorHAnsi" w:hAnsiTheme="minorHAnsi" w:cs="Times New Roman"/>
          <w:color w:val="auto"/>
          <w:szCs w:val="24"/>
        </w:rPr>
        <w:t>c</w:t>
      </w:r>
      <w:r w:rsidRPr="00810067">
        <w:rPr>
          <w:rFonts w:asciiTheme="minorHAnsi" w:hAnsiTheme="minorHAnsi" w:cs="Times New Roman"/>
          <w:color w:val="auto"/>
          <w:szCs w:val="24"/>
        </w:rPr>
        <w:t xml:space="preserve">artilage, </w:t>
      </w:r>
      <w:proofErr w:type="spellStart"/>
      <w:r w:rsidRPr="00810067">
        <w:rPr>
          <w:rFonts w:asciiTheme="minorHAnsi" w:hAnsiTheme="minorHAnsi" w:cs="Times New Roman"/>
          <w:color w:val="auto"/>
          <w:szCs w:val="24"/>
        </w:rPr>
        <w:t>semilunar</w:t>
      </w:r>
      <w:proofErr w:type="spellEnd"/>
      <w:r w:rsidRPr="00810067">
        <w:rPr>
          <w:rFonts w:asciiTheme="minorHAnsi" w:hAnsiTheme="minorHAnsi" w:cs="Times New Roman"/>
          <w:color w:val="auto"/>
          <w:szCs w:val="24"/>
        </w:rPr>
        <w:t xml:space="preserve">, removal of, symptomatic) applicable to the underlying pathology, which </w:t>
      </w:r>
      <w:r w:rsidR="007B5DD7" w:rsidRPr="00810067">
        <w:rPr>
          <w:rFonts w:asciiTheme="minorHAnsi" w:hAnsiTheme="minorHAnsi" w:cs="Times New Roman"/>
          <w:color w:val="auto"/>
          <w:szCs w:val="24"/>
        </w:rPr>
        <w:t xml:space="preserve">likewise </w:t>
      </w:r>
      <w:r w:rsidRPr="00810067">
        <w:rPr>
          <w:rFonts w:asciiTheme="minorHAnsi" w:hAnsiTheme="minorHAnsi" w:cs="Times New Roman"/>
          <w:color w:val="auto"/>
          <w:szCs w:val="24"/>
        </w:rPr>
        <w:t xml:space="preserve">results in a 10% rating for each knee.  </w:t>
      </w:r>
      <w:r w:rsidR="00A87D78">
        <w:rPr>
          <w:rFonts w:asciiTheme="minorHAnsi" w:hAnsiTheme="minorHAnsi" w:cs="Times New Roman"/>
          <w:color w:val="auto"/>
          <w:szCs w:val="24"/>
        </w:rPr>
        <w:t>T</w:t>
      </w:r>
      <w:r w:rsidRPr="00810067">
        <w:rPr>
          <w:rFonts w:asciiTheme="minorHAnsi" w:hAnsiTheme="minorHAnsi" w:cs="Times New Roman"/>
          <w:color w:val="auto"/>
          <w:szCs w:val="24"/>
        </w:rPr>
        <w:t xml:space="preserve">he Board considered the VA </w:t>
      </w:r>
      <w:r w:rsidR="007B5DD7" w:rsidRPr="00810067">
        <w:rPr>
          <w:rFonts w:asciiTheme="minorHAnsi" w:hAnsiTheme="minorHAnsi" w:cs="Times New Roman"/>
          <w:color w:val="auto"/>
          <w:szCs w:val="24"/>
        </w:rPr>
        <w:t>choice</w:t>
      </w:r>
      <w:r w:rsidRPr="00810067">
        <w:rPr>
          <w:rFonts w:asciiTheme="minorHAnsi" w:hAnsiTheme="minorHAnsi" w:cs="Times New Roman"/>
          <w:color w:val="auto"/>
          <w:szCs w:val="24"/>
        </w:rPr>
        <w:t xml:space="preserve"> of </w:t>
      </w:r>
      <w:r w:rsidR="007B5DD7" w:rsidRPr="00810067">
        <w:rPr>
          <w:rFonts w:asciiTheme="minorHAnsi" w:hAnsiTheme="minorHAnsi" w:cs="Times New Roman"/>
          <w:color w:val="auto"/>
          <w:szCs w:val="24"/>
        </w:rPr>
        <w:t>coding</w:t>
      </w:r>
      <w:r w:rsidRPr="00810067">
        <w:rPr>
          <w:rFonts w:asciiTheme="minorHAnsi" w:hAnsiTheme="minorHAnsi" w:cs="Times New Roman"/>
          <w:color w:val="auto"/>
          <w:szCs w:val="24"/>
        </w:rPr>
        <w:t xml:space="preserve"> each knee</w:t>
      </w:r>
      <w:r w:rsidR="007B5DD7" w:rsidRPr="00810067">
        <w:rPr>
          <w:rFonts w:asciiTheme="minorHAnsi" w:hAnsiTheme="minorHAnsi" w:cs="Times New Roman"/>
          <w:color w:val="auto"/>
          <w:szCs w:val="24"/>
        </w:rPr>
        <w:t xml:space="preserve"> analogous to </w:t>
      </w:r>
      <w:r w:rsidR="002301CC" w:rsidRPr="00810067">
        <w:rPr>
          <w:rFonts w:asciiTheme="minorHAnsi" w:hAnsiTheme="minorHAnsi" w:cs="Times New Roman"/>
          <w:color w:val="auto"/>
          <w:szCs w:val="24"/>
        </w:rPr>
        <w:t xml:space="preserve">5260, </w:t>
      </w:r>
      <w:r w:rsidR="007B5DD7" w:rsidRPr="00810067">
        <w:rPr>
          <w:rFonts w:asciiTheme="minorHAnsi" w:hAnsiTheme="minorHAnsi" w:cs="Times New Roman"/>
          <w:color w:val="auto"/>
          <w:szCs w:val="24"/>
        </w:rPr>
        <w:t>loss of motion in flexion.  Based on pr</w:t>
      </w:r>
      <w:r w:rsidR="00465645">
        <w:rPr>
          <w:rFonts w:asciiTheme="minorHAnsi" w:hAnsiTheme="minorHAnsi" w:cs="Times New Roman"/>
          <w:color w:val="auto"/>
          <w:szCs w:val="24"/>
        </w:rPr>
        <w:t xml:space="preserve">ior to </w:t>
      </w:r>
      <w:r w:rsidR="007B5DD7" w:rsidRPr="00810067">
        <w:rPr>
          <w:rFonts w:asciiTheme="minorHAnsi" w:hAnsiTheme="minorHAnsi" w:cs="Times New Roman"/>
          <w:color w:val="auto"/>
          <w:szCs w:val="24"/>
        </w:rPr>
        <w:t xml:space="preserve">separation data this coding approach would also yield a minimal compensable rating with application of </w:t>
      </w:r>
      <w:r w:rsidR="00B477AE" w:rsidRPr="00810067">
        <w:rPr>
          <w:rFonts w:asciiTheme="minorHAnsi" w:hAnsiTheme="minorHAnsi" w:cs="Times New Roman"/>
          <w:color w:val="auto"/>
          <w:szCs w:val="24"/>
        </w:rPr>
        <w:t xml:space="preserve">§4.59 (painful motion).  </w:t>
      </w:r>
      <w:r w:rsidR="00A87D78" w:rsidRPr="00810067">
        <w:rPr>
          <w:rFonts w:asciiTheme="minorHAnsi" w:hAnsiTheme="minorHAnsi" w:cs="Times New Roman"/>
          <w:color w:val="auto"/>
          <w:szCs w:val="24"/>
        </w:rPr>
        <w:t>Finally</w:t>
      </w:r>
      <w:r w:rsidR="00A87D78">
        <w:rPr>
          <w:rFonts w:asciiTheme="minorHAnsi" w:hAnsiTheme="minorHAnsi" w:cs="Times New Roman"/>
          <w:color w:val="auto"/>
          <w:szCs w:val="24"/>
        </w:rPr>
        <w:t xml:space="preserve">, the Board </w:t>
      </w:r>
      <w:r w:rsidR="00A87D78" w:rsidRPr="00A87D78">
        <w:rPr>
          <w:rFonts w:asciiTheme="minorHAnsi" w:hAnsiTheme="minorHAnsi" w:cs="Times New Roman"/>
          <w:color w:val="auto"/>
          <w:szCs w:val="24"/>
        </w:rPr>
        <w:t>considered</w:t>
      </w:r>
      <w:r w:rsidR="00A87D78" w:rsidRPr="00A87D78">
        <w:rPr>
          <w:rFonts w:asciiTheme="minorHAnsi" w:hAnsiTheme="minorHAnsi" w:cs="Times New Roman"/>
          <w:color w:val="auto"/>
          <w:sz w:val="18"/>
          <w:szCs w:val="18"/>
        </w:rPr>
        <w:t xml:space="preserve"> </w:t>
      </w:r>
      <w:r w:rsidR="00A87D78" w:rsidRPr="00A87D78">
        <w:rPr>
          <w:rFonts w:asciiTheme="minorHAnsi" w:hAnsiTheme="minorHAnsi" w:cs="Times New Roman"/>
          <w:color w:val="auto"/>
          <w:szCs w:val="24"/>
        </w:rPr>
        <w:t xml:space="preserve">code 5258 criteria based on </w:t>
      </w:r>
      <w:r w:rsidR="00A87D78">
        <w:rPr>
          <w:rFonts w:asciiTheme="minorHAnsi" w:hAnsiTheme="minorHAnsi" w:cs="Times New Roman"/>
          <w:color w:val="auto"/>
          <w:szCs w:val="24"/>
        </w:rPr>
        <w:t xml:space="preserve">the </w:t>
      </w:r>
      <w:r w:rsidR="00A87D78" w:rsidRPr="00A87D78">
        <w:rPr>
          <w:rFonts w:asciiTheme="minorHAnsi" w:hAnsiTheme="minorHAnsi" w:cs="Times New Roman"/>
          <w:color w:val="auto"/>
          <w:szCs w:val="24"/>
        </w:rPr>
        <w:t xml:space="preserve">symptoms of </w:t>
      </w:r>
      <w:r w:rsidR="00A87D78">
        <w:rPr>
          <w:rFonts w:asciiTheme="minorHAnsi" w:hAnsiTheme="minorHAnsi" w:cs="Times New Roman"/>
          <w:color w:val="auto"/>
          <w:szCs w:val="24"/>
        </w:rPr>
        <w:t xml:space="preserve">the right knee </w:t>
      </w:r>
      <w:r w:rsidR="00A87D78" w:rsidRPr="00A87D78">
        <w:rPr>
          <w:rFonts w:asciiTheme="minorHAnsi" w:hAnsiTheme="minorHAnsi" w:cs="Times New Roman"/>
          <w:color w:val="auto"/>
          <w:szCs w:val="24"/>
        </w:rPr>
        <w:t>giving way</w:t>
      </w:r>
      <w:r w:rsidR="00A87D78">
        <w:rPr>
          <w:rFonts w:asciiTheme="minorHAnsi" w:hAnsiTheme="minorHAnsi" w:cs="Times New Roman"/>
          <w:color w:val="auto"/>
          <w:szCs w:val="24"/>
        </w:rPr>
        <w:t xml:space="preserve"> </w:t>
      </w:r>
      <w:r w:rsidR="00A87D78" w:rsidRPr="00A87D78">
        <w:rPr>
          <w:rFonts w:asciiTheme="minorHAnsi" w:hAnsiTheme="minorHAnsi" w:cs="Times New Roman"/>
          <w:color w:val="auto"/>
          <w:szCs w:val="24"/>
        </w:rPr>
        <w:t xml:space="preserve">and effusions of both knees, but </w:t>
      </w:r>
      <w:r w:rsidR="00A87D78">
        <w:rPr>
          <w:rFonts w:asciiTheme="minorHAnsi" w:hAnsiTheme="minorHAnsi" w:cs="Times New Roman"/>
          <w:color w:val="auto"/>
          <w:szCs w:val="24"/>
        </w:rPr>
        <w:t xml:space="preserve">there was </w:t>
      </w:r>
      <w:r w:rsidR="00A87D78" w:rsidRPr="00A87D78">
        <w:rPr>
          <w:rFonts w:asciiTheme="minorHAnsi" w:hAnsiTheme="minorHAnsi" w:cs="Times New Roman"/>
          <w:color w:val="auto"/>
          <w:szCs w:val="24"/>
        </w:rPr>
        <w:t xml:space="preserve">no objective </w:t>
      </w:r>
      <w:r w:rsidR="00A87D78">
        <w:rPr>
          <w:rFonts w:asciiTheme="minorHAnsi" w:hAnsiTheme="minorHAnsi" w:cs="Times New Roman"/>
          <w:color w:val="auto"/>
          <w:szCs w:val="24"/>
        </w:rPr>
        <w:t xml:space="preserve">clinical </w:t>
      </w:r>
      <w:r w:rsidR="00A87D78" w:rsidRPr="00A87D78">
        <w:rPr>
          <w:rFonts w:asciiTheme="minorHAnsi" w:hAnsiTheme="minorHAnsi" w:cs="Times New Roman"/>
          <w:color w:val="auto"/>
          <w:szCs w:val="24"/>
        </w:rPr>
        <w:t xml:space="preserve">evidence to support </w:t>
      </w:r>
      <w:r w:rsidR="00A87D78">
        <w:rPr>
          <w:rFonts w:asciiTheme="minorHAnsi" w:hAnsiTheme="minorHAnsi" w:cs="Times New Roman"/>
          <w:color w:val="auto"/>
          <w:szCs w:val="24"/>
        </w:rPr>
        <w:t xml:space="preserve">these symptoms. </w:t>
      </w:r>
      <w:r w:rsidR="00A87D78" w:rsidRPr="00810067">
        <w:rPr>
          <w:rFonts w:asciiTheme="minorHAnsi" w:hAnsiTheme="minorHAnsi" w:cs="Times New Roman"/>
          <w:color w:val="auto"/>
          <w:szCs w:val="24"/>
        </w:rPr>
        <w:t xml:space="preserve"> </w:t>
      </w:r>
      <w:r w:rsidR="007B5DD7" w:rsidRPr="00810067">
        <w:rPr>
          <w:rFonts w:asciiTheme="minorHAnsi" w:hAnsiTheme="minorHAnsi" w:cs="Times New Roman"/>
          <w:color w:val="auto"/>
          <w:szCs w:val="24"/>
        </w:rPr>
        <w:t>There was no VASRD compliant coding or rating approach that would yield higher than a minimal compensable rating for either knee.</w:t>
      </w:r>
      <w:r w:rsidR="00A87D78">
        <w:rPr>
          <w:rFonts w:asciiTheme="minorHAnsi" w:hAnsiTheme="minorHAnsi" w:cs="Times New Roman"/>
          <w:color w:val="auto"/>
          <w:szCs w:val="24"/>
        </w:rPr>
        <w:t xml:space="preserve"> </w:t>
      </w:r>
      <w:r w:rsidR="007B5DD7" w:rsidRPr="00A4317B">
        <w:rPr>
          <w:rFonts w:asciiTheme="minorHAnsi" w:hAnsiTheme="minorHAnsi" w:cs="Times New Roman"/>
          <w:color w:val="auto"/>
          <w:sz w:val="18"/>
          <w:szCs w:val="18"/>
        </w:rPr>
        <w:t xml:space="preserve"> </w:t>
      </w:r>
      <w:r w:rsidR="0076645A" w:rsidRPr="0076645A">
        <w:rPr>
          <w:rFonts w:asciiTheme="minorHAnsi" w:hAnsiTheme="minorHAnsi" w:cs="Times New Roman"/>
          <w:color w:val="auto"/>
          <w:szCs w:val="24"/>
        </w:rPr>
        <w:t>After due deliberation, considering all of the evidence and mindful of VASRD §4.3 (reasonable doubt), the Board recommends that the bi</w:t>
      </w:r>
      <w:r w:rsidR="0076645A" w:rsidRPr="00A87D78">
        <w:rPr>
          <w:rFonts w:asciiTheme="minorHAnsi" w:hAnsiTheme="minorHAnsi" w:cs="Times New Roman"/>
          <w:color w:val="auto"/>
          <w:szCs w:val="24"/>
        </w:rPr>
        <w:t xml:space="preserve">lateral knee condition be rated for two separate unfitting conditions as follows: right knee coded </w:t>
      </w:r>
      <w:r w:rsidR="00A4317B" w:rsidRPr="00A87D78">
        <w:rPr>
          <w:rFonts w:asciiTheme="minorHAnsi" w:hAnsiTheme="minorHAnsi" w:cs="Times New Roman"/>
          <w:color w:val="auto"/>
          <w:szCs w:val="24"/>
        </w:rPr>
        <w:t>5259 for clinical specificity</w:t>
      </w:r>
      <w:r w:rsidR="00641A5F" w:rsidRPr="00A87D78">
        <w:rPr>
          <w:rFonts w:asciiTheme="minorHAnsi" w:hAnsiTheme="minorHAnsi" w:cs="Times New Roman"/>
          <w:color w:val="auto"/>
          <w:szCs w:val="24"/>
        </w:rPr>
        <w:t xml:space="preserve"> subsuming painful motion, degenerative changes and non</w:t>
      </w:r>
      <w:r w:rsidR="00465645">
        <w:rPr>
          <w:rFonts w:asciiTheme="minorHAnsi" w:hAnsiTheme="minorHAnsi" w:cs="Times New Roman"/>
          <w:color w:val="auto"/>
          <w:szCs w:val="24"/>
        </w:rPr>
        <w:t>-</w:t>
      </w:r>
      <w:proofErr w:type="spellStart"/>
      <w:r w:rsidR="00641A5F" w:rsidRPr="00A87D78">
        <w:rPr>
          <w:rFonts w:asciiTheme="minorHAnsi" w:hAnsiTheme="minorHAnsi" w:cs="Times New Roman"/>
          <w:color w:val="auto"/>
          <w:szCs w:val="24"/>
        </w:rPr>
        <w:t>compsenable</w:t>
      </w:r>
      <w:proofErr w:type="spellEnd"/>
      <w:r w:rsidR="00641A5F" w:rsidRPr="00A87D78">
        <w:rPr>
          <w:rFonts w:asciiTheme="minorHAnsi" w:hAnsiTheme="minorHAnsi" w:cs="Times New Roman"/>
          <w:color w:val="auto"/>
          <w:szCs w:val="24"/>
        </w:rPr>
        <w:t xml:space="preserve"> loss of flexion</w:t>
      </w:r>
      <w:r w:rsidR="00A87D78" w:rsidRPr="00A87D78">
        <w:rPr>
          <w:rFonts w:asciiTheme="minorHAnsi" w:hAnsiTheme="minorHAnsi" w:cs="Times New Roman"/>
          <w:color w:val="auto"/>
          <w:szCs w:val="24"/>
        </w:rPr>
        <w:t xml:space="preserve"> rated 10% and </w:t>
      </w:r>
      <w:r w:rsidR="0076645A" w:rsidRPr="00A87D78">
        <w:rPr>
          <w:rFonts w:asciiTheme="minorHAnsi" w:hAnsiTheme="minorHAnsi" w:cs="Times New Roman"/>
          <w:color w:val="auto"/>
          <w:szCs w:val="24"/>
        </w:rPr>
        <w:t>left knee coded</w:t>
      </w:r>
      <w:r w:rsidR="00641A5F" w:rsidRPr="00A87D78">
        <w:rPr>
          <w:rFonts w:asciiTheme="minorHAnsi" w:hAnsiTheme="minorHAnsi" w:cs="Times New Roman"/>
          <w:color w:val="auto"/>
          <w:szCs w:val="24"/>
        </w:rPr>
        <w:t xml:space="preserve"> 5259 for clinical specificity</w:t>
      </w:r>
      <w:r w:rsidR="00A87D78">
        <w:rPr>
          <w:rFonts w:asciiTheme="minorHAnsi" w:hAnsiTheme="minorHAnsi" w:cs="Times New Roman"/>
          <w:color w:val="auto"/>
          <w:szCs w:val="24"/>
        </w:rPr>
        <w:t>,</w:t>
      </w:r>
      <w:r w:rsidR="00641A5F" w:rsidRPr="00A87D78">
        <w:rPr>
          <w:rFonts w:asciiTheme="minorHAnsi" w:hAnsiTheme="minorHAnsi" w:cs="Times New Roman"/>
          <w:color w:val="auto"/>
          <w:szCs w:val="24"/>
        </w:rPr>
        <w:t xml:space="preserve"> degenerative changes and noncompsenable loss of flexion</w:t>
      </w:r>
      <w:r w:rsidR="0076645A" w:rsidRPr="0076645A">
        <w:rPr>
          <w:rFonts w:asciiTheme="minorHAnsi" w:hAnsiTheme="minorHAnsi" w:cs="Times New Roman"/>
          <w:color w:val="auto"/>
          <w:szCs w:val="24"/>
        </w:rPr>
        <w:t xml:space="preserve"> rated 10%.</w:t>
      </w:r>
    </w:p>
    <w:p w:rsidR="00615A66" w:rsidRPr="001F29F9" w:rsidRDefault="00615A66" w:rsidP="00BF0E94">
      <w:pPr>
        <w:jc w:val="left"/>
        <w:rPr>
          <w:color w:val="000000" w:themeColor="text1"/>
          <w:szCs w:val="24"/>
          <w:u w:val="single"/>
        </w:rPr>
      </w:pPr>
    </w:p>
    <w:p w:rsidR="004C60A3" w:rsidRPr="001F29F9" w:rsidRDefault="004C60A3" w:rsidP="002301CC">
      <w:pPr>
        <w:jc w:val="both"/>
        <w:rPr>
          <w:rFonts w:eastAsia="HiddenHorzOCR"/>
          <w:i/>
          <w:color w:val="000000" w:themeColor="text1"/>
          <w:sz w:val="20"/>
        </w:rPr>
      </w:pPr>
      <w:r w:rsidRPr="00DD5969">
        <w:rPr>
          <w:rFonts w:eastAsia="HiddenHorzOCR"/>
          <w:color w:val="000000" w:themeColor="text1"/>
          <w:szCs w:val="24"/>
          <w:u w:val="single"/>
        </w:rPr>
        <w:t>Ot</w:t>
      </w:r>
      <w:r w:rsidR="003604A5" w:rsidRPr="00DD5969">
        <w:rPr>
          <w:rFonts w:eastAsia="HiddenHorzOCR"/>
          <w:color w:val="000000" w:themeColor="text1"/>
          <w:szCs w:val="24"/>
          <w:u w:val="single"/>
        </w:rPr>
        <w:t xml:space="preserve">her </w:t>
      </w:r>
      <w:r w:rsidR="008F30F4" w:rsidRPr="00DD5969">
        <w:rPr>
          <w:rFonts w:eastAsia="HiddenHorzOCR"/>
          <w:color w:val="000000" w:themeColor="text1"/>
          <w:szCs w:val="24"/>
          <w:u w:val="single"/>
        </w:rPr>
        <w:t xml:space="preserve">PEB </w:t>
      </w:r>
      <w:r w:rsidR="003604A5" w:rsidRPr="00DD5969">
        <w:rPr>
          <w:rFonts w:eastAsia="HiddenHorzOCR"/>
          <w:color w:val="000000" w:themeColor="text1"/>
          <w:szCs w:val="24"/>
          <w:u w:val="single"/>
        </w:rPr>
        <w:t>Conditions</w:t>
      </w:r>
      <w:r w:rsidR="003604A5" w:rsidRPr="00DD5969">
        <w:rPr>
          <w:rFonts w:eastAsia="HiddenHorzOCR"/>
          <w:color w:val="000000" w:themeColor="text1"/>
          <w:szCs w:val="24"/>
        </w:rPr>
        <w:t>.</w:t>
      </w:r>
      <w:r w:rsidR="002F2981" w:rsidRPr="00DD5969">
        <w:rPr>
          <w:rFonts w:eastAsia="HiddenHorzOCR"/>
          <w:color w:val="000000" w:themeColor="text1"/>
          <w:szCs w:val="24"/>
        </w:rPr>
        <w:t xml:space="preserve"> </w:t>
      </w:r>
      <w:r w:rsidR="003C5B54" w:rsidRPr="00DD5969">
        <w:rPr>
          <w:rFonts w:eastAsia="HiddenHorzOCR"/>
          <w:color w:val="000000" w:themeColor="text1"/>
          <w:szCs w:val="24"/>
        </w:rPr>
        <w:t xml:space="preserve"> </w:t>
      </w:r>
      <w:r w:rsidR="00703F4D" w:rsidRPr="00810067">
        <w:rPr>
          <w:rFonts w:asciiTheme="minorHAnsi" w:eastAsia="HiddenHorzOCR" w:hAnsiTheme="minorHAnsi"/>
          <w:color w:val="000000" w:themeColor="text1"/>
          <w:szCs w:val="24"/>
        </w:rPr>
        <w:t xml:space="preserve">The other conditions forwarded by the MEB and adjudicated as not unfitting by the PEB were psoriasis, left shoulder impingement, plantar fasciitis, intermittent lower back pain, and mild elevations of liver enzymes.  </w:t>
      </w:r>
      <w:r w:rsidR="00DD5969" w:rsidRPr="00810067">
        <w:rPr>
          <w:rFonts w:asciiTheme="minorHAnsi" w:hAnsiTheme="minorHAnsi"/>
          <w:color w:val="000000" w:themeColor="text1"/>
          <w:szCs w:val="24"/>
        </w:rPr>
        <w:t xml:space="preserve">None of these conditions were significantly clinically or occupationally active during the MEB period; and none </w:t>
      </w:r>
      <w:r w:rsidR="00703F4D" w:rsidRPr="00810067">
        <w:rPr>
          <w:rFonts w:asciiTheme="minorHAnsi" w:eastAsia="HiddenHorzOCR" w:hAnsiTheme="minorHAnsi"/>
          <w:color w:val="000000" w:themeColor="text1"/>
          <w:szCs w:val="24"/>
        </w:rPr>
        <w:t>were profiled, implicated in the commander’s statement or noted as failing retention standards.  All were reviewed by the action officer and considered by the Board.  There was no indication from the record that any of these conditions significantly interfered with satisfactory duty performance.  All evidence considered, there is not reasonable doubt in the CI’s favor supporting recharacterization of the PEB fitness adjudication for any of the stated conditions.</w:t>
      </w:r>
    </w:p>
    <w:p w:rsidR="00990FD6" w:rsidRPr="001F29F9" w:rsidRDefault="00990FD6" w:rsidP="00BF0E94">
      <w:pPr>
        <w:jc w:val="left"/>
        <w:rPr>
          <w:rFonts w:eastAsia="HiddenHorzOCR"/>
          <w:color w:val="000000" w:themeColor="text1"/>
          <w:szCs w:val="24"/>
          <w:u w:val="single"/>
        </w:rPr>
      </w:pPr>
    </w:p>
    <w:p w:rsidR="004C60A3" w:rsidRPr="00810067" w:rsidRDefault="00EC337D" w:rsidP="002301CC">
      <w:pPr>
        <w:jc w:val="both"/>
        <w:rPr>
          <w:rFonts w:asciiTheme="minorHAnsi" w:eastAsia="HiddenHorzOCR" w:hAnsiTheme="minorHAnsi"/>
          <w:i/>
          <w:color w:val="000000" w:themeColor="text1"/>
          <w:szCs w:val="24"/>
        </w:rPr>
      </w:pPr>
      <w:r w:rsidRPr="00810067">
        <w:rPr>
          <w:rFonts w:asciiTheme="minorHAnsi" w:eastAsia="HiddenHorzOCR" w:hAnsiTheme="minorHAnsi"/>
          <w:color w:val="000000" w:themeColor="text1"/>
          <w:szCs w:val="24"/>
          <w:u w:val="single"/>
        </w:rPr>
        <w:t>Other Contended Conditions</w:t>
      </w:r>
      <w:r w:rsidRPr="00810067">
        <w:rPr>
          <w:rFonts w:asciiTheme="minorHAnsi" w:eastAsia="HiddenHorzOCR" w:hAnsiTheme="minorHAnsi"/>
          <w:color w:val="000000" w:themeColor="text1"/>
          <w:szCs w:val="24"/>
        </w:rPr>
        <w:t xml:space="preserve">.  </w:t>
      </w:r>
      <w:r w:rsidR="00703F4D" w:rsidRPr="00810067">
        <w:rPr>
          <w:rFonts w:asciiTheme="minorHAnsi" w:eastAsia="HiddenHorzOCR" w:hAnsiTheme="minorHAnsi"/>
          <w:color w:val="000000" w:themeColor="text1"/>
          <w:szCs w:val="24"/>
        </w:rPr>
        <w:t>The CI’s application asserts that compensable ratings should be considered for right and left ankle strain, cervical spine discogenic disease,</w:t>
      </w:r>
      <w:r w:rsidR="00C328F5" w:rsidRPr="00810067">
        <w:rPr>
          <w:rFonts w:asciiTheme="minorHAnsi" w:eastAsia="HiddenHorzOCR" w:hAnsiTheme="minorHAnsi"/>
          <w:color w:val="000000" w:themeColor="text1"/>
          <w:szCs w:val="24"/>
        </w:rPr>
        <w:t xml:space="preserve"> right and left femur fracture,</w:t>
      </w:r>
      <w:r w:rsidR="00703F4D" w:rsidRPr="00810067">
        <w:rPr>
          <w:rFonts w:asciiTheme="minorHAnsi" w:eastAsia="HiddenHorzOCR" w:hAnsiTheme="minorHAnsi"/>
          <w:color w:val="000000" w:themeColor="text1"/>
          <w:szCs w:val="24"/>
        </w:rPr>
        <w:t xml:space="preserve"> scars, fractured right wrist, </w:t>
      </w:r>
      <w:r w:rsidR="009D54BC" w:rsidRPr="00810067">
        <w:rPr>
          <w:rFonts w:asciiTheme="minorHAnsi" w:eastAsia="HiddenHorzOCR" w:hAnsiTheme="minorHAnsi"/>
          <w:color w:val="000000" w:themeColor="text1"/>
          <w:szCs w:val="24"/>
        </w:rPr>
        <w:t xml:space="preserve">and </w:t>
      </w:r>
      <w:r w:rsidR="00703F4D" w:rsidRPr="00810067">
        <w:rPr>
          <w:rFonts w:asciiTheme="minorHAnsi" w:eastAsia="HiddenHorzOCR" w:hAnsiTheme="minorHAnsi"/>
          <w:color w:val="000000" w:themeColor="text1"/>
          <w:szCs w:val="24"/>
        </w:rPr>
        <w:t xml:space="preserve">bilateral pes planus </w:t>
      </w:r>
      <w:r w:rsidR="009D54BC" w:rsidRPr="00810067">
        <w:rPr>
          <w:rFonts w:asciiTheme="minorHAnsi" w:eastAsia="HiddenHorzOCR" w:hAnsiTheme="minorHAnsi"/>
          <w:color w:val="000000" w:themeColor="text1"/>
          <w:szCs w:val="24"/>
        </w:rPr>
        <w:t>with</w:t>
      </w:r>
      <w:r w:rsidR="00703F4D" w:rsidRPr="00810067">
        <w:rPr>
          <w:rFonts w:asciiTheme="minorHAnsi" w:eastAsia="HiddenHorzOCR" w:hAnsiTheme="minorHAnsi"/>
          <w:color w:val="000000" w:themeColor="text1"/>
          <w:szCs w:val="24"/>
        </w:rPr>
        <w:t xml:space="preserve"> left</w:t>
      </w:r>
      <w:r w:rsidR="009D54BC" w:rsidRPr="00810067">
        <w:rPr>
          <w:rFonts w:asciiTheme="minorHAnsi" w:eastAsia="HiddenHorzOCR" w:hAnsiTheme="minorHAnsi"/>
          <w:color w:val="000000" w:themeColor="text1"/>
          <w:szCs w:val="24"/>
        </w:rPr>
        <w:t xml:space="preserve"> bunion</w:t>
      </w:r>
      <w:r w:rsidR="00703F4D" w:rsidRPr="00810067">
        <w:rPr>
          <w:rFonts w:asciiTheme="minorHAnsi" w:eastAsia="HiddenHorzOCR" w:hAnsiTheme="minorHAnsi"/>
          <w:color w:val="000000" w:themeColor="text1"/>
          <w:szCs w:val="24"/>
        </w:rPr>
        <w:t xml:space="preserve">.  </w:t>
      </w:r>
      <w:r w:rsidR="00CB612F" w:rsidRPr="00810067">
        <w:rPr>
          <w:rFonts w:asciiTheme="minorHAnsi" w:eastAsia="HiddenHorzOCR" w:hAnsiTheme="minorHAnsi"/>
          <w:color w:val="000000" w:themeColor="text1"/>
          <w:szCs w:val="24"/>
        </w:rPr>
        <w:t>These</w:t>
      </w:r>
      <w:r w:rsidR="00703F4D" w:rsidRPr="00810067">
        <w:rPr>
          <w:rFonts w:asciiTheme="minorHAnsi" w:eastAsia="HiddenHorzOCR" w:hAnsiTheme="minorHAnsi"/>
          <w:color w:val="000000" w:themeColor="text1"/>
          <w:szCs w:val="24"/>
        </w:rPr>
        <w:t xml:space="preserve"> conditions were reviewed by the </w:t>
      </w:r>
      <w:r w:rsidR="00465645">
        <w:rPr>
          <w:rFonts w:asciiTheme="minorHAnsi" w:eastAsia="HiddenHorzOCR" w:hAnsiTheme="minorHAnsi"/>
          <w:color w:val="000000" w:themeColor="text1"/>
          <w:szCs w:val="24"/>
        </w:rPr>
        <w:t>a</w:t>
      </w:r>
      <w:r w:rsidR="00703F4D" w:rsidRPr="00810067">
        <w:rPr>
          <w:rFonts w:asciiTheme="minorHAnsi" w:eastAsia="HiddenHorzOCR" w:hAnsiTheme="minorHAnsi"/>
          <w:color w:val="000000" w:themeColor="text1"/>
          <w:szCs w:val="24"/>
        </w:rPr>
        <w:t xml:space="preserve">ction </w:t>
      </w:r>
      <w:r w:rsidR="00465645">
        <w:rPr>
          <w:rFonts w:asciiTheme="minorHAnsi" w:eastAsia="HiddenHorzOCR" w:hAnsiTheme="minorHAnsi"/>
          <w:color w:val="000000" w:themeColor="text1"/>
          <w:szCs w:val="24"/>
        </w:rPr>
        <w:t>o</w:t>
      </w:r>
      <w:r w:rsidR="00703F4D" w:rsidRPr="00810067">
        <w:rPr>
          <w:rFonts w:asciiTheme="minorHAnsi" w:eastAsia="HiddenHorzOCR" w:hAnsiTheme="minorHAnsi"/>
          <w:color w:val="000000" w:themeColor="text1"/>
          <w:szCs w:val="24"/>
        </w:rPr>
        <w:t>ffice</w:t>
      </w:r>
      <w:r w:rsidR="00C328F5" w:rsidRPr="00810067">
        <w:rPr>
          <w:rFonts w:asciiTheme="minorHAnsi" w:eastAsia="HiddenHorzOCR" w:hAnsiTheme="minorHAnsi"/>
          <w:color w:val="000000" w:themeColor="text1"/>
          <w:szCs w:val="24"/>
        </w:rPr>
        <w:t xml:space="preserve">r and considered by the Board.  The Board noted the right and left femur fractures were fully healed.  </w:t>
      </w:r>
      <w:r w:rsidR="00703F4D" w:rsidRPr="00810067">
        <w:rPr>
          <w:rFonts w:asciiTheme="minorHAnsi" w:eastAsia="HiddenHorzOCR" w:hAnsiTheme="minorHAnsi"/>
          <w:color w:val="000000" w:themeColor="text1"/>
          <w:szCs w:val="24"/>
        </w:rPr>
        <w:t>There was no evidence for concluding that any of the conditions interfered with duty performance to a degree that could be argued as unfitting.  The Board determined therefore that none of the stated conditions were subject to service disability rating.</w:t>
      </w:r>
      <w:r w:rsidR="002301CC" w:rsidRPr="00810067">
        <w:rPr>
          <w:rFonts w:asciiTheme="minorHAnsi" w:eastAsia="HiddenHorzOCR" w:hAnsiTheme="minorHAnsi"/>
          <w:color w:val="000000" w:themeColor="text1"/>
          <w:szCs w:val="24"/>
        </w:rPr>
        <w:t xml:space="preserve">  </w:t>
      </w:r>
      <w:r w:rsidR="00CB612F" w:rsidRPr="00810067">
        <w:rPr>
          <w:rFonts w:asciiTheme="minorHAnsi" w:eastAsia="HiddenHorzOCR" w:hAnsiTheme="minorHAnsi"/>
          <w:color w:val="000000" w:themeColor="text1"/>
          <w:szCs w:val="24"/>
        </w:rPr>
        <w:t>The CI’s application also asserts that compensable ratings should be considered for</w:t>
      </w:r>
      <w:r w:rsidR="002301CC" w:rsidRPr="00810067">
        <w:rPr>
          <w:rFonts w:asciiTheme="minorHAnsi" w:eastAsia="HiddenHorzOCR" w:hAnsiTheme="minorHAnsi"/>
          <w:color w:val="000000" w:themeColor="text1"/>
          <w:szCs w:val="24"/>
        </w:rPr>
        <w:t xml:space="preserve"> tinnitus and psychiatric </w:t>
      </w:r>
      <w:r w:rsidR="00465645">
        <w:rPr>
          <w:rFonts w:asciiTheme="minorHAnsi" w:eastAsia="HiddenHorzOCR" w:hAnsiTheme="minorHAnsi"/>
          <w:color w:val="000000" w:themeColor="text1"/>
          <w:szCs w:val="24"/>
        </w:rPr>
        <w:t xml:space="preserve">posttraumatic stress disorder </w:t>
      </w:r>
      <w:r w:rsidR="002301CC" w:rsidRPr="00810067">
        <w:rPr>
          <w:rFonts w:asciiTheme="minorHAnsi" w:eastAsia="HiddenHorzOCR" w:hAnsiTheme="minorHAnsi"/>
          <w:color w:val="000000" w:themeColor="text1"/>
          <w:szCs w:val="24"/>
        </w:rPr>
        <w:t>(PTSD)</w:t>
      </w:r>
      <w:r w:rsidR="00CB612F" w:rsidRPr="00810067">
        <w:rPr>
          <w:rFonts w:asciiTheme="minorHAnsi" w:eastAsia="HiddenHorzOCR" w:hAnsiTheme="minorHAnsi"/>
          <w:color w:val="000000" w:themeColor="text1"/>
          <w:szCs w:val="24"/>
        </w:rPr>
        <w:t>.  These</w:t>
      </w:r>
      <w:r w:rsidR="002301CC" w:rsidRPr="00810067">
        <w:rPr>
          <w:rFonts w:asciiTheme="minorHAnsi" w:eastAsia="HiddenHorzOCR" w:hAnsiTheme="minorHAnsi"/>
          <w:color w:val="000000" w:themeColor="text1"/>
          <w:szCs w:val="24"/>
        </w:rPr>
        <w:t xml:space="preserve"> conditions do not appear in the DES file and were not addressed by the PEB.  By policy and precedent the Board has limited its jurisdiction for recommending unadjudicated conditions as unfitting and subject to additional separation rating to those conditions which are evidenced in the core DES</w:t>
      </w:r>
      <w:r w:rsidR="00465645">
        <w:rPr>
          <w:rFonts w:asciiTheme="minorHAnsi" w:eastAsia="HiddenHorzOCR" w:hAnsiTheme="minorHAnsi"/>
          <w:color w:val="000000" w:themeColor="text1"/>
          <w:szCs w:val="24"/>
        </w:rPr>
        <w:t xml:space="preserve"> </w:t>
      </w:r>
      <w:r w:rsidR="002301CC" w:rsidRPr="00810067">
        <w:rPr>
          <w:rFonts w:asciiTheme="minorHAnsi" w:eastAsia="HiddenHorzOCR" w:hAnsiTheme="minorHAnsi"/>
          <w:color w:val="000000" w:themeColor="text1"/>
          <w:szCs w:val="24"/>
        </w:rPr>
        <w:lastRenderedPageBreak/>
        <w:t xml:space="preserve">file. The core DES file consists of the MEB referral document (DA Form 3947), the PEB adjudication document (DA Form 199), the NARSUM (including any addendums or referenced examinations), the MEB physical exam, the </w:t>
      </w:r>
      <w:r w:rsidR="00465645">
        <w:rPr>
          <w:rFonts w:asciiTheme="minorHAnsi" w:eastAsia="HiddenHorzOCR" w:hAnsiTheme="minorHAnsi"/>
          <w:color w:val="000000" w:themeColor="text1"/>
          <w:szCs w:val="24"/>
        </w:rPr>
        <w:t>c</w:t>
      </w:r>
      <w:r w:rsidR="002301CC" w:rsidRPr="00810067">
        <w:rPr>
          <w:rFonts w:asciiTheme="minorHAnsi" w:eastAsia="HiddenHorzOCR" w:hAnsiTheme="minorHAnsi"/>
          <w:color w:val="000000" w:themeColor="text1"/>
          <w:szCs w:val="24"/>
        </w:rPr>
        <w:t>ommander’s statement, the physical profile(s), and any written appeals or internal DES correspondence.  Contended conditions which are not eligible for Board recommendations on this basis remain eligible for submission to the Army Board for Corrections of Military Records (ABCMR).</w:t>
      </w:r>
    </w:p>
    <w:p w:rsidR="00226B1A" w:rsidRPr="001F29F9" w:rsidRDefault="00226B1A" w:rsidP="006364ED">
      <w:pPr>
        <w:jc w:val="left"/>
        <w:rPr>
          <w:color w:val="000000" w:themeColor="text1"/>
        </w:rPr>
      </w:pPr>
    </w:p>
    <w:p w:rsidR="00F6196E" w:rsidRPr="00810067" w:rsidRDefault="00F6196E" w:rsidP="00BF0E94">
      <w:pPr>
        <w:jc w:val="both"/>
        <w:rPr>
          <w:rFonts w:asciiTheme="minorHAnsi" w:hAnsiTheme="minorHAnsi"/>
          <w:color w:val="000000" w:themeColor="text1"/>
          <w:szCs w:val="24"/>
        </w:rPr>
      </w:pPr>
      <w:r w:rsidRPr="00810067">
        <w:rPr>
          <w:rFonts w:asciiTheme="minorHAnsi" w:hAnsiTheme="minorHAnsi"/>
          <w:color w:val="000000" w:themeColor="text1"/>
          <w:szCs w:val="24"/>
          <w:u w:val="single"/>
        </w:rPr>
        <w:t>Remaining Conditions</w:t>
      </w:r>
      <w:r w:rsidRPr="00810067">
        <w:rPr>
          <w:rFonts w:asciiTheme="minorHAnsi" w:hAnsiTheme="minorHAnsi"/>
          <w:color w:val="000000" w:themeColor="text1"/>
          <w:szCs w:val="24"/>
        </w:rPr>
        <w:t xml:space="preserve">. </w:t>
      </w:r>
      <w:r w:rsidR="003C5B54" w:rsidRPr="00810067">
        <w:rPr>
          <w:rFonts w:asciiTheme="minorHAnsi" w:hAnsiTheme="minorHAnsi"/>
          <w:color w:val="000000" w:themeColor="text1"/>
          <w:szCs w:val="24"/>
        </w:rPr>
        <w:t xml:space="preserve"> </w:t>
      </w:r>
      <w:r w:rsidRPr="00810067">
        <w:rPr>
          <w:rFonts w:asciiTheme="minorHAnsi" w:hAnsiTheme="minorHAnsi"/>
          <w:color w:val="000000" w:themeColor="text1"/>
          <w:szCs w:val="24"/>
        </w:rPr>
        <w:t xml:space="preserve">No other conditions were noted in the NARSUM, identified by the CI on the MEB physical or found elsewhere in the DES file.  </w:t>
      </w:r>
      <w:r w:rsidR="007B37DC" w:rsidRPr="00810067">
        <w:rPr>
          <w:rFonts w:asciiTheme="minorHAnsi" w:hAnsiTheme="minorHAnsi"/>
          <w:color w:val="000000" w:themeColor="text1"/>
          <w:szCs w:val="24"/>
        </w:rPr>
        <w:t>As noted above, t</w:t>
      </w:r>
      <w:r w:rsidRPr="00810067">
        <w:rPr>
          <w:rFonts w:asciiTheme="minorHAnsi" w:hAnsiTheme="minorHAnsi"/>
          <w:color w:val="000000" w:themeColor="text1"/>
          <w:szCs w:val="24"/>
        </w:rPr>
        <w:t xml:space="preserve">he Board does not have the authority under DoDI 6040.44 to render fitness or rating recommendations for any conditions not considered by the DES. </w:t>
      </w:r>
      <w:r w:rsidR="003C294B" w:rsidRPr="00810067">
        <w:rPr>
          <w:rFonts w:asciiTheme="minorHAnsi" w:hAnsiTheme="minorHAnsi"/>
          <w:color w:val="000000" w:themeColor="text1"/>
          <w:szCs w:val="24"/>
        </w:rPr>
        <w:t xml:space="preserve"> </w:t>
      </w:r>
      <w:r w:rsidR="00EB04C6" w:rsidRPr="00810067">
        <w:rPr>
          <w:rFonts w:asciiTheme="minorHAnsi" w:hAnsiTheme="minorHAnsi"/>
          <w:color w:val="000000" w:themeColor="text1"/>
          <w:szCs w:val="24"/>
        </w:rPr>
        <w:t>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1737C" w:rsidRPr="001F29F9" w:rsidRDefault="00C56FC8" w:rsidP="00A87D78">
      <w:pPr>
        <w:jc w:val="both"/>
        <w:rPr>
          <w:color w:val="000000" w:themeColor="text1"/>
        </w:rPr>
      </w:pPr>
      <w:r w:rsidRPr="00810067">
        <w:rPr>
          <w:rFonts w:asciiTheme="minorHAnsi" w:hAnsiTheme="minorHAnsi"/>
          <w:color w:val="000000" w:themeColor="text1"/>
          <w:szCs w:val="24"/>
          <w:u w:val="single"/>
        </w:rPr>
        <w:t>BOARD FINDINGS</w:t>
      </w:r>
      <w:r w:rsidRPr="00810067">
        <w:rPr>
          <w:rFonts w:asciiTheme="minorHAnsi" w:hAnsiTheme="minorHAnsi"/>
          <w:color w:val="000000" w:themeColor="text1"/>
          <w:szCs w:val="24"/>
        </w:rPr>
        <w:t>:</w:t>
      </w:r>
      <w:r w:rsidRPr="00810067">
        <w:rPr>
          <w:rFonts w:asciiTheme="minorHAnsi" w:eastAsiaTheme="minorHAnsi" w:hAnsi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810067">
        <w:rPr>
          <w:rFonts w:asciiTheme="minorHAnsi" w:eastAsiaTheme="minorHAnsi" w:hAnsiTheme="minorHAnsi"/>
          <w:color w:val="auto"/>
          <w:szCs w:val="24"/>
        </w:rPr>
        <w:t xml:space="preserve">. </w:t>
      </w:r>
      <w:r w:rsidR="00DD5969" w:rsidRPr="00810067">
        <w:rPr>
          <w:rFonts w:asciiTheme="minorHAnsi" w:hAnsiTheme="minorHAnsi"/>
          <w:color w:val="FF0000"/>
          <w:szCs w:val="24"/>
        </w:rPr>
        <w:t xml:space="preserve"> </w:t>
      </w:r>
      <w:r w:rsidR="00DD5969" w:rsidRPr="00810067">
        <w:rPr>
          <w:rFonts w:asciiTheme="minorHAnsi" w:eastAsiaTheme="minorHAnsi" w:hAnsiTheme="minorHAnsi"/>
          <w:color w:val="auto"/>
          <w:szCs w:val="24"/>
        </w:rPr>
        <w:t xml:space="preserve">As discussed above, PEB reliance on the USAPDA pain policy for rating </w:t>
      </w:r>
      <w:r w:rsidR="007B37DC" w:rsidRPr="00810067">
        <w:rPr>
          <w:rFonts w:asciiTheme="minorHAnsi" w:eastAsiaTheme="minorHAnsi" w:hAnsiTheme="minorHAnsi"/>
          <w:color w:val="auto"/>
          <w:szCs w:val="24"/>
        </w:rPr>
        <w:t>bilateral knee pain</w:t>
      </w:r>
      <w:r w:rsidR="00DD5969" w:rsidRPr="00810067">
        <w:rPr>
          <w:rFonts w:asciiTheme="minorHAnsi" w:eastAsiaTheme="minorHAnsi" w:hAnsiTheme="minorHAnsi"/>
          <w:color w:val="auto"/>
          <w:szCs w:val="24"/>
        </w:rPr>
        <w:t xml:space="preserve"> was operant in this case and the condition was adjudicated </w:t>
      </w:r>
      <w:r w:rsidR="00DD5969" w:rsidRPr="00A87D78">
        <w:rPr>
          <w:rFonts w:asciiTheme="minorHAnsi" w:eastAsiaTheme="minorHAnsi" w:hAnsiTheme="minorHAnsi"/>
          <w:color w:val="auto"/>
          <w:szCs w:val="24"/>
        </w:rPr>
        <w:t>independently of that policy by the Board.  In the matter of the bilateral knee condition, the Board unanimously recommends</w:t>
      </w:r>
      <w:r w:rsidR="00DD5969" w:rsidRPr="00810067">
        <w:rPr>
          <w:rFonts w:asciiTheme="minorHAnsi" w:eastAsiaTheme="minorHAnsi" w:hAnsiTheme="minorHAnsi"/>
          <w:color w:val="auto"/>
          <w:szCs w:val="24"/>
        </w:rPr>
        <w:t xml:space="preserve"> that it be rated for two separate unfitting conditions as follows: left knee coded </w:t>
      </w:r>
      <w:r w:rsidR="00C328F5" w:rsidRPr="00810067">
        <w:rPr>
          <w:rFonts w:asciiTheme="minorHAnsi" w:eastAsiaTheme="minorHAnsi" w:hAnsiTheme="minorHAnsi"/>
          <w:color w:val="auto"/>
          <w:szCs w:val="24"/>
        </w:rPr>
        <w:t>5259</w:t>
      </w:r>
      <w:r w:rsidR="00DD5969" w:rsidRPr="00810067">
        <w:rPr>
          <w:rFonts w:asciiTheme="minorHAnsi" w:eastAsiaTheme="minorHAnsi" w:hAnsiTheme="minorHAnsi"/>
          <w:color w:val="auto"/>
          <w:szCs w:val="24"/>
        </w:rPr>
        <w:t xml:space="preserve"> and rated 10%; and, right knee coded </w:t>
      </w:r>
      <w:r w:rsidR="00C328F5" w:rsidRPr="00810067">
        <w:rPr>
          <w:rFonts w:asciiTheme="minorHAnsi" w:eastAsiaTheme="minorHAnsi" w:hAnsiTheme="minorHAnsi"/>
          <w:color w:val="auto"/>
          <w:szCs w:val="24"/>
        </w:rPr>
        <w:t>5259</w:t>
      </w:r>
      <w:r w:rsidR="00DD5969" w:rsidRPr="00810067">
        <w:rPr>
          <w:rFonts w:asciiTheme="minorHAnsi" w:eastAsiaTheme="minorHAnsi" w:hAnsiTheme="minorHAnsi"/>
          <w:color w:val="auto"/>
          <w:szCs w:val="24"/>
        </w:rPr>
        <w:t xml:space="preserve"> and rated 10%; both </w:t>
      </w:r>
      <w:r w:rsidR="00DD5969" w:rsidRPr="00810067">
        <w:rPr>
          <w:rFonts w:asciiTheme="minorHAnsi" w:hAnsiTheme="minorHAnsi"/>
          <w:color w:val="auto"/>
          <w:szCs w:val="24"/>
        </w:rPr>
        <w:t xml:space="preserve">IAW VASRD §4.71a.  </w:t>
      </w:r>
      <w:r w:rsidR="003C53E8" w:rsidRPr="00810067">
        <w:rPr>
          <w:rFonts w:asciiTheme="minorHAnsi" w:hAnsiTheme="minorHAnsi"/>
          <w:color w:val="auto"/>
          <w:szCs w:val="24"/>
        </w:rPr>
        <w:t xml:space="preserve">In the matter of the </w:t>
      </w:r>
      <w:r w:rsidR="00DD5969" w:rsidRPr="00810067">
        <w:rPr>
          <w:rFonts w:asciiTheme="minorHAnsi" w:hAnsiTheme="minorHAnsi"/>
          <w:color w:val="auto"/>
          <w:szCs w:val="24"/>
        </w:rPr>
        <w:t xml:space="preserve">psoriasis, left shoulder impingement, plantar fasciitis, intermittent lower back pain, and mild elevations of liver enzymes </w:t>
      </w:r>
      <w:r w:rsidR="003C53E8" w:rsidRPr="00810067">
        <w:rPr>
          <w:rFonts w:asciiTheme="minorHAnsi" w:hAnsiTheme="minorHAnsi"/>
          <w:color w:val="auto"/>
          <w:szCs w:val="24"/>
        </w:rPr>
        <w:t>conditions, the Board unanimously recommends no change from the PEB adjudications as not unfitting.</w:t>
      </w:r>
      <w:r w:rsidR="00DD5969" w:rsidRPr="00810067">
        <w:rPr>
          <w:rFonts w:asciiTheme="minorHAnsi" w:hAnsiTheme="minorHAnsi"/>
          <w:color w:val="auto"/>
          <w:szCs w:val="24"/>
        </w:rPr>
        <w:t xml:space="preserve">  In the matter of the </w:t>
      </w:r>
      <w:r w:rsidR="00DD5969" w:rsidRPr="00810067">
        <w:rPr>
          <w:rFonts w:asciiTheme="minorHAnsi" w:eastAsiaTheme="minorHAnsi" w:hAnsiTheme="minorHAnsi"/>
          <w:color w:val="auto"/>
          <w:szCs w:val="24"/>
        </w:rPr>
        <w:t xml:space="preserve">right and left ankle strain, cervical spine discogenic disease, right and left femur fracture, scars, fractured right wrist, and bilateral pes planus with left bunion </w:t>
      </w:r>
      <w:r w:rsidR="00DD5969" w:rsidRPr="00A87D78">
        <w:rPr>
          <w:rFonts w:asciiTheme="minorHAnsi" w:eastAsiaTheme="minorHAnsi" w:hAnsiTheme="minorHAnsi"/>
          <w:color w:val="auto"/>
          <w:szCs w:val="24"/>
        </w:rPr>
        <w:t>conditions</w:t>
      </w:r>
      <w:r w:rsidR="00DD5969" w:rsidRPr="00A87D78">
        <w:rPr>
          <w:rFonts w:asciiTheme="minorHAnsi" w:hAnsiTheme="minorHAnsi"/>
          <w:color w:val="auto"/>
          <w:szCs w:val="24"/>
        </w:rPr>
        <w:t xml:space="preserve"> or any other medical conditions eligible for Board consideration; the Board unanimously agrees that it cannot</w:t>
      </w:r>
      <w:r w:rsidR="00DD5969" w:rsidRPr="00A87D78">
        <w:rPr>
          <w:rFonts w:asciiTheme="minorHAnsi" w:hAnsiTheme="minorHAnsi"/>
          <w:color w:val="000080"/>
          <w:szCs w:val="24"/>
        </w:rPr>
        <w:t xml:space="preserve"> </w:t>
      </w:r>
      <w:r w:rsidR="00DD5969" w:rsidRPr="00A87D78">
        <w:rPr>
          <w:rFonts w:asciiTheme="minorHAnsi" w:hAnsiTheme="minorHAnsi"/>
          <w:color w:val="auto"/>
          <w:szCs w:val="24"/>
        </w:rPr>
        <w:t>recommend any findings of unfit for additional rating at separation.</w:t>
      </w:r>
      <w:r w:rsidR="0084410A" w:rsidRPr="00A87D78">
        <w:rPr>
          <w:rFonts w:asciiTheme="minorHAnsi" w:hAnsiTheme="minorHAnsi"/>
          <w:color w:val="auto"/>
          <w:szCs w:val="24"/>
        </w:rPr>
        <w:t xml:space="preserve">  </w:t>
      </w:r>
      <w:r w:rsidR="00A87D78" w:rsidRPr="00A87D78">
        <w:rPr>
          <w:rFonts w:asciiTheme="minorHAnsi" w:hAnsiTheme="minorHAnsi"/>
          <w:color w:val="auto"/>
          <w:szCs w:val="24"/>
        </w:rPr>
        <w:t xml:space="preserve">The Board unanimously agrees that there were no other conditions eligible for Board consideration, including </w:t>
      </w:r>
      <w:r w:rsidR="00A87D78" w:rsidRPr="00A87D78">
        <w:rPr>
          <w:rFonts w:asciiTheme="minorHAnsi" w:eastAsia="HiddenHorzOCR" w:hAnsiTheme="minorHAnsi"/>
          <w:color w:val="000000" w:themeColor="text1"/>
          <w:szCs w:val="24"/>
        </w:rPr>
        <w:t>tinnitus and PTSD</w:t>
      </w:r>
      <w:r w:rsidR="00A87D78" w:rsidRPr="00A87D78">
        <w:rPr>
          <w:rFonts w:asciiTheme="minorHAnsi" w:hAnsiTheme="minorHAnsi"/>
          <w:color w:val="auto"/>
          <w:szCs w:val="24"/>
        </w:rPr>
        <w:t xml:space="preserve"> which could be recommended as additionally unfitting for rating at separation.</w:t>
      </w:r>
    </w:p>
    <w:p w:rsidR="00F65728" w:rsidRPr="00391858" w:rsidRDefault="00F65728" w:rsidP="00F65728">
      <w:pPr>
        <w:pBdr>
          <w:bottom w:val="single" w:sz="12" w:space="1" w:color="auto"/>
        </w:pBdr>
        <w:tabs>
          <w:tab w:val="left" w:pos="288"/>
          <w:tab w:val="left" w:pos="4752"/>
        </w:tabs>
        <w:jc w:val="both"/>
        <w:rPr>
          <w:rFonts w:asciiTheme="minorHAnsi" w:hAnsiTheme="minorHAnsi"/>
          <w:b/>
          <w:color w:val="auto"/>
          <w:u w:val="single"/>
        </w:rPr>
      </w:pPr>
    </w:p>
    <w:p w:rsidR="00F65728" w:rsidRDefault="00F65728" w:rsidP="00F65728">
      <w:pPr>
        <w:jc w:val="both"/>
        <w:rPr>
          <w:rFonts w:asciiTheme="minorHAnsi" w:hAnsiTheme="minorHAnsi"/>
          <w:b/>
          <w:color w:val="auto"/>
          <w:szCs w:val="24"/>
          <w:u w:val="single"/>
        </w:rPr>
      </w:pPr>
    </w:p>
    <w:p w:rsidR="00FB593A" w:rsidRPr="00810067" w:rsidRDefault="00C56FC8" w:rsidP="00BF0E94">
      <w:pPr>
        <w:jc w:val="left"/>
        <w:rPr>
          <w:rFonts w:asciiTheme="minorHAnsi" w:hAnsiTheme="minorHAnsi"/>
          <w:color w:val="000000" w:themeColor="text1"/>
        </w:rPr>
      </w:pPr>
      <w:r w:rsidRPr="00810067">
        <w:rPr>
          <w:rFonts w:asciiTheme="minorHAnsi" w:hAnsiTheme="minorHAnsi"/>
          <w:color w:val="000000" w:themeColor="text1"/>
          <w:szCs w:val="24"/>
          <w:u w:val="single"/>
        </w:rPr>
        <w:t>RECOMMENDATION</w:t>
      </w:r>
      <w:r w:rsidRPr="00810067">
        <w:rPr>
          <w:rFonts w:asciiTheme="minorHAnsi" w:hAnsiTheme="minorHAnsi"/>
          <w:color w:val="000000" w:themeColor="text1"/>
          <w:szCs w:val="24"/>
        </w:rPr>
        <w:t>:</w:t>
      </w:r>
      <w:r w:rsidR="007B5DD7" w:rsidRPr="00810067">
        <w:rPr>
          <w:rFonts w:asciiTheme="minorHAnsi" w:hAnsiTheme="minorHAnsi"/>
          <w:color w:val="000000" w:themeColor="text1"/>
          <w:szCs w:val="24"/>
        </w:rPr>
        <w:t xml:space="preserve">  The Board recommends that the CI’s prior determination be modified as follows, effective as of the date of his prior medical separation:</w:t>
      </w:r>
    </w:p>
    <w:p w:rsidR="001E3FE1" w:rsidRPr="001F29F9" w:rsidRDefault="001E3FE1"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1656"/>
        <w:gridCol w:w="1724"/>
        <w:gridCol w:w="1084"/>
      </w:tblGrid>
      <w:tr w:rsidR="004101B2" w:rsidRPr="001F29F9" w:rsidTr="00117264">
        <w:trPr>
          <w:trHeight w:val="206"/>
          <w:jc w:val="center"/>
        </w:trPr>
        <w:tc>
          <w:tcPr>
            <w:tcW w:w="6354" w:type="dxa"/>
            <w:gridSpan w:val="2"/>
            <w:tcBorders>
              <w:right w:val="single" w:sz="4" w:space="0" w:color="auto"/>
            </w:tcBorders>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UNFITTING CONDITION</w:t>
            </w:r>
          </w:p>
        </w:tc>
        <w:tc>
          <w:tcPr>
            <w:tcW w:w="1724" w:type="dxa"/>
            <w:tcBorders>
              <w:left w:val="single" w:sz="4" w:space="0" w:color="auto"/>
            </w:tcBorders>
            <w:shd w:val="clear" w:color="auto" w:fill="D9D9D9"/>
            <w:vAlign w:val="center"/>
          </w:tcPr>
          <w:p w:rsidR="004101B2" w:rsidRPr="00A87D78" w:rsidRDefault="004101B2" w:rsidP="00BF0E94">
            <w:pPr>
              <w:tabs>
                <w:tab w:val="left" w:pos="288"/>
                <w:tab w:val="left" w:pos="4752"/>
              </w:tabs>
              <w:rPr>
                <w:b/>
                <w:color w:val="000000" w:themeColor="text1"/>
                <w:szCs w:val="24"/>
              </w:rPr>
            </w:pPr>
            <w:r w:rsidRPr="00A87D78">
              <w:rPr>
                <w:b/>
                <w:color w:val="000000" w:themeColor="text1"/>
                <w:szCs w:val="24"/>
              </w:rPr>
              <w:t>VASRD CODE</w:t>
            </w:r>
          </w:p>
        </w:tc>
        <w:tc>
          <w:tcPr>
            <w:tcW w:w="1084" w:type="dxa"/>
            <w:shd w:val="clear" w:color="auto" w:fill="D9D9D9"/>
            <w:vAlign w:val="center"/>
          </w:tcPr>
          <w:p w:rsidR="004101B2" w:rsidRPr="00A87D78" w:rsidRDefault="004101B2" w:rsidP="00BF0E94">
            <w:pPr>
              <w:tabs>
                <w:tab w:val="left" w:pos="288"/>
                <w:tab w:val="left" w:pos="4752"/>
              </w:tabs>
              <w:rPr>
                <w:b/>
                <w:color w:val="000000" w:themeColor="text1"/>
                <w:szCs w:val="24"/>
              </w:rPr>
            </w:pPr>
            <w:r w:rsidRPr="00A87D78">
              <w:rPr>
                <w:b/>
                <w:color w:val="000000" w:themeColor="text1"/>
                <w:szCs w:val="24"/>
              </w:rPr>
              <w:t>RATING</w:t>
            </w:r>
          </w:p>
        </w:tc>
      </w:tr>
      <w:tr w:rsidR="004101B2" w:rsidRPr="001F29F9" w:rsidTr="00117264">
        <w:trPr>
          <w:jc w:val="center"/>
        </w:trPr>
        <w:tc>
          <w:tcPr>
            <w:tcW w:w="6354" w:type="dxa"/>
            <w:gridSpan w:val="2"/>
            <w:tcBorders>
              <w:right w:val="single" w:sz="4" w:space="0" w:color="auto"/>
            </w:tcBorders>
            <w:vAlign w:val="center"/>
          </w:tcPr>
          <w:p w:rsidR="004101B2" w:rsidRPr="001F29F9" w:rsidRDefault="007B5DD7" w:rsidP="00C328F5">
            <w:pPr>
              <w:tabs>
                <w:tab w:val="left" w:pos="288"/>
                <w:tab w:val="left" w:pos="4752"/>
              </w:tabs>
              <w:jc w:val="left"/>
              <w:rPr>
                <w:color w:val="000000" w:themeColor="text1"/>
                <w:szCs w:val="24"/>
              </w:rPr>
            </w:pPr>
            <w:r>
              <w:rPr>
                <w:color w:val="000000" w:themeColor="text1"/>
                <w:szCs w:val="24"/>
              </w:rPr>
              <w:t xml:space="preserve">Right Knee </w:t>
            </w:r>
            <w:r w:rsidR="00C328F5">
              <w:rPr>
                <w:color w:val="000000" w:themeColor="text1"/>
                <w:szCs w:val="24"/>
              </w:rPr>
              <w:t>Pain</w:t>
            </w:r>
          </w:p>
        </w:tc>
        <w:tc>
          <w:tcPr>
            <w:tcW w:w="1724" w:type="dxa"/>
            <w:tcBorders>
              <w:left w:val="single" w:sz="4" w:space="0" w:color="auto"/>
            </w:tcBorders>
            <w:vAlign w:val="center"/>
          </w:tcPr>
          <w:p w:rsidR="004101B2" w:rsidRPr="00A87D78" w:rsidRDefault="00C328F5" w:rsidP="00BF0E94">
            <w:pPr>
              <w:tabs>
                <w:tab w:val="left" w:pos="288"/>
                <w:tab w:val="left" w:pos="4752"/>
              </w:tabs>
              <w:rPr>
                <w:color w:val="000000" w:themeColor="text1"/>
                <w:szCs w:val="24"/>
              </w:rPr>
            </w:pPr>
            <w:r w:rsidRPr="00A87D78">
              <w:rPr>
                <w:color w:val="000000" w:themeColor="text1"/>
                <w:szCs w:val="24"/>
              </w:rPr>
              <w:t>5259</w:t>
            </w:r>
          </w:p>
        </w:tc>
        <w:tc>
          <w:tcPr>
            <w:tcW w:w="1084" w:type="dxa"/>
            <w:vAlign w:val="center"/>
          </w:tcPr>
          <w:p w:rsidR="004101B2" w:rsidRPr="00A87D78" w:rsidRDefault="007B5DD7" w:rsidP="00BF0E94">
            <w:pPr>
              <w:tabs>
                <w:tab w:val="left" w:pos="288"/>
                <w:tab w:val="left" w:pos="4752"/>
              </w:tabs>
              <w:rPr>
                <w:color w:val="000000" w:themeColor="text1"/>
                <w:szCs w:val="24"/>
              </w:rPr>
            </w:pPr>
            <w:r w:rsidRPr="00A87D78">
              <w:rPr>
                <w:color w:val="000000" w:themeColor="text1"/>
                <w:szCs w:val="24"/>
              </w:rPr>
              <w:t>10</w:t>
            </w:r>
            <w:r w:rsidR="00182A4C" w:rsidRPr="00A87D78">
              <w:rPr>
                <w:color w:val="000000" w:themeColor="text1"/>
                <w:szCs w:val="24"/>
              </w:rPr>
              <w:t>%</w:t>
            </w:r>
          </w:p>
        </w:tc>
      </w:tr>
      <w:tr w:rsidR="007B5DD7" w:rsidRPr="001F29F9" w:rsidTr="00117264">
        <w:trPr>
          <w:jc w:val="center"/>
        </w:trPr>
        <w:tc>
          <w:tcPr>
            <w:tcW w:w="6354" w:type="dxa"/>
            <w:gridSpan w:val="2"/>
            <w:tcBorders>
              <w:right w:val="single" w:sz="4" w:space="0" w:color="auto"/>
            </w:tcBorders>
            <w:vAlign w:val="center"/>
          </w:tcPr>
          <w:p w:rsidR="007B5DD7" w:rsidRPr="001F29F9" w:rsidRDefault="007B5DD7" w:rsidP="00C328F5">
            <w:pPr>
              <w:tabs>
                <w:tab w:val="left" w:pos="288"/>
                <w:tab w:val="left" w:pos="4752"/>
              </w:tabs>
              <w:jc w:val="left"/>
              <w:rPr>
                <w:color w:val="000000" w:themeColor="text1"/>
                <w:szCs w:val="24"/>
              </w:rPr>
            </w:pPr>
            <w:r>
              <w:rPr>
                <w:color w:val="000000" w:themeColor="text1"/>
                <w:szCs w:val="24"/>
              </w:rPr>
              <w:t xml:space="preserve">Left Knee </w:t>
            </w:r>
            <w:r w:rsidR="00C328F5">
              <w:rPr>
                <w:color w:val="000000" w:themeColor="text1"/>
                <w:szCs w:val="24"/>
              </w:rPr>
              <w:t>Pain</w:t>
            </w:r>
          </w:p>
        </w:tc>
        <w:tc>
          <w:tcPr>
            <w:tcW w:w="1724" w:type="dxa"/>
            <w:tcBorders>
              <w:left w:val="single" w:sz="4" w:space="0" w:color="auto"/>
            </w:tcBorders>
            <w:vAlign w:val="center"/>
          </w:tcPr>
          <w:p w:rsidR="007B5DD7" w:rsidRPr="00A87D78" w:rsidRDefault="00C328F5" w:rsidP="00BF0E94">
            <w:pPr>
              <w:tabs>
                <w:tab w:val="left" w:pos="288"/>
                <w:tab w:val="left" w:pos="4752"/>
              </w:tabs>
              <w:rPr>
                <w:color w:val="000000" w:themeColor="text1"/>
                <w:szCs w:val="24"/>
              </w:rPr>
            </w:pPr>
            <w:r w:rsidRPr="00A87D78">
              <w:rPr>
                <w:color w:val="000000" w:themeColor="text1"/>
                <w:szCs w:val="24"/>
              </w:rPr>
              <w:t>5259</w:t>
            </w:r>
          </w:p>
        </w:tc>
        <w:tc>
          <w:tcPr>
            <w:tcW w:w="1084" w:type="dxa"/>
            <w:vAlign w:val="center"/>
          </w:tcPr>
          <w:p w:rsidR="007B5DD7" w:rsidRPr="00A87D78" w:rsidRDefault="007B5DD7" w:rsidP="00BF0E94">
            <w:pPr>
              <w:tabs>
                <w:tab w:val="left" w:pos="288"/>
                <w:tab w:val="left" w:pos="4752"/>
              </w:tabs>
              <w:rPr>
                <w:color w:val="000000" w:themeColor="text1"/>
                <w:szCs w:val="24"/>
              </w:rPr>
            </w:pPr>
            <w:r w:rsidRPr="00A87D78">
              <w:rPr>
                <w:color w:val="000000" w:themeColor="text1"/>
                <w:szCs w:val="24"/>
              </w:rPr>
              <w:t>10%</w:t>
            </w:r>
          </w:p>
        </w:tc>
      </w:tr>
      <w:tr w:rsidR="004101B2" w:rsidRPr="001F29F9" w:rsidTr="00117264">
        <w:tblPrEx>
          <w:tblLook w:val="0000"/>
        </w:tblPrEx>
        <w:trPr>
          <w:gridBefore w:val="1"/>
          <w:wBefore w:w="4698"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COMBINED (Incorporating BLF)</w:t>
            </w:r>
          </w:p>
        </w:tc>
        <w:tc>
          <w:tcPr>
            <w:tcW w:w="1084" w:type="dxa"/>
            <w:tcBorders>
              <w:bottom w:val="single" w:sz="4" w:space="0" w:color="000000"/>
            </w:tcBorders>
            <w:shd w:val="clear" w:color="auto" w:fill="D9D9D9" w:themeFill="background1" w:themeFillShade="D9"/>
            <w:vAlign w:val="center"/>
          </w:tcPr>
          <w:p w:rsidR="004101B2" w:rsidRPr="001F29F9" w:rsidRDefault="007B5DD7" w:rsidP="00BF0E94">
            <w:pPr>
              <w:tabs>
                <w:tab w:val="left" w:pos="288"/>
                <w:tab w:val="left" w:pos="4752"/>
              </w:tabs>
              <w:rPr>
                <w:b/>
                <w:color w:val="000000" w:themeColor="text1"/>
                <w:szCs w:val="24"/>
              </w:rPr>
            </w:pPr>
            <w:r>
              <w:rPr>
                <w:b/>
                <w:color w:val="000000" w:themeColor="text1"/>
                <w:szCs w:val="24"/>
              </w:rPr>
              <w:t>20</w:t>
            </w:r>
            <w:r w:rsidR="004101B2"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E75C45">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 xml:space="preserve">dated </w:t>
      </w:r>
      <w:r w:rsidR="00117264" w:rsidRPr="00117264">
        <w:rPr>
          <w:color w:val="000000" w:themeColor="text1"/>
          <w:szCs w:val="24"/>
        </w:rPr>
        <w:t>20110819</w:t>
      </w:r>
      <w:r w:rsidR="00465645">
        <w:rPr>
          <w:color w:val="000000" w:themeColor="text1"/>
        </w:rPr>
        <w:t>, w/</w:t>
      </w:r>
      <w:proofErr w:type="spellStart"/>
      <w:r w:rsidR="00465645">
        <w:rPr>
          <w:color w:val="000000" w:themeColor="text1"/>
        </w:rPr>
        <w:t>atchs</w:t>
      </w:r>
      <w:proofErr w:type="spellEnd"/>
    </w:p>
    <w:p w:rsidR="00114F20" w:rsidRPr="001F29F9" w:rsidRDefault="00FB1725" w:rsidP="00E75C45">
      <w:pPr>
        <w:tabs>
          <w:tab w:val="left" w:pos="288"/>
          <w:tab w:val="left" w:pos="4752"/>
        </w:tabs>
        <w:jc w:val="both"/>
        <w:rPr>
          <w:color w:val="000000" w:themeColor="text1"/>
        </w:rPr>
      </w:pPr>
      <w:r w:rsidRPr="001F29F9">
        <w:rPr>
          <w:color w:val="000000" w:themeColor="text1"/>
        </w:rPr>
        <w:t>Exhib</w:t>
      </w:r>
      <w:r w:rsidR="00465645">
        <w:rPr>
          <w:color w:val="000000" w:themeColor="text1"/>
        </w:rPr>
        <w:t>it B.  Service Treatment Record</w:t>
      </w:r>
    </w:p>
    <w:p w:rsidR="00114F20" w:rsidRPr="001F29F9" w:rsidRDefault="00FB1725" w:rsidP="00E75C45">
      <w:pPr>
        <w:tabs>
          <w:tab w:val="left" w:pos="288"/>
          <w:tab w:val="left" w:pos="4752"/>
        </w:tabs>
        <w:jc w:val="both"/>
        <w:rPr>
          <w:color w:val="000000" w:themeColor="text1"/>
        </w:rPr>
      </w:pPr>
      <w:r w:rsidRPr="001F29F9">
        <w:rPr>
          <w:color w:val="000000" w:themeColor="text1"/>
        </w:rPr>
        <w:t>Exhibit C.  Department of Ve</w:t>
      </w:r>
      <w:r w:rsidR="00465645">
        <w:rPr>
          <w:color w:val="000000" w:themeColor="text1"/>
        </w:rPr>
        <w:t>terans Affairs Treatment Record</w:t>
      </w:r>
    </w:p>
    <w:p w:rsidR="00D91DA6" w:rsidRPr="001F29F9" w:rsidRDefault="00D91DA6" w:rsidP="00E75C45">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DF0A5C" w:rsidP="00BF0E94">
      <w:pPr>
        <w:tabs>
          <w:tab w:val="left" w:pos="0"/>
          <w:tab w:val="left" w:pos="4320"/>
        </w:tabs>
        <w:jc w:val="both"/>
        <w:rPr>
          <w:color w:val="000000" w:themeColor="text1"/>
          <w:szCs w:val="24"/>
        </w:rPr>
      </w:pPr>
      <w:r>
        <w:rPr>
          <w:color w:val="000000" w:themeColor="text1"/>
        </w:rPr>
        <w:t xml:space="preserve"> </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DF0A5C" w:rsidRDefault="002F195B" w:rsidP="00465645">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r w:rsidR="00DF0A5C">
        <w:rPr>
          <w:color w:val="000000" w:themeColor="text1"/>
          <w:szCs w:val="24"/>
        </w:rPr>
        <w:t xml:space="preserve"> </w:t>
      </w:r>
    </w:p>
    <w:p w:rsidR="00DF0A5C" w:rsidRDefault="00DF0A5C">
      <w:pPr>
        <w:rPr>
          <w:color w:val="000000" w:themeColor="text1"/>
          <w:szCs w:val="24"/>
        </w:rPr>
      </w:pPr>
      <w:r>
        <w:rPr>
          <w:color w:val="000000" w:themeColor="text1"/>
          <w:szCs w:val="24"/>
        </w:rPr>
        <w:br w:type="page"/>
      </w:r>
    </w:p>
    <w:p w:rsidR="00DF0A5C" w:rsidRDefault="00DF0A5C" w:rsidP="00DF0A5C">
      <w:pPr>
        <w:pStyle w:val="Header"/>
        <w:tabs>
          <w:tab w:val="clear" w:pos="4320"/>
          <w:tab w:val="clear" w:pos="8640"/>
        </w:tabs>
        <w:jc w:val="left"/>
      </w:pPr>
      <w:r>
        <w:lastRenderedPageBreak/>
        <w:t>SFMR-RB</w:t>
      </w:r>
      <w:r>
        <w:tab/>
      </w:r>
      <w:r>
        <w:tab/>
      </w:r>
      <w:r>
        <w:tab/>
      </w:r>
      <w:r>
        <w:tab/>
      </w:r>
      <w:r>
        <w:tab/>
      </w:r>
      <w:r>
        <w:tab/>
      </w:r>
      <w:r>
        <w:tab/>
      </w:r>
      <w:r>
        <w:tab/>
      </w:r>
      <w:r>
        <w:tab/>
      </w:r>
    </w:p>
    <w:p w:rsidR="00DF0A5C" w:rsidRDefault="00DF0A5C" w:rsidP="00DF0A5C">
      <w:pPr>
        <w:pStyle w:val="Header"/>
        <w:tabs>
          <w:tab w:val="clear" w:pos="4320"/>
          <w:tab w:val="clear" w:pos="8640"/>
        </w:tabs>
        <w:jc w:val="left"/>
      </w:pPr>
    </w:p>
    <w:p w:rsidR="00DF0A5C" w:rsidRDefault="00DF0A5C" w:rsidP="00DF0A5C">
      <w:pPr>
        <w:jc w:val="left"/>
      </w:pPr>
    </w:p>
    <w:p w:rsidR="00DF0A5C" w:rsidRDefault="00DF0A5C" w:rsidP="00DF0A5C">
      <w:pPr>
        <w:jc w:val="left"/>
      </w:pPr>
      <w:r>
        <w:t xml:space="preserve">MEMORANDUM FOR Commander, US Army Physical Disability Agency </w:t>
      </w:r>
    </w:p>
    <w:p w:rsidR="00DF0A5C" w:rsidRDefault="00DF0A5C" w:rsidP="00DF0A5C">
      <w:pPr>
        <w:jc w:val="left"/>
      </w:pPr>
      <w:r>
        <w:t xml:space="preserve"> </w:t>
      </w:r>
    </w:p>
    <w:p w:rsidR="00DF0A5C" w:rsidRDefault="00DF0A5C" w:rsidP="00DF0A5C">
      <w:pPr>
        <w:jc w:val="left"/>
      </w:pPr>
    </w:p>
    <w:p w:rsidR="00DF0A5C" w:rsidRDefault="00DF0A5C" w:rsidP="00DF0A5C">
      <w:pPr>
        <w:ind w:right="-180"/>
        <w:jc w:val="left"/>
      </w:pPr>
      <w:r>
        <w:t xml:space="preserve">SUBJECT:  Department of Defense Physical Disability Board of Review Recommendation </w:t>
      </w:r>
    </w:p>
    <w:p w:rsidR="00DF0A5C" w:rsidRDefault="00DF0A5C" w:rsidP="00DF0A5C">
      <w:pPr>
        <w:pStyle w:val="Header"/>
        <w:tabs>
          <w:tab w:val="left" w:pos="720"/>
        </w:tabs>
        <w:jc w:val="left"/>
      </w:pPr>
      <w:r>
        <w:t xml:space="preserve"> </w:t>
      </w:r>
    </w:p>
    <w:p w:rsidR="00DF0A5C" w:rsidRDefault="00DF0A5C" w:rsidP="00DF0A5C">
      <w:pPr>
        <w:pStyle w:val="Header"/>
        <w:tabs>
          <w:tab w:val="left" w:pos="720"/>
        </w:tabs>
        <w:jc w:val="left"/>
      </w:pPr>
    </w:p>
    <w:p w:rsidR="00DF0A5C" w:rsidRDefault="00DF0A5C" w:rsidP="00DF0A5C">
      <w:pPr>
        <w:jc w:val="left"/>
      </w:pPr>
    </w:p>
    <w:p w:rsidR="00DF0A5C" w:rsidRDefault="00DF0A5C" w:rsidP="00DF0A5C">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DF0A5C" w:rsidRDefault="00DF0A5C" w:rsidP="00DF0A5C">
      <w:pPr>
        <w:jc w:val="left"/>
      </w:pPr>
    </w:p>
    <w:p w:rsidR="00DF0A5C" w:rsidRDefault="00DF0A5C" w:rsidP="00DF0A5C">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DF0A5C" w:rsidRDefault="00DF0A5C" w:rsidP="00DF0A5C">
      <w:pPr>
        <w:jc w:val="left"/>
      </w:pPr>
    </w:p>
    <w:p w:rsidR="00DF0A5C" w:rsidRDefault="00DF0A5C" w:rsidP="00DF0A5C">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DF0A5C" w:rsidRDefault="00DF0A5C" w:rsidP="00DF0A5C">
      <w:pPr>
        <w:jc w:val="left"/>
      </w:pPr>
    </w:p>
    <w:p w:rsidR="00DF0A5C" w:rsidRDefault="00DF0A5C" w:rsidP="00DF0A5C">
      <w:pPr>
        <w:jc w:val="left"/>
      </w:pPr>
      <w:r>
        <w:t xml:space="preserve"> BY ORDER OF THE SECRETARY OF THE ARMY:</w:t>
      </w:r>
    </w:p>
    <w:p w:rsidR="00DF0A5C" w:rsidRDefault="00DF0A5C" w:rsidP="00DF0A5C">
      <w:pPr>
        <w:jc w:val="left"/>
      </w:pPr>
    </w:p>
    <w:p w:rsidR="00DF0A5C" w:rsidRDefault="00DF0A5C" w:rsidP="00DF0A5C">
      <w:pPr>
        <w:jc w:val="left"/>
      </w:pPr>
    </w:p>
    <w:p w:rsidR="00DF0A5C" w:rsidRDefault="00DF0A5C" w:rsidP="00DF0A5C">
      <w:pPr>
        <w:pStyle w:val="Header"/>
        <w:tabs>
          <w:tab w:val="clear" w:pos="4320"/>
          <w:tab w:val="clear" w:pos="8640"/>
        </w:tabs>
        <w:jc w:val="left"/>
      </w:pPr>
    </w:p>
    <w:p w:rsidR="00DF0A5C" w:rsidRDefault="00DF0A5C" w:rsidP="00DF0A5C">
      <w:pPr>
        <w:jc w:val="left"/>
      </w:pPr>
    </w:p>
    <w:p w:rsidR="00DF0A5C" w:rsidRDefault="00DF0A5C" w:rsidP="00DF0A5C">
      <w:pPr>
        <w:jc w:val="left"/>
      </w:pPr>
      <w:bookmarkStart w:id="0" w:name="OLE_LINK3"/>
      <w:bookmarkStart w:id="1" w:name="OLE_LINK4"/>
      <w:r>
        <w:t>Encl</w:t>
      </w:r>
      <w:r>
        <w:tab/>
      </w:r>
      <w:r>
        <w:tab/>
      </w:r>
      <w:r>
        <w:tab/>
      </w:r>
      <w:r>
        <w:tab/>
      </w:r>
      <w:r>
        <w:tab/>
      </w:r>
      <w:r>
        <w:tab/>
        <w:t xml:space="preserve">   </w:t>
      </w:r>
    </w:p>
    <w:p w:rsidR="00DF0A5C" w:rsidRDefault="00DF0A5C" w:rsidP="00DF0A5C">
      <w:pPr>
        <w:jc w:val="left"/>
      </w:pPr>
      <w:r>
        <w:tab/>
      </w:r>
      <w:r>
        <w:tab/>
      </w:r>
      <w:r>
        <w:tab/>
      </w:r>
      <w:r>
        <w:tab/>
      </w:r>
      <w:r>
        <w:tab/>
      </w:r>
      <w:r>
        <w:tab/>
        <w:t xml:space="preserve">     Deputy Assistant Secretary</w:t>
      </w:r>
    </w:p>
    <w:p w:rsidR="00DF0A5C" w:rsidRDefault="00DF0A5C" w:rsidP="00DF0A5C">
      <w:pPr>
        <w:jc w:val="left"/>
      </w:pPr>
      <w:r>
        <w:tab/>
      </w:r>
      <w:r>
        <w:tab/>
      </w:r>
      <w:r>
        <w:tab/>
      </w:r>
      <w:r>
        <w:tab/>
      </w:r>
      <w:r>
        <w:tab/>
      </w:r>
      <w:r>
        <w:tab/>
        <w:t xml:space="preserve">         (Army Review Boards)</w:t>
      </w:r>
      <w:bookmarkEnd w:id="0"/>
      <w:bookmarkEnd w:id="1"/>
    </w:p>
    <w:p w:rsidR="003549F5" w:rsidRPr="00465645" w:rsidRDefault="003549F5" w:rsidP="00465645">
      <w:pPr>
        <w:tabs>
          <w:tab w:val="left" w:pos="0"/>
          <w:tab w:val="left" w:pos="4320"/>
        </w:tabs>
        <w:jc w:val="both"/>
        <w:rPr>
          <w:color w:val="000000" w:themeColor="text1"/>
          <w:szCs w:val="24"/>
        </w:rPr>
      </w:pPr>
    </w:p>
    <w:sectPr w:rsidR="003549F5" w:rsidRPr="00465645"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2FB" w:rsidRDefault="002272FB">
      <w:r>
        <w:separator/>
      </w:r>
    </w:p>
  </w:endnote>
  <w:endnote w:type="continuationSeparator" w:id="0">
    <w:p w:rsidR="002272FB" w:rsidRDefault="002272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D424E4" w:rsidRPr="00374247" w:rsidRDefault="00D424E4" w:rsidP="00374247">
        <w:pPr>
          <w:pStyle w:val="Footer"/>
          <w:ind w:firstLine="4320"/>
          <w:rPr>
            <w:color w:val="auto"/>
            <w:szCs w:val="24"/>
          </w:rPr>
        </w:pPr>
        <w:r w:rsidRPr="00374247">
          <w:rPr>
            <w:color w:val="auto"/>
            <w:szCs w:val="24"/>
          </w:rPr>
          <w:t xml:space="preserve">   </w:t>
        </w:r>
        <w:r w:rsidR="003A102B" w:rsidRPr="00374247">
          <w:rPr>
            <w:color w:val="auto"/>
            <w:szCs w:val="24"/>
          </w:rPr>
          <w:fldChar w:fldCharType="begin"/>
        </w:r>
        <w:r w:rsidRPr="00374247">
          <w:rPr>
            <w:color w:val="auto"/>
            <w:szCs w:val="24"/>
          </w:rPr>
          <w:instrText xml:space="preserve"> PAGE   \* MERGEFORMAT </w:instrText>
        </w:r>
        <w:r w:rsidR="003A102B" w:rsidRPr="00374247">
          <w:rPr>
            <w:color w:val="auto"/>
            <w:szCs w:val="24"/>
          </w:rPr>
          <w:fldChar w:fldCharType="separate"/>
        </w:r>
        <w:r w:rsidR="00DF0A5C" w:rsidRPr="00DF0A5C">
          <w:rPr>
            <w:noProof/>
            <w:color w:val="auto"/>
          </w:rPr>
          <w:t>5</w:t>
        </w:r>
        <w:r w:rsidR="003A102B" w:rsidRPr="00374247">
          <w:rPr>
            <w:color w:val="auto"/>
            <w:szCs w:val="24"/>
          </w:rPr>
          <w:fldChar w:fldCharType="end"/>
        </w:r>
        <w:r w:rsidRPr="00374247">
          <w:rPr>
            <w:color w:val="auto"/>
            <w:szCs w:val="24"/>
          </w:rPr>
          <w:t xml:space="preserve">                                                           </w:t>
        </w:r>
        <w:r w:rsidRPr="005264C6">
          <w:rPr>
            <w:color w:val="auto"/>
            <w:szCs w:val="24"/>
          </w:rPr>
          <w:t>PD1100</w:t>
        </w:r>
        <w:r>
          <w:rPr>
            <w:color w:val="auto"/>
            <w:szCs w:val="24"/>
          </w:rPr>
          <w:t>667</w:t>
        </w:r>
      </w:p>
    </w:sdtContent>
  </w:sdt>
  <w:p w:rsidR="00D424E4" w:rsidRPr="00684CE6" w:rsidRDefault="00D424E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2FB" w:rsidRDefault="002272FB">
      <w:r>
        <w:separator/>
      </w:r>
    </w:p>
  </w:footnote>
  <w:footnote w:type="continuationSeparator" w:id="0">
    <w:p w:rsidR="002272FB" w:rsidRDefault="00227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577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2CF9"/>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1416"/>
    <w:rsid w:val="00113D2A"/>
    <w:rsid w:val="00114ADE"/>
    <w:rsid w:val="00114F20"/>
    <w:rsid w:val="0011590B"/>
    <w:rsid w:val="00117264"/>
    <w:rsid w:val="001211AF"/>
    <w:rsid w:val="001215DF"/>
    <w:rsid w:val="001219DF"/>
    <w:rsid w:val="0012220B"/>
    <w:rsid w:val="001223AE"/>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8B9"/>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28C6"/>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3D23"/>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2FB"/>
    <w:rsid w:val="00227F0B"/>
    <w:rsid w:val="002301CC"/>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522"/>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35BE"/>
    <w:rsid w:val="00274549"/>
    <w:rsid w:val="00274E46"/>
    <w:rsid w:val="002752AE"/>
    <w:rsid w:val="0027597D"/>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09FA"/>
    <w:rsid w:val="00341A54"/>
    <w:rsid w:val="00344A4F"/>
    <w:rsid w:val="00344D17"/>
    <w:rsid w:val="0034669F"/>
    <w:rsid w:val="003470C4"/>
    <w:rsid w:val="00351498"/>
    <w:rsid w:val="00352B22"/>
    <w:rsid w:val="00352CBF"/>
    <w:rsid w:val="00353839"/>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102B"/>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1C8F"/>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6E49"/>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1CC"/>
    <w:rsid w:val="0045645D"/>
    <w:rsid w:val="0045707D"/>
    <w:rsid w:val="004574C6"/>
    <w:rsid w:val="00457743"/>
    <w:rsid w:val="00457BCF"/>
    <w:rsid w:val="00457DCE"/>
    <w:rsid w:val="00460E3F"/>
    <w:rsid w:val="0046111A"/>
    <w:rsid w:val="00462F68"/>
    <w:rsid w:val="0046369B"/>
    <w:rsid w:val="004640E9"/>
    <w:rsid w:val="004647EB"/>
    <w:rsid w:val="00465645"/>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2787"/>
    <w:rsid w:val="004C47D5"/>
    <w:rsid w:val="004C4CAF"/>
    <w:rsid w:val="004C5E33"/>
    <w:rsid w:val="004C60A3"/>
    <w:rsid w:val="004C6CDA"/>
    <w:rsid w:val="004D10D4"/>
    <w:rsid w:val="004D16BD"/>
    <w:rsid w:val="004D2AAB"/>
    <w:rsid w:val="004D3C7F"/>
    <w:rsid w:val="004D42CB"/>
    <w:rsid w:val="004D43C4"/>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4C6"/>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57F7"/>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0BD5"/>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13C"/>
    <w:rsid w:val="0063737C"/>
    <w:rsid w:val="00637BDC"/>
    <w:rsid w:val="00640363"/>
    <w:rsid w:val="00640622"/>
    <w:rsid w:val="006418C9"/>
    <w:rsid w:val="00641A5F"/>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0F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3F4D"/>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7B2"/>
    <w:rsid w:val="007468AC"/>
    <w:rsid w:val="00746AE2"/>
    <w:rsid w:val="00750C82"/>
    <w:rsid w:val="00750E3A"/>
    <w:rsid w:val="00752035"/>
    <w:rsid w:val="00756217"/>
    <w:rsid w:val="0076100C"/>
    <w:rsid w:val="007612A5"/>
    <w:rsid w:val="00763CAE"/>
    <w:rsid w:val="00763F95"/>
    <w:rsid w:val="007651ED"/>
    <w:rsid w:val="0076645A"/>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37DC"/>
    <w:rsid w:val="007B4181"/>
    <w:rsid w:val="007B5746"/>
    <w:rsid w:val="007B5C5C"/>
    <w:rsid w:val="007B5DD7"/>
    <w:rsid w:val="007B6CE0"/>
    <w:rsid w:val="007B7B37"/>
    <w:rsid w:val="007B7C41"/>
    <w:rsid w:val="007C05C5"/>
    <w:rsid w:val="007C0715"/>
    <w:rsid w:val="007C0B04"/>
    <w:rsid w:val="007C11E9"/>
    <w:rsid w:val="007C1B4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0067"/>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10A"/>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61D1"/>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536B"/>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89F"/>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1EAA"/>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4BC"/>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26FF"/>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317B"/>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D78"/>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2E3C"/>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77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6B3A"/>
    <w:rsid w:val="00B771E0"/>
    <w:rsid w:val="00B7793B"/>
    <w:rsid w:val="00B77CC0"/>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075"/>
    <w:rsid w:val="00BB65CE"/>
    <w:rsid w:val="00BB7012"/>
    <w:rsid w:val="00BC09D1"/>
    <w:rsid w:val="00BC1CF3"/>
    <w:rsid w:val="00BC2BE0"/>
    <w:rsid w:val="00BC3573"/>
    <w:rsid w:val="00BC3712"/>
    <w:rsid w:val="00BC43C9"/>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28F5"/>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172"/>
    <w:rsid w:val="00C6170B"/>
    <w:rsid w:val="00C62EB2"/>
    <w:rsid w:val="00C6332B"/>
    <w:rsid w:val="00C63431"/>
    <w:rsid w:val="00C64C87"/>
    <w:rsid w:val="00C65414"/>
    <w:rsid w:val="00C665FE"/>
    <w:rsid w:val="00C71BEC"/>
    <w:rsid w:val="00C73942"/>
    <w:rsid w:val="00C73A83"/>
    <w:rsid w:val="00C74D3A"/>
    <w:rsid w:val="00C75F3D"/>
    <w:rsid w:val="00C77B70"/>
    <w:rsid w:val="00C80511"/>
    <w:rsid w:val="00C80655"/>
    <w:rsid w:val="00C81937"/>
    <w:rsid w:val="00C826F5"/>
    <w:rsid w:val="00C83740"/>
    <w:rsid w:val="00C8394E"/>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264"/>
    <w:rsid w:val="00CA3F73"/>
    <w:rsid w:val="00CA4670"/>
    <w:rsid w:val="00CA4B88"/>
    <w:rsid w:val="00CA5F89"/>
    <w:rsid w:val="00CA6B1A"/>
    <w:rsid w:val="00CB1B18"/>
    <w:rsid w:val="00CB20DC"/>
    <w:rsid w:val="00CB23DC"/>
    <w:rsid w:val="00CB2487"/>
    <w:rsid w:val="00CB28E2"/>
    <w:rsid w:val="00CB2F20"/>
    <w:rsid w:val="00CB3395"/>
    <w:rsid w:val="00CB5801"/>
    <w:rsid w:val="00CB612F"/>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57D"/>
    <w:rsid w:val="00D31683"/>
    <w:rsid w:val="00D33452"/>
    <w:rsid w:val="00D336C8"/>
    <w:rsid w:val="00D339E8"/>
    <w:rsid w:val="00D33FDD"/>
    <w:rsid w:val="00D3654A"/>
    <w:rsid w:val="00D3662E"/>
    <w:rsid w:val="00D373F1"/>
    <w:rsid w:val="00D37567"/>
    <w:rsid w:val="00D40B1F"/>
    <w:rsid w:val="00D40D75"/>
    <w:rsid w:val="00D424E4"/>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432D"/>
    <w:rsid w:val="00D67995"/>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3C8E"/>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2F2F"/>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B37"/>
    <w:rsid w:val="00DD286D"/>
    <w:rsid w:val="00DD2CAF"/>
    <w:rsid w:val="00DD3593"/>
    <w:rsid w:val="00DD5969"/>
    <w:rsid w:val="00DD64E0"/>
    <w:rsid w:val="00DD775C"/>
    <w:rsid w:val="00DD7BE0"/>
    <w:rsid w:val="00DE0C67"/>
    <w:rsid w:val="00DE3AAD"/>
    <w:rsid w:val="00DE598A"/>
    <w:rsid w:val="00DE6952"/>
    <w:rsid w:val="00DE6FBE"/>
    <w:rsid w:val="00DE7A7D"/>
    <w:rsid w:val="00DE7E74"/>
    <w:rsid w:val="00DF071B"/>
    <w:rsid w:val="00DF0A5C"/>
    <w:rsid w:val="00DF5C84"/>
    <w:rsid w:val="00DF5EC0"/>
    <w:rsid w:val="00DF6EF8"/>
    <w:rsid w:val="00DF6EFE"/>
    <w:rsid w:val="00E00A69"/>
    <w:rsid w:val="00E00D28"/>
    <w:rsid w:val="00E017BC"/>
    <w:rsid w:val="00E017F0"/>
    <w:rsid w:val="00E01A0E"/>
    <w:rsid w:val="00E025FE"/>
    <w:rsid w:val="00E0346A"/>
    <w:rsid w:val="00E041E4"/>
    <w:rsid w:val="00E04687"/>
    <w:rsid w:val="00E046B2"/>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5C45"/>
    <w:rsid w:val="00E771AF"/>
    <w:rsid w:val="00E80386"/>
    <w:rsid w:val="00E809C3"/>
    <w:rsid w:val="00E814D4"/>
    <w:rsid w:val="00E81A1A"/>
    <w:rsid w:val="00E81C3E"/>
    <w:rsid w:val="00E82359"/>
    <w:rsid w:val="00E82B6D"/>
    <w:rsid w:val="00E83187"/>
    <w:rsid w:val="00E831E9"/>
    <w:rsid w:val="00E84DDA"/>
    <w:rsid w:val="00E8608F"/>
    <w:rsid w:val="00E867AD"/>
    <w:rsid w:val="00E86C1D"/>
    <w:rsid w:val="00E90703"/>
    <w:rsid w:val="00E90A62"/>
    <w:rsid w:val="00E9265E"/>
    <w:rsid w:val="00E956DB"/>
    <w:rsid w:val="00E95B77"/>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BB6"/>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728"/>
    <w:rsid w:val="00F65E1F"/>
    <w:rsid w:val="00F65ED5"/>
    <w:rsid w:val="00F6608B"/>
    <w:rsid w:val="00F661C4"/>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2FA0"/>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DF0A5C"/>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3742-DA29-4396-B782-7F26CA2B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5</cp:revision>
  <cp:lastPrinted>2011-04-08T11:41:00Z</cp:lastPrinted>
  <dcterms:created xsi:type="dcterms:W3CDTF">2012-03-21T02:15:00Z</dcterms:created>
  <dcterms:modified xsi:type="dcterms:W3CDTF">2012-04-09T17:15:00Z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