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9660C8" w:rsidRPr="009660C8" w:rsidRDefault="009660C8" w:rsidP="009660C8">
      <w:pPr>
        <w:tabs>
          <w:tab w:val="left" w:pos="288"/>
          <w:tab w:val="left" w:pos="6300"/>
        </w:tabs>
        <w:jc w:val="both"/>
        <w:rPr>
          <w:caps/>
          <w:color w:val="000000" w:themeColor="text1"/>
        </w:rPr>
      </w:pPr>
      <w:r w:rsidRPr="009660C8">
        <w:rPr>
          <w:caps/>
          <w:color w:val="000000" w:themeColor="text1"/>
        </w:rPr>
        <w:t xml:space="preserve">NAME:  </w:t>
      </w:r>
      <w:r w:rsidR="007E3638">
        <w:rPr>
          <w:caps/>
          <w:color w:val="000000" w:themeColor="text1"/>
        </w:rPr>
        <w:t xml:space="preserve"> </w:t>
      </w:r>
      <w:r w:rsidRPr="009660C8">
        <w:rPr>
          <w:caps/>
          <w:color w:val="000000" w:themeColor="text1"/>
        </w:rPr>
        <w:tab/>
        <w:t>BRANCH OF SERVICE: Army</w:t>
      </w:r>
    </w:p>
    <w:p w:rsidR="009660C8" w:rsidRPr="009660C8" w:rsidRDefault="009660C8" w:rsidP="009660C8">
      <w:pPr>
        <w:tabs>
          <w:tab w:val="left" w:pos="288"/>
          <w:tab w:val="left" w:pos="6300"/>
        </w:tabs>
        <w:jc w:val="both"/>
        <w:rPr>
          <w:caps/>
          <w:color w:val="000000" w:themeColor="text1"/>
        </w:rPr>
      </w:pPr>
      <w:r w:rsidRPr="009660C8">
        <w:rPr>
          <w:caps/>
          <w:color w:val="000000" w:themeColor="text1"/>
        </w:rPr>
        <w:t xml:space="preserve">CASE NUMBER:  PD1100666 </w:t>
      </w:r>
      <w:r w:rsidRPr="009660C8">
        <w:rPr>
          <w:caps/>
          <w:color w:val="000000" w:themeColor="text1"/>
        </w:rPr>
        <w:tab/>
        <w:t>SEPARATION DATE:  20080427</w:t>
      </w:r>
    </w:p>
    <w:p w:rsidR="009660C8" w:rsidRPr="009660C8" w:rsidRDefault="00D16C0E" w:rsidP="009660C8">
      <w:pPr>
        <w:tabs>
          <w:tab w:val="left" w:pos="288"/>
          <w:tab w:val="left" w:pos="2880"/>
        </w:tabs>
        <w:jc w:val="both"/>
        <w:rPr>
          <w:caps/>
          <w:color w:val="000000" w:themeColor="text1"/>
        </w:rPr>
      </w:pPr>
      <w:r>
        <w:rPr>
          <w:caps/>
          <w:color w:val="000000" w:themeColor="text1"/>
        </w:rPr>
        <w:t>BOARD DATE:  2012</w:t>
      </w:r>
      <w:r w:rsidR="00821182">
        <w:rPr>
          <w:caps/>
          <w:color w:val="000000" w:themeColor="text1"/>
        </w:rPr>
        <w:t>0213</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C6E5B" w:rsidRPr="001F29F9"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 xml:space="preserve">Data </w:t>
      </w:r>
      <w:r w:rsidR="009660C8" w:rsidRPr="009660C8">
        <w:rPr>
          <w:color w:val="000000" w:themeColor="text1"/>
        </w:rPr>
        <w:t>extracted from the available evidence of record reflects that this covered individual (CI) w</w:t>
      </w:r>
      <w:r w:rsidR="006C13E0">
        <w:rPr>
          <w:color w:val="000000" w:themeColor="text1"/>
        </w:rPr>
        <w:t xml:space="preserve">as an active duty SGT/E-5 (35L, </w:t>
      </w:r>
      <w:r w:rsidR="009660C8" w:rsidRPr="009660C8">
        <w:rPr>
          <w:color w:val="000000" w:themeColor="text1"/>
        </w:rPr>
        <w:t xml:space="preserve">Counter Intelligence Agent), medically separated for </w:t>
      </w:r>
      <w:r w:rsidR="00821182">
        <w:rPr>
          <w:color w:val="000000" w:themeColor="text1"/>
        </w:rPr>
        <w:t xml:space="preserve">a </w:t>
      </w:r>
      <w:r w:rsidR="009660C8" w:rsidRPr="009660C8">
        <w:rPr>
          <w:color w:val="000000" w:themeColor="text1"/>
        </w:rPr>
        <w:t xml:space="preserve">left shoulder </w:t>
      </w:r>
      <w:r w:rsidR="00821182">
        <w:rPr>
          <w:color w:val="000000" w:themeColor="text1"/>
        </w:rPr>
        <w:t>condition</w:t>
      </w:r>
      <w:r w:rsidR="009660C8" w:rsidRPr="009660C8">
        <w:rPr>
          <w:color w:val="000000" w:themeColor="text1"/>
        </w:rPr>
        <w:t xml:space="preserve">.  He </w:t>
      </w:r>
      <w:r w:rsidR="006C13E0">
        <w:rPr>
          <w:color w:val="000000" w:themeColor="text1"/>
        </w:rPr>
        <w:t>developed bilateral shoulder pain in</w:t>
      </w:r>
      <w:r w:rsidR="009660C8" w:rsidRPr="009660C8">
        <w:rPr>
          <w:color w:val="000000" w:themeColor="text1"/>
        </w:rPr>
        <w:t xml:space="preserve"> 200</w:t>
      </w:r>
      <w:r w:rsidR="006C13E0">
        <w:rPr>
          <w:color w:val="000000" w:themeColor="text1"/>
        </w:rPr>
        <w:t xml:space="preserve">5, </w:t>
      </w:r>
      <w:r w:rsidR="002E4693">
        <w:rPr>
          <w:color w:val="000000" w:themeColor="text1"/>
        </w:rPr>
        <w:t xml:space="preserve">and </w:t>
      </w:r>
      <w:r w:rsidR="006C13E0">
        <w:rPr>
          <w:color w:val="000000" w:themeColor="text1"/>
        </w:rPr>
        <w:t xml:space="preserve">had the right </w:t>
      </w:r>
      <w:r w:rsidR="002E4693">
        <w:rPr>
          <w:color w:val="000000" w:themeColor="text1"/>
        </w:rPr>
        <w:t xml:space="preserve">(dominant) </w:t>
      </w:r>
      <w:r w:rsidR="006C13E0">
        <w:rPr>
          <w:color w:val="000000" w:themeColor="text1"/>
        </w:rPr>
        <w:t xml:space="preserve">shoulder surgically </w:t>
      </w:r>
      <w:r w:rsidR="002E4693">
        <w:rPr>
          <w:color w:val="000000" w:themeColor="text1"/>
        </w:rPr>
        <w:t>repaired;</w:t>
      </w:r>
      <w:r w:rsidR="006C13E0">
        <w:rPr>
          <w:color w:val="000000" w:themeColor="text1"/>
        </w:rPr>
        <w:t xml:space="preserve"> but</w:t>
      </w:r>
      <w:r w:rsidR="002E4693">
        <w:rPr>
          <w:color w:val="000000" w:themeColor="text1"/>
        </w:rPr>
        <w:t>,</w:t>
      </w:r>
      <w:r w:rsidR="006C13E0">
        <w:rPr>
          <w:color w:val="000000" w:themeColor="text1"/>
        </w:rPr>
        <w:t xml:space="preserve"> persisted</w:t>
      </w:r>
      <w:r w:rsidR="009660C8" w:rsidRPr="009660C8">
        <w:rPr>
          <w:color w:val="000000" w:themeColor="text1"/>
        </w:rPr>
        <w:t xml:space="preserve"> with left shoulder pain </w:t>
      </w:r>
      <w:r w:rsidR="006C13E0">
        <w:rPr>
          <w:color w:val="000000" w:themeColor="text1"/>
        </w:rPr>
        <w:t>and</w:t>
      </w:r>
      <w:r w:rsidR="009660C8" w:rsidRPr="009660C8">
        <w:rPr>
          <w:color w:val="000000" w:themeColor="text1"/>
        </w:rPr>
        <w:t xml:space="preserve"> subluxati</w:t>
      </w:r>
      <w:r w:rsidR="006C13E0">
        <w:rPr>
          <w:color w:val="000000" w:themeColor="text1"/>
        </w:rPr>
        <w:t>on.  Despite aggressive therapy</w:t>
      </w:r>
      <w:r w:rsidR="009660C8" w:rsidRPr="009660C8">
        <w:rPr>
          <w:color w:val="000000" w:themeColor="text1"/>
        </w:rPr>
        <w:t xml:space="preserve"> he did not respond adequately to </w:t>
      </w:r>
      <w:r w:rsidR="006C13E0">
        <w:rPr>
          <w:color w:val="000000" w:themeColor="text1"/>
        </w:rPr>
        <w:t>fully</w:t>
      </w:r>
      <w:r w:rsidR="009660C8" w:rsidRPr="009660C8">
        <w:rPr>
          <w:color w:val="000000" w:themeColor="text1"/>
        </w:rPr>
        <w:t xml:space="preserve"> perform within his Military Occupational Specialty (MOS) or meet physical fitness standards.  He was issued a permanent U3 profile and underwent a Medical Evaluation Board (MEB).  </w:t>
      </w:r>
      <w:r w:rsidR="00B9173E">
        <w:rPr>
          <w:color w:val="000000" w:themeColor="text1"/>
        </w:rPr>
        <w:t>“</w:t>
      </w:r>
      <w:r w:rsidR="009660C8" w:rsidRPr="009660C8">
        <w:rPr>
          <w:color w:val="000000" w:themeColor="text1"/>
        </w:rPr>
        <w:t>Chronic left shoulder pain secondary to anterior glenoid labrum lesion</w:t>
      </w:r>
      <w:r w:rsidR="00B9173E">
        <w:rPr>
          <w:color w:val="000000" w:themeColor="text1"/>
        </w:rPr>
        <w:t>”</w:t>
      </w:r>
      <w:r w:rsidR="009660C8" w:rsidRPr="009660C8">
        <w:rPr>
          <w:color w:val="000000" w:themeColor="text1"/>
        </w:rPr>
        <w:t xml:space="preserve"> was forwarded to the Physical Evaluation Board (PEB) as medically unacceptable IAW AR 40-501.  Chronic right shoulder pain</w:t>
      </w:r>
      <w:r w:rsidR="00B9173E">
        <w:rPr>
          <w:color w:val="000000" w:themeColor="text1"/>
        </w:rPr>
        <w:t xml:space="preserve"> status post recent surgical repair” was forwarded as meeting retention standards.  Three other conditions, listed on the rating chart below, were </w:t>
      </w:r>
      <w:r w:rsidR="00821182">
        <w:rPr>
          <w:color w:val="000000" w:themeColor="text1"/>
        </w:rPr>
        <w:t>additionally</w:t>
      </w:r>
      <w:r w:rsidR="00B9173E">
        <w:rPr>
          <w:color w:val="000000" w:themeColor="text1"/>
        </w:rPr>
        <w:t xml:space="preserve"> forwarded as medically acceptable</w:t>
      </w:r>
      <w:r w:rsidR="00821182">
        <w:rPr>
          <w:color w:val="000000" w:themeColor="text1"/>
        </w:rPr>
        <w:t xml:space="preserve"> conditions</w:t>
      </w:r>
      <w:r w:rsidR="00B9173E">
        <w:rPr>
          <w:color w:val="000000" w:themeColor="text1"/>
        </w:rPr>
        <w:t xml:space="preserve">.  </w:t>
      </w:r>
      <w:r w:rsidR="009660C8" w:rsidRPr="009660C8">
        <w:rPr>
          <w:color w:val="000000" w:themeColor="text1"/>
        </w:rPr>
        <w:t>The PEB adjudicated the left shoulder co</w:t>
      </w:r>
      <w:r w:rsidR="006C13E0">
        <w:rPr>
          <w:color w:val="000000" w:themeColor="text1"/>
        </w:rPr>
        <w:t>ndition as unfitting, rated 10%</w:t>
      </w:r>
      <w:r w:rsidR="009660C8" w:rsidRPr="009660C8">
        <w:rPr>
          <w:color w:val="000000" w:themeColor="text1"/>
        </w:rPr>
        <w:t xml:space="preserve"> </w:t>
      </w:r>
      <w:r w:rsidR="00F04C66">
        <w:rPr>
          <w:color w:val="000000" w:themeColor="text1"/>
        </w:rPr>
        <w:t>referencing</w:t>
      </w:r>
      <w:r w:rsidR="006C13E0" w:rsidRPr="009660C8">
        <w:rPr>
          <w:color w:val="000000" w:themeColor="text1"/>
        </w:rPr>
        <w:t xml:space="preserve"> the US Army Physical Disability Agency (USAPDA) pain policy</w:t>
      </w:r>
      <w:r w:rsidR="006C13E0">
        <w:rPr>
          <w:color w:val="000000" w:themeColor="text1"/>
        </w:rPr>
        <w:t>.</w:t>
      </w:r>
      <w:r w:rsidR="006C13E0" w:rsidRPr="009660C8">
        <w:rPr>
          <w:color w:val="000000" w:themeColor="text1"/>
        </w:rPr>
        <w:t xml:space="preserve"> </w:t>
      </w:r>
      <w:r w:rsidR="006C13E0">
        <w:rPr>
          <w:color w:val="000000" w:themeColor="text1"/>
        </w:rPr>
        <w:t xml:space="preserve"> The</w:t>
      </w:r>
      <w:r w:rsidR="009660C8" w:rsidRPr="009660C8">
        <w:rPr>
          <w:color w:val="000000" w:themeColor="text1"/>
        </w:rPr>
        <w:t xml:space="preserve"> right shoulder </w:t>
      </w:r>
      <w:r w:rsidR="00F04C66">
        <w:rPr>
          <w:color w:val="000000" w:themeColor="text1"/>
        </w:rPr>
        <w:t>and remaining</w:t>
      </w:r>
      <w:r w:rsidR="009660C8" w:rsidRPr="009660C8">
        <w:rPr>
          <w:color w:val="000000" w:themeColor="text1"/>
        </w:rPr>
        <w:t xml:space="preserve"> conditions were </w:t>
      </w:r>
      <w:r w:rsidR="006C13E0">
        <w:rPr>
          <w:color w:val="000000" w:themeColor="text1"/>
        </w:rPr>
        <w:t>adjudicated</w:t>
      </w:r>
      <w:r w:rsidR="009660C8" w:rsidRPr="009660C8">
        <w:rPr>
          <w:color w:val="000000" w:themeColor="text1"/>
        </w:rPr>
        <w:t xml:space="preserve"> as not unfitting</w:t>
      </w:r>
      <w:r w:rsidR="006C13E0">
        <w:rPr>
          <w:color w:val="000000" w:themeColor="text1"/>
        </w:rPr>
        <w:t>.</w:t>
      </w:r>
      <w:r w:rsidR="009660C8" w:rsidRPr="009660C8">
        <w:rPr>
          <w:color w:val="000000" w:themeColor="text1"/>
        </w:rPr>
        <w:t xml:space="preserve">  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9660C8">
        <w:rPr>
          <w:color w:val="000000" w:themeColor="text1"/>
        </w:rPr>
        <w:t xml:space="preserve">  </w:t>
      </w:r>
      <w:r w:rsidR="009660C8" w:rsidRPr="009660C8">
        <w:rPr>
          <w:color w:val="000000" w:themeColor="text1"/>
        </w:rPr>
        <w:t xml:space="preserve">“The reasons that my rating should be changed is that I was given a 10% rating on my left shoulder however, my right shoulder which was damaged even greater and received a status that it meet retention standards (sic). My range of motion in both of my shoulders was also limited. </w:t>
      </w:r>
      <w:proofErr w:type="gramStart"/>
      <w:r w:rsidR="009660C8" w:rsidRPr="009660C8">
        <w:rPr>
          <w:color w:val="000000" w:themeColor="text1"/>
        </w:rPr>
        <w:t>Range of motion test used in the determination were</w:t>
      </w:r>
      <w:proofErr w:type="gramEnd"/>
      <w:r w:rsidR="009660C8" w:rsidRPr="009660C8">
        <w:rPr>
          <w:color w:val="000000" w:themeColor="text1"/>
        </w:rPr>
        <w:t xml:space="preserve"> also conducted by forcing my range of motion by the doctor (sic).  Range of motion has limited my activities.  The other issues that should be considered </w:t>
      </w:r>
      <w:proofErr w:type="gramStart"/>
      <w:r w:rsidR="009660C8" w:rsidRPr="009660C8">
        <w:rPr>
          <w:color w:val="000000" w:themeColor="text1"/>
        </w:rPr>
        <w:t>is</w:t>
      </w:r>
      <w:proofErr w:type="gramEnd"/>
      <w:r w:rsidR="009660C8" w:rsidRPr="009660C8">
        <w:rPr>
          <w:color w:val="000000" w:themeColor="text1"/>
        </w:rPr>
        <w:t xml:space="preserve"> (sic) my high blood pressure and the migraines caused by the issue.”</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42" w:type="dxa"/>
        <w:jc w:val="center"/>
        <w:tblLayout w:type="fixed"/>
        <w:tblLook w:val="04A0"/>
      </w:tblPr>
      <w:tblGrid>
        <w:gridCol w:w="2142"/>
        <w:gridCol w:w="1080"/>
        <w:gridCol w:w="900"/>
        <w:gridCol w:w="2322"/>
        <w:gridCol w:w="1080"/>
        <w:gridCol w:w="828"/>
        <w:gridCol w:w="990"/>
      </w:tblGrid>
      <w:tr w:rsidR="002B4E22" w:rsidRPr="001F29F9" w:rsidTr="00D16C0E">
        <w:trPr>
          <w:trHeight w:val="170"/>
          <w:jc w:val="center"/>
        </w:trPr>
        <w:tc>
          <w:tcPr>
            <w:tcW w:w="4122" w:type="dxa"/>
            <w:gridSpan w:val="3"/>
            <w:tcBorders>
              <w:right w:val="thinThickThinSmallGap" w:sz="24" w:space="0" w:color="auto"/>
            </w:tcBorders>
            <w:shd w:val="clear" w:color="auto" w:fill="D9D9D9" w:themeFill="background1" w:themeFillShade="D9"/>
            <w:vAlign w:val="center"/>
          </w:tcPr>
          <w:p w:rsidR="002B4E22" w:rsidRPr="001F29F9" w:rsidRDefault="009660C8" w:rsidP="00D16C0E">
            <w:pPr>
              <w:contextualSpacing/>
              <w:rPr>
                <w:rFonts w:ascii="Calibri" w:hAnsi="Calibri" w:cs="Calibri"/>
                <w:b/>
                <w:color w:val="000000" w:themeColor="text1"/>
                <w:sz w:val="18"/>
                <w:szCs w:val="18"/>
              </w:rPr>
            </w:pPr>
            <w:r w:rsidRPr="009660C8">
              <w:rPr>
                <w:rFonts w:ascii="Calibri" w:hAnsi="Calibri" w:cs="Calibri"/>
                <w:b/>
                <w:color w:val="000000" w:themeColor="text1"/>
                <w:sz w:val="18"/>
                <w:szCs w:val="18"/>
              </w:rPr>
              <w:t>Service IPEB – Dated 20080311</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D16C0E">
            <w:pPr>
              <w:contextualSpacing/>
              <w:rPr>
                <w:rFonts w:ascii="Calibri" w:hAnsi="Calibri" w:cs="Calibri"/>
                <w:b/>
                <w:color w:val="000000" w:themeColor="text1"/>
                <w:sz w:val="18"/>
                <w:szCs w:val="18"/>
              </w:rPr>
            </w:pPr>
            <w:r w:rsidRPr="009660C8">
              <w:rPr>
                <w:rFonts w:ascii="Calibri" w:hAnsi="Calibri" w:cs="Calibri"/>
                <w:b/>
                <w:color w:val="000000" w:themeColor="text1"/>
                <w:sz w:val="18"/>
                <w:szCs w:val="18"/>
              </w:rPr>
              <w:t>VA (</w:t>
            </w:r>
            <w:r w:rsidR="009660C8" w:rsidRPr="009660C8">
              <w:rPr>
                <w:rFonts w:ascii="Calibri" w:hAnsi="Calibri" w:cs="Calibri"/>
                <w:b/>
                <w:color w:val="000000" w:themeColor="text1"/>
                <w:sz w:val="18"/>
                <w:szCs w:val="18"/>
              </w:rPr>
              <w:t xml:space="preserve">2 Mo. Pre Separation </w:t>
            </w:r>
            <w:r w:rsidRPr="009660C8">
              <w:rPr>
                <w:rFonts w:ascii="Calibri" w:hAnsi="Calibri" w:cs="Calibri"/>
                <w:b/>
                <w:color w:val="000000" w:themeColor="text1"/>
                <w:sz w:val="18"/>
                <w:szCs w:val="18"/>
              </w:rPr>
              <w:t>) – All</w:t>
            </w:r>
            <w:r w:rsidRPr="001F29F9">
              <w:rPr>
                <w:rFonts w:ascii="Calibri" w:hAnsi="Calibri" w:cs="Calibri"/>
                <w:b/>
                <w:color w:val="000000" w:themeColor="text1"/>
                <w:sz w:val="18"/>
                <w:szCs w:val="18"/>
              </w:rPr>
              <w:t xml:space="preserve"> Effective </w:t>
            </w:r>
            <w:r w:rsidR="009660C8" w:rsidRPr="009660C8">
              <w:rPr>
                <w:rFonts w:ascii="Calibri" w:hAnsi="Calibri" w:cs="Calibri"/>
                <w:b/>
                <w:color w:val="000000" w:themeColor="text1"/>
                <w:sz w:val="18"/>
                <w:szCs w:val="18"/>
              </w:rPr>
              <w:t>20080428</w:t>
            </w:r>
          </w:p>
        </w:tc>
      </w:tr>
      <w:tr w:rsidR="002B4E22" w:rsidRPr="001F29F9" w:rsidTr="00D16C0E">
        <w:trPr>
          <w:trHeight w:val="97"/>
          <w:jc w:val="center"/>
        </w:trPr>
        <w:tc>
          <w:tcPr>
            <w:tcW w:w="2142"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9660C8" w:rsidRPr="001F29F9" w:rsidTr="00D16C0E">
        <w:trPr>
          <w:trHeight w:val="115"/>
          <w:jc w:val="center"/>
        </w:trPr>
        <w:tc>
          <w:tcPr>
            <w:tcW w:w="2142" w:type="dxa"/>
            <w:tcBorders>
              <w:right w:val="single" w:sz="4" w:space="0" w:color="auto"/>
            </w:tcBorders>
            <w:shd w:val="clear" w:color="auto" w:fill="FFFFFF" w:themeFill="background1"/>
            <w:vAlign w:val="center"/>
          </w:tcPr>
          <w:p w:rsidR="009660C8" w:rsidRPr="001F29F9" w:rsidRDefault="009660C8" w:rsidP="00D16C0E">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Left </w:t>
            </w:r>
            <w:r w:rsidRPr="009660C8">
              <w:rPr>
                <w:rFonts w:ascii="Calibri" w:hAnsi="Calibri" w:cs="Calibri"/>
                <w:color w:val="000000" w:themeColor="text1"/>
                <w:sz w:val="18"/>
                <w:szCs w:val="18"/>
              </w:rPr>
              <w:t>Shoulder Pain</w:t>
            </w:r>
          </w:p>
        </w:tc>
        <w:tc>
          <w:tcPr>
            <w:tcW w:w="1080" w:type="dxa"/>
            <w:tcBorders>
              <w:left w:val="single" w:sz="4" w:space="0" w:color="auto"/>
            </w:tcBorders>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9660C8" w:rsidRPr="001F29F9" w:rsidRDefault="009660C8" w:rsidP="00D16C0E">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9660C8" w:rsidRPr="001F29F9" w:rsidRDefault="009660C8" w:rsidP="00D16C0E">
            <w:pPr>
              <w:spacing w:line="220" w:lineRule="exact"/>
              <w:contextualSpacing/>
              <w:jc w:val="left"/>
              <w:rPr>
                <w:rFonts w:ascii="Calibri" w:eastAsia="Times New Roman" w:hAnsi="Calibri" w:cs="Calibri"/>
                <w:color w:val="000000" w:themeColor="text1"/>
                <w:sz w:val="18"/>
                <w:szCs w:val="18"/>
              </w:rPr>
            </w:pPr>
            <w:r w:rsidRPr="009660C8">
              <w:rPr>
                <w:rFonts w:ascii="Calibri" w:hAnsi="Calibri" w:cs="Calibri"/>
                <w:color w:val="000000" w:themeColor="text1"/>
                <w:sz w:val="18"/>
                <w:szCs w:val="18"/>
              </w:rPr>
              <w:t>DJD Left Shoulder</w:t>
            </w:r>
          </w:p>
        </w:tc>
        <w:tc>
          <w:tcPr>
            <w:tcW w:w="1080"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5201-5003</w:t>
            </w:r>
          </w:p>
        </w:tc>
        <w:tc>
          <w:tcPr>
            <w:tcW w:w="828"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80306</w:t>
            </w:r>
          </w:p>
        </w:tc>
      </w:tr>
      <w:tr w:rsidR="009660C8" w:rsidRPr="001F29F9" w:rsidTr="00D16C0E">
        <w:trPr>
          <w:trHeight w:val="106"/>
          <w:jc w:val="center"/>
        </w:trPr>
        <w:tc>
          <w:tcPr>
            <w:tcW w:w="2142" w:type="dxa"/>
            <w:tcBorders>
              <w:right w:val="single" w:sz="4" w:space="0" w:color="auto"/>
            </w:tcBorders>
            <w:shd w:val="clear" w:color="auto" w:fill="FFFFFF" w:themeFill="background1"/>
            <w:vAlign w:val="center"/>
          </w:tcPr>
          <w:p w:rsidR="009660C8" w:rsidRPr="001F29F9" w:rsidRDefault="009660C8" w:rsidP="00D16C0E">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Right </w:t>
            </w:r>
            <w:r w:rsidRPr="009660C8">
              <w:rPr>
                <w:rFonts w:ascii="Calibri" w:hAnsi="Calibri" w:cs="Calibri"/>
                <w:color w:val="000000" w:themeColor="text1"/>
                <w:sz w:val="18"/>
                <w:szCs w:val="18"/>
              </w:rPr>
              <w:t>Shoulder Pain</w:t>
            </w:r>
          </w:p>
        </w:tc>
        <w:tc>
          <w:tcPr>
            <w:tcW w:w="1980" w:type="dxa"/>
            <w:gridSpan w:val="2"/>
            <w:tcBorders>
              <w:left w:val="single" w:sz="4" w:space="0" w:color="auto"/>
              <w:right w:val="thinThickThinSmallGap" w:sz="24" w:space="0" w:color="auto"/>
            </w:tcBorders>
            <w:shd w:val="clear" w:color="auto" w:fill="FFFFFF" w:themeFill="background1"/>
            <w:vAlign w:val="center"/>
          </w:tcPr>
          <w:p w:rsidR="009660C8" w:rsidRPr="001F29F9" w:rsidRDefault="009660C8" w:rsidP="00D16C0E">
            <w:pPr>
              <w:spacing w:line="22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9660C8" w:rsidRPr="001F29F9" w:rsidRDefault="009660C8" w:rsidP="00D16C0E">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DJD Right Shoulder</w:t>
            </w:r>
          </w:p>
        </w:tc>
        <w:tc>
          <w:tcPr>
            <w:tcW w:w="1080" w:type="dxa"/>
            <w:tcBorders>
              <w:left w:val="single" w:sz="4" w:space="0" w:color="auto"/>
            </w:tcBorders>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5201-5003</w:t>
            </w:r>
          </w:p>
        </w:tc>
        <w:tc>
          <w:tcPr>
            <w:tcW w:w="828"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80306</w:t>
            </w:r>
          </w:p>
        </w:tc>
      </w:tr>
      <w:tr w:rsidR="009660C8" w:rsidRPr="001F29F9" w:rsidTr="00D16C0E">
        <w:trPr>
          <w:trHeight w:val="97"/>
          <w:jc w:val="center"/>
        </w:trPr>
        <w:tc>
          <w:tcPr>
            <w:tcW w:w="2142" w:type="dxa"/>
            <w:tcBorders>
              <w:right w:val="single" w:sz="4" w:space="0" w:color="auto"/>
            </w:tcBorders>
            <w:shd w:val="clear" w:color="auto" w:fill="FFFFFF" w:themeFill="background1"/>
            <w:vAlign w:val="center"/>
          </w:tcPr>
          <w:p w:rsidR="009660C8" w:rsidRPr="001F29F9" w:rsidRDefault="009660C8" w:rsidP="00D16C0E">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Migraines</w:t>
            </w:r>
          </w:p>
        </w:tc>
        <w:tc>
          <w:tcPr>
            <w:tcW w:w="1980" w:type="dxa"/>
            <w:gridSpan w:val="2"/>
            <w:tcBorders>
              <w:left w:val="single" w:sz="4" w:space="0" w:color="auto"/>
              <w:right w:val="thinThickThinSmallGap" w:sz="24" w:space="0" w:color="auto"/>
            </w:tcBorders>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9660C8" w:rsidRPr="001F29F9" w:rsidRDefault="009660C8" w:rsidP="00D16C0E">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Migraines</w:t>
            </w:r>
          </w:p>
        </w:tc>
        <w:tc>
          <w:tcPr>
            <w:tcW w:w="1080" w:type="dxa"/>
            <w:tcBorders>
              <w:left w:val="single" w:sz="4" w:space="0" w:color="auto"/>
            </w:tcBorders>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8100</w:t>
            </w:r>
          </w:p>
        </w:tc>
        <w:tc>
          <w:tcPr>
            <w:tcW w:w="828"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80306</w:t>
            </w:r>
          </w:p>
        </w:tc>
      </w:tr>
      <w:tr w:rsidR="009660C8" w:rsidRPr="001F29F9" w:rsidTr="00D16C0E">
        <w:trPr>
          <w:trHeight w:val="178"/>
          <w:jc w:val="center"/>
        </w:trPr>
        <w:tc>
          <w:tcPr>
            <w:tcW w:w="2142" w:type="dxa"/>
            <w:tcBorders>
              <w:right w:val="single" w:sz="4" w:space="0" w:color="auto"/>
            </w:tcBorders>
            <w:shd w:val="clear" w:color="auto" w:fill="FFFFFF" w:themeFill="background1"/>
            <w:vAlign w:val="center"/>
          </w:tcPr>
          <w:p w:rsidR="009660C8" w:rsidRPr="001F29F9" w:rsidRDefault="009660C8" w:rsidP="00D16C0E">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Hypertension</w:t>
            </w:r>
          </w:p>
        </w:tc>
        <w:tc>
          <w:tcPr>
            <w:tcW w:w="1980" w:type="dxa"/>
            <w:gridSpan w:val="2"/>
            <w:tcBorders>
              <w:left w:val="single" w:sz="4" w:space="0" w:color="auto"/>
              <w:right w:val="thinThickThinSmallGap" w:sz="24" w:space="0" w:color="auto"/>
            </w:tcBorders>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9660C8" w:rsidRPr="001F29F9" w:rsidRDefault="009660C8" w:rsidP="00D16C0E">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Hypertension</w:t>
            </w:r>
          </w:p>
        </w:tc>
        <w:tc>
          <w:tcPr>
            <w:tcW w:w="1080" w:type="dxa"/>
            <w:tcBorders>
              <w:left w:val="single" w:sz="4" w:space="0" w:color="auto"/>
            </w:tcBorders>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7101</w:t>
            </w:r>
          </w:p>
        </w:tc>
        <w:tc>
          <w:tcPr>
            <w:tcW w:w="828"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80306</w:t>
            </w:r>
          </w:p>
        </w:tc>
      </w:tr>
      <w:tr w:rsidR="0060063E" w:rsidRPr="001F29F9" w:rsidTr="00D16C0E">
        <w:trPr>
          <w:trHeight w:val="70"/>
          <w:jc w:val="center"/>
        </w:trPr>
        <w:tc>
          <w:tcPr>
            <w:tcW w:w="2142" w:type="dxa"/>
            <w:vMerge w:val="restart"/>
            <w:tcBorders>
              <w:right w:val="single" w:sz="4" w:space="0" w:color="auto"/>
            </w:tcBorders>
            <w:shd w:val="clear" w:color="auto" w:fill="FFFFFF" w:themeFill="background1"/>
            <w:vAlign w:val="center"/>
          </w:tcPr>
          <w:p w:rsidR="0060063E" w:rsidRPr="001F29F9" w:rsidRDefault="0060063E" w:rsidP="00D16C0E">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Bilateral Knee Pain</w:t>
            </w:r>
          </w:p>
        </w:tc>
        <w:tc>
          <w:tcPr>
            <w:tcW w:w="1980" w:type="dxa"/>
            <w:gridSpan w:val="2"/>
            <w:vMerge w:val="restart"/>
            <w:tcBorders>
              <w:left w:val="single" w:sz="4" w:space="0" w:color="auto"/>
              <w:right w:val="thinThickThinSmallGap" w:sz="24" w:space="0" w:color="auto"/>
            </w:tcBorders>
            <w:shd w:val="clear" w:color="auto" w:fill="FFFFFF" w:themeFill="background1"/>
            <w:vAlign w:val="center"/>
          </w:tcPr>
          <w:p w:rsidR="0060063E" w:rsidRPr="001F29F9" w:rsidRDefault="0060063E" w:rsidP="00D16C0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60063E" w:rsidRPr="001F29F9" w:rsidRDefault="0060063E" w:rsidP="00D16C0E">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Left Knee Strain</w:t>
            </w:r>
          </w:p>
        </w:tc>
        <w:tc>
          <w:tcPr>
            <w:tcW w:w="1080" w:type="dxa"/>
            <w:tcBorders>
              <w:left w:val="single" w:sz="4" w:space="0" w:color="auto"/>
              <w:right w:val="single" w:sz="4" w:space="0" w:color="auto"/>
            </w:tcBorders>
            <w:shd w:val="clear" w:color="auto" w:fill="FFFFFF" w:themeFill="background1"/>
            <w:vAlign w:val="center"/>
          </w:tcPr>
          <w:p w:rsidR="0060063E" w:rsidRPr="001F29F9" w:rsidRDefault="0060063E" w:rsidP="00D16C0E">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5024</w:t>
            </w:r>
          </w:p>
        </w:tc>
        <w:tc>
          <w:tcPr>
            <w:tcW w:w="828" w:type="dxa"/>
            <w:tcBorders>
              <w:left w:val="single" w:sz="4" w:space="0" w:color="auto"/>
            </w:tcBorders>
            <w:shd w:val="clear" w:color="auto" w:fill="FFFFFF" w:themeFill="background1"/>
            <w:vAlign w:val="center"/>
          </w:tcPr>
          <w:p w:rsidR="0060063E" w:rsidRPr="001F29F9" w:rsidRDefault="0060063E" w:rsidP="00D16C0E">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60063E" w:rsidRPr="001F29F9" w:rsidRDefault="0060063E" w:rsidP="00D16C0E">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80306</w:t>
            </w:r>
          </w:p>
        </w:tc>
      </w:tr>
      <w:tr w:rsidR="0060063E" w:rsidRPr="001F29F9" w:rsidTr="00D16C0E">
        <w:trPr>
          <w:trHeight w:val="70"/>
          <w:jc w:val="center"/>
        </w:trPr>
        <w:tc>
          <w:tcPr>
            <w:tcW w:w="2142" w:type="dxa"/>
            <w:vMerge/>
            <w:tcBorders>
              <w:right w:val="single" w:sz="4" w:space="0" w:color="auto"/>
            </w:tcBorders>
            <w:shd w:val="clear" w:color="auto" w:fill="FFFFFF" w:themeFill="background1"/>
            <w:vAlign w:val="center"/>
          </w:tcPr>
          <w:p w:rsidR="0060063E" w:rsidRDefault="0060063E" w:rsidP="00D16C0E">
            <w:pPr>
              <w:spacing w:line="220" w:lineRule="exact"/>
              <w:contextualSpacing/>
              <w:jc w:val="left"/>
              <w:rPr>
                <w:rFonts w:cs="Calibri"/>
                <w:color w:val="000000" w:themeColor="text1"/>
                <w:sz w:val="18"/>
                <w:szCs w:val="18"/>
              </w:rPr>
            </w:pPr>
          </w:p>
        </w:tc>
        <w:tc>
          <w:tcPr>
            <w:tcW w:w="1980" w:type="dxa"/>
            <w:gridSpan w:val="2"/>
            <w:vMerge/>
            <w:tcBorders>
              <w:left w:val="single" w:sz="4" w:space="0" w:color="auto"/>
              <w:right w:val="thinThickThinSmallGap" w:sz="24" w:space="0" w:color="auto"/>
            </w:tcBorders>
            <w:shd w:val="clear" w:color="auto" w:fill="FFFFFF" w:themeFill="background1"/>
            <w:vAlign w:val="center"/>
          </w:tcPr>
          <w:p w:rsidR="0060063E" w:rsidRPr="001F29F9" w:rsidRDefault="0060063E" w:rsidP="00D16C0E">
            <w:pPr>
              <w:spacing w:line="22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60063E" w:rsidRDefault="0060063E" w:rsidP="00D16C0E">
            <w:pPr>
              <w:spacing w:line="220" w:lineRule="exact"/>
              <w:contextualSpacing/>
              <w:jc w:val="left"/>
              <w:rPr>
                <w:rFonts w:cs="Calibri"/>
                <w:color w:val="000000" w:themeColor="text1"/>
                <w:sz w:val="18"/>
                <w:szCs w:val="18"/>
              </w:rPr>
            </w:pPr>
            <w:r>
              <w:rPr>
                <w:rFonts w:cs="Calibri"/>
                <w:color w:val="000000" w:themeColor="text1"/>
                <w:sz w:val="18"/>
                <w:szCs w:val="18"/>
              </w:rPr>
              <w:t>Right Knee Pain</w:t>
            </w:r>
          </w:p>
        </w:tc>
        <w:tc>
          <w:tcPr>
            <w:tcW w:w="1080" w:type="dxa"/>
            <w:tcBorders>
              <w:left w:val="single" w:sz="4" w:space="0" w:color="auto"/>
              <w:right w:val="single" w:sz="4" w:space="0" w:color="auto"/>
            </w:tcBorders>
            <w:shd w:val="clear" w:color="auto" w:fill="FFFFFF" w:themeFill="background1"/>
            <w:vAlign w:val="center"/>
          </w:tcPr>
          <w:p w:rsidR="0060063E" w:rsidRDefault="0060063E" w:rsidP="00D16C0E">
            <w:pPr>
              <w:spacing w:line="220" w:lineRule="exact"/>
              <w:contextualSpacing/>
              <w:rPr>
                <w:rFonts w:cs="Calibri"/>
                <w:color w:val="000000" w:themeColor="text1"/>
                <w:sz w:val="18"/>
                <w:szCs w:val="18"/>
              </w:rPr>
            </w:pPr>
            <w:r>
              <w:rPr>
                <w:rFonts w:cs="Calibri"/>
                <w:color w:val="000000" w:themeColor="text1"/>
                <w:sz w:val="18"/>
                <w:szCs w:val="18"/>
              </w:rPr>
              <w:t>5260</w:t>
            </w:r>
          </w:p>
        </w:tc>
        <w:tc>
          <w:tcPr>
            <w:tcW w:w="828" w:type="dxa"/>
            <w:tcBorders>
              <w:left w:val="single" w:sz="4" w:space="0" w:color="auto"/>
            </w:tcBorders>
            <w:shd w:val="clear" w:color="auto" w:fill="FFFFFF" w:themeFill="background1"/>
            <w:vAlign w:val="center"/>
          </w:tcPr>
          <w:p w:rsidR="0060063E" w:rsidRDefault="0060063E" w:rsidP="00D16C0E">
            <w:pPr>
              <w:spacing w:line="22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60063E" w:rsidRPr="001F29F9" w:rsidRDefault="0060063E" w:rsidP="00D16C0E">
            <w:pPr>
              <w:spacing w:line="220" w:lineRule="exact"/>
              <w:contextualSpacing/>
              <w:rPr>
                <w:rFonts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80306</w:t>
            </w:r>
          </w:p>
        </w:tc>
      </w:tr>
      <w:tr w:rsidR="009660C8" w:rsidRPr="001F29F9" w:rsidTr="00D16C0E">
        <w:trPr>
          <w:trHeight w:val="133"/>
          <w:jc w:val="center"/>
        </w:trPr>
        <w:tc>
          <w:tcPr>
            <w:tcW w:w="4122" w:type="dxa"/>
            <w:gridSpan w:val="3"/>
            <w:tcBorders>
              <w:right w:val="thinThickThinSmallGap" w:sz="24" w:space="0" w:color="auto"/>
            </w:tcBorders>
            <w:shd w:val="clear" w:color="auto" w:fill="FFFFFF" w:themeFill="background1"/>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No Additional </w:t>
            </w:r>
            <w:r>
              <w:rPr>
                <w:rFonts w:ascii="Calibri" w:hAnsi="Calibri" w:cs="Calibri"/>
                <w:color w:val="000000" w:themeColor="text1"/>
                <w:sz w:val="18"/>
                <w:szCs w:val="18"/>
              </w:rPr>
              <w:t>VA</w:t>
            </w:r>
            <w:r w:rsidRPr="001F29F9">
              <w:rPr>
                <w:rFonts w:ascii="Calibri" w:hAnsi="Calibri" w:cs="Calibri"/>
                <w:color w:val="000000" w:themeColor="text1"/>
                <w:sz w:val="18"/>
                <w:szCs w:val="18"/>
              </w:rPr>
              <w:t xml:space="preserve"> Entries</w:t>
            </w:r>
          </w:p>
        </w:tc>
        <w:tc>
          <w:tcPr>
            <w:tcW w:w="990" w:type="dxa"/>
            <w:shd w:val="clear" w:color="auto" w:fill="FFFFFF" w:themeFill="background1"/>
            <w:vAlign w:val="center"/>
          </w:tcPr>
          <w:p w:rsidR="009660C8" w:rsidRPr="001F29F9" w:rsidRDefault="009660C8" w:rsidP="00D16C0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80306</w:t>
            </w:r>
          </w:p>
        </w:tc>
      </w:tr>
      <w:tr w:rsidR="009660C8" w:rsidRPr="001F29F9" w:rsidTr="00D16C0E">
        <w:trPr>
          <w:trHeight w:val="124"/>
          <w:jc w:val="center"/>
        </w:trPr>
        <w:tc>
          <w:tcPr>
            <w:tcW w:w="4122" w:type="dxa"/>
            <w:gridSpan w:val="3"/>
            <w:tcBorders>
              <w:right w:val="thinThickThinSmallGap" w:sz="24" w:space="0" w:color="auto"/>
            </w:tcBorders>
            <w:shd w:val="clear" w:color="auto" w:fill="D9D9D9" w:themeFill="background1" w:themeFillShade="D9"/>
          </w:tcPr>
          <w:p w:rsidR="009660C8" w:rsidRPr="001F29F9" w:rsidRDefault="009660C8"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9660C8" w:rsidRPr="001F29F9" w:rsidRDefault="009660C8" w:rsidP="00D16C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w:t>
            </w:r>
            <w:r w:rsidRPr="001F29F9">
              <w:rPr>
                <w:rFonts w:ascii="Calibri" w:hAnsi="Calibri" w:cs="Calibri"/>
                <w:b/>
                <w:color w:val="000000" w:themeColor="text1"/>
                <w:sz w:val="18"/>
                <w:szCs w:val="18"/>
              </w:rPr>
              <w:t>0%</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D4659F">
      <w:pPr>
        <w:jc w:val="both"/>
        <w:rPr>
          <w:color w:val="000000" w:themeColor="text1"/>
          <w:szCs w:val="24"/>
          <w:u w:val="single"/>
        </w:rPr>
      </w:pPr>
    </w:p>
    <w:p w:rsidR="0060063E" w:rsidRDefault="002C6E5B" w:rsidP="00F8022F">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863DAE" w:rsidRPr="00863DAE">
        <w:rPr>
          <w:color w:val="000000" w:themeColor="text1"/>
          <w:szCs w:val="24"/>
        </w:rPr>
        <w:t xml:space="preserve">The Board acknowledges the CI’s assertions that </w:t>
      </w:r>
      <w:r w:rsidR="00863DAE">
        <w:rPr>
          <w:color w:val="000000" w:themeColor="text1"/>
          <w:szCs w:val="24"/>
        </w:rPr>
        <w:t xml:space="preserve">range of motion exams were not properly conducted by the service. </w:t>
      </w:r>
      <w:r w:rsidR="00863DAE" w:rsidRPr="00863DAE">
        <w:rPr>
          <w:color w:val="000000" w:themeColor="text1"/>
          <w:szCs w:val="24"/>
        </w:rPr>
        <w:t xml:space="preserve"> It is noted for the record that the Board has neither the jurisdiction nor authority to scrutinize or render opinions in reference to asserted service improprieties in </w:t>
      </w:r>
      <w:r w:rsidR="00D16C0E">
        <w:rPr>
          <w:color w:val="000000" w:themeColor="text1"/>
          <w:szCs w:val="24"/>
        </w:rPr>
        <w:t>its</w:t>
      </w:r>
      <w:r w:rsidR="00863DAE" w:rsidRPr="00863DAE">
        <w:rPr>
          <w:color w:val="000000" w:themeColor="text1"/>
          <w:szCs w:val="24"/>
        </w:rPr>
        <w:t xml:space="preserve"> </w:t>
      </w:r>
      <w:r w:rsidR="00D16C0E">
        <w:rPr>
          <w:color w:val="000000" w:themeColor="text1"/>
          <w:szCs w:val="24"/>
        </w:rPr>
        <w:t>medical evaluation</w:t>
      </w:r>
      <w:r w:rsidR="00863DAE" w:rsidRPr="00863DAE">
        <w:rPr>
          <w:color w:val="000000" w:themeColor="text1"/>
          <w:szCs w:val="24"/>
        </w:rPr>
        <w:t xml:space="preserve"> of a case. The Board’s role is confined to the review of medical records and all evidence at hand to assess the fairness of PEB rating </w:t>
      </w:r>
      <w:r w:rsidR="00863DAE" w:rsidRPr="00863DAE">
        <w:rPr>
          <w:color w:val="000000" w:themeColor="text1"/>
          <w:szCs w:val="24"/>
        </w:rPr>
        <w:lastRenderedPageBreak/>
        <w:t xml:space="preserve">determinations, compared to </w:t>
      </w:r>
      <w:r w:rsidR="00D00925">
        <w:rPr>
          <w:color w:val="000000" w:themeColor="text1"/>
          <w:szCs w:val="24"/>
        </w:rPr>
        <w:t>Veterans’ Affairs Schedule for Rating Disabilities (</w:t>
      </w:r>
      <w:r w:rsidR="00863DAE" w:rsidRPr="00863DAE">
        <w:rPr>
          <w:color w:val="000000" w:themeColor="text1"/>
          <w:szCs w:val="24"/>
        </w:rPr>
        <w:t>VASRD</w:t>
      </w:r>
      <w:r w:rsidR="00D00925">
        <w:rPr>
          <w:color w:val="000000" w:themeColor="text1"/>
          <w:szCs w:val="24"/>
        </w:rPr>
        <w:t>)</w:t>
      </w:r>
      <w:r w:rsidR="00863DAE" w:rsidRPr="00863DAE">
        <w:rPr>
          <w:color w:val="000000" w:themeColor="text1"/>
          <w:szCs w:val="24"/>
        </w:rPr>
        <w:t xml:space="preserve"> standards, based on severity at the time of separation. It must also judge the fairness of PEB fitness adjudications based on the fitness consequences of conditions as they existed at the time of separation. </w:t>
      </w:r>
      <w:r w:rsidR="00863DAE">
        <w:rPr>
          <w:color w:val="000000" w:themeColor="text1"/>
          <w:szCs w:val="24"/>
        </w:rPr>
        <w:t xml:space="preserve"> </w:t>
      </w:r>
      <w:r w:rsidR="0060063E" w:rsidRPr="0060063E">
        <w:rPr>
          <w:color w:val="000000" w:themeColor="text1"/>
          <w:szCs w:val="24"/>
        </w:rPr>
        <w:t xml:space="preserve">The Board </w:t>
      </w:r>
      <w:r w:rsidR="00863DAE">
        <w:rPr>
          <w:color w:val="000000" w:themeColor="text1"/>
          <w:szCs w:val="24"/>
        </w:rPr>
        <w:t xml:space="preserve">also </w:t>
      </w:r>
      <w:r w:rsidR="0060063E" w:rsidRPr="0060063E">
        <w:rPr>
          <w:color w:val="000000" w:themeColor="text1"/>
          <w:szCs w:val="24"/>
        </w:rPr>
        <w:t>acknowledges the CI’s contention that suggests service ratings should have been conferred for other conditions documented at the time of separation. The Board wishes to clarify that it is subject to the same laws for service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D00925">
        <w:rPr>
          <w:color w:val="000000" w:themeColor="text1"/>
          <w:szCs w:val="24"/>
        </w:rPr>
        <w:t>s’</w:t>
      </w:r>
      <w:r w:rsidR="0060063E" w:rsidRPr="0060063E">
        <w:rPr>
          <w:color w:val="000000" w:themeColor="text1"/>
          <w:szCs w:val="24"/>
        </w:rPr>
        <w:t xml:space="preserve"> Affairs (DVA), operating under a different set of laws (Title 38, United States Code), is empowered to compensate all service connected conditions and to periodically reevaluate said conditions for the purpose of adjusting the </w:t>
      </w:r>
      <w:r w:rsidR="00D00925">
        <w:rPr>
          <w:color w:val="000000" w:themeColor="text1"/>
          <w:szCs w:val="24"/>
        </w:rPr>
        <w:t>V</w:t>
      </w:r>
      <w:r w:rsidR="0060063E" w:rsidRPr="0060063E">
        <w:rPr>
          <w:color w:val="000000" w:themeColor="text1"/>
          <w:szCs w:val="24"/>
        </w:rPr>
        <w:t xml:space="preserve">eteran’s disability rating should </w:t>
      </w:r>
      <w:r w:rsidR="00D00925">
        <w:rPr>
          <w:color w:val="000000" w:themeColor="text1"/>
          <w:szCs w:val="24"/>
        </w:rPr>
        <w:t>the</w:t>
      </w:r>
      <w:r w:rsidR="0060063E" w:rsidRPr="0060063E">
        <w:rPr>
          <w:color w:val="000000" w:themeColor="text1"/>
          <w:szCs w:val="24"/>
        </w:rPr>
        <w:t xml:space="preserve"> degree of impairment vary over time.</w:t>
      </w:r>
    </w:p>
    <w:p w:rsidR="0060063E" w:rsidRPr="00F328BE" w:rsidRDefault="0060063E" w:rsidP="00F328BE">
      <w:pPr>
        <w:jc w:val="left"/>
        <w:rPr>
          <w:color w:val="000000" w:themeColor="text1"/>
          <w:szCs w:val="24"/>
        </w:rPr>
      </w:pPr>
    </w:p>
    <w:p w:rsidR="003C53E8" w:rsidRDefault="00D4659F" w:rsidP="00F8022F">
      <w:pPr>
        <w:jc w:val="both"/>
        <w:rPr>
          <w:rFonts w:asciiTheme="minorHAnsi" w:hAnsiTheme="minorHAnsi" w:cs="Times New Roman"/>
          <w:color w:val="auto"/>
          <w:szCs w:val="24"/>
        </w:rPr>
      </w:pPr>
      <w:proofErr w:type="gramStart"/>
      <w:r w:rsidRPr="00D4659F">
        <w:rPr>
          <w:color w:val="000000" w:themeColor="text1"/>
          <w:szCs w:val="24"/>
          <w:u w:val="single"/>
        </w:rPr>
        <w:t xml:space="preserve">Left </w:t>
      </w:r>
      <w:r w:rsidR="00731B00">
        <w:rPr>
          <w:color w:val="000000" w:themeColor="text1"/>
          <w:szCs w:val="24"/>
          <w:u w:val="single"/>
        </w:rPr>
        <w:t>Shoulder Condition</w:t>
      </w:r>
      <w:r w:rsidR="00731B00" w:rsidRPr="00731B00">
        <w:rPr>
          <w:color w:val="000000" w:themeColor="text1"/>
          <w:szCs w:val="24"/>
        </w:rPr>
        <w:t>.</w:t>
      </w:r>
      <w:proofErr w:type="gramEnd"/>
      <w:r w:rsidR="00731B00" w:rsidRPr="00731B00">
        <w:rPr>
          <w:color w:val="000000" w:themeColor="text1"/>
          <w:szCs w:val="24"/>
        </w:rPr>
        <w:t xml:space="preserve">  </w:t>
      </w:r>
      <w:r w:rsidR="00731B00">
        <w:rPr>
          <w:color w:val="000000" w:themeColor="text1"/>
          <w:szCs w:val="24"/>
        </w:rPr>
        <w:t xml:space="preserve">The CI developed bilateral shoulder pain </w:t>
      </w:r>
      <w:r w:rsidR="00D51152">
        <w:rPr>
          <w:color w:val="000000" w:themeColor="text1"/>
          <w:szCs w:val="24"/>
        </w:rPr>
        <w:t xml:space="preserve">without specific trauma </w:t>
      </w:r>
      <w:r w:rsidR="00731B00">
        <w:rPr>
          <w:color w:val="000000" w:themeColor="text1"/>
          <w:szCs w:val="24"/>
        </w:rPr>
        <w:t xml:space="preserve">in 2005.  Attention was initially directed to right shoulder pain and instability.  Following two reconstructive surgeries </w:t>
      </w:r>
      <w:r w:rsidR="00F04C66">
        <w:rPr>
          <w:color w:val="000000" w:themeColor="text1"/>
          <w:szCs w:val="24"/>
        </w:rPr>
        <w:t>the MEB</w:t>
      </w:r>
      <w:r w:rsidR="00731B00">
        <w:rPr>
          <w:color w:val="000000" w:themeColor="text1"/>
          <w:szCs w:val="24"/>
        </w:rPr>
        <w:t xml:space="preserve"> was initiated for the right shoulder condition</w:t>
      </w:r>
      <w:r w:rsidR="00F04C66">
        <w:rPr>
          <w:color w:val="000000" w:themeColor="text1"/>
          <w:szCs w:val="24"/>
        </w:rPr>
        <w:t xml:space="preserve">; but, concurrently, </w:t>
      </w:r>
      <w:r w:rsidR="00731B00">
        <w:rPr>
          <w:color w:val="000000" w:themeColor="text1"/>
          <w:szCs w:val="24"/>
        </w:rPr>
        <w:t>attention shifted to the left shoulder.</w:t>
      </w:r>
      <w:r w:rsidR="00C03EAE">
        <w:rPr>
          <w:color w:val="000000" w:themeColor="text1"/>
          <w:szCs w:val="24"/>
        </w:rPr>
        <w:t xml:space="preserve">  </w:t>
      </w:r>
      <w:r w:rsidR="00F04C66">
        <w:rPr>
          <w:color w:val="000000" w:themeColor="text1"/>
          <w:szCs w:val="24"/>
        </w:rPr>
        <w:t>Symptoms included constant pain and the left shoulder “feeling loose</w:t>
      </w:r>
      <w:r w:rsidR="00D00925">
        <w:rPr>
          <w:color w:val="000000" w:themeColor="text1"/>
          <w:szCs w:val="24"/>
        </w:rPr>
        <w:t>.</w:t>
      </w:r>
      <w:r w:rsidR="00F04C66">
        <w:rPr>
          <w:color w:val="000000" w:themeColor="text1"/>
          <w:szCs w:val="24"/>
        </w:rPr>
        <w:t>”  Subluxation</w:t>
      </w:r>
      <w:r w:rsidR="00821182">
        <w:rPr>
          <w:color w:val="000000" w:themeColor="text1"/>
          <w:szCs w:val="24"/>
        </w:rPr>
        <w:t>s were</w:t>
      </w:r>
      <w:r w:rsidR="00F04C66">
        <w:rPr>
          <w:color w:val="000000" w:themeColor="text1"/>
          <w:szCs w:val="24"/>
        </w:rPr>
        <w:t xml:space="preserve"> noted in the record, but no frank dislocations.  </w:t>
      </w:r>
      <w:r w:rsidR="00C03EAE">
        <w:rPr>
          <w:color w:val="000000" w:themeColor="text1"/>
          <w:szCs w:val="24"/>
        </w:rPr>
        <w:t xml:space="preserve">Imaging studies identified a posterior </w:t>
      </w:r>
      <w:proofErr w:type="spellStart"/>
      <w:r w:rsidR="00D51152">
        <w:rPr>
          <w:color w:val="000000" w:themeColor="text1"/>
          <w:szCs w:val="24"/>
        </w:rPr>
        <w:t>labro</w:t>
      </w:r>
      <w:r w:rsidR="00C03EAE">
        <w:rPr>
          <w:color w:val="000000" w:themeColor="text1"/>
          <w:szCs w:val="24"/>
        </w:rPr>
        <w:t>-ligamentous</w:t>
      </w:r>
      <w:proofErr w:type="spellEnd"/>
      <w:r w:rsidR="00C03EAE">
        <w:rPr>
          <w:color w:val="000000" w:themeColor="text1"/>
          <w:szCs w:val="24"/>
        </w:rPr>
        <w:t xml:space="preserve"> sleeve avulsion and a non-displaced labral tear.  </w:t>
      </w:r>
      <w:r w:rsidR="009A6398">
        <w:rPr>
          <w:color w:val="000000" w:themeColor="text1"/>
          <w:szCs w:val="24"/>
        </w:rPr>
        <w:t xml:space="preserve">Surgery was offered, but the CI deferred </w:t>
      </w:r>
      <w:r w:rsidR="00821182">
        <w:rPr>
          <w:color w:val="000000" w:themeColor="text1"/>
          <w:szCs w:val="24"/>
        </w:rPr>
        <w:t xml:space="preserve">this </w:t>
      </w:r>
      <w:r w:rsidR="009A6398">
        <w:rPr>
          <w:color w:val="000000" w:themeColor="text1"/>
          <w:szCs w:val="24"/>
        </w:rPr>
        <w:t>until after separation</w:t>
      </w:r>
      <w:r w:rsidR="00821182">
        <w:rPr>
          <w:color w:val="000000" w:themeColor="text1"/>
          <w:szCs w:val="24"/>
        </w:rPr>
        <w:t>;</w:t>
      </w:r>
      <w:r w:rsidR="009A6398">
        <w:rPr>
          <w:color w:val="000000" w:themeColor="text1"/>
          <w:szCs w:val="24"/>
        </w:rPr>
        <w:t xml:space="preserve"> and</w:t>
      </w:r>
      <w:r w:rsidR="00821182">
        <w:rPr>
          <w:color w:val="000000" w:themeColor="text1"/>
          <w:szCs w:val="24"/>
        </w:rPr>
        <w:t>,</w:t>
      </w:r>
      <w:r w:rsidR="009A6398">
        <w:rPr>
          <w:color w:val="000000" w:themeColor="text1"/>
          <w:szCs w:val="24"/>
        </w:rPr>
        <w:t xml:space="preserve"> was placed on a permanent U3 profile for bilateral shoulder </w:t>
      </w:r>
      <w:r w:rsidR="009A6398" w:rsidRPr="009A6398">
        <w:rPr>
          <w:color w:val="000000" w:themeColor="text1"/>
          <w:szCs w:val="24"/>
        </w:rPr>
        <w:t xml:space="preserve">pain.  </w:t>
      </w:r>
      <w:r w:rsidR="00A57C35" w:rsidRPr="009A6398">
        <w:rPr>
          <w:color w:val="000000" w:themeColor="text1"/>
          <w:szCs w:val="24"/>
        </w:rPr>
        <w:t xml:space="preserve">There were </w:t>
      </w:r>
      <w:r w:rsidR="00CF149A">
        <w:rPr>
          <w:color w:val="000000" w:themeColor="text1"/>
          <w:szCs w:val="24"/>
        </w:rPr>
        <w:t>two</w:t>
      </w:r>
      <w:r w:rsidR="00A57C35" w:rsidRPr="009A6398">
        <w:rPr>
          <w:color w:val="000000" w:themeColor="text1"/>
          <w:szCs w:val="24"/>
        </w:rPr>
        <w:t xml:space="preserve"> goniometric range</w:t>
      </w:r>
      <w:r w:rsidR="00D00925">
        <w:rPr>
          <w:color w:val="000000" w:themeColor="text1"/>
          <w:szCs w:val="24"/>
        </w:rPr>
        <w:t>-</w:t>
      </w:r>
      <w:r w:rsidR="00A57C35" w:rsidRPr="009A6398">
        <w:rPr>
          <w:color w:val="000000" w:themeColor="text1"/>
          <w:szCs w:val="24"/>
        </w:rPr>
        <w:t>of</w:t>
      </w:r>
      <w:r w:rsidR="00D00925">
        <w:rPr>
          <w:color w:val="000000" w:themeColor="text1"/>
          <w:szCs w:val="24"/>
        </w:rPr>
        <w:t>-</w:t>
      </w:r>
      <w:r w:rsidR="00A57C35" w:rsidRPr="009A6398">
        <w:rPr>
          <w:color w:val="000000" w:themeColor="text1"/>
          <w:szCs w:val="24"/>
        </w:rPr>
        <w:t>motion (ROM) evaluations in evidence, with documentation of additional ratable criteria, which the Board weighed in arriving at its rating recommendation</w:t>
      </w:r>
      <w:r w:rsidR="003C53E8" w:rsidRPr="009A6398">
        <w:rPr>
          <w:rFonts w:asciiTheme="minorHAnsi" w:hAnsiTheme="minorHAnsi" w:cs="Times New Roman"/>
          <w:color w:val="auto"/>
          <w:szCs w:val="24"/>
        </w:rPr>
        <w:t>.</w:t>
      </w:r>
    </w:p>
    <w:p w:rsidR="00D4659F" w:rsidRPr="003C53E8" w:rsidRDefault="00D4659F" w:rsidP="003C53E8">
      <w:pPr>
        <w:tabs>
          <w:tab w:val="left" w:pos="288"/>
          <w:tab w:val="left" w:pos="4752"/>
        </w:tabs>
        <w:jc w:val="left"/>
        <w:rPr>
          <w:rFonts w:asciiTheme="minorHAnsi" w:hAnsiTheme="minorHAnsi" w:cs="Times New Roman"/>
          <w:color w:val="auto"/>
          <w:szCs w:val="24"/>
        </w:rPr>
      </w:pPr>
    </w:p>
    <w:tbl>
      <w:tblPr>
        <w:tblW w:w="6705"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2115"/>
        <w:gridCol w:w="2340"/>
      </w:tblGrid>
      <w:tr w:rsidR="003C53E8" w:rsidRPr="003C53E8" w:rsidTr="005B66BE">
        <w:trPr>
          <w:jc w:val="center"/>
        </w:trPr>
        <w:tc>
          <w:tcPr>
            <w:tcW w:w="2250" w:type="dxa"/>
            <w:shd w:val="clear" w:color="auto" w:fill="D9D9D9" w:themeFill="background1" w:themeFillShade="D9"/>
          </w:tcPr>
          <w:p w:rsidR="003C53E8" w:rsidRPr="003C53E8" w:rsidRDefault="00866758" w:rsidP="003C53E8">
            <w:pPr>
              <w:contextualSpacing/>
              <w:rPr>
                <w:rFonts w:eastAsia="Calibri" w:cs="Times New Roman"/>
                <w:color w:val="auto"/>
                <w:sz w:val="22"/>
                <w:szCs w:val="22"/>
              </w:rPr>
            </w:pPr>
            <w:r w:rsidRPr="00866758">
              <w:rPr>
                <w:rFonts w:eastAsia="Calibri" w:cs="Times New Roman"/>
                <w:color w:val="auto"/>
                <w:sz w:val="22"/>
                <w:szCs w:val="22"/>
              </w:rPr>
              <w:t>Left Shoulder</w:t>
            </w:r>
            <w:r w:rsidR="003C53E8" w:rsidRPr="003C53E8">
              <w:rPr>
                <w:rFonts w:eastAsia="Calibri" w:cs="Times New Roman"/>
                <w:color w:val="auto"/>
                <w:sz w:val="22"/>
                <w:szCs w:val="22"/>
              </w:rPr>
              <w:t xml:space="preserve"> ROM</w:t>
            </w:r>
          </w:p>
        </w:tc>
        <w:tc>
          <w:tcPr>
            <w:tcW w:w="2115" w:type="dxa"/>
            <w:shd w:val="clear" w:color="auto" w:fill="D9D9D9" w:themeFill="background1" w:themeFillShade="D9"/>
          </w:tcPr>
          <w:p w:rsidR="003C53E8" w:rsidRPr="003C53E8" w:rsidRDefault="00F04C66" w:rsidP="00866758">
            <w:pPr>
              <w:contextualSpacing/>
              <w:rPr>
                <w:rFonts w:eastAsia="Calibri" w:cs="Times New Roman"/>
                <w:color w:val="auto"/>
                <w:sz w:val="22"/>
                <w:szCs w:val="22"/>
              </w:rPr>
            </w:pPr>
            <w:r>
              <w:rPr>
                <w:rFonts w:eastAsia="Calibri" w:cs="Times New Roman"/>
                <w:color w:val="auto"/>
                <w:sz w:val="22"/>
                <w:szCs w:val="22"/>
              </w:rPr>
              <w:t>MEB ~</w:t>
            </w:r>
            <w:r w:rsidR="00866758">
              <w:rPr>
                <w:rFonts w:eastAsia="Calibri" w:cs="Times New Roman"/>
                <w:color w:val="auto"/>
                <w:sz w:val="22"/>
                <w:szCs w:val="22"/>
              </w:rPr>
              <w:t>4 Mo.</w:t>
            </w:r>
            <w:r>
              <w:rPr>
                <w:rFonts w:eastAsia="Calibri" w:cs="Times New Roman"/>
                <w:color w:val="auto"/>
                <w:sz w:val="22"/>
                <w:szCs w:val="22"/>
              </w:rPr>
              <w:t xml:space="preserve"> Pre-</w:t>
            </w:r>
            <w:r w:rsidR="003C53E8" w:rsidRPr="003C53E8">
              <w:rPr>
                <w:rFonts w:eastAsia="Calibri" w:cs="Times New Roman"/>
                <w:color w:val="auto"/>
                <w:sz w:val="22"/>
                <w:szCs w:val="22"/>
              </w:rPr>
              <w:t>Sep</w:t>
            </w:r>
          </w:p>
        </w:tc>
        <w:tc>
          <w:tcPr>
            <w:tcW w:w="2340" w:type="dxa"/>
            <w:shd w:val="clear" w:color="auto" w:fill="D9D9D9" w:themeFill="background1" w:themeFillShade="D9"/>
          </w:tcPr>
          <w:p w:rsidR="003C53E8" w:rsidRPr="003C53E8" w:rsidRDefault="003C53E8" w:rsidP="00866758">
            <w:pPr>
              <w:contextualSpacing/>
              <w:rPr>
                <w:rFonts w:eastAsiaTheme="minorHAnsi" w:cstheme="minorBidi"/>
                <w:color w:val="auto"/>
                <w:sz w:val="22"/>
                <w:szCs w:val="22"/>
              </w:rPr>
            </w:pPr>
            <w:r w:rsidRPr="003C53E8">
              <w:rPr>
                <w:rFonts w:eastAsia="Calibri" w:cs="Times New Roman"/>
                <w:color w:val="auto"/>
                <w:sz w:val="22"/>
                <w:szCs w:val="22"/>
              </w:rPr>
              <w:t>VA</w:t>
            </w:r>
            <w:r w:rsidR="00F04C66">
              <w:rPr>
                <w:rFonts w:eastAsiaTheme="minorHAnsi" w:cstheme="minorBidi"/>
                <w:color w:val="auto"/>
                <w:sz w:val="22"/>
                <w:szCs w:val="22"/>
              </w:rPr>
              <w:t xml:space="preserve"> C&amp;P ~</w:t>
            </w:r>
            <w:r w:rsidR="00866758">
              <w:rPr>
                <w:rFonts w:eastAsiaTheme="minorHAnsi" w:cstheme="minorBidi"/>
                <w:color w:val="auto"/>
                <w:sz w:val="22"/>
                <w:szCs w:val="22"/>
              </w:rPr>
              <w:t>2</w:t>
            </w:r>
            <w:r w:rsidRPr="003C53E8">
              <w:rPr>
                <w:rFonts w:eastAsiaTheme="minorHAnsi" w:cstheme="minorBidi"/>
                <w:color w:val="auto"/>
                <w:sz w:val="22"/>
                <w:szCs w:val="22"/>
              </w:rPr>
              <w:t xml:space="preserve"> </w:t>
            </w:r>
            <w:r w:rsidR="00866758">
              <w:rPr>
                <w:rFonts w:eastAsia="Calibri" w:cs="Times New Roman"/>
                <w:color w:val="auto"/>
                <w:sz w:val="22"/>
                <w:szCs w:val="22"/>
              </w:rPr>
              <w:t>Mo.</w:t>
            </w:r>
            <w:r w:rsidR="00F04C66">
              <w:rPr>
                <w:rFonts w:eastAsia="Calibri" w:cs="Times New Roman"/>
                <w:color w:val="auto"/>
                <w:sz w:val="22"/>
                <w:szCs w:val="22"/>
              </w:rPr>
              <w:t xml:space="preserve"> Pre-</w:t>
            </w:r>
            <w:r w:rsidRPr="003C53E8">
              <w:rPr>
                <w:rFonts w:eastAsiaTheme="minorHAnsi" w:cstheme="minorBidi"/>
                <w:color w:val="auto"/>
                <w:sz w:val="22"/>
                <w:szCs w:val="22"/>
              </w:rPr>
              <w:t>Sep</w:t>
            </w:r>
          </w:p>
        </w:tc>
      </w:tr>
      <w:tr w:rsidR="003C53E8" w:rsidRPr="003C53E8" w:rsidTr="005B66BE">
        <w:trPr>
          <w:jc w:val="center"/>
        </w:trPr>
        <w:tc>
          <w:tcPr>
            <w:tcW w:w="2250" w:type="dxa"/>
          </w:tcPr>
          <w:p w:rsidR="003C53E8" w:rsidRPr="003C53E8" w:rsidRDefault="00866758" w:rsidP="00866758">
            <w:pPr>
              <w:contextualSpacing/>
              <w:rPr>
                <w:rFonts w:eastAsia="Calibri" w:cs="Times New Roman"/>
                <w:color w:val="auto"/>
                <w:sz w:val="22"/>
                <w:szCs w:val="22"/>
              </w:rPr>
            </w:pPr>
            <w:r>
              <w:rPr>
                <w:rFonts w:eastAsia="Calibri" w:cs="Times New Roman"/>
                <w:color w:val="auto"/>
                <w:sz w:val="22"/>
                <w:szCs w:val="22"/>
              </w:rPr>
              <w:t xml:space="preserve">Flexion </w:t>
            </w:r>
            <w:r w:rsidR="00F04C66">
              <w:rPr>
                <w:rFonts w:eastAsia="Calibri" w:cs="Times New Roman"/>
                <w:color w:val="auto"/>
                <w:sz w:val="22"/>
                <w:szCs w:val="22"/>
              </w:rPr>
              <w:t>(</w:t>
            </w:r>
            <w:r>
              <w:rPr>
                <w:rFonts w:eastAsia="Calibri" w:cs="Times New Roman"/>
                <w:color w:val="auto"/>
                <w:sz w:val="22"/>
                <w:szCs w:val="22"/>
              </w:rPr>
              <w:t>18</w:t>
            </w:r>
            <w:r w:rsidR="00F04C66">
              <w:rPr>
                <w:rFonts w:eastAsia="Calibri" w:cs="Times New Roman"/>
                <w:color w:val="auto"/>
                <w:sz w:val="22"/>
                <w:szCs w:val="22"/>
              </w:rPr>
              <w:t>0⁰ N</w:t>
            </w:r>
            <w:r w:rsidR="003C53E8" w:rsidRPr="003C53E8">
              <w:rPr>
                <w:rFonts w:eastAsia="Calibri" w:cs="Times New Roman"/>
                <w:color w:val="auto"/>
                <w:sz w:val="22"/>
                <w:szCs w:val="22"/>
              </w:rPr>
              <w:t>ormal</w:t>
            </w:r>
            <w:r w:rsidR="00F04C66">
              <w:rPr>
                <w:rFonts w:eastAsia="Calibri" w:cs="Times New Roman"/>
                <w:color w:val="auto"/>
                <w:sz w:val="22"/>
                <w:szCs w:val="22"/>
              </w:rPr>
              <w:t>)</w:t>
            </w:r>
          </w:p>
        </w:tc>
        <w:tc>
          <w:tcPr>
            <w:tcW w:w="2115" w:type="dxa"/>
          </w:tcPr>
          <w:p w:rsidR="003C53E8" w:rsidRPr="00866758" w:rsidRDefault="00866758" w:rsidP="003C53E8">
            <w:pPr>
              <w:contextualSpacing/>
              <w:rPr>
                <w:rFonts w:eastAsia="Calibri" w:cs="Times New Roman"/>
                <w:color w:val="auto"/>
                <w:sz w:val="22"/>
                <w:szCs w:val="22"/>
                <w:highlight w:val="yellow"/>
              </w:rPr>
            </w:pPr>
            <w:r w:rsidRPr="009A6398">
              <w:rPr>
                <w:rFonts w:eastAsia="Calibri" w:cs="Times New Roman"/>
                <w:color w:val="auto"/>
                <w:sz w:val="22"/>
                <w:szCs w:val="22"/>
              </w:rPr>
              <w:t>150⁰</w:t>
            </w:r>
          </w:p>
        </w:tc>
        <w:tc>
          <w:tcPr>
            <w:tcW w:w="2340" w:type="dxa"/>
          </w:tcPr>
          <w:p w:rsidR="003C53E8" w:rsidRPr="009A6398" w:rsidRDefault="00866758" w:rsidP="003C53E8">
            <w:pPr>
              <w:contextualSpacing/>
              <w:rPr>
                <w:rFonts w:eastAsia="Calibri" w:cs="Times New Roman"/>
                <w:color w:val="auto"/>
                <w:sz w:val="22"/>
                <w:szCs w:val="22"/>
              </w:rPr>
            </w:pPr>
            <w:r w:rsidRPr="009A6398">
              <w:rPr>
                <w:rFonts w:eastAsia="Calibri" w:cs="Times New Roman"/>
                <w:color w:val="auto"/>
                <w:sz w:val="22"/>
                <w:szCs w:val="22"/>
              </w:rPr>
              <w:t>180⁰</w:t>
            </w:r>
          </w:p>
        </w:tc>
      </w:tr>
      <w:tr w:rsidR="003C53E8" w:rsidRPr="003C53E8" w:rsidTr="005B66BE">
        <w:trPr>
          <w:jc w:val="center"/>
        </w:trPr>
        <w:tc>
          <w:tcPr>
            <w:tcW w:w="2250" w:type="dxa"/>
          </w:tcPr>
          <w:p w:rsidR="003C53E8" w:rsidRPr="003C53E8" w:rsidRDefault="00866758" w:rsidP="00866758">
            <w:pPr>
              <w:contextualSpacing/>
              <w:rPr>
                <w:rFonts w:eastAsia="Calibri" w:cs="Times New Roman"/>
                <w:color w:val="auto"/>
                <w:sz w:val="22"/>
                <w:szCs w:val="22"/>
              </w:rPr>
            </w:pPr>
            <w:r w:rsidRPr="00866758">
              <w:rPr>
                <w:rFonts w:eastAsia="Calibri" w:cs="Times New Roman"/>
                <w:color w:val="auto"/>
                <w:sz w:val="22"/>
                <w:szCs w:val="22"/>
              </w:rPr>
              <w:t xml:space="preserve">Abduction </w:t>
            </w:r>
            <w:r w:rsidR="00F04C66">
              <w:rPr>
                <w:rFonts w:eastAsia="Calibri" w:cs="Times New Roman"/>
                <w:color w:val="auto"/>
                <w:sz w:val="22"/>
                <w:szCs w:val="22"/>
              </w:rPr>
              <w:t>(</w:t>
            </w:r>
            <w:r>
              <w:rPr>
                <w:rFonts w:eastAsia="Calibri" w:cs="Times New Roman"/>
                <w:color w:val="auto"/>
                <w:sz w:val="22"/>
                <w:szCs w:val="22"/>
              </w:rPr>
              <w:t>18</w:t>
            </w:r>
            <w:r w:rsidR="003C53E8" w:rsidRPr="003C53E8">
              <w:rPr>
                <w:rFonts w:eastAsia="Calibri" w:cs="Times New Roman"/>
                <w:color w:val="auto"/>
                <w:sz w:val="22"/>
                <w:szCs w:val="22"/>
              </w:rPr>
              <w:t>0⁰</w:t>
            </w:r>
            <w:r w:rsidR="00F04C66">
              <w:rPr>
                <w:rFonts w:eastAsia="Calibri" w:cs="Times New Roman"/>
                <w:color w:val="auto"/>
                <w:sz w:val="22"/>
                <w:szCs w:val="22"/>
              </w:rPr>
              <w:t>)</w:t>
            </w:r>
          </w:p>
        </w:tc>
        <w:tc>
          <w:tcPr>
            <w:tcW w:w="2115" w:type="dxa"/>
          </w:tcPr>
          <w:p w:rsidR="003C53E8" w:rsidRPr="00866758" w:rsidRDefault="00866758" w:rsidP="003C53E8">
            <w:pPr>
              <w:contextualSpacing/>
              <w:rPr>
                <w:rFonts w:eastAsia="Calibri" w:cs="Times New Roman"/>
                <w:color w:val="auto"/>
                <w:sz w:val="22"/>
                <w:szCs w:val="22"/>
                <w:highlight w:val="yellow"/>
              </w:rPr>
            </w:pPr>
            <w:r w:rsidRPr="009A6398">
              <w:rPr>
                <w:rFonts w:eastAsia="Calibri" w:cs="Times New Roman"/>
                <w:color w:val="auto"/>
                <w:sz w:val="22"/>
                <w:szCs w:val="22"/>
              </w:rPr>
              <w:t>180</w:t>
            </w:r>
            <w:r w:rsidR="003C53E8" w:rsidRPr="009A6398">
              <w:rPr>
                <w:rFonts w:eastAsia="Calibri" w:cs="Times New Roman"/>
                <w:color w:val="auto"/>
                <w:sz w:val="22"/>
                <w:szCs w:val="22"/>
              </w:rPr>
              <w:t>⁰</w:t>
            </w:r>
          </w:p>
        </w:tc>
        <w:tc>
          <w:tcPr>
            <w:tcW w:w="2340" w:type="dxa"/>
          </w:tcPr>
          <w:p w:rsidR="003C53E8" w:rsidRPr="009A6398" w:rsidRDefault="00866758" w:rsidP="003C53E8">
            <w:pPr>
              <w:contextualSpacing/>
              <w:rPr>
                <w:rFonts w:eastAsia="Calibri" w:cs="Times New Roman"/>
                <w:color w:val="auto"/>
                <w:sz w:val="22"/>
                <w:szCs w:val="22"/>
              </w:rPr>
            </w:pPr>
            <w:r w:rsidRPr="009A6398">
              <w:rPr>
                <w:rFonts w:eastAsia="Calibri" w:cs="Times New Roman"/>
                <w:color w:val="auto"/>
                <w:sz w:val="22"/>
                <w:szCs w:val="22"/>
              </w:rPr>
              <w:t>150⁰</w:t>
            </w:r>
          </w:p>
        </w:tc>
      </w:tr>
      <w:tr w:rsidR="003C53E8" w:rsidRPr="003C53E8" w:rsidTr="005B66BE">
        <w:trPr>
          <w:trHeight w:val="70"/>
          <w:jc w:val="center"/>
        </w:trPr>
        <w:tc>
          <w:tcPr>
            <w:tcW w:w="2250" w:type="dxa"/>
          </w:tcPr>
          <w:p w:rsidR="003C53E8" w:rsidRPr="003C53E8" w:rsidRDefault="003C53E8"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r w:rsidR="00866758">
              <w:rPr>
                <w:rFonts w:asciiTheme="minorHAnsi" w:eastAsiaTheme="minorHAnsi" w:hAnsiTheme="minorHAnsi" w:cs="Times New Roman"/>
                <w:color w:val="auto"/>
                <w:sz w:val="22"/>
                <w:szCs w:val="22"/>
              </w:rPr>
              <w:t>*</w:t>
            </w:r>
          </w:p>
        </w:tc>
        <w:tc>
          <w:tcPr>
            <w:tcW w:w="2115" w:type="dxa"/>
          </w:tcPr>
          <w:p w:rsidR="003C53E8" w:rsidRPr="003C53E8" w:rsidRDefault="00866758"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003C53E8" w:rsidRPr="003C53E8">
              <w:rPr>
                <w:rFonts w:asciiTheme="minorHAnsi" w:eastAsiaTheme="minorHAnsi" w:hAnsiTheme="minorHAnsi" w:cs="Times New Roman"/>
                <w:color w:val="auto"/>
                <w:sz w:val="22"/>
                <w:szCs w:val="22"/>
              </w:rPr>
              <w:t>%</w:t>
            </w:r>
          </w:p>
        </w:tc>
        <w:tc>
          <w:tcPr>
            <w:tcW w:w="2340" w:type="dxa"/>
          </w:tcPr>
          <w:p w:rsidR="003C53E8" w:rsidRPr="003C53E8" w:rsidRDefault="00866758"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003C53E8" w:rsidRPr="003C53E8">
              <w:rPr>
                <w:rFonts w:asciiTheme="minorHAnsi" w:eastAsiaTheme="minorHAnsi" w:hAnsiTheme="minorHAnsi" w:cs="Times New Roman"/>
                <w:color w:val="auto"/>
                <w:sz w:val="22"/>
                <w:szCs w:val="22"/>
              </w:rPr>
              <w:t>%</w:t>
            </w:r>
          </w:p>
        </w:tc>
      </w:tr>
    </w:tbl>
    <w:p w:rsidR="003C53E8" w:rsidRPr="005B66BE" w:rsidRDefault="005B66BE" w:rsidP="00866758">
      <w:pPr>
        <w:tabs>
          <w:tab w:val="left" w:pos="2880"/>
          <w:tab w:val="left" w:pos="4752"/>
        </w:tabs>
        <w:jc w:val="left"/>
        <w:rPr>
          <w:rFonts w:asciiTheme="minorHAnsi" w:hAnsiTheme="minorHAnsi" w:cs="Times New Roman"/>
          <w:color w:val="auto"/>
          <w:sz w:val="22"/>
          <w:szCs w:val="22"/>
        </w:rPr>
      </w:pPr>
      <w:r>
        <w:rPr>
          <w:rFonts w:cs="Times New Roman"/>
          <w:color w:val="auto"/>
          <w:sz w:val="18"/>
          <w:szCs w:val="24"/>
        </w:rPr>
        <w:t xml:space="preserve">                                              </w:t>
      </w:r>
      <w:r w:rsidR="003C53E8" w:rsidRPr="005B66BE">
        <w:rPr>
          <w:rFonts w:cs="Times New Roman"/>
          <w:color w:val="auto"/>
          <w:sz w:val="22"/>
          <w:szCs w:val="22"/>
        </w:rPr>
        <w:t xml:space="preserve">* </w:t>
      </w:r>
      <w:r w:rsidRPr="005B66BE">
        <w:rPr>
          <w:rFonts w:cs="Times New Roman"/>
          <w:color w:val="auto"/>
          <w:sz w:val="22"/>
          <w:szCs w:val="22"/>
        </w:rPr>
        <w:t>Under 5003 criteria and c</w:t>
      </w:r>
      <w:r w:rsidR="003C53E8" w:rsidRPr="005B66BE">
        <w:rPr>
          <w:rFonts w:cs="Times New Roman"/>
          <w:color w:val="auto"/>
          <w:sz w:val="22"/>
          <w:szCs w:val="22"/>
        </w:rPr>
        <w:t xml:space="preserve">onceding </w:t>
      </w:r>
      <w:r w:rsidR="003C53E8" w:rsidRPr="005B66BE">
        <w:rPr>
          <w:rFonts w:asciiTheme="minorHAnsi" w:hAnsiTheme="minorHAnsi" w:cs="Times New Roman"/>
          <w:color w:val="auto"/>
          <w:sz w:val="22"/>
          <w:szCs w:val="22"/>
        </w:rPr>
        <w:t>§4.59 (painful motion) as below.</w:t>
      </w:r>
    </w:p>
    <w:p w:rsidR="003C53E8" w:rsidRPr="003C53E8" w:rsidRDefault="003C53E8" w:rsidP="003C53E8">
      <w:pPr>
        <w:tabs>
          <w:tab w:val="left" w:pos="288"/>
          <w:tab w:val="left" w:pos="4752"/>
        </w:tabs>
        <w:jc w:val="left"/>
        <w:rPr>
          <w:rFonts w:asciiTheme="minorHAnsi" w:hAnsiTheme="minorHAnsi" w:cs="Times New Roman"/>
          <w:color w:val="auto"/>
          <w:szCs w:val="24"/>
        </w:rPr>
      </w:pPr>
    </w:p>
    <w:p w:rsidR="00A44B8F" w:rsidRPr="00A44B8F" w:rsidRDefault="007C10BE" w:rsidP="00A44B8F">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 xml:space="preserve">The MEB examiner noted a history of occasional subluxation of the left shoulder </w:t>
      </w:r>
      <w:r w:rsidR="00D51152">
        <w:rPr>
          <w:rFonts w:asciiTheme="minorHAnsi" w:hAnsiTheme="minorHAnsi" w:cs="Times New Roman"/>
          <w:color w:val="auto"/>
          <w:szCs w:val="24"/>
        </w:rPr>
        <w:t>and</w:t>
      </w:r>
      <w:r>
        <w:rPr>
          <w:rFonts w:asciiTheme="minorHAnsi" w:hAnsiTheme="minorHAnsi" w:cs="Times New Roman"/>
          <w:color w:val="auto"/>
          <w:szCs w:val="24"/>
        </w:rPr>
        <w:t xml:space="preserve"> ongoing physical therapy.  On exam the </w:t>
      </w:r>
      <w:r w:rsidRPr="007C10BE">
        <w:rPr>
          <w:rFonts w:asciiTheme="minorHAnsi" w:hAnsiTheme="minorHAnsi" w:cs="Times New Roman"/>
          <w:color w:val="auto"/>
          <w:szCs w:val="24"/>
        </w:rPr>
        <w:t>left shoulder was not tender to</w:t>
      </w:r>
      <w:r>
        <w:rPr>
          <w:rFonts w:asciiTheme="minorHAnsi" w:hAnsiTheme="minorHAnsi" w:cs="Times New Roman"/>
          <w:color w:val="auto"/>
          <w:szCs w:val="24"/>
        </w:rPr>
        <w:t xml:space="preserve"> </w:t>
      </w:r>
      <w:r w:rsidRPr="007C10BE">
        <w:rPr>
          <w:rFonts w:asciiTheme="minorHAnsi" w:hAnsiTheme="minorHAnsi" w:cs="Times New Roman"/>
          <w:color w:val="auto"/>
          <w:szCs w:val="24"/>
        </w:rPr>
        <w:t xml:space="preserve">palpation, </w:t>
      </w:r>
      <w:r w:rsidR="00821182">
        <w:rPr>
          <w:rFonts w:asciiTheme="minorHAnsi" w:hAnsiTheme="minorHAnsi" w:cs="Times New Roman"/>
          <w:color w:val="auto"/>
          <w:szCs w:val="24"/>
        </w:rPr>
        <w:t xml:space="preserve">and </w:t>
      </w:r>
      <w:r>
        <w:rPr>
          <w:rFonts w:asciiTheme="minorHAnsi" w:hAnsiTheme="minorHAnsi" w:cs="Times New Roman"/>
          <w:color w:val="auto"/>
          <w:szCs w:val="24"/>
        </w:rPr>
        <w:t>showed a</w:t>
      </w:r>
      <w:r w:rsidR="00821182">
        <w:rPr>
          <w:rFonts w:asciiTheme="minorHAnsi" w:hAnsiTheme="minorHAnsi" w:cs="Times New Roman"/>
          <w:color w:val="auto"/>
          <w:szCs w:val="24"/>
        </w:rPr>
        <w:t xml:space="preserve"> full active ROM;</w:t>
      </w:r>
      <w:r w:rsidRPr="007C10BE">
        <w:rPr>
          <w:rFonts w:asciiTheme="minorHAnsi" w:hAnsiTheme="minorHAnsi" w:cs="Times New Roman"/>
          <w:color w:val="auto"/>
          <w:szCs w:val="24"/>
        </w:rPr>
        <w:t xml:space="preserve"> </w:t>
      </w:r>
      <w:r w:rsidR="00821182">
        <w:rPr>
          <w:rFonts w:asciiTheme="minorHAnsi" w:hAnsiTheme="minorHAnsi" w:cs="Times New Roman"/>
          <w:color w:val="auto"/>
          <w:szCs w:val="24"/>
        </w:rPr>
        <w:t>but,</w:t>
      </w:r>
      <w:r w:rsidRPr="007C10BE">
        <w:rPr>
          <w:rFonts w:asciiTheme="minorHAnsi" w:hAnsiTheme="minorHAnsi" w:cs="Times New Roman"/>
          <w:color w:val="auto"/>
          <w:szCs w:val="24"/>
        </w:rPr>
        <w:t xml:space="preserve"> slight pain with apprehension</w:t>
      </w:r>
      <w:r w:rsidR="00821182">
        <w:rPr>
          <w:rFonts w:asciiTheme="minorHAnsi" w:hAnsiTheme="minorHAnsi" w:cs="Times New Roman"/>
          <w:color w:val="auto"/>
          <w:szCs w:val="24"/>
        </w:rPr>
        <w:t xml:space="preserve"> was noted with ROM testing</w:t>
      </w:r>
      <w:r w:rsidRPr="007C10BE">
        <w:rPr>
          <w:rFonts w:asciiTheme="minorHAnsi" w:hAnsiTheme="minorHAnsi" w:cs="Times New Roman"/>
          <w:color w:val="auto"/>
          <w:szCs w:val="24"/>
        </w:rPr>
        <w:t xml:space="preserve">. </w:t>
      </w:r>
      <w:r>
        <w:rPr>
          <w:rFonts w:asciiTheme="minorHAnsi" w:hAnsiTheme="minorHAnsi" w:cs="Times New Roman"/>
          <w:color w:val="auto"/>
          <w:szCs w:val="24"/>
        </w:rPr>
        <w:t xml:space="preserve"> </w:t>
      </w:r>
      <w:r w:rsidRPr="007C10BE">
        <w:rPr>
          <w:rFonts w:asciiTheme="minorHAnsi" w:hAnsiTheme="minorHAnsi" w:cs="Times New Roman"/>
          <w:color w:val="auto"/>
          <w:szCs w:val="24"/>
        </w:rPr>
        <w:t xml:space="preserve">The </w:t>
      </w:r>
      <w:r>
        <w:rPr>
          <w:rFonts w:asciiTheme="minorHAnsi" w:hAnsiTheme="minorHAnsi" w:cs="Times New Roman"/>
          <w:color w:val="auto"/>
          <w:szCs w:val="24"/>
        </w:rPr>
        <w:t>neurovascular</w:t>
      </w:r>
      <w:r w:rsidRPr="007C10BE">
        <w:rPr>
          <w:rFonts w:asciiTheme="minorHAnsi" w:hAnsiTheme="minorHAnsi" w:cs="Times New Roman"/>
          <w:color w:val="auto"/>
          <w:szCs w:val="24"/>
        </w:rPr>
        <w:t xml:space="preserve"> </w:t>
      </w:r>
      <w:r>
        <w:rPr>
          <w:rFonts w:asciiTheme="minorHAnsi" w:hAnsiTheme="minorHAnsi" w:cs="Times New Roman"/>
          <w:color w:val="auto"/>
          <w:szCs w:val="24"/>
        </w:rPr>
        <w:t xml:space="preserve">exam of the left </w:t>
      </w:r>
      <w:r w:rsidRPr="007C10BE">
        <w:rPr>
          <w:rFonts w:asciiTheme="minorHAnsi" w:hAnsiTheme="minorHAnsi" w:cs="Times New Roman"/>
          <w:color w:val="auto"/>
          <w:szCs w:val="24"/>
        </w:rPr>
        <w:t>upper</w:t>
      </w:r>
      <w:r>
        <w:rPr>
          <w:rFonts w:asciiTheme="minorHAnsi" w:hAnsiTheme="minorHAnsi" w:cs="Times New Roman"/>
          <w:color w:val="auto"/>
          <w:szCs w:val="24"/>
        </w:rPr>
        <w:t xml:space="preserve"> e</w:t>
      </w:r>
      <w:r w:rsidRPr="007C10BE">
        <w:rPr>
          <w:rFonts w:asciiTheme="minorHAnsi" w:hAnsiTheme="minorHAnsi" w:cs="Times New Roman"/>
          <w:color w:val="auto"/>
          <w:szCs w:val="24"/>
        </w:rPr>
        <w:t>xtremit</w:t>
      </w:r>
      <w:r w:rsidR="00D51152">
        <w:rPr>
          <w:rFonts w:asciiTheme="minorHAnsi" w:hAnsiTheme="minorHAnsi" w:cs="Times New Roman"/>
          <w:color w:val="auto"/>
          <w:szCs w:val="24"/>
        </w:rPr>
        <w:t>y</w:t>
      </w:r>
      <w:r w:rsidRPr="007C10BE">
        <w:rPr>
          <w:rFonts w:asciiTheme="minorHAnsi" w:hAnsiTheme="minorHAnsi" w:cs="Times New Roman"/>
          <w:color w:val="auto"/>
          <w:szCs w:val="24"/>
        </w:rPr>
        <w:t xml:space="preserve"> </w:t>
      </w:r>
      <w:r>
        <w:rPr>
          <w:rFonts w:asciiTheme="minorHAnsi" w:hAnsiTheme="minorHAnsi" w:cs="Times New Roman"/>
          <w:color w:val="auto"/>
          <w:szCs w:val="24"/>
        </w:rPr>
        <w:t>was normal</w:t>
      </w:r>
      <w:r w:rsidRPr="007C10BE">
        <w:rPr>
          <w:rFonts w:asciiTheme="minorHAnsi" w:hAnsiTheme="minorHAnsi" w:cs="Times New Roman"/>
          <w:color w:val="auto"/>
          <w:szCs w:val="24"/>
        </w:rPr>
        <w:t xml:space="preserve">. </w:t>
      </w:r>
      <w:r>
        <w:rPr>
          <w:rFonts w:asciiTheme="minorHAnsi" w:hAnsiTheme="minorHAnsi" w:cs="Times New Roman"/>
          <w:color w:val="auto"/>
          <w:szCs w:val="24"/>
        </w:rPr>
        <w:t xml:space="preserve"> Formal goniometric ROM of the left shoulder, annotated in the table above, was performed several weeks after the MEB exam and later inserted into the narrative summary (NARSUM) dictation.  The</w:t>
      </w:r>
      <w:r w:rsidRPr="003C53E8">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VA Compensation &amp; Pension (C&amp;P) exam</w:t>
      </w:r>
      <w:r w:rsidR="00D51152">
        <w:rPr>
          <w:rFonts w:asciiTheme="minorHAnsi" w:hAnsiTheme="minorHAnsi" w:cs="Times New Roman"/>
          <w:color w:val="auto"/>
          <w:szCs w:val="24"/>
        </w:rPr>
        <w:t xml:space="preserve">iner recorded no additional history or symptoms.  ROM was mildly impaired and painful against resistance.  There were no additional symptoms or </w:t>
      </w:r>
      <w:r w:rsidR="00821182">
        <w:rPr>
          <w:rFonts w:asciiTheme="minorHAnsi" w:hAnsiTheme="minorHAnsi" w:cs="Times New Roman"/>
          <w:color w:val="auto"/>
          <w:szCs w:val="24"/>
        </w:rPr>
        <w:t>decrement</w:t>
      </w:r>
      <w:r w:rsidR="00D51152">
        <w:rPr>
          <w:rFonts w:asciiTheme="minorHAnsi" w:hAnsiTheme="minorHAnsi" w:cs="Times New Roman"/>
          <w:color w:val="auto"/>
          <w:szCs w:val="24"/>
        </w:rPr>
        <w:t xml:space="preserve"> o</w:t>
      </w:r>
      <w:r w:rsidR="00C84E1D">
        <w:rPr>
          <w:rFonts w:asciiTheme="minorHAnsi" w:hAnsiTheme="minorHAnsi" w:cs="Times New Roman"/>
          <w:color w:val="auto"/>
          <w:szCs w:val="24"/>
        </w:rPr>
        <w:t>f ROM with repetitive motion.  VA r</w:t>
      </w:r>
      <w:r w:rsidR="00D51152">
        <w:rPr>
          <w:rFonts w:asciiTheme="minorHAnsi" w:hAnsiTheme="minorHAnsi" w:cs="Times New Roman"/>
          <w:color w:val="auto"/>
          <w:szCs w:val="24"/>
        </w:rPr>
        <w:t xml:space="preserve">adiographs showed </w:t>
      </w:r>
      <w:r w:rsidR="00D51152" w:rsidRPr="00D51152">
        <w:rPr>
          <w:rFonts w:asciiTheme="minorHAnsi" w:hAnsiTheme="minorHAnsi" w:cs="Times New Roman"/>
          <w:color w:val="auto"/>
          <w:szCs w:val="24"/>
        </w:rPr>
        <w:t>mild deg</w:t>
      </w:r>
      <w:r w:rsidR="00D51152">
        <w:rPr>
          <w:rFonts w:asciiTheme="minorHAnsi" w:hAnsiTheme="minorHAnsi" w:cs="Times New Roman"/>
          <w:color w:val="auto"/>
          <w:szCs w:val="24"/>
        </w:rPr>
        <w:t>e</w:t>
      </w:r>
      <w:r w:rsidR="00D51152" w:rsidRPr="00D51152">
        <w:rPr>
          <w:rFonts w:asciiTheme="minorHAnsi" w:hAnsiTheme="minorHAnsi" w:cs="Times New Roman"/>
          <w:color w:val="auto"/>
          <w:szCs w:val="24"/>
        </w:rPr>
        <w:t xml:space="preserve">nerative </w:t>
      </w:r>
      <w:r w:rsidR="00D51152">
        <w:rPr>
          <w:rFonts w:asciiTheme="minorHAnsi" w:hAnsiTheme="minorHAnsi" w:cs="Times New Roman"/>
          <w:color w:val="auto"/>
          <w:szCs w:val="24"/>
        </w:rPr>
        <w:t>changes</w:t>
      </w:r>
      <w:r w:rsidR="00D51152" w:rsidRPr="00D51152">
        <w:rPr>
          <w:rFonts w:asciiTheme="minorHAnsi" w:hAnsiTheme="minorHAnsi" w:cs="Times New Roman"/>
          <w:color w:val="auto"/>
          <w:szCs w:val="24"/>
        </w:rPr>
        <w:t xml:space="preserve"> in the </w:t>
      </w:r>
      <w:r w:rsidR="00D51152">
        <w:rPr>
          <w:rFonts w:asciiTheme="minorHAnsi" w:hAnsiTheme="minorHAnsi" w:cs="Times New Roman"/>
          <w:color w:val="auto"/>
          <w:szCs w:val="24"/>
        </w:rPr>
        <w:t xml:space="preserve">acromio-clavicular </w:t>
      </w:r>
      <w:r w:rsidR="00D51152" w:rsidRPr="00976585">
        <w:rPr>
          <w:rFonts w:asciiTheme="minorHAnsi" w:hAnsiTheme="minorHAnsi" w:cs="Times New Roman"/>
          <w:color w:val="auto"/>
          <w:szCs w:val="24"/>
        </w:rPr>
        <w:t xml:space="preserve">joint.  </w:t>
      </w:r>
      <w:r w:rsidR="00C84E1D">
        <w:rPr>
          <w:rFonts w:asciiTheme="minorHAnsi" w:hAnsiTheme="minorHAnsi" w:cs="Times New Roman"/>
          <w:color w:val="auto"/>
          <w:szCs w:val="24"/>
        </w:rPr>
        <w:t xml:space="preserve">Although neither the NARSUM nor C&amp;P exams documented physical stress testing </w:t>
      </w:r>
      <w:r w:rsidR="004C44B1">
        <w:rPr>
          <w:rFonts w:asciiTheme="minorHAnsi" w:hAnsiTheme="minorHAnsi" w:cs="Times New Roman"/>
          <w:color w:val="auto"/>
          <w:szCs w:val="24"/>
        </w:rPr>
        <w:t xml:space="preserve">of the shoulder for stability, </w:t>
      </w:r>
      <w:r w:rsidR="008C0602">
        <w:rPr>
          <w:rFonts w:asciiTheme="minorHAnsi" w:hAnsiTheme="minorHAnsi" w:cs="Times New Roman"/>
          <w:color w:val="auto"/>
          <w:szCs w:val="24"/>
        </w:rPr>
        <w:t>preceding</w:t>
      </w:r>
      <w:r w:rsidR="004C44B1">
        <w:rPr>
          <w:rFonts w:asciiTheme="minorHAnsi" w:hAnsiTheme="minorHAnsi" w:cs="Times New Roman"/>
          <w:color w:val="auto"/>
          <w:szCs w:val="24"/>
        </w:rPr>
        <w:t xml:space="preserve"> </w:t>
      </w:r>
      <w:r w:rsidR="008C0602">
        <w:rPr>
          <w:rFonts w:asciiTheme="minorHAnsi" w:hAnsiTheme="minorHAnsi" w:cs="Times New Roman"/>
          <w:color w:val="auto"/>
          <w:szCs w:val="24"/>
        </w:rPr>
        <w:t xml:space="preserve">clinical notes in the </w:t>
      </w:r>
      <w:r w:rsidR="00D00925">
        <w:rPr>
          <w:rFonts w:asciiTheme="minorHAnsi" w:hAnsiTheme="minorHAnsi" w:cs="Times New Roman"/>
          <w:color w:val="auto"/>
          <w:szCs w:val="24"/>
        </w:rPr>
        <w:t>s</w:t>
      </w:r>
      <w:r w:rsidR="008C0602">
        <w:rPr>
          <w:rFonts w:asciiTheme="minorHAnsi" w:hAnsiTheme="minorHAnsi" w:cs="Times New Roman"/>
          <w:color w:val="auto"/>
          <w:szCs w:val="24"/>
        </w:rPr>
        <w:t xml:space="preserve">ervice treatment record (STR) documented initial instability that was resolving over </w:t>
      </w:r>
      <w:r w:rsidR="008C0602" w:rsidRPr="008C0602">
        <w:rPr>
          <w:rFonts w:asciiTheme="minorHAnsi" w:hAnsiTheme="minorHAnsi" w:cs="Times New Roman"/>
          <w:color w:val="auto"/>
          <w:szCs w:val="24"/>
        </w:rPr>
        <w:t xml:space="preserve">time.  </w:t>
      </w:r>
      <w:r w:rsidR="003C53E8" w:rsidRPr="00976585">
        <w:rPr>
          <w:rFonts w:asciiTheme="minorHAnsi" w:hAnsiTheme="minorHAnsi" w:cs="Times New Roman"/>
          <w:color w:val="auto"/>
          <w:szCs w:val="24"/>
        </w:rPr>
        <w:t xml:space="preserve">The PEB and VA chose </w:t>
      </w:r>
      <w:r w:rsidR="00D51152" w:rsidRPr="00976585">
        <w:rPr>
          <w:rFonts w:asciiTheme="minorHAnsi" w:hAnsiTheme="minorHAnsi" w:cs="Times New Roman"/>
          <w:color w:val="auto"/>
          <w:szCs w:val="24"/>
        </w:rPr>
        <w:t>similar</w:t>
      </w:r>
      <w:r w:rsidR="003C53E8" w:rsidRPr="00976585">
        <w:rPr>
          <w:rFonts w:asciiTheme="minorHAnsi" w:hAnsiTheme="minorHAnsi" w:cs="Times New Roman"/>
          <w:color w:val="auto"/>
          <w:szCs w:val="24"/>
        </w:rPr>
        <w:t xml:space="preserve"> coding options for the condition, </w:t>
      </w:r>
      <w:r w:rsidR="00D51152" w:rsidRPr="00976585">
        <w:rPr>
          <w:rFonts w:asciiTheme="minorHAnsi" w:hAnsiTheme="minorHAnsi" w:cs="Times New Roman"/>
          <w:color w:val="auto"/>
          <w:szCs w:val="24"/>
        </w:rPr>
        <w:t>and arrived at the same</w:t>
      </w:r>
      <w:r w:rsidR="003C53E8" w:rsidRPr="00976585">
        <w:rPr>
          <w:rFonts w:asciiTheme="minorHAnsi" w:hAnsiTheme="minorHAnsi" w:cs="Times New Roman"/>
          <w:color w:val="auto"/>
          <w:szCs w:val="24"/>
        </w:rPr>
        <w:t xml:space="preserve"> rating.  The PEB’s DA Form 199 reflected application of the USAPDA pain policy for rating, but its 10% determination was consistent with §4.71a standards.</w:t>
      </w:r>
      <w:r w:rsidR="00976585">
        <w:rPr>
          <w:rFonts w:asciiTheme="minorHAnsi" w:hAnsiTheme="minorHAnsi" w:cs="Times New Roman"/>
          <w:color w:val="auto"/>
          <w:szCs w:val="24"/>
        </w:rPr>
        <w:t xml:space="preserve">  </w:t>
      </w:r>
      <w:r w:rsidR="00722645">
        <w:rPr>
          <w:rFonts w:asciiTheme="minorHAnsi" w:hAnsiTheme="minorHAnsi" w:cs="Times New Roman"/>
          <w:color w:val="auto"/>
          <w:szCs w:val="24"/>
        </w:rPr>
        <w:t xml:space="preserve">ROM exams by both the service and VA show non-compensable limitation of motion, but ample evidence of degenerative change and painful motion to justify a minimal compensable rating under code 5003.  </w:t>
      </w:r>
      <w:r w:rsidR="00B53715">
        <w:rPr>
          <w:rFonts w:asciiTheme="minorHAnsi" w:hAnsiTheme="minorHAnsi" w:cs="Times New Roman"/>
          <w:color w:val="auto"/>
          <w:szCs w:val="24"/>
        </w:rPr>
        <w:t xml:space="preserve">The Board deliberated an analogous rating under 5299-5202 (humerus, other impairment of), which permits a 20% rating for recurrent dislocations.   It was agreed however that, although there was some presumed residual joint instability and a history of subluxations (temporary slippage within the joint capsule without dislocating), this could not be fairly characterized as the same disability as that </w:t>
      </w:r>
      <w:r w:rsidR="00B53715">
        <w:rPr>
          <w:rFonts w:asciiTheme="minorHAnsi" w:hAnsiTheme="minorHAnsi" w:cs="Times New Roman"/>
          <w:color w:val="auto"/>
          <w:szCs w:val="24"/>
        </w:rPr>
        <w:lastRenderedPageBreak/>
        <w:t xml:space="preserve">associated with recurrent dislocations to which the code is directed.  </w:t>
      </w:r>
      <w:r w:rsidR="00A44B8F">
        <w:rPr>
          <w:rFonts w:eastAsiaTheme="minorHAnsi" w:cstheme="minorBidi"/>
          <w:color w:val="000000" w:themeColor="text1"/>
          <w:szCs w:val="24"/>
        </w:rPr>
        <w:t>T</w:t>
      </w:r>
      <w:r w:rsidR="00976585" w:rsidRPr="00976585">
        <w:rPr>
          <w:rFonts w:eastAsiaTheme="minorHAnsi" w:cstheme="minorBidi"/>
          <w:color w:val="000000" w:themeColor="text1"/>
          <w:szCs w:val="24"/>
        </w:rPr>
        <w:t xml:space="preserve">here was no clinical and/or radiologic evidence in the examinations done proximate to separation that suggested ankylosis, loss of the humeral head, nonunion, malunion, fibrous union, deformity, </w:t>
      </w:r>
      <w:r w:rsidR="00A44B8F">
        <w:rPr>
          <w:rFonts w:eastAsiaTheme="minorHAnsi" w:cstheme="minorBidi"/>
          <w:color w:val="000000" w:themeColor="text1"/>
          <w:szCs w:val="24"/>
        </w:rPr>
        <w:t xml:space="preserve">or dislocation of the scapula that </w:t>
      </w:r>
      <w:r w:rsidR="00976585" w:rsidRPr="00976585">
        <w:rPr>
          <w:rFonts w:eastAsiaTheme="minorHAnsi" w:cstheme="minorBidi"/>
          <w:color w:val="000000" w:themeColor="text1"/>
          <w:szCs w:val="24"/>
        </w:rPr>
        <w:t xml:space="preserve">would </w:t>
      </w:r>
      <w:r w:rsidR="00A44B8F">
        <w:rPr>
          <w:rFonts w:eastAsiaTheme="minorHAnsi" w:cstheme="minorBidi"/>
          <w:color w:val="000000" w:themeColor="text1"/>
          <w:szCs w:val="24"/>
        </w:rPr>
        <w:t>justify application</w:t>
      </w:r>
      <w:r w:rsidR="00976585" w:rsidRPr="00976585">
        <w:rPr>
          <w:rFonts w:eastAsiaTheme="minorHAnsi" w:cstheme="minorBidi"/>
          <w:color w:val="000000" w:themeColor="text1"/>
          <w:szCs w:val="24"/>
        </w:rPr>
        <w:t xml:space="preserve"> </w:t>
      </w:r>
      <w:r w:rsidR="00A44B8F">
        <w:rPr>
          <w:rFonts w:eastAsiaTheme="minorHAnsi" w:cstheme="minorBidi"/>
          <w:color w:val="000000" w:themeColor="text1"/>
          <w:szCs w:val="24"/>
        </w:rPr>
        <w:t xml:space="preserve">of </w:t>
      </w:r>
      <w:r w:rsidR="00976585" w:rsidRPr="00976585">
        <w:rPr>
          <w:rFonts w:eastAsiaTheme="minorHAnsi" w:cstheme="minorBidi"/>
          <w:color w:val="000000" w:themeColor="text1"/>
          <w:szCs w:val="24"/>
        </w:rPr>
        <w:t xml:space="preserve">any </w:t>
      </w:r>
      <w:r w:rsidR="00A44B8F">
        <w:rPr>
          <w:rFonts w:eastAsiaTheme="minorHAnsi" w:cstheme="minorBidi"/>
          <w:color w:val="000000" w:themeColor="text1"/>
          <w:szCs w:val="24"/>
        </w:rPr>
        <w:t xml:space="preserve">other available joint </w:t>
      </w:r>
      <w:r w:rsidR="00976585" w:rsidRPr="00976585">
        <w:rPr>
          <w:rFonts w:eastAsiaTheme="minorHAnsi" w:cstheme="minorBidi"/>
          <w:color w:val="000000" w:themeColor="text1"/>
          <w:szCs w:val="24"/>
        </w:rPr>
        <w:t xml:space="preserve">code </w:t>
      </w:r>
      <w:r w:rsidR="00A44B8F">
        <w:rPr>
          <w:rFonts w:eastAsiaTheme="minorHAnsi" w:cstheme="minorBidi"/>
          <w:color w:val="000000" w:themeColor="text1"/>
          <w:szCs w:val="24"/>
        </w:rPr>
        <w:t xml:space="preserve">for the shoulder </w:t>
      </w:r>
      <w:r w:rsidR="00976585" w:rsidRPr="00976585">
        <w:rPr>
          <w:rFonts w:eastAsiaTheme="minorHAnsi" w:cstheme="minorBidi"/>
          <w:color w:val="000000" w:themeColor="text1"/>
          <w:szCs w:val="24"/>
        </w:rPr>
        <w:t xml:space="preserve">with </w:t>
      </w:r>
      <w:r w:rsidR="00A44B8F">
        <w:rPr>
          <w:rFonts w:eastAsiaTheme="minorHAnsi" w:cstheme="minorBidi"/>
          <w:color w:val="000000" w:themeColor="text1"/>
          <w:szCs w:val="24"/>
        </w:rPr>
        <w:t xml:space="preserve">a </w:t>
      </w:r>
      <w:r w:rsidR="00976585" w:rsidRPr="00976585">
        <w:rPr>
          <w:rFonts w:eastAsiaTheme="minorHAnsi" w:cstheme="minorBidi"/>
          <w:color w:val="000000" w:themeColor="text1"/>
          <w:szCs w:val="24"/>
        </w:rPr>
        <w:t>higher rating potential.</w:t>
      </w:r>
      <w:r w:rsidR="003C53E8" w:rsidRPr="00976585">
        <w:rPr>
          <w:rFonts w:eastAsiaTheme="minorHAnsi" w:cstheme="minorBidi"/>
          <w:color w:val="000000" w:themeColor="text1"/>
          <w:szCs w:val="24"/>
        </w:rPr>
        <w:t xml:space="preserve">  </w:t>
      </w:r>
      <w:r w:rsidR="00A44B8F" w:rsidRPr="00A44B8F">
        <w:rPr>
          <w:rFonts w:asciiTheme="minorHAnsi" w:hAnsiTheme="minorHAns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A44B8F">
        <w:rPr>
          <w:rFonts w:asciiTheme="minorHAnsi" w:hAnsiTheme="minorHAnsi" w:cs="Times New Roman"/>
          <w:color w:val="auto"/>
          <w:szCs w:val="24"/>
        </w:rPr>
        <w:t>left shoulder</w:t>
      </w:r>
      <w:r w:rsidR="00A44B8F" w:rsidRPr="003C53E8">
        <w:rPr>
          <w:rFonts w:asciiTheme="minorHAnsi" w:hAnsiTheme="minorHAnsi" w:cs="Times New Roman"/>
          <w:color w:val="auto"/>
          <w:szCs w:val="24"/>
        </w:rPr>
        <w:t xml:space="preserve"> </w:t>
      </w:r>
      <w:r w:rsidR="00A44B8F" w:rsidRPr="00A44B8F">
        <w:rPr>
          <w:rFonts w:asciiTheme="minorHAnsi" w:hAnsiTheme="minorHAnsi" w:cs="Times New Roman"/>
          <w:color w:val="auto"/>
          <w:szCs w:val="24"/>
        </w:rPr>
        <w:t>condition.</w:t>
      </w:r>
    </w:p>
    <w:p w:rsidR="009910F6" w:rsidRPr="00976585" w:rsidRDefault="009910F6" w:rsidP="00722645">
      <w:pPr>
        <w:tabs>
          <w:tab w:val="left" w:pos="288"/>
          <w:tab w:val="left" w:pos="4752"/>
        </w:tabs>
        <w:jc w:val="left"/>
        <w:rPr>
          <w:rFonts w:asciiTheme="minorHAnsi" w:hAnsiTheme="minorHAnsi" w:cs="Times New Roman"/>
          <w:color w:val="000000" w:themeColor="text1"/>
          <w:szCs w:val="24"/>
          <w:u w:val="single"/>
        </w:rPr>
      </w:pPr>
    </w:p>
    <w:p w:rsidR="00712A70" w:rsidRDefault="00866758" w:rsidP="00F8022F">
      <w:pPr>
        <w:jc w:val="both"/>
        <w:rPr>
          <w:color w:val="000000" w:themeColor="text1"/>
          <w:szCs w:val="24"/>
        </w:rPr>
      </w:pPr>
      <w:proofErr w:type="gramStart"/>
      <w:r>
        <w:rPr>
          <w:color w:val="000000" w:themeColor="text1"/>
          <w:szCs w:val="24"/>
          <w:u w:val="single"/>
        </w:rPr>
        <w:t xml:space="preserve">Right </w:t>
      </w:r>
      <w:r w:rsidR="00DA0578">
        <w:rPr>
          <w:color w:val="000000" w:themeColor="text1"/>
          <w:szCs w:val="24"/>
          <w:u w:val="single"/>
        </w:rPr>
        <w:t>Shoulder Condition</w:t>
      </w:r>
      <w:r w:rsidR="00DA0578">
        <w:rPr>
          <w:color w:val="000000" w:themeColor="text1"/>
          <w:szCs w:val="24"/>
        </w:rPr>
        <w:t>.</w:t>
      </w:r>
      <w:proofErr w:type="gramEnd"/>
      <w:r w:rsidR="00DA0578">
        <w:rPr>
          <w:color w:val="000000" w:themeColor="text1"/>
          <w:szCs w:val="24"/>
        </w:rPr>
        <w:t xml:space="preserve">  </w:t>
      </w:r>
      <w:r w:rsidR="00FE3C36" w:rsidRPr="001F29F9">
        <w:rPr>
          <w:rFonts w:eastAsia="HiddenHorzOCR"/>
          <w:color w:val="000000" w:themeColor="text1"/>
          <w:szCs w:val="24"/>
        </w:rPr>
        <w:t xml:space="preserve">The CI’s application asserts that </w:t>
      </w:r>
      <w:r w:rsidR="00FE3C36">
        <w:rPr>
          <w:rFonts w:eastAsia="HiddenHorzOCR"/>
          <w:color w:val="000000" w:themeColor="text1"/>
          <w:szCs w:val="24"/>
        </w:rPr>
        <w:t xml:space="preserve">a </w:t>
      </w:r>
      <w:r w:rsidR="00FE3C36" w:rsidRPr="001F29F9">
        <w:rPr>
          <w:rFonts w:eastAsia="HiddenHorzOCR"/>
          <w:color w:val="000000" w:themeColor="text1"/>
          <w:szCs w:val="24"/>
        </w:rPr>
        <w:t xml:space="preserve">compensable rating should be considered for </w:t>
      </w:r>
      <w:r w:rsidR="00FE3C36">
        <w:rPr>
          <w:rFonts w:eastAsia="HiddenHorzOCR"/>
          <w:color w:val="000000" w:themeColor="text1"/>
          <w:szCs w:val="24"/>
        </w:rPr>
        <w:t xml:space="preserve">the right shoulder condition.  </w:t>
      </w:r>
      <w:r w:rsidR="00A31EBB" w:rsidRPr="00A31EBB">
        <w:rPr>
          <w:rFonts w:eastAsia="HiddenHorzOCR"/>
          <w:color w:val="000000" w:themeColor="text1"/>
          <w:szCs w:val="24"/>
        </w:rPr>
        <w:t xml:space="preserve">The Board’s main charge in respect to this condition is an assessment of the appropriateness of the PEB’s fitness adjudication. </w:t>
      </w:r>
      <w:r w:rsidR="00A31EBB">
        <w:rPr>
          <w:rFonts w:eastAsia="HiddenHorzOCR"/>
          <w:color w:val="000000" w:themeColor="text1"/>
          <w:szCs w:val="24"/>
        </w:rPr>
        <w:t xml:space="preserve"> </w:t>
      </w:r>
      <w:r w:rsidR="002E4693" w:rsidRPr="002E4693">
        <w:rPr>
          <w:rFonts w:eastAsia="HiddenHorzOCR"/>
          <w:color w:val="000000" w:themeColor="text1"/>
          <w:szCs w:val="24"/>
        </w:rPr>
        <w:t>The Board’s threshold for countering DES fitness determinations is higher than the VASRD §4.3 (reasonable doubt) standard used for its rating recommendations, but remains adherent to the DoDI 6040.44 “fair and equitable” standard.</w:t>
      </w:r>
      <w:r w:rsidR="002E4693">
        <w:rPr>
          <w:rFonts w:eastAsia="HiddenHorzOCR"/>
          <w:b/>
          <w:color w:val="000000" w:themeColor="text1"/>
          <w:szCs w:val="24"/>
        </w:rPr>
        <w:t xml:space="preserve">  </w:t>
      </w:r>
      <w:r w:rsidR="006F2686">
        <w:rPr>
          <w:color w:val="000000" w:themeColor="text1"/>
          <w:szCs w:val="24"/>
        </w:rPr>
        <w:t>T</w:t>
      </w:r>
      <w:r w:rsidR="00DA0578">
        <w:rPr>
          <w:color w:val="000000" w:themeColor="text1"/>
          <w:szCs w:val="24"/>
        </w:rPr>
        <w:t xml:space="preserve">he CI’s initial right shoulder surgery failed to stabilize the joint, </w:t>
      </w:r>
      <w:r w:rsidR="006F2686">
        <w:rPr>
          <w:color w:val="000000" w:themeColor="text1"/>
          <w:szCs w:val="24"/>
        </w:rPr>
        <w:t>but</w:t>
      </w:r>
      <w:r w:rsidR="00DA0578">
        <w:rPr>
          <w:color w:val="000000" w:themeColor="text1"/>
          <w:szCs w:val="24"/>
        </w:rPr>
        <w:t xml:space="preserve"> </w:t>
      </w:r>
      <w:r w:rsidR="006F2686">
        <w:rPr>
          <w:color w:val="000000" w:themeColor="text1"/>
          <w:szCs w:val="24"/>
        </w:rPr>
        <w:t xml:space="preserve">a subsequent surgical revision </w:t>
      </w:r>
      <w:r w:rsidR="0050630E">
        <w:rPr>
          <w:color w:val="000000" w:themeColor="text1"/>
          <w:szCs w:val="24"/>
        </w:rPr>
        <w:t xml:space="preserve">in August 2007 </w:t>
      </w:r>
      <w:r w:rsidR="006F2686">
        <w:rPr>
          <w:color w:val="000000" w:themeColor="text1"/>
          <w:szCs w:val="24"/>
        </w:rPr>
        <w:t>restored stability</w:t>
      </w:r>
      <w:r w:rsidR="00DA0578">
        <w:rPr>
          <w:color w:val="000000" w:themeColor="text1"/>
          <w:szCs w:val="24"/>
        </w:rPr>
        <w:t>.</w:t>
      </w:r>
      <w:r w:rsidR="00FE3C36">
        <w:rPr>
          <w:color w:val="000000" w:themeColor="text1"/>
          <w:szCs w:val="24"/>
        </w:rPr>
        <w:t xml:space="preserve">  </w:t>
      </w:r>
      <w:r w:rsidR="0050630E">
        <w:rPr>
          <w:color w:val="000000" w:themeColor="text1"/>
          <w:szCs w:val="24"/>
        </w:rPr>
        <w:t xml:space="preserve">A favorable post-operative course is documented in the STR, and there were no further dislocations reported; but, the CI continued to experience pain, limitation of motion, and activity limitations (although the latter was shared with the emergence of the left shoulder condition).  </w:t>
      </w:r>
      <w:r w:rsidR="00FE3C36">
        <w:rPr>
          <w:color w:val="000000" w:themeColor="text1"/>
          <w:szCs w:val="24"/>
        </w:rPr>
        <w:t>In October 2007 an orthopedic surgeon noted that “</w:t>
      </w:r>
      <w:r w:rsidR="00FE3C36" w:rsidRPr="00FE3C36">
        <w:rPr>
          <w:color w:val="000000" w:themeColor="text1"/>
          <w:szCs w:val="24"/>
        </w:rPr>
        <w:t xml:space="preserve">both shoulders are interfering in </w:t>
      </w:r>
      <w:r w:rsidR="0050630E">
        <w:rPr>
          <w:color w:val="000000" w:themeColor="text1"/>
          <w:szCs w:val="24"/>
        </w:rPr>
        <w:t>his</w:t>
      </w:r>
      <w:r w:rsidR="00FE3C36" w:rsidRPr="00FE3C36">
        <w:rPr>
          <w:color w:val="000000" w:themeColor="text1"/>
          <w:szCs w:val="24"/>
        </w:rPr>
        <w:t xml:space="preserve"> ability to perform his job in</w:t>
      </w:r>
      <w:r w:rsidR="00FE3C36">
        <w:rPr>
          <w:color w:val="000000" w:themeColor="text1"/>
          <w:szCs w:val="24"/>
        </w:rPr>
        <w:t xml:space="preserve"> </w:t>
      </w:r>
      <w:r w:rsidR="00FE3C36" w:rsidRPr="00FE3C36">
        <w:rPr>
          <w:color w:val="000000" w:themeColor="text1"/>
          <w:szCs w:val="24"/>
        </w:rPr>
        <w:t>his MOS</w:t>
      </w:r>
      <w:r w:rsidR="00FE3C36">
        <w:rPr>
          <w:color w:val="000000" w:themeColor="text1"/>
          <w:szCs w:val="24"/>
        </w:rPr>
        <w:t xml:space="preserve">,” issued a permanent U3 profile for </w:t>
      </w:r>
      <w:r w:rsidR="008F2F2C">
        <w:rPr>
          <w:color w:val="000000" w:themeColor="text1"/>
          <w:szCs w:val="24"/>
        </w:rPr>
        <w:t>both</w:t>
      </w:r>
      <w:r w:rsidR="00FE3C36">
        <w:rPr>
          <w:color w:val="000000" w:themeColor="text1"/>
          <w:szCs w:val="24"/>
        </w:rPr>
        <w:t xml:space="preserve"> shoulder</w:t>
      </w:r>
      <w:r w:rsidR="008F2F2C">
        <w:rPr>
          <w:color w:val="000000" w:themeColor="text1"/>
          <w:szCs w:val="24"/>
        </w:rPr>
        <w:t>s</w:t>
      </w:r>
      <w:r w:rsidR="00FE3C36">
        <w:rPr>
          <w:color w:val="000000" w:themeColor="text1"/>
          <w:szCs w:val="24"/>
        </w:rPr>
        <w:t>, and initiated MEB proceedings</w:t>
      </w:r>
      <w:r w:rsidR="008F2F2C">
        <w:rPr>
          <w:color w:val="000000" w:themeColor="text1"/>
          <w:szCs w:val="24"/>
        </w:rPr>
        <w:t>; thus</w:t>
      </w:r>
      <w:r w:rsidR="009910F6">
        <w:rPr>
          <w:color w:val="000000" w:themeColor="text1"/>
          <w:szCs w:val="24"/>
        </w:rPr>
        <w:t xml:space="preserve"> implying that </w:t>
      </w:r>
      <w:r w:rsidR="008F2F2C">
        <w:rPr>
          <w:color w:val="000000" w:themeColor="text1"/>
          <w:szCs w:val="24"/>
        </w:rPr>
        <w:t>both</w:t>
      </w:r>
      <w:r w:rsidR="009910F6">
        <w:rPr>
          <w:color w:val="000000" w:themeColor="text1"/>
          <w:szCs w:val="24"/>
        </w:rPr>
        <w:t xml:space="preserve"> shoulder condition</w:t>
      </w:r>
      <w:r w:rsidR="008F2F2C">
        <w:rPr>
          <w:color w:val="000000" w:themeColor="text1"/>
          <w:szCs w:val="24"/>
        </w:rPr>
        <w:t>s</w:t>
      </w:r>
      <w:r w:rsidR="009910F6">
        <w:rPr>
          <w:color w:val="000000" w:themeColor="text1"/>
          <w:szCs w:val="24"/>
        </w:rPr>
        <w:t xml:space="preserve"> </w:t>
      </w:r>
      <w:proofErr w:type="gramStart"/>
      <w:r w:rsidR="008F2F2C">
        <w:rPr>
          <w:color w:val="000000" w:themeColor="text1"/>
          <w:szCs w:val="24"/>
        </w:rPr>
        <w:t>were</w:t>
      </w:r>
      <w:proofErr w:type="gramEnd"/>
      <w:r w:rsidR="009910F6">
        <w:rPr>
          <w:color w:val="000000" w:themeColor="text1"/>
          <w:szCs w:val="24"/>
        </w:rPr>
        <w:t xml:space="preserve"> considered medically unacceptable</w:t>
      </w:r>
      <w:r w:rsidR="00FE3C36">
        <w:rPr>
          <w:color w:val="000000" w:themeColor="text1"/>
          <w:szCs w:val="24"/>
        </w:rPr>
        <w:t>.</w:t>
      </w:r>
      <w:r w:rsidR="00A31EBB">
        <w:rPr>
          <w:color w:val="000000" w:themeColor="text1"/>
          <w:szCs w:val="24"/>
        </w:rPr>
        <w:t xml:space="preserve">  All subsequent clinical notes refer to the right shoulder condition as the reason that the CI was undergoing a MEB.  The commander’s statement </w:t>
      </w:r>
      <w:r w:rsidR="0050630E">
        <w:rPr>
          <w:color w:val="000000" w:themeColor="text1"/>
          <w:szCs w:val="24"/>
        </w:rPr>
        <w:t xml:space="preserve">(written in November 2007) </w:t>
      </w:r>
      <w:r w:rsidR="00A31EBB">
        <w:rPr>
          <w:color w:val="000000" w:themeColor="text1"/>
          <w:szCs w:val="24"/>
        </w:rPr>
        <w:t>specifically implicates only the right shoulder condition as the reason that the CI “</w:t>
      </w:r>
      <w:r w:rsidR="00A31EBB" w:rsidRPr="00A31EBB">
        <w:rPr>
          <w:color w:val="000000" w:themeColor="text1"/>
          <w:szCs w:val="24"/>
        </w:rPr>
        <w:t>cannot</w:t>
      </w:r>
      <w:r w:rsidR="00A31EBB">
        <w:rPr>
          <w:color w:val="000000" w:themeColor="text1"/>
          <w:szCs w:val="24"/>
        </w:rPr>
        <w:t xml:space="preserve"> </w:t>
      </w:r>
      <w:r w:rsidR="00A31EBB" w:rsidRPr="00A31EBB">
        <w:rPr>
          <w:color w:val="000000" w:themeColor="text1"/>
          <w:szCs w:val="24"/>
        </w:rPr>
        <w:t>perform in a field or tactical environment</w:t>
      </w:r>
      <w:r w:rsidR="00D00925">
        <w:rPr>
          <w:color w:val="000000" w:themeColor="text1"/>
          <w:szCs w:val="24"/>
        </w:rPr>
        <w:t>.</w:t>
      </w:r>
      <w:r w:rsidR="00A31EBB">
        <w:rPr>
          <w:color w:val="000000" w:themeColor="text1"/>
          <w:szCs w:val="24"/>
        </w:rPr>
        <w:t xml:space="preserve">”  </w:t>
      </w:r>
      <w:r w:rsidR="00EC1801">
        <w:rPr>
          <w:color w:val="000000" w:themeColor="text1"/>
          <w:szCs w:val="24"/>
        </w:rPr>
        <w:t>The NARSUM examiner</w:t>
      </w:r>
      <w:r w:rsidR="00D00925">
        <w:rPr>
          <w:color w:val="000000" w:themeColor="text1"/>
          <w:szCs w:val="24"/>
        </w:rPr>
        <w:t>;</w:t>
      </w:r>
      <w:r w:rsidR="008F2F2C">
        <w:rPr>
          <w:color w:val="000000" w:themeColor="text1"/>
          <w:szCs w:val="24"/>
        </w:rPr>
        <w:t xml:space="preserve"> conversely,</w:t>
      </w:r>
      <w:r w:rsidR="00EC1801">
        <w:rPr>
          <w:color w:val="000000" w:themeColor="text1"/>
          <w:szCs w:val="24"/>
        </w:rPr>
        <w:t xml:space="preserve"> opined that the right shoulder co</w:t>
      </w:r>
      <w:r w:rsidR="008F2F2C">
        <w:rPr>
          <w:color w:val="000000" w:themeColor="text1"/>
          <w:szCs w:val="24"/>
        </w:rPr>
        <w:t>ndition met retention standards;</w:t>
      </w:r>
      <w:r w:rsidR="00EC1801">
        <w:rPr>
          <w:color w:val="000000" w:themeColor="text1"/>
          <w:szCs w:val="24"/>
        </w:rPr>
        <w:t xml:space="preserve"> and</w:t>
      </w:r>
      <w:r w:rsidR="008F2F2C">
        <w:rPr>
          <w:color w:val="000000" w:themeColor="text1"/>
          <w:szCs w:val="24"/>
        </w:rPr>
        <w:t>,</w:t>
      </w:r>
      <w:r w:rsidR="00EC1801">
        <w:rPr>
          <w:color w:val="000000" w:themeColor="text1"/>
          <w:szCs w:val="24"/>
        </w:rPr>
        <w:t xml:space="preserve"> a month later he (the same physician) dropped it from the U3 profile.   </w:t>
      </w:r>
      <w:r w:rsidR="00EE7110">
        <w:rPr>
          <w:color w:val="000000" w:themeColor="text1"/>
          <w:szCs w:val="24"/>
        </w:rPr>
        <w:t xml:space="preserve">The NARSUM </w:t>
      </w:r>
      <w:r w:rsidR="008F2F2C">
        <w:rPr>
          <w:color w:val="000000" w:themeColor="text1"/>
          <w:szCs w:val="24"/>
        </w:rPr>
        <w:t>however</w:t>
      </w:r>
      <w:r w:rsidR="00EE7110">
        <w:rPr>
          <w:color w:val="000000" w:themeColor="text1"/>
          <w:szCs w:val="24"/>
        </w:rPr>
        <w:t xml:space="preserve"> </w:t>
      </w:r>
      <w:r w:rsidR="00EC1801">
        <w:rPr>
          <w:color w:val="000000" w:themeColor="text1"/>
          <w:szCs w:val="24"/>
        </w:rPr>
        <w:t xml:space="preserve">documented </w:t>
      </w:r>
      <w:r w:rsidR="00EE7110">
        <w:rPr>
          <w:color w:val="000000" w:themeColor="text1"/>
          <w:szCs w:val="24"/>
        </w:rPr>
        <w:t>slightly worse physical</w:t>
      </w:r>
      <w:r w:rsidR="00EC1801">
        <w:rPr>
          <w:color w:val="000000" w:themeColor="text1"/>
          <w:szCs w:val="24"/>
        </w:rPr>
        <w:t xml:space="preserve"> findings </w:t>
      </w:r>
      <w:r w:rsidR="00EE7110">
        <w:rPr>
          <w:color w:val="000000" w:themeColor="text1"/>
          <w:szCs w:val="24"/>
        </w:rPr>
        <w:t xml:space="preserve">referable to the right shoulder </w:t>
      </w:r>
      <w:r w:rsidR="00EC1801">
        <w:rPr>
          <w:color w:val="000000" w:themeColor="text1"/>
          <w:szCs w:val="24"/>
        </w:rPr>
        <w:t xml:space="preserve">and </w:t>
      </w:r>
      <w:r w:rsidR="00EE7110">
        <w:rPr>
          <w:color w:val="000000" w:themeColor="text1"/>
          <w:szCs w:val="24"/>
        </w:rPr>
        <w:t xml:space="preserve">equivalent symptomatology for both shoulders; and, provided no rationale for the opposing conclusions relative to AR 40-501 retention standards.  There were no STR entries after the NARSUM shedding further light on this distinction; and, the PEB’s DA Form 199 referenced only </w:t>
      </w:r>
      <w:r w:rsidR="00886261">
        <w:rPr>
          <w:color w:val="000000" w:themeColor="text1"/>
          <w:szCs w:val="24"/>
        </w:rPr>
        <w:t>the fact that fact that the right shoulder and remaining conditions “were determined to meet</w:t>
      </w:r>
      <w:r w:rsidR="00EE7110">
        <w:rPr>
          <w:color w:val="000000" w:themeColor="text1"/>
          <w:szCs w:val="24"/>
        </w:rPr>
        <w:t xml:space="preserve"> retention standard</w:t>
      </w:r>
      <w:r w:rsidR="00886261">
        <w:rPr>
          <w:color w:val="000000" w:themeColor="text1"/>
          <w:szCs w:val="24"/>
        </w:rPr>
        <w:t>s” in support of its fitness adjudication.</w:t>
      </w:r>
      <w:r w:rsidR="00EE7110">
        <w:rPr>
          <w:color w:val="000000" w:themeColor="text1"/>
          <w:szCs w:val="24"/>
        </w:rPr>
        <w:t xml:space="preserve"> </w:t>
      </w:r>
      <w:r w:rsidR="00886261">
        <w:rPr>
          <w:color w:val="000000" w:themeColor="text1"/>
          <w:szCs w:val="24"/>
        </w:rPr>
        <w:t xml:space="preserve"> </w:t>
      </w:r>
      <w:r w:rsidR="00A31EBB" w:rsidRPr="00A31EBB">
        <w:rPr>
          <w:color w:val="000000" w:themeColor="text1"/>
          <w:szCs w:val="24"/>
        </w:rPr>
        <w:t xml:space="preserve">After due deliberation, the Board agreed that the preponderance of the evidence with regard to the functional impairment of </w:t>
      </w:r>
      <w:r w:rsidR="00A31EBB">
        <w:rPr>
          <w:color w:val="000000" w:themeColor="text1"/>
          <w:szCs w:val="24"/>
        </w:rPr>
        <w:t>the right shoulder</w:t>
      </w:r>
      <w:r w:rsidR="00A31EBB" w:rsidRPr="00A31EBB">
        <w:rPr>
          <w:color w:val="000000" w:themeColor="text1"/>
          <w:szCs w:val="24"/>
        </w:rPr>
        <w:t xml:space="preserve"> favors its recommendation as an additionally unfitting condition for separation rating.</w:t>
      </w:r>
      <w:r w:rsidR="00A31EBB">
        <w:rPr>
          <w:color w:val="000000" w:themeColor="text1"/>
          <w:szCs w:val="24"/>
        </w:rPr>
        <w:t xml:space="preserve">  </w:t>
      </w:r>
    </w:p>
    <w:p w:rsidR="00886261" w:rsidRDefault="00886261" w:rsidP="00F8022F">
      <w:pPr>
        <w:jc w:val="both"/>
        <w:rPr>
          <w:color w:val="000000" w:themeColor="text1"/>
          <w:szCs w:val="24"/>
        </w:rPr>
      </w:pPr>
    </w:p>
    <w:p w:rsidR="00866758" w:rsidRPr="002E4693" w:rsidRDefault="00A31EBB" w:rsidP="00F8022F">
      <w:pPr>
        <w:jc w:val="both"/>
        <w:rPr>
          <w:rFonts w:eastAsia="HiddenHorzOCR"/>
          <w:b/>
          <w:color w:val="000000" w:themeColor="text1"/>
          <w:szCs w:val="24"/>
        </w:rPr>
      </w:pPr>
      <w:r>
        <w:rPr>
          <w:color w:val="000000" w:themeColor="text1"/>
          <w:szCs w:val="24"/>
        </w:rPr>
        <w:t xml:space="preserve">With respect to </w:t>
      </w:r>
      <w:r w:rsidR="00886261">
        <w:rPr>
          <w:color w:val="000000" w:themeColor="text1"/>
          <w:szCs w:val="24"/>
        </w:rPr>
        <w:t xml:space="preserve">its </w:t>
      </w:r>
      <w:r>
        <w:rPr>
          <w:color w:val="000000" w:themeColor="text1"/>
          <w:szCs w:val="24"/>
        </w:rPr>
        <w:t>rating</w:t>
      </w:r>
      <w:r w:rsidR="00886261">
        <w:rPr>
          <w:color w:val="000000" w:themeColor="text1"/>
          <w:szCs w:val="24"/>
        </w:rPr>
        <w:t xml:space="preserve"> recommendation for the right shoulder condition</w:t>
      </w:r>
      <w:r>
        <w:rPr>
          <w:color w:val="000000" w:themeColor="text1"/>
          <w:szCs w:val="24"/>
        </w:rPr>
        <w:t>, t</w:t>
      </w:r>
      <w:r w:rsidR="00866758" w:rsidRPr="00FE3C36">
        <w:rPr>
          <w:color w:val="000000" w:themeColor="text1"/>
          <w:szCs w:val="24"/>
        </w:rPr>
        <w:t xml:space="preserve">here were </w:t>
      </w:r>
      <w:r w:rsidR="00CF149A">
        <w:rPr>
          <w:color w:val="000000" w:themeColor="text1"/>
          <w:szCs w:val="24"/>
        </w:rPr>
        <w:t>two</w:t>
      </w:r>
      <w:r w:rsidR="00866758" w:rsidRPr="00FE3C36">
        <w:rPr>
          <w:color w:val="000000" w:themeColor="text1"/>
          <w:szCs w:val="24"/>
        </w:rPr>
        <w:t xml:space="preserve"> goniometric </w:t>
      </w:r>
      <w:r w:rsidR="00CF149A">
        <w:rPr>
          <w:color w:val="000000" w:themeColor="text1"/>
          <w:szCs w:val="24"/>
        </w:rPr>
        <w:t>ROM</w:t>
      </w:r>
      <w:r w:rsidR="00866758" w:rsidRPr="00FE3C36">
        <w:rPr>
          <w:color w:val="000000" w:themeColor="text1"/>
          <w:szCs w:val="24"/>
        </w:rPr>
        <w:t xml:space="preserve"> evaluations in evidence, with documentation of additional ratable criteria, which the Board </w:t>
      </w:r>
      <w:r w:rsidR="00CF149A">
        <w:rPr>
          <w:color w:val="000000" w:themeColor="text1"/>
          <w:szCs w:val="24"/>
        </w:rPr>
        <w:t>considered</w:t>
      </w:r>
      <w:r w:rsidR="00866758" w:rsidRPr="00FE3C36">
        <w:rPr>
          <w:rFonts w:asciiTheme="minorHAnsi" w:hAnsiTheme="minorHAnsi" w:cs="Times New Roman"/>
          <w:color w:val="auto"/>
          <w:szCs w:val="24"/>
        </w:rPr>
        <w:t>.</w:t>
      </w:r>
    </w:p>
    <w:p w:rsidR="00C84E1D" w:rsidRPr="003C53E8" w:rsidRDefault="00C84E1D" w:rsidP="00C84E1D">
      <w:pPr>
        <w:tabs>
          <w:tab w:val="left" w:pos="288"/>
          <w:tab w:val="left" w:pos="4752"/>
        </w:tabs>
        <w:jc w:val="left"/>
        <w:rPr>
          <w:rFonts w:asciiTheme="minorHAnsi" w:hAnsiTheme="minorHAnsi" w:cs="Times New Roman"/>
          <w:color w:val="auto"/>
          <w:szCs w:val="24"/>
        </w:rPr>
      </w:pPr>
    </w:p>
    <w:tbl>
      <w:tblPr>
        <w:tblW w:w="6705"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2115"/>
        <w:gridCol w:w="2340"/>
      </w:tblGrid>
      <w:tr w:rsidR="00C84E1D" w:rsidRPr="003C53E8" w:rsidTr="00B53715">
        <w:trPr>
          <w:jc w:val="center"/>
        </w:trPr>
        <w:tc>
          <w:tcPr>
            <w:tcW w:w="2250" w:type="dxa"/>
            <w:shd w:val="clear" w:color="auto" w:fill="D9D9D9" w:themeFill="background1" w:themeFillShade="D9"/>
          </w:tcPr>
          <w:p w:rsidR="00C84E1D" w:rsidRPr="003C53E8" w:rsidRDefault="00C84E1D" w:rsidP="00B53715">
            <w:pPr>
              <w:contextualSpacing/>
              <w:rPr>
                <w:rFonts w:eastAsia="Calibri" w:cs="Times New Roman"/>
                <w:color w:val="auto"/>
                <w:sz w:val="22"/>
                <w:szCs w:val="22"/>
              </w:rPr>
            </w:pPr>
            <w:r>
              <w:rPr>
                <w:rFonts w:eastAsia="Calibri" w:cs="Times New Roman"/>
                <w:color w:val="auto"/>
                <w:sz w:val="22"/>
                <w:szCs w:val="22"/>
              </w:rPr>
              <w:t>Right</w:t>
            </w:r>
            <w:r w:rsidRPr="00866758">
              <w:rPr>
                <w:rFonts w:eastAsia="Calibri" w:cs="Times New Roman"/>
                <w:color w:val="auto"/>
                <w:sz w:val="22"/>
                <w:szCs w:val="22"/>
              </w:rPr>
              <w:t xml:space="preserve"> Shoulder</w:t>
            </w:r>
            <w:r w:rsidRPr="003C53E8">
              <w:rPr>
                <w:rFonts w:eastAsia="Calibri" w:cs="Times New Roman"/>
                <w:color w:val="auto"/>
                <w:sz w:val="22"/>
                <w:szCs w:val="22"/>
              </w:rPr>
              <w:t xml:space="preserve"> ROM</w:t>
            </w:r>
          </w:p>
        </w:tc>
        <w:tc>
          <w:tcPr>
            <w:tcW w:w="2115" w:type="dxa"/>
            <w:shd w:val="clear" w:color="auto" w:fill="D9D9D9" w:themeFill="background1" w:themeFillShade="D9"/>
          </w:tcPr>
          <w:p w:rsidR="00C84E1D" w:rsidRPr="003C53E8" w:rsidRDefault="00C84E1D" w:rsidP="00E75502">
            <w:pPr>
              <w:contextualSpacing/>
              <w:rPr>
                <w:rFonts w:eastAsia="Calibri" w:cs="Times New Roman"/>
                <w:color w:val="auto"/>
                <w:sz w:val="22"/>
                <w:szCs w:val="22"/>
              </w:rPr>
            </w:pPr>
            <w:r>
              <w:rPr>
                <w:rFonts w:eastAsia="Calibri" w:cs="Times New Roman"/>
                <w:color w:val="auto"/>
                <w:sz w:val="22"/>
                <w:szCs w:val="22"/>
              </w:rPr>
              <w:t>MEB ~</w:t>
            </w:r>
            <w:r w:rsidR="00E75502">
              <w:rPr>
                <w:rFonts w:eastAsia="Calibri" w:cs="Times New Roman"/>
                <w:color w:val="auto"/>
                <w:sz w:val="22"/>
                <w:szCs w:val="22"/>
              </w:rPr>
              <w:t>4</w:t>
            </w:r>
            <w:r>
              <w:rPr>
                <w:rFonts w:eastAsia="Calibri" w:cs="Times New Roman"/>
                <w:color w:val="auto"/>
                <w:sz w:val="22"/>
                <w:szCs w:val="22"/>
              </w:rPr>
              <w:t xml:space="preserve"> Mo. Pre-</w:t>
            </w:r>
            <w:r w:rsidRPr="003C53E8">
              <w:rPr>
                <w:rFonts w:eastAsia="Calibri" w:cs="Times New Roman"/>
                <w:color w:val="auto"/>
                <w:sz w:val="22"/>
                <w:szCs w:val="22"/>
              </w:rPr>
              <w:t>Sep</w:t>
            </w:r>
          </w:p>
        </w:tc>
        <w:tc>
          <w:tcPr>
            <w:tcW w:w="2340" w:type="dxa"/>
            <w:shd w:val="clear" w:color="auto" w:fill="D9D9D9" w:themeFill="background1" w:themeFillShade="D9"/>
          </w:tcPr>
          <w:p w:rsidR="00C84E1D" w:rsidRPr="003C53E8" w:rsidRDefault="00C84E1D" w:rsidP="00B53715">
            <w:pPr>
              <w:contextualSpacing/>
              <w:rPr>
                <w:rFonts w:eastAsiaTheme="minorHAnsi" w:cstheme="minorBidi"/>
                <w:color w:val="auto"/>
                <w:sz w:val="22"/>
                <w:szCs w:val="22"/>
              </w:rPr>
            </w:pPr>
            <w:r w:rsidRPr="003C53E8">
              <w:rPr>
                <w:rFonts w:eastAsia="Calibri" w:cs="Times New Roman"/>
                <w:color w:val="auto"/>
                <w:sz w:val="22"/>
                <w:szCs w:val="22"/>
              </w:rPr>
              <w:t>VA</w:t>
            </w:r>
            <w:r>
              <w:rPr>
                <w:rFonts w:eastAsiaTheme="minorHAnsi" w:cstheme="minorBidi"/>
                <w:color w:val="auto"/>
                <w:sz w:val="22"/>
                <w:szCs w:val="22"/>
              </w:rPr>
              <w:t xml:space="preserve"> C&amp;P ~2</w:t>
            </w:r>
            <w:r w:rsidRPr="003C53E8">
              <w:rPr>
                <w:rFonts w:eastAsiaTheme="minorHAnsi" w:cstheme="minorBidi"/>
                <w:color w:val="auto"/>
                <w:sz w:val="22"/>
                <w:szCs w:val="22"/>
              </w:rPr>
              <w:t xml:space="preserve"> </w:t>
            </w:r>
            <w:r>
              <w:rPr>
                <w:rFonts w:eastAsia="Calibri" w:cs="Times New Roman"/>
                <w:color w:val="auto"/>
                <w:sz w:val="22"/>
                <w:szCs w:val="22"/>
              </w:rPr>
              <w:t>Mo. Pre-</w:t>
            </w:r>
            <w:r w:rsidRPr="003C53E8">
              <w:rPr>
                <w:rFonts w:eastAsiaTheme="minorHAnsi" w:cstheme="minorBidi"/>
                <w:color w:val="auto"/>
                <w:sz w:val="22"/>
                <w:szCs w:val="22"/>
              </w:rPr>
              <w:t>Sep</w:t>
            </w:r>
          </w:p>
        </w:tc>
      </w:tr>
      <w:tr w:rsidR="00C84E1D" w:rsidRPr="003C53E8" w:rsidTr="00B53715">
        <w:trPr>
          <w:jc w:val="center"/>
        </w:trPr>
        <w:tc>
          <w:tcPr>
            <w:tcW w:w="2250" w:type="dxa"/>
          </w:tcPr>
          <w:p w:rsidR="00C84E1D" w:rsidRPr="003C53E8" w:rsidRDefault="00C84E1D" w:rsidP="00B53715">
            <w:pPr>
              <w:contextualSpacing/>
              <w:rPr>
                <w:rFonts w:eastAsia="Calibri" w:cs="Times New Roman"/>
                <w:color w:val="auto"/>
                <w:sz w:val="22"/>
                <w:szCs w:val="22"/>
              </w:rPr>
            </w:pPr>
            <w:r>
              <w:rPr>
                <w:rFonts w:eastAsia="Calibri" w:cs="Times New Roman"/>
                <w:color w:val="auto"/>
                <w:sz w:val="22"/>
                <w:szCs w:val="22"/>
              </w:rPr>
              <w:t>Flexion (180⁰ N</w:t>
            </w:r>
            <w:r w:rsidRPr="003C53E8">
              <w:rPr>
                <w:rFonts w:eastAsia="Calibri" w:cs="Times New Roman"/>
                <w:color w:val="auto"/>
                <w:sz w:val="22"/>
                <w:szCs w:val="22"/>
              </w:rPr>
              <w:t>ormal</w:t>
            </w:r>
            <w:r>
              <w:rPr>
                <w:rFonts w:eastAsia="Calibri" w:cs="Times New Roman"/>
                <w:color w:val="auto"/>
                <w:sz w:val="22"/>
                <w:szCs w:val="22"/>
              </w:rPr>
              <w:t>)</w:t>
            </w:r>
          </w:p>
        </w:tc>
        <w:tc>
          <w:tcPr>
            <w:tcW w:w="2115" w:type="dxa"/>
          </w:tcPr>
          <w:p w:rsidR="00C84E1D" w:rsidRPr="003C53E8" w:rsidRDefault="00C84E1D" w:rsidP="00B53715">
            <w:pPr>
              <w:contextualSpacing/>
              <w:rPr>
                <w:rFonts w:eastAsia="Calibri" w:cs="Times New Roman"/>
                <w:color w:val="auto"/>
                <w:sz w:val="22"/>
                <w:szCs w:val="22"/>
              </w:rPr>
            </w:pPr>
            <w:r w:rsidRPr="0060063E">
              <w:rPr>
                <w:rFonts w:eastAsia="Calibri" w:cs="Times New Roman"/>
                <w:color w:val="auto"/>
                <w:sz w:val="22"/>
                <w:szCs w:val="22"/>
              </w:rPr>
              <w:t>125</w:t>
            </w:r>
            <w:r w:rsidRPr="003C53E8">
              <w:rPr>
                <w:rFonts w:eastAsia="Calibri" w:cs="Times New Roman"/>
                <w:color w:val="auto"/>
                <w:sz w:val="22"/>
                <w:szCs w:val="22"/>
              </w:rPr>
              <w:t>⁰</w:t>
            </w:r>
          </w:p>
        </w:tc>
        <w:tc>
          <w:tcPr>
            <w:tcW w:w="2340" w:type="dxa"/>
          </w:tcPr>
          <w:p w:rsidR="00C84E1D" w:rsidRPr="003C53E8" w:rsidRDefault="00C84E1D" w:rsidP="00B53715">
            <w:pPr>
              <w:contextualSpacing/>
              <w:rPr>
                <w:rFonts w:eastAsia="Calibri" w:cs="Times New Roman"/>
                <w:color w:val="auto"/>
                <w:sz w:val="22"/>
                <w:szCs w:val="22"/>
              </w:rPr>
            </w:pPr>
            <w:r w:rsidRPr="0060063E">
              <w:rPr>
                <w:rFonts w:eastAsia="Calibri" w:cs="Times New Roman"/>
                <w:color w:val="auto"/>
                <w:sz w:val="22"/>
                <w:szCs w:val="22"/>
              </w:rPr>
              <w:t>1</w:t>
            </w:r>
            <w:r>
              <w:rPr>
                <w:rFonts w:eastAsia="Calibri" w:cs="Times New Roman"/>
                <w:color w:val="auto"/>
                <w:sz w:val="22"/>
                <w:szCs w:val="22"/>
              </w:rPr>
              <w:t>3</w:t>
            </w:r>
            <w:r w:rsidRPr="0060063E">
              <w:rPr>
                <w:rFonts w:eastAsia="Calibri" w:cs="Times New Roman"/>
                <w:color w:val="auto"/>
                <w:sz w:val="22"/>
                <w:szCs w:val="22"/>
              </w:rPr>
              <w:t>5</w:t>
            </w:r>
            <w:r w:rsidRPr="003C53E8">
              <w:rPr>
                <w:rFonts w:eastAsia="Calibri" w:cs="Times New Roman"/>
                <w:color w:val="auto"/>
                <w:sz w:val="22"/>
                <w:szCs w:val="22"/>
              </w:rPr>
              <w:t>⁰</w:t>
            </w:r>
          </w:p>
        </w:tc>
      </w:tr>
      <w:tr w:rsidR="00C84E1D" w:rsidRPr="003C53E8" w:rsidTr="00B53715">
        <w:trPr>
          <w:jc w:val="center"/>
        </w:trPr>
        <w:tc>
          <w:tcPr>
            <w:tcW w:w="2250" w:type="dxa"/>
          </w:tcPr>
          <w:p w:rsidR="00C84E1D" w:rsidRPr="003C53E8" w:rsidRDefault="00C84E1D" w:rsidP="00B53715">
            <w:pPr>
              <w:contextualSpacing/>
              <w:rPr>
                <w:rFonts w:eastAsia="Calibri" w:cs="Times New Roman"/>
                <w:color w:val="auto"/>
                <w:sz w:val="22"/>
                <w:szCs w:val="22"/>
              </w:rPr>
            </w:pPr>
            <w:r w:rsidRPr="00866758">
              <w:rPr>
                <w:rFonts w:eastAsia="Calibri" w:cs="Times New Roman"/>
                <w:color w:val="auto"/>
                <w:sz w:val="22"/>
                <w:szCs w:val="22"/>
              </w:rPr>
              <w:t xml:space="preserve">Abduction </w:t>
            </w:r>
            <w:r>
              <w:rPr>
                <w:rFonts w:eastAsia="Calibri" w:cs="Times New Roman"/>
                <w:color w:val="auto"/>
                <w:sz w:val="22"/>
                <w:szCs w:val="22"/>
              </w:rPr>
              <w:t>(18</w:t>
            </w:r>
            <w:r w:rsidRPr="003C53E8">
              <w:rPr>
                <w:rFonts w:eastAsia="Calibri" w:cs="Times New Roman"/>
                <w:color w:val="auto"/>
                <w:sz w:val="22"/>
                <w:szCs w:val="22"/>
              </w:rPr>
              <w:t>0⁰</w:t>
            </w:r>
            <w:r>
              <w:rPr>
                <w:rFonts w:eastAsia="Calibri" w:cs="Times New Roman"/>
                <w:color w:val="auto"/>
                <w:sz w:val="22"/>
                <w:szCs w:val="22"/>
              </w:rPr>
              <w:t>)</w:t>
            </w:r>
          </w:p>
        </w:tc>
        <w:tc>
          <w:tcPr>
            <w:tcW w:w="2115" w:type="dxa"/>
          </w:tcPr>
          <w:p w:rsidR="00C84E1D" w:rsidRPr="003C53E8" w:rsidRDefault="00C84E1D" w:rsidP="00B53715">
            <w:pPr>
              <w:contextualSpacing/>
              <w:rPr>
                <w:rFonts w:eastAsia="Calibri" w:cs="Times New Roman"/>
                <w:color w:val="auto"/>
                <w:sz w:val="22"/>
                <w:szCs w:val="22"/>
              </w:rPr>
            </w:pPr>
            <w:r w:rsidRPr="0060063E">
              <w:rPr>
                <w:rFonts w:eastAsia="Calibri" w:cs="Times New Roman"/>
                <w:color w:val="auto"/>
                <w:sz w:val="22"/>
                <w:szCs w:val="22"/>
              </w:rPr>
              <w:t>105</w:t>
            </w:r>
            <w:r w:rsidRPr="003C53E8">
              <w:rPr>
                <w:rFonts w:eastAsia="Calibri" w:cs="Times New Roman"/>
                <w:color w:val="auto"/>
                <w:sz w:val="22"/>
                <w:szCs w:val="22"/>
              </w:rPr>
              <w:t>⁰</w:t>
            </w:r>
          </w:p>
        </w:tc>
        <w:tc>
          <w:tcPr>
            <w:tcW w:w="2340" w:type="dxa"/>
          </w:tcPr>
          <w:p w:rsidR="00C84E1D" w:rsidRPr="003C53E8" w:rsidRDefault="00C84E1D" w:rsidP="00B53715">
            <w:pPr>
              <w:contextualSpacing/>
              <w:rPr>
                <w:rFonts w:eastAsia="Calibri" w:cs="Times New Roman"/>
                <w:color w:val="auto"/>
                <w:sz w:val="22"/>
                <w:szCs w:val="22"/>
              </w:rPr>
            </w:pPr>
            <w:r>
              <w:rPr>
                <w:rFonts w:eastAsia="Calibri" w:cs="Times New Roman"/>
                <w:color w:val="auto"/>
                <w:sz w:val="22"/>
                <w:szCs w:val="22"/>
              </w:rPr>
              <w:t>100</w:t>
            </w:r>
            <w:r w:rsidRPr="003C53E8">
              <w:rPr>
                <w:rFonts w:eastAsia="Calibri" w:cs="Times New Roman"/>
                <w:color w:val="auto"/>
                <w:sz w:val="22"/>
                <w:szCs w:val="22"/>
              </w:rPr>
              <w:t>⁰</w:t>
            </w:r>
          </w:p>
        </w:tc>
      </w:tr>
      <w:tr w:rsidR="00C84E1D" w:rsidRPr="003C53E8" w:rsidTr="00B53715">
        <w:trPr>
          <w:trHeight w:val="70"/>
          <w:jc w:val="center"/>
        </w:trPr>
        <w:tc>
          <w:tcPr>
            <w:tcW w:w="2250" w:type="dxa"/>
          </w:tcPr>
          <w:p w:rsidR="00C84E1D" w:rsidRPr="003C53E8" w:rsidRDefault="00C84E1D" w:rsidP="00B53715">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r>
              <w:rPr>
                <w:rFonts w:asciiTheme="minorHAnsi" w:eastAsiaTheme="minorHAnsi" w:hAnsiTheme="minorHAnsi" w:cs="Times New Roman"/>
                <w:color w:val="auto"/>
                <w:sz w:val="22"/>
                <w:szCs w:val="22"/>
              </w:rPr>
              <w:t>*</w:t>
            </w:r>
          </w:p>
        </w:tc>
        <w:tc>
          <w:tcPr>
            <w:tcW w:w="2115" w:type="dxa"/>
          </w:tcPr>
          <w:p w:rsidR="00C84E1D" w:rsidRPr="003C53E8" w:rsidRDefault="00C84E1D" w:rsidP="00B53715">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Pr="003C53E8">
              <w:rPr>
                <w:rFonts w:asciiTheme="minorHAnsi" w:eastAsiaTheme="minorHAnsi" w:hAnsiTheme="minorHAnsi" w:cs="Times New Roman"/>
                <w:color w:val="auto"/>
                <w:sz w:val="22"/>
                <w:szCs w:val="22"/>
              </w:rPr>
              <w:t>%</w:t>
            </w:r>
          </w:p>
        </w:tc>
        <w:tc>
          <w:tcPr>
            <w:tcW w:w="2340" w:type="dxa"/>
          </w:tcPr>
          <w:p w:rsidR="00C84E1D" w:rsidRPr="003C53E8" w:rsidRDefault="00C84E1D" w:rsidP="00B53715">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Pr="003C53E8">
              <w:rPr>
                <w:rFonts w:asciiTheme="minorHAnsi" w:eastAsiaTheme="minorHAnsi" w:hAnsiTheme="minorHAnsi" w:cs="Times New Roman"/>
                <w:color w:val="auto"/>
                <w:sz w:val="22"/>
                <w:szCs w:val="22"/>
              </w:rPr>
              <w:t>%</w:t>
            </w:r>
          </w:p>
        </w:tc>
      </w:tr>
    </w:tbl>
    <w:p w:rsidR="00C84E1D" w:rsidRPr="005B66BE" w:rsidRDefault="00C84E1D" w:rsidP="00C84E1D">
      <w:pPr>
        <w:tabs>
          <w:tab w:val="left" w:pos="2880"/>
          <w:tab w:val="left" w:pos="4752"/>
        </w:tabs>
        <w:jc w:val="left"/>
        <w:rPr>
          <w:rFonts w:asciiTheme="minorHAnsi" w:hAnsiTheme="minorHAnsi" w:cs="Times New Roman"/>
          <w:color w:val="auto"/>
          <w:sz w:val="22"/>
          <w:szCs w:val="22"/>
        </w:rPr>
      </w:pPr>
      <w:r>
        <w:rPr>
          <w:rFonts w:cs="Times New Roman"/>
          <w:color w:val="auto"/>
          <w:sz w:val="18"/>
          <w:szCs w:val="24"/>
        </w:rPr>
        <w:t xml:space="preserve">                                              </w:t>
      </w:r>
      <w:r w:rsidRPr="005B66BE">
        <w:rPr>
          <w:rFonts w:cs="Times New Roman"/>
          <w:color w:val="auto"/>
          <w:sz w:val="22"/>
          <w:szCs w:val="22"/>
        </w:rPr>
        <w:t xml:space="preserve">* Under 5003 criteria and conceding </w:t>
      </w:r>
      <w:r w:rsidRPr="005B66BE">
        <w:rPr>
          <w:rFonts w:asciiTheme="minorHAnsi" w:hAnsiTheme="minorHAnsi" w:cs="Times New Roman"/>
          <w:color w:val="auto"/>
          <w:sz w:val="22"/>
          <w:szCs w:val="22"/>
        </w:rPr>
        <w:t>§4.59 (painful motion) as below.</w:t>
      </w:r>
    </w:p>
    <w:p w:rsidR="00C84E1D" w:rsidRDefault="00C84E1D" w:rsidP="00F8022F">
      <w:pPr>
        <w:tabs>
          <w:tab w:val="left" w:pos="288"/>
          <w:tab w:val="left" w:pos="4752"/>
        </w:tabs>
        <w:jc w:val="both"/>
        <w:rPr>
          <w:rFonts w:asciiTheme="minorHAnsi" w:hAnsiTheme="minorHAnsi" w:cs="Times New Roman"/>
          <w:color w:val="auto"/>
          <w:szCs w:val="24"/>
        </w:rPr>
      </w:pPr>
    </w:p>
    <w:p w:rsidR="00866758" w:rsidRDefault="009910F6" w:rsidP="00F8022F">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 xml:space="preserve">The MEB examiner recorded no exam findings other than the ROM annotated in the table above.  The </w:t>
      </w:r>
      <w:r w:rsidR="00866758" w:rsidRPr="003C53E8">
        <w:rPr>
          <w:rFonts w:asciiTheme="minorHAnsi" w:hAnsiTheme="minorHAnsi" w:cs="Times New Roman"/>
          <w:color w:val="auto"/>
          <w:szCs w:val="24"/>
        </w:rPr>
        <w:t xml:space="preserve">VA </w:t>
      </w:r>
      <w:r w:rsidR="00D00925">
        <w:rPr>
          <w:rFonts w:asciiTheme="minorHAnsi" w:hAnsiTheme="minorHAnsi" w:cs="Times New Roman"/>
          <w:color w:val="auto"/>
          <w:szCs w:val="24"/>
        </w:rPr>
        <w:t>C&amp;P</w:t>
      </w:r>
      <w:r w:rsidR="00866758" w:rsidRPr="003C53E8">
        <w:rPr>
          <w:rFonts w:asciiTheme="minorHAnsi" w:hAnsiTheme="minorHAnsi" w:cs="Times New Roman"/>
          <w:color w:val="auto"/>
          <w:szCs w:val="24"/>
        </w:rPr>
        <w:t xml:space="preserve"> exam</w:t>
      </w:r>
      <w:r w:rsidR="00CB4604">
        <w:rPr>
          <w:rFonts w:asciiTheme="minorHAnsi" w:hAnsiTheme="minorHAnsi" w:cs="Times New Roman"/>
          <w:color w:val="auto"/>
          <w:szCs w:val="24"/>
        </w:rPr>
        <w:t xml:space="preserve"> showed </w:t>
      </w:r>
      <w:r w:rsidR="00A24E7A">
        <w:rPr>
          <w:rFonts w:asciiTheme="minorHAnsi" w:hAnsiTheme="minorHAnsi" w:cs="Times New Roman"/>
          <w:color w:val="auto"/>
          <w:szCs w:val="24"/>
        </w:rPr>
        <w:t>moderately</w:t>
      </w:r>
      <w:r w:rsidR="00CB4604">
        <w:rPr>
          <w:rFonts w:asciiTheme="minorHAnsi" w:hAnsiTheme="minorHAnsi" w:cs="Times New Roman"/>
          <w:color w:val="auto"/>
          <w:szCs w:val="24"/>
        </w:rPr>
        <w:t xml:space="preserve"> impaired </w:t>
      </w:r>
      <w:r w:rsidR="00A24E7A">
        <w:rPr>
          <w:rFonts w:asciiTheme="minorHAnsi" w:hAnsiTheme="minorHAnsi" w:cs="Times New Roman"/>
          <w:color w:val="auto"/>
          <w:szCs w:val="24"/>
        </w:rPr>
        <w:t xml:space="preserve">and painful </w:t>
      </w:r>
      <w:r w:rsidR="00CB4604">
        <w:rPr>
          <w:rFonts w:asciiTheme="minorHAnsi" w:hAnsiTheme="minorHAnsi" w:cs="Times New Roman"/>
          <w:color w:val="auto"/>
          <w:szCs w:val="24"/>
        </w:rPr>
        <w:t xml:space="preserve">ROM that was not additionally impaired with repetitive motion.  Radiographs showed evidence of surgical repair and </w:t>
      </w:r>
      <w:r w:rsidR="00CB4604" w:rsidRPr="00D51152">
        <w:rPr>
          <w:rFonts w:asciiTheme="minorHAnsi" w:hAnsiTheme="minorHAnsi" w:cs="Times New Roman"/>
          <w:color w:val="auto"/>
          <w:szCs w:val="24"/>
        </w:rPr>
        <w:t>mild deg</w:t>
      </w:r>
      <w:r w:rsidR="00CB4604">
        <w:rPr>
          <w:rFonts w:asciiTheme="minorHAnsi" w:hAnsiTheme="minorHAnsi" w:cs="Times New Roman"/>
          <w:color w:val="auto"/>
          <w:szCs w:val="24"/>
        </w:rPr>
        <w:t>e</w:t>
      </w:r>
      <w:r w:rsidR="00CB4604" w:rsidRPr="00D51152">
        <w:rPr>
          <w:rFonts w:asciiTheme="minorHAnsi" w:hAnsiTheme="minorHAnsi" w:cs="Times New Roman"/>
          <w:color w:val="auto"/>
          <w:szCs w:val="24"/>
        </w:rPr>
        <w:t xml:space="preserve">nerative </w:t>
      </w:r>
      <w:r w:rsidR="00CB4604">
        <w:rPr>
          <w:rFonts w:asciiTheme="minorHAnsi" w:hAnsiTheme="minorHAnsi" w:cs="Times New Roman"/>
          <w:color w:val="auto"/>
          <w:szCs w:val="24"/>
        </w:rPr>
        <w:t>changes</w:t>
      </w:r>
      <w:r w:rsidR="00CB4604" w:rsidRPr="00D51152">
        <w:rPr>
          <w:rFonts w:asciiTheme="minorHAnsi" w:hAnsiTheme="minorHAnsi" w:cs="Times New Roman"/>
          <w:color w:val="auto"/>
          <w:szCs w:val="24"/>
        </w:rPr>
        <w:t xml:space="preserve"> in the </w:t>
      </w:r>
      <w:r w:rsidR="00CB4604">
        <w:rPr>
          <w:rFonts w:asciiTheme="minorHAnsi" w:hAnsiTheme="minorHAnsi" w:cs="Times New Roman"/>
          <w:color w:val="auto"/>
          <w:szCs w:val="24"/>
        </w:rPr>
        <w:t xml:space="preserve">acromio-clavicular </w:t>
      </w:r>
      <w:r w:rsidR="00CB4604" w:rsidRPr="00976585">
        <w:rPr>
          <w:rFonts w:asciiTheme="minorHAnsi" w:hAnsiTheme="minorHAnsi" w:cs="Times New Roman"/>
          <w:color w:val="auto"/>
          <w:szCs w:val="24"/>
        </w:rPr>
        <w:t>joint.</w:t>
      </w:r>
      <w:r w:rsidR="00CB4604">
        <w:rPr>
          <w:rFonts w:asciiTheme="minorHAnsi" w:hAnsiTheme="minorHAnsi" w:cs="Times New Roman"/>
          <w:color w:val="auto"/>
          <w:szCs w:val="24"/>
        </w:rPr>
        <w:t xml:space="preserve">  The VA coded and rated the right shoulder condition in identical fashion to the left shoulder condition.  The Board </w:t>
      </w:r>
      <w:r w:rsidR="00A24E7A">
        <w:rPr>
          <w:rFonts w:asciiTheme="minorHAnsi" w:hAnsiTheme="minorHAnsi" w:cs="Times New Roman"/>
          <w:color w:val="auto"/>
          <w:szCs w:val="24"/>
        </w:rPr>
        <w:t>noted</w:t>
      </w:r>
      <w:r w:rsidR="00CB4604">
        <w:rPr>
          <w:rFonts w:asciiTheme="minorHAnsi" w:hAnsiTheme="minorHAnsi" w:cs="Times New Roman"/>
          <w:color w:val="auto"/>
          <w:szCs w:val="24"/>
        </w:rPr>
        <w:t xml:space="preserve"> that the ratable parameters of the right shoulder</w:t>
      </w:r>
      <w:r w:rsidR="00A24E7A">
        <w:rPr>
          <w:rFonts w:asciiTheme="minorHAnsi" w:hAnsiTheme="minorHAnsi" w:cs="Times New Roman"/>
          <w:color w:val="auto"/>
          <w:szCs w:val="24"/>
        </w:rPr>
        <w:t xml:space="preserve"> condition</w:t>
      </w:r>
      <w:r w:rsidR="00CB4604">
        <w:rPr>
          <w:rFonts w:asciiTheme="minorHAnsi" w:hAnsiTheme="minorHAnsi" w:cs="Times New Roman"/>
          <w:color w:val="auto"/>
          <w:szCs w:val="24"/>
        </w:rPr>
        <w:t xml:space="preserve"> were similar to </w:t>
      </w:r>
      <w:r w:rsidR="00A24E7A">
        <w:rPr>
          <w:rFonts w:asciiTheme="minorHAnsi" w:hAnsiTheme="minorHAnsi" w:cs="Times New Roman"/>
          <w:color w:val="auto"/>
          <w:szCs w:val="24"/>
        </w:rPr>
        <w:t xml:space="preserve">those of </w:t>
      </w:r>
      <w:r w:rsidR="00CB4604">
        <w:rPr>
          <w:rFonts w:asciiTheme="minorHAnsi" w:hAnsiTheme="minorHAnsi" w:cs="Times New Roman"/>
          <w:color w:val="auto"/>
          <w:szCs w:val="24"/>
        </w:rPr>
        <w:t>the left shoulder condition</w:t>
      </w:r>
      <w:r w:rsidR="007126FE">
        <w:rPr>
          <w:rFonts w:asciiTheme="minorHAnsi" w:hAnsiTheme="minorHAnsi" w:cs="Times New Roman"/>
          <w:color w:val="auto"/>
          <w:szCs w:val="24"/>
        </w:rPr>
        <w:t xml:space="preserve">.  Again, </w:t>
      </w:r>
      <w:r w:rsidR="007126FE" w:rsidRPr="00976585">
        <w:rPr>
          <w:rFonts w:eastAsiaTheme="minorHAnsi" w:cstheme="minorBidi"/>
          <w:color w:val="000000" w:themeColor="text1"/>
          <w:szCs w:val="24"/>
        </w:rPr>
        <w:t xml:space="preserve">there was no clinical and/or radiologic evidence in the examinations </w:t>
      </w:r>
      <w:r w:rsidR="007126FE" w:rsidRPr="00976585">
        <w:rPr>
          <w:rFonts w:eastAsiaTheme="minorHAnsi" w:cstheme="minorBidi"/>
          <w:color w:val="000000" w:themeColor="text1"/>
          <w:szCs w:val="24"/>
        </w:rPr>
        <w:lastRenderedPageBreak/>
        <w:t xml:space="preserve">done proximate to separation that suggested ankylosis, loss of the humeral head, nonunion, malunion, fibrous union, deformity, nonunion or dislocation of the scapula, or recurrent dislocations of the humerus that would have justified any code with higher rating potential.  </w:t>
      </w:r>
      <w:r w:rsidR="00CB4604">
        <w:rPr>
          <w:rFonts w:asciiTheme="minorHAnsi" w:hAnsiTheme="minorHAnsi" w:cs="Times New Roman"/>
          <w:color w:val="auto"/>
          <w:szCs w:val="24"/>
        </w:rPr>
        <w:t xml:space="preserve"> </w:t>
      </w:r>
      <w:r w:rsidR="00CF149A" w:rsidRPr="00A44B8F">
        <w:rPr>
          <w:rFonts w:asciiTheme="minorHAnsi" w:hAnsiTheme="minorHAnsi" w:cs="Times New Roman"/>
          <w:color w:val="auto"/>
          <w:szCs w:val="24"/>
        </w:rPr>
        <w:t xml:space="preserve">After due deliberation, considering all of the evidence and mindful of VASRD §4.3 (reasonable doubt), the Board </w:t>
      </w:r>
      <w:r w:rsidR="007126FE" w:rsidRPr="003C53E8">
        <w:rPr>
          <w:rFonts w:asciiTheme="minorHAnsi" w:hAnsiTheme="minorHAnsi" w:cs="Times New Roman"/>
          <w:color w:val="auto"/>
          <w:szCs w:val="24"/>
        </w:rPr>
        <w:t xml:space="preserve">recommends </w:t>
      </w:r>
      <w:r w:rsidR="00CF149A">
        <w:rPr>
          <w:rFonts w:asciiTheme="minorHAnsi" w:hAnsiTheme="minorHAnsi" w:cs="Times New Roman"/>
          <w:color w:val="auto"/>
          <w:szCs w:val="24"/>
        </w:rPr>
        <w:t>the same 10% rating and coding for</w:t>
      </w:r>
      <w:r w:rsidR="007126FE" w:rsidRPr="003C53E8">
        <w:rPr>
          <w:rFonts w:asciiTheme="minorHAnsi" w:hAnsiTheme="minorHAnsi" w:cs="Times New Roman"/>
          <w:color w:val="auto"/>
          <w:szCs w:val="24"/>
        </w:rPr>
        <w:t xml:space="preserve"> the </w:t>
      </w:r>
      <w:r w:rsidR="007126FE">
        <w:rPr>
          <w:rFonts w:asciiTheme="minorHAnsi" w:hAnsiTheme="minorHAnsi" w:cs="Times New Roman"/>
          <w:color w:val="auto"/>
          <w:szCs w:val="24"/>
        </w:rPr>
        <w:t>right shoulder</w:t>
      </w:r>
      <w:r w:rsidR="007126FE" w:rsidRPr="003C53E8">
        <w:rPr>
          <w:rFonts w:asciiTheme="minorHAnsi" w:hAnsiTheme="minorHAnsi" w:cs="Times New Roman"/>
          <w:color w:val="auto"/>
          <w:szCs w:val="24"/>
        </w:rPr>
        <w:t xml:space="preserve"> condition</w:t>
      </w:r>
      <w:r w:rsidR="00CF149A">
        <w:rPr>
          <w:rFonts w:asciiTheme="minorHAnsi" w:hAnsiTheme="minorHAnsi" w:cs="Times New Roman"/>
          <w:color w:val="auto"/>
          <w:szCs w:val="24"/>
        </w:rPr>
        <w:t xml:space="preserve"> as that discussed and arrived at for the left shoulder</w:t>
      </w:r>
      <w:r w:rsidR="007126FE" w:rsidRPr="003C53E8">
        <w:rPr>
          <w:rFonts w:asciiTheme="minorHAnsi" w:hAnsiTheme="minorHAnsi" w:cs="Times New Roman"/>
          <w:color w:val="auto"/>
          <w:szCs w:val="24"/>
        </w:rPr>
        <w:t>.</w:t>
      </w:r>
    </w:p>
    <w:p w:rsidR="00615A66" w:rsidRPr="001F29F9" w:rsidRDefault="00615A66" w:rsidP="00BF0E94">
      <w:pPr>
        <w:jc w:val="left"/>
        <w:rPr>
          <w:color w:val="000000" w:themeColor="text1"/>
          <w:szCs w:val="24"/>
          <w:u w:val="single"/>
        </w:rPr>
      </w:pPr>
    </w:p>
    <w:p w:rsidR="008C3223" w:rsidRPr="001F29F9" w:rsidRDefault="004C60A3" w:rsidP="00F8022F">
      <w:pPr>
        <w:jc w:val="both"/>
        <w:rPr>
          <w:color w:val="000000" w:themeColor="text1"/>
          <w:szCs w:val="24"/>
        </w:rPr>
      </w:pPr>
      <w:proofErr w:type="gramStart"/>
      <w:r w:rsidRPr="00633002">
        <w:rPr>
          <w:rFonts w:eastAsia="HiddenHorzOCR"/>
          <w:color w:val="000000" w:themeColor="text1"/>
          <w:szCs w:val="24"/>
          <w:u w:val="single"/>
        </w:rPr>
        <w:t>Ot</w:t>
      </w:r>
      <w:r w:rsidR="003604A5" w:rsidRPr="00633002">
        <w:rPr>
          <w:rFonts w:eastAsia="HiddenHorzOCR"/>
          <w:color w:val="000000" w:themeColor="text1"/>
          <w:szCs w:val="24"/>
          <w:u w:val="single"/>
        </w:rPr>
        <w:t xml:space="preserve">her </w:t>
      </w:r>
      <w:r w:rsidR="008F30F4" w:rsidRPr="00633002">
        <w:rPr>
          <w:rFonts w:eastAsia="HiddenHorzOCR"/>
          <w:color w:val="000000" w:themeColor="text1"/>
          <w:szCs w:val="24"/>
          <w:u w:val="single"/>
        </w:rPr>
        <w:t xml:space="preserve">PEB </w:t>
      </w:r>
      <w:r w:rsidR="003604A5" w:rsidRPr="00633002">
        <w:rPr>
          <w:rFonts w:eastAsia="HiddenHorzOCR"/>
          <w:color w:val="000000" w:themeColor="text1"/>
          <w:szCs w:val="24"/>
          <w:u w:val="single"/>
        </w:rPr>
        <w:t>Conditions</w:t>
      </w:r>
      <w:r w:rsidR="003604A5" w:rsidRPr="00633002">
        <w:rPr>
          <w:rFonts w:eastAsia="HiddenHorzOCR"/>
          <w:color w:val="000000" w:themeColor="text1"/>
          <w:szCs w:val="24"/>
        </w:rPr>
        <w:t>.</w:t>
      </w:r>
      <w:proofErr w:type="gramEnd"/>
      <w:r w:rsidR="002F2981" w:rsidRPr="00633002">
        <w:rPr>
          <w:rFonts w:eastAsia="HiddenHorzOCR"/>
          <w:color w:val="000000" w:themeColor="text1"/>
          <w:szCs w:val="24"/>
        </w:rPr>
        <w:t xml:space="preserve"> </w:t>
      </w:r>
      <w:r w:rsidR="003C5B54" w:rsidRPr="00633002">
        <w:rPr>
          <w:rFonts w:eastAsia="HiddenHorzOCR"/>
          <w:color w:val="000000" w:themeColor="text1"/>
          <w:szCs w:val="24"/>
        </w:rPr>
        <w:t xml:space="preserve"> </w:t>
      </w:r>
      <w:r w:rsidR="008C3223" w:rsidRPr="00633002">
        <w:rPr>
          <w:color w:val="000000" w:themeColor="text1"/>
          <w:szCs w:val="24"/>
        </w:rPr>
        <w:t xml:space="preserve">The other conditions forwarded by the MEB and adjudicated as not unfitting by the PEB were </w:t>
      </w:r>
      <w:r w:rsidR="0060063E" w:rsidRPr="00633002">
        <w:rPr>
          <w:color w:val="000000" w:themeColor="text1"/>
          <w:szCs w:val="24"/>
        </w:rPr>
        <w:t>hypertension</w:t>
      </w:r>
      <w:r w:rsidR="008C3223" w:rsidRPr="00633002">
        <w:rPr>
          <w:color w:val="000000" w:themeColor="text1"/>
          <w:szCs w:val="24"/>
        </w:rPr>
        <w:t xml:space="preserve">, </w:t>
      </w:r>
      <w:r w:rsidR="0060063E" w:rsidRPr="00633002">
        <w:rPr>
          <w:color w:val="000000" w:themeColor="text1"/>
          <w:szCs w:val="24"/>
        </w:rPr>
        <w:t>migraines</w:t>
      </w:r>
      <w:r w:rsidR="008C3223" w:rsidRPr="00633002">
        <w:rPr>
          <w:color w:val="000000" w:themeColor="text1"/>
          <w:szCs w:val="24"/>
        </w:rPr>
        <w:t xml:space="preserve"> and </w:t>
      </w:r>
      <w:r w:rsidR="0060063E" w:rsidRPr="00633002">
        <w:rPr>
          <w:color w:val="000000" w:themeColor="text1"/>
          <w:szCs w:val="24"/>
        </w:rPr>
        <w:t>bilateral knee pain</w:t>
      </w:r>
      <w:r w:rsidR="008C3223" w:rsidRPr="00633002">
        <w:rPr>
          <w:color w:val="000000" w:themeColor="text1"/>
          <w:szCs w:val="24"/>
        </w:rPr>
        <w:t xml:space="preserve">.  </w:t>
      </w:r>
      <w:r w:rsidR="0060063E" w:rsidRPr="00633002">
        <w:rPr>
          <w:rFonts w:eastAsia="HiddenHorzOCR"/>
          <w:color w:val="000000" w:themeColor="text1"/>
          <w:szCs w:val="24"/>
        </w:rPr>
        <w:t xml:space="preserve">The CI’s application asserts that compensable ratings should be considered for </w:t>
      </w:r>
      <w:r w:rsidR="0060063E" w:rsidRPr="00633002">
        <w:rPr>
          <w:color w:val="000000" w:themeColor="text1"/>
          <w:szCs w:val="24"/>
        </w:rPr>
        <w:t>hypertension</w:t>
      </w:r>
      <w:r w:rsidR="0060063E" w:rsidRPr="00633002">
        <w:rPr>
          <w:rFonts w:eastAsia="HiddenHorzOCR"/>
          <w:color w:val="000000" w:themeColor="text1"/>
          <w:szCs w:val="24"/>
        </w:rPr>
        <w:t xml:space="preserve"> and </w:t>
      </w:r>
      <w:r w:rsidR="0060063E" w:rsidRPr="00633002">
        <w:rPr>
          <w:color w:val="000000" w:themeColor="text1"/>
          <w:szCs w:val="24"/>
        </w:rPr>
        <w:t>migraines</w:t>
      </w:r>
      <w:r w:rsidR="0060063E" w:rsidRPr="00633002">
        <w:rPr>
          <w:rFonts w:eastAsia="HiddenHorzOCR"/>
          <w:color w:val="000000" w:themeColor="text1"/>
          <w:szCs w:val="24"/>
        </w:rPr>
        <w:t xml:space="preserve">.  </w:t>
      </w:r>
      <w:r w:rsidR="008C3223" w:rsidRPr="00633002">
        <w:rPr>
          <w:color w:val="000000" w:themeColor="text1"/>
          <w:szCs w:val="24"/>
        </w:rPr>
        <w:t xml:space="preserve">None of these conditions were profiled, implicated in the </w:t>
      </w:r>
      <w:r w:rsidR="0080588E" w:rsidRPr="00633002">
        <w:rPr>
          <w:color w:val="000000" w:themeColor="text1"/>
          <w:szCs w:val="24"/>
        </w:rPr>
        <w:t>c</w:t>
      </w:r>
      <w:r w:rsidR="008C3223" w:rsidRPr="00633002">
        <w:rPr>
          <w:color w:val="000000" w:themeColor="text1"/>
          <w:szCs w:val="24"/>
        </w:rPr>
        <w:t xml:space="preserve">ommander’s statement or noted as failing retention standards.  All were reviewed by the </w:t>
      </w:r>
      <w:r w:rsidR="00D00925">
        <w:rPr>
          <w:color w:val="000000" w:themeColor="text1"/>
          <w:szCs w:val="24"/>
        </w:rPr>
        <w:t>a</w:t>
      </w:r>
      <w:r w:rsidR="00CF149A" w:rsidRPr="00633002">
        <w:rPr>
          <w:color w:val="000000" w:themeColor="text1"/>
          <w:szCs w:val="24"/>
        </w:rPr>
        <w:t xml:space="preserve">ction </w:t>
      </w:r>
      <w:r w:rsidR="00D00925">
        <w:rPr>
          <w:color w:val="000000" w:themeColor="text1"/>
          <w:szCs w:val="24"/>
        </w:rPr>
        <w:t>o</w:t>
      </w:r>
      <w:r w:rsidR="00CF149A" w:rsidRPr="00633002">
        <w:rPr>
          <w:color w:val="000000" w:themeColor="text1"/>
          <w:szCs w:val="24"/>
        </w:rPr>
        <w:t xml:space="preserve">fficer </w:t>
      </w:r>
      <w:r w:rsidR="008C3223" w:rsidRPr="00633002">
        <w:rPr>
          <w:color w:val="000000" w:themeColor="text1"/>
          <w:szCs w:val="24"/>
        </w:rPr>
        <w:t xml:space="preserve">and considered by the Board.  There was no indication from the record that any of these conditions significantly interfered with satisfactory </w:t>
      </w:r>
      <w:r w:rsidR="0080588E" w:rsidRPr="00633002">
        <w:rPr>
          <w:color w:val="000000" w:themeColor="text1"/>
          <w:szCs w:val="24"/>
        </w:rPr>
        <w:t xml:space="preserve">duty </w:t>
      </w:r>
      <w:r w:rsidR="008C3223" w:rsidRPr="00633002">
        <w:rPr>
          <w:color w:val="000000" w:themeColor="text1"/>
          <w:szCs w:val="24"/>
        </w:rPr>
        <w:t>performance.  All evidence considered</w:t>
      </w:r>
      <w:proofErr w:type="gramStart"/>
      <w:r w:rsidR="008C3223" w:rsidRPr="00633002">
        <w:rPr>
          <w:color w:val="000000" w:themeColor="text1"/>
          <w:szCs w:val="24"/>
        </w:rPr>
        <w:t>,</w:t>
      </w:r>
      <w:proofErr w:type="gramEnd"/>
      <w:r w:rsidR="008C3223" w:rsidRPr="00633002">
        <w:rPr>
          <w:color w:val="000000" w:themeColor="text1"/>
          <w:szCs w:val="24"/>
        </w:rPr>
        <w:t xml:space="preserve"> there is not reasonable doubt in the CI’s favor supporting recharacterization of the PEB fitness adjudication for any of the stated conditions.</w:t>
      </w:r>
    </w:p>
    <w:p w:rsidR="00990FD6" w:rsidRPr="001F29F9" w:rsidRDefault="00990FD6" w:rsidP="00BF0E94">
      <w:pPr>
        <w:jc w:val="left"/>
        <w:rPr>
          <w:rFonts w:eastAsia="HiddenHorzOCR"/>
          <w:color w:val="000000" w:themeColor="text1"/>
          <w:szCs w:val="24"/>
          <w:u w:val="single"/>
        </w:rPr>
      </w:pPr>
    </w:p>
    <w:p w:rsidR="0060063E" w:rsidRPr="001F29F9" w:rsidRDefault="003C5B54" w:rsidP="0060063E">
      <w:pPr>
        <w:jc w:val="both"/>
        <w:rPr>
          <w:color w:val="000000" w:themeColor="text1"/>
          <w:szCs w:val="24"/>
        </w:rPr>
      </w:pPr>
      <w:proofErr w:type="gramStart"/>
      <w:r w:rsidRPr="0060063E">
        <w:rPr>
          <w:color w:val="000000" w:themeColor="text1"/>
          <w:szCs w:val="24"/>
          <w:u w:val="single"/>
        </w:rPr>
        <w:t>Remaining Conditions.</w:t>
      </w:r>
      <w:proofErr w:type="gramEnd"/>
      <w:r w:rsidRPr="0060063E">
        <w:rPr>
          <w:color w:val="000000" w:themeColor="text1"/>
          <w:szCs w:val="24"/>
        </w:rPr>
        <w:t xml:space="preserve">  </w:t>
      </w:r>
      <w:r w:rsidR="0060063E" w:rsidRPr="0060063E">
        <w:rPr>
          <w:color w:val="000000" w:themeColor="text1"/>
          <w:szCs w:val="24"/>
        </w:rPr>
        <w:t>O</w:t>
      </w:r>
      <w:r w:rsidR="00F8022F">
        <w:rPr>
          <w:color w:val="000000" w:themeColor="text1"/>
          <w:szCs w:val="24"/>
        </w:rPr>
        <w:t>ne other condition</w:t>
      </w:r>
      <w:r w:rsidR="008C6730">
        <w:rPr>
          <w:color w:val="000000" w:themeColor="text1"/>
          <w:szCs w:val="24"/>
        </w:rPr>
        <w:t>,</w:t>
      </w:r>
      <w:r w:rsidR="0060063E" w:rsidRPr="0060063E">
        <w:rPr>
          <w:color w:val="000000" w:themeColor="text1"/>
          <w:szCs w:val="24"/>
        </w:rPr>
        <w:t xml:space="preserve"> dizziness/fainting spells</w:t>
      </w:r>
      <w:r w:rsidR="008C6730">
        <w:rPr>
          <w:color w:val="000000" w:themeColor="text1"/>
          <w:szCs w:val="24"/>
        </w:rPr>
        <w:t>, was</w:t>
      </w:r>
      <w:r w:rsidR="008C6730" w:rsidRPr="008C6730">
        <w:rPr>
          <w:color w:val="000000" w:themeColor="text1"/>
          <w:szCs w:val="24"/>
        </w:rPr>
        <w:t xml:space="preserve"> </w:t>
      </w:r>
      <w:r w:rsidR="008C6730" w:rsidRPr="0060063E">
        <w:rPr>
          <w:color w:val="000000" w:themeColor="text1"/>
          <w:szCs w:val="24"/>
        </w:rPr>
        <w:t>identified in the DES file</w:t>
      </w:r>
      <w:r w:rsidR="0060063E" w:rsidRPr="0060063E">
        <w:rPr>
          <w:color w:val="000000" w:themeColor="text1"/>
          <w:szCs w:val="24"/>
        </w:rPr>
        <w:t>.</w:t>
      </w:r>
      <w:r w:rsidR="00A02AA8" w:rsidRPr="0060063E">
        <w:rPr>
          <w:color w:val="000000" w:themeColor="text1"/>
          <w:szCs w:val="24"/>
        </w:rPr>
        <w:t xml:space="preserve">  </w:t>
      </w:r>
      <w:r w:rsidR="00712A70">
        <w:rPr>
          <w:color w:val="000000" w:themeColor="text1"/>
          <w:szCs w:val="24"/>
        </w:rPr>
        <w:t>After</w:t>
      </w:r>
      <w:r w:rsidR="00712A70" w:rsidRPr="0060063E">
        <w:rPr>
          <w:color w:val="000000" w:themeColor="text1"/>
          <w:szCs w:val="24"/>
        </w:rPr>
        <w:t xml:space="preserve"> a normal evaluation</w:t>
      </w:r>
      <w:r w:rsidR="00712A70">
        <w:rPr>
          <w:color w:val="000000" w:themeColor="text1"/>
          <w:szCs w:val="24"/>
        </w:rPr>
        <w:t>, this was</w:t>
      </w:r>
      <w:r w:rsidR="00712A70" w:rsidRPr="0060063E">
        <w:rPr>
          <w:color w:val="000000" w:themeColor="text1"/>
          <w:szCs w:val="24"/>
        </w:rPr>
        <w:t xml:space="preserve"> </w:t>
      </w:r>
      <w:r w:rsidR="00712A70">
        <w:rPr>
          <w:color w:val="000000" w:themeColor="text1"/>
          <w:szCs w:val="24"/>
        </w:rPr>
        <w:t>attributed</w:t>
      </w:r>
      <w:r w:rsidR="00712A70" w:rsidRPr="0060063E">
        <w:rPr>
          <w:color w:val="000000" w:themeColor="text1"/>
          <w:szCs w:val="24"/>
        </w:rPr>
        <w:t xml:space="preserve"> to either </w:t>
      </w:r>
      <w:r w:rsidR="00712A70">
        <w:rPr>
          <w:color w:val="000000" w:themeColor="text1"/>
          <w:szCs w:val="24"/>
        </w:rPr>
        <w:t>anti-</w:t>
      </w:r>
      <w:r w:rsidR="00712A70" w:rsidRPr="0060063E">
        <w:rPr>
          <w:color w:val="000000" w:themeColor="text1"/>
          <w:szCs w:val="24"/>
        </w:rPr>
        <w:t>hypertensi</w:t>
      </w:r>
      <w:r w:rsidR="00712A70">
        <w:rPr>
          <w:color w:val="000000" w:themeColor="text1"/>
          <w:szCs w:val="24"/>
        </w:rPr>
        <w:t xml:space="preserve">ve medication or as a component of the migraine condition just addressed. </w:t>
      </w:r>
      <w:r w:rsidR="00712A70" w:rsidRPr="0060063E">
        <w:rPr>
          <w:color w:val="000000" w:themeColor="text1"/>
          <w:szCs w:val="24"/>
        </w:rPr>
        <w:t xml:space="preserve"> </w:t>
      </w:r>
      <w:r w:rsidR="00A02AA8" w:rsidRPr="0060063E">
        <w:rPr>
          <w:color w:val="000000" w:themeColor="text1"/>
          <w:szCs w:val="24"/>
        </w:rPr>
        <w:t>Several additional non-acute conditions or medical complaints were also documented.  None of these conditions were significantly clinically or occupationally active during the MEB period</w:t>
      </w:r>
      <w:r w:rsidR="00712A70">
        <w:rPr>
          <w:color w:val="000000" w:themeColor="text1"/>
          <w:szCs w:val="24"/>
        </w:rPr>
        <w:t>;</w:t>
      </w:r>
      <w:r w:rsidR="00A02AA8" w:rsidRPr="0060063E">
        <w:rPr>
          <w:color w:val="000000" w:themeColor="text1"/>
          <w:szCs w:val="24"/>
        </w:rPr>
        <w:t xml:space="preserve"> none carried attached profiles</w:t>
      </w:r>
      <w:r w:rsidR="00712A70">
        <w:rPr>
          <w:color w:val="000000" w:themeColor="text1"/>
          <w:szCs w:val="24"/>
        </w:rPr>
        <w:t>;</w:t>
      </w:r>
      <w:r w:rsidR="00A02AA8" w:rsidRPr="0060063E">
        <w:rPr>
          <w:color w:val="000000" w:themeColor="text1"/>
          <w:szCs w:val="24"/>
        </w:rPr>
        <w:t xml:space="preserve"> and</w:t>
      </w:r>
      <w:r w:rsidR="00712A70">
        <w:rPr>
          <w:color w:val="000000" w:themeColor="text1"/>
          <w:szCs w:val="24"/>
        </w:rPr>
        <w:t>,</w:t>
      </w:r>
      <w:r w:rsidR="00A02AA8" w:rsidRPr="0060063E">
        <w:rPr>
          <w:color w:val="000000" w:themeColor="text1"/>
          <w:szCs w:val="24"/>
        </w:rPr>
        <w:t xml:space="preserve"> none were implicated in the </w:t>
      </w:r>
      <w:r w:rsidR="0080588E" w:rsidRPr="0060063E">
        <w:rPr>
          <w:color w:val="000000" w:themeColor="text1"/>
          <w:szCs w:val="24"/>
        </w:rPr>
        <w:t>c</w:t>
      </w:r>
      <w:r w:rsidR="00A02AA8" w:rsidRPr="0060063E">
        <w:rPr>
          <w:color w:val="000000" w:themeColor="text1"/>
          <w:szCs w:val="24"/>
        </w:rPr>
        <w:t xml:space="preserve">ommander’s statement.  These conditions were reviewed by the </w:t>
      </w:r>
      <w:r w:rsidR="00D00925">
        <w:rPr>
          <w:color w:val="000000" w:themeColor="text1"/>
          <w:szCs w:val="24"/>
        </w:rPr>
        <w:t>a</w:t>
      </w:r>
      <w:r w:rsidR="00712A70" w:rsidRPr="0060063E">
        <w:rPr>
          <w:color w:val="000000" w:themeColor="text1"/>
          <w:szCs w:val="24"/>
        </w:rPr>
        <w:t xml:space="preserve">ction </w:t>
      </w:r>
      <w:r w:rsidR="00D00925">
        <w:rPr>
          <w:color w:val="000000" w:themeColor="text1"/>
          <w:szCs w:val="24"/>
        </w:rPr>
        <w:t>o</w:t>
      </w:r>
      <w:r w:rsidR="00712A70" w:rsidRPr="0060063E">
        <w:rPr>
          <w:color w:val="000000" w:themeColor="text1"/>
          <w:szCs w:val="24"/>
        </w:rPr>
        <w:t xml:space="preserve">fficer </w:t>
      </w:r>
      <w:r w:rsidR="00A02AA8" w:rsidRPr="0060063E">
        <w:rPr>
          <w:color w:val="000000" w:themeColor="text1"/>
          <w:szCs w:val="24"/>
        </w:rPr>
        <w:t xml:space="preserve">and considered by the Board.  It was determined that none could be argued as unfitting and subject to separation rating.  </w:t>
      </w:r>
      <w:r w:rsidR="0060063E" w:rsidRPr="0060063E">
        <w:rPr>
          <w:color w:val="000000" w:themeColor="text1"/>
          <w:szCs w:val="24"/>
        </w:rPr>
        <w:t>No other conditions were service connected with a compensable rating by the VA within 12 months of separation or contended by the CI.  The Board therefore has no reasonable basis for recommending any additional unfitting conditions</w:t>
      </w:r>
      <w:r w:rsidR="0060063E" w:rsidRPr="001F29F9">
        <w:rPr>
          <w:color w:val="000000" w:themeColor="text1"/>
          <w:szCs w:val="24"/>
        </w:rPr>
        <w:t xml:space="preserve">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33002" w:rsidRPr="003C53E8" w:rsidRDefault="00C56FC8" w:rsidP="008C6730">
      <w:pPr>
        <w:jc w:val="both"/>
        <w:rPr>
          <w:rFonts w:asciiTheme="minorHAnsi" w:hAnsiTheme="minorHAnsi" w:cs="Times New Roman"/>
          <w:color w:val="auto"/>
          <w:szCs w:val="24"/>
        </w:rPr>
      </w:pPr>
      <w:r w:rsidRPr="00117DFF">
        <w:rPr>
          <w:color w:val="000000" w:themeColor="text1"/>
          <w:szCs w:val="24"/>
          <w:u w:val="single"/>
        </w:rPr>
        <w:t>BOARD FINDINGS</w:t>
      </w:r>
      <w:r w:rsidRPr="00117DFF">
        <w:rPr>
          <w:color w:val="000000" w:themeColor="text1"/>
          <w:szCs w:val="24"/>
        </w:rPr>
        <w:t>:</w:t>
      </w:r>
      <w:r w:rsidRPr="00117DFF">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117DFF">
        <w:rPr>
          <w:rFonts w:asciiTheme="minorHAnsi" w:eastAsiaTheme="minorHAnsi" w:hAnsiTheme="minorHAnsi" w:cs="Times New Roman"/>
          <w:color w:val="auto"/>
          <w:szCs w:val="24"/>
        </w:rPr>
        <w:t xml:space="preserve">. </w:t>
      </w:r>
      <w:r w:rsidR="008C6730" w:rsidRPr="00117DFF">
        <w:rPr>
          <w:rFonts w:asciiTheme="minorHAnsi" w:eastAsiaTheme="minorHAnsi" w:hAnsiTheme="minorHAnsi" w:cs="Times New Roman"/>
          <w:color w:val="auto"/>
          <w:szCs w:val="24"/>
        </w:rPr>
        <w:t xml:space="preserve"> </w:t>
      </w:r>
      <w:r w:rsidR="003C53E8" w:rsidRPr="00117DFF">
        <w:rPr>
          <w:rFonts w:asciiTheme="minorHAnsi" w:eastAsiaTheme="minorHAnsi" w:hAnsiTheme="minorHAnsi" w:cs="Times New Roman"/>
          <w:color w:val="auto"/>
          <w:szCs w:val="24"/>
        </w:rPr>
        <w:t xml:space="preserve">As discussed above, PEB reliance on the USAPDA pain policy for rating </w:t>
      </w:r>
      <w:r w:rsidR="00633002" w:rsidRPr="00117DFF">
        <w:rPr>
          <w:rFonts w:asciiTheme="minorHAnsi" w:eastAsiaTheme="minorHAnsi" w:hAnsiTheme="minorHAnsi" w:cs="Times New Roman"/>
          <w:color w:val="auto"/>
          <w:szCs w:val="24"/>
        </w:rPr>
        <w:t>the left shoulder</w:t>
      </w:r>
      <w:r w:rsidR="003C53E8" w:rsidRPr="00117DFF">
        <w:rPr>
          <w:rFonts w:asciiTheme="minorHAnsi" w:eastAsiaTheme="minorHAnsi" w:hAnsiTheme="minorHAnsi" w:cs="Times New Roman"/>
          <w:color w:val="auto"/>
          <w:szCs w:val="24"/>
        </w:rPr>
        <w:t xml:space="preserve"> was operant in this case and the condition was adjudicated independently of that policy by the Board. </w:t>
      </w:r>
      <w:r w:rsidR="008C6730" w:rsidRPr="00117DFF">
        <w:rPr>
          <w:rFonts w:asciiTheme="minorHAnsi" w:eastAsiaTheme="minorHAnsi" w:hAnsiTheme="minorHAnsi" w:cs="Times New Roman"/>
          <w:color w:val="auto"/>
          <w:szCs w:val="24"/>
        </w:rPr>
        <w:t xml:space="preserve"> </w:t>
      </w:r>
      <w:r w:rsidR="00633002" w:rsidRPr="00117DFF">
        <w:rPr>
          <w:rFonts w:asciiTheme="minorHAnsi" w:eastAsiaTheme="minorHAnsi" w:hAnsiTheme="minorHAnsi" w:cs="Times New Roman"/>
          <w:color w:val="auto"/>
          <w:szCs w:val="24"/>
        </w:rPr>
        <w:t xml:space="preserve">In the matter of the left shoulder condition and </w:t>
      </w:r>
      <w:r w:rsidR="00633002" w:rsidRPr="00117DFF">
        <w:rPr>
          <w:rFonts w:asciiTheme="minorHAnsi" w:hAnsiTheme="minorHAnsi" w:cs="Times New Roman"/>
          <w:color w:val="auto"/>
          <w:szCs w:val="24"/>
        </w:rPr>
        <w:t>IAW VASRD §4.71a</w:t>
      </w:r>
      <w:r w:rsidR="00633002" w:rsidRPr="00117DFF">
        <w:rPr>
          <w:rFonts w:asciiTheme="minorHAnsi" w:eastAsiaTheme="minorHAnsi" w:hAnsiTheme="minorHAnsi" w:cs="Times New Roman"/>
          <w:color w:val="auto"/>
          <w:szCs w:val="24"/>
        </w:rPr>
        <w:t>, the Board unanimously recommends no change in the PEB adjudication</w:t>
      </w:r>
      <w:r w:rsidR="00633002" w:rsidRPr="00117DFF">
        <w:rPr>
          <w:rFonts w:asciiTheme="minorHAnsi" w:hAnsiTheme="minorHAnsi" w:cs="Times New Roman"/>
          <w:color w:val="auto"/>
          <w:szCs w:val="24"/>
        </w:rPr>
        <w:t xml:space="preserve">.  In the matter of the right shoulder condition, the Board unanimously recommends that it be added as an additionally unfitting condition for separation rating; coded 5099-5003 and rated 10% IAW VASRD §4.71a.   </w:t>
      </w:r>
      <w:r w:rsidR="003C53E8" w:rsidRPr="00117DFF">
        <w:rPr>
          <w:rFonts w:asciiTheme="minorHAnsi" w:hAnsiTheme="minorHAnsi" w:cs="Times New Roman"/>
          <w:color w:val="auto"/>
          <w:szCs w:val="24"/>
        </w:rPr>
        <w:t xml:space="preserve">In the matter of the </w:t>
      </w:r>
      <w:r w:rsidR="00633002" w:rsidRPr="00117DFF">
        <w:rPr>
          <w:color w:val="000000" w:themeColor="text1"/>
          <w:szCs w:val="24"/>
        </w:rPr>
        <w:t>hypertension, migraines and bilateral knee pain</w:t>
      </w:r>
      <w:r w:rsidR="00633002" w:rsidRPr="00117DFF">
        <w:rPr>
          <w:rFonts w:asciiTheme="minorHAnsi" w:hAnsiTheme="minorHAnsi" w:cs="Times New Roman"/>
          <w:color w:val="auto"/>
          <w:szCs w:val="24"/>
        </w:rPr>
        <w:t xml:space="preserve"> </w:t>
      </w:r>
      <w:r w:rsidR="003C53E8" w:rsidRPr="00117DFF">
        <w:rPr>
          <w:rFonts w:asciiTheme="minorHAnsi" w:hAnsiTheme="minorHAnsi" w:cs="Times New Roman"/>
          <w:color w:val="auto"/>
          <w:szCs w:val="24"/>
        </w:rPr>
        <w:t>conditions, the Board unanimously recommends no change from the PEB adjudications as not unfitting.</w:t>
      </w:r>
      <w:r w:rsidR="00633002" w:rsidRPr="00117DFF">
        <w:rPr>
          <w:rFonts w:asciiTheme="minorHAnsi" w:hAnsiTheme="minorHAnsi" w:cs="Times New Roman"/>
          <w:color w:val="auto"/>
          <w:szCs w:val="24"/>
        </w:rPr>
        <w:t xml:space="preserve">  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DE1FD5">
      <w:pPr>
        <w:jc w:val="both"/>
        <w:rPr>
          <w:color w:val="000000" w:themeColor="text1"/>
        </w:rPr>
      </w:pPr>
      <w:r w:rsidRPr="001F29F9">
        <w:rPr>
          <w:color w:val="000000" w:themeColor="text1"/>
          <w:szCs w:val="24"/>
          <w:u w:val="single"/>
        </w:rPr>
        <w:t>RECOMMENDATION</w:t>
      </w:r>
      <w:r w:rsidRPr="001F29F9">
        <w:rPr>
          <w:color w:val="000000" w:themeColor="text1"/>
          <w:szCs w:val="24"/>
        </w:rPr>
        <w:t>:</w:t>
      </w:r>
      <w:r w:rsidR="00633002" w:rsidRPr="00633002">
        <w:rPr>
          <w:color w:val="000000" w:themeColor="text1"/>
          <w:szCs w:val="24"/>
        </w:rPr>
        <w:t xml:space="preserve"> </w:t>
      </w:r>
      <w:r w:rsidR="00633002">
        <w:rPr>
          <w:color w:val="000000" w:themeColor="text1"/>
          <w:szCs w:val="24"/>
        </w:rPr>
        <w:t xml:space="preserve"> </w:t>
      </w:r>
      <w:r w:rsidR="00633002" w:rsidRPr="001F29F9">
        <w:rPr>
          <w:color w:val="000000" w:themeColor="text1"/>
          <w:szCs w:val="24"/>
        </w:rPr>
        <w:t>The Board recommends that the CI’s prior determination be modified as follows, effective as of the date of his prior medical separation:</w:t>
      </w:r>
    </w:p>
    <w:p w:rsidR="001E3FE1" w:rsidRPr="001F29F9"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0"/>
        <w:gridCol w:w="1710"/>
        <w:gridCol w:w="1601"/>
        <w:gridCol w:w="991"/>
      </w:tblGrid>
      <w:tr w:rsidR="004101B2" w:rsidRPr="001F29F9" w:rsidTr="00DE1FD5">
        <w:trPr>
          <w:trHeight w:val="206"/>
          <w:jc w:val="center"/>
        </w:trPr>
        <w:tc>
          <w:tcPr>
            <w:tcW w:w="6750" w:type="dxa"/>
            <w:gridSpan w:val="2"/>
            <w:tcBorders>
              <w:righ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UNFITTING CONDITION</w:t>
            </w:r>
          </w:p>
        </w:tc>
        <w:tc>
          <w:tcPr>
            <w:tcW w:w="1601" w:type="dxa"/>
            <w:tcBorders>
              <w:lef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VASRD CODE</w:t>
            </w:r>
          </w:p>
        </w:tc>
        <w:tc>
          <w:tcPr>
            <w:tcW w:w="991" w:type="dxa"/>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RATING</w:t>
            </w:r>
          </w:p>
        </w:tc>
      </w:tr>
      <w:tr w:rsidR="00A73EF6" w:rsidRPr="001F29F9" w:rsidTr="00DE1FD5">
        <w:trPr>
          <w:jc w:val="center"/>
        </w:trPr>
        <w:tc>
          <w:tcPr>
            <w:tcW w:w="6750" w:type="dxa"/>
            <w:gridSpan w:val="2"/>
            <w:tcBorders>
              <w:right w:val="single" w:sz="4" w:space="0" w:color="auto"/>
            </w:tcBorders>
            <w:vAlign w:val="center"/>
          </w:tcPr>
          <w:p w:rsidR="00A73EF6" w:rsidRPr="00A73EF6" w:rsidRDefault="00A73EF6" w:rsidP="00A73EF6">
            <w:pPr>
              <w:tabs>
                <w:tab w:val="left" w:pos="288"/>
                <w:tab w:val="left" w:pos="4752"/>
              </w:tabs>
              <w:jc w:val="left"/>
              <w:rPr>
                <w:color w:val="000000" w:themeColor="text1"/>
                <w:szCs w:val="24"/>
              </w:rPr>
            </w:pPr>
            <w:r w:rsidRPr="00A73EF6">
              <w:rPr>
                <w:color w:val="000000" w:themeColor="text1"/>
                <w:szCs w:val="24"/>
              </w:rPr>
              <w:t>Left Shoulder Pain</w:t>
            </w:r>
          </w:p>
        </w:tc>
        <w:tc>
          <w:tcPr>
            <w:tcW w:w="1601" w:type="dxa"/>
            <w:tcBorders>
              <w:left w:val="single" w:sz="4" w:space="0" w:color="auto"/>
            </w:tcBorders>
            <w:vAlign w:val="center"/>
          </w:tcPr>
          <w:p w:rsidR="00A73EF6" w:rsidRPr="001F29F9" w:rsidRDefault="00A73EF6" w:rsidP="00A73EF6">
            <w:pPr>
              <w:tabs>
                <w:tab w:val="left" w:pos="288"/>
                <w:tab w:val="left" w:pos="4752"/>
              </w:tabs>
              <w:rPr>
                <w:color w:val="000000" w:themeColor="text1"/>
                <w:szCs w:val="24"/>
              </w:rPr>
            </w:pPr>
            <w:r>
              <w:rPr>
                <w:color w:val="000000" w:themeColor="text1"/>
                <w:szCs w:val="24"/>
              </w:rPr>
              <w:t>5099-5003</w:t>
            </w:r>
          </w:p>
        </w:tc>
        <w:tc>
          <w:tcPr>
            <w:tcW w:w="991" w:type="dxa"/>
            <w:vAlign w:val="center"/>
          </w:tcPr>
          <w:p w:rsidR="00A73EF6" w:rsidRPr="001F29F9" w:rsidRDefault="00A73EF6" w:rsidP="00A73EF6">
            <w:pPr>
              <w:tabs>
                <w:tab w:val="left" w:pos="288"/>
                <w:tab w:val="left" w:pos="4752"/>
              </w:tabs>
              <w:rPr>
                <w:color w:val="000000" w:themeColor="text1"/>
                <w:szCs w:val="24"/>
              </w:rPr>
            </w:pPr>
            <w:r>
              <w:rPr>
                <w:color w:val="000000" w:themeColor="text1"/>
                <w:szCs w:val="24"/>
              </w:rPr>
              <w:t>10</w:t>
            </w:r>
            <w:r w:rsidRPr="001F29F9">
              <w:rPr>
                <w:color w:val="000000" w:themeColor="text1"/>
                <w:szCs w:val="24"/>
              </w:rPr>
              <w:t>%</w:t>
            </w:r>
          </w:p>
        </w:tc>
      </w:tr>
      <w:tr w:rsidR="00A73EF6" w:rsidRPr="001F29F9" w:rsidTr="00DE1FD5">
        <w:trPr>
          <w:jc w:val="center"/>
        </w:trPr>
        <w:tc>
          <w:tcPr>
            <w:tcW w:w="6750" w:type="dxa"/>
            <w:gridSpan w:val="2"/>
            <w:tcBorders>
              <w:right w:val="single" w:sz="4" w:space="0" w:color="auto"/>
            </w:tcBorders>
            <w:vAlign w:val="center"/>
          </w:tcPr>
          <w:p w:rsidR="00A73EF6" w:rsidRPr="00A73EF6" w:rsidRDefault="00DE1FD5" w:rsidP="00DE1FD5">
            <w:pPr>
              <w:tabs>
                <w:tab w:val="left" w:pos="288"/>
                <w:tab w:val="left" w:pos="4752"/>
              </w:tabs>
              <w:jc w:val="left"/>
              <w:rPr>
                <w:color w:val="000000" w:themeColor="text1"/>
                <w:szCs w:val="24"/>
              </w:rPr>
            </w:pPr>
            <w:r w:rsidRPr="00A73EF6">
              <w:rPr>
                <w:color w:val="000000" w:themeColor="text1"/>
                <w:szCs w:val="24"/>
              </w:rPr>
              <w:t>Pain</w:t>
            </w:r>
            <w:r>
              <w:rPr>
                <w:color w:val="000000" w:themeColor="text1"/>
                <w:szCs w:val="24"/>
              </w:rPr>
              <w:t xml:space="preserve"> and Surgical Residuals, </w:t>
            </w:r>
            <w:r w:rsidR="00A73EF6" w:rsidRPr="00A73EF6">
              <w:rPr>
                <w:color w:val="000000" w:themeColor="text1"/>
                <w:szCs w:val="24"/>
              </w:rPr>
              <w:t xml:space="preserve">Right Shoulder </w:t>
            </w:r>
          </w:p>
        </w:tc>
        <w:tc>
          <w:tcPr>
            <w:tcW w:w="1601" w:type="dxa"/>
            <w:tcBorders>
              <w:left w:val="single" w:sz="4" w:space="0" w:color="auto"/>
            </w:tcBorders>
            <w:vAlign w:val="center"/>
          </w:tcPr>
          <w:p w:rsidR="00A73EF6" w:rsidRPr="001F29F9" w:rsidRDefault="00A73EF6" w:rsidP="00A73EF6">
            <w:pPr>
              <w:tabs>
                <w:tab w:val="left" w:pos="288"/>
                <w:tab w:val="left" w:pos="4752"/>
              </w:tabs>
              <w:rPr>
                <w:color w:val="000000" w:themeColor="text1"/>
                <w:szCs w:val="24"/>
              </w:rPr>
            </w:pPr>
            <w:r>
              <w:rPr>
                <w:color w:val="000000" w:themeColor="text1"/>
                <w:szCs w:val="24"/>
              </w:rPr>
              <w:t>5099-5003</w:t>
            </w:r>
          </w:p>
        </w:tc>
        <w:tc>
          <w:tcPr>
            <w:tcW w:w="991" w:type="dxa"/>
            <w:vAlign w:val="center"/>
          </w:tcPr>
          <w:p w:rsidR="00A73EF6" w:rsidRPr="001F29F9" w:rsidRDefault="00A73EF6" w:rsidP="00A73EF6">
            <w:pPr>
              <w:tabs>
                <w:tab w:val="left" w:pos="288"/>
                <w:tab w:val="left" w:pos="4752"/>
              </w:tabs>
              <w:rPr>
                <w:color w:val="000000" w:themeColor="text1"/>
                <w:szCs w:val="24"/>
              </w:rPr>
            </w:pPr>
            <w:r>
              <w:rPr>
                <w:color w:val="000000" w:themeColor="text1"/>
                <w:szCs w:val="24"/>
              </w:rPr>
              <w:t>10</w:t>
            </w:r>
            <w:r w:rsidRPr="001F29F9">
              <w:rPr>
                <w:color w:val="000000" w:themeColor="text1"/>
                <w:szCs w:val="24"/>
              </w:rPr>
              <w:t>%</w:t>
            </w:r>
          </w:p>
        </w:tc>
      </w:tr>
      <w:tr w:rsidR="00A73EF6" w:rsidRPr="001F29F9" w:rsidTr="00DE1FD5">
        <w:tblPrEx>
          <w:tblLook w:val="0000"/>
        </w:tblPrEx>
        <w:trPr>
          <w:gridBefore w:val="1"/>
          <w:wBefore w:w="5040" w:type="dxa"/>
          <w:trHeight w:val="143"/>
          <w:jc w:val="center"/>
        </w:trPr>
        <w:tc>
          <w:tcPr>
            <w:tcW w:w="3311" w:type="dxa"/>
            <w:gridSpan w:val="2"/>
            <w:tcBorders>
              <w:left w:val="single" w:sz="4" w:space="0" w:color="auto"/>
              <w:bottom w:val="single" w:sz="4" w:space="0" w:color="auto"/>
            </w:tcBorders>
            <w:shd w:val="clear" w:color="auto" w:fill="D9D9D9" w:themeFill="background1" w:themeFillShade="D9"/>
            <w:vAlign w:val="center"/>
          </w:tcPr>
          <w:p w:rsidR="00A73EF6" w:rsidRPr="001F29F9" w:rsidRDefault="00A73EF6" w:rsidP="00A73EF6">
            <w:pPr>
              <w:tabs>
                <w:tab w:val="left" w:pos="288"/>
                <w:tab w:val="left" w:pos="4752"/>
              </w:tabs>
              <w:rPr>
                <w:b/>
                <w:color w:val="000000" w:themeColor="text1"/>
                <w:szCs w:val="24"/>
              </w:rPr>
            </w:pPr>
            <w:r w:rsidRPr="001F29F9">
              <w:rPr>
                <w:b/>
                <w:color w:val="000000" w:themeColor="text1"/>
                <w:szCs w:val="24"/>
              </w:rPr>
              <w:t>COMBINED (Incorporating BLF)</w:t>
            </w:r>
          </w:p>
        </w:tc>
        <w:tc>
          <w:tcPr>
            <w:tcW w:w="991" w:type="dxa"/>
            <w:tcBorders>
              <w:bottom w:val="single" w:sz="4" w:space="0" w:color="000000"/>
            </w:tcBorders>
            <w:shd w:val="clear" w:color="auto" w:fill="D9D9D9" w:themeFill="background1" w:themeFillShade="D9"/>
            <w:vAlign w:val="center"/>
          </w:tcPr>
          <w:p w:rsidR="00A73EF6" w:rsidRPr="001F29F9" w:rsidRDefault="00A73EF6" w:rsidP="00A73EF6">
            <w:pPr>
              <w:tabs>
                <w:tab w:val="left" w:pos="288"/>
                <w:tab w:val="left" w:pos="4752"/>
              </w:tabs>
              <w:rPr>
                <w:b/>
                <w:color w:val="000000" w:themeColor="text1"/>
                <w:szCs w:val="24"/>
              </w:rPr>
            </w:pPr>
            <w:r>
              <w:rPr>
                <w:b/>
                <w:color w:val="000000" w:themeColor="text1"/>
                <w:szCs w:val="24"/>
              </w:rPr>
              <w:t>20</w:t>
            </w:r>
            <w:r w:rsidRPr="001F29F9">
              <w:rPr>
                <w:b/>
                <w:color w:val="000000" w:themeColor="text1"/>
                <w:szCs w:val="24"/>
              </w:rPr>
              <w:t>%</w:t>
            </w:r>
          </w:p>
        </w:tc>
      </w:tr>
    </w:tbl>
    <w:p w:rsidR="00D00925" w:rsidRDefault="00D00925"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E1FD5">
        <w:rPr>
          <w:color w:val="000000" w:themeColor="text1"/>
          <w:szCs w:val="24"/>
        </w:rPr>
        <w:t>10815</w:t>
      </w:r>
      <w:r w:rsidR="00D00925">
        <w:rPr>
          <w:color w:val="000000" w:themeColor="text1"/>
        </w:rPr>
        <w:t>, w/</w:t>
      </w:r>
      <w:proofErr w:type="spellStart"/>
      <w:r w:rsidR="00D00925">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D00925">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D00925">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7E3638" w:rsidRDefault="002F195B" w:rsidP="00754A39">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E3638" w:rsidRDefault="007E3638">
      <w:pPr>
        <w:rPr>
          <w:color w:val="000000" w:themeColor="text1"/>
          <w:szCs w:val="24"/>
        </w:rPr>
      </w:pPr>
      <w:r>
        <w:rPr>
          <w:color w:val="000000" w:themeColor="text1"/>
          <w:szCs w:val="24"/>
        </w:rPr>
        <w:br w:type="page"/>
      </w: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lastRenderedPageBreak/>
        <w:t>SFMR-RB</w:t>
      </w:r>
      <w:r w:rsidRPr="007E3638">
        <w:rPr>
          <w:color w:val="000000" w:themeColor="text1"/>
          <w:szCs w:val="24"/>
        </w:rPr>
        <w:tab/>
      </w:r>
      <w:r w:rsidRPr="007E3638">
        <w:rPr>
          <w:color w:val="000000" w:themeColor="text1"/>
          <w:szCs w:val="24"/>
        </w:rPr>
        <w:tab/>
      </w:r>
      <w:r w:rsidRPr="007E3638">
        <w:rPr>
          <w:color w:val="000000" w:themeColor="text1"/>
          <w:szCs w:val="24"/>
        </w:rPr>
        <w:tab/>
      </w:r>
      <w:r w:rsidRPr="007E3638">
        <w:rPr>
          <w:color w:val="000000" w:themeColor="text1"/>
          <w:szCs w:val="24"/>
        </w:rPr>
        <w:tab/>
      </w:r>
      <w:r w:rsidRPr="007E3638">
        <w:rPr>
          <w:color w:val="000000" w:themeColor="text1"/>
          <w:szCs w:val="24"/>
        </w:rPr>
        <w:tab/>
      </w:r>
      <w:r w:rsidRPr="007E3638">
        <w:rPr>
          <w:color w:val="000000" w:themeColor="text1"/>
          <w:szCs w:val="24"/>
        </w:rPr>
        <w:tab/>
      </w:r>
      <w:r w:rsidRPr="007E3638">
        <w:rPr>
          <w:color w:val="000000" w:themeColor="text1"/>
          <w:szCs w:val="24"/>
        </w:rPr>
        <w:tab/>
      </w:r>
      <w:r w:rsidRPr="007E3638">
        <w:rPr>
          <w:color w:val="000000" w:themeColor="text1"/>
          <w:szCs w:val="24"/>
        </w:rPr>
        <w:tab/>
      </w:r>
      <w:r w:rsidRPr="007E3638">
        <w:rPr>
          <w:color w:val="000000" w:themeColor="text1"/>
          <w:szCs w:val="24"/>
        </w:rPr>
        <w:tab/>
      </w: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t xml:space="preserve">MEMORANDUM FOR Commander, US Army Physical Disability Agency </w:t>
      </w:r>
    </w:p>
    <w:p w:rsidR="007E3638" w:rsidRPr="007E3638" w:rsidRDefault="007E3638" w:rsidP="007E3638">
      <w:pPr>
        <w:tabs>
          <w:tab w:val="left" w:pos="0"/>
          <w:tab w:val="left" w:pos="4320"/>
        </w:tabs>
        <w:jc w:val="both"/>
        <w:rPr>
          <w:color w:val="000000" w:themeColor="text1"/>
          <w:szCs w:val="24"/>
        </w:rPr>
      </w:pPr>
      <w:r>
        <w:rPr>
          <w:color w:val="000000" w:themeColor="text1"/>
          <w:szCs w:val="24"/>
        </w:rPr>
        <w:t xml:space="preserve"> </w:t>
      </w: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t xml:space="preserve">SUBJECT:  Department of Defense Physical Disability Board of Review Recommendation </w:t>
      </w:r>
    </w:p>
    <w:p w:rsidR="007E3638" w:rsidRPr="007E3638" w:rsidRDefault="007E3638" w:rsidP="007E3638">
      <w:pPr>
        <w:tabs>
          <w:tab w:val="left" w:pos="0"/>
          <w:tab w:val="left" w:pos="4320"/>
        </w:tabs>
        <w:jc w:val="both"/>
        <w:rPr>
          <w:color w:val="000000" w:themeColor="text1"/>
          <w:szCs w:val="24"/>
        </w:rPr>
      </w:pPr>
      <w:r>
        <w:rPr>
          <w:color w:val="000000" w:themeColor="text1"/>
          <w:szCs w:val="24"/>
        </w:rPr>
        <w:t xml:space="preserve"> </w:t>
      </w: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t>1.  I have reviewed the enclosed Department of Defense Physical Disability Board of Review (</w:t>
      </w:r>
      <w:proofErr w:type="spellStart"/>
      <w:r w:rsidRPr="007E3638">
        <w:rPr>
          <w:color w:val="000000" w:themeColor="text1"/>
          <w:szCs w:val="24"/>
        </w:rPr>
        <w:t>DoD</w:t>
      </w:r>
      <w:proofErr w:type="spellEnd"/>
      <w:r w:rsidRPr="007E3638">
        <w:rPr>
          <w:color w:val="000000" w:themeColor="text1"/>
          <w:szCs w:val="24"/>
        </w:rP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7E3638">
        <w:rPr>
          <w:color w:val="000000" w:themeColor="text1"/>
          <w:szCs w:val="24"/>
        </w:rPr>
        <w:t>recharacterization</w:t>
      </w:r>
      <w:proofErr w:type="spellEnd"/>
      <w:r w:rsidRPr="007E3638">
        <w:rPr>
          <w:color w:val="000000" w:themeColor="text1"/>
          <w:szCs w:val="24"/>
        </w:rPr>
        <w:t xml:space="preserve"> of the individual’s separation.  This decision is final.  </w:t>
      </w: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t xml:space="preserve">2.  I direct that all the Department of the Army records of the individual concerned be corrected accordingly no later than 120 days from the date of this memorandum.   </w:t>
      </w: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t xml:space="preserve"> BY ORDER OF THE SECRETARY OF THE ARMY:</w:t>
      </w: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p>
    <w:p w:rsidR="007E3638" w:rsidRPr="007E3638" w:rsidRDefault="007E3638" w:rsidP="007E3638">
      <w:pPr>
        <w:tabs>
          <w:tab w:val="left" w:pos="0"/>
          <w:tab w:val="left" w:pos="4320"/>
        </w:tabs>
        <w:jc w:val="both"/>
        <w:rPr>
          <w:color w:val="000000" w:themeColor="text1"/>
          <w:szCs w:val="24"/>
        </w:rPr>
      </w:pPr>
      <w:bookmarkStart w:id="0" w:name="OLE_LINK3"/>
      <w:bookmarkStart w:id="1" w:name="OLE_LINK4"/>
      <w:r w:rsidRPr="007E3638">
        <w:rPr>
          <w:color w:val="000000" w:themeColor="text1"/>
          <w:szCs w:val="24"/>
        </w:rPr>
        <w:t>Encl</w:t>
      </w:r>
      <w:r w:rsidRPr="007E3638">
        <w:rPr>
          <w:color w:val="000000" w:themeColor="text1"/>
          <w:szCs w:val="24"/>
        </w:rPr>
        <w:tab/>
      </w:r>
      <w:r w:rsidRPr="007E3638">
        <w:rPr>
          <w:color w:val="000000" w:themeColor="text1"/>
          <w:szCs w:val="24"/>
        </w:rPr>
        <w:tab/>
      </w: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tab/>
      </w:r>
      <w:r w:rsidRPr="007E3638">
        <w:rPr>
          <w:color w:val="000000" w:themeColor="text1"/>
          <w:szCs w:val="24"/>
        </w:rPr>
        <w:tab/>
        <w:t>Deputy Assistant Secretary</w:t>
      </w:r>
    </w:p>
    <w:p w:rsidR="007E3638" w:rsidRPr="007E3638" w:rsidRDefault="007E3638" w:rsidP="007E3638">
      <w:pPr>
        <w:tabs>
          <w:tab w:val="left" w:pos="0"/>
          <w:tab w:val="left" w:pos="4320"/>
        </w:tabs>
        <w:jc w:val="both"/>
        <w:rPr>
          <w:color w:val="000000" w:themeColor="text1"/>
          <w:szCs w:val="24"/>
        </w:rPr>
      </w:pPr>
      <w:r w:rsidRPr="007E3638">
        <w:rPr>
          <w:color w:val="000000" w:themeColor="text1"/>
          <w:szCs w:val="24"/>
        </w:rPr>
        <w:tab/>
      </w:r>
      <w:r w:rsidRPr="007E3638">
        <w:rPr>
          <w:color w:val="000000" w:themeColor="text1"/>
          <w:szCs w:val="24"/>
        </w:rPr>
        <w:tab/>
        <w:t xml:space="preserve"> (Army Review Boards)</w:t>
      </w:r>
      <w:bookmarkEnd w:id="0"/>
      <w:bookmarkEnd w:id="1"/>
    </w:p>
    <w:p w:rsidR="00DC1607" w:rsidRPr="00754A39" w:rsidRDefault="00DC1607" w:rsidP="00754A39">
      <w:pPr>
        <w:tabs>
          <w:tab w:val="left" w:pos="0"/>
          <w:tab w:val="left" w:pos="4320"/>
        </w:tabs>
        <w:jc w:val="both"/>
        <w:rPr>
          <w:color w:val="000000" w:themeColor="text1"/>
          <w:szCs w:val="24"/>
        </w:rPr>
      </w:pPr>
    </w:p>
    <w:sectPr w:rsidR="00DC1607" w:rsidRPr="00754A3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897" w:rsidRDefault="00637897">
      <w:r>
        <w:separator/>
      </w:r>
    </w:p>
  </w:endnote>
  <w:endnote w:type="continuationSeparator" w:id="0">
    <w:p w:rsidR="00637897" w:rsidRDefault="006378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12A70" w:rsidRPr="00374247" w:rsidRDefault="00712A70" w:rsidP="00374247">
        <w:pPr>
          <w:pStyle w:val="Footer"/>
          <w:ind w:firstLine="4320"/>
          <w:rPr>
            <w:color w:val="auto"/>
            <w:szCs w:val="24"/>
          </w:rPr>
        </w:pPr>
        <w:r w:rsidRPr="00374247">
          <w:rPr>
            <w:color w:val="auto"/>
            <w:szCs w:val="24"/>
          </w:rPr>
          <w:t xml:space="preserve">   </w:t>
        </w:r>
        <w:r w:rsidR="00D92CD4" w:rsidRPr="00374247">
          <w:rPr>
            <w:color w:val="auto"/>
            <w:szCs w:val="24"/>
          </w:rPr>
          <w:fldChar w:fldCharType="begin"/>
        </w:r>
        <w:r w:rsidRPr="00374247">
          <w:rPr>
            <w:color w:val="auto"/>
            <w:szCs w:val="24"/>
          </w:rPr>
          <w:instrText xml:space="preserve"> PAGE   \* MERGEFORMAT </w:instrText>
        </w:r>
        <w:r w:rsidR="00D92CD4" w:rsidRPr="00374247">
          <w:rPr>
            <w:color w:val="auto"/>
            <w:szCs w:val="24"/>
          </w:rPr>
          <w:fldChar w:fldCharType="separate"/>
        </w:r>
        <w:r w:rsidR="007E3638" w:rsidRPr="007E3638">
          <w:rPr>
            <w:noProof/>
            <w:color w:val="auto"/>
          </w:rPr>
          <w:t>6</w:t>
        </w:r>
        <w:r w:rsidR="00D92CD4" w:rsidRPr="00374247">
          <w:rPr>
            <w:color w:val="auto"/>
            <w:szCs w:val="24"/>
          </w:rPr>
          <w:fldChar w:fldCharType="end"/>
        </w:r>
        <w:r w:rsidRPr="00374247">
          <w:rPr>
            <w:color w:val="auto"/>
            <w:szCs w:val="24"/>
          </w:rPr>
          <w:t xml:space="preserve">                                                           </w:t>
        </w:r>
        <w:r w:rsidRPr="003375E4">
          <w:rPr>
            <w:color w:val="auto"/>
            <w:szCs w:val="24"/>
          </w:rPr>
          <w:t>PD</w:t>
        </w:r>
        <w:r w:rsidRPr="009660C8">
          <w:rPr>
            <w:color w:val="auto"/>
            <w:szCs w:val="24"/>
          </w:rPr>
          <w:t>1100666</w:t>
        </w:r>
      </w:p>
    </w:sdtContent>
  </w:sdt>
  <w:p w:rsidR="00712A70" w:rsidRPr="00684CE6" w:rsidRDefault="00712A7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897" w:rsidRDefault="00637897">
      <w:r>
        <w:separator/>
      </w:r>
    </w:p>
  </w:footnote>
  <w:footnote w:type="continuationSeparator" w:id="0">
    <w:p w:rsidR="00637897" w:rsidRDefault="00637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70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954"/>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ADE"/>
    <w:rsid w:val="00114F20"/>
    <w:rsid w:val="0011590B"/>
    <w:rsid w:val="00117DFF"/>
    <w:rsid w:val="001211AF"/>
    <w:rsid w:val="001215DF"/>
    <w:rsid w:val="001219DF"/>
    <w:rsid w:val="0012220B"/>
    <w:rsid w:val="00122ABE"/>
    <w:rsid w:val="001231DC"/>
    <w:rsid w:val="0012453A"/>
    <w:rsid w:val="0012489B"/>
    <w:rsid w:val="001264A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B32"/>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3FC8"/>
    <w:rsid w:val="00246860"/>
    <w:rsid w:val="002468D9"/>
    <w:rsid w:val="00246995"/>
    <w:rsid w:val="00246DFF"/>
    <w:rsid w:val="00246E89"/>
    <w:rsid w:val="0025183C"/>
    <w:rsid w:val="00252351"/>
    <w:rsid w:val="002528EC"/>
    <w:rsid w:val="00253522"/>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96F"/>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693"/>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1C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4B1"/>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30E"/>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66BE"/>
    <w:rsid w:val="005B72DA"/>
    <w:rsid w:val="005C0E87"/>
    <w:rsid w:val="005C1398"/>
    <w:rsid w:val="005C16F3"/>
    <w:rsid w:val="005C3758"/>
    <w:rsid w:val="005C3F27"/>
    <w:rsid w:val="005C4D72"/>
    <w:rsid w:val="005C50C1"/>
    <w:rsid w:val="005C62C2"/>
    <w:rsid w:val="005D2306"/>
    <w:rsid w:val="005D2562"/>
    <w:rsid w:val="005D2666"/>
    <w:rsid w:val="005D4548"/>
    <w:rsid w:val="005D4A74"/>
    <w:rsid w:val="005D4F68"/>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263"/>
    <w:rsid w:val="005F55F5"/>
    <w:rsid w:val="005F5EC1"/>
    <w:rsid w:val="005F67A9"/>
    <w:rsid w:val="005F6B6D"/>
    <w:rsid w:val="005F73CA"/>
    <w:rsid w:val="0060063E"/>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53A"/>
    <w:rsid w:val="00626A0F"/>
    <w:rsid w:val="006274B4"/>
    <w:rsid w:val="00627605"/>
    <w:rsid w:val="006307BA"/>
    <w:rsid w:val="006315BA"/>
    <w:rsid w:val="00633002"/>
    <w:rsid w:val="00634C4A"/>
    <w:rsid w:val="0063532E"/>
    <w:rsid w:val="0063579F"/>
    <w:rsid w:val="006364ED"/>
    <w:rsid w:val="00637063"/>
    <w:rsid w:val="0063737C"/>
    <w:rsid w:val="00637897"/>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4B9B"/>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3E0"/>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2686"/>
    <w:rsid w:val="006F45A0"/>
    <w:rsid w:val="006F4F06"/>
    <w:rsid w:val="006F51B2"/>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6FE"/>
    <w:rsid w:val="00712A70"/>
    <w:rsid w:val="007165CE"/>
    <w:rsid w:val="00717CEB"/>
    <w:rsid w:val="0072035D"/>
    <w:rsid w:val="00720968"/>
    <w:rsid w:val="00721705"/>
    <w:rsid w:val="00721B7A"/>
    <w:rsid w:val="00721D12"/>
    <w:rsid w:val="00721F8B"/>
    <w:rsid w:val="00722645"/>
    <w:rsid w:val="007236E0"/>
    <w:rsid w:val="007237CE"/>
    <w:rsid w:val="00724619"/>
    <w:rsid w:val="00724688"/>
    <w:rsid w:val="00725BC5"/>
    <w:rsid w:val="007260A9"/>
    <w:rsid w:val="00726C1D"/>
    <w:rsid w:val="007272F1"/>
    <w:rsid w:val="00727565"/>
    <w:rsid w:val="0073062D"/>
    <w:rsid w:val="0073093B"/>
    <w:rsid w:val="00731B00"/>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A39"/>
    <w:rsid w:val="00755DBE"/>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3EF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0BE"/>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638"/>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182"/>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3DAE"/>
    <w:rsid w:val="0086429C"/>
    <w:rsid w:val="00865207"/>
    <w:rsid w:val="008656A7"/>
    <w:rsid w:val="00865FA3"/>
    <w:rsid w:val="00866231"/>
    <w:rsid w:val="00866758"/>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6261"/>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602"/>
    <w:rsid w:val="008C22F3"/>
    <w:rsid w:val="008C3223"/>
    <w:rsid w:val="008C3FD0"/>
    <w:rsid w:val="008C4F01"/>
    <w:rsid w:val="008C5152"/>
    <w:rsid w:val="008C6730"/>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F2C"/>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3D89"/>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60C8"/>
    <w:rsid w:val="009672CD"/>
    <w:rsid w:val="00971810"/>
    <w:rsid w:val="00972996"/>
    <w:rsid w:val="009730B4"/>
    <w:rsid w:val="0097320E"/>
    <w:rsid w:val="009732B8"/>
    <w:rsid w:val="00974647"/>
    <w:rsid w:val="0097514A"/>
    <w:rsid w:val="0097589F"/>
    <w:rsid w:val="009759C2"/>
    <w:rsid w:val="00975C72"/>
    <w:rsid w:val="00976585"/>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0F6"/>
    <w:rsid w:val="009935C3"/>
    <w:rsid w:val="0099421F"/>
    <w:rsid w:val="00994FC8"/>
    <w:rsid w:val="009A0DE3"/>
    <w:rsid w:val="009A1643"/>
    <w:rsid w:val="009A1EAA"/>
    <w:rsid w:val="009A215A"/>
    <w:rsid w:val="009A26B9"/>
    <w:rsid w:val="009A49D3"/>
    <w:rsid w:val="009A4F1B"/>
    <w:rsid w:val="009A6398"/>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411"/>
    <w:rsid w:val="00A23B89"/>
    <w:rsid w:val="00A23C4F"/>
    <w:rsid w:val="00A23FE3"/>
    <w:rsid w:val="00A248C3"/>
    <w:rsid w:val="00A2496E"/>
    <w:rsid w:val="00A24E7A"/>
    <w:rsid w:val="00A2515A"/>
    <w:rsid w:val="00A253E8"/>
    <w:rsid w:val="00A258B7"/>
    <w:rsid w:val="00A25A0C"/>
    <w:rsid w:val="00A25A83"/>
    <w:rsid w:val="00A262B6"/>
    <w:rsid w:val="00A305AD"/>
    <w:rsid w:val="00A31EBB"/>
    <w:rsid w:val="00A31FE2"/>
    <w:rsid w:val="00A32743"/>
    <w:rsid w:val="00A40356"/>
    <w:rsid w:val="00A40FFB"/>
    <w:rsid w:val="00A41468"/>
    <w:rsid w:val="00A414A9"/>
    <w:rsid w:val="00A44141"/>
    <w:rsid w:val="00A44B8F"/>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3EF6"/>
    <w:rsid w:val="00A7411D"/>
    <w:rsid w:val="00A756C4"/>
    <w:rsid w:val="00A7592B"/>
    <w:rsid w:val="00A75ED7"/>
    <w:rsid w:val="00A76094"/>
    <w:rsid w:val="00A764F1"/>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303"/>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309"/>
    <w:rsid w:val="00B40A05"/>
    <w:rsid w:val="00B40A3E"/>
    <w:rsid w:val="00B427BB"/>
    <w:rsid w:val="00B43BA2"/>
    <w:rsid w:val="00B449EE"/>
    <w:rsid w:val="00B454AE"/>
    <w:rsid w:val="00B47897"/>
    <w:rsid w:val="00B50227"/>
    <w:rsid w:val="00B50510"/>
    <w:rsid w:val="00B505E9"/>
    <w:rsid w:val="00B522CD"/>
    <w:rsid w:val="00B53715"/>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173E"/>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3EAE"/>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4E1D"/>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184"/>
    <w:rsid w:val="00CA4670"/>
    <w:rsid w:val="00CA5F89"/>
    <w:rsid w:val="00CA6B1A"/>
    <w:rsid w:val="00CB1B18"/>
    <w:rsid w:val="00CB20DC"/>
    <w:rsid w:val="00CB23DC"/>
    <w:rsid w:val="00CB2487"/>
    <w:rsid w:val="00CB28E2"/>
    <w:rsid w:val="00CB2F20"/>
    <w:rsid w:val="00CB3395"/>
    <w:rsid w:val="00CB4604"/>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49A"/>
    <w:rsid w:val="00CF158D"/>
    <w:rsid w:val="00CF2166"/>
    <w:rsid w:val="00CF4340"/>
    <w:rsid w:val="00CF4394"/>
    <w:rsid w:val="00CF48B4"/>
    <w:rsid w:val="00CF5C12"/>
    <w:rsid w:val="00CF7B72"/>
    <w:rsid w:val="00D000A9"/>
    <w:rsid w:val="00D00384"/>
    <w:rsid w:val="00D005DB"/>
    <w:rsid w:val="00D0064E"/>
    <w:rsid w:val="00D00925"/>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6C0E"/>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59F"/>
    <w:rsid w:val="00D46A33"/>
    <w:rsid w:val="00D5062C"/>
    <w:rsid w:val="00D50C8C"/>
    <w:rsid w:val="00D51152"/>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CD4"/>
    <w:rsid w:val="00D93A41"/>
    <w:rsid w:val="00D93B9A"/>
    <w:rsid w:val="00D95984"/>
    <w:rsid w:val="00D95C64"/>
    <w:rsid w:val="00D9706F"/>
    <w:rsid w:val="00D972D4"/>
    <w:rsid w:val="00DA0578"/>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B7A1C"/>
    <w:rsid w:val="00DC07B7"/>
    <w:rsid w:val="00DC0BF1"/>
    <w:rsid w:val="00DC1607"/>
    <w:rsid w:val="00DC17F2"/>
    <w:rsid w:val="00DC4001"/>
    <w:rsid w:val="00DC41C3"/>
    <w:rsid w:val="00DC4A3C"/>
    <w:rsid w:val="00DC4FA4"/>
    <w:rsid w:val="00DC5B37"/>
    <w:rsid w:val="00DD286D"/>
    <w:rsid w:val="00DD2CAF"/>
    <w:rsid w:val="00DD3593"/>
    <w:rsid w:val="00DD64E0"/>
    <w:rsid w:val="00DD775C"/>
    <w:rsid w:val="00DD7BE0"/>
    <w:rsid w:val="00DE0C67"/>
    <w:rsid w:val="00DE1FD5"/>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3D3"/>
    <w:rsid w:val="00E6546A"/>
    <w:rsid w:val="00E65C05"/>
    <w:rsid w:val="00E65D39"/>
    <w:rsid w:val="00E670F8"/>
    <w:rsid w:val="00E6741B"/>
    <w:rsid w:val="00E67FAC"/>
    <w:rsid w:val="00E70164"/>
    <w:rsid w:val="00E71485"/>
    <w:rsid w:val="00E7200B"/>
    <w:rsid w:val="00E738CB"/>
    <w:rsid w:val="00E73C88"/>
    <w:rsid w:val="00E74437"/>
    <w:rsid w:val="00E7443D"/>
    <w:rsid w:val="00E75502"/>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180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110"/>
    <w:rsid w:val="00EE7840"/>
    <w:rsid w:val="00EF2E75"/>
    <w:rsid w:val="00EF4C74"/>
    <w:rsid w:val="00EF5268"/>
    <w:rsid w:val="00EF608E"/>
    <w:rsid w:val="00EF6C4A"/>
    <w:rsid w:val="00F0044B"/>
    <w:rsid w:val="00F00E60"/>
    <w:rsid w:val="00F02F9F"/>
    <w:rsid w:val="00F03525"/>
    <w:rsid w:val="00F039A8"/>
    <w:rsid w:val="00F0424D"/>
    <w:rsid w:val="00F04957"/>
    <w:rsid w:val="00F04C66"/>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0B95"/>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22F"/>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3C3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1448-9913-4FC6-B9FC-8A43E977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2011-04-08T11:41:00Z</cp:lastPrinted>
  <dcterms:created xsi:type="dcterms:W3CDTF">2012-02-13T13:54:00Z</dcterms:created>
  <dcterms:modified xsi:type="dcterms:W3CDTF">2012-03-20T13:19:00Z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