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7E3447" w:rsidRDefault="00AD2379" w:rsidP="000D4AF7">
      <w:pPr>
        <w:tabs>
          <w:tab w:val="left" w:pos="288"/>
          <w:tab w:val="left" w:pos="4770"/>
        </w:tabs>
        <w:rPr>
          <w:color w:val="auto"/>
        </w:rPr>
      </w:pPr>
      <w:r w:rsidRPr="007E3447">
        <w:rPr>
          <w:color w:val="auto"/>
        </w:rPr>
        <w:t>RECORD OF PROCEEDINGS</w:t>
      </w:r>
    </w:p>
    <w:p w:rsidR="00AD2379" w:rsidRPr="007E3447" w:rsidRDefault="00AD2379" w:rsidP="00BF0E94">
      <w:pPr>
        <w:tabs>
          <w:tab w:val="left" w:pos="288"/>
          <w:tab w:val="left" w:pos="4752"/>
        </w:tabs>
        <w:rPr>
          <w:color w:val="auto"/>
        </w:rPr>
      </w:pPr>
      <w:r w:rsidRPr="007E3447">
        <w:rPr>
          <w:color w:val="auto"/>
        </w:rPr>
        <w:t>PHYSICAL DISABILITY BOARD OF REVIEW</w:t>
      </w:r>
    </w:p>
    <w:p w:rsidR="00AD2379" w:rsidRPr="007E3447" w:rsidRDefault="00AD2379" w:rsidP="00BF0E94">
      <w:pPr>
        <w:tabs>
          <w:tab w:val="left" w:pos="288"/>
          <w:tab w:val="left" w:pos="4752"/>
        </w:tabs>
        <w:jc w:val="both"/>
        <w:rPr>
          <w:caps/>
          <w:color w:val="auto"/>
        </w:rPr>
      </w:pPr>
    </w:p>
    <w:p w:rsidR="00083A06" w:rsidRPr="007E3447" w:rsidRDefault="00083A06" w:rsidP="00083A06">
      <w:pPr>
        <w:tabs>
          <w:tab w:val="right" w:pos="9360"/>
        </w:tabs>
        <w:jc w:val="both"/>
        <w:rPr>
          <w:caps/>
          <w:color w:val="auto"/>
        </w:rPr>
      </w:pPr>
      <w:r w:rsidRPr="007E3447">
        <w:rPr>
          <w:caps/>
          <w:color w:val="auto"/>
        </w:rPr>
        <w:t xml:space="preserve">NAME:  </w:t>
      </w:r>
      <w:r w:rsidR="008C4EEB">
        <w:rPr>
          <w:caps/>
          <w:color w:val="auto"/>
        </w:rPr>
        <w:t>xxxxxxxxxxxxxxxxxx</w:t>
      </w:r>
      <w:r w:rsidRPr="007E3447">
        <w:rPr>
          <w:caps/>
          <w:color w:val="auto"/>
        </w:rPr>
        <w:t xml:space="preserve">              </w:t>
      </w:r>
      <w:r w:rsidR="00106157" w:rsidRPr="007E3447">
        <w:rPr>
          <w:caps/>
          <w:color w:val="auto"/>
        </w:rPr>
        <w:t xml:space="preserve"> </w:t>
      </w:r>
      <w:r w:rsidRPr="007E3447">
        <w:rPr>
          <w:caps/>
          <w:color w:val="auto"/>
        </w:rPr>
        <w:t xml:space="preserve"> </w:t>
      </w:r>
      <w:r w:rsidR="006E0888">
        <w:rPr>
          <w:caps/>
          <w:color w:val="auto"/>
        </w:rPr>
        <w:t xml:space="preserve"> </w:t>
      </w:r>
      <w:r w:rsidR="008C4EEB">
        <w:rPr>
          <w:caps/>
          <w:color w:val="auto"/>
        </w:rPr>
        <w:t xml:space="preserve">             </w:t>
      </w:r>
      <w:r w:rsidR="00CC76E4" w:rsidRPr="007E3447">
        <w:rPr>
          <w:caps/>
          <w:color w:val="auto"/>
        </w:rPr>
        <w:t xml:space="preserve">BRANCH OF SERVICE:  </w:t>
      </w:r>
      <w:r w:rsidRPr="007E3447">
        <w:rPr>
          <w:caps/>
          <w:color w:val="auto"/>
        </w:rPr>
        <w:t>MARINE CORPS</w:t>
      </w:r>
    </w:p>
    <w:p w:rsidR="00083A06" w:rsidRPr="007E3447" w:rsidRDefault="00185E58" w:rsidP="00083A06">
      <w:pPr>
        <w:tabs>
          <w:tab w:val="right" w:pos="9360"/>
        </w:tabs>
        <w:jc w:val="both"/>
        <w:rPr>
          <w:caps/>
          <w:color w:val="auto"/>
        </w:rPr>
      </w:pPr>
      <w:r>
        <w:rPr>
          <w:caps/>
          <w:color w:val="auto"/>
        </w:rPr>
        <w:t>CASE NUMBER:  PD11</w:t>
      </w:r>
      <w:r w:rsidR="00083A06" w:rsidRPr="007E3447">
        <w:rPr>
          <w:caps/>
          <w:color w:val="auto"/>
        </w:rPr>
        <w:t xml:space="preserve">0663     </w:t>
      </w:r>
      <w:r w:rsidR="00CC76E4" w:rsidRPr="007E3447">
        <w:rPr>
          <w:caps/>
          <w:color w:val="auto"/>
        </w:rPr>
        <w:t xml:space="preserve">                             </w:t>
      </w:r>
      <w:r w:rsidR="00BC33BF" w:rsidRPr="007E3447">
        <w:rPr>
          <w:caps/>
          <w:color w:val="auto"/>
        </w:rPr>
        <w:t xml:space="preserve"> </w:t>
      </w:r>
      <w:r>
        <w:rPr>
          <w:caps/>
          <w:color w:val="auto"/>
        </w:rPr>
        <w:t xml:space="preserve"> </w:t>
      </w:r>
      <w:r w:rsidR="00BC33BF" w:rsidRPr="007E3447">
        <w:rPr>
          <w:caps/>
          <w:color w:val="auto"/>
        </w:rPr>
        <w:t xml:space="preserve">  </w:t>
      </w:r>
      <w:r w:rsidR="00083A06" w:rsidRPr="007E3447">
        <w:rPr>
          <w:caps/>
          <w:color w:val="auto"/>
        </w:rPr>
        <w:t xml:space="preserve">DATE OF PLACEMENT ON TDRL:  </w:t>
      </w:r>
      <w:r w:rsidR="00083A06" w:rsidRPr="007E3447">
        <w:rPr>
          <w:color w:val="000000" w:themeColor="text1"/>
        </w:rPr>
        <w:t>20051015</w:t>
      </w:r>
    </w:p>
    <w:p w:rsidR="00083A06" w:rsidRPr="007E3447" w:rsidRDefault="00083A06" w:rsidP="00083A06">
      <w:pPr>
        <w:tabs>
          <w:tab w:val="right" w:pos="9360"/>
        </w:tabs>
        <w:jc w:val="both"/>
        <w:rPr>
          <w:caps/>
          <w:color w:val="auto"/>
        </w:rPr>
      </w:pPr>
      <w:r w:rsidRPr="007E3447">
        <w:rPr>
          <w:caps/>
          <w:color w:val="auto"/>
        </w:rPr>
        <w:t xml:space="preserve">BOARD DATE: </w:t>
      </w:r>
      <w:r w:rsidR="006514AD" w:rsidRPr="007E3447">
        <w:rPr>
          <w:caps/>
          <w:color w:val="auto"/>
        </w:rPr>
        <w:t xml:space="preserve"> </w:t>
      </w:r>
      <w:r w:rsidRPr="007E3447">
        <w:rPr>
          <w:caps/>
          <w:color w:val="auto"/>
        </w:rPr>
        <w:t>2012</w:t>
      </w:r>
      <w:r w:rsidR="00256FCA" w:rsidRPr="007E3447">
        <w:rPr>
          <w:caps/>
          <w:color w:val="auto"/>
        </w:rPr>
        <w:t>0620</w:t>
      </w:r>
      <w:r w:rsidRPr="007E3447">
        <w:rPr>
          <w:caps/>
          <w:color w:val="auto"/>
        </w:rPr>
        <w:t xml:space="preserve">          </w:t>
      </w:r>
      <w:r w:rsidR="00185E58">
        <w:rPr>
          <w:caps/>
          <w:color w:val="auto"/>
        </w:rPr>
        <w:t xml:space="preserve">                                </w:t>
      </w:r>
      <w:r w:rsidRPr="007E3447">
        <w:rPr>
          <w:caps/>
          <w:color w:val="auto"/>
        </w:rPr>
        <w:t xml:space="preserve">DATE OF PERMANENT SEPARATION:  </w:t>
      </w:r>
      <w:r w:rsidRPr="007E3447">
        <w:rPr>
          <w:color w:val="000000" w:themeColor="text1"/>
        </w:rPr>
        <w:t>20080130</w:t>
      </w:r>
    </w:p>
    <w:p w:rsidR="0095270D" w:rsidRPr="007E3447" w:rsidRDefault="0095270D" w:rsidP="0095270D">
      <w:pPr>
        <w:pBdr>
          <w:bottom w:val="single" w:sz="12" w:space="1" w:color="auto"/>
        </w:pBdr>
        <w:tabs>
          <w:tab w:val="left" w:pos="288"/>
          <w:tab w:val="left" w:pos="4752"/>
        </w:tabs>
        <w:jc w:val="both"/>
        <w:rPr>
          <w:color w:val="auto"/>
        </w:rPr>
      </w:pPr>
    </w:p>
    <w:p w:rsidR="00AD2379" w:rsidRPr="007E3447" w:rsidRDefault="00AD2379" w:rsidP="00BF0E94">
      <w:pPr>
        <w:tabs>
          <w:tab w:val="left" w:pos="288"/>
          <w:tab w:val="left" w:pos="4752"/>
        </w:tabs>
        <w:jc w:val="both"/>
        <w:rPr>
          <w:color w:val="auto"/>
        </w:rPr>
      </w:pPr>
    </w:p>
    <w:p w:rsidR="00723C43" w:rsidRPr="007E3447" w:rsidRDefault="00AD2379" w:rsidP="00C5676E">
      <w:pPr>
        <w:tabs>
          <w:tab w:val="left" w:pos="288"/>
          <w:tab w:val="left" w:pos="4752"/>
        </w:tabs>
        <w:jc w:val="both"/>
        <w:rPr>
          <w:color w:val="000000" w:themeColor="text1"/>
          <w:szCs w:val="24"/>
        </w:rPr>
      </w:pPr>
      <w:r w:rsidRPr="007E3447">
        <w:rPr>
          <w:color w:val="auto"/>
          <w:u w:val="single"/>
        </w:rPr>
        <w:t>SUMMARY OF CASE</w:t>
      </w:r>
      <w:r w:rsidRPr="007E3447">
        <w:rPr>
          <w:color w:val="auto"/>
        </w:rPr>
        <w:t>:</w:t>
      </w:r>
      <w:r w:rsidR="00532B33" w:rsidRPr="007E3447">
        <w:rPr>
          <w:color w:val="auto"/>
        </w:rPr>
        <w:t xml:space="preserve"> </w:t>
      </w:r>
      <w:r w:rsidRPr="007E3447">
        <w:rPr>
          <w:color w:val="auto"/>
        </w:rPr>
        <w:t xml:space="preserve"> Data extracted from the available evidence of record reflects that this covered individual (CI) was </w:t>
      </w:r>
      <w:r w:rsidR="00A70270" w:rsidRPr="007E3447">
        <w:rPr>
          <w:color w:val="auto"/>
        </w:rPr>
        <w:t xml:space="preserve">an </w:t>
      </w:r>
      <w:r w:rsidR="001A0051">
        <w:rPr>
          <w:color w:val="auto"/>
        </w:rPr>
        <w:t xml:space="preserve">active duty </w:t>
      </w:r>
      <w:r w:rsidR="00C5676E" w:rsidRPr="007E3447">
        <w:rPr>
          <w:color w:val="000000" w:themeColor="text1"/>
          <w:szCs w:val="24"/>
        </w:rPr>
        <w:t xml:space="preserve">SGT/E-5 (3531, Motor </w:t>
      </w:r>
      <w:r w:rsidR="00AF7839">
        <w:rPr>
          <w:color w:val="000000" w:themeColor="text1"/>
          <w:szCs w:val="24"/>
        </w:rPr>
        <w:t>Vehicle</w:t>
      </w:r>
      <w:r w:rsidR="00C5676E" w:rsidRPr="007E3447">
        <w:rPr>
          <w:color w:val="000000" w:themeColor="text1"/>
          <w:szCs w:val="24"/>
        </w:rPr>
        <w:t xml:space="preserve"> Operator), medically separated for </w:t>
      </w:r>
      <w:r w:rsidR="00185E58">
        <w:rPr>
          <w:color w:val="000000" w:themeColor="text1"/>
          <w:szCs w:val="24"/>
        </w:rPr>
        <w:t>p</w:t>
      </w:r>
      <w:r w:rsidR="00C5676E" w:rsidRPr="007E3447">
        <w:rPr>
          <w:color w:val="000000" w:themeColor="text1"/>
          <w:szCs w:val="24"/>
        </w:rPr>
        <w:t xml:space="preserve">rimary </w:t>
      </w:r>
      <w:proofErr w:type="spellStart"/>
      <w:r w:rsidR="00C5676E" w:rsidRPr="007E3447">
        <w:rPr>
          <w:color w:val="000000" w:themeColor="text1"/>
          <w:szCs w:val="24"/>
        </w:rPr>
        <w:t>hypercoagulable</w:t>
      </w:r>
      <w:proofErr w:type="spellEnd"/>
      <w:r w:rsidR="00C5676E" w:rsidRPr="007E3447">
        <w:rPr>
          <w:color w:val="000000" w:themeColor="text1"/>
          <w:szCs w:val="24"/>
        </w:rPr>
        <w:t xml:space="preserve"> state, on lifelong anticoagulation</w:t>
      </w:r>
      <w:r w:rsidR="00C5676E" w:rsidRPr="007E3447">
        <w:rPr>
          <w:i/>
          <w:color w:val="000000" w:themeColor="text1"/>
          <w:szCs w:val="24"/>
        </w:rPr>
        <w:t>.</w:t>
      </w:r>
      <w:r w:rsidR="006D5E1E" w:rsidRPr="007E3447">
        <w:rPr>
          <w:color w:val="auto"/>
          <w:szCs w:val="24"/>
        </w:rPr>
        <w:t xml:space="preserve">  </w:t>
      </w:r>
      <w:r w:rsidR="000B7187" w:rsidRPr="007E3447">
        <w:rPr>
          <w:color w:val="auto"/>
          <w:szCs w:val="24"/>
        </w:rPr>
        <w:t xml:space="preserve">The CI had onset of symptoms of shortness of breath and right calf swelling that led to a diagnosis of pulmonary embolism and deep vein thrombosis (DVT).  He was treated with anticoagulation, but had repeated pulmonary embolism with abnormal lung ventilation perfusion scan (V/Q scan) and pulmonary hypertension.  The pulmonary embolus was removed </w:t>
      </w:r>
      <w:r w:rsidR="00807A60" w:rsidRPr="007E3447">
        <w:rPr>
          <w:color w:val="auto"/>
          <w:szCs w:val="24"/>
        </w:rPr>
        <w:t>surgically (</w:t>
      </w:r>
      <w:r w:rsidR="000B7187" w:rsidRPr="007E3447">
        <w:rPr>
          <w:color w:val="000000" w:themeColor="text1"/>
          <w:szCs w:val="24"/>
        </w:rPr>
        <w:t xml:space="preserve">pulmonary </w:t>
      </w:r>
      <w:proofErr w:type="spellStart"/>
      <w:r w:rsidR="000B7187" w:rsidRPr="007E3447">
        <w:rPr>
          <w:color w:val="000000" w:themeColor="text1"/>
          <w:szCs w:val="24"/>
        </w:rPr>
        <w:t>thrombo-endarterectomy</w:t>
      </w:r>
      <w:proofErr w:type="spellEnd"/>
      <w:r w:rsidR="00807A60" w:rsidRPr="007E3447">
        <w:rPr>
          <w:color w:val="000000" w:themeColor="text1"/>
          <w:szCs w:val="24"/>
        </w:rPr>
        <w:t>)</w:t>
      </w:r>
      <w:r w:rsidR="000B7187" w:rsidRPr="007E3447">
        <w:rPr>
          <w:color w:val="000000" w:themeColor="text1"/>
          <w:szCs w:val="24"/>
        </w:rPr>
        <w:t xml:space="preserve"> and </w:t>
      </w:r>
      <w:r w:rsidR="00B56A72" w:rsidRPr="007E3447">
        <w:rPr>
          <w:color w:val="000000" w:themeColor="text1"/>
          <w:szCs w:val="24"/>
        </w:rPr>
        <w:t>a filter was placed to prevent further emboli.  A</w:t>
      </w:r>
      <w:r w:rsidR="000B7187" w:rsidRPr="007E3447">
        <w:rPr>
          <w:color w:val="000000" w:themeColor="text1"/>
          <w:szCs w:val="24"/>
        </w:rPr>
        <w:t xml:space="preserve"> hypercoagulable workup demonstrated an underlying </w:t>
      </w:r>
      <w:r w:rsidR="00256FCA" w:rsidRPr="007E3447">
        <w:rPr>
          <w:color w:val="000000" w:themeColor="text1"/>
          <w:szCs w:val="24"/>
        </w:rPr>
        <w:t>L</w:t>
      </w:r>
      <w:r w:rsidR="000B7187" w:rsidRPr="007E3447">
        <w:rPr>
          <w:color w:val="000000" w:themeColor="text1"/>
          <w:szCs w:val="24"/>
        </w:rPr>
        <w:t>upus anticoagulant</w:t>
      </w:r>
      <w:r w:rsidR="00B56A72" w:rsidRPr="007E3447">
        <w:rPr>
          <w:color w:val="000000" w:themeColor="text1"/>
          <w:szCs w:val="24"/>
        </w:rPr>
        <w:t xml:space="preserve"> and the CI was continued on anti-coagulants</w:t>
      </w:r>
      <w:r w:rsidR="000B7187" w:rsidRPr="007E3447">
        <w:rPr>
          <w:color w:val="000000" w:themeColor="text1"/>
          <w:szCs w:val="24"/>
        </w:rPr>
        <w:t>.  Although the pulmonary scans and pulmonary hypertension were improving, the CI had continued shortness of breath</w:t>
      </w:r>
      <w:r w:rsidR="00807A60" w:rsidRPr="007E3447">
        <w:rPr>
          <w:color w:val="000000" w:themeColor="text1"/>
          <w:szCs w:val="24"/>
        </w:rPr>
        <w:t xml:space="preserve"> and had a diagnosis of chronic thromboembolic disease.  Chronic venous stasis due to thrombophlebitis (right &gt; left), and primary hypercoagulable state secondary to Lupus anticoagulant.  </w:t>
      </w:r>
      <w:r w:rsidR="000B7187" w:rsidRPr="007E3447">
        <w:rPr>
          <w:color w:val="000000" w:themeColor="text1"/>
          <w:szCs w:val="24"/>
        </w:rPr>
        <w:t xml:space="preserve">The CI was unable to </w:t>
      </w:r>
      <w:r w:rsidR="000B7187" w:rsidRPr="007E3447">
        <w:rPr>
          <w:color w:val="auto"/>
        </w:rPr>
        <w:t xml:space="preserve">meet the physical requirements of his Military Occupational Specialty (MOS) or satisfy physical fitness standards and he was referred for a Medical Evaluation Board (MEB).  The </w:t>
      </w:r>
      <w:r w:rsidR="00011853">
        <w:rPr>
          <w:color w:val="auto"/>
        </w:rPr>
        <w:t>Physical Evaluation Board (</w:t>
      </w:r>
      <w:r w:rsidR="000B7187" w:rsidRPr="007E3447">
        <w:rPr>
          <w:color w:val="auto"/>
        </w:rPr>
        <w:t>PEB</w:t>
      </w:r>
      <w:r w:rsidR="00011853">
        <w:rPr>
          <w:color w:val="auto"/>
        </w:rPr>
        <w:t>)</w:t>
      </w:r>
      <w:r w:rsidR="000B7187" w:rsidRPr="007E3447">
        <w:rPr>
          <w:color w:val="auto"/>
        </w:rPr>
        <w:t xml:space="preserve"> adjudicated </w:t>
      </w:r>
      <w:r w:rsidR="0068639B" w:rsidRPr="007E3447">
        <w:rPr>
          <w:color w:val="000000" w:themeColor="text1"/>
          <w:szCs w:val="24"/>
        </w:rPr>
        <w:t>pr</w:t>
      </w:r>
      <w:r w:rsidR="000B7187" w:rsidRPr="007E3447">
        <w:rPr>
          <w:color w:val="000000" w:themeColor="text1"/>
          <w:szCs w:val="24"/>
        </w:rPr>
        <w:t xml:space="preserve">imary </w:t>
      </w:r>
      <w:proofErr w:type="spellStart"/>
      <w:r w:rsidR="000B7187" w:rsidRPr="007E3447">
        <w:rPr>
          <w:color w:val="000000" w:themeColor="text1"/>
          <w:szCs w:val="24"/>
        </w:rPr>
        <w:t>hypercoagulable</w:t>
      </w:r>
      <w:proofErr w:type="spellEnd"/>
      <w:r w:rsidR="000B7187" w:rsidRPr="007E3447">
        <w:rPr>
          <w:color w:val="000000" w:themeColor="text1"/>
          <w:szCs w:val="24"/>
        </w:rPr>
        <w:t xml:space="preserve"> state, on lifelong anticoagulation</w:t>
      </w:r>
      <w:r w:rsidR="000B7187" w:rsidRPr="007E3447">
        <w:rPr>
          <w:color w:val="auto"/>
        </w:rPr>
        <w:t xml:space="preserve"> condition as unfitting</w:t>
      </w:r>
      <w:r w:rsidR="000B7187" w:rsidRPr="007E3447">
        <w:rPr>
          <w:color w:val="000000" w:themeColor="text1"/>
          <w:szCs w:val="24"/>
        </w:rPr>
        <w:t xml:space="preserve"> </w:t>
      </w:r>
      <w:r w:rsidR="00807A60" w:rsidRPr="007E3447">
        <w:rPr>
          <w:color w:val="000000" w:themeColor="text1"/>
          <w:szCs w:val="24"/>
        </w:rPr>
        <w:t xml:space="preserve">(with contributing category </w:t>
      </w:r>
      <w:r w:rsidR="00185E58">
        <w:rPr>
          <w:color w:val="000000" w:themeColor="text1"/>
          <w:szCs w:val="24"/>
        </w:rPr>
        <w:t>II</w:t>
      </w:r>
      <w:r w:rsidR="00807A60" w:rsidRPr="007E3447">
        <w:rPr>
          <w:color w:val="000000" w:themeColor="text1"/>
          <w:szCs w:val="24"/>
        </w:rPr>
        <w:t xml:space="preserve"> chronic thromboembolic disease and venous stasis) and </w:t>
      </w:r>
      <w:r w:rsidR="00723C43" w:rsidRPr="007E3447">
        <w:rPr>
          <w:color w:val="000000" w:themeColor="text1"/>
          <w:szCs w:val="24"/>
        </w:rPr>
        <w:t xml:space="preserve">the CI was </w:t>
      </w:r>
      <w:r w:rsidR="000B7187" w:rsidRPr="007E3447">
        <w:rPr>
          <w:color w:val="000000" w:themeColor="text1"/>
          <w:szCs w:val="24"/>
        </w:rPr>
        <w:t>rated at 40%</w:t>
      </w:r>
      <w:r w:rsidR="00723C43" w:rsidRPr="007E3447">
        <w:rPr>
          <w:color w:val="000000" w:themeColor="text1"/>
          <w:szCs w:val="24"/>
        </w:rPr>
        <w:t xml:space="preserve"> and placed on </w:t>
      </w:r>
      <w:r w:rsidR="00AF7839">
        <w:rPr>
          <w:color w:val="000000" w:themeColor="text1"/>
          <w:szCs w:val="24"/>
        </w:rPr>
        <w:t xml:space="preserve">the </w:t>
      </w:r>
      <w:r w:rsidR="00723C43" w:rsidRPr="007E3447">
        <w:rPr>
          <w:color w:val="000000" w:themeColor="text1"/>
          <w:szCs w:val="24"/>
        </w:rPr>
        <w:t>Temporary Disability Retired List (TDRL)</w:t>
      </w:r>
      <w:r w:rsidR="00807A60" w:rsidRPr="007E3447">
        <w:rPr>
          <w:color w:val="000000" w:themeColor="text1"/>
          <w:szCs w:val="24"/>
        </w:rPr>
        <w:t xml:space="preserve">. </w:t>
      </w:r>
      <w:r w:rsidR="00723C43" w:rsidRPr="007E3447">
        <w:rPr>
          <w:color w:val="000000" w:themeColor="text1"/>
          <w:szCs w:val="24"/>
        </w:rPr>
        <w:t xml:space="preserve"> </w:t>
      </w:r>
      <w:r w:rsidR="00F867F7" w:rsidRPr="007E3447">
        <w:rPr>
          <w:color w:val="000000" w:themeColor="text1"/>
          <w:szCs w:val="24"/>
        </w:rPr>
        <w:t xml:space="preserve">The PEB </w:t>
      </w:r>
      <w:r w:rsidR="00185E58">
        <w:rPr>
          <w:color w:val="000000" w:themeColor="text1"/>
          <w:szCs w:val="24"/>
        </w:rPr>
        <w:t>w</w:t>
      </w:r>
      <w:r w:rsidR="00F867F7" w:rsidRPr="007E3447">
        <w:rPr>
          <w:color w:val="000000" w:themeColor="text1"/>
          <w:szCs w:val="24"/>
        </w:rPr>
        <w:t>orksheet (JDETS) referenced application of the SECNAVINST (1850.4E)</w:t>
      </w:r>
      <w:r w:rsidR="00807A60" w:rsidRPr="007E3447">
        <w:rPr>
          <w:color w:val="000000" w:themeColor="text1"/>
          <w:szCs w:val="24"/>
        </w:rPr>
        <w:t xml:space="preserve"> for rating and TDRL</w:t>
      </w:r>
      <w:r w:rsidR="00F867F7" w:rsidRPr="007E3447">
        <w:rPr>
          <w:color w:val="000000" w:themeColor="text1"/>
          <w:szCs w:val="24"/>
        </w:rPr>
        <w:t xml:space="preserve">.  </w:t>
      </w:r>
      <w:r w:rsidR="00723C43" w:rsidRPr="007E3447">
        <w:rPr>
          <w:color w:val="auto"/>
        </w:rPr>
        <w:t xml:space="preserve">Following </w:t>
      </w:r>
      <w:r w:rsidR="00807A60" w:rsidRPr="007E3447">
        <w:rPr>
          <w:color w:val="auto"/>
        </w:rPr>
        <w:t xml:space="preserve">TDRL </w:t>
      </w:r>
      <w:r w:rsidR="00723C43" w:rsidRPr="007E3447">
        <w:rPr>
          <w:color w:val="auto"/>
        </w:rPr>
        <w:t>re-evaluation, i</w:t>
      </w:r>
      <w:r w:rsidR="00723C43" w:rsidRPr="007E3447">
        <w:rPr>
          <w:color w:val="000000" w:themeColor="text1"/>
          <w:szCs w:val="24"/>
        </w:rPr>
        <w:t xml:space="preserve">n September 2007, the PEB adjudicated the </w:t>
      </w:r>
      <w:r w:rsidR="0068639B" w:rsidRPr="007E3447">
        <w:rPr>
          <w:color w:val="000000" w:themeColor="text1"/>
          <w:szCs w:val="24"/>
        </w:rPr>
        <w:t>p</w:t>
      </w:r>
      <w:r w:rsidR="00723C43" w:rsidRPr="007E3447">
        <w:rPr>
          <w:color w:val="000000" w:themeColor="text1"/>
          <w:szCs w:val="24"/>
        </w:rPr>
        <w:t>rimary hypercoagulable state, on lifelong anticoagulation</w:t>
      </w:r>
      <w:r w:rsidR="00723C43" w:rsidRPr="007E3447">
        <w:rPr>
          <w:color w:val="auto"/>
        </w:rPr>
        <w:t xml:space="preserve"> condition</w:t>
      </w:r>
      <w:r w:rsidR="00723C43" w:rsidRPr="007E3447">
        <w:rPr>
          <w:color w:val="000000" w:themeColor="text1"/>
          <w:szCs w:val="24"/>
        </w:rPr>
        <w:t xml:space="preserve"> at 10% with the same category </w:t>
      </w:r>
      <w:r w:rsidR="00185E58">
        <w:rPr>
          <w:color w:val="000000" w:themeColor="text1"/>
          <w:szCs w:val="24"/>
        </w:rPr>
        <w:t>II</w:t>
      </w:r>
      <w:r w:rsidR="00723C43" w:rsidRPr="007E3447">
        <w:rPr>
          <w:color w:val="000000" w:themeColor="text1"/>
          <w:szCs w:val="24"/>
        </w:rPr>
        <w:t xml:space="preserve"> diagnoses as the initial PEB</w:t>
      </w:r>
      <w:r w:rsidR="00E5039A" w:rsidRPr="007E3447">
        <w:rPr>
          <w:color w:val="000000" w:themeColor="text1"/>
          <w:szCs w:val="24"/>
        </w:rPr>
        <w:t xml:space="preserve">, with likely application of </w:t>
      </w:r>
      <w:r w:rsidR="00756A03" w:rsidRPr="007E3447">
        <w:rPr>
          <w:rFonts w:cs="Times New Roman"/>
          <w:color w:val="auto"/>
        </w:rPr>
        <w:t>SECNAVINST 1850.4E and/or DoDI 1332.39</w:t>
      </w:r>
      <w:r w:rsidR="00723C43" w:rsidRPr="007E3447">
        <w:rPr>
          <w:color w:val="000000" w:themeColor="text1"/>
          <w:szCs w:val="24"/>
        </w:rPr>
        <w:t xml:space="preserve">.  </w:t>
      </w:r>
      <w:r w:rsidR="00723C43" w:rsidRPr="007E3447">
        <w:rPr>
          <w:color w:val="000000" w:themeColor="text1"/>
        </w:rPr>
        <w:t xml:space="preserve">The CI appealed to the </w:t>
      </w:r>
      <w:r w:rsidR="00185E58">
        <w:rPr>
          <w:color w:val="000000" w:themeColor="text1"/>
        </w:rPr>
        <w:t>F</w:t>
      </w:r>
      <w:r w:rsidR="00723C43" w:rsidRPr="007E3447">
        <w:rPr>
          <w:color w:val="000000" w:themeColor="text1"/>
        </w:rPr>
        <w:t xml:space="preserve">ormal PEB (FPEB) which confirmed the PEB 10% adjudication.  The CI did not seek a petition for relief, and was medically separated with a 10% combined disability rating.  </w:t>
      </w:r>
    </w:p>
    <w:p w:rsidR="00042978" w:rsidRPr="007E3447" w:rsidRDefault="00042978" w:rsidP="00042978">
      <w:pPr>
        <w:pBdr>
          <w:bottom w:val="single" w:sz="12" w:space="1" w:color="auto"/>
        </w:pBdr>
        <w:tabs>
          <w:tab w:val="left" w:pos="288"/>
          <w:tab w:val="left" w:pos="4752"/>
        </w:tabs>
        <w:jc w:val="both"/>
        <w:rPr>
          <w:color w:val="auto"/>
        </w:rPr>
      </w:pPr>
    </w:p>
    <w:p w:rsidR="00042978" w:rsidRPr="007E3447" w:rsidRDefault="00042978" w:rsidP="00042978">
      <w:pPr>
        <w:jc w:val="left"/>
        <w:rPr>
          <w:color w:val="auto"/>
          <w:u w:val="single"/>
        </w:rPr>
      </w:pPr>
    </w:p>
    <w:p w:rsidR="002F13B0" w:rsidRPr="007E3447" w:rsidRDefault="00AD2379" w:rsidP="002F13B0">
      <w:pPr>
        <w:tabs>
          <w:tab w:val="left" w:pos="288"/>
          <w:tab w:val="left" w:pos="4752"/>
        </w:tabs>
        <w:jc w:val="both"/>
        <w:rPr>
          <w:rFonts w:eastAsiaTheme="minorHAnsi"/>
          <w:color w:val="000000" w:themeColor="text1"/>
          <w:szCs w:val="24"/>
        </w:rPr>
      </w:pPr>
      <w:r w:rsidRPr="007E3447">
        <w:rPr>
          <w:color w:val="auto"/>
          <w:u w:val="single"/>
        </w:rPr>
        <w:t>CI CONTENTION</w:t>
      </w:r>
      <w:r w:rsidRPr="007E3447">
        <w:rPr>
          <w:color w:val="auto"/>
        </w:rPr>
        <w:t>:</w:t>
      </w:r>
      <w:r w:rsidR="0066684A" w:rsidRPr="007E3447">
        <w:rPr>
          <w:color w:val="auto"/>
        </w:rPr>
        <w:t xml:space="preserve"> </w:t>
      </w:r>
      <w:r w:rsidR="006F674E" w:rsidRPr="007E3447">
        <w:rPr>
          <w:color w:val="auto"/>
        </w:rPr>
        <w:t xml:space="preserve"> </w:t>
      </w:r>
      <w:r w:rsidR="002F13B0" w:rsidRPr="007E3447">
        <w:rPr>
          <w:rFonts w:eastAsiaTheme="minorHAnsi"/>
          <w:color w:val="000000" w:themeColor="text1"/>
          <w:szCs w:val="24"/>
        </w:rPr>
        <w:t xml:space="preserve">“I continue to have the condition that I was the reason of my </w:t>
      </w:r>
      <w:proofErr w:type="gramStart"/>
      <w:r w:rsidR="002F13B0" w:rsidRPr="007E3447">
        <w:rPr>
          <w:rFonts w:eastAsiaTheme="minorHAnsi"/>
          <w:color w:val="000000" w:themeColor="text1"/>
          <w:szCs w:val="24"/>
        </w:rPr>
        <w:t>separation,</w:t>
      </w:r>
      <w:proofErr w:type="gramEnd"/>
      <w:r w:rsidR="002F13B0" w:rsidRPr="007E3447">
        <w:rPr>
          <w:rFonts w:eastAsiaTheme="minorHAnsi"/>
          <w:color w:val="000000" w:themeColor="text1"/>
          <w:szCs w:val="24"/>
        </w:rPr>
        <w:t xml:space="preserve"> I was found unfit to continue in the Marine Corps and was taken off of Temporary Disability Retirement List (TDRL) and discharged. </w:t>
      </w:r>
      <w:r w:rsidR="00CC76E4" w:rsidRPr="007E3447">
        <w:rPr>
          <w:rFonts w:eastAsiaTheme="minorHAnsi"/>
          <w:color w:val="000000" w:themeColor="text1"/>
          <w:szCs w:val="24"/>
        </w:rPr>
        <w:t xml:space="preserve"> </w:t>
      </w:r>
      <w:r w:rsidR="002F13B0" w:rsidRPr="007E3447">
        <w:rPr>
          <w:rFonts w:eastAsiaTheme="minorHAnsi"/>
          <w:color w:val="000000" w:themeColor="text1"/>
          <w:szCs w:val="24"/>
        </w:rPr>
        <w:t>I was taken off of TDRL due to my condition remaining the same</w:t>
      </w:r>
      <w:r w:rsidR="0068639B" w:rsidRPr="007E3447">
        <w:rPr>
          <w:rFonts w:eastAsiaTheme="minorHAnsi"/>
          <w:color w:val="000000" w:themeColor="text1"/>
          <w:szCs w:val="24"/>
        </w:rPr>
        <w:t xml:space="preserve">. </w:t>
      </w:r>
      <w:r w:rsidR="002F13B0" w:rsidRPr="007E3447">
        <w:rPr>
          <w:rFonts w:eastAsiaTheme="minorHAnsi"/>
          <w:color w:val="000000" w:themeColor="text1"/>
          <w:szCs w:val="24"/>
        </w:rPr>
        <w:t xml:space="preserve"> If my condition was found to be the same I should have been placed on Permanent Disabled Retirement List (PDRL).” </w:t>
      </w:r>
      <w:r w:rsidR="00CC76E4" w:rsidRPr="007E3447">
        <w:rPr>
          <w:rFonts w:eastAsiaTheme="minorHAnsi"/>
          <w:color w:val="000000" w:themeColor="text1"/>
          <w:szCs w:val="24"/>
        </w:rPr>
        <w:t xml:space="preserve"> </w:t>
      </w:r>
    </w:p>
    <w:p w:rsidR="00CC76E4" w:rsidRPr="007E3447" w:rsidRDefault="00CC76E4" w:rsidP="00CC76E4">
      <w:pPr>
        <w:pBdr>
          <w:bottom w:val="single" w:sz="12" w:space="1" w:color="auto"/>
        </w:pBdr>
        <w:tabs>
          <w:tab w:val="left" w:pos="288"/>
          <w:tab w:val="left" w:pos="4752"/>
        </w:tabs>
        <w:jc w:val="both"/>
        <w:rPr>
          <w:color w:val="auto"/>
        </w:rPr>
      </w:pPr>
    </w:p>
    <w:p w:rsidR="00CC76E4" w:rsidRPr="007E3447" w:rsidRDefault="00CC76E4" w:rsidP="00CC76E4">
      <w:pPr>
        <w:jc w:val="left"/>
        <w:rPr>
          <w:color w:val="auto"/>
          <w:u w:val="single"/>
        </w:rPr>
      </w:pPr>
    </w:p>
    <w:p w:rsidR="00E11945" w:rsidRPr="007E3447" w:rsidRDefault="00921F7F" w:rsidP="00DD5558">
      <w:pPr>
        <w:jc w:val="both"/>
        <w:rPr>
          <w:color w:val="auto"/>
        </w:rPr>
      </w:pPr>
      <w:r w:rsidRPr="007E3447">
        <w:rPr>
          <w:color w:val="auto"/>
          <w:u w:val="single"/>
        </w:rPr>
        <w:t>SCOPE OF REVIEW</w:t>
      </w:r>
      <w:r w:rsidRPr="007E3447">
        <w:rPr>
          <w:color w:val="auto"/>
        </w:rPr>
        <w:t xml:space="preserve">:  </w:t>
      </w:r>
      <w:r w:rsidR="00E11945" w:rsidRPr="007E3447">
        <w:rPr>
          <w:color w:val="auto"/>
        </w:rPr>
        <w:t>The Board wishes to clarify that the scope of its review as defined in DoDI 6040.44, Enclosure 3, paragraph 5.e</w:t>
      </w:r>
      <w:proofErr w:type="gramStart"/>
      <w:r w:rsidR="00E11945" w:rsidRPr="007E3447">
        <w:rPr>
          <w:color w:val="auto"/>
        </w:rPr>
        <w:t>.(</w:t>
      </w:r>
      <w:proofErr w:type="gramEnd"/>
      <w:r w:rsidR="00E11945" w:rsidRPr="007E3447">
        <w:rPr>
          <w:color w:val="auto"/>
        </w:rPr>
        <w:t>2) is limited to those conditions which were determined by the PEB to be specifically unfitting for continued military service; or, when requested by the CI, those condition(s) “identified but not determined to be unfitting by the PEB</w:t>
      </w:r>
      <w:r w:rsidR="00185E58">
        <w:rPr>
          <w:color w:val="auto"/>
        </w:rPr>
        <w:t>.</w:t>
      </w:r>
      <w:r w:rsidR="00E11945" w:rsidRPr="007E3447">
        <w:rPr>
          <w:color w:val="auto"/>
        </w:rPr>
        <w:t xml:space="preserve">”  The ratings for unfitting conditions will be reviewed in all cases.  The </w:t>
      </w:r>
      <w:r w:rsidR="0068639B" w:rsidRPr="007E3447">
        <w:rPr>
          <w:color w:val="auto"/>
        </w:rPr>
        <w:t xml:space="preserve">FPEB </w:t>
      </w:r>
      <w:r w:rsidR="00E11945" w:rsidRPr="007E3447">
        <w:rPr>
          <w:color w:val="auto"/>
        </w:rPr>
        <w:t>condition</w:t>
      </w:r>
      <w:r w:rsidR="0068639B" w:rsidRPr="007E3447">
        <w:rPr>
          <w:color w:val="auto"/>
        </w:rPr>
        <w:t>s of</w:t>
      </w:r>
      <w:r w:rsidR="00E11945" w:rsidRPr="007E3447">
        <w:rPr>
          <w:color w:val="auto"/>
        </w:rPr>
        <w:t xml:space="preserve"> </w:t>
      </w:r>
      <w:r w:rsidR="00185E58">
        <w:rPr>
          <w:color w:val="000000" w:themeColor="text1"/>
          <w:szCs w:val="24"/>
        </w:rPr>
        <w:t>p</w:t>
      </w:r>
      <w:r w:rsidR="00E11945" w:rsidRPr="007E3447">
        <w:rPr>
          <w:color w:val="000000" w:themeColor="text1"/>
          <w:szCs w:val="24"/>
        </w:rPr>
        <w:t>rimary hypercoagulable state, on lifelong anticoagulation</w:t>
      </w:r>
      <w:r w:rsidR="0068639B" w:rsidRPr="007E3447">
        <w:rPr>
          <w:color w:val="000000" w:themeColor="text1"/>
          <w:szCs w:val="24"/>
        </w:rPr>
        <w:t xml:space="preserve">; and category </w:t>
      </w:r>
      <w:r w:rsidR="00185E58">
        <w:rPr>
          <w:color w:val="000000" w:themeColor="text1"/>
          <w:szCs w:val="24"/>
        </w:rPr>
        <w:t>II</w:t>
      </w:r>
      <w:r w:rsidR="0068639B" w:rsidRPr="007E3447">
        <w:rPr>
          <w:color w:val="000000" w:themeColor="text1"/>
          <w:szCs w:val="24"/>
        </w:rPr>
        <w:t xml:space="preserve"> diagnoses of chronic venous stasis due to thrombophlebitis of the lower extremities</w:t>
      </w:r>
      <w:r w:rsidR="00807A60" w:rsidRPr="007E3447">
        <w:rPr>
          <w:color w:val="000000" w:themeColor="text1"/>
          <w:szCs w:val="24"/>
        </w:rPr>
        <w:t xml:space="preserve"> (R&gt;L)</w:t>
      </w:r>
      <w:r w:rsidR="0068639B" w:rsidRPr="007E3447">
        <w:rPr>
          <w:color w:val="000000" w:themeColor="text1"/>
          <w:szCs w:val="24"/>
        </w:rPr>
        <w:t xml:space="preserve">, and chronic thromboembolic disease status post pulmonary </w:t>
      </w:r>
      <w:r w:rsidR="00F53BF6" w:rsidRPr="007E3447">
        <w:rPr>
          <w:color w:val="000000" w:themeColor="text1"/>
          <w:szCs w:val="24"/>
        </w:rPr>
        <w:t>thromboendarterectomy</w:t>
      </w:r>
      <w:r w:rsidR="0068639B" w:rsidRPr="007E3447">
        <w:rPr>
          <w:color w:val="000000" w:themeColor="text1"/>
          <w:szCs w:val="24"/>
        </w:rPr>
        <w:t>,</w:t>
      </w:r>
      <w:r w:rsidR="00E11945" w:rsidRPr="007E3447">
        <w:rPr>
          <w:color w:val="auto"/>
        </w:rPr>
        <w:t xml:space="preserve"> </w:t>
      </w:r>
      <w:r w:rsidR="0068639B" w:rsidRPr="007E3447">
        <w:rPr>
          <w:color w:val="auto"/>
        </w:rPr>
        <w:t xml:space="preserve">are considered </w:t>
      </w:r>
      <w:r w:rsidR="00E11945" w:rsidRPr="007E3447">
        <w:rPr>
          <w:color w:val="auto"/>
        </w:rPr>
        <w:t xml:space="preserve">as requested for consideration </w:t>
      </w:r>
      <w:r w:rsidR="0068639B" w:rsidRPr="007E3447">
        <w:rPr>
          <w:color w:val="auto"/>
        </w:rPr>
        <w:t xml:space="preserve">and </w:t>
      </w:r>
      <w:r w:rsidR="00E11945" w:rsidRPr="007E3447">
        <w:rPr>
          <w:color w:val="auto"/>
        </w:rPr>
        <w:t xml:space="preserve">meet the criteria prescribed in DoDI 6040.44 for Board purview; and, </w:t>
      </w:r>
      <w:r w:rsidR="0068639B" w:rsidRPr="007E3447">
        <w:rPr>
          <w:color w:val="auto"/>
        </w:rPr>
        <w:t>are</w:t>
      </w:r>
      <w:r w:rsidR="00E11945" w:rsidRPr="007E3447">
        <w:rPr>
          <w:color w:val="auto"/>
        </w:rPr>
        <w:t xml:space="preserve"> addressed below.</w:t>
      </w:r>
      <w:r w:rsidR="0068639B" w:rsidRPr="007E3447">
        <w:rPr>
          <w:color w:val="auto"/>
        </w:rPr>
        <w:t xml:space="preserve">  </w:t>
      </w:r>
      <w:r w:rsidR="00E11945" w:rsidRPr="007E3447">
        <w:rPr>
          <w:color w:val="auto"/>
        </w:rPr>
        <w:t xml:space="preserve">Any conditions or contention not requested in this application, or otherwise </w:t>
      </w:r>
      <w:r w:rsidR="00E11945" w:rsidRPr="007E3447">
        <w:rPr>
          <w:color w:val="auto"/>
        </w:rPr>
        <w:lastRenderedPageBreak/>
        <w:t xml:space="preserve">outside the Board’s defined scope of review, remain eligible for future consideration by the Board for Correction of Naval Records (BCNR).  </w:t>
      </w:r>
    </w:p>
    <w:p w:rsidR="000B63CF" w:rsidRPr="007E3447" w:rsidRDefault="000B63CF" w:rsidP="000B63CF">
      <w:pPr>
        <w:pBdr>
          <w:bottom w:val="single" w:sz="12" w:space="1" w:color="auto"/>
        </w:pBdr>
        <w:tabs>
          <w:tab w:val="left" w:pos="288"/>
          <w:tab w:val="left" w:pos="4752"/>
        </w:tabs>
        <w:jc w:val="both"/>
        <w:rPr>
          <w:color w:val="auto"/>
        </w:rPr>
      </w:pPr>
    </w:p>
    <w:p w:rsidR="00921F7F" w:rsidRPr="007E3447" w:rsidRDefault="00921F7F" w:rsidP="00BF0E94">
      <w:pPr>
        <w:tabs>
          <w:tab w:val="left" w:pos="288"/>
          <w:tab w:val="left" w:pos="4752"/>
        </w:tabs>
        <w:jc w:val="both"/>
        <w:rPr>
          <w:color w:val="auto"/>
        </w:rPr>
      </w:pPr>
    </w:p>
    <w:p w:rsidR="00AD2379" w:rsidRPr="007E3447" w:rsidRDefault="00AD2379" w:rsidP="00BF0E94">
      <w:pPr>
        <w:jc w:val="left"/>
        <w:rPr>
          <w:color w:val="auto"/>
        </w:rPr>
      </w:pPr>
      <w:r w:rsidRPr="007E3447">
        <w:rPr>
          <w:color w:val="auto"/>
          <w:u w:val="single"/>
        </w:rPr>
        <w:t>RATING COMPARISON</w:t>
      </w:r>
      <w:r w:rsidRPr="007E3447">
        <w:rPr>
          <w:color w:val="auto"/>
        </w:rPr>
        <w:t xml:space="preserve">: </w:t>
      </w:r>
      <w:r w:rsidR="00855E73" w:rsidRPr="007E3447">
        <w:rPr>
          <w:color w:val="auto"/>
        </w:rPr>
        <w:t xml:space="preserve"> </w:t>
      </w:r>
    </w:p>
    <w:p w:rsidR="00F90376" w:rsidRPr="007E3447" w:rsidRDefault="00F90376" w:rsidP="00F90376">
      <w:pPr>
        <w:jc w:val="both"/>
        <w:rPr>
          <w:color w:val="auto"/>
        </w:rPr>
      </w:pPr>
    </w:p>
    <w:tbl>
      <w:tblPr>
        <w:tblStyle w:val="TableGrid"/>
        <w:tblW w:w="9293" w:type="dxa"/>
        <w:jc w:val="center"/>
        <w:tblInd w:w="406" w:type="dxa"/>
        <w:tblLayout w:type="fixed"/>
        <w:tblCellMar>
          <w:left w:w="115" w:type="dxa"/>
          <w:right w:w="115" w:type="dxa"/>
        </w:tblCellMar>
        <w:tblLook w:val="00A0" w:firstRow="1" w:lastRow="0" w:firstColumn="1" w:lastColumn="0" w:noHBand="0" w:noVBand="0"/>
      </w:tblPr>
      <w:tblGrid>
        <w:gridCol w:w="2487"/>
        <w:gridCol w:w="1023"/>
        <w:gridCol w:w="630"/>
        <w:gridCol w:w="630"/>
        <w:gridCol w:w="2160"/>
        <w:gridCol w:w="630"/>
        <w:gridCol w:w="720"/>
        <w:gridCol w:w="1013"/>
      </w:tblGrid>
      <w:tr w:rsidR="00F90376" w:rsidRPr="007E3447" w:rsidTr="006C49F7">
        <w:trPr>
          <w:trHeight w:val="170"/>
          <w:jc w:val="center"/>
        </w:trPr>
        <w:tc>
          <w:tcPr>
            <w:tcW w:w="4770" w:type="dxa"/>
            <w:gridSpan w:val="4"/>
            <w:tcBorders>
              <w:right w:val="thinThickThinSmallGap" w:sz="24" w:space="0" w:color="auto"/>
            </w:tcBorders>
            <w:shd w:val="clear" w:color="auto" w:fill="D9D9D9"/>
            <w:vAlign w:val="center"/>
          </w:tcPr>
          <w:p w:rsidR="00F90376" w:rsidRPr="007E3447" w:rsidRDefault="00F90376" w:rsidP="00081814">
            <w:pPr>
              <w:spacing w:line="180" w:lineRule="exact"/>
              <w:contextualSpacing/>
              <w:rPr>
                <w:rFonts w:cs="Calibri"/>
                <w:b/>
                <w:color w:val="auto"/>
                <w:sz w:val="18"/>
              </w:rPr>
            </w:pPr>
            <w:r w:rsidRPr="007E3447">
              <w:rPr>
                <w:b/>
                <w:color w:val="auto"/>
                <w:sz w:val="18"/>
              </w:rPr>
              <w:t xml:space="preserve">Service FPEB – Dated </w:t>
            </w:r>
            <w:r w:rsidR="00D8087A" w:rsidRPr="007E3447">
              <w:rPr>
                <w:b/>
                <w:color w:val="auto"/>
                <w:sz w:val="18"/>
                <w:szCs w:val="18"/>
              </w:rPr>
              <w:t>20080130</w:t>
            </w:r>
          </w:p>
        </w:tc>
        <w:tc>
          <w:tcPr>
            <w:tcW w:w="4523" w:type="dxa"/>
            <w:gridSpan w:val="4"/>
            <w:tcBorders>
              <w:left w:val="thinThickThinSmallGap" w:sz="24" w:space="0" w:color="auto"/>
            </w:tcBorders>
            <w:shd w:val="clear" w:color="auto" w:fill="D9D9D9"/>
            <w:vAlign w:val="center"/>
          </w:tcPr>
          <w:p w:rsidR="00F90376" w:rsidRPr="007E3447" w:rsidRDefault="00F90376" w:rsidP="004808CD">
            <w:pPr>
              <w:spacing w:line="180" w:lineRule="exact"/>
              <w:contextualSpacing/>
              <w:rPr>
                <w:rFonts w:cs="Calibri"/>
                <w:b/>
                <w:color w:val="auto"/>
                <w:sz w:val="18"/>
              </w:rPr>
            </w:pPr>
            <w:r w:rsidRPr="007E3447">
              <w:rPr>
                <w:b/>
                <w:color w:val="auto"/>
                <w:sz w:val="18"/>
              </w:rPr>
              <w:t>VA (</w:t>
            </w:r>
            <w:r w:rsidR="004808CD" w:rsidRPr="007E3447">
              <w:rPr>
                <w:b/>
                <w:color w:val="auto"/>
                <w:sz w:val="18"/>
              </w:rPr>
              <w:t>2</w:t>
            </w:r>
            <w:r w:rsidR="006C49F7" w:rsidRPr="007E3447">
              <w:rPr>
                <w:b/>
                <w:color w:val="auto"/>
                <w:sz w:val="18"/>
              </w:rPr>
              <w:t xml:space="preserve"> Mo</w:t>
            </w:r>
            <w:r w:rsidRPr="007E3447">
              <w:rPr>
                <w:b/>
                <w:color w:val="auto"/>
                <w:sz w:val="18"/>
              </w:rPr>
              <w:t>. Pre-</w:t>
            </w:r>
            <w:r w:rsidR="004808CD" w:rsidRPr="007E3447">
              <w:rPr>
                <w:b/>
                <w:color w:val="auto"/>
                <w:sz w:val="18"/>
              </w:rPr>
              <w:t>TDRL</w:t>
            </w:r>
            <w:r w:rsidRPr="007E3447">
              <w:rPr>
                <w:b/>
                <w:color w:val="auto"/>
                <w:sz w:val="18"/>
              </w:rPr>
              <w:t xml:space="preserve">) – All Effective Date </w:t>
            </w:r>
            <w:r w:rsidR="00D8087A" w:rsidRPr="007E3447">
              <w:rPr>
                <w:b/>
                <w:color w:val="auto"/>
                <w:sz w:val="18"/>
                <w:szCs w:val="18"/>
              </w:rPr>
              <w:t>20051015</w:t>
            </w:r>
          </w:p>
        </w:tc>
      </w:tr>
      <w:tr w:rsidR="00E5039A" w:rsidRPr="007E3447" w:rsidTr="00E5039A">
        <w:trPr>
          <w:trHeight w:val="97"/>
          <w:jc w:val="center"/>
        </w:trPr>
        <w:tc>
          <w:tcPr>
            <w:tcW w:w="2487" w:type="dxa"/>
            <w:tcBorders>
              <w:bottom w:val="single" w:sz="4" w:space="0" w:color="000000"/>
              <w:right w:val="single" w:sz="4" w:space="0" w:color="auto"/>
            </w:tcBorders>
            <w:shd w:val="clear" w:color="auto" w:fill="D9D9D9"/>
            <w:vAlign w:val="center"/>
          </w:tcPr>
          <w:p w:rsidR="00081814" w:rsidRPr="007E3447" w:rsidRDefault="00081814" w:rsidP="006B690F">
            <w:pPr>
              <w:spacing w:line="180" w:lineRule="exact"/>
              <w:contextualSpacing/>
              <w:rPr>
                <w:rFonts w:cs="Calibri"/>
                <w:b/>
                <w:color w:val="auto"/>
                <w:sz w:val="18"/>
              </w:rPr>
            </w:pPr>
            <w:r w:rsidRPr="007E3447">
              <w:rPr>
                <w:b/>
                <w:color w:val="auto"/>
                <w:sz w:val="18"/>
              </w:rPr>
              <w:t>Condition</w:t>
            </w:r>
          </w:p>
        </w:tc>
        <w:tc>
          <w:tcPr>
            <w:tcW w:w="1023" w:type="dxa"/>
            <w:vMerge w:val="restart"/>
            <w:tcBorders>
              <w:left w:val="single" w:sz="4" w:space="0" w:color="auto"/>
            </w:tcBorders>
            <w:shd w:val="clear" w:color="auto" w:fill="D9D9D9"/>
            <w:vAlign w:val="center"/>
          </w:tcPr>
          <w:p w:rsidR="00081814" w:rsidRPr="007E3447" w:rsidRDefault="00081814" w:rsidP="006B690F">
            <w:pPr>
              <w:spacing w:line="180" w:lineRule="exact"/>
              <w:contextualSpacing/>
              <w:rPr>
                <w:rFonts w:cs="Calibri"/>
                <w:b/>
                <w:color w:val="auto"/>
                <w:sz w:val="18"/>
              </w:rPr>
            </w:pPr>
            <w:r w:rsidRPr="007E3447">
              <w:rPr>
                <w:b/>
                <w:color w:val="auto"/>
                <w:sz w:val="18"/>
              </w:rPr>
              <w:t>Code</w:t>
            </w:r>
          </w:p>
        </w:tc>
        <w:tc>
          <w:tcPr>
            <w:tcW w:w="1260" w:type="dxa"/>
            <w:gridSpan w:val="2"/>
            <w:tcBorders>
              <w:bottom w:val="single" w:sz="4" w:space="0" w:color="000000"/>
              <w:right w:val="thinThickThinSmallGap" w:sz="24" w:space="0" w:color="auto"/>
            </w:tcBorders>
            <w:shd w:val="clear" w:color="auto" w:fill="D9D9D9"/>
            <w:vAlign w:val="center"/>
          </w:tcPr>
          <w:p w:rsidR="00081814" w:rsidRPr="007E3447" w:rsidRDefault="00081814" w:rsidP="006B690F">
            <w:pPr>
              <w:spacing w:line="180" w:lineRule="exact"/>
              <w:contextualSpacing/>
              <w:rPr>
                <w:b/>
                <w:color w:val="auto"/>
                <w:sz w:val="18"/>
              </w:rPr>
            </w:pPr>
            <w:r w:rsidRPr="007E3447">
              <w:rPr>
                <w:b/>
                <w:color w:val="auto"/>
                <w:sz w:val="18"/>
              </w:rPr>
              <w:t>Rating</w:t>
            </w:r>
          </w:p>
        </w:tc>
        <w:tc>
          <w:tcPr>
            <w:tcW w:w="2160" w:type="dxa"/>
            <w:vMerge w:val="restart"/>
            <w:tcBorders>
              <w:left w:val="thinThickThinSmallGap" w:sz="24" w:space="0" w:color="auto"/>
            </w:tcBorders>
            <w:shd w:val="clear" w:color="auto" w:fill="D9D9D9"/>
            <w:vAlign w:val="center"/>
          </w:tcPr>
          <w:p w:rsidR="00081814" w:rsidRPr="007E3447" w:rsidRDefault="00081814" w:rsidP="006B690F">
            <w:pPr>
              <w:spacing w:line="180" w:lineRule="exact"/>
              <w:contextualSpacing/>
              <w:rPr>
                <w:rFonts w:cs="Calibri"/>
                <w:b/>
                <w:color w:val="auto"/>
                <w:sz w:val="18"/>
              </w:rPr>
            </w:pPr>
            <w:r w:rsidRPr="007E3447">
              <w:rPr>
                <w:b/>
                <w:color w:val="auto"/>
                <w:sz w:val="18"/>
              </w:rPr>
              <w:t>Condition</w:t>
            </w:r>
          </w:p>
        </w:tc>
        <w:tc>
          <w:tcPr>
            <w:tcW w:w="630" w:type="dxa"/>
            <w:vMerge w:val="restart"/>
            <w:shd w:val="clear" w:color="auto" w:fill="D9D9D9"/>
            <w:vAlign w:val="center"/>
          </w:tcPr>
          <w:p w:rsidR="00081814" w:rsidRPr="007E3447" w:rsidRDefault="00081814" w:rsidP="006B690F">
            <w:pPr>
              <w:spacing w:line="180" w:lineRule="exact"/>
              <w:contextualSpacing/>
              <w:rPr>
                <w:rFonts w:cs="Calibri"/>
                <w:b/>
                <w:color w:val="auto"/>
                <w:sz w:val="18"/>
              </w:rPr>
            </w:pPr>
            <w:r w:rsidRPr="007E3447">
              <w:rPr>
                <w:b/>
                <w:color w:val="auto"/>
                <w:sz w:val="18"/>
              </w:rPr>
              <w:t>Code</w:t>
            </w:r>
          </w:p>
        </w:tc>
        <w:tc>
          <w:tcPr>
            <w:tcW w:w="720" w:type="dxa"/>
            <w:vMerge w:val="restart"/>
            <w:shd w:val="clear" w:color="auto" w:fill="D9D9D9"/>
            <w:vAlign w:val="center"/>
          </w:tcPr>
          <w:p w:rsidR="00081814" w:rsidRPr="007E3447" w:rsidRDefault="00081814" w:rsidP="006B690F">
            <w:pPr>
              <w:spacing w:line="180" w:lineRule="exact"/>
              <w:contextualSpacing/>
              <w:rPr>
                <w:rFonts w:cs="Calibri"/>
                <w:b/>
                <w:color w:val="auto"/>
                <w:sz w:val="18"/>
              </w:rPr>
            </w:pPr>
            <w:r w:rsidRPr="007E3447">
              <w:rPr>
                <w:b/>
                <w:color w:val="auto"/>
                <w:sz w:val="18"/>
              </w:rPr>
              <w:t>Rating</w:t>
            </w:r>
          </w:p>
        </w:tc>
        <w:tc>
          <w:tcPr>
            <w:tcW w:w="1013" w:type="dxa"/>
            <w:vMerge w:val="restart"/>
            <w:shd w:val="clear" w:color="auto" w:fill="D9D9D9"/>
            <w:vAlign w:val="center"/>
          </w:tcPr>
          <w:p w:rsidR="00081814" w:rsidRPr="007E3447" w:rsidRDefault="00081814" w:rsidP="006B690F">
            <w:pPr>
              <w:spacing w:line="180" w:lineRule="exact"/>
              <w:contextualSpacing/>
              <w:rPr>
                <w:rFonts w:cs="Calibri"/>
                <w:b/>
                <w:color w:val="auto"/>
                <w:sz w:val="18"/>
              </w:rPr>
            </w:pPr>
            <w:r w:rsidRPr="007E3447">
              <w:rPr>
                <w:b/>
                <w:color w:val="auto"/>
                <w:sz w:val="18"/>
              </w:rPr>
              <w:t>Exam</w:t>
            </w:r>
          </w:p>
        </w:tc>
      </w:tr>
      <w:tr w:rsidR="006C49F7" w:rsidRPr="007E3447" w:rsidTr="00E5039A">
        <w:trPr>
          <w:trHeight w:val="97"/>
          <w:jc w:val="center"/>
        </w:trPr>
        <w:tc>
          <w:tcPr>
            <w:tcW w:w="2487" w:type="dxa"/>
            <w:tcBorders>
              <w:bottom w:val="single" w:sz="4" w:space="0" w:color="000000"/>
              <w:right w:val="single" w:sz="4" w:space="0" w:color="auto"/>
            </w:tcBorders>
            <w:shd w:val="clear" w:color="auto" w:fill="D9D9D9"/>
            <w:vAlign w:val="center"/>
          </w:tcPr>
          <w:p w:rsidR="00081814" w:rsidRPr="007E3447" w:rsidRDefault="00081814" w:rsidP="00D8087A">
            <w:pPr>
              <w:contextualSpacing/>
              <w:rPr>
                <w:rFonts w:cstheme="minorHAnsi"/>
                <w:b/>
                <w:color w:val="auto"/>
                <w:sz w:val="18"/>
                <w:szCs w:val="18"/>
              </w:rPr>
            </w:pPr>
            <w:r w:rsidRPr="007E3447">
              <w:rPr>
                <w:b/>
                <w:color w:val="auto"/>
                <w:sz w:val="18"/>
                <w:szCs w:val="18"/>
              </w:rPr>
              <w:t>On TDRL – 20051014</w:t>
            </w:r>
          </w:p>
        </w:tc>
        <w:tc>
          <w:tcPr>
            <w:tcW w:w="1023" w:type="dxa"/>
            <w:vMerge/>
            <w:tcBorders>
              <w:left w:val="single" w:sz="4" w:space="0" w:color="auto"/>
              <w:bottom w:val="single" w:sz="4" w:space="0" w:color="000000"/>
            </w:tcBorders>
            <w:shd w:val="clear" w:color="auto" w:fill="D9D9D9"/>
            <w:vAlign w:val="center"/>
          </w:tcPr>
          <w:p w:rsidR="00081814" w:rsidRPr="007E3447" w:rsidRDefault="00081814" w:rsidP="00D8087A">
            <w:pPr>
              <w:contextualSpacing/>
              <w:rPr>
                <w:rFonts w:cstheme="minorHAnsi"/>
                <w:b/>
                <w:color w:val="auto"/>
                <w:sz w:val="18"/>
                <w:szCs w:val="18"/>
              </w:rPr>
            </w:pPr>
          </w:p>
        </w:tc>
        <w:tc>
          <w:tcPr>
            <w:tcW w:w="630" w:type="dxa"/>
            <w:tcBorders>
              <w:bottom w:val="single" w:sz="4" w:space="0" w:color="000000"/>
              <w:right w:val="single" w:sz="4" w:space="0" w:color="000000"/>
            </w:tcBorders>
            <w:shd w:val="clear" w:color="auto" w:fill="D9D9D9"/>
            <w:vAlign w:val="center"/>
          </w:tcPr>
          <w:p w:rsidR="00081814" w:rsidRPr="007E3447" w:rsidRDefault="00081814" w:rsidP="00D8087A">
            <w:pPr>
              <w:contextualSpacing/>
              <w:rPr>
                <w:rFonts w:cstheme="minorHAnsi"/>
                <w:b/>
                <w:color w:val="auto"/>
                <w:sz w:val="18"/>
                <w:szCs w:val="18"/>
              </w:rPr>
            </w:pPr>
            <w:r w:rsidRPr="007E3447">
              <w:rPr>
                <w:b/>
                <w:color w:val="auto"/>
                <w:sz w:val="18"/>
                <w:szCs w:val="18"/>
              </w:rPr>
              <w:t>TDRL</w:t>
            </w:r>
          </w:p>
        </w:tc>
        <w:tc>
          <w:tcPr>
            <w:tcW w:w="630" w:type="dxa"/>
            <w:tcBorders>
              <w:left w:val="single" w:sz="4" w:space="0" w:color="000000"/>
              <w:bottom w:val="single" w:sz="4" w:space="0" w:color="000000"/>
              <w:right w:val="thinThickThinSmallGap" w:sz="24" w:space="0" w:color="auto"/>
            </w:tcBorders>
            <w:shd w:val="clear" w:color="auto" w:fill="D9D9D9"/>
            <w:vAlign w:val="center"/>
          </w:tcPr>
          <w:p w:rsidR="00081814" w:rsidRPr="007E3447" w:rsidRDefault="00081814" w:rsidP="00D8087A">
            <w:pPr>
              <w:contextualSpacing/>
              <w:rPr>
                <w:rFonts w:cstheme="minorHAnsi"/>
                <w:b/>
                <w:color w:val="auto"/>
                <w:sz w:val="18"/>
                <w:szCs w:val="18"/>
              </w:rPr>
            </w:pPr>
            <w:r w:rsidRPr="007E3447">
              <w:rPr>
                <w:rFonts w:cstheme="minorHAnsi"/>
                <w:b/>
                <w:color w:val="auto"/>
                <w:sz w:val="18"/>
                <w:szCs w:val="18"/>
              </w:rPr>
              <w:t>Sep.</w:t>
            </w:r>
          </w:p>
        </w:tc>
        <w:tc>
          <w:tcPr>
            <w:tcW w:w="2160" w:type="dxa"/>
            <w:vMerge/>
            <w:tcBorders>
              <w:left w:val="thinThickThinSmallGap" w:sz="24" w:space="0" w:color="auto"/>
              <w:bottom w:val="single" w:sz="4" w:space="0" w:color="000000"/>
            </w:tcBorders>
            <w:shd w:val="clear" w:color="auto" w:fill="D9D9D9"/>
            <w:vAlign w:val="center"/>
          </w:tcPr>
          <w:p w:rsidR="00081814" w:rsidRPr="007E3447" w:rsidRDefault="00081814" w:rsidP="00D8087A">
            <w:pPr>
              <w:tabs>
                <w:tab w:val="left" w:pos="206"/>
                <w:tab w:val="center" w:pos="387"/>
              </w:tabs>
              <w:contextualSpacing/>
              <w:rPr>
                <w:rFonts w:cstheme="minorHAnsi"/>
                <w:b/>
                <w:color w:val="auto"/>
                <w:sz w:val="18"/>
                <w:szCs w:val="18"/>
              </w:rPr>
            </w:pPr>
          </w:p>
        </w:tc>
        <w:tc>
          <w:tcPr>
            <w:tcW w:w="630" w:type="dxa"/>
            <w:vMerge/>
            <w:tcBorders>
              <w:bottom w:val="single" w:sz="4" w:space="0" w:color="000000"/>
            </w:tcBorders>
            <w:shd w:val="clear" w:color="auto" w:fill="D9D9D9"/>
            <w:vAlign w:val="center"/>
          </w:tcPr>
          <w:p w:rsidR="00081814" w:rsidRPr="007E3447" w:rsidRDefault="00081814" w:rsidP="00D8087A">
            <w:pPr>
              <w:spacing w:line="180" w:lineRule="exact"/>
              <w:contextualSpacing/>
              <w:rPr>
                <w:b/>
                <w:color w:val="auto"/>
                <w:sz w:val="18"/>
              </w:rPr>
            </w:pPr>
          </w:p>
        </w:tc>
        <w:tc>
          <w:tcPr>
            <w:tcW w:w="720" w:type="dxa"/>
            <w:vMerge/>
            <w:tcBorders>
              <w:bottom w:val="single" w:sz="4" w:space="0" w:color="000000"/>
            </w:tcBorders>
            <w:shd w:val="clear" w:color="auto" w:fill="D9D9D9"/>
            <w:vAlign w:val="center"/>
          </w:tcPr>
          <w:p w:rsidR="00081814" w:rsidRPr="007E3447" w:rsidRDefault="00081814" w:rsidP="00D8087A">
            <w:pPr>
              <w:spacing w:line="180" w:lineRule="exact"/>
              <w:contextualSpacing/>
              <w:rPr>
                <w:b/>
                <w:color w:val="auto"/>
                <w:sz w:val="18"/>
              </w:rPr>
            </w:pPr>
          </w:p>
        </w:tc>
        <w:tc>
          <w:tcPr>
            <w:tcW w:w="1013" w:type="dxa"/>
            <w:vMerge/>
            <w:tcBorders>
              <w:bottom w:val="single" w:sz="4" w:space="0" w:color="000000"/>
            </w:tcBorders>
            <w:shd w:val="clear" w:color="auto" w:fill="D9D9D9"/>
            <w:vAlign w:val="center"/>
          </w:tcPr>
          <w:p w:rsidR="00081814" w:rsidRPr="007E3447" w:rsidRDefault="00081814" w:rsidP="00D8087A">
            <w:pPr>
              <w:spacing w:line="180" w:lineRule="exact"/>
              <w:contextualSpacing/>
              <w:rPr>
                <w:b/>
                <w:color w:val="auto"/>
                <w:sz w:val="18"/>
              </w:rPr>
            </w:pPr>
          </w:p>
        </w:tc>
      </w:tr>
      <w:tr w:rsidR="006C49F7" w:rsidRPr="007E3447" w:rsidTr="00E5039A">
        <w:trPr>
          <w:trHeight w:val="118"/>
          <w:jc w:val="center"/>
        </w:trPr>
        <w:tc>
          <w:tcPr>
            <w:tcW w:w="2487" w:type="dxa"/>
            <w:tcBorders>
              <w:right w:val="single" w:sz="4" w:space="0" w:color="auto"/>
            </w:tcBorders>
            <w:shd w:val="clear" w:color="auto" w:fill="FFFFFF"/>
            <w:vAlign w:val="center"/>
          </w:tcPr>
          <w:p w:rsidR="0068639B" w:rsidRPr="007E3447" w:rsidRDefault="0068639B" w:rsidP="00081814">
            <w:pPr>
              <w:spacing w:line="180" w:lineRule="exact"/>
              <w:contextualSpacing/>
              <w:jc w:val="left"/>
              <w:rPr>
                <w:rFonts w:cstheme="minorHAnsi"/>
                <w:color w:val="auto"/>
                <w:sz w:val="18"/>
                <w:szCs w:val="18"/>
              </w:rPr>
            </w:pPr>
            <w:r w:rsidRPr="007E3447">
              <w:rPr>
                <w:rFonts w:cstheme="minorHAnsi"/>
                <w:color w:val="auto"/>
                <w:sz w:val="18"/>
                <w:szCs w:val="18"/>
              </w:rPr>
              <w:t>Primary hypercoagulable state, on lifelong anticoagulation</w:t>
            </w:r>
          </w:p>
        </w:tc>
        <w:tc>
          <w:tcPr>
            <w:tcW w:w="1023" w:type="dxa"/>
            <w:tcBorders>
              <w:left w:val="single" w:sz="4" w:space="0" w:color="auto"/>
            </w:tcBorders>
            <w:shd w:val="clear" w:color="auto" w:fill="FFFFFF"/>
            <w:vAlign w:val="center"/>
          </w:tcPr>
          <w:p w:rsidR="0068639B" w:rsidRPr="007E3447" w:rsidRDefault="0068639B" w:rsidP="00D8087A">
            <w:pPr>
              <w:spacing w:line="180" w:lineRule="exact"/>
              <w:contextualSpacing/>
              <w:rPr>
                <w:rFonts w:cstheme="minorHAnsi"/>
                <w:color w:val="auto"/>
                <w:sz w:val="18"/>
                <w:szCs w:val="18"/>
              </w:rPr>
            </w:pPr>
            <w:r w:rsidRPr="007E3447">
              <w:rPr>
                <w:rFonts w:cstheme="minorHAnsi"/>
                <w:color w:val="auto"/>
                <w:sz w:val="18"/>
                <w:szCs w:val="18"/>
              </w:rPr>
              <w:t>7199-7121</w:t>
            </w:r>
          </w:p>
        </w:tc>
        <w:tc>
          <w:tcPr>
            <w:tcW w:w="630" w:type="dxa"/>
            <w:tcBorders>
              <w:bottom w:val="single" w:sz="4" w:space="0" w:color="000000"/>
              <w:right w:val="single" w:sz="4" w:space="0" w:color="000000"/>
            </w:tcBorders>
            <w:shd w:val="clear" w:color="auto" w:fill="FFFFFF"/>
            <w:vAlign w:val="center"/>
          </w:tcPr>
          <w:p w:rsidR="0068639B" w:rsidRPr="007E3447" w:rsidRDefault="0068639B" w:rsidP="00D8087A">
            <w:pPr>
              <w:spacing w:line="180" w:lineRule="exact"/>
              <w:rPr>
                <w:rFonts w:cstheme="minorHAnsi"/>
                <w:color w:val="auto"/>
                <w:sz w:val="18"/>
                <w:szCs w:val="18"/>
              </w:rPr>
            </w:pPr>
            <w:r w:rsidRPr="007E3447">
              <w:rPr>
                <w:rFonts w:cstheme="minorHAnsi"/>
                <w:color w:val="auto"/>
                <w:sz w:val="18"/>
                <w:szCs w:val="18"/>
              </w:rPr>
              <w:t>40%</w:t>
            </w:r>
          </w:p>
        </w:tc>
        <w:tc>
          <w:tcPr>
            <w:tcW w:w="630" w:type="dxa"/>
            <w:tcBorders>
              <w:left w:val="single" w:sz="4" w:space="0" w:color="000000"/>
              <w:bottom w:val="single" w:sz="4" w:space="0" w:color="000000"/>
              <w:right w:val="thinThickThinSmallGap" w:sz="24" w:space="0" w:color="auto"/>
            </w:tcBorders>
            <w:shd w:val="clear" w:color="auto" w:fill="FFFFFF"/>
            <w:vAlign w:val="center"/>
          </w:tcPr>
          <w:p w:rsidR="0068639B" w:rsidRPr="007E3447" w:rsidRDefault="0068639B" w:rsidP="00D8087A">
            <w:pPr>
              <w:spacing w:line="180" w:lineRule="exact"/>
              <w:rPr>
                <w:rFonts w:cstheme="minorHAnsi"/>
                <w:color w:val="auto"/>
                <w:sz w:val="18"/>
                <w:szCs w:val="18"/>
              </w:rPr>
            </w:pPr>
            <w:r w:rsidRPr="007E3447">
              <w:rPr>
                <w:rFonts w:cstheme="minorHAnsi"/>
                <w:color w:val="auto"/>
                <w:sz w:val="18"/>
                <w:szCs w:val="18"/>
              </w:rPr>
              <w:t>10%</w:t>
            </w:r>
          </w:p>
        </w:tc>
        <w:tc>
          <w:tcPr>
            <w:tcW w:w="2160" w:type="dxa"/>
            <w:vMerge w:val="restart"/>
            <w:tcBorders>
              <w:left w:val="thinThickThinSmallGap" w:sz="24" w:space="0" w:color="auto"/>
            </w:tcBorders>
            <w:shd w:val="clear" w:color="auto" w:fill="FFFFFF"/>
            <w:vAlign w:val="center"/>
          </w:tcPr>
          <w:p w:rsidR="0068639B" w:rsidRPr="007E3447" w:rsidRDefault="0068639B" w:rsidP="006C49F7">
            <w:pPr>
              <w:spacing w:line="180" w:lineRule="exact"/>
              <w:contextualSpacing/>
              <w:jc w:val="left"/>
              <w:rPr>
                <w:rFonts w:cstheme="minorHAnsi"/>
                <w:color w:val="auto"/>
                <w:sz w:val="18"/>
                <w:szCs w:val="18"/>
              </w:rPr>
            </w:pPr>
            <w:r w:rsidRPr="007E3447">
              <w:rPr>
                <w:rFonts w:cstheme="minorHAnsi"/>
                <w:color w:val="auto"/>
                <w:sz w:val="18"/>
                <w:szCs w:val="18"/>
              </w:rPr>
              <w:t xml:space="preserve">Chronic thromboembolic disease with primary hypercoagulable state secondary to lupus anticoagulant </w:t>
            </w:r>
            <w:r w:rsidR="006C49F7" w:rsidRPr="007E3447">
              <w:rPr>
                <w:rFonts w:cstheme="minorHAnsi"/>
                <w:color w:val="auto"/>
                <w:sz w:val="18"/>
                <w:szCs w:val="18"/>
              </w:rPr>
              <w:t>s/p</w:t>
            </w:r>
            <w:r w:rsidR="00F53BF6" w:rsidRPr="007E3447">
              <w:rPr>
                <w:rFonts w:cstheme="minorHAnsi"/>
                <w:color w:val="auto"/>
                <w:sz w:val="18"/>
                <w:szCs w:val="18"/>
              </w:rPr>
              <w:t xml:space="preserve"> thrombo</w:t>
            </w:r>
            <w:r w:rsidRPr="007E3447">
              <w:rPr>
                <w:rFonts w:cstheme="minorHAnsi"/>
                <w:color w:val="auto"/>
                <w:sz w:val="18"/>
                <w:szCs w:val="18"/>
              </w:rPr>
              <w:t>endarterectomy</w:t>
            </w:r>
          </w:p>
        </w:tc>
        <w:tc>
          <w:tcPr>
            <w:tcW w:w="630" w:type="dxa"/>
            <w:vMerge w:val="restart"/>
            <w:shd w:val="clear" w:color="auto" w:fill="FFFFFF"/>
            <w:vAlign w:val="center"/>
          </w:tcPr>
          <w:p w:rsidR="0068639B" w:rsidRPr="007E3447" w:rsidRDefault="0068639B" w:rsidP="00D8087A">
            <w:pPr>
              <w:spacing w:line="180" w:lineRule="exact"/>
              <w:contextualSpacing/>
              <w:rPr>
                <w:rFonts w:cstheme="minorHAnsi"/>
                <w:color w:val="auto"/>
                <w:sz w:val="18"/>
                <w:szCs w:val="18"/>
              </w:rPr>
            </w:pPr>
            <w:r w:rsidRPr="007E3447">
              <w:rPr>
                <w:rFonts w:cstheme="minorHAnsi"/>
                <w:color w:val="auto"/>
                <w:sz w:val="18"/>
                <w:szCs w:val="18"/>
              </w:rPr>
              <w:t>6817</w:t>
            </w:r>
          </w:p>
        </w:tc>
        <w:tc>
          <w:tcPr>
            <w:tcW w:w="720" w:type="dxa"/>
            <w:vMerge w:val="restart"/>
            <w:shd w:val="clear" w:color="auto" w:fill="FFFFFF"/>
            <w:vAlign w:val="center"/>
          </w:tcPr>
          <w:p w:rsidR="0068639B" w:rsidRPr="007E3447" w:rsidRDefault="0068639B" w:rsidP="00D8087A">
            <w:pPr>
              <w:spacing w:line="180" w:lineRule="exact"/>
              <w:contextualSpacing/>
              <w:rPr>
                <w:rFonts w:cstheme="minorHAnsi"/>
                <w:color w:val="auto"/>
                <w:sz w:val="18"/>
                <w:szCs w:val="18"/>
              </w:rPr>
            </w:pPr>
            <w:r w:rsidRPr="007E3447">
              <w:rPr>
                <w:rFonts w:cstheme="minorHAnsi"/>
                <w:color w:val="auto"/>
                <w:sz w:val="18"/>
                <w:szCs w:val="18"/>
              </w:rPr>
              <w:t>60%</w:t>
            </w:r>
          </w:p>
        </w:tc>
        <w:tc>
          <w:tcPr>
            <w:tcW w:w="1013" w:type="dxa"/>
            <w:vMerge w:val="restart"/>
            <w:shd w:val="clear" w:color="auto" w:fill="FFFFFF"/>
            <w:vAlign w:val="center"/>
          </w:tcPr>
          <w:p w:rsidR="0068639B" w:rsidRPr="007E3447" w:rsidRDefault="0068639B" w:rsidP="00D8087A">
            <w:pPr>
              <w:spacing w:line="180" w:lineRule="exact"/>
              <w:contextualSpacing/>
              <w:rPr>
                <w:rFonts w:cstheme="minorHAnsi"/>
                <w:color w:val="auto"/>
                <w:sz w:val="18"/>
                <w:szCs w:val="18"/>
              </w:rPr>
            </w:pPr>
            <w:r w:rsidRPr="007E3447">
              <w:rPr>
                <w:rFonts w:cstheme="minorHAnsi"/>
                <w:color w:val="auto"/>
                <w:sz w:val="18"/>
                <w:szCs w:val="18"/>
              </w:rPr>
              <w:t>20050822</w:t>
            </w:r>
          </w:p>
        </w:tc>
      </w:tr>
      <w:tr w:rsidR="00E5039A" w:rsidRPr="007E3447" w:rsidTr="00E5039A">
        <w:trPr>
          <w:trHeight w:val="118"/>
          <w:jc w:val="center"/>
        </w:trPr>
        <w:tc>
          <w:tcPr>
            <w:tcW w:w="2487" w:type="dxa"/>
            <w:tcBorders>
              <w:right w:val="single" w:sz="4" w:space="0" w:color="auto"/>
            </w:tcBorders>
            <w:shd w:val="clear" w:color="auto" w:fill="FFFFFF"/>
            <w:vAlign w:val="center"/>
          </w:tcPr>
          <w:p w:rsidR="0068639B" w:rsidRPr="007E3447" w:rsidRDefault="0068639B" w:rsidP="0068639B">
            <w:pPr>
              <w:spacing w:line="180" w:lineRule="exact"/>
              <w:contextualSpacing/>
              <w:jc w:val="left"/>
              <w:rPr>
                <w:rFonts w:cstheme="minorHAnsi"/>
                <w:color w:val="auto"/>
                <w:sz w:val="18"/>
                <w:szCs w:val="18"/>
              </w:rPr>
            </w:pPr>
            <w:r w:rsidRPr="007E3447">
              <w:rPr>
                <w:rFonts w:cstheme="minorHAnsi"/>
                <w:color w:val="auto"/>
                <w:sz w:val="18"/>
                <w:szCs w:val="18"/>
              </w:rPr>
              <w:t>Chronic thromboembolic disease s/p pulmonary thromboendarterectomy</w:t>
            </w:r>
          </w:p>
        </w:tc>
        <w:tc>
          <w:tcPr>
            <w:tcW w:w="2283" w:type="dxa"/>
            <w:gridSpan w:val="3"/>
            <w:tcBorders>
              <w:left w:val="single" w:sz="4" w:space="0" w:color="auto"/>
              <w:right w:val="thinThickThinSmallGap" w:sz="24" w:space="0" w:color="auto"/>
            </w:tcBorders>
            <w:shd w:val="clear" w:color="auto" w:fill="FFFFFF"/>
            <w:vAlign w:val="center"/>
          </w:tcPr>
          <w:p w:rsidR="0068639B" w:rsidRPr="007E3447" w:rsidRDefault="0068639B" w:rsidP="00D8087A">
            <w:pPr>
              <w:spacing w:line="180" w:lineRule="exact"/>
              <w:rPr>
                <w:rFonts w:cstheme="minorHAnsi"/>
                <w:color w:val="auto"/>
                <w:sz w:val="18"/>
                <w:szCs w:val="18"/>
              </w:rPr>
            </w:pPr>
            <w:r w:rsidRPr="007E3447">
              <w:rPr>
                <w:rFonts w:cstheme="minorHAnsi"/>
                <w:color w:val="auto"/>
                <w:sz w:val="18"/>
                <w:szCs w:val="18"/>
              </w:rPr>
              <w:t>Category II</w:t>
            </w:r>
          </w:p>
        </w:tc>
        <w:tc>
          <w:tcPr>
            <w:tcW w:w="2160" w:type="dxa"/>
            <w:vMerge/>
            <w:tcBorders>
              <w:left w:val="thinThickThinSmallGap" w:sz="24" w:space="0" w:color="auto"/>
              <w:bottom w:val="single" w:sz="4" w:space="0" w:color="000000"/>
            </w:tcBorders>
            <w:shd w:val="clear" w:color="auto" w:fill="FFFFFF"/>
            <w:vAlign w:val="center"/>
          </w:tcPr>
          <w:p w:rsidR="0068639B" w:rsidRPr="007E3447" w:rsidRDefault="0068639B" w:rsidP="00E46C9E">
            <w:pPr>
              <w:spacing w:line="180" w:lineRule="exact"/>
              <w:contextualSpacing/>
              <w:jc w:val="left"/>
              <w:rPr>
                <w:rFonts w:cstheme="minorHAnsi"/>
                <w:color w:val="auto"/>
                <w:sz w:val="18"/>
                <w:szCs w:val="18"/>
              </w:rPr>
            </w:pPr>
          </w:p>
        </w:tc>
        <w:tc>
          <w:tcPr>
            <w:tcW w:w="630" w:type="dxa"/>
            <w:vMerge/>
            <w:tcBorders>
              <w:bottom w:val="single" w:sz="4" w:space="0" w:color="000000"/>
            </w:tcBorders>
            <w:shd w:val="clear" w:color="auto" w:fill="FFFFFF"/>
            <w:vAlign w:val="center"/>
          </w:tcPr>
          <w:p w:rsidR="0068639B" w:rsidRPr="007E3447" w:rsidRDefault="0068639B" w:rsidP="00D8087A">
            <w:pPr>
              <w:spacing w:line="180" w:lineRule="exact"/>
              <w:contextualSpacing/>
              <w:rPr>
                <w:rFonts w:cstheme="minorHAnsi"/>
                <w:color w:val="auto"/>
                <w:sz w:val="18"/>
                <w:szCs w:val="18"/>
              </w:rPr>
            </w:pPr>
          </w:p>
        </w:tc>
        <w:tc>
          <w:tcPr>
            <w:tcW w:w="720" w:type="dxa"/>
            <w:vMerge/>
            <w:tcBorders>
              <w:bottom w:val="single" w:sz="4" w:space="0" w:color="000000"/>
            </w:tcBorders>
            <w:shd w:val="clear" w:color="auto" w:fill="FFFFFF"/>
            <w:vAlign w:val="center"/>
          </w:tcPr>
          <w:p w:rsidR="0068639B" w:rsidRPr="007E3447" w:rsidRDefault="0068639B" w:rsidP="00D8087A">
            <w:pPr>
              <w:spacing w:line="180" w:lineRule="exact"/>
              <w:contextualSpacing/>
              <w:rPr>
                <w:rFonts w:cstheme="minorHAnsi"/>
                <w:color w:val="auto"/>
                <w:sz w:val="18"/>
                <w:szCs w:val="18"/>
              </w:rPr>
            </w:pPr>
          </w:p>
        </w:tc>
        <w:tc>
          <w:tcPr>
            <w:tcW w:w="1013" w:type="dxa"/>
            <w:vMerge/>
            <w:tcBorders>
              <w:bottom w:val="single" w:sz="4" w:space="0" w:color="000000"/>
            </w:tcBorders>
            <w:shd w:val="clear" w:color="auto" w:fill="FFFFFF"/>
            <w:vAlign w:val="center"/>
          </w:tcPr>
          <w:p w:rsidR="0068639B" w:rsidRPr="007E3447" w:rsidRDefault="0068639B" w:rsidP="00D8087A">
            <w:pPr>
              <w:spacing w:line="180" w:lineRule="exact"/>
              <w:contextualSpacing/>
              <w:rPr>
                <w:rFonts w:cstheme="minorHAnsi"/>
                <w:color w:val="auto"/>
                <w:sz w:val="18"/>
                <w:szCs w:val="18"/>
              </w:rPr>
            </w:pPr>
          </w:p>
        </w:tc>
      </w:tr>
      <w:tr w:rsidR="0068639B" w:rsidRPr="007E3447" w:rsidTr="00E5039A">
        <w:trPr>
          <w:trHeight w:val="368"/>
          <w:jc w:val="center"/>
        </w:trPr>
        <w:tc>
          <w:tcPr>
            <w:tcW w:w="2487" w:type="dxa"/>
            <w:vMerge w:val="restart"/>
            <w:tcBorders>
              <w:right w:val="single" w:sz="4" w:space="0" w:color="auto"/>
            </w:tcBorders>
            <w:shd w:val="clear" w:color="auto" w:fill="FFFFFF"/>
            <w:vAlign w:val="center"/>
          </w:tcPr>
          <w:p w:rsidR="00D8087A" w:rsidRPr="007E3447" w:rsidRDefault="00D8087A" w:rsidP="0068639B">
            <w:pPr>
              <w:spacing w:line="180" w:lineRule="exact"/>
              <w:contextualSpacing/>
              <w:jc w:val="left"/>
              <w:rPr>
                <w:rFonts w:cstheme="minorHAnsi"/>
                <w:color w:val="auto"/>
                <w:sz w:val="18"/>
                <w:szCs w:val="18"/>
              </w:rPr>
            </w:pPr>
            <w:r w:rsidRPr="007E3447">
              <w:rPr>
                <w:rFonts w:cstheme="minorHAnsi"/>
                <w:color w:val="auto"/>
                <w:sz w:val="18"/>
                <w:szCs w:val="18"/>
              </w:rPr>
              <w:t xml:space="preserve">Chronic venous stasis due to </w:t>
            </w:r>
            <w:r w:rsidR="0068639B" w:rsidRPr="007E3447">
              <w:rPr>
                <w:rFonts w:cstheme="minorHAnsi"/>
                <w:color w:val="auto"/>
                <w:sz w:val="18"/>
                <w:szCs w:val="18"/>
              </w:rPr>
              <w:t>thrombophlebitis</w:t>
            </w:r>
            <w:r w:rsidRPr="007E3447">
              <w:rPr>
                <w:rFonts w:cstheme="minorHAnsi"/>
                <w:color w:val="auto"/>
                <w:sz w:val="18"/>
                <w:szCs w:val="18"/>
              </w:rPr>
              <w:t xml:space="preserve"> of the lower extremities</w:t>
            </w:r>
            <w:r w:rsidR="0068639B" w:rsidRPr="007E3447">
              <w:rPr>
                <w:rFonts w:cstheme="minorHAnsi"/>
                <w:color w:val="auto"/>
                <w:sz w:val="18"/>
                <w:szCs w:val="18"/>
              </w:rPr>
              <w:t xml:space="preserve"> (R&gt;L)</w:t>
            </w:r>
          </w:p>
        </w:tc>
        <w:tc>
          <w:tcPr>
            <w:tcW w:w="2283" w:type="dxa"/>
            <w:gridSpan w:val="3"/>
            <w:vMerge w:val="restart"/>
            <w:tcBorders>
              <w:left w:val="single" w:sz="4" w:space="0" w:color="auto"/>
              <w:right w:val="thinThickThinSmallGap" w:sz="24" w:space="0" w:color="auto"/>
            </w:tcBorders>
            <w:shd w:val="clear" w:color="auto" w:fill="FFFFFF"/>
            <w:vAlign w:val="center"/>
          </w:tcPr>
          <w:p w:rsidR="00D8087A" w:rsidRPr="007E3447" w:rsidRDefault="00D8087A" w:rsidP="00D8087A">
            <w:pPr>
              <w:spacing w:line="180" w:lineRule="exact"/>
              <w:rPr>
                <w:color w:val="auto"/>
                <w:sz w:val="18"/>
              </w:rPr>
            </w:pPr>
            <w:r w:rsidRPr="007E3447">
              <w:rPr>
                <w:rFonts w:cstheme="minorHAnsi"/>
                <w:color w:val="auto"/>
                <w:sz w:val="18"/>
                <w:szCs w:val="18"/>
              </w:rPr>
              <w:t>Category II</w:t>
            </w:r>
          </w:p>
        </w:tc>
        <w:tc>
          <w:tcPr>
            <w:tcW w:w="2160" w:type="dxa"/>
            <w:tcBorders>
              <w:left w:val="thinThickThinSmallGap" w:sz="24" w:space="0" w:color="auto"/>
              <w:right w:val="single" w:sz="4" w:space="0" w:color="000000"/>
            </w:tcBorders>
            <w:shd w:val="clear" w:color="auto" w:fill="FFFFFF"/>
            <w:vAlign w:val="center"/>
          </w:tcPr>
          <w:p w:rsidR="00D8087A" w:rsidRPr="007E3447" w:rsidRDefault="00D8087A" w:rsidP="00081814">
            <w:pPr>
              <w:spacing w:line="180" w:lineRule="exact"/>
              <w:contextualSpacing/>
              <w:jc w:val="left"/>
              <w:rPr>
                <w:rFonts w:cstheme="minorHAnsi"/>
                <w:color w:val="auto"/>
                <w:sz w:val="18"/>
                <w:szCs w:val="18"/>
              </w:rPr>
            </w:pPr>
            <w:r w:rsidRPr="007E3447">
              <w:rPr>
                <w:rFonts w:cstheme="minorHAnsi"/>
                <w:color w:val="auto"/>
                <w:sz w:val="18"/>
                <w:szCs w:val="18"/>
              </w:rPr>
              <w:t>Right lower extremity thrombophlebitis</w:t>
            </w:r>
          </w:p>
        </w:tc>
        <w:tc>
          <w:tcPr>
            <w:tcW w:w="630" w:type="dxa"/>
            <w:tcBorders>
              <w:left w:val="single" w:sz="4" w:space="0" w:color="000000"/>
              <w:right w:val="single" w:sz="4" w:space="0" w:color="000000"/>
            </w:tcBorders>
            <w:shd w:val="clear" w:color="auto" w:fill="FFFFFF"/>
            <w:vAlign w:val="center"/>
          </w:tcPr>
          <w:p w:rsidR="00D8087A" w:rsidRPr="007E3447" w:rsidRDefault="00D8087A" w:rsidP="00D8087A">
            <w:pPr>
              <w:spacing w:line="180" w:lineRule="exact"/>
              <w:contextualSpacing/>
              <w:rPr>
                <w:rFonts w:cstheme="minorHAnsi"/>
                <w:color w:val="auto"/>
                <w:sz w:val="18"/>
                <w:szCs w:val="18"/>
              </w:rPr>
            </w:pPr>
            <w:r w:rsidRPr="007E3447">
              <w:rPr>
                <w:rFonts w:cstheme="minorHAnsi"/>
                <w:color w:val="auto"/>
                <w:sz w:val="18"/>
                <w:szCs w:val="18"/>
              </w:rPr>
              <w:t>7121</w:t>
            </w:r>
          </w:p>
        </w:tc>
        <w:tc>
          <w:tcPr>
            <w:tcW w:w="720" w:type="dxa"/>
            <w:tcBorders>
              <w:left w:val="single" w:sz="4" w:space="0" w:color="000000"/>
              <w:right w:val="single" w:sz="4" w:space="0" w:color="000000"/>
            </w:tcBorders>
            <w:shd w:val="clear" w:color="auto" w:fill="FFFFFF"/>
            <w:vAlign w:val="center"/>
          </w:tcPr>
          <w:p w:rsidR="00D8087A" w:rsidRPr="007E3447" w:rsidRDefault="00D8087A" w:rsidP="00D8087A">
            <w:pPr>
              <w:spacing w:line="180" w:lineRule="exact"/>
              <w:contextualSpacing/>
              <w:rPr>
                <w:rFonts w:cstheme="minorHAnsi"/>
                <w:color w:val="auto"/>
                <w:sz w:val="18"/>
                <w:szCs w:val="18"/>
              </w:rPr>
            </w:pPr>
            <w:r w:rsidRPr="007E3447">
              <w:rPr>
                <w:rFonts w:cstheme="minorHAnsi"/>
                <w:color w:val="auto"/>
                <w:sz w:val="18"/>
                <w:szCs w:val="18"/>
              </w:rPr>
              <w:t>10%</w:t>
            </w:r>
            <w:r w:rsidR="00055299" w:rsidRPr="007E3447">
              <w:rPr>
                <w:rFonts w:cstheme="minorHAnsi"/>
                <w:color w:val="auto"/>
                <w:sz w:val="18"/>
                <w:szCs w:val="18"/>
              </w:rPr>
              <w:t>*</w:t>
            </w:r>
          </w:p>
        </w:tc>
        <w:tc>
          <w:tcPr>
            <w:tcW w:w="1013" w:type="dxa"/>
            <w:tcBorders>
              <w:left w:val="single" w:sz="4" w:space="0" w:color="000000"/>
            </w:tcBorders>
            <w:shd w:val="clear" w:color="auto" w:fill="FFFFFF"/>
            <w:vAlign w:val="center"/>
          </w:tcPr>
          <w:p w:rsidR="00D8087A" w:rsidRPr="007E3447" w:rsidRDefault="00D8087A" w:rsidP="00D8087A">
            <w:pPr>
              <w:spacing w:line="180" w:lineRule="exact"/>
              <w:contextualSpacing/>
              <w:rPr>
                <w:rFonts w:cstheme="minorHAnsi"/>
                <w:color w:val="auto"/>
                <w:sz w:val="18"/>
                <w:szCs w:val="18"/>
              </w:rPr>
            </w:pPr>
            <w:r w:rsidRPr="007E3447">
              <w:rPr>
                <w:rFonts w:cstheme="minorHAnsi"/>
                <w:color w:val="auto"/>
                <w:sz w:val="18"/>
                <w:szCs w:val="18"/>
              </w:rPr>
              <w:t>20050822</w:t>
            </w:r>
          </w:p>
        </w:tc>
      </w:tr>
      <w:tr w:rsidR="0068639B" w:rsidRPr="007E3447" w:rsidTr="00E5039A">
        <w:trPr>
          <w:trHeight w:val="350"/>
          <w:jc w:val="center"/>
        </w:trPr>
        <w:tc>
          <w:tcPr>
            <w:tcW w:w="2487" w:type="dxa"/>
            <w:vMerge/>
            <w:tcBorders>
              <w:right w:val="single" w:sz="4" w:space="0" w:color="auto"/>
            </w:tcBorders>
            <w:shd w:val="clear" w:color="auto" w:fill="FFFFFF"/>
            <w:vAlign w:val="center"/>
          </w:tcPr>
          <w:p w:rsidR="00D8087A" w:rsidRPr="007E3447" w:rsidRDefault="00D8087A" w:rsidP="00081814">
            <w:pPr>
              <w:spacing w:line="180" w:lineRule="exact"/>
              <w:contextualSpacing/>
              <w:jc w:val="left"/>
              <w:rPr>
                <w:rFonts w:cstheme="minorHAnsi"/>
                <w:color w:val="auto"/>
                <w:sz w:val="18"/>
                <w:szCs w:val="18"/>
              </w:rPr>
            </w:pPr>
          </w:p>
        </w:tc>
        <w:tc>
          <w:tcPr>
            <w:tcW w:w="2283" w:type="dxa"/>
            <w:gridSpan w:val="3"/>
            <w:vMerge/>
            <w:tcBorders>
              <w:left w:val="single" w:sz="4" w:space="0" w:color="auto"/>
              <w:right w:val="thinThickThinSmallGap" w:sz="24" w:space="0" w:color="auto"/>
            </w:tcBorders>
            <w:shd w:val="clear" w:color="auto" w:fill="FFFFFF"/>
            <w:vAlign w:val="center"/>
          </w:tcPr>
          <w:p w:rsidR="00D8087A" w:rsidRPr="007E3447" w:rsidRDefault="00D8087A" w:rsidP="00D8087A">
            <w:pPr>
              <w:spacing w:line="180" w:lineRule="exact"/>
              <w:rPr>
                <w:rFonts w:cstheme="minorHAnsi"/>
                <w:color w:val="auto"/>
                <w:sz w:val="18"/>
                <w:szCs w:val="18"/>
              </w:rPr>
            </w:pPr>
          </w:p>
        </w:tc>
        <w:tc>
          <w:tcPr>
            <w:tcW w:w="2160" w:type="dxa"/>
            <w:tcBorders>
              <w:left w:val="thinThickThinSmallGap" w:sz="24" w:space="0" w:color="auto"/>
              <w:right w:val="single" w:sz="4" w:space="0" w:color="000000"/>
            </w:tcBorders>
            <w:shd w:val="clear" w:color="auto" w:fill="FFFFFF"/>
            <w:vAlign w:val="center"/>
          </w:tcPr>
          <w:p w:rsidR="00D8087A" w:rsidRPr="007E3447" w:rsidRDefault="00D8087A" w:rsidP="00081814">
            <w:pPr>
              <w:spacing w:line="180" w:lineRule="exact"/>
              <w:contextualSpacing/>
              <w:jc w:val="left"/>
              <w:rPr>
                <w:color w:val="auto"/>
                <w:sz w:val="18"/>
                <w:szCs w:val="18"/>
              </w:rPr>
            </w:pPr>
            <w:r w:rsidRPr="007E3447">
              <w:rPr>
                <w:color w:val="auto"/>
                <w:sz w:val="18"/>
                <w:szCs w:val="18"/>
              </w:rPr>
              <w:t>Left lower extremity thrombophlebitis</w:t>
            </w:r>
          </w:p>
        </w:tc>
        <w:tc>
          <w:tcPr>
            <w:tcW w:w="630" w:type="dxa"/>
            <w:tcBorders>
              <w:left w:val="single" w:sz="4" w:space="0" w:color="000000"/>
              <w:right w:val="single" w:sz="4" w:space="0" w:color="000000"/>
            </w:tcBorders>
            <w:shd w:val="clear" w:color="auto" w:fill="FFFFFF"/>
            <w:vAlign w:val="center"/>
          </w:tcPr>
          <w:p w:rsidR="00D8087A" w:rsidRPr="007E3447" w:rsidRDefault="00D8087A" w:rsidP="00D8087A">
            <w:pPr>
              <w:spacing w:line="180" w:lineRule="exact"/>
              <w:contextualSpacing/>
              <w:rPr>
                <w:color w:val="auto"/>
                <w:sz w:val="18"/>
                <w:szCs w:val="18"/>
              </w:rPr>
            </w:pPr>
            <w:r w:rsidRPr="007E3447">
              <w:rPr>
                <w:color w:val="auto"/>
                <w:sz w:val="18"/>
                <w:szCs w:val="18"/>
              </w:rPr>
              <w:t>7121</w:t>
            </w:r>
          </w:p>
        </w:tc>
        <w:tc>
          <w:tcPr>
            <w:tcW w:w="720" w:type="dxa"/>
            <w:tcBorders>
              <w:left w:val="single" w:sz="4" w:space="0" w:color="000000"/>
              <w:right w:val="single" w:sz="4" w:space="0" w:color="000000"/>
            </w:tcBorders>
            <w:shd w:val="clear" w:color="auto" w:fill="FFFFFF"/>
            <w:vAlign w:val="center"/>
          </w:tcPr>
          <w:p w:rsidR="00D8087A" w:rsidRPr="007E3447" w:rsidRDefault="00D8087A" w:rsidP="00D8087A">
            <w:pPr>
              <w:spacing w:line="180" w:lineRule="exact"/>
              <w:contextualSpacing/>
              <w:rPr>
                <w:color w:val="auto"/>
                <w:sz w:val="18"/>
                <w:szCs w:val="18"/>
              </w:rPr>
            </w:pPr>
            <w:r w:rsidRPr="007E3447">
              <w:rPr>
                <w:color w:val="auto"/>
                <w:sz w:val="18"/>
                <w:szCs w:val="18"/>
              </w:rPr>
              <w:t>10%</w:t>
            </w:r>
            <w:r w:rsidR="00055299" w:rsidRPr="007E3447">
              <w:rPr>
                <w:color w:val="auto"/>
                <w:sz w:val="18"/>
                <w:szCs w:val="18"/>
              </w:rPr>
              <w:t>*</w:t>
            </w:r>
          </w:p>
        </w:tc>
        <w:tc>
          <w:tcPr>
            <w:tcW w:w="1013" w:type="dxa"/>
            <w:tcBorders>
              <w:left w:val="single" w:sz="4" w:space="0" w:color="000000"/>
            </w:tcBorders>
            <w:shd w:val="clear" w:color="auto" w:fill="FFFFFF"/>
            <w:vAlign w:val="center"/>
          </w:tcPr>
          <w:p w:rsidR="00D8087A" w:rsidRPr="007E3447" w:rsidRDefault="00D8087A" w:rsidP="00D8087A">
            <w:pPr>
              <w:spacing w:line="180" w:lineRule="exact"/>
              <w:contextualSpacing/>
              <w:rPr>
                <w:color w:val="auto"/>
                <w:sz w:val="18"/>
                <w:szCs w:val="18"/>
              </w:rPr>
            </w:pPr>
            <w:r w:rsidRPr="007E3447">
              <w:rPr>
                <w:rFonts w:cstheme="minorHAnsi"/>
                <w:color w:val="auto"/>
                <w:sz w:val="18"/>
                <w:szCs w:val="18"/>
              </w:rPr>
              <w:t>20050822</w:t>
            </w:r>
          </w:p>
        </w:tc>
      </w:tr>
      <w:tr w:rsidR="006C49F7" w:rsidRPr="007E3447" w:rsidTr="00BB1EDC">
        <w:trPr>
          <w:trHeight w:val="350"/>
          <w:jc w:val="center"/>
        </w:trPr>
        <w:tc>
          <w:tcPr>
            <w:tcW w:w="4770" w:type="dxa"/>
            <w:gridSpan w:val="4"/>
            <w:vMerge w:val="restart"/>
            <w:tcBorders>
              <w:right w:val="thinThickThinSmallGap" w:sz="24" w:space="0" w:color="auto"/>
            </w:tcBorders>
            <w:shd w:val="clear" w:color="auto" w:fill="FFFFFF"/>
            <w:vAlign w:val="center"/>
          </w:tcPr>
          <w:p w:rsidR="006C49F7" w:rsidRPr="007E3447" w:rsidRDefault="006C49F7" w:rsidP="00D8087A">
            <w:pPr>
              <w:spacing w:line="180" w:lineRule="exact"/>
              <w:contextualSpacing/>
              <w:rPr>
                <w:rFonts w:cstheme="minorHAnsi"/>
                <w:color w:val="auto"/>
                <w:sz w:val="18"/>
                <w:szCs w:val="18"/>
              </w:rPr>
            </w:pPr>
            <w:r w:rsidRPr="007E3447">
              <w:rPr>
                <w:rFonts w:cs="Calibri"/>
                <w:color w:val="auto"/>
                <w:sz w:val="18"/>
                <w:szCs w:val="18"/>
              </w:rPr>
              <w:t>↓No Additional MEB/PEB Entries↓</w:t>
            </w:r>
          </w:p>
        </w:tc>
        <w:tc>
          <w:tcPr>
            <w:tcW w:w="2160" w:type="dxa"/>
            <w:tcBorders>
              <w:left w:val="thinThickThinSmallGap" w:sz="24" w:space="0" w:color="auto"/>
              <w:right w:val="single" w:sz="4" w:space="0" w:color="000000"/>
            </w:tcBorders>
            <w:shd w:val="clear" w:color="auto" w:fill="FFFFFF"/>
            <w:vAlign w:val="center"/>
          </w:tcPr>
          <w:p w:rsidR="006C49F7" w:rsidRPr="007E3447" w:rsidRDefault="006C49F7" w:rsidP="006C49F7">
            <w:pPr>
              <w:spacing w:line="180" w:lineRule="exact"/>
              <w:contextualSpacing/>
              <w:jc w:val="left"/>
              <w:rPr>
                <w:color w:val="auto"/>
                <w:sz w:val="18"/>
                <w:szCs w:val="18"/>
              </w:rPr>
            </w:pPr>
            <w:r w:rsidRPr="007E3447">
              <w:rPr>
                <w:color w:val="auto"/>
                <w:sz w:val="18"/>
                <w:szCs w:val="18"/>
              </w:rPr>
              <w:t>Chest Scar … s/p (surgery)</w:t>
            </w:r>
          </w:p>
        </w:tc>
        <w:tc>
          <w:tcPr>
            <w:tcW w:w="630" w:type="dxa"/>
            <w:tcBorders>
              <w:left w:val="single" w:sz="4" w:space="0" w:color="000000"/>
              <w:right w:val="single" w:sz="4" w:space="0" w:color="000000"/>
            </w:tcBorders>
            <w:shd w:val="clear" w:color="auto" w:fill="FFFFFF"/>
            <w:vAlign w:val="center"/>
          </w:tcPr>
          <w:p w:rsidR="006C49F7" w:rsidRPr="007E3447" w:rsidRDefault="006C49F7" w:rsidP="00D8087A">
            <w:pPr>
              <w:spacing w:line="180" w:lineRule="exact"/>
              <w:contextualSpacing/>
              <w:rPr>
                <w:color w:val="auto"/>
                <w:sz w:val="18"/>
                <w:szCs w:val="18"/>
              </w:rPr>
            </w:pPr>
            <w:r w:rsidRPr="007E3447">
              <w:rPr>
                <w:color w:val="auto"/>
                <w:sz w:val="18"/>
                <w:szCs w:val="18"/>
              </w:rPr>
              <w:t>7802</w:t>
            </w:r>
          </w:p>
        </w:tc>
        <w:tc>
          <w:tcPr>
            <w:tcW w:w="720" w:type="dxa"/>
            <w:tcBorders>
              <w:left w:val="single" w:sz="4" w:space="0" w:color="000000"/>
              <w:right w:val="single" w:sz="4" w:space="0" w:color="000000"/>
            </w:tcBorders>
            <w:shd w:val="clear" w:color="auto" w:fill="FFFFFF"/>
            <w:vAlign w:val="center"/>
          </w:tcPr>
          <w:p w:rsidR="006C49F7" w:rsidRPr="007E3447" w:rsidRDefault="006C49F7" w:rsidP="00D8087A">
            <w:pPr>
              <w:spacing w:line="180" w:lineRule="exact"/>
              <w:contextualSpacing/>
              <w:rPr>
                <w:color w:val="auto"/>
                <w:sz w:val="18"/>
                <w:szCs w:val="18"/>
              </w:rPr>
            </w:pPr>
            <w:r w:rsidRPr="007E3447">
              <w:rPr>
                <w:color w:val="auto"/>
                <w:sz w:val="18"/>
                <w:szCs w:val="18"/>
              </w:rPr>
              <w:t>0%</w:t>
            </w:r>
          </w:p>
        </w:tc>
        <w:tc>
          <w:tcPr>
            <w:tcW w:w="1013" w:type="dxa"/>
            <w:tcBorders>
              <w:left w:val="single" w:sz="4" w:space="0" w:color="000000"/>
            </w:tcBorders>
            <w:shd w:val="clear" w:color="auto" w:fill="FFFFFF"/>
            <w:vAlign w:val="center"/>
          </w:tcPr>
          <w:p w:rsidR="006C49F7" w:rsidRPr="007E3447" w:rsidRDefault="006C49F7" w:rsidP="00D8087A">
            <w:pPr>
              <w:spacing w:line="180" w:lineRule="exact"/>
              <w:contextualSpacing/>
              <w:rPr>
                <w:rFonts w:cstheme="minorHAnsi"/>
                <w:color w:val="auto"/>
                <w:sz w:val="18"/>
                <w:szCs w:val="18"/>
              </w:rPr>
            </w:pPr>
            <w:r w:rsidRPr="007E3447">
              <w:rPr>
                <w:rFonts w:cstheme="minorHAnsi"/>
                <w:color w:val="auto"/>
                <w:sz w:val="18"/>
                <w:szCs w:val="18"/>
              </w:rPr>
              <w:t>20050822</w:t>
            </w:r>
          </w:p>
        </w:tc>
      </w:tr>
      <w:tr w:rsidR="00207184" w:rsidRPr="007E3447" w:rsidTr="00BB1EDC">
        <w:trPr>
          <w:trHeight w:val="350"/>
          <w:jc w:val="center"/>
        </w:trPr>
        <w:tc>
          <w:tcPr>
            <w:tcW w:w="4770" w:type="dxa"/>
            <w:gridSpan w:val="4"/>
            <w:vMerge/>
            <w:tcBorders>
              <w:right w:val="thinThickThinSmallGap" w:sz="24" w:space="0" w:color="auto"/>
            </w:tcBorders>
            <w:shd w:val="clear" w:color="auto" w:fill="FFFFFF"/>
            <w:vAlign w:val="center"/>
          </w:tcPr>
          <w:p w:rsidR="00207184" w:rsidRPr="007E3447" w:rsidRDefault="00207184" w:rsidP="00D8087A">
            <w:pPr>
              <w:spacing w:line="180" w:lineRule="exact"/>
              <w:contextualSpacing/>
              <w:rPr>
                <w:color w:val="auto"/>
                <w:sz w:val="18"/>
                <w:szCs w:val="18"/>
              </w:rPr>
            </w:pPr>
          </w:p>
        </w:tc>
        <w:tc>
          <w:tcPr>
            <w:tcW w:w="2160" w:type="dxa"/>
            <w:tcBorders>
              <w:left w:val="thinThickThinSmallGap" w:sz="24" w:space="0" w:color="auto"/>
              <w:right w:val="single" w:sz="4" w:space="0" w:color="000000"/>
            </w:tcBorders>
            <w:shd w:val="clear" w:color="auto" w:fill="FFFFFF"/>
            <w:vAlign w:val="center"/>
          </w:tcPr>
          <w:p w:rsidR="00207184" w:rsidRPr="007E3447" w:rsidRDefault="00207184" w:rsidP="00207184">
            <w:pPr>
              <w:spacing w:line="180" w:lineRule="exact"/>
              <w:contextualSpacing/>
              <w:jc w:val="left"/>
              <w:rPr>
                <w:color w:val="auto"/>
                <w:sz w:val="18"/>
                <w:szCs w:val="18"/>
              </w:rPr>
            </w:pPr>
            <w:r w:rsidRPr="007E3447">
              <w:rPr>
                <w:color w:val="auto"/>
                <w:sz w:val="18"/>
                <w:szCs w:val="18"/>
              </w:rPr>
              <w:t>Left Knee … PFS …</w:t>
            </w:r>
          </w:p>
        </w:tc>
        <w:tc>
          <w:tcPr>
            <w:tcW w:w="630" w:type="dxa"/>
            <w:tcBorders>
              <w:left w:val="single" w:sz="4" w:space="0" w:color="000000"/>
              <w:right w:val="single" w:sz="4" w:space="0" w:color="000000"/>
            </w:tcBorders>
            <w:shd w:val="clear" w:color="auto" w:fill="FFFFFF"/>
            <w:vAlign w:val="center"/>
          </w:tcPr>
          <w:p w:rsidR="00207184" w:rsidRPr="007E3447" w:rsidRDefault="00207184" w:rsidP="00D8087A">
            <w:pPr>
              <w:spacing w:line="180" w:lineRule="exact"/>
              <w:contextualSpacing/>
              <w:rPr>
                <w:color w:val="auto"/>
                <w:sz w:val="18"/>
                <w:szCs w:val="18"/>
              </w:rPr>
            </w:pPr>
            <w:r w:rsidRPr="007E3447">
              <w:rPr>
                <w:color w:val="auto"/>
                <w:sz w:val="18"/>
                <w:szCs w:val="18"/>
              </w:rPr>
              <w:t>5260</w:t>
            </w:r>
          </w:p>
        </w:tc>
        <w:tc>
          <w:tcPr>
            <w:tcW w:w="720" w:type="dxa"/>
            <w:tcBorders>
              <w:left w:val="single" w:sz="4" w:space="0" w:color="000000"/>
              <w:right w:val="single" w:sz="4" w:space="0" w:color="000000"/>
            </w:tcBorders>
            <w:shd w:val="clear" w:color="auto" w:fill="FFFFFF"/>
            <w:vAlign w:val="center"/>
          </w:tcPr>
          <w:p w:rsidR="00207184" w:rsidRPr="007E3447" w:rsidRDefault="00207184" w:rsidP="00D8087A">
            <w:pPr>
              <w:spacing w:line="180" w:lineRule="exact"/>
              <w:contextualSpacing/>
              <w:rPr>
                <w:color w:val="auto"/>
                <w:sz w:val="18"/>
                <w:szCs w:val="18"/>
              </w:rPr>
            </w:pPr>
            <w:r w:rsidRPr="007E3447">
              <w:rPr>
                <w:color w:val="auto"/>
                <w:sz w:val="18"/>
                <w:szCs w:val="18"/>
              </w:rPr>
              <w:t>0%</w:t>
            </w:r>
          </w:p>
        </w:tc>
        <w:tc>
          <w:tcPr>
            <w:tcW w:w="1013" w:type="dxa"/>
            <w:tcBorders>
              <w:left w:val="single" w:sz="4" w:space="0" w:color="000000"/>
            </w:tcBorders>
            <w:shd w:val="clear" w:color="auto" w:fill="FFFFFF"/>
            <w:vAlign w:val="center"/>
          </w:tcPr>
          <w:p w:rsidR="00207184" w:rsidRPr="007E3447" w:rsidRDefault="00207184" w:rsidP="00D8087A">
            <w:pPr>
              <w:spacing w:line="180" w:lineRule="exact"/>
              <w:contextualSpacing/>
              <w:rPr>
                <w:rFonts w:cstheme="minorHAnsi"/>
                <w:color w:val="auto"/>
                <w:sz w:val="18"/>
                <w:szCs w:val="18"/>
              </w:rPr>
            </w:pPr>
          </w:p>
        </w:tc>
      </w:tr>
      <w:tr w:rsidR="006C49F7" w:rsidRPr="007E3447" w:rsidTr="006C49F7">
        <w:trPr>
          <w:trHeight w:val="560"/>
          <w:jc w:val="center"/>
        </w:trPr>
        <w:tc>
          <w:tcPr>
            <w:tcW w:w="4770" w:type="dxa"/>
            <w:gridSpan w:val="4"/>
            <w:vMerge/>
            <w:tcBorders>
              <w:right w:val="thinThickThinSmallGap" w:sz="24" w:space="0" w:color="auto"/>
            </w:tcBorders>
            <w:shd w:val="clear" w:color="auto" w:fill="FFFFFF"/>
            <w:vAlign w:val="center"/>
          </w:tcPr>
          <w:p w:rsidR="006C49F7" w:rsidRPr="007E3447" w:rsidRDefault="006C49F7" w:rsidP="00D8087A">
            <w:pPr>
              <w:spacing w:line="180" w:lineRule="exact"/>
              <w:contextualSpacing/>
              <w:rPr>
                <w:color w:val="auto"/>
                <w:sz w:val="18"/>
              </w:rPr>
            </w:pPr>
          </w:p>
        </w:tc>
        <w:tc>
          <w:tcPr>
            <w:tcW w:w="4523" w:type="dxa"/>
            <w:gridSpan w:val="4"/>
            <w:tcBorders>
              <w:left w:val="thinThickThinSmallGap" w:sz="24" w:space="0" w:color="auto"/>
            </w:tcBorders>
            <w:shd w:val="clear" w:color="auto" w:fill="FFFFFF"/>
            <w:vAlign w:val="center"/>
          </w:tcPr>
          <w:p w:rsidR="006C49F7" w:rsidRPr="007E3447" w:rsidRDefault="006C49F7" w:rsidP="006C49F7">
            <w:pPr>
              <w:spacing w:line="180" w:lineRule="exact"/>
              <w:contextualSpacing/>
              <w:rPr>
                <w:rFonts w:cstheme="minorHAnsi"/>
                <w:color w:val="auto"/>
                <w:sz w:val="18"/>
                <w:szCs w:val="18"/>
              </w:rPr>
            </w:pPr>
            <w:r w:rsidRPr="007E3447">
              <w:rPr>
                <w:rFonts w:cs="Calibri"/>
                <w:color w:val="auto"/>
                <w:sz w:val="18"/>
                <w:szCs w:val="18"/>
              </w:rPr>
              <w:t>0% x 2/</w:t>
            </w:r>
            <w:r w:rsidR="00185E58">
              <w:rPr>
                <w:rFonts w:cstheme="minorHAnsi"/>
                <w:color w:val="auto"/>
                <w:sz w:val="18"/>
                <w:szCs w:val="18"/>
              </w:rPr>
              <w:t>Not Service-</w:t>
            </w:r>
            <w:r w:rsidRPr="007E3447">
              <w:rPr>
                <w:rFonts w:cstheme="minorHAnsi"/>
                <w:color w:val="auto"/>
                <w:sz w:val="18"/>
                <w:szCs w:val="18"/>
              </w:rPr>
              <w:t>Connected x 2</w:t>
            </w:r>
          </w:p>
        </w:tc>
      </w:tr>
      <w:tr w:rsidR="00D8087A" w:rsidRPr="007E3447" w:rsidTr="006C49F7">
        <w:trPr>
          <w:trHeight w:val="124"/>
          <w:jc w:val="center"/>
        </w:trPr>
        <w:tc>
          <w:tcPr>
            <w:tcW w:w="4770" w:type="dxa"/>
            <w:gridSpan w:val="4"/>
            <w:tcBorders>
              <w:right w:val="thinThickThinSmallGap" w:sz="24" w:space="0" w:color="auto"/>
            </w:tcBorders>
            <w:shd w:val="clear" w:color="auto" w:fill="D9D9D9"/>
          </w:tcPr>
          <w:p w:rsidR="00D8087A" w:rsidRPr="007E3447" w:rsidRDefault="00D8087A" w:rsidP="00461126">
            <w:pPr>
              <w:spacing w:line="180" w:lineRule="exact"/>
              <w:contextualSpacing/>
              <w:rPr>
                <w:rFonts w:cs="Calibri"/>
                <w:b/>
                <w:color w:val="auto"/>
                <w:sz w:val="18"/>
              </w:rPr>
            </w:pPr>
            <w:r w:rsidRPr="007E3447">
              <w:rPr>
                <w:b/>
                <w:color w:val="auto"/>
                <w:sz w:val="18"/>
              </w:rPr>
              <w:t xml:space="preserve">Combined:  </w:t>
            </w:r>
            <w:r w:rsidR="00461126" w:rsidRPr="007E3447">
              <w:rPr>
                <w:b/>
                <w:color w:val="auto"/>
                <w:sz w:val="18"/>
              </w:rPr>
              <w:t>40% / 10</w:t>
            </w:r>
            <w:r w:rsidRPr="007E3447">
              <w:rPr>
                <w:b/>
                <w:color w:val="auto"/>
                <w:sz w:val="18"/>
              </w:rPr>
              <w:t>%</w:t>
            </w:r>
          </w:p>
        </w:tc>
        <w:tc>
          <w:tcPr>
            <w:tcW w:w="4523" w:type="dxa"/>
            <w:gridSpan w:val="4"/>
            <w:tcBorders>
              <w:left w:val="thinThickThinSmallGap" w:sz="24" w:space="0" w:color="auto"/>
            </w:tcBorders>
            <w:shd w:val="clear" w:color="auto" w:fill="D9D9D9"/>
          </w:tcPr>
          <w:p w:rsidR="00D8087A" w:rsidRPr="007E3447" w:rsidRDefault="00D8087A" w:rsidP="00461126">
            <w:pPr>
              <w:spacing w:line="180" w:lineRule="exact"/>
              <w:contextualSpacing/>
              <w:rPr>
                <w:rFonts w:cs="Calibri"/>
                <w:b/>
                <w:color w:val="auto"/>
                <w:sz w:val="18"/>
              </w:rPr>
            </w:pPr>
            <w:r w:rsidRPr="007E3447">
              <w:rPr>
                <w:b/>
                <w:color w:val="auto"/>
                <w:sz w:val="18"/>
              </w:rPr>
              <w:t xml:space="preserve">Combined:  </w:t>
            </w:r>
            <w:r w:rsidR="00461126" w:rsidRPr="007E3447">
              <w:rPr>
                <w:b/>
                <w:color w:val="auto"/>
                <w:sz w:val="18"/>
              </w:rPr>
              <w:t>70</w:t>
            </w:r>
            <w:r w:rsidRPr="007E3447">
              <w:rPr>
                <w:b/>
                <w:color w:val="auto"/>
                <w:sz w:val="18"/>
              </w:rPr>
              <w:t>%</w:t>
            </w:r>
            <w:r w:rsidR="00055299" w:rsidRPr="007E3447">
              <w:rPr>
                <w:b/>
                <w:color w:val="auto"/>
                <w:sz w:val="18"/>
              </w:rPr>
              <w:t>*</w:t>
            </w:r>
          </w:p>
        </w:tc>
      </w:tr>
    </w:tbl>
    <w:p w:rsidR="00055299" w:rsidRPr="007E3447" w:rsidRDefault="00081814" w:rsidP="006C49F7">
      <w:pPr>
        <w:pBdr>
          <w:bottom w:val="single" w:sz="12" w:space="1" w:color="auto"/>
        </w:pBdr>
        <w:tabs>
          <w:tab w:val="left" w:pos="288"/>
          <w:tab w:val="left" w:pos="4752"/>
        </w:tabs>
        <w:spacing w:line="180" w:lineRule="exact"/>
        <w:jc w:val="both"/>
        <w:rPr>
          <w:color w:val="auto"/>
          <w:sz w:val="18"/>
          <w:szCs w:val="18"/>
        </w:rPr>
      </w:pPr>
      <w:r w:rsidRPr="007E3447">
        <w:rPr>
          <w:color w:val="auto"/>
          <w:sz w:val="18"/>
          <w:szCs w:val="18"/>
        </w:rPr>
        <w:t>*</w:t>
      </w:r>
      <w:r w:rsidR="00055299" w:rsidRPr="007E3447">
        <w:rPr>
          <w:color w:val="auto"/>
          <w:sz w:val="18"/>
          <w:szCs w:val="18"/>
        </w:rPr>
        <w:t>Added Angina/Cardiomyopathy, 7099-7020 at 30%; fatty liver, 7345 at 10%; tinnitus, 6260 at 10%; and increased Right &amp; Left legs (scars, post-angioplasty) to 40% each; effective 20100617 (combined 90%)</w:t>
      </w:r>
      <w:r w:rsidR="00301FBB" w:rsidRPr="007E3447">
        <w:rPr>
          <w:color w:val="auto"/>
          <w:sz w:val="18"/>
          <w:szCs w:val="18"/>
        </w:rPr>
        <w:t xml:space="preserve">  </w:t>
      </w:r>
    </w:p>
    <w:p w:rsidR="006C49F7" w:rsidRPr="007E3447" w:rsidRDefault="006C49F7" w:rsidP="006C49F7">
      <w:pPr>
        <w:pBdr>
          <w:bottom w:val="single" w:sz="12" w:space="1" w:color="auto"/>
        </w:pBdr>
        <w:tabs>
          <w:tab w:val="left" w:pos="288"/>
          <w:tab w:val="left" w:pos="4752"/>
        </w:tabs>
        <w:jc w:val="both"/>
        <w:rPr>
          <w:color w:val="000000" w:themeColor="text1"/>
          <w:szCs w:val="18"/>
        </w:rPr>
      </w:pPr>
    </w:p>
    <w:p w:rsidR="00AD2379" w:rsidRPr="007E3447" w:rsidRDefault="00AD2379" w:rsidP="00165C7B">
      <w:pPr>
        <w:jc w:val="both"/>
        <w:rPr>
          <w:color w:val="auto"/>
        </w:rPr>
      </w:pPr>
    </w:p>
    <w:p w:rsidR="004808CD" w:rsidRPr="007E3447" w:rsidRDefault="00AD2379" w:rsidP="004808CD">
      <w:pPr>
        <w:jc w:val="both"/>
        <w:rPr>
          <w:rFonts w:eastAsia="Calibri" w:cs="Times New Roman"/>
          <w:color w:val="auto"/>
          <w:szCs w:val="24"/>
        </w:rPr>
      </w:pPr>
      <w:r w:rsidRPr="007E3447">
        <w:rPr>
          <w:color w:val="auto"/>
          <w:u w:val="single"/>
        </w:rPr>
        <w:t>ANALYSIS SUMMARY</w:t>
      </w:r>
      <w:r w:rsidRPr="007E3447">
        <w:rPr>
          <w:color w:val="auto"/>
        </w:rPr>
        <w:t>:</w:t>
      </w:r>
      <w:r w:rsidR="00896C01" w:rsidRPr="007E3447">
        <w:rPr>
          <w:color w:val="auto"/>
        </w:rPr>
        <w:t xml:space="preserve"> </w:t>
      </w:r>
      <w:r w:rsidRPr="007E3447">
        <w:rPr>
          <w:color w:val="auto"/>
        </w:rPr>
        <w:t xml:space="preserve"> </w:t>
      </w:r>
      <w:r w:rsidR="004808CD" w:rsidRPr="007E3447">
        <w:rPr>
          <w:color w:val="auto"/>
          <w:szCs w:val="24"/>
        </w:rPr>
        <w:t>The CI’s opinion that he had not improved over the course of his TDRL period was considered in the Board’s deliberations.  The Board takes the position that subjective improvement or worsening during the period of TDRL should not influence its coding and rating recommendation at the time of permanent separation.  The Board’s relevant recommendations ar</w:t>
      </w:r>
      <w:r w:rsidR="00185E58">
        <w:rPr>
          <w:color w:val="auto"/>
          <w:szCs w:val="24"/>
        </w:rPr>
        <w:t>e assigned in assessment of the</w:t>
      </w:r>
      <w:r w:rsidR="004808CD" w:rsidRPr="007E3447">
        <w:rPr>
          <w:color w:val="auto"/>
          <w:szCs w:val="24"/>
        </w:rPr>
        <w:t xml:space="preserve"> permanent separation and rating determination, and the TDRL rating assignment is not considered a benchmark.  </w:t>
      </w:r>
      <w:r w:rsidR="00AF7839">
        <w:rPr>
          <w:color w:val="auto"/>
          <w:szCs w:val="24"/>
        </w:rPr>
        <w:t xml:space="preserve">The Board recognizes that in some cases, </w:t>
      </w:r>
      <w:r w:rsidR="004808CD" w:rsidRPr="007E3447">
        <w:rPr>
          <w:color w:val="auto"/>
          <w:szCs w:val="24"/>
        </w:rPr>
        <w:t xml:space="preserve">PEB’s across the </w:t>
      </w:r>
      <w:r w:rsidR="00185E58">
        <w:rPr>
          <w:color w:val="auto"/>
          <w:szCs w:val="24"/>
        </w:rPr>
        <w:t>s</w:t>
      </w:r>
      <w:r w:rsidR="004808CD" w:rsidRPr="007E3447">
        <w:rPr>
          <w:color w:val="auto"/>
          <w:szCs w:val="24"/>
        </w:rPr>
        <w:t xml:space="preserve">ervices sometimes apply an overly generous initial rating in order to meet the </w:t>
      </w:r>
      <w:proofErr w:type="gramStart"/>
      <w:r w:rsidR="004808CD" w:rsidRPr="007E3447">
        <w:rPr>
          <w:color w:val="auto"/>
          <w:szCs w:val="24"/>
        </w:rPr>
        <w:t>DoD</w:t>
      </w:r>
      <w:proofErr w:type="gramEnd"/>
      <w:r w:rsidR="004808CD" w:rsidRPr="007E3447">
        <w:rPr>
          <w:color w:val="auto"/>
          <w:szCs w:val="24"/>
        </w:rPr>
        <w:t xml:space="preserve"> requirement of 30% disability for placement on TDRL.  This is in the member’s best interest at the time and does not </w:t>
      </w:r>
      <w:r w:rsidR="00AF7839">
        <w:rPr>
          <w:color w:val="auto"/>
          <w:szCs w:val="24"/>
        </w:rPr>
        <w:t xml:space="preserve">imply </w:t>
      </w:r>
      <w:r w:rsidR="004808CD" w:rsidRPr="007E3447">
        <w:rPr>
          <w:color w:val="auto"/>
          <w:szCs w:val="24"/>
        </w:rPr>
        <w:t>a final lower rating is unfair, even if perceived as incongruent with subjective severity from one rating to the next.  Thus</w:t>
      </w:r>
      <w:r w:rsidR="00AF7839">
        <w:rPr>
          <w:color w:val="auto"/>
          <w:szCs w:val="24"/>
        </w:rPr>
        <w:t>,</w:t>
      </w:r>
      <w:r w:rsidR="004808CD" w:rsidRPr="007E3447">
        <w:rPr>
          <w:color w:val="auto"/>
          <w:szCs w:val="24"/>
        </w:rPr>
        <w:t xml:space="preserve"> the sole basis for the Board’s permanent recommendation is the optimal VASRD rating for disability at the time the CI is permanently separated.  </w:t>
      </w:r>
      <w:r w:rsidR="004808CD" w:rsidRPr="007E3447">
        <w:rPr>
          <w:rFonts w:eastAsia="Calibri" w:cs="Times New Roman"/>
          <w:color w:val="auto"/>
          <w:szCs w:val="24"/>
        </w:rPr>
        <w:t xml:space="preserve">The Board utilizes </w:t>
      </w:r>
      <w:r w:rsidR="00185E58">
        <w:rPr>
          <w:rFonts w:eastAsia="Calibri" w:cs="Times New Roman"/>
          <w:color w:val="auto"/>
          <w:szCs w:val="24"/>
        </w:rPr>
        <w:t>Department of Veterans’ Affairs (D</w:t>
      </w:r>
      <w:r w:rsidR="004808CD" w:rsidRPr="007E3447">
        <w:rPr>
          <w:rFonts w:eastAsia="Calibri" w:cs="Times New Roman"/>
          <w:color w:val="auto"/>
          <w:szCs w:val="24"/>
        </w:rPr>
        <w:t>VA</w:t>
      </w:r>
      <w:r w:rsidR="00185E58">
        <w:rPr>
          <w:rFonts w:eastAsia="Calibri" w:cs="Times New Roman"/>
          <w:color w:val="auto"/>
          <w:szCs w:val="24"/>
        </w:rPr>
        <w:t>)</w:t>
      </w:r>
      <w:r w:rsidR="004808CD" w:rsidRPr="007E3447">
        <w:rPr>
          <w:rFonts w:eastAsia="Calibri" w:cs="Times New Roman"/>
          <w:color w:val="auto"/>
          <w:szCs w:val="24"/>
        </w:rPr>
        <w:t xml:space="preserve"> evidence proximal to key rating timeframes in arriving at its recommendations; which in this case was the period proximate to the CI’s placement on TDRL in November 2005.  Since the </w:t>
      </w:r>
      <w:r w:rsidR="00185E58">
        <w:rPr>
          <w:rFonts w:eastAsia="Calibri" w:cs="Times New Roman"/>
          <w:color w:val="auto"/>
          <w:szCs w:val="24"/>
        </w:rPr>
        <w:t>D</w:t>
      </w:r>
      <w:r w:rsidR="004808CD" w:rsidRPr="007E3447">
        <w:rPr>
          <w:rFonts w:eastAsia="Calibri" w:cs="Times New Roman"/>
          <w:color w:val="auto"/>
          <w:szCs w:val="24"/>
        </w:rPr>
        <w:t xml:space="preserve">VA examination and rating at the time of TDRL placement is within the 12-month window specified in DoDI 6040.44 regarding Board consideration of </w:t>
      </w:r>
      <w:r w:rsidR="00185E58">
        <w:rPr>
          <w:rFonts w:eastAsia="Calibri" w:cs="Times New Roman"/>
          <w:color w:val="auto"/>
          <w:szCs w:val="24"/>
        </w:rPr>
        <w:t>D</w:t>
      </w:r>
      <w:r w:rsidR="004808CD" w:rsidRPr="007E3447">
        <w:rPr>
          <w:rFonts w:eastAsia="Calibri" w:cs="Times New Roman"/>
          <w:color w:val="auto"/>
          <w:szCs w:val="24"/>
        </w:rPr>
        <w:t>VA or non-</w:t>
      </w:r>
      <w:r w:rsidR="00185E58">
        <w:rPr>
          <w:rFonts w:eastAsia="Calibri" w:cs="Times New Roman"/>
          <w:color w:val="auto"/>
          <w:szCs w:val="24"/>
        </w:rPr>
        <w:t>s</w:t>
      </w:r>
      <w:r w:rsidR="004808CD" w:rsidRPr="007E3447">
        <w:rPr>
          <w:rFonts w:eastAsia="Calibri" w:cs="Times New Roman"/>
          <w:color w:val="auto"/>
          <w:szCs w:val="24"/>
        </w:rPr>
        <w:t xml:space="preserve">ervice evidence, and </w:t>
      </w:r>
      <w:r w:rsidR="00F37452" w:rsidRPr="007E3447">
        <w:rPr>
          <w:rFonts w:eastAsia="Calibri" w:cs="Times New Roman"/>
          <w:color w:val="auto"/>
          <w:szCs w:val="24"/>
        </w:rPr>
        <w:t xml:space="preserve">was </w:t>
      </w:r>
      <w:r w:rsidR="004808CD" w:rsidRPr="007E3447">
        <w:rPr>
          <w:rFonts w:eastAsia="Calibri" w:cs="Times New Roman"/>
          <w:color w:val="auto"/>
          <w:szCs w:val="24"/>
        </w:rPr>
        <w:t xml:space="preserve">closer to the CI’s TDRL entry than the service evaluation, heavy probative value can be assigned to it for TDRL entry.  There was no </w:t>
      </w:r>
      <w:r w:rsidR="00185E58">
        <w:rPr>
          <w:rFonts w:eastAsia="Calibri" w:cs="Times New Roman"/>
          <w:color w:val="auto"/>
          <w:szCs w:val="24"/>
        </w:rPr>
        <w:t>D</w:t>
      </w:r>
      <w:r w:rsidR="004808CD" w:rsidRPr="007E3447">
        <w:rPr>
          <w:rFonts w:eastAsia="Calibri" w:cs="Times New Roman"/>
          <w:color w:val="auto"/>
          <w:szCs w:val="24"/>
        </w:rPr>
        <w:t xml:space="preserve">VA evaluation proximate to the CI’s permanent separation date.  </w:t>
      </w:r>
    </w:p>
    <w:p w:rsidR="004808CD" w:rsidRPr="007E3447" w:rsidRDefault="004808CD" w:rsidP="004808CD">
      <w:pPr>
        <w:jc w:val="both"/>
        <w:rPr>
          <w:color w:val="auto"/>
          <w:szCs w:val="24"/>
        </w:rPr>
      </w:pPr>
    </w:p>
    <w:p w:rsidR="004808CD" w:rsidRPr="007E3447" w:rsidRDefault="004808CD" w:rsidP="00726F84">
      <w:pPr>
        <w:jc w:val="both"/>
        <w:rPr>
          <w:color w:val="auto"/>
        </w:rPr>
      </w:pPr>
      <w:r w:rsidRPr="007E3447">
        <w:rPr>
          <w:color w:val="auto"/>
        </w:rPr>
        <w:t xml:space="preserve">The FBEB </w:t>
      </w:r>
      <w:r w:rsidR="00F37452" w:rsidRPr="007E3447">
        <w:rPr>
          <w:color w:val="auto"/>
        </w:rPr>
        <w:t>“</w:t>
      </w:r>
      <w:r w:rsidR="00185E58">
        <w:rPr>
          <w:color w:val="auto"/>
        </w:rPr>
        <w:t>r</w:t>
      </w:r>
      <w:r w:rsidRPr="007E3447">
        <w:rPr>
          <w:color w:val="auto"/>
        </w:rPr>
        <w:t xml:space="preserve">ationale for PEB </w:t>
      </w:r>
      <w:r w:rsidR="00185E58">
        <w:rPr>
          <w:color w:val="auto"/>
        </w:rPr>
        <w:t>f</w:t>
      </w:r>
      <w:r w:rsidRPr="007E3447">
        <w:rPr>
          <w:color w:val="auto"/>
        </w:rPr>
        <w:t>indings</w:t>
      </w:r>
      <w:r w:rsidR="00F37452" w:rsidRPr="007E3447">
        <w:rPr>
          <w:color w:val="auto"/>
        </w:rPr>
        <w:t>”</w:t>
      </w:r>
      <w:r w:rsidRPr="007E3447">
        <w:rPr>
          <w:color w:val="auto"/>
        </w:rPr>
        <w:t xml:space="preserve"> dated </w:t>
      </w:r>
      <w:r w:rsidR="00185E58">
        <w:rPr>
          <w:color w:val="auto"/>
        </w:rPr>
        <w:t xml:space="preserve">30 January </w:t>
      </w:r>
      <w:r w:rsidRPr="007E3447">
        <w:rPr>
          <w:color w:val="auto"/>
        </w:rPr>
        <w:t xml:space="preserve">2008 provides a comprehensive history and analysis of the </w:t>
      </w:r>
      <w:r w:rsidR="00F37452" w:rsidRPr="007E3447">
        <w:rPr>
          <w:color w:val="auto"/>
        </w:rPr>
        <w:t xml:space="preserve">facts of the </w:t>
      </w:r>
      <w:r w:rsidRPr="007E3447">
        <w:rPr>
          <w:color w:val="auto"/>
        </w:rPr>
        <w:t>case and references SECNAVINST 1850.4E.  The additional rating criteria of DoDI 1332.39 regarding hypercoagulable states was also likely applied, as the FPEB coded th</w:t>
      </w:r>
      <w:r w:rsidR="00185E58">
        <w:rPr>
          <w:color w:val="auto"/>
        </w:rPr>
        <w:t xml:space="preserve">e CI’s condition under the DoDI </w:t>
      </w:r>
      <w:r w:rsidRPr="007E3447">
        <w:rPr>
          <w:color w:val="auto"/>
        </w:rPr>
        <w:t xml:space="preserve">recommended 7199-7121 analogous coding </w:t>
      </w:r>
      <w:r w:rsidR="00F53BF6" w:rsidRPr="007E3447">
        <w:rPr>
          <w:color w:val="auto"/>
        </w:rPr>
        <w:t xml:space="preserve">(post-phlebitic syndrome of any etiology) </w:t>
      </w:r>
      <w:r w:rsidRPr="007E3447">
        <w:rPr>
          <w:color w:val="auto"/>
        </w:rPr>
        <w:t>rather than the SECNAVINST recommended 7199-7120 analogous coding</w:t>
      </w:r>
      <w:r w:rsidR="00F53BF6" w:rsidRPr="007E3447">
        <w:rPr>
          <w:color w:val="auto"/>
        </w:rPr>
        <w:t xml:space="preserve"> (varicose veins)</w:t>
      </w:r>
      <w:r w:rsidRPr="007E3447">
        <w:rPr>
          <w:color w:val="auto"/>
        </w:rPr>
        <w:t xml:space="preserve">.  </w:t>
      </w:r>
    </w:p>
    <w:p w:rsidR="004808CD" w:rsidRPr="007E3447" w:rsidRDefault="004808CD" w:rsidP="00726F84">
      <w:pPr>
        <w:jc w:val="both"/>
        <w:rPr>
          <w:color w:val="auto"/>
        </w:rPr>
      </w:pPr>
    </w:p>
    <w:p w:rsidR="002F27E7" w:rsidRPr="007E3447" w:rsidRDefault="00F37452" w:rsidP="00B22D42">
      <w:pPr>
        <w:jc w:val="both"/>
        <w:rPr>
          <w:color w:val="auto"/>
        </w:rPr>
      </w:pPr>
      <w:proofErr w:type="gramStart"/>
      <w:r w:rsidRPr="007E3447">
        <w:rPr>
          <w:color w:val="auto"/>
          <w:u w:val="single"/>
        </w:rPr>
        <w:lastRenderedPageBreak/>
        <w:t>PEB Diagnoses</w:t>
      </w:r>
      <w:r w:rsidRPr="007E3447">
        <w:rPr>
          <w:color w:val="auto"/>
        </w:rPr>
        <w:t>.</w:t>
      </w:r>
      <w:proofErr w:type="gramEnd"/>
      <w:r w:rsidRPr="007E3447">
        <w:rPr>
          <w:color w:val="auto"/>
        </w:rPr>
        <w:t xml:space="preserve">  The PEB diagnoses of p</w:t>
      </w:r>
      <w:r w:rsidR="00081814" w:rsidRPr="007E3447">
        <w:rPr>
          <w:color w:val="000000" w:themeColor="text1"/>
          <w:szCs w:val="24"/>
        </w:rPr>
        <w:t>rimary hypercoagulable state, on lifelong anticoagu</w:t>
      </w:r>
      <w:r w:rsidR="00AF7839">
        <w:rPr>
          <w:color w:val="000000" w:themeColor="text1"/>
          <w:szCs w:val="24"/>
        </w:rPr>
        <w:t>l</w:t>
      </w:r>
      <w:r w:rsidR="00081814" w:rsidRPr="007E3447">
        <w:rPr>
          <w:color w:val="000000" w:themeColor="text1"/>
          <w:szCs w:val="24"/>
        </w:rPr>
        <w:t>ation c</w:t>
      </w:r>
      <w:r w:rsidR="00AD2379" w:rsidRPr="007E3447">
        <w:rPr>
          <w:color w:val="000000" w:themeColor="text1"/>
          <w:szCs w:val="24"/>
        </w:rPr>
        <w:t>ondition</w:t>
      </w:r>
      <w:r w:rsidR="004808CD" w:rsidRPr="007E3447">
        <w:rPr>
          <w:color w:val="000000" w:themeColor="text1"/>
          <w:szCs w:val="24"/>
        </w:rPr>
        <w:t xml:space="preserve"> with associated </w:t>
      </w:r>
      <w:r w:rsidR="002F27E7" w:rsidRPr="007E3447">
        <w:rPr>
          <w:color w:val="000000" w:themeColor="text1"/>
          <w:szCs w:val="24"/>
        </w:rPr>
        <w:t>chronic venous stasis due to thrombophlebitis of the lower extremities</w:t>
      </w:r>
      <w:r w:rsidR="00F53BF6" w:rsidRPr="007E3447">
        <w:rPr>
          <w:color w:val="000000" w:themeColor="text1"/>
          <w:szCs w:val="24"/>
        </w:rPr>
        <w:t xml:space="preserve"> (R&gt;L)</w:t>
      </w:r>
      <w:r w:rsidR="002F27E7" w:rsidRPr="007E3447">
        <w:rPr>
          <w:color w:val="000000" w:themeColor="text1"/>
          <w:szCs w:val="24"/>
        </w:rPr>
        <w:t>, and chronic thromboembolic disease status post pulmonary thromboendarterectomy,</w:t>
      </w:r>
      <w:r w:rsidRPr="007E3447">
        <w:rPr>
          <w:color w:val="000000" w:themeColor="text1"/>
          <w:szCs w:val="24"/>
        </w:rPr>
        <w:t xml:space="preserve"> are intertwined and </w:t>
      </w:r>
      <w:r w:rsidR="00F53BF6" w:rsidRPr="007E3447">
        <w:rPr>
          <w:color w:val="000000" w:themeColor="text1"/>
          <w:szCs w:val="24"/>
        </w:rPr>
        <w:t xml:space="preserve">are therefore </w:t>
      </w:r>
      <w:r w:rsidRPr="007E3447">
        <w:rPr>
          <w:color w:val="000000" w:themeColor="text1"/>
          <w:szCs w:val="24"/>
        </w:rPr>
        <w:t xml:space="preserve">described and considered together.  </w:t>
      </w:r>
    </w:p>
    <w:p w:rsidR="002F27E7" w:rsidRPr="007E3447" w:rsidRDefault="002F27E7" w:rsidP="00B22D42">
      <w:pPr>
        <w:jc w:val="both"/>
        <w:rPr>
          <w:color w:val="auto"/>
        </w:rPr>
      </w:pPr>
    </w:p>
    <w:p w:rsidR="00CF0280" w:rsidRPr="007E3447" w:rsidRDefault="00CF0280" w:rsidP="0069687C">
      <w:pPr>
        <w:jc w:val="both"/>
        <w:rPr>
          <w:color w:val="auto"/>
          <w:szCs w:val="24"/>
        </w:rPr>
      </w:pPr>
      <w:r w:rsidRPr="007E3447">
        <w:rPr>
          <w:color w:val="auto"/>
          <w:szCs w:val="24"/>
        </w:rPr>
        <w:t xml:space="preserve">At the </w:t>
      </w:r>
      <w:r w:rsidR="007679AF" w:rsidRPr="007E3447">
        <w:rPr>
          <w:color w:val="auto"/>
          <w:szCs w:val="24"/>
        </w:rPr>
        <w:t xml:space="preserve">initial </w:t>
      </w:r>
      <w:r w:rsidRPr="007E3447">
        <w:rPr>
          <w:color w:val="auto"/>
          <w:szCs w:val="24"/>
        </w:rPr>
        <w:t>MEB exam</w:t>
      </w:r>
      <w:r w:rsidR="006B766C" w:rsidRPr="007E3447">
        <w:rPr>
          <w:color w:val="auto"/>
          <w:szCs w:val="24"/>
        </w:rPr>
        <w:t xml:space="preserve"> (pr</w:t>
      </w:r>
      <w:r w:rsidR="00185E58">
        <w:rPr>
          <w:color w:val="auto"/>
          <w:szCs w:val="24"/>
        </w:rPr>
        <w:t xml:space="preserve">ior to </w:t>
      </w:r>
      <w:r w:rsidR="006B766C" w:rsidRPr="007E3447">
        <w:rPr>
          <w:color w:val="auto"/>
          <w:szCs w:val="24"/>
        </w:rPr>
        <w:t>TDRL)</w:t>
      </w:r>
      <w:r w:rsidRPr="007E3447">
        <w:rPr>
          <w:color w:val="auto"/>
          <w:szCs w:val="24"/>
        </w:rPr>
        <w:t>, the CI reported</w:t>
      </w:r>
      <w:r w:rsidR="002F476E" w:rsidRPr="007E3447">
        <w:rPr>
          <w:color w:val="auto"/>
          <w:szCs w:val="24"/>
        </w:rPr>
        <w:t xml:space="preserve"> the history noted in the above summary of case with salient points or recurrent pulmonary embolism despite anticoagulation, surgical removal of pulmonary embolus with placement of a</w:t>
      </w:r>
      <w:r w:rsidR="002F476E" w:rsidRPr="007E3447">
        <w:rPr>
          <w:color w:val="000000" w:themeColor="text1"/>
          <w:szCs w:val="24"/>
        </w:rPr>
        <w:t xml:space="preserve"> filter was placed to prevent further emboli, post-surgical resol</w:t>
      </w:r>
      <w:r w:rsidR="006B766C" w:rsidRPr="007E3447">
        <w:rPr>
          <w:color w:val="000000" w:themeColor="text1"/>
          <w:szCs w:val="24"/>
        </w:rPr>
        <w:t>ution of</w:t>
      </w:r>
      <w:r w:rsidR="002F476E" w:rsidRPr="007E3447">
        <w:rPr>
          <w:color w:val="000000" w:themeColor="text1"/>
          <w:szCs w:val="24"/>
        </w:rPr>
        <w:t xml:space="preserve"> pulmonary hypertension; moderate improvement of shortness of breath on exertion; and slight symptoms of lower leg thrombophlebitis with venous stasis</w:t>
      </w:r>
      <w:r w:rsidR="002F476E" w:rsidRPr="007E3447">
        <w:rPr>
          <w:color w:val="auto"/>
          <w:szCs w:val="24"/>
        </w:rPr>
        <w:t xml:space="preserve">.  The CI had an underlying Lupus anticoagulant and requirement for lifelong anticoagulant therapy.  </w:t>
      </w:r>
      <w:r w:rsidRPr="007E3447">
        <w:rPr>
          <w:color w:val="auto"/>
          <w:szCs w:val="24"/>
        </w:rPr>
        <w:t>The MEB physical exam noted</w:t>
      </w:r>
      <w:r w:rsidR="002F476E" w:rsidRPr="007E3447">
        <w:rPr>
          <w:color w:val="auto"/>
          <w:szCs w:val="24"/>
        </w:rPr>
        <w:t xml:space="preserve"> complaints of mild shortness of breath after 1</w:t>
      </w:r>
      <w:r w:rsidR="00AF7839">
        <w:rPr>
          <w:color w:val="auto"/>
          <w:szCs w:val="24"/>
        </w:rPr>
        <w:t xml:space="preserve"> to </w:t>
      </w:r>
      <w:r w:rsidR="002F476E" w:rsidRPr="007E3447">
        <w:rPr>
          <w:color w:val="auto"/>
          <w:szCs w:val="24"/>
        </w:rPr>
        <w:t>2 miles of walking, and episodic right leg swelling.  Exam indicated a normal lung exam and pitting edema of the right lower leg</w:t>
      </w:r>
      <w:r w:rsidR="006B766C" w:rsidRPr="007E3447">
        <w:rPr>
          <w:color w:val="auto"/>
          <w:szCs w:val="24"/>
        </w:rPr>
        <w:t xml:space="preserve"> (3 cm larger circumference than the left).  The CI had lupus anticoagulant with otherwise negative hypercoagulable workup.  Lung ventilation perfusion scan (V/Q) of April 2005 indicated a small mismatch in the right lower lung.  Pulmonary function testing (PFTs) indicated normal flows and volumes with a normal diffusion capacity of 90% predicted.  A desaturation study of 10 minutes/3 miles indicated no desaturation.  </w:t>
      </w:r>
    </w:p>
    <w:p w:rsidR="00B039DD" w:rsidRPr="007E3447" w:rsidRDefault="00B039DD" w:rsidP="0069687C">
      <w:pPr>
        <w:jc w:val="both"/>
        <w:rPr>
          <w:color w:val="auto"/>
          <w:szCs w:val="24"/>
        </w:rPr>
      </w:pPr>
    </w:p>
    <w:p w:rsidR="00883372" w:rsidRPr="007E3447" w:rsidRDefault="00CF0280" w:rsidP="00883372">
      <w:pPr>
        <w:jc w:val="both"/>
        <w:rPr>
          <w:color w:val="auto"/>
          <w:szCs w:val="24"/>
        </w:rPr>
      </w:pPr>
      <w:r w:rsidRPr="007E3447">
        <w:rPr>
          <w:color w:val="auto"/>
          <w:szCs w:val="24"/>
        </w:rPr>
        <w:t>At the VA Compensation and Pension (C&amp;P) exam</w:t>
      </w:r>
      <w:r w:rsidR="00ED7820" w:rsidRPr="007E3447">
        <w:rPr>
          <w:color w:val="auto"/>
          <w:szCs w:val="24"/>
        </w:rPr>
        <w:t xml:space="preserve"> prior to </w:t>
      </w:r>
      <w:r w:rsidR="006B766C" w:rsidRPr="007E3447">
        <w:rPr>
          <w:color w:val="auto"/>
          <w:szCs w:val="24"/>
        </w:rPr>
        <w:t>TDRL-entry</w:t>
      </w:r>
      <w:r w:rsidRPr="007E3447">
        <w:rPr>
          <w:color w:val="auto"/>
          <w:szCs w:val="24"/>
        </w:rPr>
        <w:t>, the CI reported</w:t>
      </w:r>
      <w:r w:rsidR="006B766C" w:rsidRPr="007E3447">
        <w:rPr>
          <w:color w:val="auto"/>
          <w:szCs w:val="24"/>
        </w:rPr>
        <w:t xml:space="preserve"> a similar history as the MEB with no shortness of breath.  </w:t>
      </w:r>
      <w:r w:rsidR="00207184" w:rsidRPr="007E3447">
        <w:rPr>
          <w:color w:val="auto"/>
          <w:szCs w:val="24"/>
        </w:rPr>
        <w:t>Right</w:t>
      </w:r>
      <w:r w:rsidR="00185E58">
        <w:rPr>
          <w:color w:val="auto"/>
          <w:szCs w:val="24"/>
        </w:rPr>
        <w:t xml:space="preserve"> leg swelling was decreased to </w:t>
      </w:r>
      <w:r w:rsidR="00207184" w:rsidRPr="007E3447">
        <w:rPr>
          <w:color w:val="auto"/>
          <w:szCs w:val="24"/>
        </w:rPr>
        <w:t>1 cm with mild tender varicose veins without dermatitis or ulceration.  The diagnosis was “</w:t>
      </w:r>
      <w:r w:rsidR="00185E58">
        <w:rPr>
          <w:color w:val="auto"/>
          <w:szCs w:val="24"/>
        </w:rPr>
        <w:t>p</w:t>
      </w:r>
      <w:r w:rsidR="00883372" w:rsidRPr="007E3447">
        <w:rPr>
          <w:color w:val="auto"/>
          <w:szCs w:val="24"/>
        </w:rPr>
        <w:t xml:space="preserve">rimary </w:t>
      </w:r>
      <w:proofErr w:type="spellStart"/>
      <w:r w:rsidR="00883372" w:rsidRPr="007E3447">
        <w:rPr>
          <w:color w:val="auto"/>
          <w:szCs w:val="24"/>
        </w:rPr>
        <w:t>hypercoagulable</w:t>
      </w:r>
      <w:proofErr w:type="spellEnd"/>
      <w:r w:rsidR="00883372" w:rsidRPr="007E3447">
        <w:rPr>
          <w:color w:val="auto"/>
          <w:szCs w:val="24"/>
        </w:rPr>
        <w:t xml:space="preserve"> state attributed to lupus anticoagulant resulting</w:t>
      </w:r>
      <w:r w:rsidR="00207184" w:rsidRPr="007E3447">
        <w:rPr>
          <w:color w:val="auto"/>
          <w:szCs w:val="24"/>
        </w:rPr>
        <w:t xml:space="preserve"> </w:t>
      </w:r>
      <w:r w:rsidR="00883372" w:rsidRPr="007E3447">
        <w:rPr>
          <w:color w:val="auto"/>
          <w:szCs w:val="24"/>
        </w:rPr>
        <w:t>in right deep venous thrombosis in April 2004 and pulmonary embolus and</w:t>
      </w:r>
      <w:r w:rsidR="00207184" w:rsidRPr="007E3447">
        <w:rPr>
          <w:color w:val="auto"/>
          <w:szCs w:val="24"/>
        </w:rPr>
        <w:t xml:space="preserve"> </w:t>
      </w:r>
      <w:r w:rsidR="00883372" w:rsidRPr="007E3447">
        <w:rPr>
          <w:color w:val="auto"/>
          <w:szCs w:val="24"/>
        </w:rPr>
        <w:t>subsequent multiple pulmonary emboli in September 2004 subsequently treated</w:t>
      </w:r>
      <w:r w:rsidR="00207184" w:rsidRPr="007E3447">
        <w:rPr>
          <w:color w:val="auto"/>
          <w:szCs w:val="24"/>
        </w:rPr>
        <w:t xml:space="preserve"> </w:t>
      </w:r>
      <w:r w:rsidR="00883372" w:rsidRPr="007E3447">
        <w:rPr>
          <w:color w:val="auto"/>
          <w:szCs w:val="24"/>
        </w:rPr>
        <w:t>with Gree</w:t>
      </w:r>
      <w:r w:rsidR="00207184" w:rsidRPr="007E3447">
        <w:rPr>
          <w:color w:val="auto"/>
          <w:szCs w:val="24"/>
        </w:rPr>
        <w:t>nfield filter and pulmonary thro</w:t>
      </w:r>
      <w:r w:rsidR="00883372" w:rsidRPr="007E3447">
        <w:rPr>
          <w:color w:val="auto"/>
          <w:szCs w:val="24"/>
        </w:rPr>
        <w:t xml:space="preserve">mboembolectomy in January 2005. </w:t>
      </w:r>
      <w:r w:rsidR="00207184" w:rsidRPr="007E3447">
        <w:rPr>
          <w:color w:val="auto"/>
          <w:szCs w:val="24"/>
        </w:rPr>
        <w:t xml:space="preserve"> </w:t>
      </w:r>
      <w:r w:rsidR="00883372" w:rsidRPr="007E3447">
        <w:rPr>
          <w:color w:val="auto"/>
          <w:szCs w:val="24"/>
        </w:rPr>
        <w:t>In</w:t>
      </w:r>
      <w:r w:rsidR="00207184" w:rsidRPr="007E3447">
        <w:rPr>
          <w:color w:val="auto"/>
          <w:szCs w:val="24"/>
        </w:rPr>
        <w:t xml:space="preserve"> </w:t>
      </w:r>
      <w:r w:rsidR="00883372" w:rsidRPr="007E3447">
        <w:rPr>
          <w:color w:val="auto"/>
          <w:szCs w:val="24"/>
        </w:rPr>
        <w:t>addition, echocardiogram in October 2004 demonstrated pulmonary hypertension,</w:t>
      </w:r>
      <w:r w:rsidR="00207184" w:rsidRPr="007E3447">
        <w:rPr>
          <w:color w:val="auto"/>
          <w:szCs w:val="24"/>
        </w:rPr>
        <w:t xml:space="preserve"> </w:t>
      </w:r>
      <w:r w:rsidR="00883372" w:rsidRPr="007E3447">
        <w:rPr>
          <w:color w:val="auto"/>
          <w:szCs w:val="24"/>
        </w:rPr>
        <w:t xml:space="preserve">which has resolved on repeat echocardiogram of April 2005. </w:t>
      </w:r>
      <w:r w:rsidR="00207184" w:rsidRPr="007E3447">
        <w:rPr>
          <w:color w:val="auto"/>
          <w:szCs w:val="24"/>
        </w:rPr>
        <w:t xml:space="preserve"> </w:t>
      </w:r>
      <w:r w:rsidR="00883372" w:rsidRPr="007E3447">
        <w:rPr>
          <w:color w:val="auto"/>
          <w:szCs w:val="24"/>
        </w:rPr>
        <w:t>Desaturation</w:t>
      </w:r>
      <w:r w:rsidR="00207184" w:rsidRPr="007E3447">
        <w:rPr>
          <w:color w:val="auto"/>
          <w:szCs w:val="24"/>
        </w:rPr>
        <w:t xml:space="preserve"> </w:t>
      </w:r>
      <w:r w:rsidR="00883372" w:rsidRPr="007E3447">
        <w:rPr>
          <w:color w:val="auto"/>
          <w:szCs w:val="24"/>
        </w:rPr>
        <w:t>studies obtained in May 2005 demonstrate no significant desaturation with</w:t>
      </w:r>
      <w:r w:rsidR="00207184" w:rsidRPr="007E3447">
        <w:rPr>
          <w:color w:val="auto"/>
          <w:szCs w:val="24"/>
        </w:rPr>
        <w:t xml:space="preserve"> </w:t>
      </w:r>
      <w:r w:rsidR="00883372" w:rsidRPr="007E3447">
        <w:rPr>
          <w:color w:val="auto"/>
          <w:szCs w:val="24"/>
        </w:rPr>
        <w:t xml:space="preserve">exercise. </w:t>
      </w:r>
      <w:r w:rsidR="00207184" w:rsidRPr="007E3447">
        <w:rPr>
          <w:color w:val="auto"/>
          <w:szCs w:val="24"/>
        </w:rPr>
        <w:t xml:space="preserve"> </w:t>
      </w:r>
      <w:r w:rsidR="00883372" w:rsidRPr="007E3447">
        <w:rPr>
          <w:color w:val="auto"/>
          <w:szCs w:val="24"/>
        </w:rPr>
        <w:t>He is a candidate for life-long Coumadin treatment and has been</w:t>
      </w:r>
      <w:r w:rsidR="00207184" w:rsidRPr="007E3447">
        <w:rPr>
          <w:color w:val="auto"/>
          <w:szCs w:val="24"/>
        </w:rPr>
        <w:t xml:space="preserve"> </w:t>
      </w:r>
      <w:r w:rsidR="00883372" w:rsidRPr="007E3447">
        <w:rPr>
          <w:color w:val="auto"/>
          <w:szCs w:val="24"/>
        </w:rPr>
        <w:t xml:space="preserve">advised of the benefits of wearing compression stockings. </w:t>
      </w:r>
      <w:r w:rsidR="00207184" w:rsidRPr="007E3447">
        <w:rPr>
          <w:color w:val="auto"/>
          <w:szCs w:val="24"/>
        </w:rPr>
        <w:t xml:space="preserve"> </w:t>
      </w:r>
      <w:r w:rsidR="00883372" w:rsidRPr="007E3447">
        <w:rPr>
          <w:color w:val="auto"/>
          <w:szCs w:val="24"/>
        </w:rPr>
        <w:t>His exam today is</w:t>
      </w:r>
      <w:r w:rsidR="00207184" w:rsidRPr="007E3447">
        <w:rPr>
          <w:color w:val="auto"/>
          <w:szCs w:val="24"/>
        </w:rPr>
        <w:t xml:space="preserve"> </w:t>
      </w:r>
      <w:r w:rsidR="00883372" w:rsidRPr="007E3447">
        <w:rPr>
          <w:color w:val="auto"/>
          <w:szCs w:val="24"/>
        </w:rPr>
        <w:t>negative for venous hypertension secondary to deep venous thrombosis.</w:t>
      </w:r>
      <w:r w:rsidR="00207184" w:rsidRPr="007E3447">
        <w:rPr>
          <w:color w:val="auto"/>
          <w:szCs w:val="24"/>
        </w:rPr>
        <w:t>”  The VA rated this exam as charted above (60% for pulmonary condition and 10% for each lower extremity).</w:t>
      </w:r>
      <w:r w:rsidR="00C577DD" w:rsidRPr="007E3447">
        <w:rPr>
          <w:color w:val="auto"/>
          <w:szCs w:val="24"/>
        </w:rPr>
        <w:t xml:space="preserve">  </w:t>
      </w:r>
    </w:p>
    <w:p w:rsidR="00883372" w:rsidRPr="007E3447" w:rsidRDefault="00883372" w:rsidP="00CF0280">
      <w:pPr>
        <w:jc w:val="both"/>
        <w:rPr>
          <w:color w:val="auto"/>
          <w:szCs w:val="24"/>
        </w:rPr>
      </w:pPr>
    </w:p>
    <w:p w:rsidR="00BC62C1" w:rsidRPr="007E3447" w:rsidRDefault="00BC62C1" w:rsidP="00CF0280">
      <w:pPr>
        <w:jc w:val="both"/>
        <w:rPr>
          <w:rFonts w:cs="Times New Roman"/>
          <w:color w:val="auto"/>
        </w:rPr>
      </w:pPr>
      <w:r w:rsidRPr="007E3447">
        <w:rPr>
          <w:color w:val="auto"/>
          <w:szCs w:val="24"/>
        </w:rPr>
        <w:t>At the TDRL re-evaluation</w:t>
      </w:r>
      <w:r w:rsidRPr="007E3447">
        <w:rPr>
          <w:i/>
          <w:color w:val="auto"/>
          <w:sz w:val="20"/>
          <w:szCs w:val="24"/>
        </w:rPr>
        <w:t xml:space="preserve">, </w:t>
      </w:r>
      <w:r w:rsidRPr="007E3447">
        <w:rPr>
          <w:rFonts w:cs="Times New Roman"/>
          <w:color w:val="auto"/>
        </w:rPr>
        <w:t xml:space="preserve">the CI was considered stable on blood thinner (Coumadin) with no chest pain or shortness of breath, but inability to perform strenuous exercise.  Exam indicated clear lungs, 98% O2 saturation on room air (normal) and edema in the right leg.  There was no repeat V/Q scan or cardiac ECHO in evidence.  The </w:t>
      </w:r>
      <w:r w:rsidR="00C577DD" w:rsidRPr="007E3447">
        <w:rPr>
          <w:rFonts w:cs="Times New Roman"/>
          <w:color w:val="auto"/>
        </w:rPr>
        <w:t xml:space="preserve">final </w:t>
      </w:r>
      <w:r w:rsidRPr="007E3447">
        <w:rPr>
          <w:rFonts w:cs="Times New Roman"/>
          <w:color w:val="auto"/>
        </w:rPr>
        <w:t xml:space="preserve">diagnoses were </w:t>
      </w:r>
      <w:r w:rsidR="00C577DD" w:rsidRPr="007E3447">
        <w:rPr>
          <w:rFonts w:cs="Times New Roman"/>
          <w:color w:val="auto"/>
        </w:rPr>
        <w:t xml:space="preserve">“1. </w:t>
      </w:r>
      <w:proofErr w:type="gramStart"/>
      <w:r w:rsidR="00C577DD" w:rsidRPr="007E3447">
        <w:rPr>
          <w:rFonts w:cs="Times New Roman"/>
          <w:color w:val="auto"/>
        </w:rPr>
        <w:t>CHRONIC THROMBOEMBOLIC DISEASE; STATUS POST PULMONARY THROMBO-ENDARTERECTOMY; 2.</w:t>
      </w:r>
      <w:proofErr w:type="gramEnd"/>
      <w:r w:rsidR="00C577DD" w:rsidRPr="007E3447">
        <w:rPr>
          <w:rFonts w:cs="Times New Roman"/>
          <w:color w:val="auto"/>
        </w:rPr>
        <w:t xml:space="preserve"> CHRONIC VENOSTASIS DUE TO THROMBOPHLEBITIS OF THE LOWER</w:t>
      </w:r>
      <w:r w:rsidR="007E3447" w:rsidRPr="007E3447">
        <w:rPr>
          <w:rFonts w:cs="Times New Roman"/>
          <w:color w:val="auto"/>
        </w:rPr>
        <w:t xml:space="preserve"> </w:t>
      </w:r>
      <w:r w:rsidR="00C577DD" w:rsidRPr="007E3447">
        <w:rPr>
          <w:rFonts w:cs="Times New Roman"/>
          <w:color w:val="auto"/>
        </w:rPr>
        <w:t xml:space="preserve">EXTREMITY, RIGHT LOWER EXTREMITY WORSE THAN THE LEFT; and, 3. </w:t>
      </w:r>
      <w:proofErr w:type="gramStart"/>
      <w:r w:rsidR="00C577DD" w:rsidRPr="007E3447">
        <w:rPr>
          <w:rFonts w:cs="Times New Roman"/>
          <w:color w:val="auto"/>
        </w:rPr>
        <w:t>PRIMARY HYPERCOAGULABLE STATE SECONDARY TO LUPUS ANTICOAGULANT.</w:t>
      </w:r>
      <w:proofErr w:type="gramEnd"/>
      <w:r w:rsidR="00C577DD" w:rsidRPr="007E3447">
        <w:rPr>
          <w:rFonts w:cs="Times New Roman"/>
          <w:color w:val="auto"/>
        </w:rPr>
        <w:t xml:space="preserve">  </w:t>
      </w:r>
    </w:p>
    <w:p w:rsidR="00C577DD" w:rsidRPr="007E3447" w:rsidRDefault="00C577DD" w:rsidP="00CF0280">
      <w:pPr>
        <w:jc w:val="both"/>
        <w:rPr>
          <w:rFonts w:cs="Times New Roman"/>
          <w:color w:val="auto"/>
        </w:rPr>
      </w:pPr>
    </w:p>
    <w:p w:rsidR="0066457E" w:rsidRPr="007E3447" w:rsidRDefault="0066457E" w:rsidP="00CF0280">
      <w:pPr>
        <w:jc w:val="both"/>
        <w:rPr>
          <w:rFonts w:cs="Times New Roman"/>
          <w:color w:val="auto"/>
        </w:rPr>
      </w:pPr>
      <w:r w:rsidRPr="007E3447">
        <w:rPr>
          <w:rFonts w:cs="Times New Roman"/>
          <w:color w:val="auto"/>
        </w:rPr>
        <w:t xml:space="preserve">The </w:t>
      </w:r>
      <w:r w:rsidR="009B5F47" w:rsidRPr="007E3447">
        <w:rPr>
          <w:rFonts w:cs="Times New Roman"/>
          <w:color w:val="auto"/>
        </w:rPr>
        <w:t xml:space="preserve">2-year </w:t>
      </w:r>
      <w:r w:rsidRPr="007E3447">
        <w:rPr>
          <w:rFonts w:cs="Times New Roman"/>
          <w:color w:val="auto"/>
        </w:rPr>
        <w:t>remote from TDRL-separation VA exams in 2010</w:t>
      </w:r>
      <w:r w:rsidR="009B5F47" w:rsidRPr="007E3447">
        <w:rPr>
          <w:rFonts w:cs="Times New Roman"/>
          <w:color w:val="auto"/>
        </w:rPr>
        <w:t>/2011</w:t>
      </w:r>
      <w:r w:rsidRPr="007E3447">
        <w:rPr>
          <w:rFonts w:cs="Times New Roman"/>
          <w:color w:val="auto"/>
        </w:rPr>
        <w:t xml:space="preserve"> indicated repeated leg thromboses </w:t>
      </w:r>
      <w:r w:rsidR="009B5F47" w:rsidRPr="007E3447">
        <w:rPr>
          <w:rFonts w:cs="Times New Roman"/>
          <w:color w:val="auto"/>
        </w:rPr>
        <w:t>with skin changes (bilateral)</w:t>
      </w:r>
      <w:r w:rsidRPr="007E3447">
        <w:rPr>
          <w:rFonts w:cs="Times New Roman"/>
          <w:color w:val="auto"/>
        </w:rPr>
        <w:t xml:space="preserve"> and a cardiomyopathy attributed to the CI’s </w:t>
      </w:r>
      <w:r w:rsidR="009B5F47" w:rsidRPr="007E3447">
        <w:rPr>
          <w:rFonts w:cs="Times New Roman"/>
          <w:color w:val="auto"/>
        </w:rPr>
        <w:t xml:space="preserve">pulmonary condition, was considered post-separation worsening and too remote from the rating period for rating at separation.  </w:t>
      </w:r>
    </w:p>
    <w:p w:rsidR="0066457E" w:rsidRPr="007E3447" w:rsidRDefault="0066457E" w:rsidP="00CF0280">
      <w:pPr>
        <w:jc w:val="both"/>
        <w:rPr>
          <w:rFonts w:cs="Times New Roman"/>
          <w:color w:val="auto"/>
        </w:rPr>
      </w:pPr>
    </w:p>
    <w:p w:rsidR="00417999" w:rsidRPr="007E3447" w:rsidRDefault="00AD2379" w:rsidP="00FB00AD">
      <w:pPr>
        <w:tabs>
          <w:tab w:val="left" w:pos="288"/>
          <w:tab w:val="left" w:pos="4752"/>
        </w:tabs>
        <w:jc w:val="both"/>
        <w:rPr>
          <w:rFonts w:cs="Times New Roman"/>
          <w:color w:val="auto"/>
        </w:rPr>
      </w:pPr>
      <w:r w:rsidRPr="007E3447">
        <w:rPr>
          <w:rFonts w:cs="Times New Roman"/>
          <w:color w:val="auto"/>
        </w:rPr>
        <w:t>The Board directs attenti</w:t>
      </w:r>
      <w:r w:rsidR="00782CC1" w:rsidRPr="007E3447">
        <w:rPr>
          <w:rFonts w:cs="Times New Roman"/>
          <w:color w:val="auto"/>
        </w:rPr>
        <w:t>on to its rating recommendation</w:t>
      </w:r>
      <w:r w:rsidRPr="007E3447">
        <w:rPr>
          <w:rFonts w:cs="Times New Roman"/>
          <w:color w:val="auto"/>
        </w:rPr>
        <w:t xml:space="preserve"> </w:t>
      </w:r>
      <w:r w:rsidR="00B13A51" w:rsidRPr="007E3447">
        <w:rPr>
          <w:rFonts w:cs="Times New Roman"/>
          <w:color w:val="auto"/>
        </w:rPr>
        <w:t>based on the above evidence</w:t>
      </w:r>
      <w:r w:rsidR="00C577DD" w:rsidRPr="007E3447">
        <w:rPr>
          <w:rFonts w:cs="Times New Roman"/>
          <w:color w:val="auto"/>
        </w:rPr>
        <w:t xml:space="preserve"> and the FPEB rationale and findings</w:t>
      </w:r>
      <w:r w:rsidRPr="007E3447">
        <w:rPr>
          <w:rFonts w:cs="Times New Roman"/>
          <w:color w:val="auto"/>
        </w:rPr>
        <w:t>.</w:t>
      </w:r>
      <w:r w:rsidR="00165C7B" w:rsidRPr="007E3447">
        <w:rPr>
          <w:rFonts w:cs="Times New Roman"/>
          <w:color w:val="auto"/>
        </w:rPr>
        <w:t xml:space="preserve">  </w:t>
      </w:r>
      <w:r w:rsidR="00C577DD" w:rsidRPr="007E3447">
        <w:rPr>
          <w:rFonts w:cs="Times New Roman"/>
          <w:color w:val="auto"/>
        </w:rPr>
        <w:t xml:space="preserve">The FPEB indicated </w:t>
      </w:r>
      <w:r w:rsidR="00B0393D">
        <w:rPr>
          <w:rFonts w:cs="Times New Roman"/>
          <w:color w:val="auto"/>
        </w:rPr>
        <w:t>t</w:t>
      </w:r>
      <w:r w:rsidR="00C577DD" w:rsidRPr="007E3447">
        <w:rPr>
          <w:rFonts w:cs="Times New Roman"/>
          <w:color w:val="auto"/>
        </w:rPr>
        <w:t>heir only finding of unfit was for the primary hypercoagulable state (and chronic anticoagulant requirement) and consider</w:t>
      </w:r>
      <w:r w:rsidR="003263DE" w:rsidRPr="007E3447">
        <w:rPr>
          <w:rFonts w:cs="Times New Roman"/>
          <w:color w:val="auto"/>
        </w:rPr>
        <w:t>ed</w:t>
      </w:r>
      <w:r w:rsidR="00C577DD" w:rsidRPr="007E3447">
        <w:rPr>
          <w:rFonts w:cs="Times New Roman"/>
          <w:color w:val="auto"/>
        </w:rPr>
        <w:t xml:space="preserve"> the chronic thromboembolic disease status post thromboendarterectomy as </w:t>
      </w:r>
      <w:r w:rsidR="003263DE" w:rsidRPr="007E3447">
        <w:rPr>
          <w:rFonts w:cs="Times New Roman"/>
          <w:color w:val="auto"/>
        </w:rPr>
        <w:t xml:space="preserve">specifically not </w:t>
      </w:r>
      <w:r w:rsidR="00C577DD" w:rsidRPr="007E3447">
        <w:rPr>
          <w:rFonts w:cs="Times New Roman"/>
          <w:color w:val="auto"/>
        </w:rPr>
        <w:t xml:space="preserve">being separately unfitting.  </w:t>
      </w:r>
      <w:r w:rsidR="003263DE" w:rsidRPr="007E3447">
        <w:rPr>
          <w:rFonts w:cs="Times New Roman"/>
          <w:color w:val="auto"/>
        </w:rPr>
        <w:t xml:space="preserve">The right leg chronic venous stasis was also considered a </w:t>
      </w:r>
      <w:r w:rsidR="00185E58">
        <w:rPr>
          <w:rFonts w:cs="Times New Roman"/>
          <w:color w:val="auto"/>
        </w:rPr>
        <w:t>c</w:t>
      </w:r>
      <w:r w:rsidR="003263DE" w:rsidRPr="007E3447">
        <w:rPr>
          <w:rFonts w:cs="Times New Roman"/>
          <w:color w:val="auto"/>
        </w:rPr>
        <w:t xml:space="preserve">ategory II </w:t>
      </w:r>
      <w:r w:rsidR="003263DE" w:rsidRPr="007E3447">
        <w:rPr>
          <w:rFonts w:cs="Times New Roman"/>
          <w:color w:val="auto"/>
        </w:rPr>
        <w:lastRenderedPageBreak/>
        <w:t xml:space="preserve">(related to </w:t>
      </w:r>
      <w:r w:rsidR="00185E58">
        <w:rPr>
          <w:rFonts w:cs="Times New Roman"/>
          <w:color w:val="auto"/>
        </w:rPr>
        <w:t>c</w:t>
      </w:r>
      <w:r w:rsidR="003263DE" w:rsidRPr="007E3447">
        <w:rPr>
          <w:rFonts w:cs="Times New Roman"/>
          <w:color w:val="auto"/>
        </w:rPr>
        <w:t xml:space="preserve">ategory I) condition.  </w:t>
      </w:r>
      <w:r w:rsidR="0066457E" w:rsidRPr="007E3447">
        <w:rPr>
          <w:rFonts w:cs="Times New Roman"/>
          <w:color w:val="auto"/>
        </w:rPr>
        <w:t xml:space="preserve">The FPEB appeared to consider the CI’s pulmonary condition asymptomatic and therefore not unfitting.  </w:t>
      </w:r>
    </w:p>
    <w:p w:rsidR="00241B01" w:rsidRPr="007E3447" w:rsidRDefault="00241B01" w:rsidP="0069687C">
      <w:pPr>
        <w:tabs>
          <w:tab w:val="left" w:pos="288"/>
          <w:tab w:val="left" w:pos="4752"/>
        </w:tabs>
        <w:jc w:val="left"/>
        <w:rPr>
          <w:rFonts w:cs="Times New Roman"/>
          <w:color w:val="auto"/>
        </w:rPr>
      </w:pPr>
    </w:p>
    <w:p w:rsidR="003263DE" w:rsidRPr="007E3447" w:rsidRDefault="003263DE" w:rsidP="00634608">
      <w:pPr>
        <w:jc w:val="both"/>
        <w:rPr>
          <w:color w:val="auto"/>
        </w:rPr>
      </w:pPr>
      <w:r w:rsidRPr="007E3447">
        <w:rPr>
          <w:rFonts w:eastAsia="Calibri" w:cs="Times New Roman"/>
          <w:color w:val="auto"/>
          <w:szCs w:val="24"/>
        </w:rPr>
        <w:t xml:space="preserve">The Board discussed whether the </w:t>
      </w:r>
      <w:r w:rsidR="00185E58">
        <w:rPr>
          <w:rFonts w:eastAsia="Calibri" w:cs="Times New Roman"/>
          <w:color w:val="auto"/>
          <w:szCs w:val="24"/>
        </w:rPr>
        <w:t>c</w:t>
      </w:r>
      <w:r w:rsidRPr="007E3447">
        <w:rPr>
          <w:rFonts w:eastAsia="Calibri" w:cs="Times New Roman"/>
          <w:color w:val="auto"/>
          <w:szCs w:val="24"/>
        </w:rPr>
        <w:t xml:space="preserve">ategory II conditions were actually separable from the primary unfitting condition of </w:t>
      </w:r>
      <w:r w:rsidRPr="007E3447">
        <w:rPr>
          <w:rFonts w:cs="Times New Roman"/>
          <w:color w:val="auto"/>
        </w:rPr>
        <w:t xml:space="preserve">primary hypercoagulable state (and chronic anticoagulant requirement).  The history and case-specific disability indicated in </w:t>
      </w:r>
      <w:r w:rsidR="00872616" w:rsidRPr="007E3447">
        <w:rPr>
          <w:rFonts w:cs="Times New Roman"/>
          <w:color w:val="auto"/>
        </w:rPr>
        <w:t xml:space="preserve">this </w:t>
      </w:r>
      <w:r w:rsidRPr="007E3447">
        <w:rPr>
          <w:rFonts w:cs="Times New Roman"/>
          <w:color w:val="auto"/>
        </w:rPr>
        <w:t xml:space="preserve">case was </w:t>
      </w:r>
      <w:r w:rsidR="00872616" w:rsidRPr="007E3447">
        <w:rPr>
          <w:rFonts w:cs="Times New Roman"/>
          <w:color w:val="auto"/>
        </w:rPr>
        <w:t>not equivalent to most cases where an underlying hypercoagulable state is found following a single or mild event that otherwise fully resolves.  The CI’s recurrent pulmonary emboli</w:t>
      </w:r>
      <w:r w:rsidR="00634608" w:rsidRPr="007E3447">
        <w:rPr>
          <w:rFonts w:cs="Times New Roman"/>
          <w:color w:val="auto"/>
        </w:rPr>
        <w:t>, surgical removal of a large pulmonary embolus, and inferior vena cava surgery with placement (</w:t>
      </w:r>
      <w:r w:rsidR="00872616" w:rsidRPr="007E3447">
        <w:rPr>
          <w:rFonts w:cs="Times New Roman"/>
          <w:color w:val="auto"/>
        </w:rPr>
        <w:t>requirement for</w:t>
      </w:r>
      <w:r w:rsidR="00634608" w:rsidRPr="007E3447">
        <w:rPr>
          <w:rFonts w:cs="Times New Roman"/>
          <w:color w:val="auto"/>
        </w:rPr>
        <w:t>)</w:t>
      </w:r>
      <w:r w:rsidR="00872616" w:rsidRPr="007E3447">
        <w:rPr>
          <w:rFonts w:cs="Times New Roman"/>
          <w:color w:val="auto"/>
        </w:rPr>
        <w:t xml:space="preserve"> a Greenfield Filter would have independently required lifelong anticoagulation therapy.  Of note, the VA exams were very closely aligned with the service exams and there were no significant differences in findings with regard to ratable criteria for any of the analogous coding options:  </w:t>
      </w:r>
      <w:r w:rsidR="00872616" w:rsidRPr="007E3447">
        <w:rPr>
          <w:color w:val="auto"/>
        </w:rPr>
        <w:t xml:space="preserve">7199-7121, post-phlebitic syndrome of any etiology; 7199-7120, varicose veins; or, </w:t>
      </w:r>
      <w:r w:rsidR="00BB1EDC" w:rsidRPr="007E3447">
        <w:rPr>
          <w:color w:val="auto"/>
        </w:rPr>
        <w:t>6899-</w:t>
      </w:r>
      <w:r w:rsidR="00872616" w:rsidRPr="007E3447">
        <w:rPr>
          <w:color w:val="auto"/>
        </w:rPr>
        <w:t xml:space="preserve">6817 </w:t>
      </w:r>
      <w:r w:rsidR="00185E58">
        <w:rPr>
          <w:color w:val="auto"/>
        </w:rPr>
        <w:t>p</w:t>
      </w:r>
      <w:r w:rsidR="00872616" w:rsidRPr="007E3447">
        <w:rPr>
          <w:color w:val="auto"/>
        </w:rPr>
        <w:t xml:space="preserve">ulmonary </w:t>
      </w:r>
      <w:r w:rsidR="00185E58">
        <w:rPr>
          <w:color w:val="auto"/>
        </w:rPr>
        <w:t>v</w:t>
      </w:r>
      <w:r w:rsidR="00872616" w:rsidRPr="007E3447">
        <w:rPr>
          <w:color w:val="auto"/>
        </w:rPr>
        <w:t xml:space="preserve">ascular </w:t>
      </w:r>
      <w:r w:rsidR="00185E58">
        <w:rPr>
          <w:color w:val="auto"/>
        </w:rPr>
        <w:t>d</w:t>
      </w:r>
      <w:r w:rsidR="00872616" w:rsidRPr="007E3447">
        <w:rPr>
          <w:color w:val="auto"/>
        </w:rPr>
        <w:t>isease.</w:t>
      </w:r>
      <w:r w:rsidR="00BB1EDC" w:rsidRPr="007E3447">
        <w:rPr>
          <w:color w:val="auto"/>
        </w:rPr>
        <w:t xml:space="preserve">  There was no evidence that the left leg rose to the level of being unfitting.  </w:t>
      </w:r>
      <w:r w:rsidR="00634608" w:rsidRPr="007E3447">
        <w:rPr>
          <w:color w:val="auto"/>
        </w:rPr>
        <w:t xml:space="preserve">The right leg limitations of activity would almost certainly prohibited return to duty as a </w:t>
      </w:r>
      <w:r w:rsidR="00634608" w:rsidRPr="007E3447">
        <w:rPr>
          <w:color w:val="000000" w:themeColor="text1"/>
          <w:szCs w:val="24"/>
        </w:rPr>
        <w:t xml:space="preserve">Motor </w:t>
      </w:r>
      <w:r w:rsidR="00B0393D">
        <w:rPr>
          <w:color w:val="000000" w:themeColor="text1"/>
          <w:szCs w:val="24"/>
        </w:rPr>
        <w:t>Vehicle</w:t>
      </w:r>
      <w:r w:rsidR="00634608" w:rsidRPr="007E3447">
        <w:rPr>
          <w:color w:val="000000" w:themeColor="text1"/>
          <w:szCs w:val="24"/>
        </w:rPr>
        <w:t xml:space="preserve"> Operator.  The CI’s intermittent </w:t>
      </w:r>
      <w:r w:rsidR="007E3447" w:rsidRPr="007E3447">
        <w:rPr>
          <w:color w:val="000000" w:themeColor="text1"/>
          <w:szCs w:val="24"/>
        </w:rPr>
        <w:t xml:space="preserve">right </w:t>
      </w:r>
      <w:r w:rsidR="0066457E" w:rsidRPr="007E3447">
        <w:rPr>
          <w:color w:val="000000" w:themeColor="text1"/>
          <w:szCs w:val="24"/>
        </w:rPr>
        <w:t xml:space="preserve">leg </w:t>
      </w:r>
      <w:r w:rsidR="00634608" w:rsidRPr="007E3447">
        <w:rPr>
          <w:color w:val="000000" w:themeColor="text1"/>
          <w:szCs w:val="24"/>
        </w:rPr>
        <w:t>symptoms and physical findings were closer to the 10% criteria of “intermittent edema of extremity or aching and fatigue in leg after prolonged standing or walking, with symptoms relieved by elevation of extremity or compression hosiery” than the 0</w:t>
      </w:r>
      <w:r w:rsidR="00634608" w:rsidRPr="007E3447">
        <w:rPr>
          <w:color w:val="auto"/>
        </w:rPr>
        <w:t>% criteria of “</w:t>
      </w:r>
      <w:r w:rsidR="00185E58">
        <w:rPr>
          <w:color w:val="auto"/>
        </w:rPr>
        <w:t>a</w:t>
      </w:r>
      <w:r w:rsidR="00634608" w:rsidRPr="007E3447">
        <w:rPr>
          <w:color w:val="auto"/>
        </w:rPr>
        <w:t>symptomatic palpable or visible varicose veins.”</w:t>
      </w:r>
      <w:r w:rsidR="0066457E" w:rsidRPr="007E3447">
        <w:rPr>
          <w:color w:val="auto"/>
        </w:rPr>
        <w:t xml:space="preserve">  </w:t>
      </w:r>
      <w:r w:rsidR="007E3447" w:rsidRPr="007E3447">
        <w:rPr>
          <w:color w:val="000000" w:themeColor="text1"/>
          <w:szCs w:val="24"/>
        </w:rPr>
        <w:t xml:space="preserve">There was insufficient documentation (no preponderance of evidence) of left lower extremity pathology, symptoms or disability for a determination of an unfit left lower extremity.  </w:t>
      </w:r>
      <w:r w:rsidR="0066457E" w:rsidRPr="007E3447">
        <w:rPr>
          <w:color w:val="auto"/>
        </w:rPr>
        <w:t xml:space="preserve">The Board considered that independent of the lupus </w:t>
      </w:r>
      <w:r w:rsidR="0066457E" w:rsidRPr="007E3447">
        <w:rPr>
          <w:color w:val="000000" w:themeColor="text1"/>
          <w:szCs w:val="24"/>
        </w:rPr>
        <w:t xml:space="preserve">hypercoagulable state, due to the surgical placement of the inferior vena cava filter and recurrent/chronic pulmonary emboli, the CI would have been required to be on lifelong anticoagulation therapy, which would have been unfitting.  </w:t>
      </w:r>
    </w:p>
    <w:p w:rsidR="00634608" w:rsidRPr="007E3447" w:rsidRDefault="00634608" w:rsidP="00241B01">
      <w:pPr>
        <w:jc w:val="both"/>
        <w:rPr>
          <w:color w:val="auto"/>
        </w:rPr>
      </w:pPr>
    </w:p>
    <w:p w:rsidR="00BB1EDC" w:rsidRPr="007E3447" w:rsidRDefault="00241B01" w:rsidP="00241B01">
      <w:pPr>
        <w:jc w:val="both"/>
        <w:rPr>
          <w:rFonts w:eastAsia="Calibri" w:cs="Times New Roman"/>
          <w:color w:val="auto"/>
          <w:szCs w:val="24"/>
        </w:rPr>
      </w:pPr>
      <w:r w:rsidRPr="007E3447">
        <w:rPr>
          <w:rFonts w:eastAsia="Calibri" w:cs="Times New Roman"/>
          <w:color w:val="auto"/>
          <w:szCs w:val="24"/>
        </w:rPr>
        <w:t>After due deliberation, considering all of the evidence and mindful of VASRD §4.3 (reasonable doubt)</w:t>
      </w:r>
      <w:r w:rsidR="00120B5C" w:rsidRPr="007E3447">
        <w:rPr>
          <w:rFonts w:eastAsia="Calibri" w:cs="Times New Roman"/>
          <w:color w:val="auto"/>
          <w:szCs w:val="24"/>
        </w:rPr>
        <w:t xml:space="preserve"> and the preponderance of the evidence</w:t>
      </w:r>
      <w:r w:rsidRPr="007E3447">
        <w:rPr>
          <w:rFonts w:eastAsia="Calibri" w:cs="Times New Roman"/>
          <w:color w:val="auto"/>
          <w:szCs w:val="24"/>
        </w:rPr>
        <w:t xml:space="preserve">, the Board recommends the </w:t>
      </w:r>
      <w:r w:rsidR="00BB1EDC" w:rsidRPr="007E3447">
        <w:rPr>
          <w:rFonts w:eastAsia="Calibri" w:cs="Times New Roman"/>
          <w:color w:val="auto"/>
          <w:szCs w:val="24"/>
        </w:rPr>
        <w:t xml:space="preserve">CI’s intertwined </w:t>
      </w:r>
      <w:r w:rsidR="00BB1EDC" w:rsidRPr="007E3447">
        <w:rPr>
          <w:color w:val="auto"/>
        </w:rPr>
        <w:t>p</w:t>
      </w:r>
      <w:r w:rsidR="00BB1EDC" w:rsidRPr="007E3447">
        <w:rPr>
          <w:color w:val="000000" w:themeColor="text1"/>
          <w:szCs w:val="24"/>
        </w:rPr>
        <w:t>rimary hypercoagulable state (lifelong anticoagulation) associated with chronic thromboembolic disease status post pulmonary thromboendarterectomy</w:t>
      </w:r>
      <w:r w:rsidR="00BB1EDC" w:rsidRPr="007E3447">
        <w:rPr>
          <w:rFonts w:eastAsia="Calibri" w:cs="Times New Roman"/>
          <w:color w:val="auto"/>
          <w:szCs w:val="24"/>
        </w:rPr>
        <w:t xml:space="preserve"> </w:t>
      </w:r>
      <w:r w:rsidR="00BB1EDC" w:rsidRPr="007E3447">
        <w:rPr>
          <w:color w:val="000000" w:themeColor="text1"/>
          <w:szCs w:val="24"/>
        </w:rPr>
        <w:t xml:space="preserve">with chronic right lower extremity </w:t>
      </w:r>
      <w:r w:rsidR="00634608" w:rsidRPr="007E3447">
        <w:rPr>
          <w:color w:val="000000" w:themeColor="text1"/>
          <w:szCs w:val="24"/>
        </w:rPr>
        <w:t xml:space="preserve">venous </w:t>
      </w:r>
      <w:r w:rsidR="00BB1EDC" w:rsidRPr="007E3447">
        <w:rPr>
          <w:color w:val="000000" w:themeColor="text1"/>
          <w:szCs w:val="24"/>
        </w:rPr>
        <w:t xml:space="preserve">stasis, </w:t>
      </w:r>
      <w:r w:rsidR="00BB1EDC" w:rsidRPr="007E3447">
        <w:rPr>
          <w:rFonts w:eastAsia="Calibri" w:cs="Times New Roman"/>
          <w:color w:val="auto"/>
          <w:szCs w:val="24"/>
        </w:rPr>
        <w:t xml:space="preserve">be found unfitting for both </w:t>
      </w:r>
      <w:r w:rsidR="00BB1EDC" w:rsidRPr="007E3447">
        <w:rPr>
          <w:color w:val="auto"/>
        </w:rPr>
        <w:t>p</w:t>
      </w:r>
      <w:r w:rsidR="00BB1EDC" w:rsidRPr="007E3447">
        <w:rPr>
          <w:color w:val="000000" w:themeColor="text1"/>
          <w:szCs w:val="24"/>
        </w:rPr>
        <w:t xml:space="preserve">rimary hypercoagulable state (lifelong anticoagulation) associated with chronic thromboembolic disease status post pulmonary thromboendarterectomy coded </w:t>
      </w:r>
      <w:r w:rsidR="00BB1EDC" w:rsidRPr="007E3447">
        <w:rPr>
          <w:color w:val="auto"/>
        </w:rPr>
        <w:t xml:space="preserve">6899-6817 at 60% IAW </w:t>
      </w:r>
      <w:r w:rsidR="00634608" w:rsidRPr="007E3447">
        <w:rPr>
          <w:color w:val="auto"/>
        </w:rPr>
        <w:t xml:space="preserve">VASRD </w:t>
      </w:r>
      <w:r w:rsidR="00BB1EDC" w:rsidRPr="007E3447">
        <w:rPr>
          <w:rFonts w:eastAsia="Calibri" w:cs="Times New Roman"/>
          <w:color w:val="auto"/>
          <w:szCs w:val="24"/>
        </w:rPr>
        <w:t>§4.97</w:t>
      </w:r>
      <w:r w:rsidR="00634608" w:rsidRPr="007E3447">
        <w:rPr>
          <w:rFonts w:eastAsia="Calibri" w:cs="Times New Roman"/>
          <w:color w:val="auto"/>
          <w:szCs w:val="24"/>
        </w:rPr>
        <w:t xml:space="preserve">, </w:t>
      </w:r>
      <w:r w:rsidR="00BB1EDC" w:rsidRPr="007E3447">
        <w:rPr>
          <w:rFonts w:eastAsia="Calibri" w:cs="Times New Roman"/>
          <w:color w:val="auto"/>
          <w:szCs w:val="24"/>
        </w:rPr>
        <w:t xml:space="preserve">and </w:t>
      </w:r>
      <w:r w:rsidR="00634608" w:rsidRPr="007E3447">
        <w:rPr>
          <w:color w:val="000000" w:themeColor="text1"/>
          <w:szCs w:val="24"/>
        </w:rPr>
        <w:t xml:space="preserve">chronic right lower extremity venous stasis coded 7199-7121 at 10% IAW VASRD §4.104.  </w:t>
      </w:r>
    </w:p>
    <w:p w:rsidR="003863E9" w:rsidRPr="007E3447" w:rsidRDefault="003863E9" w:rsidP="003863E9">
      <w:pPr>
        <w:pBdr>
          <w:bottom w:val="single" w:sz="12" w:space="1" w:color="auto"/>
        </w:pBdr>
        <w:tabs>
          <w:tab w:val="left" w:pos="288"/>
          <w:tab w:val="left" w:pos="4752"/>
        </w:tabs>
        <w:jc w:val="both"/>
        <w:rPr>
          <w:color w:val="auto"/>
        </w:rPr>
      </w:pPr>
    </w:p>
    <w:p w:rsidR="00AD2379" w:rsidRPr="007E3447" w:rsidRDefault="00AD2379" w:rsidP="006364ED">
      <w:pPr>
        <w:jc w:val="left"/>
        <w:rPr>
          <w:color w:val="auto"/>
        </w:rPr>
      </w:pPr>
    </w:p>
    <w:p w:rsidR="00417BED" w:rsidRPr="007E3447" w:rsidRDefault="00AD2379" w:rsidP="00417BED">
      <w:pPr>
        <w:jc w:val="both"/>
        <w:rPr>
          <w:rFonts w:eastAsia="Calibri" w:cs="Times New Roman"/>
          <w:color w:val="auto"/>
          <w:szCs w:val="24"/>
        </w:rPr>
      </w:pPr>
      <w:r w:rsidRPr="007E3447">
        <w:rPr>
          <w:color w:val="auto"/>
          <w:u w:val="single"/>
        </w:rPr>
        <w:t>BOARD FINDINGS</w:t>
      </w:r>
      <w:r w:rsidRPr="007E3447">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7E3447">
        <w:rPr>
          <w:rFonts w:cs="Times New Roman"/>
          <w:color w:val="auto"/>
        </w:rPr>
        <w:t>.</w:t>
      </w:r>
      <w:r w:rsidR="006B690F" w:rsidRPr="007E3447">
        <w:rPr>
          <w:rFonts w:cs="Times New Roman"/>
          <w:color w:val="auto"/>
        </w:rPr>
        <w:t xml:space="preserve">  </w:t>
      </w:r>
      <w:r w:rsidR="00165C7B" w:rsidRPr="007E3447">
        <w:rPr>
          <w:rFonts w:cs="Times New Roman"/>
          <w:color w:val="auto"/>
        </w:rPr>
        <w:t xml:space="preserve">As discussed above, PEB reliance on </w:t>
      </w:r>
      <w:r w:rsidR="00756A03" w:rsidRPr="007E3447">
        <w:rPr>
          <w:rFonts w:cs="Times New Roman"/>
          <w:color w:val="auto"/>
        </w:rPr>
        <w:t xml:space="preserve">SECNAVINST 1850.4E and/or DoDI 1332.39 </w:t>
      </w:r>
      <w:r w:rsidR="00165C7B" w:rsidRPr="007E3447">
        <w:rPr>
          <w:rFonts w:cs="Times New Roman"/>
          <w:color w:val="auto"/>
        </w:rPr>
        <w:t xml:space="preserve">for rating was </w:t>
      </w:r>
      <w:r w:rsidR="00756A03" w:rsidRPr="007E3447">
        <w:rPr>
          <w:rFonts w:cs="Times New Roman"/>
          <w:color w:val="auto"/>
        </w:rPr>
        <w:t xml:space="preserve">likely </w:t>
      </w:r>
      <w:r w:rsidR="00165C7B" w:rsidRPr="007E3447">
        <w:rPr>
          <w:rFonts w:cs="Times New Roman"/>
          <w:color w:val="auto"/>
        </w:rPr>
        <w:t xml:space="preserve">operant in this case and the condition was adjudicated independently of that instruction by the Board.  </w:t>
      </w:r>
      <w:r w:rsidR="00241B01" w:rsidRPr="007E3447">
        <w:rPr>
          <w:rFonts w:cs="Times New Roman"/>
          <w:color w:val="auto"/>
        </w:rPr>
        <w:t xml:space="preserve">In the matter of the </w:t>
      </w:r>
      <w:r w:rsidR="00544493" w:rsidRPr="007E3447">
        <w:rPr>
          <w:rFonts w:cs="Times New Roman"/>
          <w:color w:val="auto"/>
        </w:rPr>
        <w:t>primary hypercoagulable state</w:t>
      </w:r>
      <w:r w:rsidR="00F15F16" w:rsidRPr="007E3447">
        <w:rPr>
          <w:rFonts w:cs="Times New Roman"/>
          <w:color w:val="auto"/>
        </w:rPr>
        <w:t xml:space="preserve"> with chronic thromboembolic disease</w:t>
      </w:r>
      <w:r w:rsidR="00544493" w:rsidRPr="007E3447">
        <w:rPr>
          <w:rFonts w:cs="Times New Roman"/>
          <w:color w:val="auto"/>
        </w:rPr>
        <w:t xml:space="preserve"> </w:t>
      </w:r>
      <w:r w:rsidR="00F15F16" w:rsidRPr="007E3447">
        <w:rPr>
          <w:rFonts w:cs="Times New Roman"/>
          <w:color w:val="auto"/>
        </w:rPr>
        <w:t xml:space="preserve">and chronic venous stasis </w:t>
      </w:r>
      <w:r w:rsidR="00241B01" w:rsidRPr="007E3447">
        <w:rPr>
          <w:rFonts w:cs="Times New Roman"/>
          <w:color w:val="auto"/>
        </w:rPr>
        <w:t xml:space="preserve">condition, the Board unanimously recommends </w:t>
      </w:r>
      <w:r w:rsidR="00F15F16" w:rsidRPr="007E3447">
        <w:rPr>
          <w:rFonts w:cs="Times New Roman"/>
          <w:color w:val="auto"/>
        </w:rPr>
        <w:t>a finding of unfit for the right lower extremity</w:t>
      </w:r>
      <w:r w:rsidR="0066457E" w:rsidRPr="007E3447">
        <w:rPr>
          <w:rFonts w:cs="Times New Roman"/>
          <w:color w:val="auto"/>
        </w:rPr>
        <w:t xml:space="preserve"> (not unfitting left lower extremity) </w:t>
      </w:r>
      <w:r w:rsidR="00F15F16" w:rsidRPr="007E3447">
        <w:rPr>
          <w:rFonts w:cs="Times New Roman"/>
          <w:color w:val="auto"/>
        </w:rPr>
        <w:t xml:space="preserve">and </w:t>
      </w:r>
      <w:r w:rsidR="00241B01" w:rsidRPr="007E3447">
        <w:rPr>
          <w:rFonts w:cs="Times New Roman"/>
          <w:color w:val="auto"/>
        </w:rPr>
        <w:t>disability rating</w:t>
      </w:r>
      <w:r w:rsidR="00F15F16" w:rsidRPr="007E3447">
        <w:rPr>
          <w:rFonts w:cs="Times New Roman"/>
          <w:color w:val="auto"/>
        </w:rPr>
        <w:t>s</w:t>
      </w:r>
      <w:r w:rsidR="00241B01" w:rsidRPr="007E3447">
        <w:rPr>
          <w:rFonts w:cs="Times New Roman"/>
          <w:color w:val="auto"/>
        </w:rPr>
        <w:t xml:space="preserve"> of</w:t>
      </w:r>
      <w:r w:rsidR="0066457E" w:rsidRPr="007E3447">
        <w:rPr>
          <w:rFonts w:cs="Times New Roman"/>
          <w:color w:val="auto"/>
        </w:rPr>
        <w:t xml:space="preserve"> </w:t>
      </w:r>
      <w:r w:rsidR="0066457E" w:rsidRPr="007E3447">
        <w:rPr>
          <w:color w:val="auto"/>
        </w:rPr>
        <w:t>p</w:t>
      </w:r>
      <w:r w:rsidR="0066457E" w:rsidRPr="007E3447">
        <w:rPr>
          <w:color w:val="000000" w:themeColor="text1"/>
          <w:szCs w:val="24"/>
        </w:rPr>
        <w:t xml:space="preserve">rimary hypercoagulable state (lifelong anticoagulation) associated with chronic thromboembolic disease status post pulmonary thromboendarterectomy and Greenfield filter placement coded </w:t>
      </w:r>
      <w:r w:rsidR="0066457E" w:rsidRPr="007E3447">
        <w:rPr>
          <w:color w:val="auto"/>
        </w:rPr>
        <w:t xml:space="preserve">6899-6817 at 60% IAW VASRD </w:t>
      </w:r>
      <w:r w:rsidR="0066457E" w:rsidRPr="007E3447">
        <w:rPr>
          <w:rFonts w:eastAsia="Calibri" w:cs="Times New Roman"/>
          <w:color w:val="auto"/>
          <w:szCs w:val="24"/>
        </w:rPr>
        <w:t xml:space="preserve">§4.97, and </w:t>
      </w:r>
      <w:r w:rsidR="0066457E" w:rsidRPr="007E3447">
        <w:rPr>
          <w:color w:val="000000" w:themeColor="text1"/>
          <w:szCs w:val="24"/>
        </w:rPr>
        <w:t xml:space="preserve">chronic right lower extremity venous stasis coded 7199-7121 at 10% IAW VASRD §4.104 for both entry into TDRL and for permanent </w:t>
      </w:r>
      <w:r w:rsidR="00301FBB" w:rsidRPr="007E3447">
        <w:rPr>
          <w:color w:val="000000" w:themeColor="text1"/>
          <w:szCs w:val="24"/>
        </w:rPr>
        <w:t>separation</w:t>
      </w:r>
      <w:r w:rsidR="0066457E" w:rsidRPr="007E3447">
        <w:rPr>
          <w:color w:val="000000" w:themeColor="text1"/>
          <w:szCs w:val="24"/>
        </w:rPr>
        <w:t xml:space="preserve"> rating.  </w:t>
      </w:r>
      <w:r w:rsidR="00417BED" w:rsidRPr="007E3447">
        <w:rPr>
          <w:rFonts w:eastAsia="Calibri" w:cs="Times New Roman"/>
          <w:color w:val="auto"/>
          <w:szCs w:val="24"/>
        </w:rPr>
        <w:t>There were no other conditions within the Board’s scope of review for consideration.</w:t>
      </w:r>
      <w:r w:rsidR="00165C7B" w:rsidRPr="007E3447">
        <w:rPr>
          <w:rFonts w:eastAsia="Calibri" w:cs="Times New Roman"/>
          <w:color w:val="auto"/>
          <w:szCs w:val="24"/>
        </w:rPr>
        <w:t xml:space="preserve">  </w:t>
      </w:r>
    </w:p>
    <w:p w:rsidR="007E3447" w:rsidRDefault="007E3447">
      <w:pPr>
        <w:spacing w:line="240" w:lineRule="auto"/>
        <w:jc w:val="left"/>
        <w:rPr>
          <w:color w:val="auto"/>
          <w:u w:val="single"/>
        </w:rPr>
      </w:pPr>
      <w:r>
        <w:rPr>
          <w:color w:val="auto"/>
          <w:u w:val="single"/>
        </w:rPr>
        <w:br w:type="page"/>
      </w:r>
    </w:p>
    <w:p w:rsidR="00565636" w:rsidRPr="007E3447" w:rsidRDefault="00AD2379" w:rsidP="00256B96">
      <w:pPr>
        <w:jc w:val="both"/>
        <w:rPr>
          <w:rFonts w:eastAsia="Calibri" w:cs="Times New Roman"/>
          <w:color w:val="auto"/>
          <w:szCs w:val="24"/>
        </w:rPr>
      </w:pPr>
      <w:r w:rsidRPr="007E3447">
        <w:rPr>
          <w:color w:val="auto"/>
          <w:u w:val="single"/>
        </w:rPr>
        <w:lastRenderedPageBreak/>
        <w:t>RECOMMENDATION</w:t>
      </w:r>
      <w:r w:rsidRPr="007E3447">
        <w:rPr>
          <w:color w:val="auto"/>
        </w:rPr>
        <w:t xml:space="preserve">: </w:t>
      </w:r>
      <w:r w:rsidR="006B690F" w:rsidRPr="007E3447">
        <w:rPr>
          <w:color w:val="auto"/>
        </w:rPr>
        <w:t xml:space="preserve"> </w:t>
      </w:r>
      <w:r w:rsidR="00565636" w:rsidRPr="007E3447">
        <w:rPr>
          <w:rFonts w:eastAsia="Calibri" w:cs="Times New Roman"/>
          <w:color w:val="auto"/>
          <w:szCs w:val="24"/>
        </w:rPr>
        <w:t>The Board recommends that the CI’s prior determination be modified as follows</w:t>
      </w:r>
      <w:r w:rsidR="00417BED" w:rsidRPr="007E3447">
        <w:rPr>
          <w:rFonts w:eastAsia="Calibri" w:cs="Times New Roman"/>
          <w:color w:val="auto"/>
          <w:szCs w:val="24"/>
        </w:rPr>
        <w:t>;</w:t>
      </w:r>
      <w:r w:rsidR="00565636" w:rsidRPr="007E3447">
        <w:rPr>
          <w:rFonts w:eastAsia="Calibri" w:cs="Times New Roman"/>
          <w:color w:val="auto"/>
          <w:szCs w:val="24"/>
        </w:rPr>
        <w:t xml:space="preserve"> and</w:t>
      </w:r>
      <w:r w:rsidR="00417BED" w:rsidRPr="007E3447">
        <w:rPr>
          <w:rFonts w:eastAsia="Calibri" w:cs="Times New Roman"/>
          <w:color w:val="auto"/>
          <w:szCs w:val="24"/>
        </w:rPr>
        <w:t>,</w:t>
      </w:r>
      <w:r w:rsidR="00565636" w:rsidRPr="007E3447">
        <w:rPr>
          <w:rFonts w:eastAsia="Calibri" w:cs="Times New Roman"/>
          <w:color w:val="auto"/>
          <w:szCs w:val="24"/>
        </w:rPr>
        <w:t xml:space="preserve"> that the discharge with severance pay be recharacterized to reflect permanent disability retirement, effective as of the date of his</w:t>
      </w:r>
      <w:r w:rsidR="00417BED" w:rsidRPr="007E3447">
        <w:rPr>
          <w:rFonts w:eastAsia="Calibri" w:cs="Times New Roman"/>
          <w:color w:val="auto"/>
          <w:szCs w:val="24"/>
        </w:rPr>
        <w:t xml:space="preserve"> prior medical separation:</w:t>
      </w:r>
      <w:r w:rsidR="006B690F" w:rsidRPr="007E3447">
        <w:rPr>
          <w:rFonts w:eastAsia="Calibri" w:cs="Times New Roman"/>
          <w:color w:val="auto"/>
          <w:szCs w:val="24"/>
        </w:rPr>
        <w:t xml:space="preserve">  </w:t>
      </w:r>
    </w:p>
    <w:p w:rsidR="0021736C" w:rsidRPr="007E3447" w:rsidRDefault="0021736C" w:rsidP="0021736C">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4"/>
        <w:gridCol w:w="1350"/>
        <w:gridCol w:w="776"/>
        <w:gridCol w:w="1598"/>
      </w:tblGrid>
      <w:tr w:rsidR="0021736C" w:rsidRPr="007E3447" w:rsidTr="007E3447">
        <w:trPr>
          <w:trHeight w:val="206"/>
          <w:jc w:val="center"/>
        </w:trPr>
        <w:tc>
          <w:tcPr>
            <w:tcW w:w="5704" w:type="dxa"/>
            <w:vMerge w:val="restart"/>
            <w:shd w:val="clear" w:color="auto" w:fill="D9D9D9"/>
            <w:vAlign w:val="center"/>
          </w:tcPr>
          <w:p w:rsidR="0021736C" w:rsidRPr="007E3447" w:rsidRDefault="0021736C" w:rsidP="006C49F7">
            <w:pPr>
              <w:tabs>
                <w:tab w:val="left" w:pos="288"/>
                <w:tab w:val="left" w:pos="4752"/>
              </w:tabs>
              <w:rPr>
                <w:rFonts w:eastAsia="Calibri" w:cs="Times New Roman"/>
                <w:b/>
                <w:color w:val="auto"/>
                <w:szCs w:val="24"/>
              </w:rPr>
            </w:pPr>
            <w:r w:rsidRPr="007E3447">
              <w:rPr>
                <w:rFonts w:eastAsia="Calibri" w:cs="Times New Roman"/>
                <w:b/>
                <w:color w:val="auto"/>
                <w:szCs w:val="24"/>
              </w:rPr>
              <w:t>UNFITTING CONDITION</w:t>
            </w:r>
          </w:p>
        </w:tc>
        <w:tc>
          <w:tcPr>
            <w:tcW w:w="1350" w:type="dxa"/>
            <w:vMerge w:val="restart"/>
            <w:shd w:val="clear" w:color="auto" w:fill="D9D9D9"/>
            <w:vAlign w:val="center"/>
          </w:tcPr>
          <w:p w:rsidR="0021736C" w:rsidRPr="007E3447" w:rsidRDefault="0021736C" w:rsidP="006C49F7">
            <w:pPr>
              <w:tabs>
                <w:tab w:val="left" w:pos="288"/>
                <w:tab w:val="left" w:pos="4752"/>
              </w:tabs>
              <w:rPr>
                <w:rFonts w:eastAsia="Calibri" w:cs="Times New Roman"/>
                <w:b/>
                <w:color w:val="auto"/>
                <w:szCs w:val="24"/>
              </w:rPr>
            </w:pPr>
            <w:r w:rsidRPr="007E3447">
              <w:rPr>
                <w:rFonts w:eastAsia="Calibri" w:cs="Times New Roman"/>
                <w:b/>
                <w:color w:val="auto"/>
                <w:szCs w:val="24"/>
              </w:rPr>
              <w:t>VASRD CODE</w:t>
            </w:r>
          </w:p>
        </w:tc>
        <w:tc>
          <w:tcPr>
            <w:tcW w:w="2374" w:type="dxa"/>
            <w:gridSpan w:val="2"/>
            <w:tcBorders>
              <w:bottom w:val="single" w:sz="4" w:space="0" w:color="auto"/>
            </w:tcBorders>
            <w:shd w:val="clear" w:color="auto" w:fill="D9D9D9"/>
            <w:vAlign w:val="center"/>
          </w:tcPr>
          <w:p w:rsidR="0021736C" w:rsidRPr="007E3447" w:rsidRDefault="0021736C" w:rsidP="006C49F7">
            <w:pPr>
              <w:rPr>
                <w:color w:val="auto"/>
              </w:rPr>
            </w:pPr>
            <w:r w:rsidRPr="007E3447">
              <w:rPr>
                <w:rFonts w:eastAsia="Calibri" w:cs="Times New Roman"/>
                <w:b/>
                <w:color w:val="auto"/>
                <w:szCs w:val="24"/>
              </w:rPr>
              <w:t>RATING</w:t>
            </w:r>
          </w:p>
        </w:tc>
      </w:tr>
      <w:tr w:rsidR="0021736C" w:rsidRPr="007E3447" w:rsidTr="007E3447">
        <w:trPr>
          <w:trHeight w:val="194"/>
          <w:jc w:val="center"/>
        </w:trPr>
        <w:tc>
          <w:tcPr>
            <w:tcW w:w="5704" w:type="dxa"/>
            <w:vMerge/>
            <w:shd w:val="clear" w:color="auto" w:fill="D9D9D9"/>
            <w:vAlign w:val="center"/>
          </w:tcPr>
          <w:p w:rsidR="0021736C" w:rsidRPr="007E3447" w:rsidRDefault="0021736C" w:rsidP="006C49F7">
            <w:pPr>
              <w:tabs>
                <w:tab w:val="left" w:pos="288"/>
                <w:tab w:val="left" w:pos="4752"/>
              </w:tabs>
              <w:rPr>
                <w:rFonts w:eastAsia="Calibri" w:cs="Times New Roman"/>
                <w:b/>
                <w:color w:val="auto"/>
                <w:szCs w:val="24"/>
              </w:rPr>
            </w:pPr>
          </w:p>
        </w:tc>
        <w:tc>
          <w:tcPr>
            <w:tcW w:w="1350" w:type="dxa"/>
            <w:vMerge/>
            <w:shd w:val="clear" w:color="auto" w:fill="D9D9D9"/>
            <w:vAlign w:val="center"/>
          </w:tcPr>
          <w:p w:rsidR="0021736C" w:rsidRPr="007E3447" w:rsidRDefault="0021736C" w:rsidP="006C49F7">
            <w:pPr>
              <w:tabs>
                <w:tab w:val="left" w:pos="288"/>
                <w:tab w:val="left" w:pos="4752"/>
              </w:tabs>
              <w:rPr>
                <w:rFonts w:eastAsia="Calibri" w:cs="Times New Roman"/>
                <w:b/>
                <w:color w:val="auto"/>
                <w:szCs w:val="24"/>
              </w:rPr>
            </w:pPr>
          </w:p>
        </w:tc>
        <w:tc>
          <w:tcPr>
            <w:tcW w:w="776" w:type="dxa"/>
            <w:tcBorders>
              <w:top w:val="single" w:sz="4" w:space="0" w:color="auto"/>
            </w:tcBorders>
            <w:shd w:val="clear" w:color="auto" w:fill="D9D9D9"/>
            <w:vAlign w:val="center"/>
          </w:tcPr>
          <w:p w:rsidR="0021736C" w:rsidRPr="007E3447" w:rsidRDefault="0021736C" w:rsidP="006C49F7">
            <w:pPr>
              <w:rPr>
                <w:color w:val="auto"/>
              </w:rPr>
            </w:pPr>
            <w:r w:rsidRPr="007E3447">
              <w:rPr>
                <w:rFonts w:eastAsia="Calibri" w:cs="Times New Roman"/>
                <w:b/>
                <w:color w:val="auto"/>
                <w:szCs w:val="24"/>
              </w:rPr>
              <w:t>TDRL</w:t>
            </w:r>
          </w:p>
        </w:tc>
        <w:tc>
          <w:tcPr>
            <w:tcW w:w="1598" w:type="dxa"/>
            <w:tcBorders>
              <w:top w:val="single" w:sz="4" w:space="0" w:color="auto"/>
            </w:tcBorders>
            <w:shd w:val="pct15" w:color="auto" w:fill="auto"/>
            <w:vAlign w:val="center"/>
          </w:tcPr>
          <w:p w:rsidR="0021736C" w:rsidRPr="007E3447" w:rsidRDefault="0021736C" w:rsidP="006C49F7">
            <w:pPr>
              <w:tabs>
                <w:tab w:val="left" w:pos="288"/>
                <w:tab w:val="left" w:pos="4752"/>
              </w:tabs>
              <w:rPr>
                <w:rFonts w:eastAsia="Calibri" w:cs="Times New Roman"/>
                <w:b/>
                <w:color w:val="auto"/>
                <w:szCs w:val="24"/>
              </w:rPr>
            </w:pPr>
            <w:r w:rsidRPr="007E3447">
              <w:rPr>
                <w:rFonts w:eastAsia="Calibri" w:cs="Times New Roman"/>
                <w:b/>
                <w:color w:val="auto"/>
                <w:szCs w:val="24"/>
              </w:rPr>
              <w:t>PERMANENT</w:t>
            </w:r>
          </w:p>
        </w:tc>
      </w:tr>
      <w:tr w:rsidR="0021736C" w:rsidRPr="007E3447" w:rsidTr="007E3447">
        <w:trPr>
          <w:trHeight w:val="557"/>
          <w:jc w:val="center"/>
        </w:trPr>
        <w:tc>
          <w:tcPr>
            <w:tcW w:w="5704" w:type="dxa"/>
            <w:vAlign w:val="center"/>
          </w:tcPr>
          <w:p w:rsidR="0021736C" w:rsidRPr="007E3447" w:rsidRDefault="0066457E" w:rsidP="0066457E">
            <w:pPr>
              <w:contextualSpacing/>
              <w:jc w:val="left"/>
              <w:rPr>
                <w:rFonts w:cstheme="minorHAnsi"/>
                <w:color w:val="auto"/>
                <w:szCs w:val="24"/>
              </w:rPr>
            </w:pPr>
            <w:r w:rsidRPr="007E3447">
              <w:rPr>
                <w:color w:val="auto"/>
              </w:rPr>
              <w:t>P</w:t>
            </w:r>
            <w:r w:rsidR="00F15F16" w:rsidRPr="007E3447">
              <w:rPr>
                <w:color w:val="auto"/>
                <w:szCs w:val="24"/>
              </w:rPr>
              <w:t xml:space="preserve">rimary hypercoagulable state (lifelong anticoagulation) associated with chronic thromboembolic disease </w:t>
            </w:r>
            <w:r w:rsidRPr="007E3447">
              <w:rPr>
                <w:color w:val="auto"/>
                <w:szCs w:val="24"/>
              </w:rPr>
              <w:t>s/p</w:t>
            </w:r>
            <w:r w:rsidR="00F15F16" w:rsidRPr="007E3447">
              <w:rPr>
                <w:color w:val="auto"/>
                <w:szCs w:val="24"/>
              </w:rPr>
              <w:t xml:space="preserve"> pulmonary thromboendarterectomy</w:t>
            </w:r>
            <w:r w:rsidRPr="007E3447">
              <w:rPr>
                <w:color w:val="auto"/>
                <w:szCs w:val="24"/>
              </w:rPr>
              <w:t xml:space="preserve"> and Greenfield filter placement</w:t>
            </w:r>
          </w:p>
        </w:tc>
        <w:tc>
          <w:tcPr>
            <w:tcW w:w="1350" w:type="dxa"/>
            <w:tcBorders>
              <w:bottom w:val="single" w:sz="4" w:space="0" w:color="000000"/>
            </w:tcBorders>
            <w:vAlign w:val="center"/>
          </w:tcPr>
          <w:p w:rsidR="0021736C" w:rsidRPr="007E3447" w:rsidRDefault="007E59F2" w:rsidP="00F15F16">
            <w:pPr>
              <w:tabs>
                <w:tab w:val="left" w:pos="288"/>
                <w:tab w:val="left" w:pos="4752"/>
              </w:tabs>
              <w:rPr>
                <w:color w:val="auto"/>
              </w:rPr>
            </w:pPr>
            <w:r w:rsidRPr="007E3447">
              <w:rPr>
                <w:color w:val="auto"/>
              </w:rPr>
              <w:t>6899-6817</w:t>
            </w:r>
          </w:p>
        </w:tc>
        <w:tc>
          <w:tcPr>
            <w:tcW w:w="776" w:type="dxa"/>
            <w:tcBorders>
              <w:bottom w:val="single" w:sz="4" w:space="0" w:color="000000"/>
            </w:tcBorders>
            <w:vAlign w:val="center"/>
          </w:tcPr>
          <w:p w:rsidR="0021736C" w:rsidRPr="007E3447" w:rsidRDefault="00F15F16" w:rsidP="006C49F7">
            <w:pPr>
              <w:tabs>
                <w:tab w:val="left" w:pos="288"/>
                <w:tab w:val="left" w:pos="4752"/>
              </w:tabs>
              <w:rPr>
                <w:color w:val="auto"/>
              </w:rPr>
            </w:pPr>
            <w:r w:rsidRPr="007E3447">
              <w:rPr>
                <w:color w:val="auto"/>
              </w:rPr>
              <w:t>6</w:t>
            </w:r>
            <w:r w:rsidR="0021736C" w:rsidRPr="007E3447">
              <w:rPr>
                <w:color w:val="auto"/>
              </w:rPr>
              <w:t>0%</w:t>
            </w:r>
          </w:p>
        </w:tc>
        <w:tc>
          <w:tcPr>
            <w:tcW w:w="1598" w:type="dxa"/>
            <w:tcBorders>
              <w:bottom w:val="single" w:sz="4" w:space="0" w:color="000000"/>
            </w:tcBorders>
            <w:vAlign w:val="center"/>
          </w:tcPr>
          <w:p w:rsidR="0021736C" w:rsidRPr="007E3447" w:rsidRDefault="00F15F16" w:rsidP="006C49F7">
            <w:pPr>
              <w:tabs>
                <w:tab w:val="left" w:pos="288"/>
                <w:tab w:val="left" w:pos="4752"/>
              </w:tabs>
              <w:rPr>
                <w:rFonts w:eastAsia="Calibri" w:cs="Times New Roman"/>
                <w:color w:val="auto"/>
                <w:szCs w:val="24"/>
              </w:rPr>
            </w:pPr>
            <w:r w:rsidRPr="007E3447">
              <w:rPr>
                <w:rFonts w:eastAsia="Calibri" w:cs="Times New Roman"/>
                <w:color w:val="auto"/>
                <w:szCs w:val="24"/>
              </w:rPr>
              <w:t>6</w:t>
            </w:r>
            <w:r w:rsidR="0021736C" w:rsidRPr="007E3447">
              <w:rPr>
                <w:rFonts w:eastAsia="Calibri" w:cs="Times New Roman"/>
                <w:color w:val="auto"/>
                <w:szCs w:val="24"/>
              </w:rPr>
              <w:t>0%</w:t>
            </w:r>
          </w:p>
        </w:tc>
      </w:tr>
      <w:tr w:rsidR="00F15F16" w:rsidRPr="007E3447" w:rsidTr="007E3447">
        <w:trPr>
          <w:trHeight w:val="557"/>
          <w:jc w:val="center"/>
        </w:trPr>
        <w:tc>
          <w:tcPr>
            <w:tcW w:w="5704" w:type="dxa"/>
            <w:vAlign w:val="center"/>
          </w:tcPr>
          <w:p w:rsidR="00F15F16" w:rsidRPr="007E3447" w:rsidRDefault="00F15F16" w:rsidP="006C49F7">
            <w:pPr>
              <w:contextualSpacing/>
              <w:jc w:val="left"/>
              <w:rPr>
                <w:color w:val="auto"/>
              </w:rPr>
            </w:pPr>
            <w:r w:rsidRPr="007E3447">
              <w:rPr>
                <w:color w:val="auto"/>
                <w:szCs w:val="24"/>
              </w:rPr>
              <w:t>Chronic right lower extremity venous stasis</w:t>
            </w:r>
          </w:p>
        </w:tc>
        <w:tc>
          <w:tcPr>
            <w:tcW w:w="1350" w:type="dxa"/>
            <w:tcBorders>
              <w:bottom w:val="single" w:sz="4" w:space="0" w:color="000000"/>
            </w:tcBorders>
            <w:vAlign w:val="center"/>
          </w:tcPr>
          <w:p w:rsidR="00F15F16" w:rsidRPr="007E3447" w:rsidRDefault="00F15F16" w:rsidP="00F15F16">
            <w:pPr>
              <w:tabs>
                <w:tab w:val="left" w:pos="288"/>
                <w:tab w:val="left" w:pos="4752"/>
              </w:tabs>
              <w:rPr>
                <w:rFonts w:eastAsia="Calibri" w:cs="Times New Roman"/>
                <w:color w:val="auto"/>
                <w:szCs w:val="24"/>
              </w:rPr>
            </w:pPr>
            <w:r w:rsidRPr="007E3447">
              <w:rPr>
                <w:rFonts w:eastAsia="Calibri" w:cs="Times New Roman"/>
                <w:color w:val="auto"/>
                <w:szCs w:val="24"/>
              </w:rPr>
              <w:t>7199-7121</w:t>
            </w:r>
          </w:p>
        </w:tc>
        <w:tc>
          <w:tcPr>
            <w:tcW w:w="776" w:type="dxa"/>
            <w:tcBorders>
              <w:bottom w:val="single" w:sz="4" w:space="0" w:color="000000"/>
            </w:tcBorders>
            <w:vAlign w:val="center"/>
          </w:tcPr>
          <w:p w:rsidR="00F15F16" w:rsidRPr="007E3447" w:rsidRDefault="00F15F16" w:rsidP="006C49F7">
            <w:pPr>
              <w:tabs>
                <w:tab w:val="left" w:pos="288"/>
                <w:tab w:val="left" w:pos="4752"/>
              </w:tabs>
              <w:rPr>
                <w:color w:val="auto"/>
              </w:rPr>
            </w:pPr>
            <w:r w:rsidRPr="007E3447">
              <w:rPr>
                <w:color w:val="auto"/>
              </w:rPr>
              <w:t>10%</w:t>
            </w:r>
          </w:p>
        </w:tc>
        <w:tc>
          <w:tcPr>
            <w:tcW w:w="1598" w:type="dxa"/>
            <w:tcBorders>
              <w:bottom w:val="single" w:sz="4" w:space="0" w:color="000000"/>
            </w:tcBorders>
            <w:vAlign w:val="center"/>
          </w:tcPr>
          <w:p w:rsidR="00F15F16" w:rsidRPr="007E3447" w:rsidRDefault="00F15F16" w:rsidP="006C49F7">
            <w:pPr>
              <w:tabs>
                <w:tab w:val="left" w:pos="288"/>
                <w:tab w:val="left" w:pos="4752"/>
              </w:tabs>
              <w:rPr>
                <w:rFonts w:eastAsia="Calibri" w:cs="Times New Roman"/>
                <w:color w:val="auto"/>
                <w:szCs w:val="24"/>
              </w:rPr>
            </w:pPr>
            <w:r w:rsidRPr="007E3447">
              <w:rPr>
                <w:rFonts w:eastAsia="Calibri" w:cs="Times New Roman"/>
                <w:color w:val="auto"/>
                <w:szCs w:val="24"/>
              </w:rPr>
              <w:t>10%</w:t>
            </w:r>
          </w:p>
        </w:tc>
      </w:tr>
      <w:tr w:rsidR="0021736C" w:rsidRPr="007E3447" w:rsidTr="007E3447">
        <w:tblPrEx>
          <w:tblLook w:val="0000" w:firstRow="0" w:lastRow="0" w:firstColumn="0" w:lastColumn="0" w:noHBand="0" w:noVBand="0"/>
        </w:tblPrEx>
        <w:trPr>
          <w:gridBefore w:val="1"/>
          <w:wBefore w:w="5704" w:type="dxa"/>
          <w:trHeight w:val="161"/>
          <w:jc w:val="center"/>
        </w:trPr>
        <w:tc>
          <w:tcPr>
            <w:tcW w:w="1350" w:type="dxa"/>
            <w:tcBorders>
              <w:left w:val="single" w:sz="4" w:space="0" w:color="auto"/>
            </w:tcBorders>
            <w:shd w:val="pct15" w:color="auto" w:fill="auto"/>
            <w:vAlign w:val="center"/>
          </w:tcPr>
          <w:p w:rsidR="0021736C" w:rsidRPr="007E3447" w:rsidRDefault="00F15F16" w:rsidP="00F15F16">
            <w:pPr>
              <w:tabs>
                <w:tab w:val="left" w:pos="288"/>
                <w:tab w:val="left" w:pos="4752"/>
              </w:tabs>
              <w:rPr>
                <w:rFonts w:cstheme="minorHAnsi"/>
                <w:color w:val="auto"/>
                <w:sz w:val="18"/>
                <w:szCs w:val="18"/>
              </w:rPr>
            </w:pPr>
            <w:r w:rsidRPr="007E3447">
              <w:rPr>
                <w:rFonts w:eastAsia="Calibri" w:cs="Times New Roman"/>
                <w:b/>
                <w:color w:val="auto"/>
                <w:szCs w:val="24"/>
              </w:rPr>
              <w:t>COMBINED</w:t>
            </w:r>
          </w:p>
        </w:tc>
        <w:tc>
          <w:tcPr>
            <w:tcW w:w="776" w:type="dxa"/>
            <w:tcBorders>
              <w:left w:val="single" w:sz="4" w:space="0" w:color="auto"/>
            </w:tcBorders>
            <w:shd w:val="pct15" w:color="auto" w:fill="auto"/>
            <w:vAlign w:val="center"/>
          </w:tcPr>
          <w:p w:rsidR="0021736C" w:rsidRPr="007E3447" w:rsidRDefault="0066457E" w:rsidP="006C49F7">
            <w:pPr>
              <w:tabs>
                <w:tab w:val="left" w:pos="288"/>
                <w:tab w:val="left" w:pos="4752"/>
              </w:tabs>
              <w:rPr>
                <w:rFonts w:eastAsia="Calibri" w:cs="Times New Roman"/>
                <w:b/>
                <w:color w:val="auto"/>
                <w:szCs w:val="24"/>
              </w:rPr>
            </w:pPr>
            <w:r w:rsidRPr="007E3447">
              <w:rPr>
                <w:rFonts w:eastAsia="Calibri" w:cs="Times New Roman"/>
                <w:b/>
                <w:color w:val="auto"/>
                <w:szCs w:val="24"/>
              </w:rPr>
              <w:t>6</w:t>
            </w:r>
            <w:r w:rsidR="0021736C" w:rsidRPr="007E3447">
              <w:rPr>
                <w:rFonts w:eastAsia="Calibri" w:cs="Times New Roman"/>
                <w:b/>
                <w:color w:val="auto"/>
                <w:szCs w:val="24"/>
              </w:rPr>
              <w:t>0%</w:t>
            </w:r>
          </w:p>
        </w:tc>
        <w:tc>
          <w:tcPr>
            <w:tcW w:w="1598" w:type="dxa"/>
            <w:shd w:val="pct15" w:color="auto" w:fill="auto"/>
            <w:vAlign w:val="center"/>
          </w:tcPr>
          <w:p w:rsidR="0021736C" w:rsidRPr="007E3447" w:rsidRDefault="0066457E" w:rsidP="006C49F7">
            <w:pPr>
              <w:tabs>
                <w:tab w:val="left" w:pos="288"/>
                <w:tab w:val="left" w:pos="4752"/>
              </w:tabs>
              <w:rPr>
                <w:rFonts w:eastAsia="Calibri" w:cs="Times New Roman"/>
                <w:b/>
                <w:color w:val="auto"/>
                <w:szCs w:val="24"/>
              </w:rPr>
            </w:pPr>
            <w:r w:rsidRPr="007E3447">
              <w:rPr>
                <w:rFonts w:eastAsia="Calibri" w:cs="Times New Roman"/>
                <w:b/>
                <w:color w:val="auto"/>
                <w:szCs w:val="24"/>
              </w:rPr>
              <w:t>6</w:t>
            </w:r>
            <w:r w:rsidR="0021736C" w:rsidRPr="007E3447">
              <w:rPr>
                <w:rFonts w:eastAsia="Calibri" w:cs="Times New Roman"/>
                <w:b/>
                <w:color w:val="auto"/>
                <w:szCs w:val="24"/>
              </w:rPr>
              <w:t>0%</w:t>
            </w:r>
          </w:p>
        </w:tc>
      </w:tr>
    </w:tbl>
    <w:p w:rsidR="00AD2379" w:rsidRPr="007E3447" w:rsidRDefault="00AD2379" w:rsidP="006B690F">
      <w:pPr>
        <w:pBdr>
          <w:bottom w:val="single" w:sz="12" w:space="1" w:color="auto"/>
        </w:pBdr>
        <w:tabs>
          <w:tab w:val="left" w:pos="288"/>
          <w:tab w:val="left" w:pos="4752"/>
        </w:tabs>
        <w:jc w:val="both"/>
        <w:rPr>
          <w:color w:val="auto"/>
        </w:rPr>
      </w:pPr>
    </w:p>
    <w:p w:rsidR="00AD2379" w:rsidRPr="007E3447" w:rsidRDefault="00AD2379" w:rsidP="006B690F">
      <w:pPr>
        <w:jc w:val="both"/>
        <w:rPr>
          <w:color w:val="auto"/>
        </w:rPr>
      </w:pPr>
    </w:p>
    <w:p w:rsidR="00AD2379" w:rsidRPr="007E3447" w:rsidRDefault="00AD2379" w:rsidP="006B690F">
      <w:pPr>
        <w:tabs>
          <w:tab w:val="left" w:pos="288"/>
          <w:tab w:val="left" w:pos="4752"/>
        </w:tabs>
        <w:jc w:val="both"/>
        <w:rPr>
          <w:color w:val="auto"/>
        </w:rPr>
      </w:pPr>
      <w:r w:rsidRPr="007E3447">
        <w:rPr>
          <w:color w:val="auto"/>
        </w:rPr>
        <w:t>The following documentary evidence was considered:</w:t>
      </w:r>
    </w:p>
    <w:p w:rsidR="005144A7" w:rsidRPr="007E3447" w:rsidRDefault="005144A7" w:rsidP="006B690F">
      <w:pPr>
        <w:tabs>
          <w:tab w:val="left" w:pos="288"/>
          <w:tab w:val="left" w:pos="4752"/>
        </w:tabs>
        <w:jc w:val="both"/>
        <w:rPr>
          <w:color w:val="auto"/>
        </w:rPr>
      </w:pPr>
    </w:p>
    <w:p w:rsidR="00AD2379" w:rsidRPr="007E3447" w:rsidRDefault="00AD2379" w:rsidP="006B690F">
      <w:pPr>
        <w:tabs>
          <w:tab w:val="left" w:pos="288"/>
          <w:tab w:val="left" w:pos="4752"/>
        </w:tabs>
        <w:jc w:val="both"/>
        <w:rPr>
          <w:color w:val="auto"/>
        </w:rPr>
      </w:pPr>
      <w:r w:rsidRPr="007E3447">
        <w:rPr>
          <w:color w:val="auto"/>
        </w:rPr>
        <w:t xml:space="preserve">Exhibit A.  DD Form 294, dated </w:t>
      </w:r>
      <w:r w:rsidR="00081814" w:rsidRPr="007E3447">
        <w:rPr>
          <w:color w:val="000000" w:themeColor="text1"/>
          <w:szCs w:val="24"/>
        </w:rPr>
        <w:t>20110714</w:t>
      </w:r>
      <w:r w:rsidR="00ED7820" w:rsidRPr="007E3447">
        <w:rPr>
          <w:color w:val="auto"/>
        </w:rPr>
        <w:t>, w/atchs</w:t>
      </w:r>
    </w:p>
    <w:p w:rsidR="00AD2379" w:rsidRPr="007E3447" w:rsidRDefault="00AD2379" w:rsidP="006B690F">
      <w:pPr>
        <w:tabs>
          <w:tab w:val="left" w:pos="288"/>
          <w:tab w:val="left" w:pos="4752"/>
        </w:tabs>
        <w:jc w:val="both"/>
        <w:rPr>
          <w:color w:val="auto"/>
        </w:rPr>
      </w:pPr>
      <w:r w:rsidRPr="007E3447">
        <w:rPr>
          <w:color w:val="auto"/>
        </w:rPr>
        <w:t>Exhib</w:t>
      </w:r>
      <w:r w:rsidR="00ED7820" w:rsidRPr="007E3447">
        <w:rPr>
          <w:color w:val="auto"/>
        </w:rPr>
        <w:t>it B.  Service Treatment Record</w:t>
      </w:r>
    </w:p>
    <w:p w:rsidR="00AD2379" w:rsidRPr="007E3447" w:rsidRDefault="00AD2379" w:rsidP="006B690F">
      <w:pPr>
        <w:tabs>
          <w:tab w:val="left" w:pos="288"/>
          <w:tab w:val="left" w:pos="4752"/>
        </w:tabs>
        <w:jc w:val="both"/>
        <w:rPr>
          <w:color w:val="auto"/>
        </w:rPr>
      </w:pPr>
      <w:r w:rsidRPr="007E3447">
        <w:rPr>
          <w:color w:val="auto"/>
        </w:rPr>
        <w:t>Exhibit C.  Department of Veterans</w:t>
      </w:r>
      <w:r w:rsidR="00ED7820" w:rsidRPr="007E3447">
        <w:rPr>
          <w:color w:val="auto"/>
        </w:rPr>
        <w:t>’ Affairs Treatment Record</w:t>
      </w:r>
    </w:p>
    <w:p w:rsidR="00AD2379" w:rsidRPr="007E3447" w:rsidRDefault="00AD2379" w:rsidP="006B690F">
      <w:pPr>
        <w:tabs>
          <w:tab w:val="left" w:pos="288"/>
          <w:tab w:val="left" w:pos="4752"/>
        </w:tabs>
        <w:jc w:val="both"/>
        <w:rPr>
          <w:color w:val="auto"/>
        </w:rPr>
      </w:pPr>
    </w:p>
    <w:p w:rsidR="00AD2379" w:rsidRPr="007E3447" w:rsidRDefault="00AD2379" w:rsidP="006B690F">
      <w:pPr>
        <w:tabs>
          <w:tab w:val="left" w:pos="288"/>
          <w:tab w:val="left" w:pos="4752"/>
        </w:tabs>
        <w:jc w:val="both"/>
        <w:rPr>
          <w:color w:val="auto"/>
        </w:rPr>
      </w:pPr>
    </w:p>
    <w:p w:rsidR="00AD2379" w:rsidRPr="007E3447" w:rsidRDefault="00AD2379" w:rsidP="006B690F">
      <w:pPr>
        <w:tabs>
          <w:tab w:val="left" w:pos="288"/>
          <w:tab w:val="left" w:pos="4752"/>
        </w:tabs>
        <w:jc w:val="both"/>
        <w:rPr>
          <w:color w:val="auto"/>
        </w:rPr>
      </w:pPr>
    </w:p>
    <w:p w:rsidR="00AD2379" w:rsidRPr="007E3447" w:rsidRDefault="00AD2379" w:rsidP="006B690F">
      <w:pPr>
        <w:tabs>
          <w:tab w:val="left" w:pos="288"/>
          <w:tab w:val="left" w:pos="4752"/>
        </w:tabs>
        <w:jc w:val="both"/>
        <w:rPr>
          <w:color w:val="auto"/>
        </w:rPr>
      </w:pPr>
    </w:p>
    <w:p w:rsidR="00AD2379" w:rsidRPr="007E3447" w:rsidRDefault="00AD2379" w:rsidP="006B690F">
      <w:pPr>
        <w:tabs>
          <w:tab w:val="left" w:pos="0"/>
          <w:tab w:val="left" w:pos="4320"/>
        </w:tabs>
        <w:jc w:val="both"/>
        <w:rPr>
          <w:color w:val="auto"/>
        </w:rPr>
      </w:pPr>
      <w:r w:rsidRPr="007E3447">
        <w:rPr>
          <w:color w:val="auto"/>
        </w:rPr>
        <w:tab/>
      </w:r>
      <w:r w:rsidR="008C4EEB">
        <w:rPr>
          <w:color w:val="auto"/>
        </w:rPr>
        <w:t xml:space="preserve"> </w:t>
      </w:r>
    </w:p>
    <w:p w:rsidR="00AD2379" w:rsidRPr="007E3447" w:rsidRDefault="00AD2379" w:rsidP="006B690F">
      <w:pPr>
        <w:tabs>
          <w:tab w:val="left" w:pos="0"/>
          <w:tab w:val="left" w:pos="4320"/>
        </w:tabs>
        <w:jc w:val="both"/>
        <w:rPr>
          <w:color w:val="auto"/>
        </w:rPr>
      </w:pPr>
      <w:r w:rsidRPr="007E3447">
        <w:rPr>
          <w:color w:val="auto"/>
        </w:rPr>
        <w:tab/>
        <w:t xml:space="preserve">           President</w:t>
      </w:r>
    </w:p>
    <w:p w:rsidR="008C4EEB" w:rsidRDefault="00AD2379" w:rsidP="00BF0E94">
      <w:pPr>
        <w:tabs>
          <w:tab w:val="left" w:pos="0"/>
          <w:tab w:val="left" w:pos="4320"/>
        </w:tabs>
        <w:jc w:val="both"/>
        <w:rPr>
          <w:color w:val="auto"/>
        </w:rPr>
      </w:pPr>
      <w:r w:rsidRPr="007E3447">
        <w:rPr>
          <w:color w:val="auto"/>
        </w:rPr>
        <w:tab/>
        <w:t xml:space="preserve">           Physical Disability Board of Review</w:t>
      </w:r>
    </w:p>
    <w:p w:rsidR="008C4EEB" w:rsidRDefault="008C4EEB">
      <w:pPr>
        <w:spacing w:line="240" w:lineRule="auto"/>
        <w:jc w:val="left"/>
        <w:rPr>
          <w:color w:val="auto"/>
        </w:rPr>
      </w:pPr>
      <w:r>
        <w:rPr>
          <w:color w:val="auto"/>
        </w:rPr>
        <w:br w:type="page"/>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lastRenderedPageBreak/>
        <w:t>MEMORANDUM FOR DEPUTY COMMANDANT, MANPOWER &amp; RESERVE AFFAIRS</w:t>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t xml:space="preserve">              COMMANDER, NAVY PERSONNEL COMMAND</w:t>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t xml:space="preserve">                          </w:t>
      </w:r>
    </w:p>
    <w:p w:rsidR="008C4EEB" w:rsidRPr="00660D7D" w:rsidRDefault="008C4EEB" w:rsidP="008C4EEB">
      <w:pPr>
        <w:spacing w:line="240" w:lineRule="auto"/>
        <w:jc w:val="left"/>
        <w:rPr>
          <w:rFonts w:ascii="Times New Roman" w:hAnsi="Times New Roman" w:cs="Times New Roman"/>
          <w:color w:val="auto"/>
          <w:sz w:val="22"/>
          <w:szCs w:val="22"/>
        </w:rPr>
      </w:pPr>
      <w:proofErr w:type="spellStart"/>
      <w:r w:rsidRPr="00660D7D">
        <w:rPr>
          <w:rFonts w:ascii="Times New Roman" w:hAnsi="Times New Roman" w:cs="Times New Roman"/>
          <w:color w:val="auto"/>
          <w:sz w:val="22"/>
          <w:szCs w:val="22"/>
        </w:rPr>
        <w:t>Subj</w:t>
      </w:r>
      <w:proofErr w:type="spellEnd"/>
      <w:r w:rsidRPr="00660D7D">
        <w:rPr>
          <w:rFonts w:ascii="Times New Roman" w:hAnsi="Times New Roman" w:cs="Times New Roman"/>
          <w:color w:val="auto"/>
          <w:sz w:val="22"/>
          <w:szCs w:val="22"/>
        </w:rPr>
        <w:t xml:space="preserve">:  PHYSICAL DISABILITY BOARD OF REVIEW (PDBR) RECOMMENDATIONS          </w:t>
      </w:r>
    </w:p>
    <w:p w:rsidR="008C4EEB" w:rsidRPr="00660D7D" w:rsidRDefault="008C4EEB" w:rsidP="008C4EEB">
      <w:pPr>
        <w:spacing w:line="240" w:lineRule="auto"/>
        <w:jc w:val="left"/>
        <w:rPr>
          <w:rFonts w:ascii="Times New Roman" w:hAnsi="Times New Roman" w:cs="Times New Roman"/>
          <w:color w:val="auto"/>
          <w:sz w:val="22"/>
          <w:szCs w:val="22"/>
        </w:rPr>
      </w:pP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Ref:   (a) </w:t>
      </w:r>
      <w:proofErr w:type="spellStart"/>
      <w:r w:rsidRPr="00660D7D">
        <w:rPr>
          <w:rFonts w:ascii="Times New Roman" w:hAnsi="Times New Roman" w:cs="Times New Roman"/>
          <w:color w:val="auto"/>
          <w:sz w:val="22"/>
          <w:szCs w:val="22"/>
        </w:rPr>
        <w:t>DoDI</w:t>
      </w:r>
      <w:proofErr w:type="spellEnd"/>
      <w:r w:rsidRPr="00660D7D">
        <w:rPr>
          <w:rFonts w:ascii="Times New Roman" w:hAnsi="Times New Roman" w:cs="Times New Roman"/>
          <w:color w:val="auto"/>
          <w:sz w:val="22"/>
          <w:szCs w:val="22"/>
        </w:rPr>
        <w:t xml:space="preserve"> 6040.44</w:t>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          (b) PDBR </w:t>
      </w:r>
      <w:proofErr w:type="spellStart"/>
      <w:r w:rsidRPr="00660D7D">
        <w:rPr>
          <w:rFonts w:ascii="Times New Roman" w:hAnsi="Times New Roman" w:cs="Times New Roman"/>
          <w:color w:val="auto"/>
          <w:sz w:val="22"/>
          <w:szCs w:val="22"/>
        </w:rPr>
        <w:t>ltr</w:t>
      </w:r>
      <w:proofErr w:type="spellEnd"/>
      <w:r w:rsidRPr="00660D7D">
        <w:rPr>
          <w:rFonts w:ascii="Times New Roman" w:hAnsi="Times New Roman" w:cs="Times New Roman"/>
          <w:color w:val="auto"/>
          <w:sz w:val="22"/>
          <w:szCs w:val="22"/>
        </w:rPr>
        <w:t xml:space="preserve"> </w:t>
      </w:r>
      <w:proofErr w:type="spellStart"/>
      <w:r w:rsidRPr="00660D7D">
        <w:rPr>
          <w:rFonts w:ascii="Times New Roman" w:hAnsi="Times New Roman" w:cs="Times New Roman"/>
          <w:color w:val="auto"/>
          <w:sz w:val="22"/>
          <w:szCs w:val="22"/>
        </w:rPr>
        <w:t>dtd</w:t>
      </w:r>
      <w:proofErr w:type="spell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          (c) PDBR </w:t>
      </w:r>
      <w:proofErr w:type="spellStart"/>
      <w:r w:rsidRPr="00660D7D">
        <w:rPr>
          <w:rFonts w:ascii="Times New Roman" w:hAnsi="Times New Roman" w:cs="Times New Roman"/>
          <w:color w:val="auto"/>
          <w:sz w:val="22"/>
          <w:szCs w:val="22"/>
        </w:rPr>
        <w:t>ltr</w:t>
      </w:r>
      <w:proofErr w:type="spellEnd"/>
      <w:r w:rsidRPr="00660D7D">
        <w:rPr>
          <w:rFonts w:ascii="Times New Roman" w:hAnsi="Times New Roman" w:cs="Times New Roman"/>
          <w:color w:val="auto"/>
          <w:sz w:val="22"/>
          <w:szCs w:val="22"/>
        </w:rPr>
        <w:t xml:space="preserve"> </w:t>
      </w:r>
      <w:proofErr w:type="spellStart"/>
      <w:r w:rsidRPr="00660D7D">
        <w:rPr>
          <w:rFonts w:ascii="Times New Roman" w:hAnsi="Times New Roman" w:cs="Times New Roman"/>
          <w:color w:val="auto"/>
          <w:sz w:val="22"/>
          <w:szCs w:val="22"/>
        </w:rPr>
        <w:t>dtd</w:t>
      </w:r>
      <w:proofErr w:type="spell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          (d) PDBR </w:t>
      </w:r>
      <w:proofErr w:type="spellStart"/>
      <w:r w:rsidRPr="00660D7D">
        <w:rPr>
          <w:rFonts w:ascii="Times New Roman" w:hAnsi="Times New Roman" w:cs="Times New Roman"/>
          <w:color w:val="auto"/>
          <w:sz w:val="22"/>
          <w:szCs w:val="22"/>
        </w:rPr>
        <w:t>ltr</w:t>
      </w:r>
      <w:proofErr w:type="spellEnd"/>
      <w:r w:rsidRPr="00660D7D">
        <w:rPr>
          <w:rFonts w:ascii="Times New Roman" w:hAnsi="Times New Roman" w:cs="Times New Roman"/>
          <w:color w:val="auto"/>
          <w:sz w:val="22"/>
          <w:szCs w:val="22"/>
        </w:rPr>
        <w:t xml:space="preserve"> </w:t>
      </w:r>
      <w:proofErr w:type="spellStart"/>
      <w:r w:rsidRPr="00660D7D">
        <w:rPr>
          <w:rFonts w:ascii="Times New Roman" w:hAnsi="Times New Roman" w:cs="Times New Roman"/>
          <w:color w:val="auto"/>
          <w:sz w:val="22"/>
          <w:szCs w:val="22"/>
        </w:rPr>
        <w:t>dtd</w:t>
      </w:r>
      <w:proofErr w:type="spell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          (d) PDBR </w:t>
      </w:r>
      <w:proofErr w:type="spellStart"/>
      <w:r w:rsidRPr="00660D7D">
        <w:rPr>
          <w:rFonts w:ascii="Times New Roman" w:hAnsi="Times New Roman" w:cs="Times New Roman"/>
          <w:color w:val="auto"/>
          <w:sz w:val="22"/>
          <w:szCs w:val="22"/>
        </w:rPr>
        <w:t>ltr</w:t>
      </w:r>
      <w:proofErr w:type="spellEnd"/>
      <w:r w:rsidRPr="00660D7D">
        <w:rPr>
          <w:rFonts w:ascii="Times New Roman" w:hAnsi="Times New Roman" w:cs="Times New Roman"/>
          <w:color w:val="auto"/>
          <w:sz w:val="22"/>
          <w:szCs w:val="22"/>
        </w:rPr>
        <w:t xml:space="preserve"> </w:t>
      </w:r>
      <w:proofErr w:type="spellStart"/>
      <w:r w:rsidRPr="00660D7D">
        <w:rPr>
          <w:rFonts w:ascii="Times New Roman" w:hAnsi="Times New Roman" w:cs="Times New Roman"/>
          <w:color w:val="auto"/>
          <w:sz w:val="22"/>
          <w:szCs w:val="22"/>
        </w:rPr>
        <w:t>dtd</w:t>
      </w:r>
      <w:proofErr w:type="spell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                              </w:t>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1.  Pursuant to reference (a) I approve the recommendations of the Physical Disability Board of Review set forth in references (b) through (d).</w:t>
      </w:r>
    </w:p>
    <w:p w:rsidR="008C4EEB" w:rsidRPr="00660D7D" w:rsidRDefault="008C4EEB" w:rsidP="008C4EEB">
      <w:pPr>
        <w:spacing w:line="240" w:lineRule="auto"/>
        <w:jc w:val="left"/>
        <w:rPr>
          <w:rFonts w:ascii="Times New Roman" w:hAnsi="Times New Roman" w:cs="Times New Roman"/>
          <w:color w:val="auto"/>
          <w:sz w:val="22"/>
          <w:szCs w:val="22"/>
        </w:rPr>
      </w:pP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2.  The official records of the following individuals are to be corrected to reflect the stated disposition:</w:t>
      </w:r>
    </w:p>
    <w:p w:rsidR="008C4EEB" w:rsidRPr="00660D7D" w:rsidRDefault="008C4EEB" w:rsidP="008C4EEB">
      <w:pPr>
        <w:spacing w:line="240" w:lineRule="auto"/>
        <w:jc w:val="left"/>
        <w:rPr>
          <w:rFonts w:ascii="Times New Roman" w:hAnsi="Times New Roman" w:cs="Times New Roman"/>
          <w:color w:val="auto"/>
          <w:sz w:val="22"/>
          <w:szCs w:val="22"/>
        </w:rPr>
      </w:pP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proofErr w:type="gramStart"/>
      <w:r w:rsidRPr="00660D7D">
        <w:rPr>
          <w:rFonts w:ascii="Times New Roman" w:hAnsi="Times New Roman" w:cs="Times New Roman"/>
          <w:color w:val="auto"/>
          <w:sz w:val="22"/>
          <w:szCs w:val="22"/>
        </w:rPr>
        <w:t>a</w:t>
      </w:r>
      <w:proofErr w:type="gram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u w:val="single"/>
        </w:rPr>
        <w:t xml:space="preserve">  former USN</w:t>
      </w:r>
      <w:r w:rsidRPr="00660D7D">
        <w:rPr>
          <w:rFonts w:ascii="Times New Roman" w:hAnsi="Times New Roman" w:cs="Times New Roman"/>
          <w:color w:val="auto"/>
          <w:sz w:val="22"/>
          <w:szCs w:val="22"/>
          <w:u w:val="single"/>
        </w:rPr>
        <w:t>:</w:t>
      </w:r>
      <w:r w:rsidRPr="00660D7D">
        <w:rPr>
          <w:rFonts w:ascii="Times New Roman" w:hAnsi="Times New Roman" w:cs="Times New Roman"/>
          <w:color w:val="auto"/>
          <w:sz w:val="22"/>
          <w:szCs w:val="22"/>
        </w:rPr>
        <w:t xml:space="preserve">  Placement on the Permanent Disability Retired List with a 30% disability rating effective 19 May 2004.</w:t>
      </w:r>
    </w:p>
    <w:p w:rsidR="008C4EEB" w:rsidRPr="00660D7D" w:rsidRDefault="008C4EEB" w:rsidP="008C4EEB">
      <w:pPr>
        <w:spacing w:line="240" w:lineRule="auto"/>
        <w:jc w:val="left"/>
        <w:rPr>
          <w:rFonts w:ascii="Times New Roman" w:hAnsi="Times New Roman" w:cs="Times New Roman"/>
          <w:color w:val="auto"/>
          <w:sz w:val="22"/>
          <w:szCs w:val="22"/>
        </w:rPr>
      </w:pPr>
    </w:p>
    <w:p w:rsidR="008C4EEB" w:rsidRPr="00660D7D" w:rsidRDefault="008C4EEB" w:rsidP="008C4EEB">
      <w:pPr>
        <w:spacing w:line="240" w:lineRule="auto"/>
        <w:ind w:firstLine="720"/>
        <w:jc w:val="left"/>
        <w:rPr>
          <w:rFonts w:ascii="Times New Roman" w:hAnsi="Times New Roman" w:cs="Times New Roman"/>
          <w:color w:val="auto"/>
          <w:sz w:val="22"/>
          <w:szCs w:val="22"/>
        </w:rPr>
      </w:pPr>
      <w:proofErr w:type="gramStart"/>
      <w:r w:rsidRPr="00660D7D">
        <w:rPr>
          <w:rFonts w:ascii="Times New Roman" w:hAnsi="Times New Roman" w:cs="Times New Roman"/>
          <w:color w:val="auto"/>
          <w:sz w:val="22"/>
          <w:szCs w:val="22"/>
        </w:rPr>
        <w:t>b</w:t>
      </w:r>
      <w:proofErr w:type="gram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u w:val="single"/>
        </w:rPr>
        <w:t xml:space="preserve"> </w:t>
      </w:r>
      <w:r w:rsidRPr="00660D7D">
        <w:rPr>
          <w:rFonts w:ascii="Times New Roman" w:hAnsi="Times New Roman" w:cs="Times New Roman"/>
          <w:color w:val="auto"/>
          <w:sz w:val="22"/>
          <w:szCs w:val="22"/>
          <w:u w:val="single"/>
        </w:rPr>
        <w:t xml:space="preserve"> former USMC</w:t>
      </w:r>
      <w:r w:rsidRPr="00660D7D">
        <w:rPr>
          <w:rFonts w:ascii="Times New Roman" w:hAnsi="Times New Roman" w:cs="Times New Roman"/>
          <w:color w:val="auto"/>
          <w:sz w:val="22"/>
          <w:szCs w:val="22"/>
        </w:rPr>
        <w:t>:  Placement on the Permanent Disability Retired List with a 30% disability rating effective 15 April 2006.</w:t>
      </w:r>
    </w:p>
    <w:p w:rsidR="008C4EEB" w:rsidRPr="00660D7D" w:rsidRDefault="008C4EEB" w:rsidP="008C4EEB">
      <w:pPr>
        <w:spacing w:line="240" w:lineRule="auto"/>
        <w:ind w:firstLine="720"/>
        <w:jc w:val="left"/>
        <w:rPr>
          <w:rFonts w:ascii="Times New Roman" w:hAnsi="Times New Roman" w:cs="Times New Roman"/>
          <w:color w:val="auto"/>
          <w:sz w:val="22"/>
          <w:szCs w:val="22"/>
        </w:rPr>
      </w:pP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proofErr w:type="gramStart"/>
      <w:r w:rsidRPr="00660D7D">
        <w:rPr>
          <w:rFonts w:ascii="Times New Roman" w:hAnsi="Times New Roman" w:cs="Times New Roman"/>
          <w:color w:val="auto"/>
          <w:sz w:val="22"/>
          <w:szCs w:val="22"/>
        </w:rPr>
        <w:t>c</w:t>
      </w:r>
      <w:proofErr w:type="gram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u w:val="single"/>
        </w:rPr>
        <w:t xml:space="preserve"> </w:t>
      </w:r>
      <w:r w:rsidRPr="00660D7D">
        <w:rPr>
          <w:rFonts w:ascii="Times New Roman" w:hAnsi="Times New Roman" w:cs="Times New Roman"/>
          <w:color w:val="auto"/>
          <w:sz w:val="22"/>
          <w:szCs w:val="22"/>
          <w:u w:val="single"/>
        </w:rPr>
        <w:t xml:space="preserve"> former USN</w:t>
      </w:r>
      <w:r w:rsidRPr="00660D7D">
        <w:rPr>
          <w:rFonts w:ascii="Times New Roman" w:hAnsi="Times New Roman" w:cs="Times New Roman"/>
          <w:color w:val="auto"/>
          <w:sz w:val="22"/>
          <w:szCs w:val="22"/>
        </w:rPr>
        <w:t>:  Disability separation with entitlement to disability severance pay with a rating of 20% (increased from 10%) effective 3 February 2005.</w:t>
      </w:r>
    </w:p>
    <w:p w:rsidR="008C4EEB" w:rsidRPr="00660D7D" w:rsidRDefault="008C4EEB" w:rsidP="008C4EEB">
      <w:pPr>
        <w:spacing w:line="240" w:lineRule="auto"/>
        <w:jc w:val="left"/>
        <w:rPr>
          <w:rFonts w:ascii="Times New Roman" w:hAnsi="Times New Roman" w:cs="Times New Roman"/>
          <w:color w:val="auto"/>
          <w:sz w:val="22"/>
          <w:szCs w:val="22"/>
        </w:rPr>
      </w:pPr>
    </w:p>
    <w:p w:rsidR="008C4EEB" w:rsidRPr="00660D7D" w:rsidRDefault="008C4EEB" w:rsidP="008C4EEB">
      <w:pPr>
        <w:spacing w:line="240" w:lineRule="auto"/>
        <w:ind w:firstLine="720"/>
        <w:jc w:val="left"/>
        <w:rPr>
          <w:rFonts w:ascii="Times New Roman" w:hAnsi="Times New Roman" w:cs="Times New Roman"/>
          <w:color w:val="auto"/>
          <w:sz w:val="22"/>
          <w:szCs w:val="22"/>
        </w:rPr>
      </w:pPr>
      <w:proofErr w:type="gramStart"/>
      <w:r w:rsidRPr="00660D7D">
        <w:rPr>
          <w:rFonts w:ascii="Times New Roman" w:hAnsi="Times New Roman" w:cs="Times New Roman"/>
          <w:color w:val="auto"/>
          <w:sz w:val="22"/>
          <w:szCs w:val="22"/>
        </w:rPr>
        <w:t>d</w:t>
      </w:r>
      <w:proofErr w:type="gram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u w:val="single"/>
        </w:rPr>
        <w:t xml:space="preserve"> </w:t>
      </w:r>
      <w:r w:rsidRPr="00660D7D">
        <w:rPr>
          <w:rFonts w:ascii="Times New Roman" w:hAnsi="Times New Roman" w:cs="Times New Roman"/>
          <w:color w:val="auto"/>
          <w:sz w:val="22"/>
          <w:szCs w:val="22"/>
          <w:u w:val="single"/>
        </w:rPr>
        <w:t xml:space="preserve"> former USMC</w:t>
      </w:r>
      <w:r w:rsidRPr="00660D7D">
        <w:rPr>
          <w:rFonts w:ascii="Times New Roman" w:hAnsi="Times New Roman" w:cs="Times New Roman"/>
          <w:color w:val="auto"/>
          <w:sz w:val="22"/>
          <w:szCs w:val="22"/>
        </w:rPr>
        <w:t>: Placement on the Permanent Disability Retired List with a 60% disability rating effective 30 January 2008.</w:t>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3.  Please ensure all necessary actions are taken, included the recoupment of disability severance pay if warranted, to implement these decisions and that subject members are notified once those actions are completed.</w:t>
      </w:r>
    </w:p>
    <w:p w:rsidR="008C4EEB" w:rsidRPr="00660D7D" w:rsidRDefault="008C4EEB" w:rsidP="008C4EEB">
      <w:pPr>
        <w:spacing w:line="240" w:lineRule="auto"/>
        <w:jc w:val="left"/>
        <w:rPr>
          <w:rFonts w:ascii="Times New Roman" w:hAnsi="Times New Roman" w:cs="Times New Roman"/>
          <w:color w:val="auto"/>
          <w:sz w:val="22"/>
          <w:szCs w:val="22"/>
        </w:rPr>
      </w:pPr>
    </w:p>
    <w:p w:rsidR="008C4EEB" w:rsidRPr="00660D7D" w:rsidRDefault="008C4EEB" w:rsidP="008C4EEB">
      <w:pPr>
        <w:spacing w:line="240" w:lineRule="auto"/>
        <w:jc w:val="left"/>
        <w:rPr>
          <w:rFonts w:ascii="Times New Roman" w:hAnsi="Times New Roman" w:cs="Times New Roman"/>
          <w:color w:val="auto"/>
          <w:sz w:val="22"/>
          <w:szCs w:val="22"/>
        </w:rPr>
      </w:pPr>
    </w:p>
    <w:p w:rsidR="008C4EEB" w:rsidRPr="00660D7D" w:rsidRDefault="008C4EEB" w:rsidP="008C4EEB">
      <w:pPr>
        <w:spacing w:line="240" w:lineRule="auto"/>
        <w:jc w:val="left"/>
        <w:rPr>
          <w:rFonts w:ascii="Times New Roman" w:hAnsi="Times New Roman" w:cs="Times New Roman"/>
          <w:color w:val="auto"/>
          <w:sz w:val="22"/>
          <w:szCs w:val="22"/>
        </w:rPr>
      </w:pP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t xml:space="preserve">  </w:t>
      </w:r>
      <w:r>
        <w:rPr>
          <w:rFonts w:ascii="Times New Roman" w:hAnsi="Times New Roman" w:cs="Times New Roman"/>
          <w:color w:val="auto"/>
          <w:sz w:val="22"/>
          <w:szCs w:val="22"/>
        </w:rPr>
        <w:t xml:space="preserve"> </w:t>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t xml:space="preserve">  Assistant General Counsel</w:t>
      </w:r>
    </w:p>
    <w:p w:rsidR="008C4EEB" w:rsidRPr="00660D7D" w:rsidRDefault="008C4EEB" w:rsidP="008C4EEB">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t xml:space="preserve">  (Manpower &amp; Reserve Affairs)</w:t>
      </w:r>
    </w:p>
    <w:p w:rsidR="00AD2379" w:rsidRDefault="00AD2379" w:rsidP="00BF0E94">
      <w:pPr>
        <w:tabs>
          <w:tab w:val="left" w:pos="0"/>
          <w:tab w:val="left" w:pos="4320"/>
        </w:tabs>
        <w:jc w:val="both"/>
        <w:rPr>
          <w:color w:val="auto"/>
        </w:rPr>
      </w:pPr>
      <w:bookmarkStart w:id="0" w:name="_GoBack"/>
      <w:bookmarkEnd w:id="0"/>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F4" w:rsidRDefault="00526DF4">
      <w:r>
        <w:separator/>
      </w:r>
    </w:p>
  </w:endnote>
  <w:endnote w:type="continuationSeparator" w:id="0">
    <w:p w:rsidR="00526DF4" w:rsidRDefault="0052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DC" w:rsidRPr="00374247" w:rsidRDefault="00BB1EDC" w:rsidP="00726F84">
    <w:pPr>
      <w:pStyle w:val="Footer"/>
      <w:ind w:firstLine="4320"/>
      <w:rPr>
        <w:color w:val="auto"/>
      </w:rPr>
    </w:pPr>
    <w:r w:rsidRPr="00374247">
      <w:rPr>
        <w:color w:val="auto"/>
      </w:rPr>
      <w:t xml:space="preserve">   </w:t>
    </w:r>
    <w:r w:rsidR="00E75867">
      <w:fldChar w:fldCharType="begin"/>
    </w:r>
    <w:r w:rsidR="00E75867">
      <w:instrText xml:space="preserve"> PAGE   \* MERGEFORMAT </w:instrText>
    </w:r>
    <w:r w:rsidR="00E75867">
      <w:fldChar w:fldCharType="separate"/>
    </w:r>
    <w:r w:rsidR="008C4EEB" w:rsidRPr="008C4EEB">
      <w:rPr>
        <w:noProof/>
        <w:color w:val="auto"/>
      </w:rPr>
      <w:t>6</w:t>
    </w:r>
    <w:r w:rsidR="00E75867">
      <w:rPr>
        <w:noProof/>
        <w:color w:val="auto"/>
      </w:rPr>
      <w:fldChar w:fldCharType="end"/>
    </w:r>
    <w:r w:rsidRPr="00081814">
      <w:rPr>
        <w:color w:val="auto"/>
      </w:rPr>
      <w:t xml:space="preserve">                                </w:t>
    </w:r>
    <w:r w:rsidR="00185E58">
      <w:rPr>
        <w:color w:val="auto"/>
      </w:rPr>
      <w:t xml:space="preserve">                           PD11</w:t>
    </w:r>
    <w:r w:rsidRPr="00081814">
      <w:rPr>
        <w:color w:val="auto"/>
      </w:rPr>
      <w:t>00663</w:t>
    </w:r>
  </w:p>
  <w:p w:rsidR="00BB1EDC" w:rsidRPr="00684CE6" w:rsidRDefault="00BB1EDC">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F4" w:rsidRDefault="00526DF4">
      <w:r>
        <w:separator/>
      </w:r>
    </w:p>
  </w:footnote>
  <w:footnote w:type="continuationSeparator" w:id="0">
    <w:p w:rsidR="00526DF4" w:rsidRDefault="00526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1853"/>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5299"/>
    <w:rsid w:val="000575C5"/>
    <w:rsid w:val="000577C9"/>
    <w:rsid w:val="00060C18"/>
    <w:rsid w:val="00060FFD"/>
    <w:rsid w:val="00061D69"/>
    <w:rsid w:val="00063BE5"/>
    <w:rsid w:val="0006431E"/>
    <w:rsid w:val="000647B0"/>
    <w:rsid w:val="000652EA"/>
    <w:rsid w:val="00065E21"/>
    <w:rsid w:val="000673ED"/>
    <w:rsid w:val="00067854"/>
    <w:rsid w:val="0007012D"/>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814"/>
    <w:rsid w:val="00082482"/>
    <w:rsid w:val="00082CA0"/>
    <w:rsid w:val="00083A06"/>
    <w:rsid w:val="00084CF2"/>
    <w:rsid w:val="00084FE5"/>
    <w:rsid w:val="00085D7B"/>
    <w:rsid w:val="0008708B"/>
    <w:rsid w:val="00092619"/>
    <w:rsid w:val="00092C66"/>
    <w:rsid w:val="00092CC9"/>
    <w:rsid w:val="000949DD"/>
    <w:rsid w:val="00094E4F"/>
    <w:rsid w:val="000A1406"/>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B7187"/>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15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0B5C"/>
    <w:rsid w:val="001211AF"/>
    <w:rsid w:val="001215DF"/>
    <w:rsid w:val="001219DF"/>
    <w:rsid w:val="0012220B"/>
    <w:rsid w:val="00122ABE"/>
    <w:rsid w:val="00122FC5"/>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5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051"/>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047"/>
    <w:rsid w:val="001F29F9"/>
    <w:rsid w:val="001F6E0B"/>
    <w:rsid w:val="00200AA0"/>
    <w:rsid w:val="00202325"/>
    <w:rsid w:val="00202736"/>
    <w:rsid w:val="00203652"/>
    <w:rsid w:val="00204562"/>
    <w:rsid w:val="00205B4F"/>
    <w:rsid w:val="002060B6"/>
    <w:rsid w:val="002066B5"/>
    <w:rsid w:val="00207184"/>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1FC"/>
    <w:rsid w:val="002163FA"/>
    <w:rsid w:val="00216FCB"/>
    <w:rsid w:val="0021736C"/>
    <w:rsid w:val="00217606"/>
    <w:rsid w:val="00217C09"/>
    <w:rsid w:val="00220F5C"/>
    <w:rsid w:val="00220FA9"/>
    <w:rsid w:val="002216BF"/>
    <w:rsid w:val="00221B9B"/>
    <w:rsid w:val="00222268"/>
    <w:rsid w:val="00225080"/>
    <w:rsid w:val="00225196"/>
    <w:rsid w:val="00225CB4"/>
    <w:rsid w:val="00226B1A"/>
    <w:rsid w:val="00227F0B"/>
    <w:rsid w:val="0023049F"/>
    <w:rsid w:val="0023065A"/>
    <w:rsid w:val="002310C3"/>
    <w:rsid w:val="002316F6"/>
    <w:rsid w:val="00232AC4"/>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40C0"/>
    <w:rsid w:val="00255049"/>
    <w:rsid w:val="00256B96"/>
    <w:rsid w:val="00256FCA"/>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3B0"/>
    <w:rsid w:val="002F195B"/>
    <w:rsid w:val="002F1A64"/>
    <w:rsid w:val="002F27E7"/>
    <w:rsid w:val="002F287E"/>
    <w:rsid w:val="002F2981"/>
    <w:rsid w:val="002F2D63"/>
    <w:rsid w:val="002F476E"/>
    <w:rsid w:val="002F478B"/>
    <w:rsid w:val="002F6AD8"/>
    <w:rsid w:val="002F7532"/>
    <w:rsid w:val="002F7C06"/>
    <w:rsid w:val="002F7F81"/>
    <w:rsid w:val="00300A36"/>
    <w:rsid w:val="00301B45"/>
    <w:rsid w:val="00301FBB"/>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3DE"/>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C9B"/>
    <w:rsid w:val="003A27B2"/>
    <w:rsid w:val="003A3F3D"/>
    <w:rsid w:val="003A40B4"/>
    <w:rsid w:val="003A41BA"/>
    <w:rsid w:val="003A4FA3"/>
    <w:rsid w:val="003A5491"/>
    <w:rsid w:val="003A5958"/>
    <w:rsid w:val="003A6A99"/>
    <w:rsid w:val="003A6E60"/>
    <w:rsid w:val="003A76AB"/>
    <w:rsid w:val="003A7FF8"/>
    <w:rsid w:val="003B17AC"/>
    <w:rsid w:val="003B18F5"/>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277D"/>
    <w:rsid w:val="00403BFB"/>
    <w:rsid w:val="00404B45"/>
    <w:rsid w:val="00405BCF"/>
    <w:rsid w:val="00405E7C"/>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126"/>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8CD"/>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39E"/>
    <w:rsid w:val="004C24C5"/>
    <w:rsid w:val="004C2645"/>
    <w:rsid w:val="004C47D5"/>
    <w:rsid w:val="004C4CAF"/>
    <w:rsid w:val="004C5E33"/>
    <w:rsid w:val="004C60A3"/>
    <w:rsid w:val="004C6CDA"/>
    <w:rsid w:val="004C77C4"/>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6DF4"/>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4493"/>
    <w:rsid w:val="0054586A"/>
    <w:rsid w:val="0054631F"/>
    <w:rsid w:val="00546C24"/>
    <w:rsid w:val="005471BA"/>
    <w:rsid w:val="00547BDA"/>
    <w:rsid w:val="00547BE6"/>
    <w:rsid w:val="0055034F"/>
    <w:rsid w:val="00550476"/>
    <w:rsid w:val="0055288D"/>
    <w:rsid w:val="005533DE"/>
    <w:rsid w:val="00555259"/>
    <w:rsid w:val="00555764"/>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0E99"/>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858"/>
    <w:rsid w:val="005D0ABC"/>
    <w:rsid w:val="005D2306"/>
    <w:rsid w:val="005D2562"/>
    <w:rsid w:val="005D2666"/>
    <w:rsid w:val="005D4548"/>
    <w:rsid w:val="005D4A74"/>
    <w:rsid w:val="005D519F"/>
    <w:rsid w:val="005D5E91"/>
    <w:rsid w:val="005D67EF"/>
    <w:rsid w:val="005D6CD2"/>
    <w:rsid w:val="005E1416"/>
    <w:rsid w:val="005E3064"/>
    <w:rsid w:val="005E50C5"/>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608"/>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64D5"/>
    <w:rsid w:val="006514AD"/>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57E"/>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639B"/>
    <w:rsid w:val="006870CE"/>
    <w:rsid w:val="00687C7E"/>
    <w:rsid w:val="00687D3D"/>
    <w:rsid w:val="00690569"/>
    <w:rsid w:val="00690FDA"/>
    <w:rsid w:val="00691E61"/>
    <w:rsid w:val="00692180"/>
    <w:rsid w:val="006937C6"/>
    <w:rsid w:val="00693C33"/>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47D4"/>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66C"/>
    <w:rsid w:val="006B7BE0"/>
    <w:rsid w:val="006C1D6E"/>
    <w:rsid w:val="006C2EF6"/>
    <w:rsid w:val="006C3A68"/>
    <w:rsid w:val="006C3B08"/>
    <w:rsid w:val="006C49F7"/>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0888"/>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3C43"/>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6A03"/>
    <w:rsid w:val="0076100C"/>
    <w:rsid w:val="00761127"/>
    <w:rsid w:val="007612A5"/>
    <w:rsid w:val="007635A8"/>
    <w:rsid w:val="00763CAE"/>
    <w:rsid w:val="00763F95"/>
    <w:rsid w:val="007651ED"/>
    <w:rsid w:val="00766C87"/>
    <w:rsid w:val="007679AF"/>
    <w:rsid w:val="00771043"/>
    <w:rsid w:val="0077272B"/>
    <w:rsid w:val="00773AF7"/>
    <w:rsid w:val="00773C45"/>
    <w:rsid w:val="00774FFD"/>
    <w:rsid w:val="00780378"/>
    <w:rsid w:val="0078085E"/>
    <w:rsid w:val="00781BD4"/>
    <w:rsid w:val="00782562"/>
    <w:rsid w:val="007828B4"/>
    <w:rsid w:val="00782CC1"/>
    <w:rsid w:val="00783EFF"/>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447"/>
    <w:rsid w:val="007E3883"/>
    <w:rsid w:val="007E4876"/>
    <w:rsid w:val="007E48CD"/>
    <w:rsid w:val="007E4ACB"/>
    <w:rsid w:val="007E4FBB"/>
    <w:rsid w:val="007E55BF"/>
    <w:rsid w:val="007E59E3"/>
    <w:rsid w:val="007E59F2"/>
    <w:rsid w:val="007E5E39"/>
    <w:rsid w:val="007E71B1"/>
    <w:rsid w:val="007E7B4E"/>
    <w:rsid w:val="007E7F02"/>
    <w:rsid w:val="007F0292"/>
    <w:rsid w:val="007F0722"/>
    <w:rsid w:val="007F0AB7"/>
    <w:rsid w:val="007F0CE2"/>
    <w:rsid w:val="007F0EFF"/>
    <w:rsid w:val="007F1375"/>
    <w:rsid w:val="007F1AFD"/>
    <w:rsid w:val="007F30E4"/>
    <w:rsid w:val="007F6D36"/>
    <w:rsid w:val="0080064F"/>
    <w:rsid w:val="00801B85"/>
    <w:rsid w:val="00803850"/>
    <w:rsid w:val="008039E8"/>
    <w:rsid w:val="00804385"/>
    <w:rsid w:val="00804E0E"/>
    <w:rsid w:val="008051EB"/>
    <w:rsid w:val="0080588E"/>
    <w:rsid w:val="00805AFD"/>
    <w:rsid w:val="00806397"/>
    <w:rsid w:val="008078D8"/>
    <w:rsid w:val="0080798E"/>
    <w:rsid w:val="00807A60"/>
    <w:rsid w:val="00811BD9"/>
    <w:rsid w:val="00811D5B"/>
    <w:rsid w:val="00813C51"/>
    <w:rsid w:val="00816CCB"/>
    <w:rsid w:val="00817572"/>
    <w:rsid w:val="00817713"/>
    <w:rsid w:val="0082027D"/>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2616"/>
    <w:rsid w:val="008734E7"/>
    <w:rsid w:val="0087566D"/>
    <w:rsid w:val="00875B50"/>
    <w:rsid w:val="00875B51"/>
    <w:rsid w:val="00875F2D"/>
    <w:rsid w:val="008762E7"/>
    <w:rsid w:val="008764DC"/>
    <w:rsid w:val="00881C17"/>
    <w:rsid w:val="00881D10"/>
    <w:rsid w:val="00882CC2"/>
    <w:rsid w:val="00883103"/>
    <w:rsid w:val="0088325A"/>
    <w:rsid w:val="00883372"/>
    <w:rsid w:val="00883930"/>
    <w:rsid w:val="00884535"/>
    <w:rsid w:val="008902BE"/>
    <w:rsid w:val="0089038F"/>
    <w:rsid w:val="00890CDA"/>
    <w:rsid w:val="00891BBA"/>
    <w:rsid w:val="00891BD9"/>
    <w:rsid w:val="00892079"/>
    <w:rsid w:val="008929CB"/>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EEB"/>
    <w:rsid w:val="008C4F01"/>
    <w:rsid w:val="008C5152"/>
    <w:rsid w:val="008C609D"/>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4CD3"/>
    <w:rsid w:val="00915196"/>
    <w:rsid w:val="00917182"/>
    <w:rsid w:val="00920251"/>
    <w:rsid w:val="00920259"/>
    <w:rsid w:val="00920436"/>
    <w:rsid w:val="00921CFD"/>
    <w:rsid w:val="00921F7F"/>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2F4"/>
    <w:rsid w:val="00954581"/>
    <w:rsid w:val="0095466C"/>
    <w:rsid w:val="00954E5B"/>
    <w:rsid w:val="00955100"/>
    <w:rsid w:val="00955316"/>
    <w:rsid w:val="00955E45"/>
    <w:rsid w:val="00956536"/>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517"/>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6AE6"/>
    <w:rsid w:val="009A7578"/>
    <w:rsid w:val="009A79BA"/>
    <w:rsid w:val="009B10F9"/>
    <w:rsid w:val="009B14D1"/>
    <w:rsid w:val="009B1534"/>
    <w:rsid w:val="009B4963"/>
    <w:rsid w:val="009B4A3B"/>
    <w:rsid w:val="009B5902"/>
    <w:rsid w:val="009B5F47"/>
    <w:rsid w:val="009B6023"/>
    <w:rsid w:val="009B69D3"/>
    <w:rsid w:val="009B721E"/>
    <w:rsid w:val="009B7BA7"/>
    <w:rsid w:val="009B7C01"/>
    <w:rsid w:val="009C0938"/>
    <w:rsid w:val="009C0C22"/>
    <w:rsid w:val="009C12A1"/>
    <w:rsid w:val="009C15D9"/>
    <w:rsid w:val="009C1A1D"/>
    <w:rsid w:val="009C22C8"/>
    <w:rsid w:val="009C3F82"/>
    <w:rsid w:val="009C582A"/>
    <w:rsid w:val="009C5BBF"/>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A5A"/>
    <w:rsid w:val="00A40FFB"/>
    <w:rsid w:val="00A41468"/>
    <w:rsid w:val="00A414A9"/>
    <w:rsid w:val="00A44141"/>
    <w:rsid w:val="00A44CCA"/>
    <w:rsid w:val="00A44D75"/>
    <w:rsid w:val="00A45EE4"/>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4AB2"/>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6A3"/>
    <w:rsid w:val="00AF6ECC"/>
    <w:rsid w:val="00AF7839"/>
    <w:rsid w:val="00B02145"/>
    <w:rsid w:val="00B022DC"/>
    <w:rsid w:val="00B0393D"/>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3F1"/>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A72"/>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194"/>
    <w:rsid w:val="00B91676"/>
    <w:rsid w:val="00B9322B"/>
    <w:rsid w:val="00B93640"/>
    <w:rsid w:val="00B94023"/>
    <w:rsid w:val="00B955D5"/>
    <w:rsid w:val="00B95833"/>
    <w:rsid w:val="00BA1824"/>
    <w:rsid w:val="00BA27E0"/>
    <w:rsid w:val="00BA2D98"/>
    <w:rsid w:val="00BA2F0C"/>
    <w:rsid w:val="00BA30D1"/>
    <w:rsid w:val="00BA30E1"/>
    <w:rsid w:val="00BA4609"/>
    <w:rsid w:val="00BA5BE2"/>
    <w:rsid w:val="00BA60FC"/>
    <w:rsid w:val="00BA6A9C"/>
    <w:rsid w:val="00BA7F46"/>
    <w:rsid w:val="00BB0388"/>
    <w:rsid w:val="00BB0A0A"/>
    <w:rsid w:val="00BB133C"/>
    <w:rsid w:val="00BB1EDC"/>
    <w:rsid w:val="00BB1F04"/>
    <w:rsid w:val="00BB45B5"/>
    <w:rsid w:val="00BB4DDE"/>
    <w:rsid w:val="00BB6064"/>
    <w:rsid w:val="00BB65CE"/>
    <w:rsid w:val="00BB7012"/>
    <w:rsid w:val="00BC08E4"/>
    <w:rsid w:val="00BC09D1"/>
    <w:rsid w:val="00BC1CF3"/>
    <w:rsid w:val="00BC2BE0"/>
    <w:rsid w:val="00BC33BF"/>
    <w:rsid w:val="00BC3573"/>
    <w:rsid w:val="00BC5860"/>
    <w:rsid w:val="00BC60A5"/>
    <w:rsid w:val="00BC62C1"/>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4CB"/>
    <w:rsid w:val="00BE579E"/>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76E"/>
    <w:rsid w:val="00C56FC8"/>
    <w:rsid w:val="00C577DD"/>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0D89"/>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6E4"/>
    <w:rsid w:val="00CC78A2"/>
    <w:rsid w:val="00CC7DF8"/>
    <w:rsid w:val="00CD15BE"/>
    <w:rsid w:val="00CD1EF2"/>
    <w:rsid w:val="00CD32BD"/>
    <w:rsid w:val="00CD34C7"/>
    <w:rsid w:val="00CD3B4F"/>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087A"/>
    <w:rsid w:val="00D817F8"/>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35EC"/>
    <w:rsid w:val="00DB44E2"/>
    <w:rsid w:val="00DB4908"/>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1F5D"/>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194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C9E"/>
    <w:rsid w:val="00E46D90"/>
    <w:rsid w:val="00E46EF3"/>
    <w:rsid w:val="00E47370"/>
    <w:rsid w:val="00E473B7"/>
    <w:rsid w:val="00E473E9"/>
    <w:rsid w:val="00E47B47"/>
    <w:rsid w:val="00E5039A"/>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867"/>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5F16"/>
    <w:rsid w:val="00F171F9"/>
    <w:rsid w:val="00F1737C"/>
    <w:rsid w:val="00F173AA"/>
    <w:rsid w:val="00F20DA4"/>
    <w:rsid w:val="00F22A26"/>
    <w:rsid w:val="00F2361E"/>
    <w:rsid w:val="00F24072"/>
    <w:rsid w:val="00F26432"/>
    <w:rsid w:val="00F3197A"/>
    <w:rsid w:val="00F32139"/>
    <w:rsid w:val="00F33CF0"/>
    <w:rsid w:val="00F33D56"/>
    <w:rsid w:val="00F34E08"/>
    <w:rsid w:val="00F37452"/>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3BF6"/>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67F7"/>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4974"/>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2D3C"/>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2933">
      <w:bodyDiv w:val="1"/>
      <w:marLeft w:val="88"/>
      <w:marRight w:val="88"/>
      <w:marTop w:val="13"/>
      <w:marBottom w:val="13"/>
      <w:divBdr>
        <w:top w:val="none" w:sz="0" w:space="0" w:color="auto"/>
        <w:left w:val="none" w:sz="0" w:space="0" w:color="auto"/>
        <w:bottom w:val="none" w:sz="0" w:space="0" w:color="auto"/>
        <w:right w:val="none" w:sz="0" w:space="0" w:color="auto"/>
      </w:divBdr>
      <w:divsChild>
        <w:div w:id="656420848">
          <w:marLeft w:val="0"/>
          <w:marRight w:val="0"/>
          <w:marTop w:val="0"/>
          <w:marBottom w:val="313"/>
          <w:divBdr>
            <w:top w:val="none" w:sz="0" w:space="0" w:color="auto"/>
            <w:left w:val="none" w:sz="0" w:space="0" w:color="auto"/>
            <w:bottom w:val="none" w:sz="0" w:space="0" w:color="auto"/>
            <w:right w:val="none" w:sz="0" w:space="0" w:color="auto"/>
          </w:divBdr>
        </w:div>
        <w:div w:id="373772296">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2012-06-27T15:07:00Z</cp:lastPrinted>
  <dcterms:created xsi:type="dcterms:W3CDTF">2012-06-20T11:54:00Z</dcterms:created>
  <dcterms:modified xsi:type="dcterms:W3CDTF">2012-08-15T18:12:00Z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