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05" w:rsidRPr="001F29F9" w:rsidRDefault="002F2105" w:rsidP="00BF0E94">
      <w:pPr>
        <w:tabs>
          <w:tab w:val="left" w:pos="288"/>
          <w:tab w:val="left" w:pos="4752"/>
        </w:tabs>
        <w:rPr>
          <w:color w:val="000000"/>
        </w:rPr>
      </w:pPr>
      <w:r w:rsidRPr="001F29F9">
        <w:rPr>
          <w:color w:val="000000"/>
        </w:rPr>
        <w:t>RECORD OF PROCEEDINGS</w:t>
      </w:r>
    </w:p>
    <w:p w:rsidR="002F2105" w:rsidRPr="001F29F9" w:rsidRDefault="002F2105" w:rsidP="00BF0E94">
      <w:pPr>
        <w:tabs>
          <w:tab w:val="left" w:pos="288"/>
          <w:tab w:val="left" w:pos="4752"/>
        </w:tabs>
        <w:rPr>
          <w:color w:val="000000"/>
        </w:rPr>
      </w:pPr>
      <w:r w:rsidRPr="001F29F9">
        <w:rPr>
          <w:color w:val="000000"/>
        </w:rPr>
        <w:t>PHYSICAL DISABILITY BOARD OF REVIEW</w:t>
      </w:r>
    </w:p>
    <w:p w:rsidR="002F2105" w:rsidRPr="001F29F9" w:rsidRDefault="002F2105" w:rsidP="00BF0E94">
      <w:pPr>
        <w:tabs>
          <w:tab w:val="left" w:pos="288"/>
          <w:tab w:val="left" w:pos="4752"/>
        </w:tabs>
        <w:jc w:val="both"/>
        <w:rPr>
          <w:caps/>
          <w:color w:val="000000"/>
        </w:rPr>
      </w:pPr>
    </w:p>
    <w:p w:rsidR="002F2105" w:rsidRPr="001F29F9" w:rsidRDefault="002F2105" w:rsidP="003C53E8">
      <w:pPr>
        <w:tabs>
          <w:tab w:val="left" w:pos="288"/>
          <w:tab w:val="left" w:pos="4752"/>
          <w:tab w:val="left" w:pos="6390"/>
          <w:tab w:val="left" w:pos="9270"/>
        </w:tabs>
        <w:jc w:val="both"/>
        <w:rPr>
          <w:caps/>
          <w:color w:val="000000"/>
        </w:rPr>
      </w:pPr>
      <w:r w:rsidRPr="007F39E2">
        <w:rPr>
          <w:caps/>
          <w:color w:val="000000"/>
        </w:rPr>
        <w:t xml:space="preserve">NAME: </w:t>
      </w:r>
      <w:r w:rsidR="008E7E54">
        <w:rPr>
          <w:caps/>
          <w:color w:val="000000"/>
        </w:rPr>
        <w:t xml:space="preserve"> </w:t>
      </w:r>
      <w:r w:rsidRPr="007F39E2">
        <w:rPr>
          <w:caps/>
          <w:color w:val="000000"/>
        </w:rPr>
        <w:t xml:space="preserve">            </w:t>
      </w:r>
      <w:r w:rsidRPr="007F39E2">
        <w:rPr>
          <w:caps/>
          <w:color w:val="000000"/>
        </w:rPr>
        <w:tab/>
        <w:t xml:space="preserve">                       BRANCH OF SERVICE:  Army </w:t>
      </w:r>
    </w:p>
    <w:p w:rsidR="002F2105" w:rsidRPr="001F29F9" w:rsidRDefault="002F2105" w:rsidP="0068098E">
      <w:pPr>
        <w:tabs>
          <w:tab w:val="left" w:pos="288"/>
          <w:tab w:val="left" w:pos="4166"/>
          <w:tab w:val="left" w:pos="4752"/>
          <w:tab w:val="left" w:pos="5130"/>
          <w:tab w:val="left" w:pos="9270"/>
        </w:tabs>
        <w:jc w:val="both"/>
        <w:rPr>
          <w:caps/>
          <w:color w:val="000000"/>
        </w:rPr>
      </w:pPr>
      <w:r w:rsidRPr="001F29F9">
        <w:rPr>
          <w:caps/>
          <w:color w:val="000000"/>
        </w:rPr>
        <w:t>CASE NUMBER:  PD1100660</w:t>
      </w:r>
      <w:r w:rsidRPr="001F29F9">
        <w:rPr>
          <w:color w:val="000000"/>
        </w:rPr>
        <w:t xml:space="preserve"> </w:t>
      </w:r>
      <w:r w:rsidRPr="001F29F9">
        <w:rPr>
          <w:color w:val="000000"/>
        </w:rPr>
        <w:tab/>
      </w:r>
      <w:r w:rsidRPr="001F29F9">
        <w:rPr>
          <w:color w:val="000000"/>
        </w:rPr>
        <w:tab/>
        <w:t xml:space="preserve">                       SEPARATION DATE:  20070622</w:t>
      </w:r>
    </w:p>
    <w:p w:rsidR="002F2105" w:rsidRPr="001F29F9" w:rsidRDefault="0044629B" w:rsidP="007F39E2">
      <w:pPr>
        <w:tabs>
          <w:tab w:val="left" w:pos="288"/>
          <w:tab w:val="left" w:pos="5130"/>
        </w:tabs>
        <w:jc w:val="both"/>
        <w:rPr>
          <w:color w:val="000000"/>
        </w:rPr>
      </w:pPr>
      <w:r>
        <w:rPr>
          <w:caps/>
          <w:color w:val="000000"/>
        </w:rPr>
        <w:t>BOARD DATE:  2012</w:t>
      </w:r>
      <w:r w:rsidR="0043053A">
        <w:rPr>
          <w:caps/>
          <w:color w:val="000000"/>
        </w:rPr>
        <w:t>0308</w:t>
      </w:r>
      <w:r w:rsidR="002F2105">
        <w:rPr>
          <w:rFonts w:cs="Times New Roman"/>
          <w:caps/>
          <w:color w:val="000000"/>
        </w:rPr>
        <w:tab/>
      </w:r>
    </w:p>
    <w:p w:rsidR="002F2105" w:rsidRPr="001F29F9" w:rsidRDefault="002F2105" w:rsidP="003C53E8">
      <w:pPr>
        <w:pBdr>
          <w:bottom w:val="single" w:sz="12" w:space="1" w:color="auto"/>
        </w:pBd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an active duty </w:t>
      </w:r>
      <w:r w:rsidR="00E33C1B">
        <w:rPr>
          <w:color w:val="000000"/>
        </w:rPr>
        <w:t>SPC/E-4 (92F, Fuel Handler)</w:t>
      </w:r>
      <w:r w:rsidRPr="001F29F9">
        <w:rPr>
          <w:color w:val="000000"/>
        </w:rPr>
        <w:t xml:space="preserve"> medically separated for a </w:t>
      </w:r>
      <w:proofErr w:type="spellStart"/>
      <w:r w:rsidR="000A08B2" w:rsidRPr="001F29F9">
        <w:rPr>
          <w:color w:val="000000"/>
        </w:rPr>
        <w:t>hypercoagu</w:t>
      </w:r>
      <w:r w:rsidR="000A08B2">
        <w:rPr>
          <w:color w:val="000000"/>
        </w:rPr>
        <w:t>a</w:t>
      </w:r>
      <w:r w:rsidR="000A08B2" w:rsidRPr="001F29F9">
        <w:rPr>
          <w:color w:val="000000"/>
        </w:rPr>
        <w:t>ble</w:t>
      </w:r>
      <w:proofErr w:type="spellEnd"/>
      <w:r w:rsidRPr="001F29F9">
        <w:rPr>
          <w:color w:val="000000"/>
        </w:rPr>
        <w:t xml:space="preserve"> state due to </w:t>
      </w:r>
      <w:r w:rsidR="00C82DB4">
        <w:rPr>
          <w:color w:val="000000"/>
        </w:rPr>
        <w:t>f</w:t>
      </w:r>
      <w:r w:rsidRPr="0063507C">
        <w:rPr>
          <w:color w:val="000000"/>
        </w:rPr>
        <w:t xml:space="preserve">actor </w:t>
      </w:r>
      <w:r w:rsidR="00C82DB4">
        <w:rPr>
          <w:color w:val="000000"/>
        </w:rPr>
        <w:t>V</w:t>
      </w:r>
      <w:r w:rsidRPr="0063507C">
        <w:rPr>
          <w:color w:val="000000"/>
        </w:rPr>
        <w:t xml:space="preserve"> </w:t>
      </w:r>
      <w:proofErr w:type="spellStart"/>
      <w:r w:rsidR="00C82DB4">
        <w:rPr>
          <w:color w:val="000000"/>
        </w:rPr>
        <w:t>l</w:t>
      </w:r>
      <w:r w:rsidRPr="0063507C">
        <w:rPr>
          <w:color w:val="000000"/>
        </w:rPr>
        <w:t>eiden</w:t>
      </w:r>
      <w:proofErr w:type="spellEnd"/>
      <w:r w:rsidR="00E33C1B">
        <w:rPr>
          <w:color w:val="000000"/>
        </w:rPr>
        <w:t xml:space="preserve"> </w:t>
      </w:r>
      <w:r w:rsidR="00E33C1B" w:rsidRPr="00E33C1B">
        <w:rPr>
          <w:color w:val="000000"/>
        </w:rPr>
        <w:t xml:space="preserve">deficiency </w:t>
      </w:r>
      <w:r w:rsidR="00E33C1B">
        <w:rPr>
          <w:color w:val="000000"/>
        </w:rPr>
        <w:t>(</w:t>
      </w:r>
      <w:r w:rsidR="0043053A">
        <w:rPr>
          <w:color w:val="000000"/>
        </w:rPr>
        <w:t>abnormally excessive clotting due to a genetic absence of an enzyme</w:t>
      </w:r>
      <w:r w:rsidR="00E33C1B">
        <w:rPr>
          <w:color w:val="000000"/>
        </w:rPr>
        <w:t>)</w:t>
      </w:r>
      <w:r w:rsidRPr="0063507C">
        <w:rPr>
          <w:color w:val="000000"/>
        </w:rPr>
        <w:t xml:space="preserve">. </w:t>
      </w:r>
      <w:r w:rsidR="00E33C1B">
        <w:rPr>
          <w:color w:val="000000"/>
        </w:rPr>
        <w:t xml:space="preserve"> </w:t>
      </w:r>
      <w:r w:rsidRPr="0063507C">
        <w:rPr>
          <w:color w:val="000000"/>
        </w:rPr>
        <w:t>The CI fi</w:t>
      </w:r>
      <w:r>
        <w:rPr>
          <w:color w:val="000000"/>
        </w:rPr>
        <w:t>rst experienced leg pain in 2003</w:t>
      </w:r>
      <w:r w:rsidR="0043053A">
        <w:rPr>
          <w:color w:val="000000"/>
        </w:rPr>
        <w:t xml:space="preserve"> while deployed to Iraq, which</w:t>
      </w:r>
      <w:r w:rsidRPr="0063507C">
        <w:rPr>
          <w:color w:val="000000"/>
        </w:rPr>
        <w:t xml:space="preserve"> was treated </w:t>
      </w:r>
      <w:r w:rsidR="0043053A">
        <w:rPr>
          <w:color w:val="000000"/>
        </w:rPr>
        <w:t>as</w:t>
      </w:r>
      <w:r w:rsidRPr="0063507C">
        <w:rPr>
          <w:color w:val="000000"/>
        </w:rPr>
        <w:t xml:space="preserve"> muscle strain. </w:t>
      </w:r>
      <w:r w:rsidR="00E33C1B">
        <w:rPr>
          <w:color w:val="000000"/>
        </w:rPr>
        <w:t xml:space="preserve"> </w:t>
      </w:r>
      <w:r w:rsidRPr="0063507C">
        <w:rPr>
          <w:color w:val="000000"/>
        </w:rPr>
        <w:t xml:space="preserve">During his </w:t>
      </w:r>
      <w:r>
        <w:rPr>
          <w:color w:val="000000"/>
        </w:rPr>
        <w:t>third</w:t>
      </w:r>
      <w:r w:rsidRPr="0063507C">
        <w:rPr>
          <w:color w:val="000000"/>
        </w:rPr>
        <w:t xml:space="preserve"> deployment in </w:t>
      </w:r>
      <w:r>
        <w:rPr>
          <w:color w:val="000000"/>
        </w:rPr>
        <w:t xml:space="preserve">August </w:t>
      </w:r>
      <w:r w:rsidR="00E33C1B">
        <w:rPr>
          <w:color w:val="000000"/>
        </w:rPr>
        <w:t>2006, his condition worsened;</w:t>
      </w:r>
      <w:r w:rsidRPr="0063507C">
        <w:rPr>
          <w:color w:val="000000"/>
        </w:rPr>
        <w:t xml:space="preserve"> and</w:t>
      </w:r>
      <w:r w:rsidR="00E33C1B">
        <w:rPr>
          <w:color w:val="000000"/>
        </w:rPr>
        <w:t>,</w:t>
      </w:r>
      <w:r w:rsidRPr="0063507C">
        <w:rPr>
          <w:color w:val="000000"/>
        </w:rPr>
        <w:t xml:space="preserve"> he was medically evacuated to Germany </w:t>
      </w:r>
      <w:r w:rsidR="00E33C1B">
        <w:rPr>
          <w:color w:val="000000"/>
        </w:rPr>
        <w:t>where</w:t>
      </w:r>
      <w:r>
        <w:rPr>
          <w:color w:val="000000"/>
        </w:rPr>
        <w:t xml:space="preserve"> </w:t>
      </w:r>
      <w:r w:rsidR="00E33C1B">
        <w:rPr>
          <w:color w:val="000000"/>
        </w:rPr>
        <w:t>h</w:t>
      </w:r>
      <w:r w:rsidRPr="0063507C">
        <w:rPr>
          <w:color w:val="000000"/>
        </w:rPr>
        <w:t xml:space="preserve">e was diagnosed with deep vein thrombosis (DVT) in his left </w:t>
      </w:r>
      <w:r w:rsidR="00857363">
        <w:rPr>
          <w:color w:val="000000"/>
        </w:rPr>
        <w:t>lower extremity (LLE)</w:t>
      </w:r>
      <w:r w:rsidRPr="0063507C">
        <w:rPr>
          <w:color w:val="000000"/>
        </w:rPr>
        <w:t xml:space="preserve">. </w:t>
      </w:r>
      <w:r w:rsidR="00E33C1B">
        <w:rPr>
          <w:color w:val="000000"/>
        </w:rPr>
        <w:t xml:space="preserve"> </w:t>
      </w:r>
      <w:r w:rsidR="00857363">
        <w:rPr>
          <w:color w:val="000000"/>
        </w:rPr>
        <w:t>The</w:t>
      </w:r>
      <w:r w:rsidR="00E33C1B">
        <w:rPr>
          <w:color w:val="000000"/>
        </w:rPr>
        <w:t xml:space="preserve"> genetic disease was then diagnosed, and he was placed on anticoagulant. After a recurrence of DVT, he was again hospitalized; and,</w:t>
      </w:r>
      <w:r>
        <w:rPr>
          <w:color w:val="000000"/>
        </w:rPr>
        <w:t xml:space="preserve"> it was determined that he would require life-long anticoagulation.</w:t>
      </w:r>
      <w:r w:rsidRPr="0063507C">
        <w:rPr>
          <w:color w:val="000000"/>
        </w:rPr>
        <w:t xml:space="preserve"> </w:t>
      </w:r>
      <w:r>
        <w:rPr>
          <w:color w:val="000000"/>
        </w:rPr>
        <w:t xml:space="preserve">Despite therapy, he continued to </w:t>
      </w:r>
      <w:r w:rsidR="0043053A">
        <w:rPr>
          <w:color w:val="000000"/>
        </w:rPr>
        <w:t xml:space="preserve">experience </w:t>
      </w:r>
      <w:r w:rsidR="00857363">
        <w:rPr>
          <w:color w:val="000000"/>
        </w:rPr>
        <w:t>leg</w:t>
      </w:r>
      <w:r>
        <w:rPr>
          <w:color w:val="000000"/>
        </w:rPr>
        <w:t xml:space="preserve"> pain and </w:t>
      </w:r>
      <w:r w:rsidR="00857363">
        <w:rPr>
          <w:color w:val="000000"/>
        </w:rPr>
        <w:t xml:space="preserve">LLE </w:t>
      </w:r>
      <w:r>
        <w:rPr>
          <w:color w:val="000000"/>
        </w:rPr>
        <w:t>swelling</w:t>
      </w:r>
      <w:r w:rsidRPr="00CF667E">
        <w:rPr>
          <w:color w:val="000000"/>
        </w:rPr>
        <w:t>.</w:t>
      </w:r>
      <w:r w:rsidR="00857363">
        <w:rPr>
          <w:color w:val="000000"/>
        </w:rPr>
        <w:t xml:space="preserve"> </w:t>
      </w:r>
      <w:r w:rsidRPr="00CF667E">
        <w:rPr>
          <w:color w:val="000000"/>
        </w:rPr>
        <w:t xml:space="preserve"> </w:t>
      </w:r>
      <w:r w:rsidR="00BF472E" w:rsidRPr="00BF472E">
        <w:rPr>
          <w:color w:val="000000"/>
        </w:rPr>
        <w:t xml:space="preserve">He </w:t>
      </w:r>
      <w:r w:rsidRPr="007F39E2">
        <w:rPr>
          <w:color w:val="000000"/>
        </w:rPr>
        <w:t xml:space="preserve">was unable </w:t>
      </w:r>
      <w:r w:rsidR="00857363">
        <w:rPr>
          <w:color w:val="000000"/>
        </w:rPr>
        <w:t>to meet the physical requirements of</w:t>
      </w:r>
      <w:r w:rsidRPr="007F39E2">
        <w:rPr>
          <w:color w:val="000000"/>
        </w:rPr>
        <w:t xml:space="preserve"> his Military Occupational Specialty (MOS) or </w:t>
      </w:r>
      <w:r w:rsidR="00857363">
        <w:rPr>
          <w:color w:val="000000"/>
        </w:rPr>
        <w:t>satisfy</w:t>
      </w:r>
      <w:r w:rsidRPr="007F39E2">
        <w:rPr>
          <w:color w:val="000000"/>
        </w:rPr>
        <w:t xml:space="preserve"> physical fitness standards. </w:t>
      </w:r>
      <w:r w:rsidR="00857363">
        <w:rPr>
          <w:color w:val="000000"/>
        </w:rPr>
        <w:t xml:space="preserve"> </w:t>
      </w:r>
      <w:r w:rsidRPr="007F39E2">
        <w:rPr>
          <w:color w:val="000000"/>
        </w:rPr>
        <w:t xml:space="preserve">He was issued a permanent P3 profile and </w:t>
      </w:r>
      <w:r w:rsidR="00857363">
        <w:rPr>
          <w:color w:val="000000"/>
        </w:rPr>
        <w:t>referred for</w:t>
      </w:r>
      <w:r w:rsidRPr="007F39E2">
        <w:rPr>
          <w:color w:val="000000"/>
        </w:rPr>
        <w:t xml:space="preserve"> a Medical Evaluation Board (MEB).</w:t>
      </w:r>
      <w:r w:rsidRPr="001F29F9">
        <w:rPr>
          <w:color w:val="000000"/>
        </w:rPr>
        <w:t xml:space="preserve"> </w:t>
      </w:r>
      <w:r w:rsidR="00857363">
        <w:rPr>
          <w:color w:val="000000"/>
        </w:rPr>
        <w:t xml:space="preserve"> </w:t>
      </w:r>
      <w:proofErr w:type="spellStart"/>
      <w:r w:rsidRPr="007F39E2">
        <w:rPr>
          <w:color w:val="000000"/>
        </w:rPr>
        <w:t>Thrombophlebitis</w:t>
      </w:r>
      <w:proofErr w:type="spellEnd"/>
      <w:r w:rsidRPr="007F39E2">
        <w:rPr>
          <w:color w:val="000000"/>
        </w:rPr>
        <w:t xml:space="preserve"> was forwarded to the Physical Evaluation Board (PEB) as </w:t>
      </w:r>
      <w:r w:rsidR="00857363">
        <w:rPr>
          <w:color w:val="000000"/>
        </w:rPr>
        <w:t xml:space="preserve">a </w:t>
      </w:r>
      <w:r w:rsidRPr="007F39E2">
        <w:rPr>
          <w:color w:val="000000"/>
        </w:rPr>
        <w:t xml:space="preserve">medically unacceptable </w:t>
      </w:r>
      <w:r w:rsidR="00857363">
        <w:rPr>
          <w:color w:val="000000"/>
        </w:rPr>
        <w:t xml:space="preserve">condition </w:t>
      </w:r>
      <w:r w:rsidRPr="007F39E2">
        <w:rPr>
          <w:color w:val="000000"/>
        </w:rPr>
        <w:t>IAW AR 40-501.</w:t>
      </w:r>
      <w:r w:rsidRPr="001F29F9">
        <w:rPr>
          <w:color w:val="000000"/>
        </w:rPr>
        <w:t xml:space="preserve"> </w:t>
      </w:r>
      <w:r w:rsidR="0043053A">
        <w:rPr>
          <w:color w:val="000000"/>
        </w:rPr>
        <w:t xml:space="preserve"> </w:t>
      </w:r>
      <w:r w:rsidRPr="001F29F9">
        <w:rPr>
          <w:color w:val="000000"/>
        </w:rPr>
        <w:t xml:space="preserve">Three other </w:t>
      </w:r>
      <w:r w:rsidRPr="007F39E2">
        <w:rPr>
          <w:color w:val="000000"/>
        </w:rPr>
        <w:t xml:space="preserve">conditions, as identified in the rating chart below, were </w:t>
      </w:r>
      <w:r w:rsidR="00857363">
        <w:rPr>
          <w:color w:val="000000"/>
        </w:rPr>
        <w:t>addressed by</w:t>
      </w:r>
      <w:r w:rsidRPr="007F39E2">
        <w:rPr>
          <w:color w:val="000000"/>
        </w:rPr>
        <w:t xml:space="preserve"> the MEB </w:t>
      </w:r>
      <w:r w:rsidR="00857363">
        <w:rPr>
          <w:color w:val="000000"/>
        </w:rPr>
        <w:t>and forwarded</w:t>
      </w:r>
      <w:r w:rsidRPr="007F39E2">
        <w:rPr>
          <w:color w:val="000000"/>
        </w:rPr>
        <w:t xml:space="preserve"> as medically acceptable</w:t>
      </w:r>
      <w:r w:rsidRPr="001F29F9">
        <w:rPr>
          <w:color w:val="000000"/>
        </w:rPr>
        <w:t xml:space="preserve">. </w:t>
      </w:r>
      <w:r w:rsidRPr="007F39E2">
        <w:rPr>
          <w:color w:val="000000"/>
        </w:rPr>
        <w:t xml:space="preserve">The </w:t>
      </w:r>
      <w:r w:rsidR="00C82DB4">
        <w:rPr>
          <w:color w:val="000000"/>
        </w:rPr>
        <w:t xml:space="preserve">PEB </w:t>
      </w:r>
      <w:r w:rsidRPr="001F29F9">
        <w:rPr>
          <w:color w:val="000000"/>
        </w:rPr>
        <w:t xml:space="preserve">adjudicated the </w:t>
      </w:r>
      <w:proofErr w:type="spellStart"/>
      <w:r w:rsidRPr="001F29F9">
        <w:rPr>
          <w:color w:val="000000"/>
        </w:rPr>
        <w:t>hypercoaguable</w:t>
      </w:r>
      <w:proofErr w:type="spellEnd"/>
      <w:r w:rsidRPr="001F29F9">
        <w:rPr>
          <w:color w:val="000000"/>
        </w:rPr>
        <w:t xml:space="preserve"> condition as unfitting, </w:t>
      </w:r>
      <w:r w:rsidR="00651FCC">
        <w:rPr>
          <w:color w:val="000000"/>
        </w:rPr>
        <w:t xml:space="preserve">but </w:t>
      </w:r>
      <w:proofErr w:type="spellStart"/>
      <w:r w:rsidR="00651FCC">
        <w:rPr>
          <w:color w:val="000000"/>
        </w:rPr>
        <w:t>unratable</w:t>
      </w:r>
      <w:proofErr w:type="spellEnd"/>
      <w:r w:rsidR="00651FCC">
        <w:rPr>
          <w:color w:val="000000"/>
        </w:rPr>
        <w:t xml:space="preserve"> because it existed prior to service (EPTS)</w:t>
      </w:r>
      <w:r w:rsidR="00857363">
        <w:rPr>
          <w:color w:val="000000"/>
        </w:rPr>
        <w:t xml:space="preserve"> without </w:t>
      </w:r>
      <w:r w:rsidR="00C82DB4">
        <w:rPr>
          <w:color w:val="000000"/>
        </w:rPr>
        <w:t>service-</w:t>
      </w:r>
      <w:r w:rsidR="00857363">
        <w:rPr>
          <w:color w:val="000000"/>
        </w:rPr>
        <w:t>aggravation</w:t>
      </w:r>
      <w:r w:rsidR="00651FCC">
        <w:rPr>
          <w:color w:val="000000"/>
        </w:rPr>
        <w:t>.</w:t>
      </w:r>
      <w:r w:rsidRPr="007F39E2">
        <w:rPr>
          <w:color w:val="000000"/>
        </w:rPr>
        <w:t xml:space="preserve"> </w:t>
      </w:r>
      <w:r w:rsidR="00651FCC">
        <w:rPr>
          <w:color w:val="000000"/>
        </w:rPr>
        <w:t xml:space="preserve"> </w:t>
      </w:r>
      <w:r w:rsidRPr="007F39E2">
        <w:rPr>
          <w:color w:val="000000"/>
        </w:rPr>
        <w:t>The CI appealed to the F</w:t>
      </w:r>
      <w:r w:rsidR="00651FCC">
        <w:rPr>
          <w:color w:val="000000"/>
        </w:rPr>
        <w:t xml:space="preserve">ormal </w:t>
      </w:r>
      <w:r w:rsidRPr="007F39E2">
        <w:rPr>
          <w:color w:val="000000"/>
        </w:rPr>
        <w:t>PEB</w:t>
      </w:r>
      <w:r w:rsidR="00651FCC">
        <w:rPr>
          <w:color w:val="000000"/>
        </w:rPr>
        <w:t xml:space="preserve"> (FPEB)</w:t>
      </w:r>
      <w:r w:rsidRPr="007F39E2">
        <w:rPr>
          <w:color w:val="000000"/>
        </w:rPr>
        <w:t xml:space="preserve">, </w:t>
      </w:r>
      <w:r w:rsidR="00857363">
        <w:rPr>
          <w:color w:val="000000"/>
        </w:rPr>
        <w:t xml:space="preserve">which conceded </w:t>
      </w:r>
      <w:r w:rsidR="00651FCC">
        <w:rPr>
          <w:color w:val="000000"/>
        </w:rPr>
        <w:t xml:space="preserve">the condition </w:t>
      </w:r>
      <w:r w:rsidR="00857363">
        <w:rPr>
          <w:color w:val="000000"/>
        </w:rPr>
        <w:t xml:space="preserve">as </w:t>
      </w:r>
      <w:r w:rsidR="00C82DB4">
        <w:rPr>
          <w:color w:val="000000"/>
        </w:rPr>
        <w:t>service-</w:t>
      </w:r>
      <w:r w:rsidR="00857363">
        <w:rPr>
          <w:color w:val="000000"/>
        </w:rPr>
        <w:t>aggravated; rated 10% citing criteria of</w:t>
      </w:r>
      <w:r w:rsidR="0043053A">
        <w:rPr>
          <w:color w:val="000000"/>
        </w:rPr>
        <w:t xml:space="preserve"> </w:t>
      </w:r>
      <w:r w:rsidR="00651FCC" w:rsidRPr="007F39E2">
        <w:rPr>
          <w:color w:val="000000"/>
        </w:rPr>
        <w:t>the Veterans Administration Schedule for Rating Disabilities (VASRD).</w:t>
      </w:r>
      <w:r w:rsidR="00857363">
        <w:rPr>
          <w:color w:val="000000"/>
        </w:rPr>
        <w:t xml:space="preserve">  The CI made no further appeals and was medically separated with that </w:t>
      </w:r>
      <w:r w:rsidR="00C82DB4">
        <w:rPr>
          <w:color w:val="000000"/>
        </w:rPr>
        <w:t>s</w:t>
      </w:r>
      <w:r w:rsidR="00857363">
        <w:rPr>
          <w:color w:val="000000"/>
        </w:rPr>
        <w:t>ervice disability rating.</w:t>
      </w:r>
    </w:p>
    <w:p w:rsidR="002F2105" w:rsidRPr="001F29F9" w:rsidRDefault="002F2105" w:rsidP="00BF0E94">
      <w:pPr>
        <w:pBdr>
          <w:bottom w:val="single" w:sz="12" w:space="1" w:color="auto"/>
        </w:pBd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r w:rsidRPr="001F29F9">
        <w:rPr>
          <w:color w:val="000000"/>
          <w:u w:val="single"/>
        </w:rPr>
        <w:t>CI CONTENTION</w:t>
      </w:r>
      <w:r w:rsidRPr="001F29F9">
        <w:rPr>
          <w:color w:val="000000"/>
        </w:rPr>
        <w:t xml:space="preserve">: </w:t>
      </w:r>
      <w:r>
        <w:rPr>
          <w:color w:val="auto"/>
        </w:rPr>
        <w:t>“Lower back pain with blood clots that</w:t>
      </w:r>
      <w:r w:rsidR="002A3FDA">
        <w:rPr>
          <w:color w:val="auto"/>
        </w:rPr>
        <w:t xml:space="preserve"> resulted into permanent damage.  A</w:t>
      </w:r>
      <w:r>
        <w:rPr>
          <w:color w:val="auto"/>
        </w:rPr>
        <w:t>warded 20% and 10% is paying off disability severance pay.”</w:t>
      </w:r>
      <w:r w:rsidRPr="001F29F9">
        <w:rPr>
          <w:color w:val="000000"/>
        </w:rPr>
        <w:t xml:space="preserve"> He elaborates no specific contentions regarding rating or coding and mentions no additionally contended conditions.</w:t>
      </w:r>
    </w:p>
    <w:p w:rsidR="002F2105" w:rsidRPr="001F29F9" w:rsidRDefault="002F2105" w:rsidP="00BF0E94">
      <w:pPr>
        <w:pBdr>
          <w:bottom w:val="single" w:sz="12" w:space="1" w:color="auto"/>
        </w:pBd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jc w:val="left"/>
        <w:rPr>
          <w:color w:val="000000"/>
        </w:rPr>
      </w:pPr>
      <w:r w:rsidRPr="001F29F9">
        <w:rPr>
          <w:color w:val="000000"/>
          <w:u w:val="single"/>
        </w:rPr>
        <w:t>RATING COMPARISON</w:t>
      </w:r>
      <w:r w:rsidRPr="001F29F9">
        <w:rPr>
          <w:color w:val="000000"/>
        </w:rPr>
        <w:t>:</w:t>
      </w:r>
    </w:p>
    <w:p w:rsidR="002F2105" w:rsidRPr="001F29F9" w:rsidRDefault="002F2105" w:rsidP="00FE7C22">
      <w:pPr>
        <w:jc w:val="both"/>
        <w:rPr>
          <w:color w:val="000000"/>
        </w:rPr>
      </w:pPr>
    </w:p>
    <w:tbl>
      <w:tblPr>
        <w:tblStyle w:val="TableGrid"/>
        <w:tblpPr w:leftFromText="187" w:rightFromText="187" w:vertAnchor="text" w:tblpXSpec="center" w:tblpY="1"/>
        <w:tblOverlap w:val="never"/>
        <w:tblW w:w="9324" w:type="dxa"/>
        <w:tblLayout w:type="fixed"/>
        <w:tblLook w:val="00A0"/>
      </w:tblPr>
      <w:tblGrid>
        <w:gridCol w:w="2104"/>
        <w:gridCol w:w="1080"/>
        <w:gridCol w:w="720"/>
        <w:gridCol w:w="2684"/>
        <w:gridCol w:w="1005"/>
        <w:gridCol w:w="705"/>
        <w:gridCol w:w="1026"/>
      </w:tblGrid>
      <w:tr w:rsidR="002F2105" w:rsidRPr="003945CA" w:rsidTr="002A3FDA">
        <w:trPr>
          <w:trHeight w:val="83"/>
        </w:trPr>
        <w:tc>
          <w:tcPr>
            <w:tcW w:w="3904" w:type="dxa"/>
            <w:gridSpan w:val="3"/>
            <w:tcBorders>
              <w:right w:val="thinThickThinSmallGap" w:sz="24" w:space="0" w:color="auto"/>
            </w:tcBorders>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Service FPEB – Dated 20070502</w:t>
            </w:r>
          </w:p>
        </w:tc>
        <w:tc>
          <w:tcPr>
            <w:tcW w:w="5420" w:type="dxa"/>
            <w:gridSpan w:val="4"/>
            <w:tcBorders>
              <w:left w:val="thinThickThinSmallGap" w:sz="24" w:space="0" w:color="auto"/>
            </w:tcBorders>
            <w:shd w:val="clear" w:color="auto" w:fill="D9D9D9"/>
            <w:vAlign w:val="center"/>
          </w:tcPr>
          <w:p w:rsidR="002F2105" w:rsidRPr="003945CA" w:rsidRDefault="005804A7" w:rsidP="002A3FDA">
            <w:pPr>
              <w:contextualSpacing/>
              <w:rPr>
                <w:rFonts w:cs="Calibri"/>
                <w:b/>
                <w:color w:val="000000"/>
                <w:sz w:val="18"/>
              </w:rPr>
            </w:pPr>
            <w:r>
              <w:rPr>
                <w:b/>
                <w:color w:val="000000"/>
                <w:sz w:val="18"/>
              </w:rPr>
              <w:t>VA (9</w:t>
            </w:r>
            <w:r w:rsidR="002F2105" w:rsidRPr="003945CA">
              <w:rPr>
                <w:b/>
                <w:color w:val="000000"/>
                <w:sz w:val="18"/>
              </w:rPr>
              <w:t xml:space="preserve"> Mo. Post-Separation) – All Effective 20070623</w:t>
            </w:r>
          </w:p>
        </w:tc>
      </w:tr>
      <w:tr w:rsidR="002F2105" w:rsidRPr="003945CA" w:rsidTr="002A3FDA">
        <w:trPr>
          <w:trHeight w:val="97"/>
        </w:trPr>
        <w:tc>
          <w:tcPr>
            <w:tcW w:w="2104" w:type="dxa"/>
            <w:tcBorders>
              <w:right w:val="single" w:sz="4" w:space="0" w:color="auto"/>
            </w:tcBorders>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Condition</w:t>
            </w:r>
          </w:p>
        </w:tc>
        <w:tc>
          <w:tcPr>
            <w:tcW w:w="1080" w:type="dxa"/>
            <w:tcBorders>
              <w:left w:val="single" w:sz="4" w:space="0" w:color="auto"/>
            </w:tcBorders>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Code</w:t>
            </w:r>
          </w:p>
        </w:tc>
        <w:tc>
          <w:tcPr>
            <w:tcW w:w="720" w:type="dxa"/>
            <w:tcBorders>
              <w:right w:val="thinThickThinSmallGap" w:sz="24" w:space="0" w:color="auto"/>
            </w:tcBorders>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Rating</w:t>
            </w:r>
          </w:p>
        </w:tc>
        <w:tc>
          <w:tcPr>
            <w:tcW w:w="2684" w:type="dxa"/>
            <w:tcBorders>
              <w:left w:val="thinThickThinSmallGap" w:sz="24" w:space="0" w:color="auto"/>
            </w:tcBorders>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Condition</w:t>
            </w:r>
          </w:p>
        </w:tc>
        <w:tc>
          <w:tcPr>
            <w:tcW w:w="1005" w:type="dxa"/>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Code</w:t>
            </w:r>
          </w:p>
        </w:tc>
        <w:tc>
          <w:tcPr>
            <w:tcW w:w="705" w:type="dxa"/>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Rating</w:t>
            </w:r>
          </w:p>
        </w:tc>
        <w:tc>
          <w:tcPr>
            <w:tcW w:w="1026" w:type="dxa"/>
            <w:shd w:val="clear" w:color="auto" w:fill="D9D9D9"/>
            <w:vAlign w:val="center"/>
          </w:tcPr>
          <w:p w:rsidR="002F2105" w:rsidRPr="003945CA" w:rsidRDefault="002F2105" w:rsidP="002A3FDA">
            <w:pPr>
              <w:contextualSpacing/>
              <w:rPr>
                <w:rFonts w:cs="Calibri"/>
                <w:b/>
                <w:color w:val="000000"/>
                <w:sz w:val="18"/>
              </w:rPr>
            </w:pPr>
            <w:r w:rsidRPr="003945CA">
              <w:rPr>
                <w:b/>
                <w:color w:val="000000"/>
                <w:sz w:val="18"/>
              </w:rPr>
              <w:t>Exam</w:t>
            </w:r>
          </w:p>
        </w:tc>
      </w:tr>
      <w:tr w:rsidR="002F2105" w:rsidRPr="003945CA" w:rsidTr="002A3FDA">
        <w:trPr>
          <w:trHeight w:val="115"/>
        </w:trPr>
        <w:tc>
          <w:tcPr>
            <w:tcW w:w="2104" w:type="dxa"/>
            <w:tcBorders>
              <w:right w:val="single" w:sz="4" w:space="0" w:color="auto"/>
            </w:tcBorders>
            <w:shd w:val="clear" w:color="auto" w:fill="FFFFFF"/>
            <w:vAlign w:val="center"/>
          </w:tcPr>
          <w:p w:rsidR="002F2105" w:rsidRPr="001F29F9" w:rsidRDefault="002F2105" w:rsidP="002A3FDA">
            <w:pPr>
              <w:spacing w:line="220" w:lineRule="exact"/>
              <w:contextualSpacing/>
              <w:jc w:val="left"/>
              <w:rPr>
                <w:rFonts w:cs="Calibri"/>
                <w:color w:val="000000"/>
                <w:sz w:val="18"/>
              </w:rPr>
            </w:pPr>
            <w:proofErr w:type="spellStart"/>
            <w:r w:rsidRPr="003945CA">
              <w:rPr>
                <w:color w:val="000000"/>
                <w:sz w:val="18"/>
              </w:rPr>
              <w:t>Hypercoaguable</w:t>
            </w:r>
            <w:proofErr w:type="spellEnd"/>
            <w:r w:rsidRPr="003945CA">
              <w:rPr>
                <w:color w:val="000000"/>
                <w:sz w:val="18"/>
              </w:rPr>
              <w:t xml:space="preserve"> State</w:t>
            </w:r>
            <w:r w:rsidR="00D02B41">
              <w:rPr>
                <w:color w:val="000000"/>
                <w:sz w:val="18"/>
              </w:rPr>
              <w:t>…</w:t>
            </w:r>
          </w:p>
        </w:tc>
        <w:tc>
          <w:tcPr>
            <w:tcW w:w="1080" w:type="dxa"/>
            <w:tcBorders>
              <w:left w:val="single" w:sz="4" w:space="0" w:color="auto"/>
            </w:tcBorders>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7199-7120</w:t>
            </w:r>
          </w:p>
        </w:tc>
        <w:tc>
          <w:tcPr>
            <w:tcW w:w="720" w:type="dxa"/>
            <w:tcBorders>
              <w:right w:val="thinThickThinSmallGap" w:sz="24" w:space="0" w:color="auto"/>
            </w:tcBorders>
            <w:shd w:val="clear" w:color="auto" w:fill="FFFFFF"/>
            <w:vAlign w:val="center"/>
          </w:tcPr>
          <w:p w:rsidR="002F2105" w:rsidRPr="001F29F9" w:rsidRDefault="002F2105" w:rsidP="002A3FDA">
            <w:pPr>
              <w:spacing w:line="220" w:lineRule="exact"/>
              <w:rPr>
                <w:rFonts w:cs="Calibri"/>
                <w:color w:val="000000"/>
                <w:sz w:val="18"/>
              </w:rPr>
            </w:pPr>
            <w:r w:rsidRPr="003945CA">
              <w:rPr>
                <w:color w:val="000000"/>
                <w:sz w:val="18"/>
              </w:rPr>
              <w:t>10%</w:t>
            </w:r>
          </w:p>
        </w:tc>
        <w:tc>
          <w:tcPr>
            <w:tcW w:w="2684" w:type="dxa"/>
            <w:tcBorders>
              <w:left w:val="thinThickThinSmallGap" w:sz="24" w:space="0" w:color="auto"/>
            </w:tcBorders>
            <w:shd w:val="clear" w:color="auto" w:fill="FFFFFF"/>
            <w:vAlign w:val="center"/>
          </w:tcPr>
          <w:p w:rsidR="002F2105" w:rsidRPr="001F29F9" w:rsidRDefault="00651FCC" w:rsidP="002A3FDA">
            <w:pPr>
              <w:spacing w:line="220" w:lineRule="exact"/>
              <w:contextualSpacing/>
              <w:jc w:val="left"/>
              <w:rPr>
                <w:rFonts w:cs="Calibri"/>
                <w:color w:val="000000"/>
                <w:sz w:val="18"/>
              </w:rPr>
            </w:pPr>
            <w:r>
              <w:rPr>
                <w:color w:val="000000"/>
                <w:sz w:val="18"/>
              </w:rPr>
              <w:t>Residuals</w:t>
            </w:r>
            <w:r w:rsidR="002F2105">
              <w:rPr>
                <w:color w:val="000000"/>
                <w:sz w:val="18"/>
              </w:rPr>
              <w:t xml:space="preserve"> Deep Vein Thrombosis</w:t>
            </w:r>
          </w:p>
        </w:tc>
        <w:tc>
          <w:tcPr>
            <w:tcW w:w="1005" w:type="dxa"/>
            <w:shd w:val="clear" w:color="auto" w:fill="FFFFFF"/>
            <w:vAlign w:val="center"/>
          </w:tcPr>
          <w:p w:rsidR="002F2105" w:rsidRPr="001F29F9" w:rsidRDefault="002F2105" w:rsidP="002A3FDA">
            <w:pPr>
              <w:spacing w:line="220" w:lineRule="exact"/>
              <w:contextualSpacing/>
              <w:rPr>
                <w:rFonts w:cs="Calibri"/>
                <w:color w:val="000000"/>
                <w:sz w:val="18"/>
              </w:rPr>
            </w:pPr>
            <w:r>
              <w:rPr>
                <w:color w:val="000000"/>
                <w:sz w:val="18"/>
              </w:rPr>
              <w:t>7199-7121</w:t>
            </w:r>
          </w:p>
        </w:tc>
        <w:tc>
          <w:tcPr>
            <w:tcW w:w="705" w:type="dxa"/>
            <w:shd w:val="clear" w:color="auto" w:fill="FFFFFF"/>
            <w:vAlign w:val="center"/>
          </w:tcPr>
          <w:p w:rsidR="002F2105" w:rsidRPr="001F29F9" w:rsidRDefault="002F2105" w:rsidP="002A3FDA">
            <w:pPr>
              <w:spacing w:line="220" w:lineRule="exact"/>
              <w:contextualSpacing/>
              <w:rPr>
                <w:rFonts w:cs="Calibri"/>
                <w:color w:val="000000"/>
                <w:sz w:val="18"/>
              </w:rPr>
            </w:pPr>
            <w:r>
              <w:rPr>
                <w:color w:val="000000"/>
                <w:sz w:val="18"/>
              </w:rPr>
              <w:t>10%</w:t>
            </w:r>
          </w:p>
        </w:tc>
        <w:tc>
          <w:tcPr>
            <w:tcW w:w="1026" w:type="dxa"/>
            <w:shd w:val="clear" w:color="auto" w:fill="FFFFFF"/>
            <w:vAlign w:val="center"/>
          </w:tcPr>
          <w:p w:rsidR="002F2105" w:rsidRPr="001F29F9" w:rsidRDefault="002F2105" w:rsidP="002A3FDA">
            <w:pPr>
              <w:spacing w:line="220" w:lineRule="exact"/>
              <w:contextualSpacing/>
              <w:rPr>
                <w:rFonts w:cs="Calibri"/>
                <w:color w:val="000000"/>
                <w:sz w:val="18"/>
              </w:rPr>
            </w:pPr>
            <w:r>
              <w:rPr>
                <w:color w:val="000000"/>
                <w:sz w:val="18"/>
              </w:rPr>
              <w:t>20080316</w:t>
            </w:r>
          </w:p>
        </w:tc>
      </w:tr>
      <w:tr w:rsidR="002F2105" w:rsidRPr="003945CA" w:rsidTr="002A3FDA">
        <w:trPr>
          <w:trHeight w:val="200"/>
        </w:trPr>
        <w:tc>
          <w:tcPr>
            <w:tcW w:w="2104" w:type="dxa"/>
            <w:tcBorders>
              <w:right w:val="single" w:sz="4" w:space="0" w:color="auto"/>
            </w:tcBorders>
            <w:shd w:val="clear" w:color="auto" w:fill="FFFFFF"/>
            <w:vAlign w:val="center"/>
          </w:tcPr>
          <w:p w:rsidR="002F2105" w:rsidRPr="003945CA" w:rsidRDefault="002F2105" w:rsidP="002A3FDA">
            <w:pPr>
              <w:spacing w:line="220" w:lineRule="exact"/>
              <w:contextualSpacing/>
              <w:jc w:val="left"/>
              <w:rPr>
                <w:rFonts w:cs="Calibri"/>
                <w:color w:val="000000"/>
                <w:sz w:val="18"/>
              </w:rPr>
            </w:pPr>
            <w:r>
              <w:rPr>
                <w:color w:val="000000"/>
                <w:sz w:val="18"/>
              </w:rPr>
              <w:t>Lumbago (low back pain)</w:t>
            </w:r>
          </w:p>
        </w:tc>
        <w:tc>
          <w:tcPr>
            <w:tcW w:w="1800" w:type="dxa"/>
            <w:gridSpan w:val="2"/>
            <w:tcBorders>
              <w:left w:val="single" w:sz="4" w:space="0" w:color="auto"/>
              <w:right w:val="thinThickThinSmallGap" w:sz="24" w:space="0" w:color="auto"/>
            </w:tcBorders>
            <w:shd w:val="clear" w:color="auto" w:fill="FFFFFF"/>
            <w:vAlign w:val="center"/>
          </w:tcPr>
          <w:p w:rsidR="002F2105" w:rsidRPr="003945CA" w:rsidRDefault="002F2105" w:rsidP="002A3FDA">
            <w:pPr>
              <w:spacing w:line="220" w:lineRule="exact"/>
              <w:rPr>
                <w:rFonts w:cs="Calibri"/>
                <w:color w:val="000000"/>
                <w:sz w:val="18"/>
              </w:rPr>
            </w:pPr>
            <w:r>
              <w:rPr>
                <w:color w:val="000000"/>
                <w:sz w:val="18"/>
              </w:rPr>
              <w:t>Not Unfitting</w:t>
            </w:r>
          </w:p>
        </w:tc>
        <w:tc>
          <w:tcPr>
            <w:tcW w:w="2684" w:type="dxa"/>
            <w:tcBorders>
              <w:left w:val="thinThickThinSmallGap" w:sz="24" w:space="0" w:color="auto"/>
            </w:tcBorders>
            <w:shd w:val="clear" w:color="auto" w:fill="FFFFFF"/>
            <w:vAlign w:val="center"/>
          </w:tcPr>
          <w:p w:rsidR="002F2105" w:rsidRPr="001F29F9" w:rsidRDefault="002F2105" w:rsidP="002A3FDA">
            <w:pPr>
              <w:spacing w:line="220" w:lineRule="exact"/>
              <w:jc w:val="left"/>
              <w:rPr>
                <w:rFonts w:cs="Calibri"/>
                <w:color w:val="000000"/>
                <w:sz w:val="18"/>
              </w:rPr>
            </w:pPr>
            <w:r w:rsidRPr="003945CA">
              <w:rPr>
                <w:color w:val="000000"/>
                <w:sz w:val="18"/>
              </w:rPr>
              <w:t>Low Back Strain</w:t>
            </w:r>
          </w:p>
        </w:tc>
        <w:tc>
          <w:tcPr>
            <w:tcW w:w="1005" w:type="dxa"/>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5237</w:t>
            </w:r>
          </w:p>
        </w:tc>
        <w:tc>
          <w:tcPr>
            <w:tcW w:w="705" w:type="dxa"/>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10%</w:t>
            </w:r>
          </w:p>
        </w:tc>
        <w:tc>
          <w:tcPr>
            <w:tcW w:w="1026" w:type="dxa"/>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20080316</w:t>
            </w:r>
          </w:p>
        </w:tc>
      </w:tr>
      <w:tr w:rsidR="002A3FDA" w:rsidRPr="003945CA" w:rsidTr="002A3FDA">
        <w:trPr>
          <w:trHeight w:val="173"/>
        </w:trPr>
        <w:tc>
          <w:tcPr>
            <w:tcW w:w="2104" w:type="dxa"/>
            <w:tcBorders>
              <w:right w:val="single" w:sz="4" w:space="0" w:color="auto"/>
            </w:tcBorders>
            <w:shd w:val="clear" w:color="auto" w:fill="FFFFFF"/>
            <w:vAlign w:val="center"/>
          </w:tcPr>
          <w:p w:rsidR="002A3FDA" w:rsidRPr="001F29F9" w:rsidRDefault="002A3FDA" w:rsidP="002A3FDA">
            <w:pPr>
              <w:spacing w:line="220" w:lineRule="exact"/>
              <w:contextualSpacing/>
              <w:jc w:val="left"/>
              <w:rPr>
                <w:rFonts w:cs="Calibri"/>
                <w:color w:val="000000"/>
                <w:sz w:val="18"/>
              </w:rPr>
            </w:pPr>
            <w:r>
              <w:rPr>
                <w:color w:val="000000"/>
                <w:sz w:val="18"/>
              </w:rPr>
              <w:t>Myopia</w:t>
            </w:r>
          </w:p>
        </w:tc>
        <w:tc>
          <w:tcPr>
            <w:tcW w:w="1800" w:type="dxa"/>
            <w:gridSpan w:val="2"/>
            <w:tcBorders>
              <w:left w:val="single" w:sz="4" w:space="0" w:color="auto"/>
              <w:right w:val="thinThickThinSmallGap" w:sz="24" w:space="0" w:color="auto"/>
            </w:tcBorders>
            <w:shd w:val="clear" w:color="auto" w:fill="FFFFFF"/>
            <w:vAlign w:val="center"/>
          </w:tcPr>
          <w:p w:rsidR="002A3FDA" w:rsidRPr="001F29F9" w:rsidRDefault="002A3FDA" w:rsidP="002A3FDA">
            <w:pPr>
              <w:spacing w:line="220" w:lineRule="exact"/>
              <w:rPr>
                <w:rFonts w:cs="Calibri"/>
                <w:color w:val="000000"/>
                <w:sz w:val="18"/>
              </w:rPr>
            </w:pPr>
            <w:r w:rsidRPr="00FB0C93">
              <w:rPr>
                <w:color w:val="000000"/>
                <w:sz w:val="18"/>
              </w:rPr>
              <w:t>Not Unfitting</w:t>
            </w:r>
          </w:p>
        </w:tc>
        <w:tc>
          <w:tcPr>
            <w:tcW w:w="4394" w:type="dxa"/>
            <w:gridSpan w:val="3"/>
            <w:tcBorders>
              <w:left w:val="thinThickThinSmallGap" w:sz="24" w:space="0" w:color="auto"/>
              <w:right w:val="single" w:sz="4" w:space="0" w:color="auto"/>
            </w:tcBorders>
            <w:shd w:val="clear" w:color="auto" w:fill="FFFFFF"/>
            <w:vAlign w:val="center"/>
          </w:tcPr>
          <w:p w:rsidR="002A3FDA" w:rsidRPr="001F29F9" w:rsidRDefault="002A3FDA" w:rsidP="002A3FDA">
            <w:pPr>
              <w:spacing w:line="220" w:lineRule="exact"/>
              <w:contextualSpacing/>
              <w:rPr>
                <w:rFonts w:cs="Calibri"/>
                <w:color w:val="000000"/>
                <w:sz w:val="18"/>
              </w:rPr>
            </w:pPr>
            <w:r>
              <w:rPr>
                <w:color w:val="000000"/>
                <w:sz w:val="18"/>
              </w:rPr>
              <w:t>Not VA Rated</w:t>
            </w:r>
          </w:p>
        </w:tc>
        <w:tc>
          <w:tcPr>
            <w:tcW w:w="1026" w:type="dxa"/>
            <w:tcBorders>
              <w:left w:val="single" w:sz="4" w:space="0" w:color="auto"/>
            </w:tcBorders>
            <w:shd w:val="clear" w:color="auto" w:fill="FFFFFF"/>
            <w:vAlign w:val="center"/>
          </w:tcPr>
          <w:p w:rsidR="002A3FDA" w:rsidRPr="001F29F9" w:rsidRDefault="002A3FDA" w:rsidP="002A3FDA">
            <w:pPr>
              <w:spacing w:line="220" w:lineRule="exact"/>
              <w:contextualSpacing/>
              <w:rPr>
                <w:color w:val="000000"/>
                <w:sz w:val="18"/>
              </w:rPr>
            </w:pPr>
            <w:r w:rsidRPr="003945CA">
              <w:rPr>
                <w:color w:val="000000"/>
                <w:sz w:val="18"/>
              </w:rPr>
              <w:t>20080316</w:t>
            </w:r>
          </w:p>
        </w:tc>
      </w:tr>
      <w:tr w:rsidR="002A3FDA" w:rsidRPr="003945CA" w:rsidTr="002A3FDA">
        <w:trPr>
          <w:trHeight w:val="155"/>
        </w:trPr>
        <w:tc>
          <w:tcPr>
            <w:tcW w:w="2104" w:type="dxa"/>
            <w:tcBorders>
              <w:right w:val="single" w:sz="4" w:space="0" w:color="auto"/>
            </w:tcBorders>
            <w:shd w:val="clear" w:color="auto" w:fill="FFFFFF"/>
            <w:vAlign w:val="center"/>
          </w:tcPr>
          <w:p w:rsidR="002A3FDA" w:rsidRPr="00651FCC" w:rsidRDefault="002A3FDA" w:rsidP="002A3FDA">
            <w:pPr>
              <w:spacing w:line="220" w:lineRule="exact"/>
              <w:contextualSpacing/>
              <w:jc w:val="left"/>
              <w:rPr>
                <w:color w:val="000000"/>
                <w:sz w:val="18"/>
              </w:rPr>
            </w:pPr>
            <w:r>
              <w:rPr>
                <w:color w:val="000000"/>
                <w:sz w:val="18"/>
              </w:rPr>
              <w:t>Regular Astigmatism</w:t>
            </w:r>
          </w:p>
        </w:tc>
        <w:tc>
          <w:tcPr>
            <w:tcW w:w="1800" w:type="dxa"/>
            <w:gridSpan w:val="2"/>
            <w:tcBorders>
              <w:left w:val="single" w:sz="4" w:space="0" w:color="auto"/>
              <w:right w:val="thinThickThinSmallGap" w:sz="24" w:space="0" w:color="auto"/>
            </w:tcBorders>
            <w:shd w:val="clear" w:color="auto" w:fill="FFFFFF"/>
            <w:vAlign w:val="center"/>
          </w:tcPr>
          <w:p w:rsidR="002A3FDA" w:rsidRPr="00651FCC" w:rsidRDefault="002A3FDA" w:rsidP="002A3FDA">
            <w:pPr>
              <w:spacing w:line="220" w:lineRule="exact"/>
              <w:rPr>
                <w:color w:val="000000"/>
                <w:sz w:val="18"/>
              </w:rPr>
            </w:pPr>
            <w:r w:rsidRPr="00FB0C93">
              <w:rPr>
                <w:color w:val="000000"/>
                <w:sz w:val="18"/>
              </w:rPr>
              <w:t>Not Unfitting</w:t>
            </w:r>
          </w:p>
        </w:tc>
        <w:tc>
          <w:tcPr>
            <w:tcW w:w="4394" w:type="dxa"/>
            <w:gridSpan w:val="3"/>
            <w:tcBorders>
              <w:left w:val="thinThickThinSmallGap" w:sz="24" w:space="0" w:color="auto"/>
              <w:right w:val="single" w:sz="4" w:space="0" w:color="auto"/>
            </w:tcBorders>
            <w:shd w:val="clear" w:color="auto" w:fill="FFFFFF"/>
            <w:vAlign w:val="center"/>
          </w:tcPr>
          <w:p w:rsidR="002A3FDA" w:rsidRPr="00651FCC" w:rsidRDefault="002A3FDA" w:rsidP="002A3FDA">
            <w:pPr>
              <w:spacing w:line="220" w:lineRule="exact"/>
              <w:contextualSpacing/>
              <w:rPr>
                <w:color w:val="000000"/>
                <w:sz w:val="18"/>
              </w:rPr>
            </w:pPr>
            <w:r w:rsidRPr="008C786F">
              <w:rPr>
                <w:color w:val="000000"/>
                <w:sz w:val="18"/>
              </w:rPr>
              <w:t>Not VA Rated</w:t>
            </w:r>
          </w:p>
        </w:tc>
        <w:tc>
          <w:tcPr>
            <w:tcW w:w="1026" w:type="dxa"/>
            <w:tcBorders>
              <w:left w:val="single" w:sz="4" w:space="0" w:color="auto"/>
            </w:tcBorders>
            <w:shd w:val="clear" w:color="auto" w:fill="FFFFFF"/>
            <w:vAlign w:val="center"/>
          </w:tcPr>
          <w:p w:rsidR="002A3FDA" w:rsidRPr="00651FCC" w:rsidRDefault="002A3FDA" w:rsidP="002A3FDA">
            <w:pPr>
              <w:spacing w:line="220" w:lineRule="exact"/>
              <w:contextualSpacing/>
              <w:rPr>
                <w:color w:val="000000"/>
                <w:sz w:val="18"/>
              </w:rPr>
            </w:pPr>
            <w:r w:rsidRPr="003945CA">
              <w:rPr>
                <w:color w:val="000000"/>
                <w:sz w:val="18"/>
              </w:rPr>
              <w:t>20080316</w:t>
            </w:r>
          </w:p>
        </w:tc>
      </w:tr>
      <w:tr w:rsidR="002F2105" w:rsidRPr="003945CA" w:rsidTr="002A3FDA">
        <w:trPr>
          <w:trHeight w:val="236"/>
        </w:trPr>
        <w:tc>
          <w:tcPr>
            <w:tcW w:w="3904" w:type="dxa"/>
            <w:gridSpan w:val="3"/>
            <w:tcBorders>
              <w:right w:val="thinThickThinSmallGap" w:sz="24" w:space="0" w:color="auto"/>
            </w:tcBorders>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No Additional MEB/PEB Entries</w:t>
            </w:r>
          </w:p>
        </w:tc>
        <w:tc>
          <w:tcPr>
            <w:tcW w:w="4394" w:type="dxa"/>
            <w:gridSpan w:val="3"/>
            <w:tcBorders>
              <w:left w:val="thinThickThinSmallGap" w:sz="24" w:space="0" w:color="auto"/>
              <w:right w:val="single" w:sz="4" w:space="0" w:color="auto"/>
            </w:tcBorders>
            <w:shd w:val="clear" w:color="auto" w:fill="FFFFFF"/>
            <w:vAlign w:val="center"/>
          </w:tcPr>
          <w:p w:rsidR="002F2105" w:rsidRPr="001F29F9" w:rsidRDefault="00651FCC" w:rsidP="002A3FDA">
            <w:pPr>
              <w:spacing w:line="220" w:lineRule="exact"/>
              <w:contextualSpacing/>
              <w:rPr>
                <w:rFonts w:cs="Calibri"/>
                <w:color w:val="000000"/>
                <w:sz w:val="18"/>
              </w:rPr>
            </w:pPr>
            <w:r w:rsidRPr="003945CA">
              <w:rPr>
                <w:color w:val="000000"/>
                <w:sz w:val="18"/>
              </w:rPr>
              <w:t xml:space="preserve">No Additional </w:t>
            </w:r>
            <w:r>
              <w:rPr>
                <w:color w:val="000000"/>
                <w:sz w:val="18"/>
              </w:rPr>
              <w:t>VA</w:t>
            </w:r>
            <w:r w:rsidRPr="003945CA">
              <w:rPr>
                <w:color w:val="000000"/>
                <w:sz w:val="18"/>
              </w:rPr>
              <w:t xml:space="preserve"> Entries</w:t>
            </w:r>
          </w:p>
        </w:tc>
        <w:tc>
          <w:tcPr>
            <w:tcW w:w="1026" w:type="dxa"/>
            <w:tcBorders>
              <w:left w:val="single" w:sz="4" w:space="0" w:color="auto"/>
            </w:tcBorders>
            <w:shd w:val="clear" w:color="auto" w:fill="FFFFFF"/>
            <w:vAlign w:val="center"/>
          </w:tcPr>
          <w:p w:rsidR="002F2105" w:rsidRPr="001F29F9" w:rsidRDefault="002F2105" w:rsidP="002A3FDA">
            <w:pPr>
              <w:spacing w:line="220" w:lineRule="exact"/>
              <w:contextualSpacing/>
              <w:rPr>
                <w:rFonts w:cs="Calibri"/>
                <w:color w:val="000000"/>
                <w:sz w:val="18"/>
              </w:rPr>
            </w:pPr>
            <w:r w:rsidRPr="003945CA">
              <w:rPr>
                <w:color w:val="000000"/>
                <w:sz w:val="18"/>
              </w:rPr>
              <w:t>20080316</w:t>
            </w:r>
          </w:p>
        </w:tc>
      </w:tr>
      <w:tr w:rsidR="002F2105" w:rsidRPr="003945CA" w:rsidTr="002A3FDA">
        <w:trPr>
          <w:trHeight w:val="124"/>
        </w:trPr>
        <w:tc>
          <w:tcPr>
            <w:tcW w:w="3904" w:type="dxa"/>
            <w:gridSpan w:val="3"/>
            <w:tcBorders>
              <w:right w:val="thinThickThinSmallGap" w:sz="24" w:space="0" w:color="auto"/>
            </w:tcBorders>
            <w:shd w:val="clear" w:color="auto" w:fill="D9D9D9"/>
          </w:tcPr>
          <w:p w:rsidR="002F2105" w:rsidRPr="003945CA" w:rsidRDefault="002F2105" w:rsidP="002A3FDA">
            <w:pPr>
              <w:contextualSpacing/>
              <w:rPr>
                <w:rFonts w:cs="Calibri"/>
                <w:b/>
                <w:color w:val="000000"/>
                <w:sz w:val="18"/>
              </w:rPr>
            </w:pPr>
            <w:r w:rsidRPr="003945CA">
              <w:rPr>
                <w:b/>
                <w:color w:val="000000"/>
                <w:sz w:val="18"/>
              </w:rPr>
              <w:t>Combined:  10%</w:t>
            </w:r>
          </w:p>
        </w:tc>
        <w:tc>
          <w:tcPr>
            <w:tcW w:w="5420" w:type="dxa"/>
            <w:gridSpan w:val="4"/>
            <w:tcBorders>
              <w:left w:val="thinThickThinSmallGap" w:sz="24" w:space="0" w:color="auto"/>
            </w:tcBorders>
            <w:shd w:val="clear" w:color="auto" w:fill="D9D9D9"/>
          </w:tcPr>
          <w:p w:rsidR="002F2105" w:rsidRPr="003945CA" w:rsidRDefault="002F2105" w:rsidP="002A3FDA">
            <w:pPr>
              <w:contextualSpacing/>
              <w:rPr>
                <w:rFonts w:cs="Calibri"/>
                <w:b/>
                <w:color w:val="000000"/>
                <w:sz w:val="18"/>
              </w:rPr>
            </w:pPr>
            <w:r w:rsidRPr="003945CA">
              <w:rPr>
                <w:b/>
                <w:color w:val="000000"/>
                <w:sz w:val="18"/>
              </w:rPr>
              <w:t>Combined:  20%</w:t>
            </w:r>
          </w:p>
        </w:tc>
      </w:tr>
    </w:tbl>
    <w:p w:rsidR="002F2105" w:rsidRPr="001F29F9" w:rsidRDefault="002F2105" w:rsidP="00BF0E94">
      <w:pPr>
        <w:pBdr>
          <w:bottom w:val="single" w:sz="12" w:space="1" w:color="auto"/>
        </w:pBdr>
        <w:tabs>
          <w:tab w:val="left" w:pos="288"/>
          <w:tab w:val="left" w:pos="4752"/>
        </w:tabs>
        <w:jc w:val="both"/>
        <w:rPr>
          <w:color w:val="000000"/>
        </w:rPr>
      </w:pPr>
    </w:p>
    <w:p w:rsidR="002F2105" w:rsidRPr="001F29F9" w:rsidRDefault="002F2105" w:rsidP="009369A6">
      <w:pPr>
        <w:rPr>
          <w:color w:val="000000"/>
          <w:u w:val="single"/>
        </w:rPr>
      </w:pPr>
    </w:p>
    <w:p w:rsidR="002A3FDA" w:rsidRPr="002A3FDA" w:rsidRDefault="002F2105" w:rsidP="005804A7">
      <w:pPr>
        <w:jc w:val="both"/>
        <w:rPr>
          <w:color w:val="000000"/>
        </w:rPr>
      </w:pPr>
      <w:r w:rsidRPr="001F29F9">
        <w:rPr>
          <w:color w:val="000000"/>
          <w:u w:val="single"/>
        </w:rPr>
        <w:t>ANALYSIS SUMMARY</w:t>
      </w:r>
      <w:r w:rsidRPr="001F29F9">
        <w:rPr>
          <w:color w:val="000000"/>
        </w:rPr>
        <w:t>:</w:t>
      </w:r>
      <w:r>
        <w:rPr>
          <w:color w:val="000000"/>
        </w:rPr>
        <w:t xml:space="preserve"> </w:t>
      </w:r>
      <w:r w:rsidR="005804A7" w:rsidRPr="005804A7">
        <w:rPr>
          <w:color w:val="000000"/>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C82DB4">
        <w:rPr>
          <w:color w:val="000000"/>
        </w:rPr>
        <w:t xml:space="preserve">Disability Evaluation System (DES) operates.  The </w:t>
      </w:r>
      <w:r w:rsidR="005804A7" w:rsidRPr="005804A7">
        <w:rPr>
          <w:color w:val="000000"/>
        </w:rPr>
        <w:t xml:space="preserve">DES has neither the role nor the authority to compensate service members for anticipated future severity or potential complications of conditions resulting in medical separation.  That role and </w:t>
      </w:r>
      <w:r w:rsidR="005804A7" w:rsidRPr="005804A7">
        <w:rPr>
          <w:color w:val="000000"/>
        </w:rPr>
        <w:lastRenderedPageBreak/>
        <w:t>authority is granted by Congress to the Department of Veteran</w:t>
      </w:r>
      <w:r w:rsidR="00C82DB4">
        <w:rPr>
          <w:color w:val="000000"/>
        </w:rPr>
        <w:t>s’</w:t>
      </w:r>
      <w:r w:rsidR="005804A7" w:rsidRPr="005804A7">
        <w:rPr>
          <w:color w:val="000000"/>
        </w:rPr>
        <w:t xml:space="preserve"> Affairs (DVA), operating under a different set of laws (Title 38, United States Code).  The Board evaluates </w:t>
      </w:r>
      <w:r w:rsidR="00C82DB4">
        <w:rPr>
          <w:color w:val="000000"/>
        </w:rPr>
        <w:t>D</w:t>
      </w:r>
      <w:r w:rsidR="005804A7" w:rsidRPr="005804A7">
        <w:rPr>
          <w:color w:val="000000"/>
        </w:rPr>
        <w:t xml:space="preserve">VA evidence </w:t>
      </w:r>
      <w:proofErr w:type="gramStart"/>
      <w:r w:rsidR="005804A7" w:rsidRPr="005804A7">
        <w:rPr>
          <w:color w:val="000000"/>
        </w:rPr>
        <w:t>proximal</w:t>
      </w:r>
      <w:proofErr w:type="gramEnd"/>
      <w:r w:rsidR="005804A7" w:rsidRPr="005804A7">
        <w:rPr>
          <w:color w:val="000000"/>
        </w:rPr>
        <w:t xml:space="preserve"> to separation in arriving at its recommendations, but its authority resides in evaluating the fairness of DES fitness decisions and rating determinations for disability at the time of separation.  The Board further acknowledges the CI’s contention for </w:t>
      </w:r>
      <w:r w:rsidR="00C82DB4">
        <w:rPr>
          <w:color w:val="000000"/>
        </w:rPr>
        <w:t>s</w:t>
      </w:r>
      <w:r w:rsidR="005804A7" w:rsidRPr="005804A7">
        <w:rPr>
          <w:color w:val="000000"/>
        </w:rPr>
        <w:t xml:space="preserve">ervice ratings for other conditions documented at the time of separation, and notes that its recommendations in that regard must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C82DB4">
        <w:rPr>
          <w:color w:val="000000"/>
        </w:rPr>
        <w:t>empowered to compensate service-</w:t>
      </w:r>
      <w:r w:rsidR="005804A7" w:rsidRPr="005804A7">
        <w:rPr>
          <w:color w:val="000000"/>
        </w:rPr>
        <w:t xml:space="preserve">connected conditions and to periodically re-evaluate said conditions for the purpose of adjusting the </w:t>
      </w:r>
      <w:r w:rsidR="00C82DB4">
        <w:rPr>
          <w:color w:val="000000"/>
        </w:rPr>
        <w:t>V</w:t>
      </w:r>
      <w:r w:rsidR="005804A7" w:rsidRPr="005804A7">
        <w:rPr>
          <w:color w:val="000000"/>
        </w:rPr>
        <w:t xml:space="preserve">eteran’s disability rating should </w:t>
      </w:r>
      <w:r w:rsidR="00C82DB4">
        <w:rPr>
          <w:color w:val="000000"/>
        </w:rPr>
        <w:t>the</w:t>
      </w:r>
      <w:r w:rsidR="005804A7" w:rsidRPr="005804A7">
        <w:rPr>
          <w:color w:val="000000"/>
        </w:rPr>
        <w:t xml:space="preserve"> degree of impairment vary over time.</w:t>
      </w:r>
    </w:p>
    <w:p w:rsidR="002F2105" w:rsidRPr="001F29F9" w:rsidRDefault="002F2105" w:rsidP="00BF0E94">
      <w:pPr>
        <w:jc w:val="left"/>
        <w:rPr>
          <w:color w:val="000000"/>
          <w:highlight w:val="yellow"/>
        </w:rPr>
      </w:pPr>
    </w:p>
    <w:p w:rsidR="00D75BAC" w:rsidRDefault="00036F1F" w:rsidP="00D75BAC">
      <w:pPr>
        <w:jc w:val="both"/>
        <w:rPr>
          <w:color w:val="000000"/>
        </w:rPr>
      </w:pPr>
      <w:proofErr w:type="spellStart"/>
      <w:r>
        <w:rPr>
          <w:color w:val="000000"/>
          <w:u w:val="single"/>
        </w:rPr>
        <w:t>Hypercoaguable</w:t>
      </w:r>
      <w:proofErr w:type="spellEnd"/>
      <w:r>
        <w:rPr>
          <w:color w:val="000000"/>
          <w:u w:val="single"/>
        </w:rPr>
        <w:t xml:space="preserve"> C</w:t>
      </w:r>
      <w:r w:rsidR="002F2105" w:rsidRPr="00CF667E">
        <w:rPr>
          <w:color w:val="000000"/>
          <w:u w:val="single"/>
        </w:rPr>
        <w:t>ondition</w:t>
      </w:r>
      <w:r w:rsidR="002F2105" w:rsidRPr="00B02C69">
        <w:rPr>
          <w:color w:val="000000"/>
          <w:u w:val="single"/>
        </w:rPr>
        <w:t>.</w:t>
      </w:r>
      <w:r w:rsidR="002F2105" w:rsidRPr="00B02C69">
        <w:rPr>
          <w:color w:val="000000"/>
        </w:rPr>
        <w:t xml:space="preserve"> </w:t>
      </w:r>
      <w:r>
        <w:rPr>
          <w:color w:val="000000"/>
        </w:rPr>
        <w:t xml:space="preserve"> VASRD </w:t>
      </w:r>
      <w:r w:rsidRPr="00664296">
        <w:rPr>
          <w:color w:val="auto"/>
        </w:rPr>
        <w:t>§4.104</w:t>
      </w:r>
      <w:r>
        <w:rPr>
          <w:color w:val="auto"/>
        </w:rPr>
        <w:t xml:space="preserve"> (cardiovascular system) does not provide an overall code for rating the underlying disease in </w:t>
      </w:r>
      <w:proofErr w:type="spellStart"/>
      <w:r>
        <w:rPr>
          <w:color w:val="auto"/>
        </w:rPr>
        <w:t>coagulapathies</w:t>
      </w:r>
      <w:proofErr w:type="spellEnd"/>
      <w:r>
        <w:rPr>
          <w:color w:val="auto"/>
        </w:rPr>
        <w:t xml:space="preserve">, but rather rates under specific </w:t>
      </w:r>
      <w:proofErr w:type="spellStart"/>
      <w:r>
        <w:rPr>
          <w:color w:val="auto"/>
        </w:rPr>
        <w:t>sequelae</w:t>
      </w:r>
      <w:proofErr w:type="spellEnd"/>
      <w:r>
        <w:rPr>
          <w:color w:val="auto"/>
        </w:rPr>
        <w:t xml:space="preserve"> such as DVT or pulmonary embolus.  The Board’s rating recommendation will therefore </w:t>
      </w:r>
      <w:r w:rsidR="006002B2">
        <w:rPr>
          <w:color w:val="auto"/>
        </w:rPr>
        <w:t>be derived from one of the commonly applied analogous codes: 7120 (varicose veins</w:t>
      </w:r>
      <w:r w:rsidR="00C82DB4">
        <w:rPr>
          <w:color w:val="auto"/>
        </w:rPr>
        <w:t xml:space="preserve">) as per the </w:t>
      </w:r>
      <w:proofErr w:type="gramStart"/>
      <w:r w:rsidR="00C82DB4">
        <w:rPr>
          <w:color w:val="auto"/>
        </w:rPr>
        <w:t>PEB,</w:t>
      </w:r>
      <w:proofErr w:type="gramEnd"/>
      <w:r w:rsidR="00C82DB4">
        <w:rPr>
          <w:color w:val="auto"/>
        </w:rPr>
        <w:t xml:space="preserve"> or 7121 (post-</w:t>
      </w:r>
      <w:proofErr w:type="spellStart"/>
      <w:r w:rsidR="006002B2">
        <w:rPr>
          <w:color w:val="auto"/>
        </w:rPr>
        <w:t>phlebitic</w:t>
      </w:r>
      <w:proofErr w:type="spellEnd"/>
      <w:r w:rsidR="006002B2">
        <w:rPr>
          <w:color w:val="auto"/>
        </w:rPr>
        <w:t xml:space="preserve"> syndrome, specifying DVT).  The 7120 code is a better clinical fit in this case, although the distinction is fairly moot since the rating language for the spectrum of disease in evidence is identical in both codes.  In addition to assessing the fairness </w:t>
      </w:r>
      <w:r w:rsidR="00C82DB4">
        <w:rPr>
          <w:color w:val="auto"/>
        </w:rPr>
        <w:t>of the rating assignment itself;</w:t>
      </w:r>
      <w:r w:rsidR="006002B2">
        <w:rPr>
          <w:color w:val="auto"/>
        </w:rPr>
        <w:t xml:space="preserve"> however, the Board </w:t>
      </w:r>
      <w:r w:rsidR="002C4D4C">
        <w:rPr>
          <w:color w:val="auto"/>
        </w:rPr>
        <w:t>is also faced</w:t>
      </w:r>
      <w:r w:rsidR="009F645B">
        <w:rPr>
          <w:color w:val="auto"/>
        </w:rPr>
        <w:t xml:space="preserve"> with</w:t>
      </w:r>
      <w:r w:rsidR="006002B2">
        <w:rPr>
          <w:color w:val="auto"/>
        </w:rPr>
        <w:t xml:space="preserve"> the </w:t>
      </w:r>
      <w:r w:rsidR="006002B2" w:rsidRPr="00664296">
        <w:rPr>
          <w:color w:val="auto"/>
        </w:rPr>
        <w:t>§4.104</w:t>
      </w:r>
      <w:r w:rsidR="006002B2">
        <w:rPr>
          <w:color w:val="auto"/>
        </w:rPr>
        <w:t xml:space="preserve"> stipulation under these codes that, “</w:t>
      </w:r>
      <w:r w:rsidR="00C82DB4">
        <w:rPr>
          <w:color w:val="000000"/>
        </w:rPr>
        <w:t>t</w:t>
      </w:r>
      <w:r w:rsidR="006002B2" w:rsidRPr="0063507C">
        <w:rPr>
          <w:color w:val="000000"/>
        </w:rPr>
        <w:t>hese evaluations are for involvement of a single extremity. If more than one extremity is involved, evaluate each extremity separately and combine (under §4.25), using the bilateral factor (§4.26), if applicable.</w:t>
      </w:r>
      <w:r w:rsidR="006002B2">
        <w:rPr>
          <w:color w:val="000000"/>
        </w:rPr>
        <w:t xml:space="preserve">”  </w:t>
      </w:r>
      <w:r w:rsidR="002C4D4C">
        <w:rPr>
          <w:color w:val="000000"/>
        </w:rPr>
        <w:t xml:space="preserve">Although the more severe pathology in this case was </w:t>
      </w:r>
      <w:proofErr w:type="spellStart"/>
      <w:r w:rsidR="00D75BAC">
        <w:rPr>
          <w:color w:val="000000"/>
        </w:rPr>
        <w:t>referable</w:t>
      </w:r>
      <w:proofErr w:type="spellEnd"/>
      <w:r w:rsidR="002C4D4C">
        <w:rPr>
          <w:color w:val="000000"/>
        </w:rPr>
        <w:t xml:space="preserve"> to the LLE, there was some involvement of the right lower extremity (RLE)</w:t>
      </w:r>
      <w:r w:rsidR="00D75BAC">
        <w:rPr>
          <w:color w:val="000000"/>
        </w:rPr>
        <w:t xml:space="preserve"> as will be elaborated below</w:t>
      </w:r>
      <w:r w:rsidR="002C4D4C">
        <w:rPr>
          <w:color w:val="000000"/>
        </w:rPr>
        <w:t xml:space="preserve">.  </w:t>
      </w:r>
      <w:r w:rsidR="00873271">
        <w:rPr>
          <w:color w:val="000000"/>
        </w:rPr>
        <w:t xml:space="preserve">The Board’s initial deliberation was whether the </w:t>
      </w:r>
      <w:r w:rsidR="00873271" w:rsidRPr="00664296">
        <w:rPr>
          <w:color w:val="auto"/>
        </w:rPr>
        <w:t>§4.104</w:t>
      </w:r>
      <w:r w:rsidR="00873271">
        <w:rPr>
          <w:color w:val="auto"/>
        </w:rPr>
        <w:t xml:space="preserve"> stipulation </w:t>
      </w:r>
      <w:r w:rsidR="00D75BAC">
        <w:rPr>
          <w:color w:val="auto"/>
        </w:rPr>
        <w:t>(</w:t>
      </w:r>
      <w:r w:rsidR="00873271">
        <w:rPr>
          <w:color w:val="auto"/>
        </w:rPr>
        <w:t xml:space="preserve">just </w:t>
      </w:r>
      <w:r w:rsidR="00D75BAC">
        <w:rPr>
          <w:color w:val="auto"/>
        </w:rPr>
        <w:t>quoted)</w:t>
      </w:r>
      <w:r w:rsidR="00873271">
        <w:rPr>
          <w:color w:val="auto"/>
        </w:rPr>
        <w:t xml:space="preserve"> obligates the Board to recommend a </w:t>
      </w:r>
      <w:r w:rsidR="00C82DB4">
        <w:rPr>
          <w:color w:val="auto"/>
        </w:rPr>
        <w:t>s</w:t>
      </w:r>
      <w:r w:rsidR="00873271">
        <w:rPr>
          <w:color w:val="auto"/>
        </w:rPr>
        <w:t xml:space="preserve">ervice rating for any ratable disability attributable to the </w:t>
      </w:r>
      <w:r w:rsidR="00C21D77">
        <w:rPr>
          <w:color w:val="auto"/>
        </w:rPr>
        <w:t>right lower extremity (</w:t>
      </w:r>
      <w:r w:rsidR="00873271">
        <w:rPr>
          <w:color w:val="auto"/>
        </w:rPr>
        <w:t>RLE</w:t>
      </w:r>
      <w:r w:rsidR="00C21D77">
        <w:rPr>
          <w:color w:val="auto"/>
        </w:rPr>
        <w:t>)</w:t>
      </w:r>
      <w:r w:rsidR="00873271">
        <w:rPr>
          <w:color w:val="auto"/>
        </w:rPr>
        <w:t xml:space="preserve"> involvement (via a tie to the </w:t>
      </w:r>
      <w:proofErr w:type="spellStart"/>
      <w:r w:rsidR="00873271">
        <w:rPr>
          <w:color w:val="auto"/>
        </w:rPr>
        <w:t>DoDI</w:t>
      </w:r>
      <w:proofErr w:type="spellEnd"/>
      <w:r w:rsidR="00873271">
        <w:rPr>
          <w:color w:val="auto"/>
        </w:rPr>
        <w:t xml:space="preserve"> 6040.44 mandate to adhere to the VASRD); or, whether the RLE </w:t>
      </w:r>
      <w:r w:rsidR="00C82DB4">
        <w:rPr>
          <w:color w:val="auto"/>
        </w:rPr>
        <w:t xml:space="preserve">impairment must meet the </w:t>
      </w:r>
      <w:r w:rsidR="00873271" w:rsidRPr="00D75BAC">
        <w:rPr>
          <w:color w:val="auto"/>
        </w:rPr>
        <w:t xml:space="preserve">DES requirement for being itself unfitting to qualify for a </w:t>
      </w:r>
      <w:r w:rsidR="00C82DB4">
        <w:rPr>
          <w:color w:val="auto"/>
        </w:rPr>
        <w:t>s</w:t>
      </w:r>
      <w:r w:rsidR="00873271" w:rsidRPr="00D75BAC">
        <w:rPr>
          <w:color w:val="auto"/>
        </w:rPr>
        <w:t xml:space="preserve">ervice rating.  </w:t>
      </w:r>
      <w:r w:rsidR="00850C87" w:rsidRPr="00D75BAC">
        <w:rPr>
          <w:color w:val="auto"/>
        </w:rPr>
        <w:t>After considerable deliberation</w:t>
      </w:r>
      <w:r w:rsidR="00975BDE" w:rsidRPr="00D75BAC">
        <w:rPr>
          <w:color w:val="auto"/>
        </w:rPr>
        <w:t xml:space="preserve">, members agreed that the DES principle of fitness determination must be satisfied to qualify a rating element as </w:t>
      </w:r>
      <w:r w:rsidR="00C82DB4">
        <w:rPr>
          <w:color w:val="auto"/>
        </w:rPr>
        <w:t>s</w:t>
      </w:r>
      <w:r w:rsidR="00975BDE" w:rsidRPr="00D75BAC">
        <w:rPr>
          <w:color w:val="auto"/>
        </w:rPr>
        <w:t xml:space="preserve">ervice disability; despite a VASRD link to the only analogous code available for rating the unfitting </w:t>
      </w:r>
      <w:proofErr w:type="spellStart"/>
      <w:r w:rsidR="00975BDE" w:rsidRPr="00D75BAC">
        <w:rPr>
          <w:color w:val="auto"/>
        </w:rPr>
        <w:t>coagulopathy</w:t>
      </w:r>
      <w:proofErr w:type="spellEnd"/>
      <w:r w:rsidR="00975BDE" w:rsidRPr="00D75BAC">
        <w:rPr>
          <w:color w:val="auto"/>
        </w:rPr>
        <w:t xml:space="preserve">.  This principle was judged to be equivalent to the </w:t>
      </w:r>
      <w:r w:rsidR="0078160A" w:rsidRPr="00D75BAC">
        <w:rPr>
          <w:color w:val="auto"/>
        </w:rPr>
        <w:t>well established</w:t>
      </w:r>
      <w:r w:rsidR="00975BDE" w:rsidRPr="00D75BAC">
        <w:rPr>
          <w:color w:val="auto"/>
        </w:rPr>
        <w:t xml:space="preserve"> Board precedent for fitness consideration </w:t>
      </w:r>
      <w:r w:rsidR="0078160A" w:rsidRPr="00D75BAC">
        <w:rPr>
          <w:color w:val="auto"/>
        </w:rPr>
        <w:t xml:space="preserve">in separate rating for peripheral neuropathy linked to unfitting spine disease, as well as ratable residuals of diabetes and other unfitting </w:t>
      </w:r>
      <w:r w:rsidR="00842823">
        <w:rPr>
          <w:color w:val="auto"/>
        </w:rPr>
        <w:t xml:space="preserve">primary </w:t>
      </w:r>
      <w:r w:rsidR="0078160A" w:rsidRPr="00D75BAC">
        <w:rPr>
          <w:color w:val="auto"/>
        </w:rPr>
        <w:t>conditions.</w:t>
      </w:r>
      <w:r w:rsidR="005D3000" w:rsidRPr="00D75BAC">
        <w:rPr>
          <w:color w:val="auto"/>
        </w:rPr>
        <w:t xml:space="preserve"> </w:t>
      </w:r>
      <w:r w:rsidR="0078160A" w:rsidRPr="00D75BAC">
        <w:rPr>
          <w:color w:val="auto"/>
        </w:rPr>
        <w:t xml:space="preserve"> </w:t>
      </w:r>
      <w:r w:rsidR="00D75BAC">
        <w:rPr>
          <w:color w:val="auto"/>
        </w:rPr>
        <w:t>In light of the conclusion</w:t>
      </w:r>
      <w:r w:rsidR="00D75BAC" w:rsidRPr="00D75BAC">
        <w:rPr>
          <w:color w:val="auto"/>
        </w:rPr>
        <w:t xml:space="preserve"> just elaborated</w:t>
      </w:r>
      <w:r w:rsidR="00D75BAC">
        <w:rPr>
          <w:color w:val="auto"/>
        </w:rPr>
        <w:t>,</w:t>
      </w:r>
      <w:r w:rsidR="00D75BAC" w:rsidRPr="00D75BAC">
        <w:rPr>
          <w:color w:val="auto"/>
        </w:rPr>
        <w:t xml:space="preserve"> </w:t>
      </w:r>
      <w:r w:rsidR="00D75BAC">
        <w:rPr>
          <w:color w:val="auto"/>
        </w:rPr>
        <w:t xml:space="preserve">the evidence before the Board relevant to the rating and fitness considerations </w:t>
      </w:r>
      <w:r w:rsidR="007964D8">
        <w:rPr>
          <w:color w:val="auto"/>
        </w:rPr>
        <w:t>for</w:t>
      </w:r>
      <w:r w:rsidR="00D75BAC">
        <w:rPr>
          <w:color w:val="auto"/>
        </w:rPr>
        <w:t xml:space="preserve"> each affected extremity </w:t>
      </w:r>
      <w:r w:rsidR="007964D8">
        <w:rPr>
          <w:color w:val="auto"/>
        </w:rPr>
        <w:t xml:space="preserve">are separately presented below.  </w:t>
      </w:r>
    </w:p>
    <w:p w:rsidR="00036F1F" w:rsidRDefault="00036F1F" w:rsidP="00B02C69">
      <w:pPr>
        <w:jc w:val="both"/>
        <w:rPr>
          <w:color w:val="000000"/>
        </w:rPr>
      </w:pPr>
    </w:p>
    <w:p w:rsidR="002F2105" w:rsidRPr="009F645B" w:rsidRDefault="00D536BB" w:rsidP="00C82DB4">
      <w:pPr>
        <w:jc w:val="both"/>
        <w:rPr>
          <w:color w:val="000000"/>
        </w:rPr>
      </w:pPr>
      <w:proofErr w:type="gramStart"/>
      <w:r w:rsidRPr="00D536BB">
        <w:rPr>
          <w:color w:val="000000"/>
          <w:u w:val="single"/>
        </w:rPr>
        <w:t>L</w:t>
      </w:r>
      <w:r w:rsidR="00C82DB4">
        <w:rPr>
          <w:color w:val="000000"/>
          <w:u w:val="single"/>
        </w:rPr>
        <w:t xml:space="preserve">eft </w:t>
      </w:r>
      <w:r w:rsidRPr="00D536BB">
        <w:rPr>
          <w:color w:val="000000"/>
          <w:u w:val="single"/>
        </w:rPr>
        <w:t>L</w:t>
      </w:r>
      <w:r w:rsidR="00C82DB4">
        <w:rPr>
          <w:color w:val="000000"/>
          <w:u w:val="single"/>
        </w:rPr>
        <w:t xml:space="preserve">ower </w:t>
      </w:r>
      <w:r w:rsidRPr="00D536BB">
        <w:rPr>
          <w:color w:val="000000"/>
          <w:u w:val="single"/>
        </w:rPr>
        <w:t>E</w:t>
      </w:r>
      <w:r w:rsidR="00C82DB4">
        <w:rPr>
          <w:color w:val="000000"/>
          <w:u w:val="single"/>
        </w:rPr>
        <w:t>xtremity</w:t>
      </w:r>
      <w:r>
        <w:rPr>
          <w:color w:val="000000"/>
        </w:rPr>
        <w:t>.</w:t>
      </w:r>
      <w:proofErr w:type="gramEnd"/>
      <w:r>
        <w:rPr>
          <w:color w:val="000000"/>
        </w:rPr>
        <w:t xml:space="preserve">  The </w:t>
      </w:r>
      <w:r w:rsidR="002F2105">
        <w:rPr>
          <w:color w:val="000000"/>
        </w:rPr>
        <w:t>CI first reported pain in his left calf</w:t>
      </w:r>
      <w:r w:rsidR="002F2105" w:rsidRPr="00B02C69">
        <w:rPr>
          <w:color w:val="000000"/>
        </w:rPr>
        <w:t xml:space="preserve"> in 2003</w:t>
      </w:r>
      <w:r w:rsidR="002F2105">
        <w:rPr>
          <w:color w:val="000000"/>
        </w:rPr>
        <w:t xml:space="preserve">. </w:t>
      </w:r>
      <w:r>
        <w:rPr>
          <w:color w:val="000000"/>
        </w:rPr>
        <w:t xml:space="preserve"> </w:t>
      </w:r>
      <w:r w:rsidR="00FF0111">
        <w:rPr>
          <w:color w:val="000000"/>
        </w:rPr>
        <w:t>This was initially considered to be related to a strai</w:t>
      </w:r>
      <w:r w:rsidR="00842823">
        <w:rPr>
          <w:color w:val="000000"/>
        </w:rPr>
        <w:t>n injury and improved over time;</w:t>
      </w:r>
      <w:r w:rsidR="00FF0111">
        <w:rPr>
          <w:color w:val="000000"/>
        </w:rPr>
        <w:t xml:space="preserve"> but</w:t>
      </w:r>
      <w:r w:rsidR="00842823">
        <w:rPr>
          <w:color w:val="000000"/>
        </w:rPr>
        <w:t>,</w:t>
      </w:r>
      <w:r w:rsidR="00FF0111">
        <w:rPr>
          <w:color w:val="000000"/>
        </w:rPr>
        <w:t xml:space="preserve"> was a recurrent complaint.  </w:t>
      </w:r>
      <w:r w:rsidR="002F2105" w:rsidRPr="00B02C69">
        <w:rPr>
          <w:color w:val="000000"/>
        </w:rPr>
        <w:t xml:space="preserve">He was treated for bilateral calf strain in 2005, but </w:t>
      </w:r>
      <w:r w:rsidR="00FF0111">
        <w:rPr>
          <w:color w:val="000000"/>
        </w:rPr>
        <w:t>the complaints</w:t>
      </w:r>
      <w:r w:rsidR="002F2105" w:rsidRPr="00B02C69">
        <w:rPr>
          <w:color w:val="000000"/>
        </w:rPr>
        <w:t xml:space="preserve"> progressed</w:t>
      </w:r>
      <w:r w:rsidR="002F2105">
        <w:rPr>
          <w:color w:val="000000"/>
        </w:rPr>
        <w:t xml:space="preserve"> despite therapy. </w:t>
      </w:r>
      <w:r w:rsidR="00F1064F">
        <w:rPr>
          <w:color w:val="000000"/>
        </w:rPr>
        <w:t xml:space="preserve"> </w:t>
      </w:r>
      <w:r w:rsidR="003215E0">
        <w:rPr>
          <w:color w:val="000000"/>
        </w:rPr>
        <w:t xml:space="preserve">A later treatment note from </w:t>
      </w:r>
      <w:r w:rsidR="002F2105">
        <w:rPr>
          <w:color w:val="000000"/>
        </w:rPr>
        <w:t xml:space="preserve">August 2006 </w:t>
      </w:r>
      <w:r w:rsidR="003215E0">
        <w:rPr>
          <w:color w:val="000000"/>
        </w:rPr>
        <w:t xml:space="preserve">documents a preceding two year history of </w:t>
      </w:r>
      <w:r w:rsidR="003215E0" w:rsidRPr="00C82DB4">
        <w:rPr>
          <w:color w:val="000000"/>
        </w:rPr>
        <w:t>bilateral symptoms</w:t>
      </w:r>
      <w:r w:rsidR="003215E0">
        <w:rPr>
          <w:color w:val="000000"/>
        </w:rPr>
        <w:t>, and states, “</w:t>
      </w:r>
      <w:r w:rsidR="00C82DB4">
        <w:rPr>
          <w:color w:val="000000"/>
        </w:rPr>
        <w:t>n</w:t>
      </w:r>
      <w:r w:rsidR="003215E0">
        <w:rPr>
          <w:color w:val="000000"/>
        </w:rPr>
        <w:t xml:space="preserve">o prior U/S [ultrasound] showed a DVT.”  It is clear that the definitive diagnosis of DVT, and subsequent diagnosis of </w:t>
      </w:r>
      <w:r w:rsidR="00C82DB4">
        <w:rPr>
          <w:color w:val="000000"/>
        </w:rPr>
        <w:t>F</w:t>
      </w:r>
      <w:r w:rsidR="003215E0" w:rsidRPr="00B02C69">
        <w:rPr>
          <w:color w:val="000000"/>
        </w:rPr>
        <w:t>actor V Leiden</w:t>
      </w:r>
      <w:r w:rsidR="003215E0">
        <w:rPr>
          <w:color w:val="000000"/>
        </w:rPr>
        <w:t xml:space="preserve"> deficiency, occurred in the aftermath of the 2006 medical evacuation from theater</w:t>
      </w:r>
      <w:r w:rsidR="005D3000">
        <w:rPr>
          <w:color w:val="000000"/>
        </w:rPr>
        <w:t xml:space="preserve">.  It is also clear that </w:t>
      </w:r>
      <w:r w:rsidR="003215E0">
        <w:rPr>
          <w:color w:val="000000"/>
        </w:rPr>
        <w:t>the DVT was confined to the LLE</w:t>
      </w:r>
      <w:r w:rsidR="005D3000" w:rsidRPr="005D3000">
        <w:rPr>
          <w:color w:val="000000"/>
        </w:rPr>
        <w:t xml:space="preserve"> </w:t>
      </w:r>
      <w:r w:rsidR="005D3000">
        <w:rPr>
          <w:color w:val="000000"/>
        </w:rPr>
        <w:t xml:space="preserve">at that time. </w:t>
      </w:r>
      <w:r w:rsidR="003215E0">
        <w:rPr>
          <w:color w:val="000000"/>
        </w:rPr>
        <w:t xml:space="preserve"> </w:t>
      </w:r>
      <w:r w:rsidR="005D3000">
        <w:rPr>
          <w:color w:val="000000"/>
        </w:rPr>
        <w:t>It</w:t>
      </w:r>
      <w:r w:rsidR="003215E0">
        <w:rPr>
          <w:color w:val="000000"/>
        </w:rPr>
        <w:t xml:space="preserve"> </w:t>
      </w:r>
      <w:r w:rsidR="005D3000">
        <w:rPr>
          <w:color w:val="000000"/>
        </w:rPr>
        <w:t xml:space="preserve">was </w:t>
      </w:r>
      <w:r w:rsidR="003215E0">
        <w:rPr>
          <w:color w:val="000000"/>
        </w:rPr>
        <w:t xml:space="preserve">complicated by </w:t>
      </w:r>
      <w:proofErr w:type="spellStart"/>
      <w:r w:rsidR="003215E0">
        <w:rPr>
          <w:color w:val="000000"/>
        </w:rPr>
        <w:t>cellulitis</w:t>
      </w:r>
      <w:proofErr w:type="spellEnd"/>
      <w:r w:rsidR="003215E0">
        <w:rPr>
          <w:color w:val="000000"/>
        </w:rPr>
        <w:t xml:space="preserve">; and, </w:t>
      </w:r>
      <w:r w:rsidR="005D3000">
        <w:rPr>
          <w:color w:val="000000"/>
        </w:rPr>
        <w:t xml:space="preserve">was </w:t>
      </w:r>
      <w:r w:rsidR="003215E0">
        <w:rPr>
          <w:color w:val="000000"/>
        </w:rPr>
        <w:t xml:space="preserve">ultimately complicated by recurrent DVT </w:t>
      </w:r>
      <w:r w:rsidR="005D3000">
        <w:rPr>
          <w:color w:val="000000"/>
        </w:rPr>
        <w:t>(</w:t>
      </w:r>
      <w:r w:rsidR="003215E0">
        <w:rPr>
          <w:color w:val="000000"/>
        </w:rPr>
        <w:t>confined to the LLE</w:t>
      </w:r>
      <w:r w:rsidR="005D3000">
        <w:rPr>
          <w:color w:val="000000"/>
        </w:rPr>
        <w:t>)</w:t>
      </w:r>
      <w:r w:rsidR="003215E0">
        <w:rPr>
          <w:color w:val="000000"/>
        </w:rPr>
        <w:t xml:space="preserve"> which mandated permanent anticoagulation.  </w:t>
      </w:r>
      <w:proofErr w:type="gramStart"/>
      <w:r w:rsidR="006F1F6A">
        <w:rPr>
          <w:color w:val="000000"/>
        </w:rPr>
        <w:t xml:space="preserve">One outpatient note </w:t>
      </w:r>
      <w:r w:rsidR="00C82DB4">
        <w:rPr>
          <w:color w:val="000000"/>
        </w:rPr>
        <w:t>six</w:t>
      </w:r>
      <w:r w:rsidR="006F1F6A">
        <w:rPr>
          <w:color w:val="000000"/>
        </w:rPr>
        <w:t xml:space="preserve"> months prior to separation documents that the LLE pain and edema had resolved.</w:t>
      </w:r>
      <w:proofErr w:type="gramEnd"/>
      <w:r w:rsidR="006F1F6A">
        <w:rPr>
          <w:color w:val="000000"/>
        </w:rPr>
        <w:t xml:space="preserve">  It is flanked by entries around the period of hospitalization which note pain, edema, and other positive findings; and, </w:t>
      </w:r>
      <w:r w:rsidR="005D3000">
        <w:rPr>
          <w:color w:val="000000"/>
        </w:rPr>
        <w:t xml:space="preserve">by </w:t>
      </w:r>
      <w:r w:rsidR="006F1F6A">
        <w:rPr>
          <w:color w:val="000000"/>
        </w:rPr>
        <w:t xml:space="preserve">the </w:t>
      </w:r>
      <w:r w:rsidR="00842823">
        <w:rPr>
          <w:color w:val="000000"/>
        </w:rPr>
        <w:t xml:space="preserve">positive findings of the </w:t>
      </w:r>
      <w:r w:rsidR="006F1F6A">
        <w:rPr>
          <w:color w:val="000000"/>
        </w:rPr>
        <w:t xml:space="preserve">MEB exam </w:t>
      </w:r>
      <w:r w:rsidR="00842823">
        <w:rPr>
          <w:color w:val="000000"/>
        </w:rPr>
        <w:t>which follow</w:t>
      </w:r>
      <w:r w:rsidR="006F1F6A">
        <w:rPr>
          <w:color w:val="000000"/>
        </w:rPr>
        <w:t xml:space="preserve">.  </w:t>
      </w:r>
      <w:r w:rsidR="002F2105" w:rsidRPr="00B02C69">
        <w:rPr>
          <w:color w:val="000000"/>
        </w:rPr>
        <w:t xml:space="preserve">At </w:t>
      </w:r>
      <w:r w:rsidR="006F1F6A">
        <w:rPr>
          <w:color w:val="000000"/>
        </w:rPr>
        <w:t>the</w:t>
      </w:r>
      <w:r w:rsidR="002F2105" w:rsidRPr="00B02C69">
        <w:rPr>
          <w:color w:val="000000"/>
        </w:rPr>
        <w:t xml:space="preserve"> MEB exam </w:t>
      </w:r>
      <w:r w:rsidR="005804A7">
        <w:rPr>
          <w:color w:val="000000"/>
        </w:rPr>
        <w:t>(</w:t>
      </w:r>
      <w:r w:rsidR="00C82DB4">
        <w:rPr>
          <w:color w:val="000000"/>
        </w:rPr>
        <w:t>three</w:t>
      </w:r>
      <w:r w:rsidR="002F2105" w:rsidRPr="00B02C69">
        <w:rPr>
          <w:color w:val="000000"/>
        </w:rPr>
        <w:t xml:space="preserve"> months </w:t>
      </w:r>
      <w:r w:rsidR="00C21D77">
        <w:rPr>
          <w:color w:val="000000"/>
        </w:rPr>
        <w:t xml:space="preserve">prior to </w:t>
      </w:r>
      <w:r w:rsidR="002F2105" w:rsidRPr="00B02C69">
        <w:rPr>
          <w:color w:val="000000"/>
        </w:rPr>
        <w:t>separation</w:t>
      </w:r>
      <w:r w:rsidR="005804A7">
        <w:rPr>
          <w:color w:val="000000"/>
        </w:rPr>
        <w:t>)</w:t>
      </w:r>
      <w:r w:rsidR="002F2105" w:rsidRPr="00B02C69">
        <w:rPr>
          <w:color w:val="000000"/>
        </w:rPr>
        <w:t xml:space="preserve">, the CI reported pain and swelling whenever his recurrent DVT was active. The MEB examiner noted </w:t>
      </w:r>
      <w:r w:rsidR="005804A7">
        <w:rPr>
          <w:color w:val="000000"/>
        </w:rPr>
        <w:t xml:space="preserve">active LLE symptoms at the time of the exam; </w:t>
      </w:r>
      <w:r w:rsidR="002F2105" w:rsidRPr="00B02C69">
        <w:rPr>
          <w:color w:val="000000"/>
        </w:rPr>
        <w:t>and</w:t>
      </w:r>
      <w:r w:rsidR="005804A7">
        <w:rPr>
          <w:color w:val="000000"/>
        </w:rPr>
        <w:t>,</w:t>
      </w:r>
      <w:r w:rsidR="002F2105" w:rsidRPr="00B02C69">
        <w:rPr>
          <w:color w:val="000000"/>
        </w:rPr>
        <w:t xml:space="preserve"> referenced </w:t>
      </w:r>
      <w:r w:rsidR="005D3000">
        <w:rPr>
          <w:color w:val="000000"/>
        </w:rPr>
        <w:t>a contemporary</w:t>
      </w:r>
      <w:r w:rsidR="002F2105" w:rsidRPr="00B02C69">
        <w:rPr>
          <w:color w:val="000000"/>
        </w:rPr>
        <w:t xml:space="preserve"> </w:t>
      </w:r>
      <w:r w:rsidR="005D3000">
        <w:rPr>
          <w:color w:val="000000"/>
        </w:rPr>
        <w:t xml:space="preserve">ultrasound </w:t>
      </w:r>
      <w:r w:rsidR="002F2105" w:rsidRPr="00B02C69">
        <w:rPr>
          <w:color w:val="000000"/>
        </w:rPr>
        <w:t xml:space="preserve">which </w:t>
      </w:r>
      <w:r w:rsidR="007964D8">
        <w:rPr>
          <w:color w:val="000000"/>
        </w:rPr>
        <w:lastRenderedPageBreak/>
        <w:t>documented</w:t>
      </w:r>
      <w:r w:rsidR="002F2105" w:rsidRPr="00B02C69">
        <w:rPr>
          <w:color w:val="000000"/>
        </w:rPr>
        <w:t xml:space="preserve"> extensive </w:t>
      </w:r>
      <w:r w:rsidR="007964D8">
        <w:rPr>
          <w:color w:val="000000"/>
        </w:rPr>
        <w:t xml:space="preserve">LLE </w:t>
      </w:r>
      <w:r w:rsidR="002F2105" w:rsidRPr="00B02C69">
        <w:rPr>
          <w:color w:val="000000"/>
        </w:rPr>
        <w:t>thrombosis</w:t>
      </w:r>
      <w:r w:rsidR="005804A7">
        <w:rPr>
          <w:color w:val="000000"/>
        </w:rPr>
        <w:t xml:space="preserve">. </w:t>
      </w:r>
      <w:r w:rsidR="007964D8">
        <w:rPr>
          <w:color w:val="000000"/>
        </w:rPr>
        <w:t xml:space="preserve"> </w:t>
      </w:r>
      <w:r w:rsidR="005804A7">
        <w:rPr>
          <w:color w:val="000000"/>
        </w:rPr>
        <w:t>O</w:t>
      </w:r>
      <w:r w:rsidR="002F2105" w:rsidRPr="00B02C69">
        <w:rPr>
          <w:color w:val="000000"/>
        </w:rPr>
        <w:t>n examination, the physician noted dark pigmentation and edema in the lower posterior left calf.</w:t>
      </w:r>
      <w:r w:rsidR="005804A7">
        <w:rPr>
          <w:color w:val="000000"/>
        </w:rPr>
        <w:t xml:space="preserve"> </w:t>
      </w:r>
      <w:r w:rsidR="002F2105" w:rsidRPr="00B02C69">
        <w:rPr>
          <w:color w:val="000000"/>
        </w:rPr>
        <w:t xml:space="preserve"> It was noted that the CI could not run, walk any dist</w:t>
      </w:r>
      <w:r w:rsidR="000A08B2">
        <w:rPr>
          <w:color w:val="000000"/>
        </w:rPr>
        <w:t xml:space="preserve">ances, climb stairs, or </w:t>
      </w:r>
      <w:r w:rsidR="000A08B2" w:rsidRPr="00B02C69">
        <w:rPr>
          <w:color w:val="000000"/>
        </w:rPr>
        <w:t>easily</w:t>
      </w:r>
      <w:r w:rsidR="000A08B2">
        <w:rPr>
          <w:color w:val="000000"/>
        </w:rPr>
        <w:t xml:space="preserve"> get in</w:t>
      </w:r>
      <w:r w:rsidR="002F2105" w:rsidRPr="00B02C69">
        <w:rPr>
          <w:color w:val="000000"/>
        </w:rPr>
        <w:t xml:space="preserve"> and out of vehicles. </w:t>
      </w:r>
      <w:r w:rsidR="005804A7">
        <w:rPr>
          <w:color w:val="000000"/>
        </w:rPr>
        <w:t xml:space="preserve"> </w:t>
      </w:r>
      <w:r w:rsidR="002F2105" w:rsidRPr="00B02C69">
        <w:rPr>
          <w:color w:val="000000"/>
        </w:rPr>
        <w:t xml:space="preserve">At the VA Compensation and Pension (C&amp;P) exam </w:t>
      </w:r>
      <w:r w:rsidR="005804A7">
        <w:rPr>
          <w:color w:val="000000"/>
        </w:rPr>
        <w:t>(</w:t>
      </w:r>
      <w:r w:rsidR="00C21D77">
        <w:rPr>
          <w:color w:val="000000"/>
        </w:rPr>
        <w:t>nine</w:t>
      </w:r>
      <w:r w:rsidR="002F2105" w:rsidRPr="00B02C69">
        <w:rPr>
          <w:color w:val="000000"/>
        </w:rPr>
        <w:t xml:space="preserve"> months </w:t>
      </w:r>
      <w:r w:rsidR="00C21D77">
        <w:rPr>
          <w:color w:val="000000"/>
        </w:rPr>
        <w:t xml:space="preserve">after </w:t>
      </w:r>
      <w:r w:rsidR="002F2105" w:rsidRPr="00B02C69">
        <w:rPr>
          <w:color w:val="000000"/>
        </w:rPr>
        <w:t>separation</w:t>
      </w:r>
      <w:r w:rsidR="005804A7">
        <w:rPr>
          <w:color w:val="000000"/>
        </w:rPr>
        <w:t>)</w:t>
      </w:r>
      <w:r w:rsidR="002F2105" w:rsidRPr="00B02C69">
        <w:rPr>
          <w:color w:val="000000"/>
        </w:rPr>
        <w:t xml:space="preserve">, the physician noted intermittent symptoms of pain and edema in the </w:t>
      </w:r>
      <w:r w:rsidR="005804A7">
        <w:rPr>
          <w:color w:val="000000"/>
        </w:rPr>
        <w:t>LLE; although, DVT symptoms were not active at that time</w:t>
      </w:r>
      <w:r w:rsidR="002F2105" w:rsidRPr="00B02C69">
        <w:rPr>
          <w:color w:val="000000"/>
        </w:rPr>
        <w:t>.</w:t>
      </w:r>
      <w:r w:rsidR="005804A7">
        <w:rPr>
          <w:color w:val="000000"/>
        </w:rPr>
        <w:t xml:space="preserve">  He also noted d</w:t>
      </w:r>
      <w:r w:rsidR="002F2105" w:rsidRPr="00B02C69">
        <w:rPr>
          <w:color w:val="000000"/>
        </w:rPr>
        <w:t>ark pigmentation and ulceration of the skin</w:t>
      </w:r>
      <w:r w:rsidR="00FF5E26">
        <w:rPr>
          <w:color w:val="000000"/>
        </w:rPr>
        <w:t xml:space="preserve">; but, the exam provided no specific documentation </w:t>
      </w:r>
      <w:r w:rsidR="00424BEB">
        <w:rPr>
          <w:color w:val="000000"/>
        </w:rPr>
        <w:t>of the presence or</w:t>
      </w:r>
      <w:r w:rsidR="007964D8">
        <w:rPr>
          <w:color w:val="000000"/>
        </w:rPr>
        <w:t xml:space="preserve"> degree of real-time LLE edema.</w:t>
      </w:r>
    </w:p>
    <w:p w:rsidR="002F2105" w:rsidRDefault="002F2105" w:rsidP="00D536BB">
      <w:pPr>
        <w:ind w:left="432"/>
        <w:jc w:val="both"/>
        <w:rPr>
          <w:rFonts w:cs="Times New Roman"/>
          <w:color w:val="FF0000"/>
        </w:rPr>
      </w:pPr>
    </w:p>
    <w:p w:rsidR="00403B80" w:rsidRDefault="00D536BB" w:rsidP="00C82DB4">
      <w:pPr>
        <w:jc w:val="both"/>
        <w:rPr>
          <w:color w:val="000000"/>
        </w:rPr>
      </w:pPr>
      <w:proofErr w:type="gramStart"/>
      <w:r>
        <w:rPr>
          <w:iCs/>
          <w:color w:val="auto"/>
          <w:u w:val="single"/>
        </w:rPr>
        <w:t>R</w:t>
      </w:r>
      <w:r w:rsidR="00C82DB4">
        <w:rPr>
          <w:iCs/>
          <w:color w:val="auto"/>
          <w:u w:val="single"/>
        </w:rPr>
        <w:t xml:space="preserve">ight </w:t>
      </w:r>
      <w:r>
        <w:rPr>
          <w:iCs/>
          <w:color w:val="auto"/>
          <w:u w:val="single"/>
        </w:rPr>
        <w:t>L</w:t>
      </w:r>
      <w:r w:rsidR="00C82DB4">
        <w:rPr>
          <w:iCs/>
          <w:color w:val="auto"/>
          <w:u w:val="single"/>
        </w:rPr>
        <w:t xml:space="preserve">ower </w:t>
      </w:r>
      <w:r>
        <w:rPr>
          <w:iCs/>
          <w:color w:val="auto"/>
          <w:u w:val="single"/>
        </w:rPr>
        <w:t>E</w:t>
      </w:r>
      <w:r w:rsidR="00C82DB4">
        <w:rPr>
          <w:iCs/>
          <w:color w:val="auto"/>
          <w:u w:val="single"/>
        </w:rPr>
        <w:t>xtremity</w:t>
      </w:r>
      <w:r w:rsidR="002F2105" w:rsidRPr="00D536BB">
        <w:rPr>
          <w:rFonts w:cs="Times New Roman"/>
          <w:color w:val="auto"/>
        </w:rPr>
        <w:t>.</w:t>
      </w:r>
      <w:proofErr w:type="gramEnd"/>
      <w:r w:rsidR="002F2105">
        <w:rPr>
          <w:rFonts w:cs="Times New Roman"/>
          <w:color w:val="auto"/>
        </w:rPr>
        <w:t xml:space="preserve"> </w:t>
      </w:r>
      <w:r w:rsidR="002F2105">
        <w:rPr>
          <w:color w:val="000000"/>
        </w:rPr>
        <w:t>The CI first reported pain, redness and swelling in his right calf in 2005.</w:t>
      </w:r>
      <w:r w:rsidR="00424BEB">
        <w:rPr>
          <w:color w:val="000000"/>
        </w:rPr>
        <w:t xml:space="preserve"> </w:t>
      </w:r>
      <w:r w:rsidR="002F2105">
        <w:rPr>
          <w:color w:val="000000"/>
        </w:rPr>
        <w:t xml:space="preserve"> He was </w:t>
      </w:r>
      <w:r w:rsidR="000B5204">
        <w:rPr>
          <w:color w:val="000000"/>
        </w:rPr>
        <w:t xml:space="preserve">initially </w:t>
      </w:r>
      <w:r w:rsidR="002F2105">
        <w:rPr>
          <w:color w:val="000000"/>
        </w:rPr>
        <w:t>treated for calf strain</w:t>
      </w:r>
      <w:r w:rsidR="000B5204">
        <w:rPr>
          <w:color w:val="000000"/>
        </w:rPr>
        <w:t xml:space="preserve">, but an ultrasound that </w:t>
      </w:r>
      <w:r w:rsidR="00E90C73">
        <w:rPr>
          <w:color w:val="000000"/>
        </w:rPr>
        <w:t xml:space="preserve">same </w:t>
      </w:r>
      <w:r w:rsidR="000B5204">
        <w:rPr>
          <w:color w:val="000000"/>
        </w:rPr>
        <w:t xml:space="preserve">year suggested </w:t>
      </w:r>
      <w:proofErr w:type="spellStart"/>
      <w:r w:rsidR="000B5204">
        <w:rPr>
          <w:color w:val="000000"/>
        </w:rPr>
        <w:t>cellulitis</w:t>
      </w:r>
      <w:proofErr w:type="spellEnd"/>
      <w:r w:rsidR="000B5204">
        <w:rPr>
          <w:color w:val="000000"/>
        </w:rPr>
        <w:t>; but, excluded DVT.</w:t>
      </w:r>
      <w:r w:rsidR="002F2105">
        <w:rPr>
          <w:color w:val="000000"/>
        </w:rPr>
        <w:t xml:space="preserve"> After </w:t>
      </w:r>
      <w:r w:rsidR="000A08B2">
        <w:rPr>
          <w:color w:val="000000"/>
        </w:rPr>
        <w:t xml:space="preserve">the LLE condition </w:t>
      </w:r>
      <w:r w:rsidR="002F2105">
        <w:rPr>
          <w:color w:val="000000"/>
        </w:rPr>
        <w:t>was</w:t>
      </w:r>
      <w:r w:rsidR="000A08B2">
        <w:rPr>
          <w:color w:val="000000"/>
        </w:rPr>
        <w:t xml:space="preserve"> diagnosed and anticoagulation</w:t>
      </w:r>
      <w:r w:rsidR="002F2105">
        <w:rPr>
          <w:color w:val="000000"/>
        </w:rPr>
        <w:t xml:space="preserve"> </w:t>
      </w:r>
      <w:r w:rsidR="000A08B2">
        <w:rPr>
          <w:color w:val="000000"/>
        </w:rPr>
        <w:t>begun</w:t>
      </w:r>
      <w:r w:rsidR="002F2105">
        <w:rPr>
          <w:color w:val="000000"/>
        </w:rPr>
        <w:t xml:space="preserve">, </w:t>
      </w:r>
      <w:r w:rsidR="000B5204">
        <w:rPr>
          <w:color w:val="000000"/>
        </w:rPr>
        <w:t xml:space="preserve">the predominant clinical attention was </w:t>
      </w:r>
      <w:r w:rsidR="00295A92">
        <w:rPr>
          <w:color w:val="000000"/>
        </w:rPr>
        <w:t xml:space="preserve">focused </w:t>
      </w:r>
      <w:r w:rsidR="000B5204">
        <w:rPr>
          <w:color w:val="000000"/>
        </w:rPr>
        <w:t>o</w:t>
      </w:r>
      <w:r w:rsidR="00295A92">
        <w:rPr>
          <w:color w:val="000000"/>
        </w:rPr>
        <w:t>n</w:t>
      </w:r>
      <w:r w:rsidR="000B5204">
        <w:rPr>
          <w:color w:val="000000"/>
        </w:rPr>
        <w:t xml:space="preserve"> the LLE.  T</w:t>
      </w:r>
      <w:r w:rsidR="002F2105">
        <w:rPr>
          <w:color w:val="000000"/>
        </w:rPr>
        <w:t>he</w:t>
      </w:r>
      <w:r w:rsidR="00295A92">
        <w:rPr>
          <w:color w:val="000000"/>
        </w:rPr>
        <w:t>re is</w:t>
      </w:r>
      <w:r w:rsidR="002F2105">
        <w:rPr>
          <w:color w:val="000000"/>
        </w:rPr>
        <w:t xml:space="preserve"> </w:t>
      </w:r>
      <w:r w:rsidR="00295A92">
        <w:rPr>
          <w:rFonts w:cs="Times New Roman"/>
          <w:color w:val="auto"/>
        </w:rPr>
        <w:t xml:space="preserve">no ultrasonic confirmation of DVT of the RLE in evidence at any point before or after separation.  There are passing notes, both the one noted above before the DVT and </w:t>
      </w:r>
      <w:proofErr w:type="spellStart"/>
      <w:r w:rsidR="00295A92">
        <w:rPr>
          <w:rFonts w:cs="Times New Roman"/>
          <w:color w:val="auto"/>
        </w:rPr>
        <w:t>coagulopathy</w:t>
      </w:r>
      <w:proofErr w:type="spellEnd"/>
      <w:r w:rsidR="00295A92">
        <w:rPr>
          <w:rFonts w:cs="Times New Roman"/>
          <w:color w:val="auto"/>
        </w:rPr>
        <w:t xml:space="preserve"> diagnoses and subsequently</w:t>
      </w:r>
      <w:r w:rsidR="00E90C73">
        <w:rPr>
          <w:rFonts w:cs="Times New Roman"/>
          <w:color w:val="auto"/>
        </w:rPr>
        <w:t>,</w:t>
      </w:r>
      <w:r w:rsidR="00295A92">
        <w:rPr>
          <w:rFonts w:cs="Times New Roman"/>
          <w:color w:val="auto"/>
        </w:rPr>
        <w:t xml:space="preserve"> which note bilateral symptoms.  It may be assumed that there was an intermittent (or possibly constant) bilateral pain complaint; although, it would be speculative to assume that there was edema (intermittent </w:t>
      </w:r>
      <w:r w:rsidR="00403B80">
        <w:rPr>
          <w:rFonts w:cs="Times New Roman"/>
          <w:color w:val="auto"/>
        </w:rPr>
        <w:t xml:space="preserve">or persistent) of the </w:t>
      </w:r>
      <w:r w:rsidR="00F00F5B">
        <w:rPr>
          <w:rFonts w:cs="Times New Roman"/>
          <w:color w:val="auto"/>
        </w:rPr>
        <w:t>R</w:t>
      </w:r>
      <w:r w:rsidR="00403B80">
        <w:rPr>
          <w:rFonts w:cs="Times New Roman"/>
          <w:color w:val="auto"/>
        </w:rPr>
        <w:t xml:space="preserve">LE.  There is no </w:t>
      </w:r>
      <w:r w:rsidR="00E90C73">
        <w:rPr>
          <w:rFonts w:cs="Times New Roman"/>
          <w:color w:val="auto"/>
        </w:rPr>
        <w:t>focused</w:t>
      </w:r>
      <w:r w:rsidR="00403B80">
        <w:rPr>
          <w:rFonts w:cs="Times New Roman"/>
          <w:color w:val="auto"/>
        </w:rPr>
        <w:t xml:space="preserve"> RLE exam documented in t</w:t>
      </w:r>
      <w:r w:rsidR="00295A92">
        <w:rPr>
          <w:rFonts w:cs="Times New Roman"/>
          <w:color w:val="auto"/>
        </w:rPr>
        <w:t xml:space="preserve">he </w:t>
      </w:r>
      <w:r w:rsidR="00403B80">
        <w:rPr>
          <w:rFonts w:cs="Times New Roman"/>
          <w:color w:val="auto"/>
        </w:rPr>
        <w:t>outpatient records proximate to separation, in the MEB physical, or in the narrative summary</w:t>
      </w:r>
      <w:r w:rsidR="00C21D77">
        <w:rPr>
          <w:rFonts w:cs="Times New Roman"/>
          <w:color w:val="auto"/>
        </w:rPr>
        <w:t xml:space="preserve"> (NARSUM)</w:t>
      </w:r>
      <w:r w:rsidR="00403B80">
        <w:rPr>
          <w:rFonts w:cs="Times New Roman"/>
          <w:color w:val="auto"/>
        </w:rPr>
        <w:t xml:space="preserve">.  The VA C&amp;P examiner documented a normal neurologic exam of the RLE, but did not comment on other physical findings.  </w:t>
      </w:r>
      <w:r w:rsidR="00403B80">
        <w:rPr>
          <w:color w:val="000000"/>
        </w:rPr>
        <w:t xml:space="preserve">The post-separation VA rating decision </w:t>
      </w:r>
      <w:r w:rsidR="00C21D77">
        <w:rPr>
          <w:color w:val="000000"/>
        </w:rPr>
        <w:t xml:space="preserve">(VARD) </w:t>
      </w:r>
      <w:r w:rsidR="00403B80">
        <w:rPr>
          <w:color w:val="000000"/>
        </w:rPr>
        <w:t>stated that the RLE was “within normal limits</w:t>
      </w:r>
      <w:r w:rsidR="00C21D77">
        <w:rPr>
          <w:color w:val="000000"/>
        </w:rPr>
        <w:t>;</w:t>
      </w:r>
      <w:r w:rsidR="00403B80">
        <w:rPr>
          <w:color w:val="000000"/>
        </w:rPr>
        <w:t>” but, that would have been a simply a</w:t>
      </w:r>
      <w:r w:rsidR="00E90C73">
        <w:rPr>
          <w:color w:val="000000"/>
        </w:rPr>
        <w:t>n</w:t>
      </w:r>
      <w:r w:rsidR="00403B80">
        <w:rPr>
          <w:color w:val="000000"/>
        </w:rPr>
        <w:t xml:space="preserve"> </w:t>
      </w:r>
      <w:r w:rsidR="00E90C73">
        <w:rPr>
          <w:color w:val="000000"/>
        </w:rPr>
        <w:t>assumption</w:t>
      </w:r>
      <w:r w:rsidR="00403B80">
        <w:rPr>
          <w:color w:val="000000"/>
        </w:rPr>
        <w:t xml:space="preserve"> based on the C&amp;P </w:t>
      </w:r>
      <w:r w:rsidR="00E90C73">
        <w:rPr>
          <w:color w:val="000000"/>
        </w:rPr>
        <w:t>exam</w:t>
      </w:r>
      <w:r w:rsidR="00403B80">
        <w:rPr>
          <w:color w:val="000000"/>
        </w:rPr>
        <w:t xml:space="preserve">.  A vascular flow study was performed by the VA (9 months post-separation) which </w:t>
      </w:r>
      <w:r w:rsidR="00F96EB4">
        <w:rPr>
          <w:color w:val="000000"/>
        </w:rPr>
        <w:t xml:space="preserve">noted “minimal decrease” in RLE vascular flow parameters.  Regarding evidence directed at fitness considerations, </w:t>
      </w:r>
      <w:r w:rsidR="00F96EB4">
        <w:rPr>
          <w:color w:val="auto"/>
        </w:rPr>
        <w:t>the commander’s statement referred to “extreme debilitating pain in both legs</w:t>
      </w:r>
      <w:r w:rsidR="00C21D77">
        <w:rPr>
          <w:color w:val="auto"/>
        </w:rPr>
        <w:t>.</w:t>
      </w:r>
      <w:r w:rsidR="00F96EB4">
        <w:rPr>
          <w:color w:val="auto"/>
        </w:rPr>
        <w:t>”  As just detailed, however, there is no corroboration for the commander’s conclusion.</w:t>
      </w:r>
      <w:r w:rsidR="00F96EB4" w:rsidRPr="00F96EB4">
        <w:rPr>
          <w:color w:val="auto"/>
        </w:rPr>
        <w:t xml:space="preserve"> </w:t>
      </w:r>
      <w:r w:rsidR="00F96EB4">
        <w:rPr>
          <w:color w:val="auto"/>
        </w:rPr>
        <w:t xml:space="preserve"> The MEB’s correlation with AR 4-501 retention standards, the profile limitations, and the PEB’s DA Form 199 went to the </w:t>
      </w:r>
      <w:proofErr w:type="spellStart"/>
      <w:r w:rsidR="00F96EB4">
        <w:rPr>
          <w:color w:val="auto"/>
        </w:rPr>
        <w:t>coagulopathy</w:t>
      </w:r>
      <w:proofErr w:type="spellEnd"/>
      <w:r w:rsidR="00F96EB4">
        <w:rPr>
          <w:color w:val="auto"/>
        </w:rPr>
        <w:t xml:space="preserve"> rather than extremity impairment; and, therefore are not relevant </w:t>
      </w:r>
      <w:r w:rsidR="00E90C73">
        <w:rPr>
          <w:color w:val="auto"/>
        </w:rPr>
        <w:t xml:space="preserve">to </w:t>
      </w:r>
      <w:r w:rsidR="00F96EB4">
        <w:rPr>
          <w:color w:val="auto"/>
        </w:rPr>
        <w:t xml:space="preserve">a fitness distinction between the two lower extremities.  </w:t>
      </w:r>
    </w:p>
    <w:p w:rsidR="002F2105" w:rsidRDefault="002F2105" w:rsidP="00B02C69">
      <w:pPr>
        <w:jc w:val="both"/>
        <w:rPr>
          <w:rFonts w:cs="Times New Roman"/>
          <w:color w:val="auto"/>
        </w:rPr>
      </w:pPr>
    </w:p>
    <w:p w:rsidR="00026780" w:rsidRDefault="0066385F" w:rsidP="00F96EB4">
      <w:pPr>
        <w:jc w:val="both"/>
        <w:rPr>
          <w:color w:val="auto"/>
          <w:szCs w:val="24"/>
        </w:rPr>
      </w:pPr>
      <w:r w:rsidRPr="0066385F">
        <w:rPr>
          <w:color w:val="auto"/>
          <w:szCs w:val="24"/>
        </w:rPr>
        <w:t xml:space="preserve">The Board directs attention to its </w:t>
      </w:r>
      <w:r w:rsidR="00E90C73">
        <w:rPr>
          <w:color w:val="auto"/>
          <w:szCs w:val="24"/>
        </w:rPr>
        <w:t xml:space="preserve">fitness and </w:t>
      </w:r>
      <w:r w:rsidRPr="0066385F">
        <w:rPr>
          <w:color w:val="auto"/>
          <w:szCs w:val="24"/>
        </w:rPr>
        <w:t>rating recommendation</w:t>
      </w:r>
      <w:r w:rsidR="00E90C73">
        <w:rPr>
          <w:color w:val="auto"/>
          <w:szCs w:val="24"/>
        </w:rPr>
        <w:t>s</w:t>
      </w:r>
      <w:r w:rsidRPr="0066385F">
        <w:rPr>
          <w:color w:val="auto"/>
          <w:szCs w:val="24"/>
        </w:rPr>
        <w:t xml:space="preserve"> based on the above evidence.</w:t>
      </w:r>
      <w:r>
        <w:rPr>
          <w:color w:val="auto"/>
          <w:szCs w:val="24"/>
        </w:rPr>
        <w:t xml:space="preserve">  </w:t>
      </w:r>
      <w:r w:rsidR="00E90C73">
        <w:rPr>
          <w:color w:val="auto"/>
          <w:szCs w:val="24"/>
        </w:rPr>
        <w:t xml:space="preserve">The Board first considered if the </w:t>
      </w:r>
      <w:r w:rsidR="00842823">
        <w:rPr>
          <w:color w:val="auto"/>
          <w:szCs w:val="24"/>
        </w:rPr>
        <w:t xml:space="preserve">rating for the </w:t>
      </w:r>
      <w:r w:rsidR="00E90C73">
        <w:rPr>
          <w:color w:val="auto"/>
          <w:szCs w:val="24"/>
        </w:rPr>
        <w:t xml:space="preserve">unfitting </w:t>
      </w:r>
      <w:proofErr w:type="spellStart"/>
      <w:r w:rsidR="00E90C73">
        <w:rPr>
          <w:color w:val="auto"/>
          <w:szCs w:val="24"/>
        </w:rPr>
        <w:t>coagulopathy</w:t>
      </w:r>
      <w:proofErr w:type="spellEnd"/>
      <w:r w:rsidR="00E90C73">
        <w:rPr>
          <w:color w:val="auto"/>
          <w:szCs w:val="24"/>
        </w:rPr>
        <w:t xml:space="preserve"> should be based on the residuals of both lower extremities, </w:t>
      </w:r>
      <w:r w:rsidR="00842823">
        <w:rPr>
          <w:color w:val="auto"/>
          <w:szCs w:val="24"/>
        </w:rPr>
        <w:t>with the underlying assumption that</w:t>
      </w:r>
      <w:r w:rsidR="00E90C73">
        <w:rPr>
          <w:color w:val="auto"/>
          <w:szCs w:val="24"/>
        </w:rPr>
        <w:t xml:space="preserve"> each </w:t>
      </w:r>
      <w:r w:rsidR="00842823">
        <w:rPr>
          <w:color w:val="auto"/>
          <w:szCs w:val="24"/>
        </w:rPr>
        <w:t xml:space="preserve">was </w:t>
      </w:r>
      <w:r w:rsidR="00E90C73">
        <w:rPr>
          <w:color w:val="auto"/>
          <w:szCs w:val="24"/>
        </w:rPr>
        <w:t xml:space="preserve">separately unfitting </w:t>
      </w:r>
      <w:r w:rsidR="00842823">
        <w:rPr>
          <w:color w:val="auto"/>
          <w:szCs w:val="24"/>
        </w:rPr>
        <w:t>(</w:t>
      </w:r>
      <w:r w:rsidR="00E90C73">
        <w:rPr>
          <w:color w:val="auto"/>
          <w:szCs w:val="24"/>
        </w:rPr>
        <w:t>as</w:t>
      </w:r>
      <w:r w:rsidR="00842823">
        <w:rPr>
          <w:color w:val="auto"/>
          <w:szCs w:val="24"/>
        </w:rPr>
        <w:t xml:space="preserve"> clarified in the initial discussion).  There is no doubt that the </w:t>
      </w:r>
      <w:proofErr w:type="spellStart"/>
      <w:r w:rsidR="00842823">
        <w:rPr>
          <w:color w:val="auto"/>
          <w:szCs w:val="24"/>
        </w:rPr>
        <w:t>coagulopathy</w:t>
      </w:r>
      <w:proofErr w:type="spellEnd"/>
      <w:r w:rsidR="00842823">
        <w:rPr>
          <w:color w:val="auto"/>
          <w:szCs w:val="24"/>
        </w:rPr>
        <w:t xml:space="preserve"> was unfitting, clearly implicating the LLE; and, it was readily concluded that the LLE was unfitting and ratable.  There was considerable deliberation as to whether the RLE was itself unfitting and therefore should </w:t>
      </w:r>
      <w:r w:rsidR="00C1492A">
        <w:rPr>
          <w:color w:val="auto"/>
          <w:szCs w:val="24"/>
        </w:rPr>
        <w:t>be rated and combined with the s</w:t>
      </w:r>
      <w:r w:rsidR="00842823">
        <w:rPr>
          <w:color w:val="auto"/>
          <w:szCs w:val="24"/>
        </w:rPr>
        <w:t xml:space="preserve">ervice rating for the </w:t>
      </w:r>
      <w:proofErr w:type="spellStart"/>
      <w:r w:rsidR="00842823">
        <w:rPr>
          <w:color w:val="auto"/>
          <w:szCs w:val="24"/>
        </w:rPr>
        <w:t>coagulopathy</w:t>
      </w:r>
      <w:proofErr w:type="spellEnd"/>
      <w:r w:rsidR="00842823">
        <w:rPr>
          <w:color w:val="auto"/>
          <w:szCs w:val="24"/>
        </w:rPr>
        <w:t xml:space="preserve">.  </w:t>
      </w:r>
      <w:r w:rsidR="00C21D77">
        <w:rPr>
          <w:color w:val="auto"/>
          <w:szCs w:val="24"/>
        </w:rPr>
        <w:t>The a</w:t>
      </w:r>
      <w:r w:rsidR="00043B3F">
        <w:rPr>
          <w:color w:val="auto"/>
          <w:szCs w:val="24"/>
        </w:rPr>
        <w:t xml:space="preserve">ction </w:t>
      </w:r>
      <w:r w:rsidR="00C21D77">
        <w:rPr>
          <w:color w:val="auto"/>
          <w:szCs w:val="24"/>
        </w:rPr>
        <w:t>o</w:t>
      </w:r>
      <w:r w:rsidR="00043B3F">
        <w:rPr>
          <w:color w:val="auto"/>
          <w:szCs w:val="24"/>
        </w:rPr>
        <w:t xml:space="preserve">fficer opined that some mild venous insufficiency of the RLE was likely present, and presumably a consequence of the underlying </w:t>
      </w:r>
      <w:proofErr w:type="spellStart"/>
      <w:r w:rsidR="00043B3F">
        <w:rPr>
          <w:color w:val="auto"/>
          <w:szCs w:val="24"/>
        </w:rPr>
        <w:t>coagulopathy</w:t>
      </w:r>
      <w:proofErr w:type="spellEnd"/>
      <w:r w:rsidR="00043B3F">
        <w:rPr>
          <w:color w:val="auto"/>
          <w:szCs w:val="24"/>
        </w:rPr>
        <w:t xml:space="preserve"> (possibly implying some clinically occult thrombotic disease).  The </w:t>
      </w:r>
      <w:r w:rsidR="00C21D77">
        <w:rPr>
          <w:color w:val="auto"/>
          <w:szCs w:val="24"/>
        </w:rPr>
        <w:t>a</w:t>
      </w:r>
      <w:r w:rsidR="00043B3F">
        <w:rPr>
          <w:color w:val="auto"/>
          <w:szCs w:val="24"/>
        </w:rPr>
        <w:t xml:space="preserve">ction </w:t>
      </w:r>
      <w:r w:rsidR="00C21D77">
        <w:rPr>
          <w:color w:val="auto"/>
          <w:szCs w:val="24"/>
        </w:rPr>
        <w:t>o</w:t>
      </w:r>
      <w:r w:rsidR="00043B3F">
        <w:rPr>
          <w:color w:val="auto"/>
          <w:szCs w:val="24"/>
        </w:rPr>
        <w:t xml:space="preserve">fficer was confident that there was no active thrombotic disease or </w:t>
      </w:r>
      <w:proofErr w:type="spellStart"/>
      <w:r w:rsidR="00043B3F">
        <w:rPr>
          <w:color w:val="auto"/>
          <w:szCs w:val="24"/>
        </w:rPr>
        <w:t>cellulitis</w:t>
      </w:r>
      <w:proofErr w:type="spellEnd"/>
      <w:r w:rsidR="00043B3F">
        <w:rPr>
          <w:color w:val="auto"/>
          <w:szCs w:val="24"/>
        </w:rPr>
        <w:t xml:space="preserve"> </w:t>
      </w:r>
      <w:r w:rsidR="00026780">
        <w:rPr>
          <w:color w:val="auto"/>
          <w:szCs w:val="24"/>
        </w:rPr>
        <w:t xml:space="preserve">of the RLE </w:t>
      </w:r>
      <w:r w:rsidR="00043B3F">
        <w:rPr>
          <w:color w:val="auto"/>
          <w:szCs w:val="24"/>
        </w:rPr>
        <w:t xml:space="preserve">at the time of separation, </w:t>
      </w:r>
      <w:r w:rsidR="00026780">
        <w:rPr>
          <w:color w:val="auto"/>
          <w:szCs w:val="24"/>
        </w:rPr>
        <w:t>n</w:t>
      </w:r>
      <w:r w:rsidR="00043B3F">
        <w:rPr>
          <w:color w:val="auto"/>
          <w:szCs w:val="24"/>
        </w:rPr>
        <w:t xml:space="preserve">or </w:t>
      </w:r>
      <w:r w:rsidR="00026780">
        <w:rPr>
          <w:color w:val="auto"/>
          <w:szCs w:val="24"/>
        </w:rPr>
        <w:t xml:space="preserve">was there a </w:t>
      </w:r>
      <w:r w:rsidR="00043B3F">
        <w:rPr>
          <w:color w:val="auto"/>
          <w:szCs w:val="24"/>
        </w:rPr>
        <w:t>prognos</w:t>
      </w:r>
      <w:r w:rsidR="00026780">
        <w:rPr>
          <w:color w:val="auto"/>
          <w:szCs w:val="24"/>
        </w:rPr>
        <w:t>is for likely recurrence of same</w:t>
      </w:r>
      <w:r w:rsidR="00043B3F">
        <w:rPr>
          <w:color w:val="auto"/>
          <w:szCs w:val="24"/>
        </w:rPr>
        <w:t xml:space="preserve">.  </w:t>
      </w:r>
      <w:r w:rsidR="00842823">
        <w:rPr>
          <w:color w:val="auto"/>
          <w:szCs w:val="24"/>
        </w:rPr>
        <w:t xml:space="preserve">Members concluded, </w:t>
      </w:r>
      <w:r w:rsidR="00026780">
        <w:rPr>
          <w:color w:val="auto"/>
          <w:szCs w:val="24"/>
        </w:rPr>
        <w:t>regarding RLE fitness consideration</w:t>
      </w:r>
      <w:r w:rsidR="00842823">
        <w:rPr>
          <w:color w:val="auto"/>
          <w:szCs w:val="24"/>
        </w:rPr>
        <w:t xml:space="preserve">, that although the commander’s </w:t>
      </w:r>
      <w:r w:rsidR="00043B3F">
        <w:rPr>
          <w:color w:val="auto"/>
          <w:szCs w:val="24"/>
        </w:rPr>
        <w:t>statement</w:t>
      </w:r>
      <w:r w:rsidR="00842823">
        <w:rPr>
          <w:color w:val="auto"/>
          <w:szCs w:val="24"/>
        </w:rPr>
        <w:t xml:space="preserve"> gives pause; there was no other </w:t>
      </w:r>
      <w:r w:rsidR="00026780">
        <w:rPr>
          <w:color w:val="auto"/>
          <w:szCs w:val="24"/>
        </w:rPr>
        <w:t xml:space="preserve">citable </w:t>
      </w:r>
      <w:r w:rsidR="00842823">
        <w:rPr>
          <w:color w:val="auto"/>
          <w:szCs w:val="24"/>
        </w:rPr>
        <w:t xml:space="preserve">evidence </w:t>
      </w:r>
      <w:r w:rsidR="00026780">
        <w:rPr>
          <w:color w:val="auto"/>
          <w:szCs w:val="24"/>
        </w:rPr>
        <w:t>which</w:t>
      </w:r>
      <w:r w:rsidR="00842823">
        <w:rPr>
          <w:color w:val="auto"/>
          <w:szCs w:val="24"/>
        </w:rPr>
        <w:t xml:space="preserve"> would </w:t>
      </w:r>
      <w:r w:rsidR="00043B3F">
        <w:rPr>
          <w:color w:val="auto"/>
          <w:szCs w:val="24"/>
        </w:rPr>
        <w:t>suggest that the RLE involvement was</w:t>
      </w:r>
      <w:r w:rsidR="00026780">
        <w:rPr>
          <w:color w:val="auto"/>
          <w:szCs w:val="24"/>
        </w:rPr>
        <w:t xml:space="preserve"> more than mild (even</w:t>
      </w:r>
      <w:r w:rsidR="00043B3F">
        <w:rPr>
          <w:color w:val="auto"/>
          <w:szCs w:val="24"/>
        </w:rPr>
        <w:t xml:space="preserve"> if actually present</w:t>
      </w:r>
      <w:r w:rsidR="00026780">
        <w:rPr>
          <w:color w:val="auto"/>
          <w:szCs w:val="24"/>
        </w:rPr>
        <w:t>)</w:t>
      </w:r>
      <w:r w:rsidR="00043B3F">
        <w:rPr>
          <w:color w:val="auto"/>
          <w:szCs w:val="24"/>
        </w:rPr>
        <w:t xml:space="preserve"> at the time of separation.  All members agreed</w:t>
      </w:r>
      <w:r w:rsidR="00026780">
        <w:rPr>
          <w:color w:val="auto"/>
          <w:szCs w:val="24"/>
        </w:rPr>
        <w:t>, therefore, that the R</w:t>
      </w:r>
      <w:r w:rsidR="00043B3F">
        <w:rPr>
          <w:color w:val="auto"/>
          <w:szCs w:val="24"/>
        </w:rPr>
        <w:t xml:space="preserve">LE </w:t>
      </w:r>
      <w:r w:rsidR="00026780">
        <w:rPr>
          <w:color w:val="auto"/>
          <w:szCs w:val="24"/>
        </w:rPr>
        <w:t xml:space="preserve">impairment would not have </w:t>
      </w:r>
      <w:r w:rsidR="004717FE">
        <w:rPr>
          <w:color w:val="auto"/>
          <w:szCs w:val="24"/>
        </w:rPr>
        <w:t xml:space="preserve">independently </w:t>
      </w:r>
      <w:r w:rsidR="00026780">
        <w:rPr>
          <w:color w:val="auto"/>
          <w:szCs w:val="24"/>
        </w:rPr>
        <w:t xml:space="preserve">rendered the CI incapable of fulfilling his MOS requirements or continuing his military service.  It was </w:t>
      </w:r>
      <w:r w:rsidR="004717FE">
        <w:rPr>
          <w:color w:val="auto"/>
          <w:szCs w:val="24"/>
        </w:rPr>
        <w:t xml:space="preserve">thus </w:t>
      </w:r>
      <w:r w:rsidR="00026780">
        <w:rPr>
          <w:color w:val="auto"/>
          <w:szCs w:val="24"/>
        </w:rPr>
        <w:t xml:space="preserve">concluded that a RLE rating should not be combined with the </w:t>
      </w:r>
      <w:proofErr w:type="spellStart"/>
      <w:r w:rsidR="00026780">
        <w:rPr>
          <w:color w:val="auto"/>
          <w:szCs w:val="24"/>
        </w:rPr>
        <w:t>coagulopathy</w:t>
      </w:r>
      <w:proofErr w:type="spellEnd"/>
      <w:r w:rsidR="00026780">
        <w:rPr>
          <w:color w:val="auto"/>
          <w:szCs w:val="24"/>
        </w:rPr>
        <w:t xml:space="preserve"> rating; and, furthermore, that achieving a compensable RLE rating would be poorly supported even if so conceded.  </w:t>
      </w:r>
    </w:p>
    <w:p w:rsidR="00026780" w:rsidRDefault="00026780" w:rsidP="00F96EB4">
      <w:pPr>
        <w:jc w:val="both"/>
        <w:rPr>
          <w:color w:val="auto"/>
          <w:szCs w:val="24"/>
        </w:rPr>
      </w:pPr>
    </w:p>
    <w:p w:rsidR="00F96EB4" w:rsidRDefault="004717FE" w:rsidP="00F96EB4">
      <w:pPr>
        <w:jc w:val="both"/>
        <w:rPr>
          <w:color w:val="auto"/>
          <w:szCs w:val="24"/>
        </w:rPr>
      </w:pPr>
      <w:r>
        <w:rPr>
          <w:color w:val="auto"/>
          <w:szCs w:val="24"/>
        </w:rPr>
        <w:t>Regarding is</w:t>
      </w:r>
      <w:r w:rsidR="00026780">
        <w:rPr>
          <w:color w:val="auto"/>
          <w:szCs w:val="24"/>
        </w:rPr>
        <w:t xml:space="preserve"> rating </w:t>
      </w:r>
      <w:r>
        <w:rPr>
          <w:color w:val="auto"/>
          <w:szCs w:val="24"/>
        </w:rPr>
        <w:t xml:space="preserve">recommendation </w:t>
      </w:r>
      <w:r w:rsidR="00026780">
        <w:rPr>
          <w:color w:val="auto"/>
          <w:szCs w:val="24"/>
        </w:rPr>
        <w:t>based on the LLE findings</w:t>
      </w:r>
      <w:r>
        <w:rPr>
          <w:color w:val="auto"/>
          <w:szCs w:val="24"/>
        </w:rPr>
        <w:t xml:space="preserve">, the Board notes the following spectrum of deliberated ratings as defined by </w:t>
      </w:r>
      <w:r w:rsidRPr="00664296">
        <w:rPr>
          <w:color w:val="auto"/>
        </w:rPr>
        <w:t>§4.104</w:t>
      </w:r>
      <w:r>
        <w:rPr>
          <w:color w:val="auto"/>
        </w:rPr>
        <w:t xml:space="preserve"> </w:t>
      </w:r>
      <w:r>
        <w:rPr>
          <w:color w:val="auto"/>
          <w:szCs w:val="24"/>
        </w:rPr>
        <w:t>under the applicable codes:</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r w:rsidRPr="004717FE">
        <w:rPr>
          <w:rFonts w:cs="Times New Roman"/>
          <w:color w:val="000000"/>
          <w:sz w:val="20"/>
        </w:rPr>
        <w:t xml:space="preserve">Persistent edema and stasis pigmentation or eczema, with or without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roofErr w:type="gramStart"/>
      <w:r w:rsidRPr="004717FE">
        <w:rPr>
          <w:rFonts w:cs="Times New Roman"/>
          <w:color w:val="000000"/>
          <w:sz w:val="20"/>
        </w:rPr>
        <w:t>intermittent</w:t>
      </w:r>
      <w:proofErr w:type="gramEnd"/>
      <w:r w:rsidRPr="004717FE">
        <w:rPr>
          <w:rFonts w:cs="Times New Roman"/>
          <w:color w:val="000000"/>
          <w:sz w:val="20"/>
        </w:rPr>
        <w:t xml:space="preserve"> ulceration ................................................................................................................40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r w:rsidRPr="004717FE">
        <w:rPr>
          <w:rFonts w:cs="Times New Roman"/>
          <w:color w:val="000000"/>
          <w:sz w:val="20"/>
        </w:rPr>
        <w:t xml:space="preserve">Persistent edema, incompletely relieved by elevation of extremity,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roofErr w:type="gramStart"/>
      <w:r w:rsidRPr="004717FE">
        <w:rPr>
          <w:rFonts w:cs="Times New Roman"/>
          <w:color w:val="000000"/>
          <w:sz w:val="20"/>
        </w:rPr>
        <w:t>with</w:t>
      </w:r>
      <w:proofErr w:type="gramEnd"/>
      <w:r w:rsidRPr="004717FE">
        <w:rPr>
          <w:rFonts w:cs="Times New Roman"/>
          <w:color w:val="000000"/>
          <w:sz w:val="20"/>
        </w:rPr>
        <w:t xml:space="preserve"> or without beginning stasis pigmentation or eczema ..........................................................20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r w:rsidRPr="004717FE">
        <w:rPr>
          <w:rFonts w:cs="Times New Roman"/>
          <w:color w:val="000000"/>
          <w:sz w:val="20"/>
        </w:rPr>
        <w:t xml:space="preserve">Intermittent edema of extremity or aching and fatigue in leg after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roofErr w:type="gramStart"/>
      <w:r w:rsidRPr="004717FE">
        <w:rPr>
          <w:rFonts w:cs="Times New Roman"/>
          <w:color w:val="000000"/>
          <w:sz w:val="20"/>
        </w:rPr>
        <w:t>prolonged</w:t>
      </w:r>
      <w:proofErr w:type="gramEnd"/>
      <w:r w:rsidRPr="004717FE">
        <w:rPr>
          <w:rFonts w:cs="Times New Roman"/>
          <w:color w:val="000000"/>
          <w:sz w:val="20"/>
        </w:rPr>
        <w:t xml:space="preserve"> standing or walking, with symptoms relieved by elevation of </w:t>
      </w:r>
    </w:p>
    <w:p w:rsidR="004717FE" w:rsidRPr="004717FE" w:rsidRDefault="004717FE" w:rsidP="004717FE">
      <w:pPr>
        <w:widowControl w:val="0"/>
        <w:autoSpaceDE w:val="0"/>
        <w:autoSpaceDN w:val="0"/>
        <w:adjustRightInd w:val="0"/>
        <w:spacing w:line="200" w:lineRule="exact"/>
        <w:ind w:left="720" w:right="720"/>
        <w:jc w:val="left"/>
        <w:rPr>
          <w:rFonts w:cs="Times New Roman"/>
          <w:color w:val="000000"/>
          <w:sz w:val="20"/>
        </w:rPr>
      </w:pPr>
      <w:proofErr w:type="gramStart"/>
      <w:r w:rsidRPr="004717FE">
        <w:rPr>
          <w:rFonts w:cs="Times New Roman"/>
          <w:color w:val="000000"/>
          <w:sz w:val="20"/>
        </w:rPr>
        <w:t>extremity</w:t>
      </w:r>
      <w:proofErr w:type="gramEnd"/>
      <w:r w:rsidRPr="004717FE">
        <w:rPr>
          <w:rFonts w:cs="Times New Roman"/>
          <w:color w:val="000000"/>
          <w:sz w:val="20"/>
        </w:rPr>
        <w:t xml:space="preserve"> or compression hosiery ...............................................................................................10 </w:t>
      </w:r>
    </w:p>
    <w:p w:rsidR="004717FE" w:rsidRPr="004717FE" w:rsidRDefault="004717FE" w:rsidP="004717FE">
      <w:pPr>
        <w:spacing w:line="200" w:lineRule="exact"/>
        <w:ind w:left="720" w:right="720"/>
        <w:jc w:val="left"/>
        <w:rPr>
          <w:rFonts w:cs="Times New Roman"/>
          <w:color w:val="000000"/>
          <w:sz w:val="20"/>
        </w:rPr>
      </w:pPr>
    </w:p>
    <w:p w:rsidR="004717FE" w:rsidRPr="004717FE" w:rsidRDefault="004717FE" w:rsidP="004717FE">
      <w:pPr>
        <w:spacing w:line="200" w:lineRule="exact"/>
        <w:ind w:left="720" w:right="720"/>
        <w:jc w:val="both"/>
        <w:rPr>
          <w:color w:val="000000"/>
          <w:sz w:val="20"/>
        </w:rPr>
      </w:pPr>
      <w:r w:rsidRPr="004717FE">
        <w:rPr>
          <w:rFonts w:cs="Times New Roman"/>
          <w:color w:val="000000"/>
          <w:sz w:val="20"/>
        </w:rPr>
        <w:t>Asymptomatic palpable or visible varicose veins ..............</w:t>
      </w:r>
      <w:r>
        <w:rPr>
          <w:rFonts w:cs="Times New Roman"/>
          <w:color w:val="000000"/>
          <w:sz w:val="20"/>
        </w:rPr>
        <w:t>...........................</w:t>
      </w:r>
      <w:r w:rsidRPr="004717FE">
        <w:rPr>
          <w:rFonts w:cs="Times New Roman"/>
          <w:color w:val="000000"/>
          <w:sz w:val="20"/>
        </w:rPr>
        <w:t>............................0</w:t>
      </w:r>
    </w:p>
    <w:p w:rsidR="0066385F" w:rsidRDefault="0066385F" w:rsidP="00F96EB4">
      <w:pPr>
        <w:jc w:val="both"/>
        <w:rPr>
          <w:color w:val="auto"/>
        </w:rPr>
      </w:pPr>
    </w:p>
    <w:p w:rsidR="004A3D07" w:rsidRPr="004A3D07" w:rsidRDefault="004717FE" w:rsidP="004A3D07">
      <w:pPr>
        <w:jc w:val="both"/>
        <w:rPr>
          <w:rFonts w:eastAsia="HiddenHorzOCR"/>
          <w:color w:val="000000"/>
        </w:rPr>
      </w:pPr>
      <w:r w:rsidRPr="004717FE">
        <w:rPr>
          <w:rFonts w:eastAsia="HiddenHorzOCR"/>
          <w:color w:val="000000"/>
        </w:rPr>
        <w:t>Although</w:t>
      </w:r>
      <w:r>
        <w:rPr>
          <w:rFonts w:eastAsia="HiddenHorzOCR"/>
          <w:color w:val="000000"/>
        </w:rPr>
        <w:t xml:space="preserve"> there was single note, as cited above, documenting an edema free exam; the preponderance of the clinical evidence would support a conclusion that the edema was more or less persistent; i.e., consistent with the 20% rating.  The stasis pigmentation cited for 20% was also present.  The VA examiner noted ulceration, which is cited in the 40% criteria.  Ulceration is not worded </w:t>
      </w:r>
      <w:r w:rsidR="004A3D07">
        <w:rPr>
          <w:rFonts w:eastAsia="HiddenHorzOCR"/>
          <w:color w:val="000000"/>
        </w:rPr>
        <w:t xml:space="preserve">in obligatory terms, however, and ulceration during the probative rating period was not documented elsewhere in the record.  The preponderance of the clinical evidence (as with the edema argument above) therefore was not consistent with the 40% criteria.  </w:t>
      </w:r>
      <w:r w:rsidR="004A3D07" w:rsidRPr="004A3D07">
        <w:rPr>
          <w:rFonts w:eastAsia="HiddenHorzOCR"/>
          <w:color w:val="000000"/>
        </w:rPr>
        <w:t xml:space="preserve">After due deliberation, considering all of the evidence and mindful of VASRD §4.3 (reasonable doubt), the Board recommends a separation rating of </w:t>
      </w:r>
      <w:r w:rsidR="004A3D07">
        <w:rPr>
          <w:rFonts w:eastAsia="HiddenHorzOCR"/>
          <w:color w:val="000000"/>
        </w:rPr>
        <w:t>2</w:t>
      </w:r>
      <w:r w:rsidR="004A3D07" w:rsidRPr="004A3D07">
        <w:rPr>
          <w:rFonts w:eastAsia="HiddenHorzOCR"/>
          <w:color w:val="000000"/>
        </w:rPr>
        <w:t>0% for the condition</w:t>
      </w:r>
      <w:r w:rsidR="004A3D07">
        <w:rPr>
          <w:rFonts w:eastAsia="HiddenHorzOCR"/>
          <w:color w:val="000000"/>
        </w:rPr>
        <w:t xml:space="preserve"> of </w:t>
      </w:r>
      <w:proofErr w:type="spellStart"/>
      <w:r w:rsidR="004A3D07">
        <w:rPr>
          <w:rFonts w:eastAsia="HiddenHorzOCR"/>
          <w:color w:val="000000"/>
        </w:rPr>
        <w:t>hypercoaguable</w:t>
      </w:r>
      <w:proofErr w:type="spellEnd"/>
      <w:r w:rsidR="004A3D07">
        <w:rPr>
          <w:rFonts w:eastAsia="HiddenHorzOCR"/>
          <w:color w:val="000000"/>
        </w:rPr>
        <w:t xml:space="preserve"> state due to </w:t>
      </w:r>
      <w:r w:rsidR="00C21D77">
        <w:rPr>
          <w:rFonts w:eastAsia="HiddenHorzOCR"/>
          <w:color w:val="000000"/>
        </w:rPr>
        <w:t>f</w:t>
      </w:r>
      <w:r w:rsidR="004A3D07">
        <w:rPr>
          <w:rFonts w:eastAsia="HiddenHorzOCR"/>
          <w:color w:val="000000"/>
        </w:rPr>
        <w:t xml:space="preserve">actor V </w:t>
      </w:r>
      <w:proofErr w:type="spellStart"/>
      <w:r w:rsidR="00C21D77">
        <w:rPr>
          <w:rFonts w:eastAsia="HiddenHorzOCR"/>
          <w:color w:val="000000"/>
        </w:rPr>
        <w:t>l</w:t>
      </w:r>
      <w:r w:rsidR="004A3D07">
        <w:rPr>
          <w:rFonts w:eastAsia="HiddenHorzOCR"/>
          <w:color w:val="000000"/>
        </w:rPr>
        <w:t>eiden</w:t>
      </w:r>
      <w:proofErr w:type="spellEnd"/>
      <w:r w:rsidR="004A3D07">
        <w:rPr>
          <w:rFonts w:eastAsia="HiddenHorzOCR"/>
          <w:color w:val="000000"/>
        </w:rPr>
        <w:t xml:space="preserve"> deficiency. </w:t>
      </w:r>
      <w:r w:rsidR="004A3D07" w:rsidRPr="004A3D07">
        <w:rPr>
          <w:rFonts w:eastAsia="HiddenHorzOCR"/>
          <w:color w:val="000000"/>
        </w:rPr>
        <w:t xml:space="preserve"> </w:t>
      </w:r>
      <w:r w:rsidR="004A3D07">
        <w:rPr>
          <w:rFonts w:eastAsia="HiddenHorzOCR"/>
          <w:color w:val="000000"/>
        </w:rPr>
        <w:t xml:space="preserve">The </w:t>
      </w:r>
      <w:r w:rsidR="00C21D77">
        <w:rPr>
          <w:rFonts w:eastAsia="HiddenHorzOCR"/>
          <w:color w:val="000000"/>
        </w:rPr>
        <w:t>a</w:t>
      </w:r>
      <w:r w:rsidR="004A3D07">
        <w:rPr>
          <w:rFonts w:eastAsia="HiddenHorzOCR"/>
          <w:color w:val="000000"/>
        </w:rPr>
        <w:t xml:space="preserve">ction </w:t>
      </w:r>
      <w:r w:rsidR="00C21D77">
        <w:rPr>
          <w:rFonts w:eastAsia="HiddenHorzOCR"/>
          <w:color w:val="000000"/>
        </w:rPr>
        <w:t>o</w:t>
      </w:r>
      <w:r w:rsidR="004A3D07">
        <w:rPr>
          <w:rFonts w:eastAsia="HiddenHorzOCR"/>
          <w:color w:val="000000"/>
        </w:rPr>
        <w:t xml:space="preserve">fficer prefers the </w:t>
      </w:r>
      <w:r w:rsidR="004A3D07" w:rsidRPr="004A3D07">
        <w:rPr>
          <w:color w:val="auto"/>
        </w:rPr>
        <w:t>7199-7121</w:t>
      </w:r>
      <w:r w:rsidR="004A3D07">
        <w:rPr>
          <w:color w:val="auto"/>
        </w:rPr>
        <w:t xml:space="preserve"> code for its clinical compatibility.</w:t>
      </w:r>
    </w:p>
    <w:p w:rsidR="004717FE" w:rsidRDefault="004717FE" w:rsidP="007F39E2">
      <w:pPr>
        <w:jc w:val="both"/>
        <w:rPr>
          <w:rFonts w:eastAsia="HiddenHorzOCR"/>
          <w:color w:val="000000"/>
          <w:u w:val="single"/>
        </w:rPr>
      </w:pPr>
    </w:p>
    <w:p w:rsidR="002F2105" w:rsidRPr="001F29F9" w:rsidRDefault="002F2105" w:rsidP="007F39E2">
      <w:pPr>
        <w:jc w:val="both"/>
        <w:rPr>
          <w:color w:val="000000"/>
        </w:rPr>
      </w:pPr>
      <w:proofErr w:type="gramStart"/>
      <w:r w:rsidRPr="001F29F9">
        <w:rPr>
          <w:rFonts w:eastAsia="HiddenHorzOCR"/>
          <w:color w:val="000000"/>
          <w:u w:val="single"/>
        </w:rPr>
        <w:t>Other PEB Conditions</w:t>
      </w:r>
      <w:r w:rsidRPr="001F29F9">
        <w:rPr>
          <w:rFonts w:eastAsia="HiddenHorzOCR"/>
          <w:color w:val="000000"/>
        </w:rPr>
        <w:t>.</w:t>
      </w:r>
      <w:proofErr w:type="gramEnd"/>
      <w:r w:rsidRPr="001F29F9">
        <w:rPr>
          <w:rFonts w:eastAsia="HiddenHorzOCR"/>
          <w:color w:val="000000"/>
        </w:rPr>
        <w:t xml:space="preserve"> </w:t>
      </w:r>
      <w:r w:rsidRPr="001F29F9">
        <w:rPr>
          <w:color w:val="000000"/>
        </w:rPr>
        <w:t>The other conditions forwarded by the MEB and adjudicated as not unfitting by the PEB were lumbago, myopia, and regular astigmatism.  None of these conditions were profil</w:t>
      </w:r>
      <w:r w:rsidRPr="007F39E2">
        <w:rPr>
          <w:color w:val="000000"/>
        </w:rPr>
        <w:t>ed, implicated in the commander’s statement or noted as failing retention standards.</w:t>
      </w:r>
      <w:r w:rsidRPr="001F29F9">
        <w:rPr>
          <w:color w:val="000000"/>
        </w:rPr>
        <w:t xml:space="preserve"> All were reviewed by the </w:t>
      </w:r>
      <w:r w:rsidR="00C21D77">
        <w:rPr>
          <w:color w:val="000000"/>
        </w:rPr>
        <w:t>a</w:t>
      </w:r>
      <w:r w:rsidR="00F55C94" w:rsidRPr="001F29F9">
        <w:rPr>
          <w:color w:val="000000"/>
        </w:rPr>
        <w:t xml:space="preserve">ction </w:t>
      </w:r>
      <w:r w:rsidR="00C21D77">
        <w:rPr>
          <w:color w:val="000000"/>
        </w:rPr>
        <w:t>o</w:t>
      </w:r>
      <w:r w:rsidR="00F55C94" w:rsidRPr="001F29F9">
        <w:rPr>
          <w:color w:val="000000"/>
        </w:rPr>
        <w:t xml:space="preserve">fficer </w:t>
      </w:r>
      <w:r w:rsidRPr="001F29F9">
        <w:rPr>
          <w:color w:val="000000"/>
        </w:rPr>
        <w:t xml:space="preserve">and considered by the Board. </w:t>
      </w:r>
      <w:r w:rsidR="00F55C94">
        <w:rPr>
          <w:color w:val="000000"/>
        </w:rPr>
        <w:t xml:space="preserve"> </w:t>
      </w:r>
      <w:r w:rsidRPr="001F29F9">
        <w:rPr>
          <w:color w:val="000000"/>
        </w:rPr>
        <w:t xml:space="preserve">There was no indication from the record that any of these conditions significantly interfered with satisfactory duty performance. </w:t>
      </w:r>
      <w:r w:rsidR="00F55C94">
        <w:rPr>
          <w:color w:val="000000"/>
        </w:rPr>
        <w:t xml:space="preserve"> </w:t>
      </w:r>
      <w:r w:rsidRPr="001F29F9">
        <w:rPr>
          <w:color w:val="000000"/>
        </w:rPr>
        <w:t>All evidence considered</w:t>
      </w:r>
      <w:proofErr w:type="gramStart"/>
      <w:r w:rsidRPr="001F29F9">
        <w:rPr>
          <w:color w:val="000000"/>
        </w:rPr>
        <w:t>,</w:t>
      </w:r>
      <w:proofErr w:type="gramEnd"/>
      <w:r w:rsidRPr="001F29F9">
        <w:rPr>
          <w:color w:val="000000"/>
        </w:rPr>
        <w:t xml:space="preserve"> there is not reasonable doubt in the CI’s favor supporting </w:t>
      </w:r>
      <w:proofErr w:type="spellStart"/>
      <w:r w:rsidRPr="001F29F9">
        <w:rPr>
          <w:color w:val="000000"/>
        </w:rPr>
        <w:t>recharacterization</w:t>
      </w:r>
      <w:proofErr w:type="spellEnd"/>
      <w:r w:rsidRPr="001F29F9">
        <w:rPr>
          <w:color w:val="000000"/>
        </w:rPr>
        <w:t xml:space="preserve"> of the PEB fitness adjudication for any of the stated conditions.</w:t>
      </w:r>
    </w:p>
    <w:p w:rsidR="002F2105" w:rsidRPr="001F29F9" w:rsidRDefault="002F2105" w:rsidP="00BF0E94">
      <w:pPr>
        <w:jc w:val="both"/>
        <w:rPr>
          <w:color w:val="000000"/>
          <w:u w:val="single"/>
        </w:rPr>
      </w:pPr>
    </w:p>
    <w:p w:rsidR="002F2105" w:rsidRPr="001F29F9" w:rsidRDefault="002F2105" w:rsidP="00BF0E94">
      <w:pPr>
        <w:jc w:val="both"/>
        <w:rPr>
          <w:color w:val="000000"/>
        </w:rPr>
      </w:pPr>
      <w:proofErr w:type="gramStart"/>
      <w:r w:rsidRPr="001F29F9">
        <w:rPr>
          <w:color w:val="000000"/>
          <w:u w:val="single"/>
        </w:rPr>
        <w:t>Remaining Conditions</w:t>
      </w:r>
      <w:r w:rsidRPr="001F29F9">
        <w:rPr>
          <w:color w:val="000000"/>
        </w:rPr>
        <w:t>.</w:t>
      </w:r>
      <w:proofErr w:type="gramEnd"/>
      <w:r w:rsidRPr="001F29F9">
        <w:rPr>
          <w:color w:val="000000"/>
        </w:rPr>
        <w:t xml:space="preserve"> No other conditions were noted in the NARSUM, identified by the CI on the MEB physical or found elsewhere in the DES file. The Board does not have the authority under </w:t>
      </w:r>
      <w:proofErr w:type="spellStart"/>
      <w:r w:rsidRPr="001F29F9">
        <w:rPr>
          <w:color w:val="000000"/>
        </w:rPr>
        <w:t>DoDI</w:t>
      </w:r>
      <w:proofErr w:type="spellEnd"/>
      <w:r w:rsidRPr="001F29F9">
        <w:rPr>
          <w:color w:val="000000"/>
        </w:rPr>
        <w:t xml:space="preserve"> 6040.44 to render fitness or rating recommendations for any conditions not considered by the DES. The Board therefore has no reasonable basis for recommending any additional unfitting conditions for separation rating.</w:t>
      </w:r>
    </w:p>
    <w:p w:rsidR="002F2105" w:rsidRPr="001F29F9" w:rsidRDefault="002F2105" w:rsidP="00BF0E94">
      <w:pPr>
        <w:pBdr>
          <w:bottom w:val="single" w:sz="12" w:space="1" w:color="auto"/>
        </w:pBdr>
        <w:tabs>
          <w:tab w:val="left" w:pos="288"/>
          <w:tab w:val="left" w:pos="4752"/>
        </w:tabs>
        <w:jc w:val="both"/>
        <w:rPr>
          <w:color w:val="000000"/>
        </w:rPr>
      </w:pPr>
    </w:p>
    <w:p w:rsidR="002F2105" w:rsidRPr="001F29F9" w:rsidRDefault="002F2105" w:rsidP="006364ED">
      <w:pPr>
        <w:jc w:val="left"/>
        <w:rPr>
          <w:color w:val="000000"/>
        </w:rPr>
      </w:pPr>
    </w:p>
    <w:p w:rsidR="002F2105" w:rsidRPr="003C53E8" w:rsidRDefault="002F2105" w:rsidP="00B02C69">
      <w:pPr>
        <w:jc w:val="both"/>
        <w:rPr>
          <w:rFonts w:cs="Times New Roman"/>
          <w:color w:val="auto"/>
        </w:rPr>
      </w:pPr>
      <w:r w:rsidRPr="001F29F9">
        <w:rPr>
          <w:color w:val="000000"/>
          <w:u w:val="single"/>
        </w:rPr>
        <w:t>BOARD FINDINGS</w:t>
      </w:r>
      <w:r w:rsidRPr="001F29F9">
        <w:rPr>
          <w:color w:val="000000"/>
        </w:rPr>
        <w:t xml:space="preserve">: IAW </w:t>
      </w:r>
      <w:proofErr w:type="spellStart"/>
      <w:r w:rsidRPr="001F29F9">
        <w:rPr>
          <w:color w:val="000000"/>
        </w:rPr>
        <w:t>DoDI</w:t>
      </w:r>
      <w:proofErr w:type="spellEnd"/>
      <w:r w:rsidRPr="001F29F9">
        <w:rPr>
          <w:color w:val="000000"/>
        </w:rPr>
        <w:t xml:space="preserve"> 6040.44, provisions of </w:t>
      </w:r>
      <w:proofErr w:type="spellStart"/>
      <w:r w:rsidRPr="001F29F9">
        <w:rPr>
          <w:color w:val="000000"/>
        </w:rPr>
        <w:t>DoD</w:t>
      </w:r>
      <w:proofErr w:type="spellEnd"/>
      <w:r w:rsidRPr="001F29F9">
        <w:rPr>
          <w:color w:val="000000"/>
        </w:rPr>
        <w:t xml:space="preserve">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 xml:space="preserve">. </w:t>
      </w:r>
      <w:r w:rsidR="00F55C94">
        <w:rPr>
          <w:rFonts w:cs="Times New Roman"/>
          <w:color w:val="auto"/>
        </w:rPr>
        <w:t xml:space="preserve"> </w:t>
      </w:r>
      <w:r w:rsidRPr="003C53E8">
        <w:rPr>
          <w:rFonts w:cs="Times New Roman"/>
          <w:color w:val="auto"/>
        </w:rPr>
        <w:t xml:space="preserve">The Board did not surmise from the record or PEB ruling in this case that </w:t>
      </w:r>
      <w:r w:rsidRPr="00217F60">
        <w:rPr>
          <w:rFonts w:cs="Times New Roman"/>
          <w:color w:val="auto"/>
        </w:rPr>
        <w:t>any prerogatives outside the VASRD were exerc</w:t>
      </w:r>
      <w:r w:rsidRPr="00217F60">
        <w:rPr>
          <w:rFonts w:cs="Times New Roman"/>
          <w:color w:val="000000"/>
        </w:rPr>
        <w:t xml:space="preserve">ised. </w:t>
      </w:r>
      <w:r w:rsidR="00217F60" w:rsidRPr="00217F60">
        <w:rPr>
          <w:rFonts w:cs="Times New Roman"/>
          <w:color w:val="000000"/>
        </w:rPr>
        <w:t xml:space="preserve">In the matter of the </w:t>
      </w:r>
      <w:proofErr w:type="spellStart"/>
      <w:r w:rsidR="00217F60" w:rsidRPr="00217F60">
        <w:rPr>
          <w:color w:val="auto"/>
        </w:rPr>
        <w:t>hypercoaguability</w:t>
      </w:r>
      <w:proofErr w:type="spellEnd"/>
      <w:r w:rsidR="00217F60" w:rsidRPr="00217F60">
        <w:rPr>
          <w:color w:val="auto"/>
        </w:rPr>
        <w:t xml:space="preserve"> </w:t>
      </w:r>
      <w:r w:rsidR="00217F60" w:rsidRPr="00217F60">
        <w:rPr>
          <w:rFonts w:cs="Times New Roman"/>
          <w:color w:val="000000"/>
        </w:rPr>
        <w:t xml:space="preserve">condition, the Board unanimously recommends a </w:t>
      </w:r>
      <w:r w:rsidR="00C21D77">
        <w:rPr>
          <w:rFonts w:cs="Times New Roman"/>
          <w:color w:val="000000"/>
        </w:rPr>
        <w:t>s</w:t>
      </w:r>
      <w:r w:rsidR="00217F60" w:rsidRPr="00217F60">
        <w:rPr>
          <w:rFonts w:cs="Times New Roman"/>
          <w:color w:val="000000"/>
        </w:rPr>
        <w:t xml:space="preserve">ervice disability rating of </w:t>
      </w:r>
      <w:r w:rsidR="00217F60">
        <w:rPr>
          <w:rFonts w:cs="Times New Roman"/>
          <w:color w:val="000000"/>
        </w:rPr>
        <w:t>2</w:t>
      </w:r>
      <w:r w:rsidR="00217F60" w:rsidRPr="00217F60">
        <w:rPr>
          <w:rFonts w:cs="Times New Roman"/>
          <w:color w:val="000000"/>
        </w:rPr>
        <w:t xml:space="preserve">0%, coded </w:t>
      </w:r>
      <w:r w:rsidR="00217F60" w:rsidRPr="004A3D07">
        <w:rPr>
          <w:color w:val="auto"/>
        </w:rPr>
        <w:t>7199-7121</w:t>
      </w:r>
      <w:r w:rsidR="00217F60">
        <w:rPr>
          <w:color w:val="auto"/>
        </w:rPr>
        <w:t xml:space="preserve"> </w:t>
      </w:r>
      <w:r w:rsidR="00217F60" w:rsidRPr="00217F60">
        <w:rPr>
          <w:rFonts w:cs="Times New Roman"/>
          <w:color w:val="000000"/>
        </w:rPr>
        <w:t>IAW VASRD §4.</w:t>
      </w:r>
      <w:r w:rsidR="00217F60" w:rsidRPr="00217F60">
        <w:rPr>
          <w:color w:val="auto"/>
        </w:rPr>
        <w:t xml:space="preserve"> 4.104</w:t>
      </w:r>
      <w:proofErr w:type="gramStart"/>
      <w:r w:rsidR="00C21D77" w:rsidRPr="00217F60">
        <w:rPr>
          <w:rFonts w:cs="Times New Roman"/>
          <w:color w:val="000000"/>
        </w:rPr>
        <w:t xml:space="preserve">. </w:t>
      </w:r>
      <w:r w:rsidR="00C21D77">
        <w:rPr>
          <w:rFonts w:cs="Times New Roman"/>
          <w:color w:val="000000"/>
        </w:rPr>
        <w:t xml:space="preserve"> In</w:t>
      </w:r>
      <w:proofErr w:type="gramEnd"/>
      <w:r w:rsidRPr="00217F60">
        <w:rPr>
          <w:rFonts w:cs="Times New Roman"/>
          <w:color w:val="auto"/>
        </w:rPr>
        <w:t xml:space="preserve"> the matter of the </w:t>
      </w:r>
      <w:r w:rsidRPr="00217F60">
        <w:rPr>
          <w:color w:val="000000"/>
        </w:rPr>
        <w:t>lumbago, myopia, and regular astigmatism</w:t>
      </w:r>
      <w:r w:rsidRPr="00217F60">
        <w:rPr>
          <w:rFonts w:cs="Times New Roman"/>
          <w:color w:val="auto"/>
        </w:rPr>
        <w:t xml:space="preserve"> conditions, the Board unanimously recommends</w:t>
      </w:r>
      <w:r w:rsidRPr="007F39E2">
        <w:rPr>
          <w:rFonts w:cs="Times New Roman"/>
          <w:color w:val="auto"/>
        </w:rPr>
        <w:t xml:space="preserve"> no change from the PEB adjudications as not unfitting. The Board unanimously agrees that there were no other conditions eligible for Board consideration which could be recommended as additionally unfitting for rating at separation</w:t>
      </w:r>
      <w:r w:rsidRPr="003C53E8">
        <w:rPr>
          <w:rFonts w:cs="Times New Roman"/>
          <w:color w:val="auto"/>
        </w:rPr>
        <w:t>.</w:t>
      </w:r>
    </w:p>
    <w:p w:rsidR="002F2105" w:rsidRPr="001F29F9" w:rsidRDefault="002F2105" w:rsidP="00BF0E94">
      <w:pPr>
        <w:pBdr>
          <w:bottom w:val="single" w:sz="12" w:space="1" w:color="auto"/>
        </w:pBdr>
        <w:tabs>
          <w:tab w:val="left" w:pos="288"/>
          <w:tab w:val="left" w:pos="4752"/>
        </w:tabs>
        <w:jc w:val="both"/>
        <w:rPr>
          <w:color w:val="000000"/>
        </w:rPr>
      </w:pPr>
    </w:p>
    <w:p w:rsidR="002F2105" w:rsidRPr="001F29F9" w:rsidRDefault="002F2105" w:rsidP="006364ED">
      <w:pPr>
        <w:jc w:val="left"/>
        <w:rPr>
          <w:color w:val="000000"/>
        </w:rPr>
      </w:pPr>
    </w:p>
    <w:p w:rsidR="00217F60" w:rsidRDefault="00217F60">
      <w:pPr>
        <w:spacing w:line="240" w:lineRule="auto"/>
        <w:jc w:val="left"/>
        <w:rPr>
          <w:color w:val="000000"/>
          <w:u w:val="single"/>
        </w:rPr>
      </w:pPr>
      <w:r>
        <w:rPr>
          <w:color w:val="000000"/>
          <w:u w:val="single"/>
        </w:rPr>
        <w:br w:type="page"/>
      </w:r>
    </w:p>
    <w:p w:rsidR="00217F60" w:rsidRPr="00217F60" w:rsidRDefault="002F2105" w:rsidP="00217F60">
      <w:pPr>
        <w:jc w:val="both"/>
        <w:rPr>
          <w:color w:val="000000"/>
        </w:rPr>
      </w:pPr>
      <w:r w:rsidRPr="001F29F9">
        <w:rPr>
          <w:color w:val="000000"/>
          <w:u w:val="single"/>
        </w:rPr>
        <w:lastRenderedPageBreak/>
        <w:t>RECOMMENDATION</w:t>
      </w:r>
      <w:r w:rsidRPr="001F29F9">
        <w:rPr>
          <w:color w:val="000000"/>
        </w:rPr>
        <w:t xml:space="preserve">: </w:t>
      </w:r>
      <w:r w:rsidR="00217F60" w:rsidRPr="00217F60">
        <w:rPr>
          <w:color w:val="000000"/>
        </w:rPr>
        <w:t>The Board recommends that the CI’s prior determination be modified as follows, effective as of the date of his</w:t>
      </w:r>
      <w:r w:rsidR="00217F60">
        <w:rPr>
          <w:color w:val="000000"/>
        </w:rPr>
        <w:t xml:space="preserve"> prior medical separation:</w:t>
      </w:r>
    </w:p>
    <w:p w:rsidR="002F2105" w:rsidRDefault="002F2105" w:rsidP="00B02C69">
      <w:pPr>
        <w:jc w:val="left"/>
        <w:rPr>
          <w:color w:val="000000"/>
        </w:rPr>
      </w:pPr>
    </w:p>
    <w:tbl>
      <w:tblPr>
        <w:tblW w:w="0" w:type="auto"/>
        <w:jc w:val="center"/>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8"/>
        <w:gridCol w:w="1590"/>
        <w:gridCol w:w="991"/>
      </w:tblGrid>
      <w:tr w:rsidR="002F2105" w:rsidRPr="00AF01B2" w:rsidTr="00A93EBD">
        <w:trPr>
          <w:trHeight w:val="206"/>
          <w:jc w:val="center"/>
        </w:trPr>
        <w:tc>
          <w:tcPr>
            <w:tcW w:w="6718" w:type="dxa"/>
            <w:tcBorders>
              <w:right w:val="single" w:sz="4" w:space="0" w:color="auto"/>
            </w:tcBorders>
            <w:shd w:val="clear" w:color="auto" w:fill="D9D9D9"/>
            <w:vAlign w:val="center"/>
          </w:tcPr>
          <w:p w:rsidR="002F2105" w:rsidRPr="00AF01B2" w:rsidRDefault="002F2105" w:rsidP="00BD4DF0">
            <w:pPr>
              <w:tabs>
                <w:tab w:val="left" w:pos="288"/>
                <w:tab w:val="left" w:pos="4752"/>
              </w:tabs>
              <w:rPr>
                <w:b/>
                <w:color w:val="auto"/>
              </w:rPr>
            </w:pPr>
            <w:r w:rsidRPr="00AF01B2">
              <w:rPr>
                <w:b/>
                <w:color w:val="auto"/>
              </w:rPr>
              <w:t>UNFITTING CONDITION</w:t>
            </w:r>
          </w:p>
        </w:tc>
        <w:tc>
          <w:tcPr>
            <w:tcW w:w="1590" w:type="dxa"/>
            <w:tcBorders>
              <w:left w:val="single" w:sz="4" w:space="0" w:color="auto"/>
            </w:tcBorders>
            <w:shd w:val="clear" w:color="auto" w:fill="D9D9D9"/>
            <w:vAlign w:val="center"/>
          </w:tcPr>
          <w:p w:rsidR="002F2105" w:rsidRPr="00AF01B2" w:rsidRDefault="002F2105" w:rsidP="00BD4DF0">
            <w:pPr>
              <w:tabs>
                <w:tab w:val="left" w:pos="288"/>
                <w:tab w:val="left" w:pos="4752"/>
              </w:tabs>
              <w:rPr>
                <w:b/>
                <w:color w:val="auto"/>
              </w:rPr>
            </w:pPr>
            <w:r w:rsidRPr="00AF01B2">
              <w:rPr>
                <w:b/>
                <w:color w:val="auto"/>
              </w:rPr>
              <w:t>VASRD CODE</w:t>
            </w:r>
          </w:p>
        </w:tc>
        <w:tc>
          <w:tcPr>
            <w:tcW w:w="991" w:type="dxa"/>
            <w:shd w:val="clear" w:color="auto" w:fill="D9D9D9"/>
            <w:vAlign w:val="center"/>
          </w:tcPr>
          <w:p w:rsidR="002F2105" w:rsidRPr="00AF01B2" w:rsidRDefault="002F2105" w:rsidP="00BD4DF0">
            <w:pPr>
              <w:tabs>
                <w:tab w:val="left" w:pos="288"/>
                <w:tab w:val="left" w:pos="4752"/>
              </w:tabs>
              <w:rPr>
                <w:b/>
                <w:color w:val="auto"/>
              </w:rPr>
            </w:pPr>
            <w:r w:rsidRPr="00AF01B2">
              <w:rPr>
                <w:b/>
                <w:color w:val="auto"/>
              </w:rPr>
              <w:t>RATING</w:t>
            </w:r>
          </w:p>
        </w:tc>
      </w:tr>
      <w:tr w:rsidR="002F2105" w:rsidRPr="00AF01B2" w:rsidTr="00A93EBD">
        <w:trPr>
          <w:trHeight w:val="123"/>
          <w:jc w:val="center"/>
        </w:trPr>
        <w:tc>
          <w:tcPr>
            <w:tcW w:w="6718" w:type="dxa"/>
            <w:tcBorders>
              <w:right w:val="single" w:sz="4" w:space="0" w:color="auto"/>
            </w:tcBorders>
            <w:vAlign w:val="center"/>
          </w:tcPr>
          <w:p w:rsidR="00B4037C" w:rsidRPr="004A3D07" w:rsidRDefault="00A93EBD" w:rsidP="004A3D07">
            <w:pPr>
              <w:tabs>
                <w:tab w:val="left" w:pos="288"/>
                <w:tab w:val="left" w:pos="4752"/>
              </w:tabs>
              <w:jc w:val="both"/>
              <w:rPr>
                <w:color w:val="auto"/>
              </w:rPr>
            </w:pPr>
            <w:proofErr w:type="spellStart"/>
            <w:r>
              <w:rPr>
                <w:rFonts w:eastAsia="HiddenHorzOCR"/>
                <w:color w:val="000000"/>
              </w:rPr>
              <w:t>H</w:t>
            </w:r>
            <w:r w:rsidR="00217F60">
              <w:rPr>
                <w:rFonts w:eastAsia="HiddenHorzOCR"/>
                <w:color w:val="000000"/>
              </w:rPr>
              <w:t>ypercoaguable</w:t>
            </w:r>
            <w:proofErr w:type="spellEnd"/>
            <w:r>
              <w:rPr>
                <w:rFonts w:eastAsia="HiddenHorzOCR"/>
                <w:color w:val="000000"/>
              </w:rPr>
              <w:t xml:space="preserve"> state due to Factor V Leiden D</w:t>
            </w:r>
            <w:r w:rsidR="00217F60">
              <w:rPr>
                <w:rFonts w:eastAsia="HiddenHorzOCR"/>
                <w:color w:val="000000"/>
              </w:rPr>
              <w:t>eficiency</w:t>
            </w:r>
          </w:p>
        </w:tc>
        <w:tc>
          <w:tcPr>
            <w:tcW w:w="1590" w:type="dxa"/>
            <w:tcBorders>
              <w:left w:val="single" w:sz="4" w:space="0" w:color="auto"/>
            </w:tcBorders>
            <w:vAlign w:val="center"/>
          </w:tcPr>
          <w:p w:rsidR="002F2105" w:rsidRPr="004A3D07" w:rsidRDefault="004A3D07" w:rsidP="00BD4DF0">
            <w:pPr>
              <w:tabs>
                <w:tab w:val="left" w:pos="288"/>
                <w:tab w:val="left" w:pos="4752"/>
              </w:tabs>
              <w:rPr>
                <w:color w:val="auto"/>
              </w:rPr>
            </w:pPr>
            <w:r w:rsidRPr="004A3D07">
              <w:rPr>
                <w:color w:val="auto"/>
              </w:rPr>
              <w:t>7199-712</w:t>
            </w:r>
            <w:r w:rsidR="00113461" w:rsidRPr="004A3D07">
              <w:rPr>
                <w:color w:val="auto"/>
              </w:rPr>
              <w:t>1</w:t>
            </w:r>
          </w:p>
        </w:tc>
        <w:tc>
          <w:tcPr>
            <w:tcW w:w="991" w:type="dxa"/>
            <w:vAlign w:val="center"/>
          </w:tcPr>
          <w:p w:rsidR="002F2105" w:rsidRPr="004A3D07" w:rsidRDefault="002F2105" w:rsidP="00BD4DF0">
            <w:pPr>
              <w:tabs>
                <w:tab w:val="left" w:pos="288"/>
                <w:tab w:val="left" w:pos="4752"/>
              </w:tabs>
              <w:rPr>
                <w:color w:val="auto"/>
              </w:rPr>
            </w:pPr>
            <w:r w:rsidRPr="004A3D07">
              <w:rPr>
                <w:color w:val="auto"/>
              </w:rPr>
              <w:t>20%</w:t>
            </w:r>
          </w:p>
        </w:tc>
      </w:tr>
      <w:tr w:rsidR="002F2105" w:rsidRPr="00AF01B2" w:rsidTr="00A93EBD">
        <w:tblPrEx>
          <w:tblLook w:val="0000"/>
        </w:tblPrEx>
        <w:trPr>
          <w:gridBefore w:val="1"/>
          <w:wBefore w:w="6718" w:type="dxa"/>
          <w:trHeight w:val="143"/>
          <w:jc w:val="center"/>
        </w:trPr>
        <w:tc>
          <w:tcPr>
            <w:tcW w:w="1590" w:type="dxa"/>
            <w:tcBorders>
              <w:left w:val="single" w:sz="4" w:space="0" w:color="auto"/>
              <w:bottom w:val="single" w:sz="4" w:space="0" w:color="auto"/>
            </w:tcBorders>
            <w:shd w:val="clear" w:color="auto" w:fill="D9D9D9"/>
            <w:vAlign w:val="center"/>
          </w:tcPr>
          <w:p w:rsidR="002F2105" w:rsidRPr="004A3D07" w:rsidRDefault="002F2105" w:rsidP="00217F60">
            <w:pPr>
              <w:tabs>
                <w:tab w:val="left" w:pos="288"/>
                <w:tab w:val="left" w:pos="4752"/>
              </w:tabs>
              <w:rPr>
                <w:b/>
                <w:color w:val="auto"/>
              </w:rPr>
            </w:pPr>
            <w:r w:rsidRPr="004A3D07">
              <w:rPr>
                <w:b/>
                <w:color w:val="auto"/>
              </w:rPr>
              <w:t>COMBINED</w:t>
            </w:r>
          </w:p>
        </w:tc>
        <w:tc>
          <w:tcPr>
            <w:tcW w:w="991" w:type="dxa"/>
            <w:shd w:val="clear" w:color="auto" w:fill="D9D9D9"/>
            <w:vAlign w:val="center"/>
          </w:tcPr>
          <w:p w:rsidR="002F2105" w:rsidRPr="004A3D07" w:rsidRDefault="004A3D07" w:rsidP="004A3D07">
            <w:pPr>
              <w:tabs>
                <w:tab w:val="left" w:pos="288"/>
                <w:tab w:val="left" w:pos="4752"/>
              </w:tabs>
              <w:rPr>
                <w:b/>
                <w:color w:val="auto"/>
              </w:rPr>
            </w:pPr>
            <w:r w:rsidRPr="004A3D07">
              <w:rPr>
                <w:b/>
                <w:color w:val="auto"/>
              </w:rPr>
              <w:t>20</w:t>
            </w:r>
            <w:r w:rsidR="002F2105" w:rsidRPr="004A3D07">
              <w:rPr>
                <w:b/>
                <w:color w:val="auto"/>
              </w:rPr>
              <w:t>%</w:t>
            </w:r>
          </w:p>
        </w:tc>
      </w:tr>
    </w:tbl>
    <w:p w:rsidR="002F2105" w:rsidRPr="001F29F9" w:rsidRDefault="002F2105" w:rsidP="00B02C69">
      <w:pPr>
        <w:jc w:val="left"/>
        <w:rPr>
          <w:color w:val="000000"/>
        </w:rPr>
      </w:pPr>
    </w:p>
    <w:p w:rsidR="00217F60" w:rsidRPr="001F29F9" w:rsidRDefault="00217F60" w:rsidP="00217F60">
      <w:pPr>
        <w:pBdr>
          <w:bottom w:val="single" w:sz="12" w:space="1" w:color="auto"/>
        </w:pBdr>
        <w:tabs>
          <w:tab w:val="left" w:pos="288"/>
          <w:tab w:val="left" w:pos="4752"/>
        </w:tabs>
        <w:jc w:val="both"/>
        <w:rPr>
          <w:color w:val="000000"/>
        </w:rPr>
      </w:pPr>
    </w:p>
    <w:p w:rsidR="00217F60" w:rsidRPr="001F29F9" w:rsidRDefault="00217F60" w:rsidP="00217F60">
      <w:pPr>
        <w:jc w:val="left"/>
        <w:rPr>
          <w:color w:val="000000"/>
        </w:rPr>
      </w:pPr>
    </w:p>
    <w:p w:rsidR="002F2105" w:rsidRPr="001F29F9" w:rsidRDefault="002F2105" w:rsidP="00BF0E94">
      <w:pPr>
        <w:tabs>
          <w:tab w:val="left" w:pos="288"/>
          <w:tab w:val="left" w:pos="4752"/>
        </w:tabs>
        <w:jc w:val="both"/>
        <w:rPr>
          <w:color w:val="000000"/>
        </w:rPr>
      </w:pPr>
      <w:r w:rsidRPr="001F29F9">
        <w:rPr>
          <w:color w:val="000000"/>
        </w:rPr>
        <w:t>The following documentary evidence was considered:</w:t>
      </w:r>
    </w:p>
    <w:p w:rsidR="002F2105" w:rsidRPr="001F29F9" w:rsidRDefault="002F2105" w:rsidP="00BF0E94">
      <w:pPr>
        <w:tabs>
          <w:tab w:val="left" w:pos="288"/>
          <w:tab w:val="left" w:pos="4752"/>
        </w:tabs>
        <w:jc w:val="both"/>
        <w:rPr>
          <w:color w:val="000000"/>
        </w:rPr>
      </w:pPr>
    </w:p>
    <w:p w:rsidR="002F2105" w:rsidRPr="001F29F9" w:rsidRDefault="002F2105" w:rsidP="00B3575C">
      <w:pPr>
        <w:tabs>
          <w:tab w:val="left" w:pos="288"/>
          <w:tab w:val="left" w:pos="4752"/>
        </w:tabs>
        <w:spacing w:line="440" w:lineRule="exact"/>
        <w:jc w:val="both"/>
        <w:rPr>
          <w:color w:val="000000"/>
        </w:rPr>
      </w:pPr>
      <w:r w:rsidRPr="001F29F9">
        <w:rPr>
          <w:color w:val="000000"/>
        </w:rPr>
        <w:t>Exhibit A.  DD Form 294 dated 201</w:t>
      </w:r>
      <w:r>
        <w:rPr>
          <w:color w:val="000000"/>
        </w:rPr>
        <w:t>10808</w:t>
      </w:r>
      <w:r w:rsidR="00C21D77">
        <w:rPr>
          <w:color w:val="000000"/>
        </w:rPr>
        <w:t>, w/</w:t>
      </w:r>
      <w:proofErr w:type="spellStart"/>
      <w:r w:rsidR="00C21D77">
        <w:rPr>
          <w:color w:val="000000"/>
        </w:rPr>
        <w:t>atchs</w:t>
      </w:r>
      <w:proofErr w:type="spellEnd"/>
    </w:p>
    <w:p w:rsidR="002F2105" w:rsidRPr="001F29F9" w:rsidRDefault="002F2105" w:rsidP="00BF0E94">
      <w:pPr>
        <w:tabs>
          <w:tab w:val="left" w:pos="288"/>
          <w:tab w:val="left" w:pos="4752"/>
        </w:tabs>
        <w:jc w:val="both"/>
        <w:rPr>
          <w:color w:val="000000"/>
        </w:rPr>
      </w:pPr>
      <w:r w:rsidRPr="001F29F9">
        <w:rPr>
          <w:color w:val="000000"/>
        </w:rPr>
        <w:t>Exhib</w:t>
      </w:r>
      <w:r w:rsidR="00C21D77">
        <w:rPr>
          <w:color w:val="000000"/>
        </w:rPr>
        <w:t>it B.  Service Treatment Record</w:t>
      </w:r>
    </w:p>
    <w:p w:rsidR="002F2105" w:rsidRPr="001F29F9" w:rsidRDefault="002F2105" w:rsidP="00BF0E94">
      <w:pPr>
        <w:tabs>
          <w:tab w:val="left" w:pos="288"/>
          <w:tab w:val="left" w:pos="4752"/>
        </w:tabs>
        <w:jc w:val="both"/>
        <w:rPr>
          <w:color w:val="000000"/>
        </w:rPr>
      </w:pPr>
      <w:r w:rsidRPr="001F29F9">
        <w:rPr>
          <w:color w:val="000000"/>
        </w:rPr>
        <w:t>Exhibit C.  Department of Ve</w:t>
      </w:r>
      <w:r w:rsidR="00C21D77">
        <w:rPr>
          <w:color w:val="000000"/>
        </w:rPr>
        <w:t>terans Affairs Treatment Record</w:t>
      </w: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288"/>
          <w:tab w:val="left" w:pos="4752"/>
        </w:tabs>
        <w:jc w:val="both"/>
        <w:rPr>
          <w:color w:val="000000"/>
        </w:rPr>
      </w:pPr>
    </w:p>
    <w:p w:rsidR="002F2105" w:rsidRPr="001F29F9" w:rsidRDefault="002F2105" w:rsidP="00BF0E94">
      <w:pPr>
        <w:tabs>
          <w:tab w:val="left" w:pos="0"/>
          <w:tab w:val="left" w:pos="4320"/>
        </w:tabs>
        <w:jc w:val="both"/>
        <w:rPr>
          <w:color w:val="000000"/>
        </w:rPr>
      </w:pPr>
      <w:r w:rsidRPr="001F29F9">
        <w:rPr>
          <w:color w:val="000000"/>
        </w:rPr>
        <w:tab/>
        <w:t xml:space="preserve">           </w:t>
      </w:r>
    </w:p>
    <w:p w:rsidR="002F2105" w:rsidRPr="001F29F9" w:rsidRDefault="002F2105" w:rsidP="00BF0E94">
      <w:pPr>
        <w:tabs>
          <w:tab w:val="left" w:pos="0"/>
          <w:tab w:val="left" w:pos="4320"/>
        </w:tabs>
        <w:jc w:val="both"/>
        <w:rPr>
          <w:color w:val="000000"/>
        </w:rPr>
      </w:pPr>
      <w:r w:rsidRPr="001F29F9">
        <w:rPr>
          <w:color w:val="000000"/>
        </w:rPr>
        <w:tab/>
        <w:t xml:space="preserve">           President</w:t>
      </w:r>
    </w:p>
    <w:p w:rsidR="008E7E54" w:rsidRDefault="002F2105" w:rsidP="00BF0E94">
      <w:pPr>
        <w:tabs>
          <w:tab w:val="left" w:pos="0"/>
          <w:tab w:val="left" w:pos="4320"/>
        </w:tabs>
        <w:jc w:val="both"/>
        <w:rPr>
          <w:color w:val="000000"/>
        </w:rPr>
      </w:pPr>
      <w:r w:rsidRPr="001F29F9">
        <w:rPr>
          <w:color w:val="000000"/>
        </w:rPr>
        <w:tab/>
        <w:t xml:space="preserve">           Physical Disability Board of Review</w:t>
      </w:r>
    </w:p>
    <w:p w:rsidR="008E7E54" w:rsidRDefault="008E7E54">
      <w:pPr>
        <w:spacing w:line="240" w:lineRule="auto"/>
        <w:jc w:val="left"/>
        <w:rPr>
          <w:color w:val="000000"/>
        </w:rPr>
      </w:pPr>
      <w:r>
        <w:rPr>
          <w:color w:val="000000"/>
        </w:rPr>
        <w:br w:type="page"/>
      </w:r>
    </w:p>
    <w:p w:rsidR="008E7E54" w:rsidRDefault="008E7E54" w:rsidP="008E7E54">
      <w:pPr>
        <w:pStyle w:val="Header"/>
        <w:tabs>
          <w:tab w:val="clear" w:pos="4320"/>
          <w:tab w:val="clear" w:pos="8640"/>
        </w:tabs>
        <w:jc w:val="left"/>
      </w:pPr>
      <w:r>
        <w:lastRenderedPageBreak/>
        <w:t>SFMR-RB</w:t>
      </w:r>
      <w:r>
        <w:tab/>
      </w:r>
      <w:r>
        <w:tab/>
      </w:r>
      <w:r>
        <w:tab/>
      </w:r>
      <w:r>
        <w:tab/>
      </w:r>
      <w:r>
        <w:tab/>
      </w:r>
      <w:r>
        <w:tab/>
      </w:r>
      <w:r>
        <w:tab/>
      </w:r>
      <w:r>
        <w:tab/>
      </w:r>
      <w:r>
        <w:tab/>
      </w:r>
    </w:p>
    <w:p w:rsidR="008E7E54" w:rsidRDefault="008E7E54" w:rsidP="008E7E54">
      <w:pPr>
        <w:pStyle w:val="Header"/>
        <w:tabs>
          <w:tab w:val="clear" w:pos="4320"/>
          <w:tab w:val="clear" w:pos="8640"/>
        </w:tabs>
        <w:jc w:val="left"/>
      </w:pPr>
    </w:p>
    <w:p w:rsidR="008E7E54" w:rsidRDefault="008E7E54" w:rsidP="008E7E54">
      <w:pPr>
        <w:jc w:val="left"/>
      </w:pPr>
    </w:p>
    <w:p w:rsidR="008E7E54" w:rsidRDefault="008E7E54" w:rsidP="008E7E54">
      <w:pPr>
        <w:jc w:val="left"/>
      </w:pPr>
      <w:r>
        <w:t xml:space="preserve">MEMORANDUM FOR Commander, US Army Physical Disability Agency </w:t>
      </w:r>
    </w:p>
    <w:p w:rsidR="008E7E54" w:rsidRDefault="008E7E54" w:rsidP="008E7E54">
      <w:pPr>
        <w:jc w:val="left"/>
      </w:pPr>
      <w:r>
        <w:t xml:space="preserve"> </w:t>
      </w:r>
    </w:p>
    <w:p w:rsidR="008E7E54" w:rsidRDefault="008E7E54" w:rsidP="008E7E54">
      <w:pPr>
        <w:jc w:val="left"/>
      </w:pPr>
    </w:p>
    <w:p w:rsidR="008E7E54" w:rsidRDefault="008E7E54" w:rsidP="008E7E54">
      <w:pPr>
        <w:ind w:right="-180"/>
        <w:jc w:val="left"/>
      </w:pPr>
      <w:r>
        <w:t xml:space="preserve">SUBJECT:  Department of Defense Physical Disability Board of Review Recommendation </w:t>
      </w:r>
    </w:p>
    <w:p w:rsidR="008E7E54" w:rsidRDefault="008E7E54" w:rsidP="008E7E54">
      <w:pPr>
        <w:pStyle w:val="Header"/>
        <w:tabs>
          <w:tab w:val="left" w:pos="720"/>
        </w:tabs>
        <w:jc w:val="left"/>
      </w:pPr>
      <w:r>
        <w:t xml:space="preserve"> </w:t>
      </w:r>
    </w:p>
    <w:p w:rsidR="008E7E54" w:rsidRDefault="008E7E54" w:rsidP="008E7E54">
      <w:pPr>
        <w:pStyle w:val="Header"/>
        <w:tabs>
          <w:tab w:val="left" w:pos="720"/>
        </w:tabs>
        <w:jc w:val="left"/>
      </w:pPr>
    </w:p>
    <w:p w:rsidR="008E7E54" w:rsidRDefault="008E7E54" w:rsidP="008E7E54">
      <w:pPr>
        <w:jc w:val="left"/>
      </w:pPr>
    </w:p>
    <w:p w:rsidR="008E7E54" w:rsidRDefault="008E7E54" w:rsidP="008E7E54">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8E7E54" w:rsidRDefault="008E7E54" w:rsidP="008E7E54">
      <w:pPr>
        <w:jc w:val="left"/>
      </w:pPr>
    </w:p>
    <w:p w:rsidR="008E7E54" w:rsidRDefault="008E7E54" w:rsidP="008E7E54">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8E7E54" w:rsidRDefault="008E7E54" w:rsidP="008E7E54">
      <w:pPr>
        <w:jc w:val="left"/>
      </w:pPr>
    </w:p>
    <w:p w:rsidR="008E7E54" w:rsidRDefault="008E7E54" w:rsidP="008E7E54">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8E7E54" w:rsidRDefault="008E7E54" w:rsidP="008E7E54">
      <w:pPr>
        <w:jc w:val="left"/>
      </w:pPr>
    </w:p>
    <w:p w:rsidR="008E7E54" w:rsidRDefault="008E7E54" w:rsidP="008E7E54">
      <w:pPr>
        <w:jc w:val="left"/>
      </w:pPr>
      <w:r>
        <w:t xml:space="preserve"> BY ORDER OF THE SECRETARY OF THE ARMY:</w:t>
      </w:r>
    </w:p>
    <w:p w:rsidR="008E7E54" w:rsidRDefault="008E7E54" w:rsidP="008E7E54">
      <w:pPr>
        <w:jc w:val="left"/>
      </w:pPr>
    </w:p>
    <w:p w:rsidR="008E7E54" w:rsidRDefault="008E7E54" w:rsidP="008E7E54">
      <w:pPr>
        <w:jc w:val="left"/>
      </w:pPr>
    </w:p>
    <w:p w:rsidR="008E7E54" w:rsidRDefault="008E7E54" w:rsidP="008E7E54">
      <w:pPr>
        <w:pStyle w:val="Header"/>
        <w:tabs>
          <w:tab w:val="clear" w:pos="4320"/>
          <w:tab w:val="clear" w:pos="8640"/>
        </w:tabs>
        <w:jc w:val="left"/>
      </w:pPr>
    </w:p>
    <w:p w:rsidR="008E7E54" w:rsidRDefault="008E7E54" w:rsidP="008E7E54">
      <w:pPr>
        <w:jc w:val="left"/>
      </w:pPr>
    </w:p>
    <w:p w:rsidR="008E7E54" w:rsidRDefault="008E7E54" w:rsidP="008E7E54">
      <w:pPr>
        <w:jc w:val="left"/>
      </w:pPr>
      <w:bookmarkStart w:id="0" w:name="OLE_LINK3"/>
      <w:bookmarkStart w:id="1" w:name="OLE_LINK4"/>
      <w:r>
        <w:t>Encl</w:t>
      </w:r>
      <w:r>
        <w:tab/>
      </w:r>
      <w:r>
        <w:tab/>
      </w:r>
      <w:r>
        <w:tab/>
      </w:r>
      <w:r>
        <w:tab/>
      </w:r>
      <w:r>
        <w:tab/>
      </w:r>
      <w:r>
        <w:tab/>
        <w:t xml:space="preserve"> </w:t>
      </w:r>
    </w:p>
    <w:p w:rsidR="008E7E54" w:rsidRDefault="008E7E54" w:rsidP="008E7E54">
      <w:pPr>
        <w:jc w:val="left"/>
      </w:pPr>
      <w:r>
        <w:tab/>
      </w:r>
      <w:r>
        <w:tab/>
      </w:r>
      <w:r>
        <w:tab/>
      </w:r>
      <w:r>
        <w:tab/>
      </w:r>
      <w:r>
        <w:tab/>
      </w:r>
      <w:r>
        <w:tab/>
        <w:t xml:space="preserve">     Deputy Assistant Secretary</w:t>
      </w:r>
    </w:p>
    <w:p w:rsidR="008E7E54" w:rsidRDefault="008E7E54" w:rsidP="008E7E54">
      <w:pPr>
        <w:jc w:val="left"/>
      </w:pPr>
      <w:r>
        <w:tab/>
      </w:r>
      <w:r>
        <w:tab/>
      </w:r>
      <w:r>
        <w:tab/>
      </w:r>
      <w:r>
        <w:tab/>
      </w:r>
      <w:r>
        <w:tab/>
      </w:r>
      <w:r>
        <w:tab/>
        <w:t xml:space="preserve">         (Army Review Boards)</w:t>
      </w:r>
      <w:bookmarkEnd w:id="0"/>
      <w:bookmarkEnd w:id="1"/>
    </w:p>
    <w:p w:rsidR="002F2105" w:rsidRPr="001F29F9" w:rsidRDefault="002F2105" w:rsidP="00BF0E94">
      <w:pPr>
        <w:tabs>
          <w:tab w:val="left" w:pos="0"/>
          <w:tab w:val="left" w:pos="4320"/>
        </w:tabs>
        <w:jc w:val="both"/>
        <w:rPr>
          <w:color w:val="000000"/>
        </w:rPr>
      </w:pPr>
    </w:p>
    <w:p w:rsidR="002F2105" w:rsidRDefault="002F2105" w:rsidP="00BF0E94">
      <w:pPr>
        <w:rPr>
          <w:color w:val="000000"/>
          <w:u w:val="single"/>
        </w:rPr>
      </w:pPr>
    </w:p>
    <w:p w:rsidR="002F2105" w:rsidRPr="00DC1607" w:rsidRDefault="002F2105" w:rsidP="00DC1607">
      <w:pPr>
        <w:jc w:val="left"/>
        <w:rPr>
          <w:color w:val="000000"/>
          <w:u w:val="single"/>
        </w:rPr>
      </w:pPr>
    </w:p>
    <w:p w:rsidR="002F2105" w:rsidRPr="0063507C" w:rsidRDefault="002F2105" w:rsidP="00937F57">
      <w:pPr>
        <w:jc w:val="left"/>
        <w:rPr>
          <w:color w:val="000000"/>
        </w:rPr>
      </w:pPr>
    </w:p>
    <w:sectPr w:rsidR="002F2105" w:rsidRPr="0063507C"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94" w:rsidRDefault="00C82494">
      <w:r>
        <w:separator/>
      </w:r>
    </w:p>
  </w:endnote>
  <w:endnote w:type="continuationSeparator" w:id="0">
    <w:p w:rsidR="00C82494" w:rsidRDefault="00C82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5" w:rsidRPr="00374247" w:rsidRDefault="002F2105" w:rsidP="00374247">
    <w:pPr>
      <w:pStyle w:val="Footer"/>
      <w:ind w:firstLine="4320"/>
      <w:rPr>
        <w:color w:val="auto"/>
      </w:rPr>
    </w:pPr>
    <w:r w:rsidRPr="00374247">
      <w:rPr>
        <w:color w:val="auto"/>
      </w:rPr>
      <w:t xml:space="preserve">   </w:t>
    </w:r>
    <w:fldSimple w:instr=" PAGE   \* MERGEFORMAT ">
      <w:r w:rsidR="008E7E54" w:rsidRPr="008E7E54">
        <w:rPr>
          <w:noProof/>
          <w:color w:val="auto"/>
        </w:rPr>
        <w:t>6</w:t>
      </w:r>
    </w:fldSimple>
    <w:r w:rsidRPr="00374247">
      <w:rPr>
        <w:color w:val="auto"/>
      </w:rPr>
      <w:t xml:space="preserve">                                                           </w:t>
    </w:r>
    <w:r w:rsidRPr="001D64F3">
      <w:rPr>
        <w:color w:val="auto"/>
      </w:rPr>
      <w:t>P</w:t>
    </w:r>
    <w:r w:rsidRPr="007F39E2">
      <w:rPr>
        <w:color w:val="auto"/>
      </w:rPr>
      <w:t>D1100660</w:t>
    </w:r>
  </w:p>
  <w:p w:rsidR="002F2105" w:rsidRPr="00684CE6" w:rsidRDefault="002F210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94" w:rsidRDefault="00C82494">
      <w:r>
        <w:separator/>
      </w:r>
    </w:p>
  </w:footnote>
  <w:footnote w:type="continuationSeparator" w:id="0">
    <w:p w:rsidR="00C82494" w:rsidRDefault="00C8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780"/>
    <w:rsid w:val="00030776"/>
    <w:rsid w:val="00032DCE"/>
    <w:rsid w:val="00032E07"/>
    <w:rsid w:val="000332CA"/>
    <w:rsid w:val="0003374E"/>
    <w:rsid w:val="000344D8"/>
    <w:rsid w:val="000344E6"/>
    <w:rsid w:val="00035C3A"/>
    <w:rsid w:val="00036E4B"/>
    <w:rsid w:val="00036F1F"/>
    <w:rsid w:val="00037929"/>
    <w:rsid w:val="000379D0"/>
    <w:rsid w:val="00040FC4"/>
    <w:rsid w:val="000416F8"/>
    <w:rsid w:val="00042C26"/>
    <w:rsid w:val="00043382"/>
    <w:rsid w:val="00043B3F"/>
    <w:rsid w:val="00044623"/>
    <w:rsid w:val="000452D7"/>
    <w:rsid w:val="00051622"/>
    <w:rsid w:val="00051A11"/>
    <w:rsid w:val="00052234"/>
    <w:rsid w:val="00053D7C"/>
    <w:rsid w:val="000575C5"/>
    <w:rsid w:val="000577C9"/>
    <w:rsid w:val="00060FFD"/>
    <w:rsid w:val="00061D69"/>
    <w:rsid w:val="0006431E"/>
    <w:rsid w:val="00064768"/>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08B2"/>
    <w:rsid w:val="000A2BCE"/>
    <w:rsid w:val="000A31E2"/>
    <w:rsid w:val="000A33C8"/>
    <w:rsid w:val="000A41E3"/>
    <w:rsid w:val="000A4BBA"/>
    <w:rsid w:val="000A5071"/>
    <w:rsid w:val="000B0AD2"/>
    <w:rsid w:val="000B1022"/>
    <w:rsid w:val="000B2FB8"/>
    <w:rsid w:val="000B471C"/>
    <w:rsid w:val="000B4C99"/>
    <w:rsid w:val="000B5204"/>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61"/>
    <w:rsid w:val="00113D2A"/>
    <w:rsid w:val="00114F20"/>
    <w:rsid w:val="0011590B"/>
    <w:rsid w:val="001211AF"/>
    <w:rsid w:val="001215DF"/>
    <w:rsid w:val="001219DF"/>
    <w:rsid w:val="0012220B"/>
    <w:rsid w:val="001222C6"/>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779"/>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1A7"/>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17F60"/>
    <w:rsid w:val="00220F5C"/>
    <w:rsid w:val="00220FA9"/>
    <w:rsid w:val="002216BF"/>
    <w:rsid w:val="00221B9B"/>
    <w:rsid w:val="00222268"/>
    <w:rsid w:val="00225080"/>
    <w:rsid w:val="00225196"/>
    <w:rsid w:val="0022580A"/>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720"/>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6A7"/>
    <w:rsid w:val="00287006"/>
    <w:rsid w:val="0029030A"/>
    <w:rsid w:val="00292397"/>
    <w:rsid w:val="00292AB2"/>
    <w:rsid w:val="00292B82"/>
    <w:rsid w:val="00293DB6"/>
    <w:rsid w:val="00293FE8"/>
    <w:rsid w:val="00294437"/>
    <w:rsid w:val="00295A92"/>
    <w:rsid w:val="00296686"/>
    <w:rsid w:val="00297A00"/>
    <w:rsid w:val="00297A45"/>
    <w:rsid w:val="00297E20"/>
    <w:rsid w:val="002A233F"/>
    <w:rsid w:val="002A3237"/>
    <w:rsid w:val="002A3FDA"/>
    <w:rsid w:val="002A4119"/>
    <w:rsid w:val="002A58B7"/>
    <w:rsid w:val="002A5943"/>
    <w:rsid w:val="002A5C3C"/>
    <w:rsid w:val="002A685E"/>
    <w:rsid w:val="002A72C7"/>
    <w:rsid w:val="002B0204"/>
    <w:rsid w:val="002B03B2"/>
    <w:rsid w:val="002B0749"/>
    <w:rsid w:val="002B2645"/>
    <w:rsid w:val="002B303A"/>
    <w:rsid w:val="002B32E9"/>
    <w:rsid w:val="002B3F8C"/>
    <w:rsid w:val="002B4E22"/>
    <w:rsid w:val="002B6FA0"/>
    <w:rsid w:val="002B7710"/>
    <w:rsid w:val="002C0DEA"/>
    <w:rsid w:val="002C34F6"/>
    <w:rsid w:val="002C3B6D"/>
    <w:rsid w:val="002C3F59"/>
    <w:rsid w:val="002C4D4C"/>
    <w:rsid w:val="002C5D9D"/>
    <w:rsid w:val="002C5F10"/>
    <w:rsid w:val="002C6E5B"/>
    <w:rsid w:val="002D08F3"/>
    <w:rsid w:val="002D18B4"/>
    <w:rsid w:val="002D1C37"/>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105"/>
    <w:rsid w:val="002F287E"/>
    <w:rsid w:val="002F2981"/>
    <w:rsid w:val="002F2D63"/>
    <w:rsid w:val="002F54DA"/>
    <w:rsid w:val="002F6AD8"/>
    <w:rsid w:val="002F7F81"/>
    <w:rsid w:val="00300A36"/>
    <w:rsid w:val="00301B45"/>
    <w:rsid w:val="00305856"/>
    <w:rsid w:val="00305867"/>
    <w:rsid w:val="00305A5D"/>
    <w:rsid w:val="0030678B"/>
    <w:rsid w:val="00306D16"/>
    <w:rsid w:val="0030700A"/>
    <w:rsid w:val="00307595"/>
    <w:rsid w:val="00307DA6"/>
    <w:rsid w:val="00310CD7"/>
    <w:rsid w:val="00313C3A"/>
    <w:rsid w:val="00313D7A"/>
    <w:rsid w:val="003155FB"/>
    <w:rsid w:val="0032125A"/>
    <w:rsid w:val="0032136A"/>
    <w:rsid w:val="003215E0"/>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38F"/>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576"/>
    <w:rsid w:val="00380ACB"/>
    <w:rsid w:val="00380FD4"/>
    <w:rsid w:val="00381E16"/>
    <w:rsid w:val="003821E1"/>
    <w:rsid w:val="003840F6"/>
    <w:rsid w:val="00384866"/>
    <w:rsid w:val="003851BA"/>
    <w:rsid w:val="003857D4"/>
    <w:rsid w:val="00385D6F"/>
    <w:rsid w:val="00386D43"/>
    <w:rsid w:val="00387095"/>
    <w:rsid w:val="00387E95"/>
    <w:rsid w:val="00390092"/>
    <w:rsid w:val="0039028D"/>
    <w:rsid w:val="00390CFA"/>
    <w:rsid w:val="00391858"/>
    <w:rsid w:val="00393651"/>
    <w:rsid w:val="00393D7D"/>
    <w:rsid w:val="003945CA"/>
    <w:rsid w:val="00394926"/>
    <w:rsid w:val="00394FF9"/>
    <w:rsid w:val="00395651"/>
    <w:rsid w:val="00395E12"/>
    <w:rsid w:val="003962A8"/>
    <w:rsid w:val="00396779"/>
    <w:rsid w:val="00397DB7"/>
    <w:rsid w:val="003A27B2"/>
    <w:rsid w:val="003A40B4"/>
    <w:rsid w:val="003A41BA"/>
    <w:rsid w:val="003A5491"/>
    <w:rsid w:val="003A5958"/>
    <w:rsid w:val="003A697B"/>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58D4"/>
    <w:rsid w:val="003D609F"/>
    <w:rsid w:val="003D69F5"/>
    <w:rsid w:val="003D7089"/>
    <w:rsid w:val="003D7DDB"/>
    <w:rsid w:val="003E024F"/>
    <w:rsid w:val="003E02C7"/>
    <w:rsid w:val="003E0543"/>
    <w:rsid w:val="003E061D"/>
    <w:rsid w:val="003E0B5A"/>
    <w:rsid w:val="003E1682"/>
    <w:rsid w:val="003E1986"/>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80"/>
    <w:rsid w:val="00403BFB"/>
    <w:rsid w:val="00404B45"/>
    <w:rsid w:val="00405BCF"/>
    <w:rsid w:val="004066A2"/>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4BEB"/>
    <w:rsid w:val="0042528C"/>
    <w:rsid w:val="00425672"/>
    <w:rsid w:val="00425A6A"/>
    <w:rsid w:val="00426A23"/>
    <w:rsid w:val="00427C7F"/>
    <w:rsid w:val="00427F54"/>
    <w:rsid w:val="0043053A"/>
    <w:rsid w:val="004316FD"/>
    <w:rsid w:val="00433F36"/>
    <w:rsid w:val="00434860"/>
    <w:rsid w:val="00434BBD"/>
    <w:rsid w:val="0043503A"/>
    <w:rsid w:val="00437B8A"/>
    <w:rsid w:val="00437D18"/>
    <w:rsid w:val="00437D77"/>
    <w:rsid w:val="00441D99"/>
    <w:rsid w:val="00443535"/>
    <w:rsid w:val="004435BE"/>
    <w:rsid w:val="0044384F"/>
    <w:rsid w:val="0044411E"/>
    <w:rsid w:val="00444472"/>
    <w:rsid w:val="00444B93"/>
    <w:rsid w:val="00444F80"/>
    <w:rsid w:val="00445599"/>
    <w:rsid w:val="00446018"/>
    <w:rsid w:val="0044629B"/>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440"/>
    <w:rsid w:val="00462F68"/>
    <w:rsid w:val="0046369B"/>
    <w:rsid w:val="004640E9"/>
    <w:rsid w:val="004647EB"/>
    <w:rsid w:val="00466CED"/>
    <w:rsid w:val="00466EB5"/>
    <w:rsid w:val="00467592"/>
    <w:rsid w:val="00467690"/>
    <w:rsid w:val="00467A14"/>
    <w:rsid w:val="004717FE"/>
    <w:rsid w:val="004718E7"/>
    <w:rsid w:val="00472289"/>
    <w:rsid w:val="00472535"/>
    <w:rsid w:val="004761CC"/>
    <w:rsid w:val="004766C9"/>
    <w:rsid w:val="0047775D"/>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3D07"/>
    <w:rsid w:val="004A4136"/>
    <w:rsid w:val="004A417B"/>
    <w:rsid w:val="004A4378"/>
    <w:rsid w:val="004A712D"/>
    <w:rsid w:val="004A7C03"/>
    <w:rsid w:val="004B03F3"/>
    <w:rsid w:val="004B0CC9"/>
    <w:rsid w:val="004B2536"/>
    <w:rsid w:val="004B45C1"/>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175B"/>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A8A"/>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4A7"/>
    <w:rsid w:val="00580A63"/>
    <w:rsid w:val="00583379"/>
    <w:rsid w:val="0058417C"/>
    <w:rsid w:val="005854F9"/>
    <w:rsid w:val="00586EC6"/>
    <w:rsid w:val="00587DDE"/>
    <w:rsid w:val="00591815"/>
    <w:rsid w:val="00592041"/>
    <w:rsid w:val="00593043"/>
    <w:rsid w:val="00595B60"/>
    <w:rsid w:val="00595B63"/>
    <w:rsid w:val="00595BF0"/>
    <w:rsid w:val="00597E16"/>
    <w:rsid w:val="005A0B1D"/>
    <w:rsid w:val="005A1846"/>
    <w:rsid w:val="005A258C"/>
    <w:rsid w:val="005A3560"/>
    <w:rsid w:val="005A464E"/>
    <w:rsid w:val="005A4C65"/>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B74"/>
    <w:rsid w:val="005C4D72"/>
    <w:rsid w:val="005C50C1"/>
    <w:rsid w:val="005C62C2"/>
    <w:rsid w:val="005D2306"/>
    <w:rsid w:val="005D2562"/>
    <w:rsid w:val="005D2666"/>
    <w:rsid w:val="005D3000"/>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92D"/>
    <w:rsid w:val="005F2B27"/>
    <w:rsid w:val="005F3567"/>
    <w:rsid w:val="005F3AFE"/>
    <w:rsid w:val="005F424D"/>
    <w:rsid w:val="005F55F5"/>
    <w:rsid w:val="005F5EC1"/>
    <w:rsid w:val="005F67A9"/>
    <w:rsid w:val="005F6B6D"/>
    <w:rsid w:val="005F73CA"/>
    <w:rsid w:val="006002B2"/>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07C"/>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1FCC"/>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385F"/>
    <w:rsid w:val="00664296"/>
    <w:rsid w:val="00664427"/>
    <w:rsid w:val="00664840"/>
    <w:rsid w:val="006649CD"/>
    <w:rsid w:val="00665D75"/>
    <w:rsid w:val="006708E3"/>
    <w:rsid w:val="00670DDC"/>
    <w:rsid w:val="00671389"/>
    <w:rsid w:val="00671EB4"/>
    <w:rsid w:val="00673CDC"/>
    <w:rsid w:val="0067443B"/>
    <w:rsid w:val="006770AA"/>
    <w:rsid w:val="0068098E"/>
    <w:rsid w:val="00680F28"/>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79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1F6A"/>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ABF"/>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6BAB"/>
    <w:rsid w:val="00780378"/>
    <w:rsid w:val="0078085E"/>
    <w:rsid w:val="0078160A"/>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4D8"/>
    <w:rsid w:val="007968AC"/>
    <w:rsid w:val="007969AB"/>
    <w:rsid w:val="007973D8"/>
    <w:rsid w:val="00797801"/>
    <w:rsid w:val="007A0861"/>
    <w:rsid w:val="007A0B39"/>
    <w:rsid w:val="007A14A4"/>
    <w:rsid w:val="007A168F"/>
    <w:rsid w:val="007A1B96"/>
    <w:rsid w:val="007A2346"/>
    <w:rsid w:val="007A28E4"/>
    <w:rsid w:val="007A3BB3"/>
    <w:rsid w:val="007A3D1F"/>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BC9"/>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0F1C"/>
    <w:rsid w:val="007F1375"/>
    <w:rsid w:val="007F1AFD"/>
    <w:rsid w:val="007F30E4"/>
    <w:rsid w:val="007F39E2"/>
    <w:rsid w:val="0080064F"/>
    <w:rsid w:val="00801B85"/>
    <w:rsid w:val="00803850"/>
    <w:rsid w:val="008039E8"/>
    <w:rsid w:val="00804385"/>
    <w:rsid w:val="00804E0E"/>
    <w:rsid w:val="008051EB"/>
    <w:rsid w:val="0080588E"/>
    <w:rsid w:val="00805AFD"/>
    <w:rsid w:val="00806397"/>
    <w:rsid w:val="00806E51"/>
    <w:rsid w:val="008078D8"/>
    <w:rsid w:val="0080798E"/>
    <w:rsid w:val="00811BD9"/>
    <w:rsid w:val="00811D5B"/>
    <w:rsid w:val="00813C51"/>
    <w:rsid w:val="00816CCB"/>
    <w:rsid w:val="00817572"/>
    <w:rsid w:val="00817713"/>
    <w:rsid w:val="008208C3"/>
    <w:rsid w:val="008220F1"/>
    <w:rsid w:val="0082340B"/>
    <w:rsid w:val="00823D6A"/>
    <w:rsid w:val="008241E0"/>
    <w:rsid w:val="00827B29"/>
    <w:rsid w:val="00827DB6"/>
    <w:rsid w:val="008304B2"/>
    <w:rsid w:val="00830999"/>
    <w:rsid w:val="00830D5E"/>
    <w:rsid w:val="00830F69"/>
    <w:rsid w:val="008313BE"/>
    <w:rsid w:val="00831940"/>
    <w:rsid w:val="008324D9"/>
    <w:rsid w:val="00833418"/>
    <w:rsid w:val="0083387F"/>
    <w:rsid w:val="00834458"/>
    <w:rsid w:val="00834AEA"/>
    <w:rsid w:val="00835841"/>
    <w:rsid w:val="00835BF8"/>
    <w:rsid w:val="00835FB7"/>
    <w:rsid w:val="00837465"/>
    <w:rsid w:val="00837652"/>
    <w:rsid w:val="0084002E"/>
    <w:rsid w:val="00840159"/>
    <w:rsid w:val="00840621"/>
    <w:rsid w:val="00841243"/>
    <w:rsid w:val="00841457"/>
    <w:rsid w:val="00842823"/>
    <w:rsid w:val="00842BAA"/>
    <w:rsid w:val="00842D8F"/>
    <w:rsid w:val="0084374E"/>
    <w:rsid w:val="00844842"/>
    <w:rsid w:val="0084493E"/>
    <w:rsid w:val="00844A53"/>
    <w:rsid w:val="00844B99"/>
    <w:rsid w:val="00844DD0"/>
    <w:rsid w:val="008455C8"/>
    <w:rsid w:val="00846407"/>
    <w:rsid w:val="0085006A"/>
    <w:rsid w:val="00850127"/>
    <w:rsid w:val="0085089F"/>
    <w:rsid w:val="00850C87"/>
    <w:rsid w:val="0085206E"/>
    <w:rsid w:val="00852273"/>
    <w:rsid w:val="0085293D"/>
    <w:rsid w:val="00852AD4"/>
    <w:rsid w:val="00852BA8"/>
    <w:rsid w:val="00852BF0"/>
    <w:rsid w:val="00853718"/>
    <w:rsid w:val="008541EF"/>
    <w:rsid w:val="00856428"/>
    <w:rsid w:val="00856AC7"/>
    <w:rsid w:val="00856FA4"/>
    <w:rsid w:val="00857363"/>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271"/>
    <w:rsid w:val="0087566D"/>
    <w:rsid w:val="00875B50"/>
    <w:rsid w:val="00875B51"/>
    <w:rsid w:val="00875F2D"/>
    <w:rsid w:val="008762E7"/>
    <w:rsid w:val="008764DC"/>
    <w:rsid w:val="00882C38"/>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3D95"/>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A8A"/>
    <w:rsid w:val="008C22F3"/>
    <w:rsid w:val="008C3223"/>
    <w:rsid w:val="008C3FD0"/>
    <w:rsid w:val="008C4F01"/>
    <w:rsid w:val="008C5152"/>
    <w:rsid w:val="008C710E"/>
    <w:rsid w:val="008C786F"/>
    <w:rsid w:val="008D1484"/>
    <w:rsid w:val="008D29E7"/>
    <w:rsid w:val="008D5104"/>
    <w:rsid w:val="008D75F4"/>
    <w:rsid w:val="008D795D"/>
    <w:rsid w:val="008D7B07"/>
    <w:rsid w:val="008E0D8F"/>
    <w:rsid w:val="008E0F4E"/>
    <w:rsid w:val="008E1E94"/>
    <w:rsid w:val="008E2D99"/>
    <w:rsid w:val="008E30D4"/>
    <w:rsid w:val="008E38B0"/>
    <w:rsid w:val="008E3C90"/>
    <w:rsid w:val="008E4A22"/>
    <w:rsid w:val="008E4A60"/>
    <w:rsid w:val="008E744D"/>
    <w:rsid w:val="008E7E54"/>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6BB"/>
    <w:rsid w:val="00967868"/>
    <w:rsid w:val="00971810"/>
    <w:rsid w:val="00972996"/>
    <w:rsid w:val="009730B4"/>
    <w:rsid w:val="0097320E"/>
    <w:rsid w:val="009732B8"/>
    <w:rsid w:val="00974647"/>
    <w:rsid w:val="0097514A"/>
    <w:rsid w:val="009759C2"/>
    <w:rsid w:val="00975BDE"/>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645B"/>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331"/>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EBD"/>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2C69"/>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699"/>
    <w:rsid w:val="00B24ED4"/>
    <w:rsid w:val="00B24F33"/>
    <w:rsid w:val="00B26354"/>
    <w:rsid w:val="00B26CA0"/>
    <w:rsid w:val="00B300BD"/>
    <w:rsid w:val="00B31965"/>
    <w:rsid w:val="00B32179"/>
    <w:rsid w:val="00B322A7"/>
    <w:rsid w:val="00B32341"/>
    <w:rsid w:val="00B32685"/>
    <w:rsid w:val="00B32C2B"/>
    <w:rsid w:val="00B33007"/>
    <w:rsid w:val="00B331A9"/>
    <w:rsid w:val="00B33498"/>
    <w:rsid w:val="00B33598"/>
    <w:rsid w:val="00B3575C"/>
    <w:rsid w:val="00B36569"/>
    <w:rsid w:val="00B37345"/>
    <w:rsid w:val="00B37F53"/>
    <w:rsid w:val="00B4037C"/>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6CE8"/>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C11"/>
    <w:rsid w:val="00B91676"/>
    <w:rsid w:val="00B9322B"/>
    <w:rsid w:val="00B93640"/>
    <w:rsid w:val="00B955D5"/>
    <w:rsid w:val="00B95833"/>
    <w:rsid w:val="00BA1824"/>
    <w:rsid w:val="00BA2D98"/>
    <w:rsid w:val="00BA2F0C"/>
    <w:rsid w:val="00BA30D1"/>
    <w:rsid w:val="00BA30E1"/>
    <w:rsid w:val="00BA4609"/>
    <w:rsid w:val="00BA5BE2"/>
    <w:rsid w:val="00BA6A9C"/>
    <w:rsid w:val="00BA7396"/>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4DF0"/>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732C"/>
    <w:rsid w:val="00BF01B7"/>
    <w:rsid w:val="00BF0B7F"/>
    <w:rsid w:val="00BF0E94"/>
    <w:rsid w:val="00BF2988"/>
    <w:rsid w:val="00BF3FB9"/>
    <w:rsid w:val="00BF4012"/>
    <w:rsid w:val="00BF4720"/>
    <w:rsid w:val="00BF472E"/>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92A"/>
    <w:rsid w:val="00C14C37"/>
    <w:rsid w:val="00C157AA"/>
    <w:rsid w:val="00C162E1"/>
    <w:rsid w:val="00C16BE4"/>
    <w:rsid w:val="00C16E9F"/>
    <w:rsid w:val="00C1713D"/>
    <w:rsid w:val="00C17523"/>
    <w:rsid w:val="00C177F1"/>
    <w:rsid w:val="00C17EE6"/>
    <w:rsid w:val="00C217F7"/>
    <w:rsid w:val="00C21D77"/>
    <w:rsid w:val="00C2272E"/>
    <w:rsid w:val="00C22F3A"/>
    <w:rsid w:val="00C23311"/>
    <w:rsid w:val="00C24AD9"/>
    <w:rsid w:val="00C25978"/>
    <w:rsid w:val="00C25B83"/>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494"/>
    <w:rsid w:val="00C826F5"/>
    <w:rsid w:val="00C82DB4"/>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7AE3"/>
    <w:rsid w:val="00CF158D"/>
    <w:rsid w:val="00CF2166"/>
    <w:rsid w:val="00CF4340"/>
    <w:rsid w:val="00CF4394"/>
    <w:rsid w:val="00CF48B4"/>
    <w:rsid w:val="00CF5C12"/>
    <w:rsid w:val="00CF667E"/>
    <w:rsid w:val="00CF7B72"/>
    <w:rsid w:val="00D000A9"/>
    <w:rsid w:val="00D00384"/>
    <w:rsid w:val="00D005DB"/>
    <w:rsid w:val="00D0064E"/>
    <w:rsid w:val="00D00981"/>
    <w:rsid w:val="00D02596"/>
    <w:rsid w:val="00D0280D"/>
    <w:rsid w:val="00D02AEF"/>
    <w:rsid w:val="00D02B41"/>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6BB"/>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5BAC"/>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09C6"/>
    <w:rsid w:val="00DD286D"/>
    <w:rsid w:val="00DD2CAF"/>
    <w:rsid w:val="00DD3593"/>
    <w:rsid w:val="00DD64E0"/>
    <w:rsid w:val="00DD775C"/>
    <w:rsid w:val="00DD7BE0"/>
    <w:rsid w:val="00DE0C67"/>
    <w:rsid w:val="00DE3555"/>
    <w:rsid w:val="00DE3AAD"/>
    <w:rsid w:val="00DE598A"/>
    <w:rsid w:val="00DE5DC7"/>
    <w:rsid w:val="00DE6952"/>
    <w:rsid w:val="00DE6FBE"/>
    <w:rsid w:val="00DE7A7D"/>
    <w:rsid w:val="00DE7E74"/>
    <w:rsid w:val="00DF071B"/>
    <w:rsid w:val="00DF223C"/>
    <w:rsid w:val="00DF5C84"/>
    <w:rsid w:val="00DF5EC0"/>
    <w:rsid w:val="00DF6EF8"/>
    <w:rsid w:val="00DF6EFE"/>
    <w:rsid w:val="00DF7C40"/>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C1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2E8E"/>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0C73"/>
    <w:rsid w:val="00E9265E"/>
    <w:rsid w:val="00E956DB"/>
    <w:rsid w:val="00E95F40"/>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0F5B"/>
    <w:rsid w:val="00F020E5"/>
    <w:rsid w:val="00F02F9F"/>
    <w:rsid w:val="00F03525"/>
    <w:rsid w:val="00F039A8"/>
    <w:rsid w:val="00F0424D"/>
    <w:rsid w:val="00F04957"/>
    <w:rsid w:val="00F053F0"/>
    <w:rsid w:val="00F05807"/>
    <w:rsid w:val="00F06451"/>
    <w:rsid w:val="00F07052"/>
    <w:rsid w:val="00F0706C"/>
    <w:rsid w:val="00F1064F"/>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5C94"/>
    <w:rsid w:val="00F56EA1"/>
    <w:rsid w:val="00F57E7E"/>
    <w:rsid w:val="00F606D5"/>
    <w:rsid w:val="00F611B3"/>
    <w:rsid w:val="00F6196E"/>
    <w:rsid w:val="00F61CCC"/>
    <w:rsid w:val="00F624DD"/>
    <w:rsid w:val="00F629C0"/>
    <w:rsid w:val="00F629E1"/>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EB4"/>
    <w:rsid w:val="00F96F61"/>
    <w:rsid w:val="00F97740"/>
    <w:rsid w:val="00FA0C8F"/>
    <w:rsid w:val="00FA2DEF"/>
    <w:rsid w:val="00FA2F7B"/>
    <w:rsid w:val="00FA3C90"/>
    <w:rsid w:val="00FA3C97"/>
    <w:rsid w:val="00FA3D30"/>
    <w:rsid w:val="00FA4B49"/>
    <w:rsid w:val="00FA54F8"/>
    <w:rsid w:val="00FA78C8"/>
    <w:rsid w:val="00FA7A2F"/>
    <w:rsid w:val="00FB09FE"/>
    <w:rsid w:val="00FB0C93"/>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0C71"/>
    <w:rsid w:val="00FE2A48"/>
    <w:rsid w:val="00FE2DEF"/>
    <w:rsid w:val="00FE323C"/>
    <w:rsid w:val="00FE3A27"/>
    <w:rsid w:val="00FE48A6"/>
    <w:rsid w:val="00FE5D0A"/>
    <w:rsid w:val="00FE6469"/>
    <w:rsid w:val="00FE7C22"/>
    <w:rsid w:val="00FE7C6D"/>
    <w:rsid w:val="00FF0111"/>
    <w:rsid w:val="00FF05D0"/>
    <w:rsid w:val="00FF06CE"/>
    <w:rsid w:val="00FF0DC2"/>
    <w:rsid w:val="00FF0FF7"/>
    <w:rsid w:val="00FF1022"/>
    <w:rsid w:val="00FF10A2"/>
    <w:rsid w:val="00FF1438"/>
    <w:rsid w:val="00FF3A38"/>
    <w:rsid w:val="00FF3C25"/>
    <w:rsid w:val="00FF4129"/>
    <w:rsid w:val="00FF44F7"/>
    <w:rsid w:val="00FF4C90"/>
    <w:rsid w:val="00FF5806"/>
    <w:rsid w:val="00FF5E2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dcterms:created xsi:type="dcterms:W3CDTF">2012-03-07T21:24:00Z</dcterms:created>
  <dcterms:modified xsi:type="dcterms:W3CDTF">2012-04-06T15:37:00Z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