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AD2379" w:rsidRPr="001F29F9" w:rsidRDefault="00AD2379" w:rsidP="003C53E8">
      <w:pPr>
        <w:tabs>
          <w:tab w:val="left" w:pos="288"/>
          <w:tab w:val="left" w:pos="4752"/>
          <w:tab w:val="left" w:pos="6390"/>
          <w:tab w:val="left" w:pos="9270"/>
        </w:tabs>
        <w:jc w:val="both"/>
        <w:rPr>
          <w:caps/>
          <w:color w:val="000000"/>
        </w:rPr>
      </w:pPr>
      <w:r w:rsidRPr="001F29F9">
        <w:rPr>
          <w:caps/>
          <w:color w:val="000000"/>
        </w:rPr>
        <w:t xml:space="preserve">NAME:  </w:t>
      </w:r>
      <w:r w:rsidR="00BC03EE">
        <w:rPr>
          <w:caps/>
          <w:color w:val="000000"/>
        </w:rPr>
        <w:t>XXXXXXXXXXXXXXXXXXXXXX</w:t>
      </w:r>
      <w:r w:rsidRPr="001F29F9">
        <w:rPr>
          <w:caps/>
          <w:color w:val="000000"/>
        </w:rPr>
        <w:t xml:space="preserve">               </w:t>
      </w:r>
      <w:r w:rsidRPr="001F29F9">
        <w:rPr>
          <w:caps/>
          <w:color w:val="000000"/>
        </w:rPr>
        <w:tab/>
        <w:t xml:space="preserve">                       BRANCH OF SERVICE: </w:t>
      </w:r>
      <w:r w:rsidRPr="00726F84">
        <w:rPr>
          <w:caps/>
          <w:color w:val="000000"/>
        </w:rPr>
        <w:t xml:space="preserve">Army </w:t>
      </w:r>
    </w:p>
    <w:p w:rsidR="00AD2379" w:rsidRPr="001F29F9" w:rsidRDefault="00AD2379" w:rsidP="0068098E">
      <w:pPr>
        <w:tabs>
          <w:tab w:val="left" w:pos="288"/>
          <w:tab w:val="left" w:pos="4166"/>
          <w:tab w:val="left" w:pos="4752"/>
          <w:tab w:val="left" w:pos="5130"/>
          <w:tab w:val="left" w:pos="9270"/>
        </w:tabs>
        <w:jc w:val="both"/>
        <w:rPr>
          <w:caps/>
          <w:color w:val="000000"/>
        </w:rPr>
      </w:pPr>
      <w:r w:rsidRPr="001F29F9">
        <w:rPr>
          <w:caps/>
          <w:color w:val="000000"/>
        </w:rPr>
        <w:t>CASE NUMBER:  PD1100657</w:t>
      </w:r>
      <w:r w:rsidRPr="001F29F9">
        <w:rPr>
          <w:color w:val="000000"/>
        </w:rPr>
        <w:t xml:space="preserve"> </w:t>
      </w:r>
      <w:r w:rsidRPr="001F29F9">
        <w:rPr>
          <w:color w:val="000000"/>
        </w:rPr>
        <w:tab/>
      </w:r>
      <w:r w:rsidRPr="001F29F9">
        <w:rPr>
          <w:color w:val="000000"/>
        </w:rPr>
        <w:tab/>
        <w:t xml:space="preserve">                       SEPARATION DATE:  20080709</w:t>
      </w:r>
    </w:p>
    <w:p w:rsidR="00AD2379" w:rsidRPr="001F29F9" w:rsidRDefault="006628CB" w:rsidP="00726F84">
      <w:pPr>
        <w:tabs>
          <w:tab w:val="left" w:pos="288"/>
          <w:tab w:val="left" w:pos="5130"/>
        </w:tabs>
        <w:jc w:val="both"/>
        <w:rPr>
          <w:color w:val="000000"/>
        </w:rPr>
      </w:pPr>
      <w:r>
        <w:rPr>
          <w:caps/>
          <w:color w:val="000000"/>
        </w:rPr>
        <w:t>BOARD DATE:  2012</w:t>
      </w:r>
      <w:r w:rsidR="004361AC">
        <w:rPr>
          <w:caps/>
          <w:color w:val="000000"/>
        </w:rPr>
        <w:t>0307</w:t>
      </w:r>
    </w:p>
    <w:p w:rsidR="00AD2379" w:rsidRPr="001F29F9" w:rsidRDefault="00AD2379" w:rsidP="003C53E8">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a National Guard, CW3 (92A, Food Service Officer), medically separated for </w:t>
      </w:r>
      <w:r w:rsidR="00261B7E">
        <w:rPr>
          <w:color w:val="000000"/>
        </w:rPr>
        <w:t xml:space="preserve">a </w:t>
      </w:r>
      <w:r w:rsidRPr="001F29F9">
        <w:rPr>
          <w:color w:val="000000"/>
        </w:rPr>
        <w:t xml:space="preserve">left knee </w:t>
      </w:r>
      <w:r w:rsidR="00261B7E">
        <w:rPr>
          <w:color w:val="000000"/>
        </w:rPr>
        <w:t>condition</w:t>
      </w:r>
      <w:r w:rsidRPr="001F29F9">
        <w:rPr>
          <w:color w:val="000000"/>
        </w:rPr>
        <w:t xml:space="preserve">. </w:t>
      </w:r>
      <w:r w:rsidR="00261B7E">
        <w:rPr>
          <w:color w:val="000000"/>
        </w:rPr>
        <w:t xml:space="preserve"> </w:t>
      </w:r>
      <w:r w:rsidRPr="001F29F9">
        <w:rPr>
          <w:color w:val="000000"/>
        </w:rPr>
        <w:t xml:space="preserve">While stationed in Kuwait in 2005, the CI tore his anterior </w:t>
      </w:r>
      <w:proofErr w:type="spellStart"/>
      <w:r w:rsidRPr="001F29F9">
        <w:rPr>
          <w:color w:val="000000"/>
        </w:rPr>
        <w:t>cruciate</w:t>
      </w:r>
      <w:proofErr w:type="spellEnd"/>
      <w:r w:rsidRPr="001F29F9">
        <w:rPr>
          <w:color w:val="000000"/>
        </w:rPr>
        <w:t xml:space="preserve"> ligament (ACL) </w:t>
      </w:r>
      <w:r w:rsidR="00020941">
        <w:rPr>
          <w:color w:val="000000"/>
        </w:rPr>
        <w:t>during unit sports</w:t>
      </w:r>
      <w:r w:rsidR="004361AC">
        <w:rPr>
          <w:color w:val="000000"/>
        </w:rPr>
        <w:t xml:space="preserve"> activities</w:t>
      </w:r>
      <w:r w:rsidRPr="001F29F9">
        <w:rPr>
          <w:color w:val="000000"/>
        </w:rPr>
        <w:t xml:space="preserve">. </w:t>
      </w:r>
      <w:r w:rsidR="00261B7E">
        <w:rPr>
          <w:color w:val="000000"/>
        </w:rPr>
        <w:t xml:space="preserve"> </w:t>
      </w:r>
      <w:r w:rsidRPr="001F29F9">
        <w:rPr>
          <w:color w:val="000000"/>
        </w:rPr>
        <w:t xml:space="preserve">He underwent a </w:t>
      </w:r>
      <w:proofErr w:type="spellStart"/>
      <w:r w:rsidR="00C42AED" w:rsidRPr="001F29F9">
        <w:rPr>
          <w:color w:val="000000"/>
        </w:rPr>
        <w:t>menisectomy</w:t>
      </w:r>
      <w:proofErr w:type="spellEnd"/>
      <w:r w:rsidR="00261B7E">
        <w:rPr>
          <w:color w:val="000000"/>
        </w:rPr>
        <w:t xml:space="preserve"> in 2006, followed by an </w:t>
      </w:r>
      <w:r w:rsidRPr="001F29F9">
        <w:rPr>
          <w:color w:val="000000"/>
        </w:rPr>
        <w:t xml:space="preserve">ACL reconstruction </w:t>
      </w:r>
      <w:r w:rsidR="00261B7E">
        <w:rPr>
          <w:color w:val="000000"/>
        </w:rPr>
        <w:t>the same year</w:t>
      </w:r>
      <w:r w:rsidRPr="001F29F9">
        <w:rPr>
          <w:color w:val="000000"/>
        </w:rPr>
        <w:t xml:space="preserve">. </w:t>
      </w:r>
      <w:r w:rsidR="00261B7E">
        <w:rPr>
          <w:color w:val="000000"/>
        </w:rPr>
        <w:t xml:space="preserve"> Post-operatively his knee could not be adequately rehabilitated to meet the physical requirements of his </w:t>
      </w:r>
      <w:r w:rsidRPr="00726F84">
        <w:rPr>
          <w:color w:val="000000"/>
        </w:rPr>
        <w:t xml:space="preserve">Military Occupational Specialty (MOS) or </w:t>
      </w:r>
      <w:r w:rsidR="00261B7E">
        <w:rPr>
          <w:color w:val="000000"/>
        </w:rPr>
        <w:t>satisfy</w:t>
      </w:r>
      <w:r w:rsidRPr="00726F84">
        <w:rPr>
          <w:color w:val="000000"/>
        </w:rPr>
        <w:t xml:space="preserve"> physical fitness standards. </w:t>
      </w:r>
      <w:r w:rsidR="00261B7E">
        <w:rPr>
          <w:color w:val="000000"/>
        </w:rPr>
        <w:t xml:space="preserve"> </w:t>
      </w:r>
      <w:r w:rsidRPr="00726F84">
        <w:rPr>
          <w:color w:val="000000"/>
        </w:rPr>
        <w:t xml:space="preserve">He was issued a permanent L3 profile and </w:t>
      </w:r>
      <w:r w:rsidR="00261B7E">
        <w:rPr>
          <w:color w:val="000000"/>
        </w:rPr>
        <w:t>referred for</w:t>
      </w:r>
      <w:r w:rsidRPr="00726F84">
        <w:rPr>
          <w:color w:val="000000"/>
        </w:rPr>
        <w:t xml:space="preserve"> a Medical Evaluation Board (MEB).</w:t>
      </w:r>
      <w:r w:rsidRPr="001F29F9">
        <w:rPr>
          <w:color w:val="000000"/>
        </w:rPr>
        <w:t xml:space="preserve"> </w:t>
      </w:r>
      <w:r w:rsidR="00261B7E">
        <w:rPr>
          <w:color w:val="000000"/>
        </w:rPr>
        <w:t xml:space="preserve"> The knee condition characterized as “c</w:t>
      </w:r>
      <w:r w:rsidRPr="001F29F9">
        <w:rPr>
          <w:color w:val="000000"/>
        </w:rPr>
        <w:t xml:space="preserve">hronic left </w:t>
      </w:r>
      <w:r w:rsidRPr="00726F84">
        <w:rPr>
          <w:color w:val="000000"/>
        </w:rPr>
        <w:t xml:space="preserve">knee pain and instability status post anterior </w:t>
      </w:r>
      <w:proofErr w:type="spellStart"/>
      <w:r w:rsidRPr="00726F84">
        <w:rPr>
          <w:color w:val="000000"/>
        </w:rPr>
        <w:t>cruciate</w:t>
      </w:r>
      <w:proofErr w:type="spellEnd"/>
      <w:r w:rsidRPr="00726F84">
        <w:rPr>
          <w:color w:val="000000"/>
        </w:rPr>
        <w:t xml:space="preserve"> ligament injury and subsequent repair</w:t>
      </w:r>
      <w:r w:rsidR="00261B7E">
        <w:rPr>
          <w:color w:val="000000"/>
        </w:rPr>
        <w:t>”</w:t>
      </w:r>
      <w:r w:rsidRPr="00726F84">
        <w:rPr>
          <w:color w:val="000000"/>
        </w:rPr>
        <w:t xml:space="preserve"> was forwarded to the Physical Evaluation </w:t>
      </w:r>
      <w:r w:rsidRPr="009A7578">
        <w:rPr>
          <w:color w:val="000000"/>
        </w:rPr>
        <w:t xml:space="preserve">Board (PEB) as medically unacceptable IAW AR 40-501. </w:t>
      </w:r>
      <w:r w:rsidR="00261B7E">
        <w:rPr>
          <w:color w:val="000000"/>
        </w:rPr>
        <w:t xml:space="preserve"> </w:t>
      </w:r>
      <w:r w:rsidRPr="009A7578">
        <w:rPr>
          <w:color w:val="000000"/>
        </w:rPr>
        <w:t xml:space="preserve">Four other conditions, as identified in the rating chart below, were </w:t>
      </w:r>
      <w:r w:rsidR="00261B7E">
        <w:rPr>
          <w:color w:val="000000"/>
        </w:rPr>
        <w:t xml:space="preserve">addressed by the MEB and </w:t>
      </w:r>
      <w:r w:rsidRPr="009A7578">
        <w:rPr>
          <w:color w:val="000000"/>
        </w:rPr>
        <w:t>forwarded as medically acceptable conditions.</w:t>
      </w:r>
      <w:r w:rsidRPr="001F29F9">
        <w:rPr>
          <w:color w:val="000000"/>
        </w:rPr>
        <w:t xml:space="preserve"> </w:t>
      </w:r>
      <w:r w:rsidR="00261B7E">
        <w:rPr>
          <w:color w:val="000000"/>
        </w:rPr>
        <w:t xml:space="preserve"> </w:t>
      </w:r>
      <w:r w:rsidRPr="001F29F9">
        <w:rPr>
          <w:color w:val="000000"/>
        </w:rPr>
        <w:t xml:space="preserve">The </w:t>
      </w:r>
      <w:r w:rsidRPr="00726F84">
        <w:rPr>
          <w:color w:val="000000"/>
        </w:rPr>
        <w:t xml:space="preserve">PEB adjudicated the left knee </w:t>
      </w:r>
      <w:proofErr w:type="gramStart"/>
      <w:r w:rsidRPr="00726F84">
        <w:rPr>
          <w:color w:val="000000"/>
        </w:rPr>
        <w:t>condition</w:t>
      </w:r>
      <w:proofErr w:type="gramEnd"/>
      <w:r w:rsidRPr="00726F84">
        <w:rPr>
          <w:color w:val="000000"/>
        </w:rPr>
        <w:t xml:space="preserve"> as unfitting, rated 20%, </w:t>
      </w:r>
      <w:r w:rsidR="00261B7E">
        <w:rPr>
          <w:color w:val="000000"/>
        </w:rPr>
        <w:t>citing criteria of</w:t>
      </w:r>
      <w:r w:rsidRPr="00726F84">
        <w:rPr>
          <w:color w:val="000000"/>
        </w:rPr>
        <w:t xml:space="preserve"> the </w:t>
      </w:r>
      <w:r w:rsidRPr="009A7578">
        <w:rPr>
          <w:color w:val="000000"/>
        </w:rPr>
        <w:t>Veterans Administration Schedule for Rating Disabilities (VASRD)</w:t>
      </w:r>
      <w:r w:rsidRPr="00726F84">
        <w:rPr>
          <w:color w:val="000000"/>
        </w:rPr>
        <w:t>.</w:t>
      </w:r>
      <w:r w:rsidRPr="001F29F9">
        <w:rPr>
          <w:color w:val="000000"/>
        </w:rPr>
        <w:t xml:space="preserve"> </w:t>
      </w:r>
      <w:r w:rsidR="00261B7E">
        <w:rPr>
          <w:color w:val="000000"/>
        </w:rPr>
        <w:t xml:space="preserve"> </w:t>
      </w:r>
      <w:r w:rsidRPr="001F29F9">
        <w:rPr>
          <w:color w:val="000000"/>
        </w:rPr>
        <w:t xml:space="preserve">The CI made no appeals, and was medically </w:t>
      </w:r>
      <w:r w:rsidRPr="00726F84">
        <w:rPr>
          <w:color w:val="000000"/>
        </w:rPr>
        <w:t xml:space="preserve">separated with </w:t>
      </w:r>
      <w:r w:rsidR="00261B7E">
        <w:rPr>
          <w:color w:val="000000"/>
        </w:rPr>
        <w:t>that</w:t>
      </w:r>
      <w:r w:rsidRPr="001F29F9">
        <w:rPr>
          <w:color w:val="000000"/>
        </w:rPr>
        <w:t xml:space="preserve"> disability rating.</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r w:rsidRPr="001F29F9">
        <w:rPr>
          <w:color w:val="000000"/>
          <w:u w:val="single"/>
        </w:rPr>
        <w:t>CI CONTENTION</w:t>
      </w:r>
      <w:r w:rsidRPr="001F29F9">
        <w:rPr>
          <w:color w:val="000000"/>
        </w:rPr>
        <w:t>:</w:t>
      </w:r>
      <w:r w:rsidRPr="00726F84">
        <w:rPr>
          <w:color w:val="000000"/>
        </w:rPr>
        <w:t xml:space="preserve"> </w:t>
      </w:r>
      <w:r>
        <w:rPr>
          <w:color w:val="000000"/>
        </w:rPr>
        <w:t>“All conditions at separation did not receive proper rating.”</w:t>
      </w:r>
      <w:r w:rsidRPr="001F29F9">
        <w:rPr>
          <w:color w:val="000000"/>
        </w:rPr>
        <w:t xml:space="preserve"> He elaborates no specific contentions regarding rating or coding and mentions no additionally contended conditions.</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3078"/>
        <w:gridCol w:w="630"/>
        <w:gridCol w:w="720"/>
        <w:gridCol w:w="2040"/>
        <w:gridCol w:w="570"/>
        <w:gridCol w:w="25"/>
        <w:gridCol w:w="605"/>
        <w:gridCol w:w="720"/>
        <w:gridCol w:w="960"/>
      </w:tblGrid>
      <w:tr w:rsidR="00AD2379" w:rsidRPr="000D5DBE" w:rsidTr="001968BB">
        <w:trPr>
          <w:trHeight w:val="170"/>
        </w:trPr>
        <w:tc>
          <w:tcPr>
            <w:tcW w:w="4428" w:type="dxa"/>
            <w:gridSpan w:val="3"/>
            <w:tcBorders>
              <w:right w:val="thinThickThinSmallGap" w:sz="24" w:space="0" w:color="auto"/>
            </w:tcBorders>
            <w:shd w:val="clear" w:color="auto" w:fill="D9D9D9"/>
            <w:vAlign w:val="center"/>
          </w:tcPr>
          <w:p w:rsidR="00AD2379" w:rsidRPr="000D5DBE" w:rsidRDefault="00261B7E" w:rsidP="001968BB">
            <w:pPr>
              <w:contextualSpacing/>
              <w:rPr>
                <w:rFonts w:cs="Calibri"/>
                <w:b/>
                <w:color w:val="000000"/>
                <w:sz w:val="18"/>
              </w:rPr>
            </w:pPr>
            <w:r>
              <w:rPr>
                <w:b/>
                <w:color w:val="000000"/>
                <w:sz w:val="18"/>
              </w:rPr>
              <w:t xml:space="preserve">Service </w:t>
            </w:r>
            <w:r w:rsidR="00AD2379" w:rsidRPr="000D5DBE">
              <w:rPr>
                <w:b/>
                <w:color w:val="000000"/>
                <w:sz w:val="18"/>
              </w:rPr>
              <w:t>PEB – Dated 20080317</w:t>
            </w:r>
          </w:p>
        </w:tc>
        <w:tc>
          <w:tcPr>
            <w:tcW w:w="4920" w:type="dxa"/>
            <w:gridSpan w:val="6"/>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VA (9 Mo. Post-Separation) – All Effective 20080710</w:t>
            </w:r>
          </w:p>
        </w:tc>
      </w:tr>
      <w:tr w:rsidR="00261B7E" w:rsidRPr="000D5DBE" w:rsidTr="00261B7E">
        <w:trPr>
          <w:trHeight w:val="97"/>
        </w:trPr>
        <w:tc>
          <w:tcPr>
            <w:tcW w:w="307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610" w:type="dxa"/>
            <w:gridSpan w:val="2"/>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gridSpan w:val="2"/>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261B7E" w:rsidRPr="000D5DBE" w:rsidTr="00261B7E">
        <w:trPr>
          <w:trHeight w:val="118"/>
        </w:trPr>
        <w:tc>
          <w:tcPr>
            <w:tcW w:w="3078" w:type="dxa"/>
            <w:tcBorders>
              <w:right w:val="single" w:sz="4" w:space="0" w:color="auto"/>
            </w:tcBorders>
            <w:shd w:val="clear" w:color="auto" w:fill="FFFFFF"/>
            <w:vAlign w:val="center"/>
          </w:tcPr>
          <w:p w:rsidR="00AD2379" w:rsidRPr="001F29F9" w:rsidRDefault="006628CB" w:rsidP="001968BB">
            <w:pPr>
              <w:spacing w:line="220" w:lineRule="exact"/>
              <w:contextualSpacing/>
              <w:jc w:val="left"/>
              <w:rPr>
                <w:rFonts w:cs="Calibri"/>
                <w:color w:val="000000"/>
                <w:sz w:val="18"/>
              </w:rPr>
            </w:pPr>
            <w:r>
              <w:rPr>
                <w:color w:val="000000"/>
                <w:sz w:val="18"/>
              </w:rPr>
              <w:t>L</w:t>
            </w:r>
            <w:r w:rsidR="00261B7E">
              <w:rPr>
                <w:color w:val="000000"/>
                <w:sz w:val="18"/>
              </w:rPr>
              <w:t>eft</w:t>
            </w:r>
            <w:r w:rsidR="00AD2379" w:rsidRPr="000D5DBE">
              <w:rPr>
                <w:color w:val="000000"/>
                <w:sz w:val="18"/>
              </w:rPr>
              <w:t xml:space="preserve"> Knee Instability</w:t>
            </w:r>
          </w:p>
        </w:tc>
        <w:tc>
          <w:tcPr>
            <w:tcW w:w="630" w:type="dxa"/>
            <w:tcBorders>
              <w:left w:val="single" w:sz="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5257</w:t>
            </w:r>
          </w:p>
        </w:tc>
        <w:tc>
          <w:tcPr>
            <w:tcW w:w="720" w:type="dxa"/>
            <w:tcBorders>
              <w:right w:val="thinThickThinSmallGap" w:sz="24" w:space="0" w:color="auto"/>
            </w:tcBorders>
            <w:shd w:val="clear" w:color="auto" w:fill="FFFFFF"/>
            <w:vAlign w:val="center"/>
          </w:tcPr>
          <w:p w:rsidR="00AD2379" w:rsidRPr="001F29F9" w:rsidRDefault="00AD2379" w:rsidP="001968BB">
            <w:pPr>
              <w:spacing w:line="220" w:lineRule="exact"/>
              <w:rPr>
                <w:rFonts w:cs="Calibri"/>
                <w:color w:val="000000"/>
                <w:sz w:val="18"/>
              </w:rPr>
            </w:pPr>
            <w:r w:rsidRPr="000D5DBE">
              <w:rPr>
                <w:color w:val="000000"/>
                <w:sz w:val="18"/>
              </w:rPr>
              <w:t>20%</w:t>
            </w:r>
          </w:p>
        </w:tc>
        <w:tc>
          <w:tcPr>
            <w:tcW w:w="2610" w:type="dxa"/>
            <w:gridSpan w:val="2"/>
            <w:tcBorders>
              <w:left w:val="thinThickThinSmallGap" w:sz="24" w:space="0" w:color="auto"/>
            </w:tcBorders>
            <w:shd w:val="clear" w:color="auto" w:fill="FFFFFF"/>
            <w:vAlign w:val="center"/>
          </w:tcPr>
          <w:p w:rsidR="00AD2379" w:rsidRPr="001F29F9" w:rsidRDefault="006628CB" w:rsidP="001968BB">
            <w:pPr>
              <w:spacing w:line="220" w:lineRule="exact"/>
              <w:contextualSpacing/>
              <w:jc w:val="left"/>
              <w:rPr>
                <w:rFonts w:cs="Calibri"/>
                <w:color w:val="000000"/>
                <w:sz w:val="18"/>
              </w:rPr>
            </w:pPr>
            <w:r>
              <w:rPr>
                <w:color w:val="000000"/>
                <w:sz w:val="18"/>
              </w:rPr>
              <w:t>L</w:t>
            </w:r>
            <w:r w:rsidR="00261B7E">
              <w:rPr>
                <w:color w:val="000000"/>
                <w:sz w:val="18"/>
              </w:rPr>
              <w:t>eft</w:t>
            </w:r>
            <w:r w:rsidRPr="000D5DBE">
              <w:rPr>
                <w:color w:val="000000"/>
                <w:sz w:val="18"/>
              </w:rPr>
              <w:t xml:space="preserve"> Knee </w:t>
            </w:r>
            <w:r w:rsidR="00261B7E">
              <w:rPr>
                <w:color w:val="000000"/>
                <w:sz w:val="18"/>
              </w:rPr>
              <w:t xml:space="preserve">Pain and </w:t>
            </w:r>
            <w:r w:rsidR="00AD2379" w:rsidRPr="001F29F9">
              <w:rPr>
                <w:color w:val="000000"/>
                <w:sz w:val="18"/>
              </w:rPr>
              <w:t>Instability</w:t>
            </w:r>
          </w:p>
        </w:tc>
        <w:tc>
          <w:tcPr>
            <w:tcW w:w="630" w:type="dxa"/>
            <w:gridSpan w:val="2"/>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5257</w:t>
            </w:r>
          </w:p>
        </w:tc>
        <w:tc>
          <w:tcPr>
            <w:tcW w:w="720" w:type="dxa"/>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10%</w:t>
            </w:r>
          </w:p>
        </w:tc>
        <w:tc>
          <w:tcPr>
            <w:tcW w:w="960" w:type="dxa"/>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20090220</w:t>
            </w:r>
          </w:p>
        </w:tc>
      </w:tr>
      <w:tr w:rsidR="00AD2379" w:rsidRPr="000D5DBE" w:rsidTr="00261B7E">
        <w:trPr>
          <w:trHeight w:val="97"/>
        </w:trPr>
        <w:tc>
          <w:tcPr>
            <w:tcW w:w="3078" w:type="dxa"/>
            <w:tcBorders>
              <w:right w:val="single" w:sz="4" w:space="0" w:color="auto"/>
            </w:tcBorders>
            <w:shd w:val="clear" w:color="auto" w:fill="FFFFFF"/>
            <w:vAlign w:val="center"/>
          </w:tcPr>
          <w:p w:rsidR="00AD2379" w:rsidRPr="001F29F9" w:rsidRDefault="00AD2379" w:rsidP="001968BB">
            <w:pPr>
              <w:spacing w:line="220" w:lineRule="exact"/>
              <w:contextualSpacing/>
              <w:jc w:val="left"/>
              <w:rPr>
                <w:rFonts w:cs="Calibri"/>
                <w:color w:val="000000"/>
                <w:sz w:val="18"/>
              </w:rPr>
            </w:pPr>
            <w:r w:rsidRPr="001F29F9">
              <w:rPr>
                <w:color w:val="000000"/>
                <w:sz w:val="18"/>
              </w:rPr>
              <w:t xml:space="preserve">Prostate </w:t>
            </w:r>
            <w:proofErr w:type="spellStart"/>
            <w:r w:rsidRPr="001F29F9">
              <w:rPr>
                <w:color w:val="000000"/>
                <w:sz w:val="18"/>
              </w:rPr>
              <w:t>Adenocarcinoma</w:t>
            </w:r>
            <w:proofErr w:type="spellEnd"/>
            <w:r w:rsidR="001968BB">
              <w:rPr>
                <w:color w:val="000000"/>
                <w:sz w:val="18"/>
              </w:rPr>
              <w:t xml:space="preserve"> p/ Resection</w:t>
            </w:r>
          </w:p>
        </w:tc>
        <w:tc>
          <w:tcPr>
            <w:tcW w:w="1350" w:type="dxa"/>
            <w:gridSpan w:val="2"/>
            <w:tcBorders>
              <w:left w:val="single" w:sz="4" w:space="0" w:color="auto"/>
              <w:right w:val="thinThickThinSmallGap" w:sz="24" w:space="0" w:color="auto"/>
            </w:tcBorders>
            <w:shd w:val="clear" w:color="auto" w:fill="FFFFFF"/>
            <w:vAlign w:val="center"/>
          </w:tcPr>
          <w:p w:rsidR="00AD2379" w:rsidRPr="00D8352E" w:rsidRDefault="00AD2379" w:rsidP="001968BB">
            <w:pPr>
              <w:spacing w:line="220" w:lineRule="exact"/>
              <w:contextualSpacing/>
              <w:rPr>
                <w:rFonts w:cs="Calibri"/>
                <w:color w:val="000000"/>
                <w:sz w:val="18"/>
              </w:rPr>
            </w:pPr>
            <w:r w:rsidRPr="00D8352E">
              <w:rPr>
                <w:color w:val="000000"/>
                <w:sz w:val="18"/>
              </w:rPr>
              <w:t>Not Unfitting</w:t>
            </w:r>
          </w:p>
        </w:tc>
        <w:tc>
          <w:tcPr>
            <w:tcW w:w="2610" w:type="dxa"/>
            <w:gridSpan w:val="2"/>
            <w:tcBorders>
              <w:left w:val="thinThickThinSmallGap" w:sz="24" w:space="0" w:color="auto"/>
              <w:right w:val="single" w:sz="4" w:space="0" w:color="auto"/>
            </w:tcBorders>
            <w:shd w:val="clear" w:color="auto" w:fill="FFFFFF"/>
            <w:vAlign w:val="center"/>
          </w:tcPr>
          <w:p w:rsidR="00AD2379" w:rsidRPr="001F29F9" w:rsidRDefault="00AD2379" w:rsidP="001968BB">
            <w:pPr>
              <w:spacing w:line="220" w:lineRule="exact"/>
              <w:contextualSpacing/>
              <w:jc w:val="left"/>
              <w:rPr>
                <w:rFonts w:cs="Calibri"/>
                <w:color w:val="000000"/>
                <w:sz w:val="18"/>
              </w:rPr>
            </w:pPr>
            <w:r w:rsidRPr="001F29F9">
              <w:rPr>
                <w:color w:val="000000"/>
                <w:sz w:val="18"/>
              </w:rPr>
              <w:t>Prostate Cancer</w:t>
            </w:r>
          </w:p>
        </w:tc>
        <w:tc>
          <w:tcPr>
            <w:tcW w:w="630" w:type="dxa"/>
            <w:gridSpan w:val="2"/>
            <w:tcBorders>
              <w:left w:val="single" w:sz="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1F29F9">
              <w:rPr>
                <w:color w:val="000000"/>
                <w:sz w:val="18"/>
              </w:rPr>
              <w:t>7528</w:t>
            </w:r>
          </w:p>
        </w:tc>
        <w:tc>
          <w:tcPr>
            <w:tcW w:w="720" w:type="dxa"/>
            <w:shd w:val="clear" w:color="auto" w:fill="FFFFFF"/>
            <w:vAlign w:val="center"/>
          </w:tcPr>
          <w:p w:rsidR="00AD2379" w:rsidRPr="00D8352E" w:rsidRDefault="00AD2379" w:rsidP="001968BB">
            <w:pPr>
              <w:spacing w:line="220" w:lineRule="exact"/>
              <w:contextualSpacing/>
              <w:rPr>
                <w:rFonts w:cs="Calibri"/>
                <w:color w:val="000000"/>
                <w:sz w:val="18"/>
              </w:rPr>
            </w:pPr>
            <w:r w:rsidRPr="00D8352E">
              <w:rPr>
                <w:color w:val="000000"/>
                <w:sz w:val="18"/>
              </w:rPr>
              <w:t>10%</w:t>
            </w:r>
          </w:p>
        </w:tc>
        <w:tc>
          <w:tcPr>
            <w:tcW w:w="960" w:type="dxa"/>
            <w:shd w:val="clear" w:color="auto" w:fill="FFFFFF"/>
            <w:vAlign w:val="center"/>
          </w:tcPr>
          <w:p w:rsidR="00AD2379" w:rsidRPr="00D8352E" w:rsidRDefault="00AD2379" w:rsidP="001968BB">
            <w:pPr>
              <w:spacing w:line="220" w:lineRule="exact"/>
              <w:contextualSpacing/>
              <w:rPr>
                <w:rFonts w:cs="Calibri"/>
                <w:color w:val="000000"/>
                <w:sz w:val="18"/>
              </w:rPr>
            </w:pPr>
            <w:r w:rsidRPr="00D8352E">
              <w:rPr>
                <w:color w:val="000000"/>
                <w:sz w:val="18"/>
              </w:rPr>
              <w:t>20090220</w:t>
            </w:r>
          </w:p>
        </w:tc>
      </w:tr>
      <w:tr w:rsidR="001968BB" w:rsidRPr="000D5DBE" w:rsidTr="001968BB">
        <w:trPr>
          <w:trHeight w:val="178"/>
        </w:trPr>
        <w:tc>
          <w:tcPr>
            <w:tcW w:w="3078" w:type="dxa"/>
            <w:tcBorders>
              <w:right w:val="single" w:sz="4" w:space="0" w:color="auto"/>
            </w:tcBorders>
            <w:shd w:val="clear" w:color="auto" w:fill="FFFFFF"/>
            <w:vAlign w:val="center"/>
          </w:tcPr>
          <w:p w:rsidR="001968BB" w:rsidRPr="001F29F9" w:rsidRDefault="001968BB" w:rsidP="001968BB">
            <w:pPr>
              <w:spacing w:line="220" w:lineRule="exact"/>
              <w:contextualSpacing/>
              <w:jc w:val="left"/>
              <w:rPr>
                <w:rFonts w:cs="Calibri"/>
                <w:color w:val="000000"/>
                <w:sz w:val="18"/>
              </w:rPr>
            </w:pPr>
            <w:r w:rsidRPr="001F29F9">
              <w:rPr>
                <w:color w:val="000000"/>
                <w:sz w:val="18"/>
              </w:rPr>
              <w:t xml:space="preserve">Urinary Incontinence </w:t>
            </w:r>
            <w:r>
              <w:rPr>
                <w:color w:val="000000"/>
                <w:sz w:val="18"/>
              </w:rPr>
              <w:t xml:space="preserve">p/ </w:t>
            </w:r>
            <w:r w:rsidRPr="001F29F9">
              <w:rPr>
                <w:color w:val="000000"/>
                <w:sz w:val="18"/>
              </w:rPr>
              <w:t>Prostatectomy</w:t>
            </w:r>
          </w:p>
        </w:tc>
        <w:tc>
          <w:tcPr>
            <w:tcW w:w="1350" w:type="dxa"/>
            <w:gridSpan w:val="2"/>
            <w:tcBorders>
              <w:left w:val="single" w:sz="4" w:space="0" w:color="auto"/>
              <w:right w:val="thinThickThinSmallGap" w:sz="24" w:space="0" w:color="auto"/>
            </w:tcBorders>
            <w:shd w:val="clear" w:color="auto" w:fill="FFFFFF"/>
            <w:vAlign w:val="center"/>
          </w:tcPr>
          <w:p w:rsidR="001968BB" w:rsidRPr="00D8352E" w:rsidRDefault="001968BB" w:rsidP="001968BB">
            <w:pPr>
              <w:spacing w:line="220" w:lineRule="exact"/>
              <w:contextualSpacing/>
              <w:rPr>
                <w:rFonts w:cs="Calibri"/>
                <w:color w:val="000000"/>
                <w:sz w:val="18"/>
              </w:rPr>
            </w:pPr>
            <w:r w:rsidRPr="00D8352E">
              <w:rPr>
                <w:color w:val="000000"/>
                <w:sz w:val="18"/>
              </w:rPr>
              <w:t>Not Unfitting</w:t>
            </w:r>
          </w:p>
        </w:tc>
        <w:tc>
          <w:tcPr>
            <w:tcW w:w="3960" w:type="dxa"/>
            <w:gridSpan w:val="5"/>
            <w:tcBorders>
              <w:left w:val="thinThickThinSmallGap" w:sz="24" w:space="0" w:color="auto"/>
              <w:right w:val="single" w:sz="4" w:space="0" w:color="auto"/>
            </w:tcBorders>
            <w:shd w:val="clear" w:color="auto" w:fill="FFFFFF"/>
            <w:vAlign w:val="center"/>
          </w:tcPr>
          <w:p w:rsidR="001968BB" w:rsidRPr="00D8352E" w:rsidRDefault="001968BB" w:rsidP="001968BB">
            <w:pPr>
              <w:spacing w:line="220" w:lineRule="exact"/>
              <w:contextualSpacing/>
              <w:rPr>
                <w:rFonts w:cs="Calibri"/>
                <w:color w:val="000000"/>
                <w:sz w:val="18"/>
              </w:rPr>
            </w:pPr>
            <w:r w:rsidRPr="00D8352E">
              <w:rPr>
                <w:color w:val="000000"/>
                <w:sz w:val="18"/>
              </w:rPr>
              <w:t>No VA Entry</w:t>
            </w:r>
          </w:p>
        </w:tc>
        <w:tc>
          <w:tcPr>
            <w:tcW w:w="960" w:type="dxa"/>
            <w:tcBorders>
              <w:left w:val="single" w:sz="4" w:space="0" w:color="auto"/>
            </w:tcBorders>
            <w:shd w:val="clear" w:color="auto" w:fill="FFFFFF"/>
            <w:vAlign w:val="center"/>
          </w:tcPr>
          <w:p w:rsidR="001968BB" w:rsidRPr="00D8352E" w:rsidRDefault="001968BB" w:rsidP="001968BB">
            <w:pPr>
              <w:spacing w:line="220" w:lineRule="exact"/>
              <w:contextualSpacing/>
              <w:rPr>
                <w:color w:val="000000"/>
                <w:sz w:val="18"/>
              </w:rPr>
            </w:pPr>
            <w:r w:rsidRPr="00D8352E">
              <w:rPr>
                <w:color w:val="000000"/>
                <w:sz w:val="18"/>
              </w:rPr>
              <w:t>20090220</w:t>
            </w:r>
          </w:p>
        </w:tc>
      </w:tr>
      <w:tr w:rsidR="00261B7E" w:rsidRPr="000D5DBE" w:rsidTr="0038618D">
        <w:trPr>
          <w:trHeight w:val="70"/>
        </w:trPr>
        <w:tc>
          <w:tcPr>
            <w:tcW w:w="3078" w:type="dxa"/>
            <w:tcBorders>
              <w:right w:val="single" w:sz="4" w:space="0" w:color="auto"/>
            </w:tcBorders>
            <w:shd w:val="clear" w:color="auto" w:fill="FFFFFF"/>
            <w:vAlign w:val="center"/>
          </w:tcPr>
          <w:p w:rsidR="00261B7E" w:rsidRPr="001F29F9" w:rsidRDefault="00261B7E" w:rsidP="001968BB">
            <w:pPr>
              <w:spacing w:line="220" w:lineRule="exact"/>
              <w:contextualSpacing/>
              <w:jc w:val="left"/>
              <w:rPr>
                <w:rFonts w:cs="Calibri"/>
                <w:color w:val="000000"/>
                <w:sz w:val="18"/>
              </w:rPr>
            </w:pPr>
            <w:r w:rsidRPr="000D5DBE">
              <w:rPr>
                <w:color w:val="000000"/>
                <w:sz w:val="18"/>
              </w:rPr>
              <w:t>Essential Hypertension</w:t>
            </w:r>
          </w:p>
        </w:tc>
        <w:tc>
          <w:tcPr>
            <w:tcW w:w="1350" w:type="dxa"/>
            <w:gridSpan w:val="2"/>
            <w:tcBorders>
              <w:left w:val="single" w:sz="4" w:space="0" w:color="auto"/>
              <w:right w:val="thinThickThinSmallGap" w:sz="24" w:space="0" w:color="auto"/>
            </w:tcBorders>
            <w:shd w:val="clear" w:color="auto" w:fill="FFFFFF"/>
            <w:vAlign w:val="center"/>
          </w:tcPr>
          <w:p w:rsidR="00261B7E" w:rsidRPr="001F29F9" w:rsidRDefault="00261B7E" w:rsidP="001968BB">
            <w:pPr>
              <w:spacing w:line="220" w:lineRule="exact"/>
              <w:contextualSpacing/>
              <w:rPr>
                <w:rFonts w:cs="Calibri"/>
                <w:color w:val="000000"/>
                <w:sz w:val="18"/>
              </w:rPr>
            </w:pPr>
            <w:r w:rsidRPr="000D5DBE">
              <w:rPr>
                <w:color w:val="000000"/>
                <w:sz w:val="18"/>
              </w:rPr>
              <w:t>Not Unfitting</w:t>
            </w:r>
          </w:p>
        </w:tc>
        <w:tc>
          <w:tcPr>
            <w:tcW w:w="2635" w:type="dxa"/>
            <w:gridSpan w:val="3"/>
            <w:tcBorders>
              <w:left w:val="thinThickThinSmallGap" w:sz="24" w:space="0" w:color="auto"/>
              <w:right w:val="single" w:sz="4" w:space="0" w:color="auto"/>
            </w:tcBorders>
            <w:shd w:val="clear" w:color="auto" w:fill="FFFFFF"/>
            <w:vAlign w:val="center"/>
          </w:tcPr>
          <w:p w:rsidR="00261B7E" w:rsidRPr="001F29F9" w:rsidRDefault="00261B7E" w:rsidP="00261B7E">
            <w:pPr>
              <w:spacing w:line="220" w:lineRule="exact"/>
              <w:contextualSpacing/>
              <w:jc w:val="left"/>
              <w:rPr>
                <w:rFonts w:cs="Calibri"/>
                <w:color w:val="000000"/>
                <w:sz w:val="18"/>
              </w:rPr>
            </w:pPr>
            <w:r w:rsidRPr="001F29F9">
              <w:rPr>
                <w:color w:val="000000"/>
                <w:sz w:val="18"/>
              </w:rPr>
              <w:t>Hypertension</w:t>
            </w:r>
          </w:p>
        </w:tc>
        <w:tc>
          <w:tcPr>
            <w:tcW w:w="605" w:type="dxa"/>
            <w:tcBorders>
              <w:left w:val="single" w:sz="4" w:space="0" w:color="auto"/>
              <w:bottom w:val="single" w:sz="4" w:space="0" w:color="auto"/>
              <w:right w:val="single" w:sz="4" w:space="0" w:color="auto"/>
            </w:tcBorders>
            <w:shd w:val="clear" w:color="auto" w:fill="FFFFFF"/>
            <w:vAlign w:val="center"/>
          </w:tcPr>
          <w:p w:rsidR="00261B7E" w:rsidRPr="001F29F9" w:rsidRDefault="00261B7E" w:rsidP="001968BB">
            <w:pPr>
              <w:spacing w:line="220" w:lineRule="exact"/>
              <w:contextualSpacing/>
              <w:rPr>
                <w:color w:val="000000"/>
                <w:sz w:val="18"/>
              </w:rPr>
            </w:pPr>
            <w:r w:rsidRPr="001F29F9">
              <w:rPr>
                <w:color w:val="000000"/>
                <w:sz w:val="18"/>
              </w:rPr>
              <w:t>7101</w:t>
            </w:r>
          </w:p>
        </w:tc>
        <w:tc>
          <w:tcPr>
            <w:tcW w:w="720" w:type="dxa"/>
            <w:tcBorders>
              <w:left w:val="single" w:sz="4" w:space="0" w:color="auto"/>
              <w:right w:val="single" w:sz="4" w:space="0" w:color="auto"/>
            </w:tcBorders>
            <w:shd w:val="clear" w:color="auto" w:fill="FFFFFF"/>
            <w:vAlign w:val="center"/>
          </w:tcPr>
          <w:p w:rsidR="00261B7E" w:rsidRPr="00D8352E" w:rsidRDefault="00261B7E" w:rsidP="001968BB">
            <w:pPr>
              <w:spacing w:line="220" w:lineRule="exact"/>
              <w:contextualSpacing/>
              <w:rPr>
                <w:rFonts w:cs="Calibri"/>
                <w:color w:val="000000"/>
                <w:sz w:val="18"/>
              </w:rPr>
            </w:pPr>
            <w:r w:rsidRPr="00D8352E">
              <w:rPr>
                <w:color w:val="000000"/>
                <w:sz w:val="18"/>
              </w:rPr>
              <w:t>10%</w:t>
            </w:r>
          </w:p>
        </w:tc>
        <w:tc>
          <w:tcPr>
            <w:tcW w:w="960" w:type="dxa"/>
            <w:tcBorders>
              <w:left w:val="single" w:sz="4" w:space="0" w:color="auto"/>
            </w:tcBorders>
            <w:shd w:val="clear" w:color="auto" w:fill="FFFFFF"/>
            <w:vAlign w:val="center"/>
          </w:tcPr>
          <w:p w:rsidR="00261B7E" w:rsidRPr="00D8352E" w:rsidRDefault="00261B7E" w:rsidP="001968BB">
            <w:pPr>
              <w:spacing w:line="220" w:lineRule="exact"/>
              <w:contextualSpacing/>
              <w:rPr>
                <w:rFonts w:cs="Calibri"/>
                <w:color w:val="000000"/>
                <w:sz w:val="18"/>
              </w:rPr>
            </w:pPr>
            <w:r w:rsidRPr="00D8352E">
              <w:rPr>
                <w:color w:val="000000"/>
                <w:sz w:val="18"/>
              </w:rPr>
              <w:t>20090220</w:t>
            </w:r>
          </w:p>
        </w:tc>
      </w:tr>
      <w:tr w:rsidR="00AD2379" w:rsidRPr="000D5DBE" w:rsidTr="001968BB">
        <w:trPr>
          <w:trHeight w:val="160"/>
        </w:trPr>
        <w:tc>
          <w:tcPr>
            <w:tcW w:w="3078" w:type="dxa"/>
            <w:tcBorders>
              <w:right w:val="single" w:sz="4" w:space="0" w:color="auto"/>
            </w:tcBorders>
            <w:shd w:val="clear" w:color="auto" w:fill="FFFFFF"/>
            <w:vAlign w:val="center"/>
          </w:tcPr>
          <w:p w:rsidR="00AD2379" w:rsidRPr="001F29F9" w:rsidRDefault="00AD2379" w:rsidP="001968BB">
            <w:pPr>
              <w:spacing w:line="220" w:lineRule="exact"/>
              <w:contextualSpacing/>
              <w:jc w:val="left"/>
              <w:rPr>
                <w:rFonts w:cs="Calibri"/>
                <w:color w:val="000000"/>
                <w:sz w:val="18"/>
              </w:rPr>
            </w:pPr>
            <w:proofErr w:type="spellStart"/>
            <w:r w:rsidRPr="000D5DBE">
              <w:rPr>
                <w:color w:val="000000"/>
                <w:sz w:val="18"/>
              </w:rPr>
              <w:t>Hyperlipidemia</w:t>
            </w:r>
            <w:proofErr w:type="spellEnd"/>
          </w:p>
        </w:tc>
        <w:tc>
          <w:tcPr>
            <w:tcW w:w="1350" w:type="dxa"/>
            <w:gridSpan w:val="2"/>
            <w:tcBorders>
              <w:left w:val="single" w:sz="4" w:space="0" w:color="auto"/>
              <w:right w:val="thinThickThinSmallGap" w:sz="2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Not Unfitting</w:t>
            </w:r>
          </w:p>
        </w:tc>
        <w:tc>
          <w:tcPr>
            <w:tcW w:w="2040" w:type="dxa"/>
            <w:shd w:val="clear" w:color="auto" w:fill="FFFFFF"/>
            <w:vAlign w:val="center"/>
          </w:tcPr>
          <w:p w:rsidR="00AD2379" w:rsidRPr="001F29F9" w:rsidRDefault="00AD2379" w:rsidP="001968BB">
            <w:pPr>
              <w:spacing w:line="220" w:lineRule="exact"/>
              <w:contextualSpacing/>
              <w:jc w:val="left"/>
              <w:rPr>
                <w:rFonts w:cs="Calibri"/>
                <w:color w:val="000000"/>
                <w:sz w:val="18"/>
              </w:rPr>
            </w:pPr>
            <w:proofErr w:type="spellStart"/>
            <w:r w:rsidRPr="000D5DBE">
              <w:rPr>
                <w:color w:val="000000"/>
                <w:sz w:val="18"/>
              </w:rPr>
              <w:t>Hyperlipidemia</w:t>
            </w:r>
            <w:proofErr w:type="spellEnd"/>
          </w:p>
        </w:tc>
        <w:tc>
          <w:tcPr>
            <w:tcW w:w="1920" w:type="dxa"/>
            <w:gridSpan w:val="4"/>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Not Service Connected</w:t>
            </w:r>
          </w:p>
        </w:tc>
        <w:tc>
          <w:tcPr>
            <w:tcW w:w="960" w:type="dxa"/>
            <w:vAlign w:val="center"/>
          </w:tcPr>
          <w:p w:rsidR="00AD2379" w:rsidRPr="001F29F9" w:rsidRDefault="00AD2379" w:rsidP="001968BB">
            <w:pPr>
              <w:spacing w:line="220" w:lineRule="exact"/>
              <w:contextualSpacing/>
              <w:rPr>
                <w:rFonts w:cs="Calibri"/>
                <w:color w:val="000000"/>
                <w:sz w:val="18"/>
              </w:rPr>
            </w:pPr>
            <w:r w:rsidRPr="000D5DBE">
              <w:rPr>
                <w:color w:val="000000"/>
                <w:sz w:val="18"/>
              </w:rPr>
              <w:t>20090220</w:t>
            </w:r>
          </w:p>
        </w:tc>
      </w:tr>
      <w:tr w:rsidR="00AD2379" w:rsidRPr="000D5DBE" w:rsidTr="001968BB">
        <w:trPr>
          <w:trHeight w:val="172"/>
        </w:trPr>
        <w:tc>
          <w:tcPr>
            <w:tcW w:w="4428" w:type="dxa"/>
            <w:gridSpan w:val="3"/>
            <w:tcBorders>
              <w:right w:val="thinThickThinSmallGap" w:sz="2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No Additional MEB/PEB Entries</w:t>
            </w:r>
          </w:p>
        </w:tc>
        <w:tc>
          <w:tcPr>
            <w:tcW w:w="3960" w:type="dxa"/>
            <w:gridSpan w:val="5"/>
            <w:tcBorders>
              <w:left w:val="thinThickThinSmallGap" w:sz="2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0% x 0</w:t>
            </w:r>
            <w:r w:rsidR="001968BB">
              <w:rPr>
                <w:color w:val="000000"/>
                <w:sz w:val="18"/>
              </w:rPr>
              <w:t xml:space="preserve"> </w:t>
            </w:r>
            <w:r w:rsidRPr="000D5DBE">
              <w:rPr>
                <w:color w:val="000000"/>
                <w:sz w:val="18"/>
              </w:rPr>
              <w:t>/</w:t>
            </w:r>
            <w:r w:rsidR="001968BB">
              <w:rPr>
                <w:color w:val="000000"/>
                <w:sz w:val="18"/>
              </w:rPr>
              <w:t xml:space="preserve"> </w:t>
            </w:r>
            <w:r w:rsidRPr="000D5DBE">
              <w:rPr>
                <w:color w:val="000000"/>
                <w:sz w:val="18"/>
              </w:rPr>
              <w:t>Not Service Connected x 2</w:t>
            </w:r>
          </w:p>
        </w:tc>
        <w:tc>
          <w:tcPr>
            <w:tcW w:w="960" w:type="dxa"/>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20090220</w:t>
            </w:r>
          </w:p>
        </w:tc>
      </w:tr>
      <w:tr w:rsidR="00AD2379" w:rsidRPr="000D5DBE" w:rsidTr="001968BB">
        <w:trPr>
          <w:trHeight w:val="124"/>
        </w:trPr>
        <w:tc>
          <w:tcPr>
            <w:tcW w:w="4428" w:type="dxa"/>
            <w:gridSpan w:val="3"/>
            <w:tcBorders>
              <w:right w:val="thinThickThinSmallGap" w:sz="24" w:space="0" w:color="auto"/>
            </w:tcBorders>
            <w:shd w:val="clear" w:color="auto" w:fill="D9D9D9"/>
          </w:tcPr>
          <w:p w:rsidR="00AD2379" w:rsidRPr="000D5DBE" w:rsidRDefault="00AD2379" w:rsidP="001968BB">
            <w:pPr>
              <w:contextualSpacing/>
              <w:rPr>
                <w:rFonts w:cs="Calibri"/>
                <w:b/>
                <w:color w:val="000000"/>
                <w:sz w:val="18"/>
              </w:rPr>
            </w:pPr>
            <w:r w:rsidRPr="000D5DBE">
              <w:rPr>
                <w:b/>
                <w:color w:val="000000"/>
                <w:sz w:val="18"/>
              </w:rPr>
              <w:t>Combined:  20%</w:t>
            </w:r>
          </w:p>
        </w:tc>
        <w:tc>
          <w:tcPr>
            <w:tcW w:w="4920" w:type="dxa"/>
            <w:gridSpan w:val="6"/>
            <w:tcBorders>
              <w:left w:val="thinThickThinSmallGap" w:sz="24" w:space="0" w:color="auto"/>
            </w:tcBorders>
            <w:shd w:val="clear" w:color="auto" w:fill="D9D9D9"/>
          </w:tcPr>
          <w:p w:rsidR="00AD2379" w:rsidRPr="000D5DBE" w:rsidRDefault="00AD2379" w:rsidP="001968BB">
            <w:pPr>
              <w:contextualSpacing/>
              <w:rPr>
                <w:rFonts w:cs="Calibri"/>
                <w:b/>
                <w:color w:val="000000"/>
                <w:sz w:val="18"/>
              </w:rPr>
            </w:pPr>
            <w:r w:rsidRPr="000D5DBE">
              <w:rPr>
                <w:b/>
                <w:color w:val="000000"/>
                <w:sz w:val="18"/>
              </w:rPr>
              <w:t>Combined:  30%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AD2379" w:rsidRPr="009A7578" w:rsidRDefault="00AD2379" w:rsidP="00B22D42">
      <w:pPr>
        <w:jc w:val="both"/>
        <w:rPr>
          <w:rFonts w:cs="Times New Roman"/>
          <w:color w:val="auto"/>
          <w:highlight w:val="magenta"/>
        </w:rPr>
      </w:pPr>
      <w:proofErr w:type="gramStart"/>
      <w:r w:rsidRPr="009A7578">
        <w:rPr>
          <w:color w:val="000000"/>
          <w:u w:val="single"/>
        </w:rPr>
        <w:t>Left Knee Condition</w:t>
      </w:r>
      <w:r w:rsidRPr="009A7578">
        <w:rPr>
          <w:color w:val="000000"/>
        </w:rPr>
        <w:t>.</w:t>
      </w:r>
      <w:proofErr w:type="gramEnd"/>
      <w:r w:rsidRPr="009A7578">
        <w:rPr>
          <w:color w:val="000000"/>
        </w:rPr>
        <w:t xml:space="preserve"> While playing basketball in December 2005, the CI twisted his knee. </w:t>
      </w:r>
      <w:r w:rsidR="00020941">
        <w:rPr>
          <w:color w:val="000000"/>
        </w:rPr>
        <w:t>Magnetic resonance imaging</w:t>
      </w:r>
      <w:r w:rsidRPr="009A7578">
        <w:rPr>
          <w:color w:val="000000"/>
        </w:rPr>
        <w:t xml:space="preserve"> </w:t>
      </w:r>
      <w:r w:rsidR="00020941">
        <w:rPr>
          <w:color w:val="000000"/>
        </w:rPr>
        <w:t>(</w:t>
      </w:r>
      <w:r w:rsidRPr="009A7578">
        <w:rPr>
          <w:color w:val="000000"/>
        </w:rPr>
        <w:t>MRI</w:t>
      </w:r>
      <w:r w:rsidR="00020941">
        <w:rPr>
          <w:color w:val="000000"/>
        </w:rPr>
        <w:t>)</w:t>
      </w:r>
      <w:r w:rsidRPr="009A7578">
        <w:rPr>
          <w:color w:val="000000"/>
        </w:rPr>
        <w:t xml:space="preserve"> indicated a complete ACL tear</w:t>
      </w:r>
      <w:r w:rsidR="00020941">
        <w:rPr>
          <w:color w:val="000000"/>
        </w:rPr>
        <w:t>,</w:t>
      </w:r>
      <w:r w:rsidRPr="009A7578">
        <w:rPr>
          <w:color w:val="000000"/>
        </w:rPr>
        <w:t xml:space="preserve"> a partial </w:t>
      </w:r>
      <w:r w:rsidR="00020941">
        <w:rPr>
          <w:color w:val="000000"/>
        </w:rPr>
        <w:t xml:space="preserve">lateral </w:t>
      </w:r>
      <w:r w:rsidR="00BA60FC">
        <w:rPr>
          <w:color w:val="000000"/>
        </w:rPr>
        <w:t xml:space="preserve">collateral </w:t>
      </w:r>
      <w:r w:rsidR="00020941">
        <w:rPr>
          <w:color w:val="000000"/>
        </w:rPr>
        <w:t>ligament</w:t>
      </w:r>
      <w:r w:rsidRPr="009A7578">
        <w:rPr>
          <w:color w:val="000000"/>
        </w:rPr>
        <w:t xml:space="preserve"> </w:t>
      </w:r>
      <w:r w:rsidR="00BA60FC">
        <w:rPr>
          <w:color w:val="000000"/>
        </w:rPr>
        <w:t xml:space="preserve">(LCL) </w:t>
      </w:r>
      <w:r w:rsidRPr="009A7578">
        <w:rPr>
          <w:color w:val="000000"/>
        </w:rPr>
        <w:t>tear</w:t>
      </w:r>
      <w:r w:rsidR="00BA60FC">
        <w:rPr>
          <w:color w:val="000000"/>
        </w:rPr>
        <w:t>,</w:t>
      </w:r>
      <w:r w:rsidRPr="009A7578">
        <w:rPr>
          <w:color w:val="000000"/>
        </w:rPr>
        <w:t xml:space="preserve"> </w:t>
      </w:r>
      <w:r w:rsidR="00020941">
        <w:rPr>
          <w:color w:val="000000"/>
        </w:rPr>
        <w:t>and a</w:t>
      </w:r>
      <w:r w:rsidRPr="009A7578">
        <w:rPr>
          <w:color w:val="000000"/>
        </w:rPr>
        <w:t xml:space="preserve"> moderate joint effusion. </w:t>
      </w:r>
      <w:r w:rsidR="00020941">
        <w:rPr>
          <w:color w:val="000000"/>
        </w:rPr>
        <w:t xml:space="preserve"> </w:t>
      </w:r>
      <w:r w:rsidRPr="009A7578">
        <w:rPr>
          <w:color w:val="000000"/>
        </w:rPr>
        <w:t xml:space="preserve">In March 2006, </w:t>
      </w:r>
      <w:r w:rsidR="00020941">
        <w:rPr>
          <w:color w:val="000000"/>
        </w:rPr>
        <w:t xml:space="preserve">he underwent arthroscopic </w:t>
      </w:r>
      <w:proofErr w:type="spellStart"/>
      <w:r w:rsidR="00020941">
        <w:rPr>
          <w:color w:val="000000"/>
        </w:rPr>
        <w:t>meniscal</w:t>
      </w:r>
      <w:proofErr w:type="spellEnd"/>
      <w:r w:rsidR="00020941">
        <w:rPr>
          <w:color w:val="000000"/>
        </w:rPr>
        <w:t xml:space="preserve"> repair, partial </w:t>
      </w:r>
      <w:proofErr w:type="spellStart"/>
      <w:r w:rsidR="00C42AED" w:rsidRPr="009A7578">
        <w:rPr>
          <w:color w:val="000000"/>
        </w:rPr>
        <w:t>menisectomy</w:t>
      </w:r>
      <w:proofErr w:type="spellEnd"/>
      <w:r w:rsidR="00020941">
        <w:rPr>
          <w:color w:val="000000"/>
        </w:rPr>
        <w:t>, and</w:t>
      </w:r>
      <w:r w:rsidRPr="009A7578">
        <w:rPr>
          <w:color w:val="000000"/>
        </w:rPr>
        <w:t xml:space="preserve"> </w:t>
      </w:r>
      <w:r w:rsidR="004361AC" w:rsidRPr="009A7578">
        <w:rPr>
          <w:color w:val="000000"/>
        </w:rPr>
        <w:t>debridement</w:t>
      </w:r>
      <w:r w:rsidR="004361AC">
        <w:rPr>
          <w:color w:val="000000"/>
        </w:rPr>
        <w:t xml:space="preserve"> of the joint and ligament</w:t>
      </w:r>
      <w:r w:rsidRPr="009A7578">
        <w:rPr>
          <w:color w:val="000000"/>
        </w:rPr>
        <w:t xml:space="preserve">. </w:t>
      </w:r>
      <w:r w:rsidR="00020941">
        <w:rPr>
          <w:color w:val="000000"/>
        </w:rPr>
        <w:t xml:space="preserve"> </w:t>
      </w:r>
      <w:r w:rsidR="00BA60FC">
        <w:rPr>
          <w:color w:val="000000"/>
        </w:rPr>
        <w:t>Subsequent</w:t>
      </w:r>
      <w:r w:rsidRPr="009A7578">
        <w:rPr>
          <w:color w:val="000000"/>
        </w:rPr>
        <w:t xml:space="preserve"> physical therapy </w:t>
      </w:r>
      <w:r w:rsidR="00092CC9">
        <w:rPr>
          <w:color w:val="000000"/>
        </w:rPr>
        <w:t xml:space="preserve">(PT) </w:t>
      </w:r>
      <w:r w:rsidR="00BA60FC">
        <w:rPr>
          <w:color w:val="000000"/>
        </w:rPr>
        <w:t>failed to adequately strengthen the knee; and,</w:t>
      </w:r>
      <w:r w:rsidRPr="009A7578">
        <w:rPr>
          <w:color w:val="000000"/>
        </w:rPr>
        <w:t xml:space="preserve"> in August 2006, an ACL </w:t>
      </w:r>
      <w:r w:rsidRPr="009A7578">
        <w:rPr>
          <w:color w:val="000000"/>
        </w:rPr>
        <w:lastRenderedPageBreak/>
        <w:t xml:space="preserve">reconstruction </w:t>
      </w:r>
      <w:r w:rsidR="00BA60FC">
        <w:rPr>
          <w:color w:val="000000"/>
        </w:rPr>
        <w:t>(</w:t>
      </w:r>
      <w:r w:rsidR="004361AC">
        <w:rPr>
          <w:color w:val="000000"/>
        </w:rPr>
        <w:t xml:space="preserve">with </w:t>
      </w:r>
      <w:r w:rsidRPr="009A7578">
        <w:rPr>
          <w:color w:val="000000"/>
        </w:rPr>
        <w:t xml:space="preserve">patellar </w:t>
      </w:r>
      <w:r w:rsidR="00BA60FC">
        <w:rPr>
          <w:color w:val="000000"/>
        </w:rPr>
        <w:t xml:space="preserve">tendon </w:t>
      </w:r>
      <w:proofErr w:type="spellStart"/>
      <w:r w:rsidRPr="009A7578">
        <w:rPr>
          <w:color w:val="000000"/>
        </w:rPr>
        <w:t>autograft</w:t>
      </w:r>
      <w:proofErr w:type="spellEnd"/>
      <w:r w:rsidR="00BA60FC">
        <w:rPr>
          <w:color w:val="000000"/>
        </w:rPr>
        <w:t>)</w:t>
      </w:r>
      <w:r w:rsidRPr="009A7578">
        <w:rPr>
          <w:color w:val="000000"/>
        </w:rPr>
        <w:t xml:space="preserve"> was performed. </w:t>
      </w:r>
      <w:r w:rsidR="00BA60FC">
        <w:rPr>
          <w:color w:val="000000"/>
        </w:rPr>
        <w:t xml:space="preserve">Despite </w:t>
      </w:r>
      <w:r w:rsidR="004361AC">
        <w:rPr>
          <w:color w:val="000000"/>
        </w:rPr>
        <w:t xml:space="preserve">protracted </w:t>
      </w:r>
      <w:r w:rsidR="00BA60FC">
        <w:rPr>
          <w:color w:val="000000"/>
        </w:rPr>
        <w:t>efforts at rehabilitation</w:t>
      </w:r>
      <w:r w:rsidRPr="009A7578">
        <w:rPr>
          <w:color w:val="000000"/>
        </w:rPr>
        <w:t xml:space="preserve">, the CI continued to experience pain and </w:t>
      </w:r>
      <w:r w:rsidR="004361AC">
        <w:rPr>
          <w:color w:val="000000"/>
        </w:rPr>
        <w:t xml:space="preserve">joint </w:t>
      </w:r>
      <w:r w:rsidRPr="009A7578">
        <w:rPr>
          <w:color w:val="000000"/>
        </w:rPr>
        <w:t>instability.</w:t>
      </w:r>
      <w:r w:rsidR="004361AC">
        <w:rPr>
          <w:color w:val="000000"/>
        </w:rPr>
        <w:t xml:space="preserve"> </w:t>
      </w:r>
      <w:r w:rsidRPr="009A7578">
        <w:rPr>
          <w:color w:val="000000"/>
        </w:rPr>
        <w:t xml:space="preserve"> </w:t>
      </w:r>
      <w:r w:rsidR="00BA60FC">
        <w:rPr>
          <w:color w:val="000000"/>
        </w:rPr>
        <w:t>A repeat</w:t>
      </w:r>
      <w:r w:rsidRPr="009A7578">
        <w:rPr>
          <w:color w:val="000000"/>
        </w:rPr>
        <w:t xml:space="preserve"> MRI </w:t>
      </w:r>
      <w:r w:rsidR="00BA60FC">
        <w:rPr>
          <w:color w:val="000000"/>
        </w:rPr>
        <w:t>in</w:t>
      </w:r>
      <w:r w:rsidRPr="009A7578">
        <w:rPr>
          <w:color w:val="000000"/>
        </w:rPr>
        <w:t xml:space="preserve"> December 2007 noted</w:t>
      </w:r>
      <w:r w:rsidR="004361AC">
        <w:rPr>
          <w:color w:val="000000"/>
        </w:rPr>
        <w:t xml:space="preserve"> a</w:t>
      </w:r>
      <w:r w:rsidRPr="009A7578">
        <w:rPr>
          <w:color w:val="000000"/>
        </w:rPr>
        <w:t xml:space="preserve"> </w:t>
      </w:r>
      <w:r w:rsidR="00BA60FC">
        <w:rPr>
          <w:color w:val="000000"/>
        </w:rPr>
        <w:t>suspected</w:t>
      </w:r>
      <w:r w:rsidRPr="009A7578">
        <w:rPr>
          <w:color w:val="000000"/>
        </w:rPr>
        <w:t xml:space="preserve"> </w:t>
      </w:r>
      <w:r w:rsidR="00BA60FC">
        <w:rPr>
          <w:color w:val="000000"/>
        </w:rPr>
        <w:t>disruption of</w:t>
      </w:r>
      <w:r w:rsidR="00BA60FC" w:rsidRPr="009A7578">
        <w:rPr>
          <w:color w:val="000000"/>
        </w:rPr>
        <w:t xml:space="preserve"> </w:t>
      </w:r>
      <w:r w:rsidRPr="009A7578">
        <w:rPr>
          <w:color w:val="000000"/>
        </w:rPr>
        <w:t>the ACL graft</w:t>
      </w:r>
      <w:r w:rsidR="00BA60FC">
        <w:rPr>
          <w:color w:val="000000"/>
        </w:rPr>
        <w:t>,</w:t>
      </w:r>
      <w:r w:rsidRPr="009A7578">
        <w:rPr>
          <w:color w:val="000000"/>
        </w:rPr>
        <w:t xml:space="preserve"> laxity in the </w:t>
      </w:r>
      <w:r w:rsidR="00BA60FC">
        <w:rPr>
          <w:color w:val="000000"/>
        </w:rPr>
        <w:t xml:space="preserve">posterior </w:t>
      </w:r>
      <w:proofErr w:type="spellStart"/>
      <w:r w:rsidR="00BA60FC">
        <w:rPr>
          <w:color w:val="000000"/>
        </w:rPr>
        <w:t>cruciate</w:t>
      </w:r>
      <w:proofErr w:type="spellEnd"/>
      <w:r w:rsidR="00BA60FC">
        <w:rPr>
          <w:color w:val="000000"/>
        </w:rPr>
        <w:t xml:space="preserve"> ligament (</w:t>
      </w:r>
      <w:r w:rsidRPr="009A7578">
        <w:rPr>
          <w:color w:val="000000"/>
        </w:rPr>
        <w:t>PCL</w:t>
      </w:r>
      <w:r w:rsidR="00BA60FC">
        <w:rPr>
          <w:color w:val="000000"/>
        </w:rPr>
        <w:t>),</w:t>
      </w:r>
      <w:r w:rsidR="00020941">
        <w:rPr>
          <w:color w:val="000000"/>
        </w:rPr>
        <w:t xml:space="preserve"> </w:t>
      </w:r>
      <w:r w:rsidR="00BA60FC">
        <w:rPr>
          <w:color w:val="000000"/>
        </w:rPr>
        <w:t>m</w:t>
      </w:r>
      <w:r w:rsidRPr="009A7578">
        <w:rPr>
          <w:color w:val="000000"/>
        </w:rPr>
        <w:t xml:space="preserve">ild </w:t>
      </w:r>
      <w:proofErr w:type="spellStart"/>
      <w:r w:rsidRPr="009A7578">
        <w:rPr>
          <w:color w:val="000000"/>
        </w:rPr>
        <w:t>chondromalacia</w:t>
      </w:r>
      <w:proofErr w:type="spellEnd"/>
      <w:r w:rsidR="00BA60FC">
        <w:rPr>
          <w:color w:val="000000"/>
        </w:rPr>
        <w:t xml:space="preserve"> (cartilage destruction),</w:t>
      </w:r>
      <w:r w:rsidRPr="009A7578">
        <w:rPr>
          <w:color w:val="000000"/>
        </w:rPr>
        <w:t xml:space="preserve"> and a complex tear of the medial meniscus. </w:t>
      </w:r>
      <w:r w:rsidR="00020941">
        <w:rPr>
          <w:color w:val="000000"/>
        </w:rPr>
        <w:t xml:space="preserve"> </w:t>
      </w:r>
      <w:r w:rsidR="00FE7EB9">
        <w:rPr>
          <w:color w:val="000000"/>
        </w:rPr>
        <w:t>The option for additional surgery was discussed, but ultima</w:t>
      </w:r>
      <w:r w:rsidR="004361AC">
        <w:rPr>
          <w:color w:val="000000"/>
        </w:rPr>
        <w:t xml:space="preserve">tely considered premature </w:t>
      </w:r>
      <w:r w:rsidR="00FE7EB9">
        <w:rPr>
          <w:color w:val="000000"/>
        </w:rPr>
        <w:t xml:space="preserve">given </w:t>
      </w:r>
      <w:r w:rsidR="004361AC">
        <w:rPr>
          <w:color w:val="000000"/>
        </w:rPr>
        <w:t xml:space="preserve">a </w:t>
      </w:r>
      <w:r w:rsidR="00FE7EB9">
        <w:rPr>
          <w:color w:val="000000"/>
        </w:rPr>
        <w:t xml:space="preserve">likely need for a </w:t>
      </w:r>
      <w:r w:rsidR="004361AC">
        <w:rPr>
          <w:color w:val="000000"/>
        </w:rPr>
        <w:t>joint replacement in the future</w:t>
      </w:r>
      <w:r w:rsidR="00FE7EB9">
        <w:rPr>
          <w:color w:val="000000"/>
        </w:rPr>
        <w:t xml:space="preserve">.  </w:t>
      </w:r>
      <w:r w:rsidR="004361AC">
        <w:rPr>
          <w:color w:val="000000"/>
        </w:rPr>
        <w:t xml:space="preserve">There were </w:t>
      </w:r>
      <w:r w:rsidR="00467DF1">
        <w:rPr>
          <w:color w:val="000000"/>
        </w:rPr>
        <w:t>three</w:t>
      </w:r>
      <w:r w:rsidR="004361AC">
        <w:rPr>
          <w:color w:val="000000"/>
        </w:rPr>
        <w:t xml:space="preserve"> goniometric range-of-</w:t>
      </w:r>
      <w:r w:rsidRPr="009A7578">
        <w:rPr>
          <w:color w:val="000000"/>
        </w:rPr>
        <w:t>motion (ROM) evaluations in evidence, with documentation of additional ratable criteria, which the Board weighed in arriving at its rating recommendation</w:t>
      </w:r>
      <w:r w:rsidRPr="009A7578">
        <w:rPr>
          <w:rFonts w:cs="Times New Roman"/>
          <w:color w:val="auto"/>
        </w:rPr>
        <w:t>.</w:t>
      </w:r>
    </w:p>
    <w:p w:rsidR="00AD2379" w:rsidRPr="009A7578" w:rsidRDefault="00AD2379" w:rsidP="00B22D42">
      <w:pPr>
        <w:jc w:val="both"/>
        <w:rPr>
          <w:color w:val="000000"/>
          <w:highlight w:val="magenta"/>
        </w:rPr>
      </w:pPr>
    </w:p>
    <w:tbl>
      <w:tblPr>
        <w:tblpPr w:leftFromText="180" w:rightFromText="180" w:vertAnchor="text" w:tblpXSpec="center" w:tblpY="1"/>
        <w:tblOverlap w:val="neve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5"/>
        <w:gridCol w:w="1993"/>
        <w:gridCol w:w="2070"/>
        <w:gridCol w:w="2250"/>
      </w:tblGrid>
      <w:tr w:rsidR="001968BB" w:rsidRPr="001968BB" w:rsidTr="00C42AED">
        <w:tc>
          <w:tcPr>
            <w:tcW w:w="2075" w:type="dxa"/>
            <w:shd w:val="clear" w:color="auto" w:fill="D9D9D9"/>
            <w:vAlign w:val="center"/>
          </w:tcPr>
          <w:p w:rsidR="001968BB" w:rsidRPr="001968BB" w:rsidRDefault="001968BB" w:rsidP="00C42AED">
            <w:pPr>
              <w:contextualSpacing/>
              <w:rPr>
                <w:color w:val="000000"/>
                <w:sz w:val="20"/>
              </w:rPr>
            </w:pPr>
            <w:r w:rsidRPr="001968BB">
              <w:rPr>
                <w:color w:val="000000"/>
                <w:sz w:val="20"/>
              </w:rPr>
              <w:t>Left Knee ROM</w:t>
            </w:r>
          </w:p>
        </w:tc>
        <w:tc>
          <w:tcPr>
            <w:tcW w:w="1993" w:type="dxa"/>
            <w:shd w:val="clear" w:color="auto" w:fill="D9D9D9"/>
            <w:vAlign w:val="center"/>
          </w:tcPr>
          <w:p w:rsidR="001968BB" w:rsidRPr="001968BB" w:rsidRDefault="001968BB" w:rsidP="00C42AED">
            <w:pPr>
              <w:contextualSpacing/>
              <w:rPr>
                <w:color w:val="000000"/>
                <w:sz w:val="20"/>
              </w:rPr>
            </w:pPr>
            <w:r>
              <w:rPr>
                <w:color w:val="000000"/>
                <w:sz w:val="20"/>
              </w:rPr>
              <w:t>MEB ~</w:t>
            </w:r>
            <w:r w:rsidRPr="001968BB">
              <w:rPr>
                <w:color w:val="000000"/>
                <w:sz w:val="20"/>
              </w:rPr>
              <w:t>10 Mo. Pre-Sep</w:t>
            </w:r>
          </w:p>
        </w:tc>
        <w:tc>
          <w:tcPr>
            <w:tcW w:w="2070" w:type="dxa"/>
            <w:shd w:val="clear" w:color="auto" w:fill="D9D9D9"/>
            <w:vAlign w:val="center"/>
          </w:tcPr>
          <w:p w:rsidR="001968BB" w:rsidRPr="001968BB" w:rsidRDefault="001968BB" w:rsidP="00C42AED">
            <w:pPr>
              <w:contextualSpacing/>
              <w:rPr>
                <w:color w:val="000000"/>
                <w:sz w:val="20"/>
              </w:rPr>
            </w:pPr>
            <w:r w:rsidRPr="001968BB">
              <w:rPr>
                <w:color w:val="000000"/>
                <w:sz w:val="20"/>
              </w:rPr>
              <w:t>Ortho</w:t>
            </w:r>
            <w:r>
              <w:rPr>
                <w:color w:val="000000"/>
                <w:sz w:val="20"/>
              </w:rPr>
              <w:t xml:space="preserve"> ~</w:t>
            </w:r>
            <w:r w:rsidRPr="001968BB">
              <w:rPr>
                <w:color w:val="000000"/>
                <w:sz w:val="20"/>
              </w:rPr>
              <w:t>5 Mo. Pre-Sep</w:t>
            </w:r>
          </w:p>
        </w:tc>
        <w:tc>
          <w:tcPr>
            <w:tcW w:w="2250" w:type="dxa"/>
            <w:shd w:val="clear" w:color="auto" w:fill="D9D9D9"/>
            <w:vAlign w:val="center"/>
          </w:tcPr>
          <w:p w:rsidR="001968BB" w:rsidRPr="001968BB" w:rsidRDefault="00C42AED" w:rsidP="00C42AED">
            <w:pPr>
              <w:contextualSpacing/>
              <w:rPr>
                <w:color w:val="000000"/>
                <w:sz w:val="20"/>
              </w:rPr>
            </w:pPr>
            <w:r>
              <w:rPr>
                <w:color w:val="000000"/>
                <w:sz w:val="20"/>
              </w:rPr>
              <w:t>VA C&amp;P ~</w:t>
            </w:r>
            <w:r w:rsidR="001968BB" w:rsidRPr="001968BB">
              <w:rPr>
                <w:color w:val="000000"/>
                <w:sz w:val="20"/>
              </w:rPr>
              <w:t>7 Mo. Post-Sep</w:t>
            </w:r>
          </w:p>
        </w:tc>
      </w:tr>
      <w:tr w:rsidR="001968BB" w:rsidRPr="001968BB" w:rsidTr="00C42AED">
        <w:tc>
          <w:tcPr>
            <w:tcW w:w="2075" w:type="dxa"/>
            <w:vAlign w:val="center"/>
          </w:tcPr>
          <w:p w:rsidR="001968BB" w:rsidRPr="001968BB" w:rsidRDefault="001968BB" w:rsidP="00C42AED">
            <w:pPr>
              <w:contextualSpacing/>
              <w:rPr>
                <w:color w:val="000000"/>
                <w:sz w:val="20"/>
              </w:rPr>
            </w:pPr>
            <w:r w:rsidRPr="001968BB">
              <w:rPr>
                <w:color w:val="000000"/>
                <w:sz w:val="20"/>
              </w:rPr>
              <w:t>Flexion (140⁰ Normal)</w:t>
            </w:r>
          </w:p>
        </w:tc>
        <w:tc>
          <w:tcPr>
            <w:tcW w:w="1993" w:type="dxa"/>
            <w:vAlign w:val="center"/>
          </w:tcPr>
          <w:p w:rsidR="001968BB" w:rsidRPr="001968BB" w:rsidRDefault="001968BB" w:rsidP="00C42AED">
            <w:pPr>
              <w:contextualSpacing/>
              <w:rPr>
                <w:color w:val="000000"/>
                <w:sz w:val="20"/>
              </w:rPr>
            </w:pPr>
            <w:r w:rsidRPr="001968BB">
              <w:rPr>
                <w:color w:val="000000"/>
                <w:sz w:val="20"/>
              </w:rPr>
              <w:t>90⁰</w:t>
            </w:r>
          </w:p>
        </w:tc>
        <w:tc>
          <w:tcPr>
            <w:tcW w:w="2070" w:type="dxa"/>
            <w:vAlign w:val="center"/>
          </w:tcPr>
          <w:p w:rsidR="001968BB" w:rsidRPr="001968BB" w:rsidRDefault="001968BB" w:rsidP="00C42AED">
            <w:pPr>
              <w:contextualSpacing/>
              <w:rPr>
                <w:color w:val="000000"/>
                <w:sz w:val="20"/>
              </w:rPr>
            </w:pPr>
            <w:r w:rsidRPr="001968BB">
              <w:rPr>
                <w:color w:val="000000"/>
                <w:sz w:val="20"/>
              </w:rPr>
              <w:t>130⁰</w:t>
            </w:r>
          </w:p>
        </w:tc>
        <w:tc>
          <w:tcPr>
            <w:tcW w:w="2250" w:type="dxa"/>
            <w:vAlign w:val="center"/>
          </w:tcPr>
          <w:p w:rsidR="001968BB" w:rsidRPr="001968BB" w:rsidRDefault="001968BB" w:rsidP="00C42AED">
            <w:pPr>
              <w:contextualSpacing/>
              <w:rPr>
                <w:color w:val="000000"/>
                <w:sz w:val="20"/>
              </w:rPr>
            </w:pPr>
            <w:r w:rsidRPr="001968BB">
              <w:rPr>
                <w:color w:val="000000"/>
                <w:sz w:val="20"/>
              </w:rPr>
              <w:t>125⁰</w:t>
            </w:r>
          </w:p>
        </w:tc>
      </w:tr>
      <w:tr w:rsidR="001968BB" w:rsidRPr="001968BB" w:rsidTr="00C42AED">
        <w:tc>
          <w:tcPr>
            <w:tcW w:w="2075" w:type="dxa"/>
            <w:tcBorders>
              <w:bottom w:val="single" w:sz="4" w:space="0" w:color="auto"/>
            </w:tcBorders>
            <w:vAlign w:val="center"/>
          </w:tcPr>
          <w:p w:rsidR="001968BB" w:rsidRPr="001968BB" w:rsidRDefault="001968BB" w:rsidP="00C42AED">
            <w:pPr>
              <w:contextualSpacing/>
              <w:rPr>
                <w:color w:val="000000"/>
                <w:sz w:val="20"/>
              </w:rPr>
            </w:pPr>
            <w:r w:rsidRPr="001968BB">
              <w:rPr>
                <w:color w:val="000000"/>
                <w:sz w:val="20"/>
              </w:rPr>
              <w:t>Extension (0⁰ Normal)</w:t>
            </w:r>
          </w:p>
        </w:tc>
        <w:tc>
          <w:tcPr>
            <w:tcW w:w="1993" w:type="dxa"/>
            <w:tcBorders>
              <w:bottom w:val="single" w:sz="4" w:space="0" w:color="auto"/>
            </w:tcBorders>
            <w:vAlign w:val="center"/>
          </w:tcPr>
          <w:p w:rsidR="001968BB" w:rsidRPr="001968BB" w:rsidRDefault="001968BB" w:rsidP="00C42AED">
            <w:pPr>
              <w:contextualSpacing/>
              <w:rPr>
                <w:color w:val="000000"/>
                <w:sz w:val="20"/>
              </w:rPr>
            </w:pPr>
            <w:r w:rsidRPr="001968BB">
              <w:rPr>
                <w:color w:val="000000"/>
                <w:sz w:val="20"/>
              </w:rPr>
              <w:t>0⁰</w:t>
            </w:r>
          </w:p>
        </w:tc>
        <w:tc>
          <w:tcPr>
            <w:tcW w:w="2070" w:type="dxa"/>
            <w:tcBorders>
              <w:bottom w:val="single" w:sz="4" w:space="0" w:color="auto"/>
            </w:tcBorders>
            <w:vAlign w:val="center"/>
          </w:tcPr>
          <w:p w:rsidR="001968BB" w:rsidRPr="001968BB" w:rsidRDefault="001968BB" w:rsidP="00C42AED">
            <w:pPr>
              <w:contextualSpacing/>
              <w:rPr>
                <w:color w:val="000000"/>
                <w:sz w:val="20"/>
              </w:rPr>
            </w:pPr>
            <w:r w:rsidRPr="001968BB">
              <w:rPr>
                <w:color w:val="000000"/>
                <w:sz w:val="20"/>
              </w:rPr>
              <w:t>0⁰</w:t>
            </w:r>
          </w:p>
        </w:tc>
        <w:tc>
          <w:tcPr>
            <w:tcW w:w="2250" w:type="dxa"/>
            <w:tcBorders>
              <w:bottom w:val="single" w:sz="4" w:space="0" w:color="auto"/>
            </w:tcBorders>
            <w:vAlign w:val="center"/>
          </w:tcPr>
          <w:p w:rsidR="001968BB" w:rsidRPr="001968BB" w:rsidRDefault="001968BB" w:rsidP="00C42AED">
            <w:pPr>
              <w:contextualSpacing/>
              <w:rPr>
                <w:color w:val="000000"/>
                <w:sz w:val="20"/>
              </w:rPr>
            </w:pPr>
            <w:r w:rsidRPr="001968BB">
              <w:rPr>
                <w:color w:val="000000"/>
                <w:sz w:val="20"/>
              </w:rPr>
              <w:t>0⁰</w:t>
            </w:r>
          </w:p>
        </w:tc>
      </w:tr>
      <w:tr w:rsidR="00FE7EB9" w:rsidRPr="001968BB" w:rsidTr="00E250FB">
        <w:tc>
          <w:tcPr>
            <w:tcW w:w="2075" w:type="dxa"/>
            <w:tcBorders>
              <w:top w:val="single" w:sz="4" w:space="0" w:color="auto"/>
              <w:left w:val="single" w:sz="4" w:space="0" w:color="auto"/>
              <w:bottom w:val="single" w:sz="4" w:space="0" w:color="auto"/>
              <w:right w:val="single" w:sz="4" w:space="0" w:color="auto"/>
            </w:tcBorders>
            <w:vAlign w:val="center"/>
          </w:tcPr>
          <w:p w:rsidR="00FE7EB9" w:rsidRPr="001968BB" w:rsidRDefault="00FE7EB9" w:rsidP="00C42AED">
            <w:pPr>
              <w:tabs>
                <w:tab w:val="left" w:pos="288"/>
                <w:tab w:val="left" w:pos="4752"/>
              </w:tabs>
              <w:rPr>
                <w:color w:val="000000"/>
                <w:sz w:val="20"/>
              </w:rPr>
            </w:pPr>
            <w:r w:rsidRPr="001968BB">
              <w:rPr>
                <w:color w:val="000000"/>
                <w:sz w:val="20"/>
              </w:rPr>
              <w:t>Comment</w:t>
            </w:r>
          </w:p>
        </w:tc>
        <w:tc>
          <w:tcPr>
            <w:tcW w:w="4063" w:type="dxa"/>
            <w:gridSpan w:val="2"/>
            <w:tcBorders>
              <w:top w:val="single" w:sz="4" w:space="0" w:color="auto"/>
              <w:left w:val="single" w:sz="4" w:space="0" w:color="auto"/>
              <w:bottom w:val="single" w:sz="4" w:space="0" w:color="auto"/>
              <w:right w:val="single" w:sz="4" w:space="0" w:color="auto"/>
            </w:tcBorders>
            <w:vAlign w:val="center"/>
          </w:tcPr>
          <w:p w:rsidR="00FE7EB9" w:rsidRPr="001968BB" w:rsidRDefault="00FE7EB9" w:rsidP="00FE7EB9">
            <w:pPr>
              <w:tabs>
                <w:tab w:val="left" w:pos="288"/>
                <w:tab w:val="left" w:pos="4752"/>
              </w:tabs>
              <w:rPr>
                <w:color w:val="000000"/>
                <w:sz w:val="20"/>
              </w:rPr>
            </w:pPr>
            <w:r>
              <w:rPr>
                <w:color w:val="000000"/>
                <w:sz w:val="20"/>
              </w:rPr>
              <w:t>No lateral instability; positive tests for ACL instability as below</w:t>
            </w:r>
            <w:r w:rsidRPr="001968BB">
              <w:rPr>
                <w:color w:val="000000"/>
                <w:sz w:val="20"/>
              </w:rPr>
              <w:t>.</w:t>
            </w:r>
          </w:p>
        </w:tc>
        <w:tc>
          <w:tcPr>
            <w:tcW w:w="2250" w:type="dxa"/>
            <w:tcBorders>
              <w:top w:val="single" w:sz="4" w:space="0" w:color="auto"/>
              <w:left w:val="single" w:sz="4" w:space="0" w:color="auto"/>
              <w:bottom w:val="single" w:sz="4" w:space="0" w:color="auto"/>
              <w:right w:val="single" w:sz="4" w:space="0" w:color="auto"/>
            </w:tcBorders>
            <w:vAlign w:val="center"/>
          </w:tcPr>
          <w:p w:rsidR="00FE7EB9" w:rsidRPr="001968BB" w:rsidRDefault="00FE7EB9" w:rsidP="00B13A51">
            <w:pPr>
              <w:tabs>
                <w:tab w:val="left" w:pos="288"/>
                <w:tab w:val="left" w:pos="4752"/>
              </w:tabs>
              <w:rPr>
                <w:color w:val="000000"/>
                <w:sz w:val="20"/>
              </w:rPr>
            </w:pPr>
            <w:r w:rsidRPr="001968BB">
              <w:rPr>
                <w:color w:val="000000"/>
                <w:sz w:val="20"/>
              </w:rPr>
              <w:t>Painful motion</w:t>
            </w:r>
            <w:r>
              <w:rPr>
                <w:color w:val="000000"/>
                <w:sz w:val="20"/>
              </w:rPr>
              <w:t>;</w:t>
            </w:r>
            <w:r w:rsidRPr="001968BB">
              <w:rPr>
                <w:color w:val="000000"/>
                <w:sz w:val="20"/>
              </w:rPr>
              <w:t xml:space="preserve"> </w:t>
            </w:r>
            <w:r w:rsidR="00B13A51">
              <w:rPr>
                <w:color w:val="000000"/>
                <w:sz w:val="20"/>
              </w:rPr>
              <w:t>positive laxity</w:t>
            </w:r>
            <w:r w:rsidRPr="001968BB">
              <w:rPr>
                <w:color w:val="000000"/>
                <w:sz w:val="20"/>
              </w:rPr>
              <w:t>.</w:t>
            </w:r>
          </w:p>
        </w:tc>
      </w:tr>
      <w:tr w:rsidR="001968BB" w:rsidRPr="001968BB" w:rsidTr="00C42AED">
        <w:tc>
          <w:tcPr>
            <w:tcW w:w="2075" w:type="dxa"/>
            <w:tcBorders>
              <w:top w:val="single" w:sz="4" w:space="0" w:color="auto"/>
              <w:left w:val="single" w:sz="4" w:space="0" w:color="auto"/>
              <w:bottom w:val="single" w:sz="4" w:space="0" w:color="auto"/>
              <w:right w:val="single" w:sz="4" w:space="0" w:color="auto"/>
            </w:tcBorders>
            <w:vAlign w:val="center"/>
          </w:tcPr>
          <w:p w:rsidR="001968BB" w:rsidRPr="001968BB" w:rsidRDefault="001968BB" w:rsidP="00C42AED">
            <w:pPr>
              <w:tabs>
                <w:tab w:val="left" w:pos="288"/>
                <w:tab w:val="left" w:pos="4752"/>
              </w:tabs>
              <w:rPr>
                <w:color w:val="000000"/>
                <w:sz w:val="20"/>
              </w:rPr>
            </w:pPr>
            <w:r w:rsidRPr="001968BB">
              <w:rPr>
                <w:color w:val="000000"/>
                <w:sz w:val="20"/>
              </w:rPr>
              <w:t>§4.71a Rating</w:t>
            </w:r>
          </w:p>
        </w:tc>
        <w:tc>
          <w:tcPr>
            <w:tcW w:w="1993" w:type="dxa"/>
            <w:tcBorders>
              <w:top w:val="single" w:sz="4" w:space="0" w:color="auto"/>
              <w:left w:val="single" w:sz="4" w:space="0" w:color="auto"/>
              <w:bottom w:val="single" w:sz="4" w:space="0" w:color="auto"/>
              <w:right w:val="single" w:sz="4" w:space="0" w:color="auto"/>
            </w:tcBorders>
            <w:vAlign w:val="center"/>
          </w:tcPr>
          <w:p w:rsidR="001968BB" w:rsidRPr="001968BB" w:rsidRDefault="001968BB" w:rsidP="00C42AED">
            <w:pPr>
              <w:tabs>
                <w:tab w:val="left" w:pos="288"/>
                <w:tab w:val="left" w:pos="4752"/>
              </w:tabs>
              <w:rPr>
                <w:color w:val="000000"/>
                <w:sz w:val="20"/>
              </w:rPr>
            </w:pPr>
            <w:r w:rsidRPr="001968BB">
              <w:rPr>
                <w:color w:val="000000"/>
                <w:sz w:val="20"/>
              </w:rPr>
              <w:t>10%</w:t>
            </w:r>
            <w:r w:rsidR="00FE7EB9">
              <w:rPr>
                <w:color w:val="000000"/>
                <w:sz w:val="20"/>
              </w:rPr>
              <w:t xml:space="preserve"> vs. 20%*</w:t>
            </w:r>
          </w:p>
        </w:tc>
        <w:tc>
          <w:tcPr>
            <w:tcW w:w="2070" w:type="dxa"/>
            <w:tcBorders>
              <w:top w:val="single" w:sz="4" w:space="0" w:color="auto"/>
              <w:left w:val="single" w:sz="4" w:space="0" w:color="auto"/>
              <w:bottom w:val="single" w:sz="4" w:space="0" w:color="auto"/>
              <w:right w:val="single" w:sz="4" w:space="0" w:color="auto"/>
            </w:tcBorders>
            <w:vAlign w:val="center"/>
          </w:tcPr>
          <w:p w:rsidR="001968BB" w:rsidRPr="001968BB" w:rsidRDefault="00FE7EB9" w:rsidP="00C42AED">
            <w:pPr>
              <w:tabs>
                <w:tab w:val="left" w:pos="288"/>
                <w:tab w:val="left" w:pos="4752"/>
              </w:tabs>
              <w:rPr>
                <w:color w:val="000000"/>
                <w:sz w:val="20"/>
              </w:rPr>
            </w:pPr>
            <w:r w:rsidRPr="001968BB">
              <w:rPr>
                <w:color w:val="000000"/>
                <w:sz w:val="20"/>
              </w:rPr>
              <w:t>10%</w:t>
            </w:r>
            <w:r>
              <w:rPr>
                <w:color w:val="000000"/>
                <w:sz w:val="20"/>
              </w:rPr>
              <w:t xml:space="preserve"> vs. 20%*</w:t>
            </w:r>
          </w:p>
        </w:tc>
        <w:tc>
          <w:tcPr>
            <w:tcW w:w="2250" w:type="dxa"/>
            <w:tcBorders>
              <w:top w:val="single" w:sz="4" w:space="0" w:color="auto"/>
              <w:left w:val="single" w:sz="4" w:space="0" w:color="auto"/>
              <w:bottom w:val="single" w:sz="4" w:space="0" w:color="auto"/>
              <w:right w:val="single" w:sz="4" w:space="0" w:color="auto"/>
            </w:tcBorders>
            <w:vAlign w:val="center"/>
          </w:tcPr>
          <w:p w:rsidR="001968BB" w:rsidRPr="001968BB" w:rsidRDefault="001968BB" w:rsidP="00C42AED">
            <w:pPr>
              <w:tabs>
                <w:tab w:val="left" w:pos="288"/>
                <w:tab w:val="left" w:pos="4752"/>
              </w:tabs>
              <w:rPr>
                <w:color w:val="000000"/>
                <w:sz w:val="20"/>
              </w:rPr>
            </w:pPr>
            <w:r w:rsidRPr="001968BB">
              <w:rPr>
                <w:color w:val="000000"/>
                <w:sz w:val="20"/>
              </w:rPr>
              <w:t>10%</w:t>
            </w:r>
            <w:r w:rsidR="00FE7EB9">
              <w:rPr>
                <w:color w:val="000000"/>
                <w:sz w:val="20"/>
              </w:rPr>
              <w:t>**</w:t>
            </w:r>
          </w:p>
        </w:tc>
      </w:tr>
    </w:tbl>
    <w:p w:rsidR="00241ECD" w:rsidRDefault="00C42AED" w:rsidP="003C53E8">
      <w:pPr>
        <w:tabs>
          <w:tab w:val="left" w:pos="288"/>
          <w:tab w:val="left" w:pos="4752"/>
        </w:tabs>
        <w:jc w:val="left"/>
        <w:rPr>
          <w:rFonts w:cs="Times New Roman"/>
          <w:color w:val="auto"/>
          <w:sz w:val="20"/>
        </w:rPr>
      </w:pPr>
      <w:r>
        <w:rPr>
          <w:rFonts w:cs="Times New Roman"/>
          <w:color w:val="auto"/>
          <w:sz w:val="20"/>
        </w:rPr>
        <w:t xml:space="preserve">          </w:t>
      </w:r>
      <w:r w:rsidR="00FE7EB9">
        <w:rPr>
          <w:rFonts w:cs="Times New Roman"/>
          <w:color w:val="auto"/>
          <w:sz w:val="20"/>
        </w:rPr>
        <w:t xml:space="preserve">* Under 5257, grading instability. </w:t>
      </w:r>
      <w:r w:rsidR="00241ECD">
        <w:rPr>
          <w:rFonts w:cs="Times New Roman"/>
          <w:color w:val="auto"/>
          <w:sz w:val="20"/>
        </w:rPr>
        <w:t xml:space="preserve">      </w:t>
      </w:r>
      <w:r w:rsidR="00FE7EB9">
        <w:rPr>
          <w:rFonts w:cs="Times New Roman"/>
          <w:color w:val="auto"/>
          <w:sz w:val="20"/>
        </w:rPr>
        <w:t>*</w:t>
      </w:r>
      <w:r w:rsidR="00AD2379" w:rsidRPr="00C42AED">
        <w:rPr>
          <w:rFonts w:cs="Times New Roman"/>
          <w:color w:val="auto"/>
          <w:sz w:val="20"/>
        </w:rPr>
        <w:t xml:space="preserve">* Conceding §4.59 </w:t>
      </w:r>
      <w:r w:rsidR="00FE7EB9">
        <w:rPr>
          <w:rFonts w:cs="Times New Roman"/>
          <w:color w:val="auto"/>
          <w:sz w:val="20"/>
        </w:rPr>
        <w:t>under joint code</w:t>
      </w:r>
      <w:r w:rsidR="00241ECD">
        <w:rPr>
          <w:rFonts w:cs="Times New Roman"/>
          <w:color w:val="auto"/>
          <w:sz w:val="20"/>
        </w:rPr>
        <w:t xml:space="preserve"> (as below) or ‘mild’ instability.</w:t>
      </w:r>
    </w:p>
    <w:p w:rsidR="00AD2379" w:rsidRPr="009A7578" w:rsidRDefault="00E54846" w:rsidP="003C53E8">
      <w:pPr>
        <w:tabs>
          <w:tab w:val="left" w:pos="288"/>
          <w:tab w:val="left" w:pos="4752"/>
        </w:tabs>
        <w:jc w:val="left"/>
        <w:rPr>
          <w:rFonts w:cs="Times New Roman"/>
          <w:color w:val="auto"/>
          <w:highlight w:val="magenta"/>
        </w:rPr>
      </w:pPr>
      <w:r>
        <w:rPr>
          <w:rFonts w:cs="Times New Roman"/>
          <w:color w:val="auto"/>
          <w:sz w:val="20"/>
        </w:rPr>
        <w:t xml:space="preserve"> </w:t>
      </w:r>
    </w:p>
    <w:p w:rsidR="00AD2379" w:rsidRPr="009A7578" w:rsidRDefault="004361AC" w:rsidP="00B22D42">
      <w:pPr>
        <w:tabs>
          <w:tab w:val="left" w:pos="288"/>
          <w:tab w:val="left" w:pos="4752"/>
        </w:tabs>
        <w:jc w:val="both"/>
        <w:rPr>
          <w:rFonts w:cs="Times New Roman"/>
          <w:color w:val="auto"/>
          <w:highlight w:val="magenta"/>
        </w:rPr>
      </w:pPr>
      <w:r>
        <w:rPr>
          <w:rFonts w:cs="Times New Roman"/>
          <w:color w:val="auto"/>
        </w:rPr>
        <w:t>At</w:t>
      </w:r>
      <w:r w:rsidR="00AD2379" w:rsidRPr="009A7578">
        <w:rPr>
          <w:rFonts w:cs="Times New Roman"/>
          <w:color w:val="auto"/>
        </w:rPr>
        <w:t xml:space="preserve"> the MEB exam, the CI reported constant, throbbing pain throughout his knee with frequent sharp pains </w:t>
      </w:r>
      <w:r w:rsidR="00FE7EB9">
        <w:rPr>
          <w:rFonts w:cs="Times New Roman"/>
          <w:color w:val="auto"/>
        </w:rPr>
        <w:t>(</w:t>
      </w:r>
      <w:r>
        <w:rPr>
          <w:rFonts w:cs="Times New Roman"/>
          <w:color w:val="auto"/>
        </w:rPr>
        <w:t xml:space="preserve">latter </w:t>
      </w:r>
      <w:r w:rsidR="00FE7EB9">
        <w:rPr>
          <w:rFonts w:cs="Times New Roman"/>
          <w:color w:val="auto"/>
        </w:rPr>
        <w:t>rated 9</w:t>
      </w:r>
      <w:r w:rsidR="00467DF1">
        <w:rPr>
          <w:rFonts w:cs="Times New Roman"/>
          <w:color w:val="auto"/>
        </w:rPr>
        <w:t>/</w:t>
      </w:r>
      <w:r w:rsidR="00AD2379" w:rsidRPr="009A7578">
        <w:rPr>
          <w:rFonts w:cs="Times New Roman"/>
          <w:color w:val="auto"/>
        </w:rPr>
        <w:t>10</w:t>
      </w:r>
      <w:r w:rsidR="00FE7EB9">
        <w:rPr>
          <w:rFonts w:cs="Times New Roman"/>
          <w:color w:val="auto"/>
        </w:rPr>
        <w:t xml:space="preserve">); </w:t>
      </w:r>
      <w:r>
        <w:rPr>
          <w:rFonts w:cs="Times New Roman"/>
          <w:color w:val="auto"/>
        </w:rPr>
        <w:t xml:space="preserve">which was </w:t>
      </w:r>
      <w:r w:rsidR="00AD2379" w:rsidRPr="009A7578">
        <w:rPr>
          <w:rFonts w:cs="Times New Roman"/>
          <w:color w:val="auto"/>
        </w:rPr>
        <w:t xml:space="preserve">aggravated with running, squatting, or </w:t>
      </w:r>
      <w:r w:rsidR="00FE7EB9">
        <w:rPr>
          <w:rFonts w:cs="Times New Roman"/>
          <w:color w:val="auto"/>
        </w:rPr>
        <w:t xml:space="preserve">any impact activities; and, </w:t>
      </w:r>
      <w:r>
        <w:rPr>
          <w:rFonts w:cs="Times New Roman"/>
          <w:color w:val="auto"/>
        </w:rPr>
        <w:t>which prohibited</w:t>
      </w:r>
      <w:r w:rsidR="00FE7EB9">
        <w:rPr>
          <w:rFonts w:cs="Times New Roman"/>
          <w:color w:val="auto"/>
        </w:rPr>
        <w:t xml:space="preserve"> multiple soldiering requirements</w:t>
      </w:r>
      <w:r w:rsidR="00AD2379" w:rsidRPr="009A7578">
        <w:rPr>
          <w:rFonts w:cs="Times New Roman"/>
          <w:color w:val="auto"/>
        </w:rPr>
        <w:t>.</w:t>
      </w:r>
      <w:r>
        <w:rPr>
          <w:rFonts w:cs="Times New Roman"/>
          <w:color w:val="auto"/>
        </w:rPr>
        <w:t xml:space="preserve"> </w:t>
      </w:r>
      <w:r w:rsidR="00AD2379" w:rsidRPr="009A7578">
        <w:rPr>
          <w:rFonts w:cs="Times New Roman"/>
          <w:color w:val="auto"/>
        </w:rPr>
        <w:t xml:space="preserve"> He could not lift more than 20 pounds, wear body armor, or carry a backpack. </w:t>
      </w:r>
      <w:r>
        <w:rPr>
          <w:rFonts w:cs="Times New Roman"/>
          <w:color w:val="auto"/>
        </w:rPr>
        <w:t xml:space="preserve"> The</w:t>
      </w:r>
      <w:r w:rsidR="004429D9">
        <w:rPr>
          <w:rFonts w:cs="Times New Roman"/>
          <w:color w:val="auto"/>
        </w:rPr>
        <w:t xml:space="preserve"> </w:t>
      </w:r>
      <w:r>
        <w:rPr>
          <w:rFonts w:cs="Times New Roman"/>
          <w:color w:val="auto"/>
        </w:rPr>
        <w:t xml:space="preserve">physical </w:t>
      </w:r>
      <w:r w:rsidR="004429D9">
        <w:rPr>
          <w:rFonts w:cs="Times New Roman"/>
          <w:color w:val="auto"/>
        </w:rPr>
        <w:t xml:space="preserve">exam </w:t>
      </w:r>
      <w:r>
        <w:rPr>
          <w:rFonts w:cs="Times New Roman"/>
          <w:color w:val="auto"/>
        </w:rPr>
        <w:t>documented</w:t>
      </w:r>
      <w:r w:rsidR="004429D9">
        <w:rPr>
          <w:rFonts w:cs="Times New Roman"/>
          <w:color w:val="auto"/>
        </w:rPr>
        <w:t xml:space="preserve"> a positive </w:t>
      </w:r>
      <w:proofErr w:type="spellStart"/>
      <w:r w:rsidR="004429D9">
        <w:rPr>
          <w:rFonts w:cs="Times New Roman"/>
          <w:color w:val="auto"/>
        </w:rPr>
        <w:t>Lachman</w:t>
      </w:r>
      <w:proofErr w:type="spellEnd"/>
      <w:r w:rsidR="004429D9">
        <w:rPr>
          <w:rFonts w:cs="Times New Roman"/>
          <w:color w:val="auto"/>
        </w:rPr>
        <w:t xml:space="preserve"> (2B), </w:t>
      </w:r>
      <w:r w:rsidR="00092CC9">
        <w:rPr>
          <w:rFonts w:cs="Times New Roman"/>
          <w:color w:val="auto"/>
        </w:rPr>
        <w:t>anterior drawer sign, and a pivot shift (+2); all indicative of significant ACL dysfunction.  Of note, the recorded limitation of flexion to 90</w:t>
      </w:r>
      <w:r w:rsidR="00092CC9">
        <w:rPr>
          <w:color w:val="auto"/>
        </w:rPr>
        <w:t>⁰</w:t>
      </w:r>
      <w:r w:rsidR="00092CC9">
        <w:rPr>
          <w:rFonts w:cs="Times New Roman"/>
          <w:color w:val="auto"/>
        </w:rPr>
        <w:t xml:space="preserve"> by the MEB examiner was in sharp contrast to a quoted </w:t>
      </w:r>
      <w:r>
        <w:rPr>
          <w:rFonts w:cs="Times New Roman"/>
          <w:color w:val="auto"/>
        </w:rPr>
        <w:t>contemporary</w:t>
      </w:r>
      <w:r w:rsidR="00092CC9">
        <w:rPr>
          <w:rFonts w:cs="Times New Roman"/>
          <w:color w:val="auto"/>
        </w:rPr>
        <w:t xml:space="preserve"> normal flexion by PT.  </w:t>
      </w:r>
      <w:r w:rsidR="00AD2379" w:rsidRPr="009A7578">
        <w:rPr>
          <w:rFonts w:cs="Times New Roman"/>
          <w:color w:val="auto"/>
        </w:rPr>
        <w:t xml:space="preserve">An orthopedic </w:t>
      </w:r>
      <w:r w:rsidR="00B13A51">
        <w:rPr>
          <w:rFonts w:cs="Times New Roman"/>
          <w:color w:val="auto"/>
        </w:rPr>
        <w:t>addendum to the MEB (</w:t>
      </w:r>
      <w:r>
        <w:rPr>
          <w:rFonts w:cs="Times New Roman"/>
          <w:color w:val="auto"/>
        </w:rPr>
        <w:t xml:space="preserve">charted </w:t>
      </w:r>
      <w:r w:rsidR="00B13A51">
        <w:rPr>
          <w:rFonts w:cs="Times New Roman"/>
          <w:color w:val="auto"/>
        </w:rPr>
        <w:t>above)</w:t>
      </w:r>
      <w:r w:rsidR="00AD2379" w:rsidRPr="009A7578">
        <w:rPr>
          <w:rFonts w:cs="Times New Roman"/>
          <w:color w:val="auto"/>
        </w:rPr>
        <w:t xml:space="preserve"> noted a slightly limited </w:t>
      </w:r>
      <w:r w:rsidR="00467DF1">
        <w:rPr>
          <w:rFonts w:cs="Times New Roman"/>
          <w:color w:val="auto"/>
        </w:rPr>
        <w:t>ROM</w:t>
      </w:r>
      <w:r w:rsidR="00AD2379" w:rsidRPr="009A7578">
        <w:rPr>
          <w:rFonts w:cs="Times New Roman"/>
          <w:color w:val="auto"/>
        </w:rPr>
        <w:t xml:space="preserve"> and pain with activity.</w:t>
      </w:r>
      <w:r>
        <w:rPr>
          <w:rFonts w:cs="Times New Roman"/>
          <w:color w:val="auto"/>
        </w:rPr>
        <w:t xml:space="preserve"> </w:t>
      </w:r>
      <w:r w:rsidR="00AD2379" w:rsidRPr="009A7578">
        <w:rPr>
          <w:rFonts w:cs="Times New Roman"/>
          <w:color w:val="auto"/>
        </w:rPr>
        <w:t xml:space="preserve"> </w:t>
      </w:r>
      <w:r w:rsidR="00B13A51">
        <w:rPr>
          <w:rFonts w:cs="Times New Roman"/>
          <w:color w:val="auto"/>
        </w:rPr>
        <w:t xml:space="preserve">That </w:t>
      </w:r>
      <w:r>
        <w:rPr>
          <w:rFonts w:cs="Times New Roman"/>
          <w:color w:val="auto"/>
        </w:rPr>
        <w:t xml:space="preserve">physical </w:t>
      </w:r>
      <w:r w:rsidR="00B13A51">
        <w:rPr>
          <w:rFonts w:cs="Times New Roman"/>
          <w:color w:val="auto"/>
        </w:rPr>
        <w:t xml:space="preserve">exam </w:t>
      </w:r>
      <w:r>
        <w:rPr>
          <w:rFonts w:cs="Times New Roman"/>
          <w:color w:val="auto"/>
        </w:rPr>
        <w:t>documented</w:t>
      </w:r>
      <w:r w:rsidR="00B13A51">
        <w:rPr>
          <w:rFonts w:cs="Times New Roman"/>
          <w:color w:val="auto"/>
        </w:rPr>
        <w:t xml:space="preserve"> </w:t>
      </w:r>
      <w:r w:rsidR="004E4DDE">
        <w:rPr>
          <w:rFonts w:cs="Times New Roman"/>
          <w:color w:val="auto"/>
        </w:rPr>
        <w:t>equivalent signs of</w:t>
      </w:r>
      <w:r w:rsidR="00B13A51">
        <w:rPr>
          <w:rFonts w:cs="Times New Roman"/>
          <w:color w:val="auto"/>
        </w:rPr>
        <w:t xml:space="preserve"> ACL </w:t>
      </w:r>
      <w:r w:rsidR="004E4DDE">
        <w:rPr>
          <w:rFonts w:cs="Times New Roman"/>
          <w:color w:val="auto"/>
        </w:rPr>
        <w:t>laxity;</w:t>
      </w:r>
      <w:r w:rsidR="00B13A51">
        <w:rPr>
          <w:rFonts w:cs="Times New Roman"/>
          <w:color w:val="auto"/>
        </w:rPr>
        <w:t xml:space="preserve"> </w:t>
      </w:r>
      <w:r w:rsidR="004E4DDE">
        <w:rPr>
          <w:rFonts w:cs="Times New Roman"/>
          <w:color w:val="auto"/>
        </w:rPr>
        <w:t>but,</w:t>
      </w:r>
      <w:r w:rsidR="00B13A51">
        <w:rPr>
          <w:rFonts w:cs="Times New Roman"/>
          <w:color w:val="auto"/>
        </w:rPr>
        <w:t xml:space="preserve"> added normal testing to </w:t>
      </w:r>
      <w:proofErr w:type="spellStart"/>
      <w:r w:rsidR="00B13A51">
        <w:rPr>
          <w:rFonts w:cs="Times New Roman"/>
          <w:color w:val="auto"/>
        </w:rPr>
        <w:t>varus</w:t>
      </w:r>
      <w:proofErr w:type="spellEnd"/>
      <w:r w:rsidR="00B13A51">
        <w:rPr>
          <w:rFonts w:cs="Times New Roman"/>
          <w:color w:val="auto"/>
        </w:rPr>
        <w:t>/</w:t>
      </w:r>
      <w:proofErr w:type="spellStart"/>
      <w:r w:rsidR="00B13A51">
        <w:rPr>
          <w:rFonts w:cs="Times New Roman"/>
          <w:color w:val="auto"/>
        </w:rPr>
        <w:t>valgus</w:t>
      </w:r>
      <w:proofErr w:type="spellEnd"/>
      <w:r w:rsidR="00B13A51">
        <w:rPr>
          <w:rFonts w:cs="Times New Roman"/>
          <w:color w:val="auto"/>
        </w:rPr>
        <w:t xml:space="preserve"> stress (no lateral instability). </w:t>
      </w:r>
      <w:r w:rsidR="003424BF">
        <w:rPr>
          <w:rFonts w:cs="Times New Roman"/>
          <w:color w:val="auto"/>
        </w:rPr>
        <w:t xml:space="preserve"> </w:t>
      </w:r>
      <w:r w:rsidR="00AD2379" w:rsidRPr="009A7578">
        <w:rPr>
          <w:rFonts w:cs="Times New Roman"/>
          <w:color w:val="auto"/>
        </w:rPr>
        <w:t xml:space="preserve">At the </w:t>
      </w:r>
      <w:r w:rsidR="00B13A51">
        <w:rPr>
          <w:rFonts w:cs="Times New Roman"/>
          <w:color w:val="auto"/>
        </w:rPr>
        <w:t xml:space="preserve">post-separation </w:t>
      </w:r>
      <w:r w:rsidR="00467DF1">
        <w:rPr>
          <w:rFonts w:cs="Times New Roman"/>
          <w:color w:val="auto"/>
        </w:rPr>
        <w:t>Department of Veterans’ Affairs (D</w:t>
      </w:r>
      <w:r w:rsidR="00AD2379" w:rsidRPr="009A7578">
        <w:rPr>
          <w:rFonts w:cs="Times New Roman"/>
          <w:color w:val="auto"/>
        </w:rPr>
        <w:t>VA</w:t>
      </w:r>
      <w:r w:rsidR="00467DF1">
        <w:rPr>
          <w:rFonts w:cs="Times New Roman"/>
          <w:color w:val="auto"/>
        </w:rPr>
        <w:t>)</w:t>
      </w:r>
      <w:r w:rsidR="00AD2379" w:rsidRPr="009A7578">
        <w:rPr>
          <w:rFonts w:cs="Times New Roman"/>
          <w:color w:val="auto"/>
        </w:rPr>
        <w:t xml:space="preserve"> Compensation &amp; Pension (C&amp;P), the CI reported pain with flexion</w:t>
      </w:r>
      <w:r w:rsidR="00B13A51">
        <w:rPr>
          <w:rFonts w:cs="Times New Roman"/>
          <w:color w:val="auto"/>
        </w:rPr>
        <w:t xml:space="preserve"> and </w:t>
      </w:r>
      <w:r w:rsidR="00AD2379" w:rsidRPr="009A7578">
        <w:rPr>
          <w:rFonts w:cs="Times New Roman"/>
          <w:color w:val="auto"/>
        </w:rPr>
        <w:t xml:space="preserve">demonstrated a </w:t>
      </w:r>
      <w:r w:rsidR="00B13A51">
        <w:rPr>
          <w:rFonts w:cs="Times New Roman"/>
          <w:color w:val="auto"/>
        </w:rPr>
        <w:t>modestly</w:t>
      </w:r>
      <w:r w:rsidR="00AD2379" w:rsidRPr="009A7578">
        <w:rPr>
          <w:rFonts w:cs="Times New Roman"/>
          <w:color w:val="auto"/>
        </w:rPr>
        <w:t xml:space="preserve"> limited ROM. </w:t>
      </w:r>
      <w:r w:rsidR="00B13A51">
        <w:rPr>
          <w:rFonts w:cs="Times New Roman"/>
          <w:color w:val="auto"/>
        </w:rPr>
        <w:t xml:space="preserve">The </w:t>
      </w:r>
      <w:r w:rsidR="00467DF1">
        <w:rPr>
          <w:rFonts w:cs="Times New Roman"/>
          <w:color w:val="auto"/>
        </w:rPr>
        <w:t>D</w:t>
      </w:r>
      <w:r w:rsidR="00B13A51">
        <w:rPr>
          <w:rFonts w:cs="Times New Roman"/>
          <w:color w:val="auto"/>
        </w:rPr>
        <w:t>VA physical exam w</w:t>
      </w:r>
      <w:r w:rsidR="00467DF1">
        <w:rPr>
          <w:rFonts w:cs="Times New Roman"/>
          <w:color w:val="auto"/>
        </w:rPr>
        <w:t>as of a template format with a “yes”</w:t>
      </w:r>
      <w:r w:rsidR="00B13A51">
        <w:rPr>
          <w:rFonts w:cs="Times New Roman"/>
          <w:color w:val="auto"/>
        </w:rPr>
        <w:t xml:space="preserve"> response to laxity; providing no elaboration </w:t>
      </w:r>
      <w:r w:rsidR="004E4DDE">
        <w:rPr>
          <w:rFonts w:cs="Times New Roman"/>
          <w:color w:val="auto"/>
        </w:rPr>
        <w:t>of</w:t>
      </w:r>
      <w:r w:rsidR="00B13A51">
        <w:rPr>
          <w:rFonts w:cs="Times New Roman"/>
          <w:color w:val="auto"/>
        </w:rPr>
        <w:t xml:space="preserve"> </w:t>
      </w:r>
      <w:r w:rsidR="004E4DDE">
        <w:rPr>
          <w:rFonts w:cs="Times New Roman"/>
          <w:color w:val="auto"/>
        </w:rPr>
        <w:t xml:space="preserve">severity or planes of </w:t>
      </w:r>
      <w:r w:rsidR="00B13A51">
        <w:rPr>
          <w:rFonts w:cs="Times New Roman"/>
          <w:color w:val="auto"/>
        </w:rPr>
        <w:t xml:space="preserve">instability.  </w:t>
      </w:r>
      <w:r w:rsidR="00AD2379" w:rsidRPr="009A7578">
        <w:rPr>
          <w:rFonts w:cs="Times New Roman"/>
          <w:color w:val="auto"/>
        </w:rPr>
        <w:t xml:space="preserve">The </w:t>
      </w:r>
      <w:r w:rsidR="00467DF1">
        <w:rPr>
          <w:rFonts w:cs="Times New Roman"/>
          <w:color w:val="auto"/>
        </w:rPr>
        <w:t>D</w:t>
      </w:r>
      <w:r w:rsidR="00B13A51">
        <w:rPr>
          <w:rFonts w:cs="Times New Roman"/>
          <w:color w:val="auto"/>
        </w:rPr>
        <w:t xml:space="preserve">VA </w:t>
      </w:r>
      <w:r w:rsidR="00AD2379" w:rsidRPr="009A7578">
        <w:rPr>
          <w:rFonts w:cs="Times New Roman"/>
          <w:color w:val="auto"/>
        </w:rPr>
        <w:t xml:space="preserve">physician </w:t>
      </w:r>
      <w:r w:rsidR="004E4DDE">
        <w:rPr>
          <w:rFonts w:cs="Times New Roman"/>
          <w:color w:val="auto"/>
        </w:rPr>
        <w:t>opined that the</w:t>
      </w:r>
      <w:r w:rsidR="00AD2379" w:rsidRPr="009A7578">
        <w:rPr>
          <w:rFonts w:cs="Times New Roman"/>
          <w:color w:val="auto"/>
        </w:rPr>
        <w:t xml:space="preserve"> condition </w:t>
      </w:r>
      <w:r w:rsidR="004E4DDE">
        <w:rPr>
          <w:rFonts w:cs="Times New Roman"/>
          <w:color w:val="auto"/>
        </w:rPr>
        <w:t>had</w:t>
      </w:r>
      <w:r w:rsidR="00AD2379" w:rsidRPr="009A7578">
        <w:rPr>
          <w:rFonts w:cs="Times New Roman"/>
          <w:color w:val="auto"/>
        </w:rPr>
        <w:t xml:space="preserve"> a </w:t>
      </w:r>
      <w:r w:rsidR="004E4DDE">
        <w:rPr>
          <w:rFonts w:cs="Times New Roman"/>
          <w:color w:val="auto"/>
        </w:rPr>
        <w:t>“</w:t>
      </w:r>
      <w:r w:rsidR="00AD2379" w:rsidRPr="009A7578">
        <w:rPr>
          <w:rFonts w:cs="Times New Roman"/>
          <w:color w:val="auto"/>
        </w:rPr>
        <w:t>severe</w:t>
      </w:r>
      <w:r w:rsidR="004E4DDE">
        <w:rPr>
          <w:rFonts w:cs="Times New Roman"/>
          <w:color w:val="auto"/>
        </w:rPr>
        <w:t>”</w:t>
      </w:r>
      <w:r w:rsidR="00AD2379" w:rsidRPr="009A7578">
        <w:rPr>
          <w:rFonts w:cs="Times New Roman"/>
          <w:color w:val="auto"/>
        </w:rPr>
        <w:t xml:space="preserve"> affect on ability to perform daily activities, and noted that </w:t>
      </w:r>
      <w:r w:rsidR="00B13A51">
        <w:rPr>
          <w:rFonts w:cs="Times New Roman"/>
          <w:color w:val="auto"/>
        </w:rPr>
        <w:t>the CI</w:t>
      </w:r>
      <w:r w:rsidR="00AD2379" w:rsidRPr="009A7578">
        <w:rPr>
          <w:rFonts w:cs="Times New Roman"/>
          <w:color w:val="auto"/>
        </w:rPr>
        <w:t xml:space="preserve"> was unable to find a job because of his left knee condition. </w:t>
      </w:r>
    </w:p>
    <w:p w:rsidR="00AD2379" w:rsidRPr="009A7578" w:rsidRDefault="00AD2379" w:rsidP="009A7578">
      <w:pPr>
        <w:tabs>
          <w:tab w:val="left" w:pos="288"/>
          <w:tab w:val="left" w:pos="4752"/>
        </w:tabs>
        <w:jc w:val="both"/>
        <w:rPr>
          <w:rFonts w:cs="Times New Roman"/>
          <w:color w:val="auto"/>
        </w:rPr>
      </w:pPr>
    </w:p>
    <w:p w:rsidR="00417999" w:rsidRPr="00417999" w:rsidRDefault="00AD2379" w:rsidP="00417999">
      <w:pPr>
        <w:jc w:val="both"/>
        <w:rPr>
          <w:bCs/>
          <w:color w:val="000000"/>
          <w:szCs w:val="24"/>
        </w:rPr>
      </w:pPr>
      <w:r w:rsidRPr="009A7578">
        <w:rPr>
          <w:rFonts w:cs="Times New Roman"/>
          <w:color w:val="auto"/>
        </w:rPr>
        <w:t xml:space="preserve">The Board directs attention to its rating recommendations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The MEB and orthopedic addendum examinations were considered more probative for their detail regarding stability testing; although the MEB measurement of flexion (still non-compensable) was considered an outlier.  No compensable rating is supported under code </w:t>
      </w:r>
      <w:r w:rsidRPr="009A7578">
        <w:rPr>
          <w:bCs/>
          <w:color w:val="000000"/>
        </w:rPr>
        <w:t xml:space="preserve">5260 </w:t>
      </w:r>
      <w:r w:rsidRPr="00B22D42">
        <w:rPr>
          <w:color w:val="000000"/>
        </w:rPr>
        <w:t>(</w:t>
      </w:r>
      <w:r w:rsidR="00192392">
        <w:rPr>
          <w:color w:val="000000"/>
        </w:rPr>
        <w:t xml:space="preserve">limitation of flexion); although, </w:t>
      </w:r>
      <w:r w:rsidR="00192392" w:rsidRPr="00B22D42">
        <w:rPr>
          <w:color w:val="000000"/>
        </w:rPr>
        <w:t xml:space="preserve">application of VASRD </w:t>
      </w:r>
      <w:r w:rsidR="00192392" w:rsidRPr="009A7578">
        <w:rPr>
          <w:color w:val="000000"/>
        </w:rPr>
        <w:t>§4.59 (painful motion)</w:t>
      </w:r>
      <w:r w:rsidR="00241ECD">
        <w:rPr>
          <w:color w:val="000000"/>
        </w:rPr>
        <w:t xml:space="preserve"> </w:t>
      </w:r>
      <w:r w:rsidR="004E4DDE">
        <w:rPr>
          <w:color w:val="000000"/>
        </w:rPr>
        <w:t>could be considered in order</w:t>
      </w:r>
      <w:r w:rsidR="00241ECD">
        <w:rPr>
          <w:color w:val="000000"/>
        </w:rPr>
        <w:t xml:space="preserve"> to achieve the minimal compensable rating of 10%</w:t>
      </w:r>
      <w:r w:rsidR="00192392" w:rsidRPr="009A7578">
        <w:rPr>
          <w:color w:val="000000"/>
        </w:rPr>
        <w:t xml:space="preserve">. </w:t>
      </w:r>
      <w:r w:rsidR="00241ECD">
        <w:rPr>
          <w:color w:val="000000"/>
        </w:rPr>
        <w:t xml:space="preserve"> The 5259 code for continued pain after </w:t>
      </w:r>
      <w:proofErr w:type="spellStart"/>
      <w:r w:rsidR="00241ECD">
        <w:rPr>
          <w:color w:val="000000"/>
        </w:rPr>
        <w:t>menisectomy</w:t>
      </w:r>
      <w:proofErr w:type="spellEnd"/>
      <w:r w:rsidR="00241ECD">
        <w:rPr>
          <w:color w:val="000000"/>
        </w:rPr>
        <w:t xml:space="preserve"> is also applicable to this case, and confers a sole 10% rating.  </w:t>
      </w:r>
      <w:r w:rsidR="00241ECD" w:rsidRPr="00DF5D3A">
        <w:rPr>
          <w:color w:val="auto"/>
          <w:szCs w:val="24"/>
        </w:rPr>
        <w:t>Bo</w:t>
      </w:r>
      <w:r w:rsidR="00241ECD" w:rsidRPr="009A7578">
        <w:rPr>
          <w:color w:val="auto"/>
        </w:rPr>
        <w:t>th the MEB and VA rated</w:t>
      </w:r>
      <w:r w:rsidR="00241ECD" w:rsidRPr="00B22D42">
        <w:rPr>
          <w:color w:val="000000"/>
        </w:rPr>
        <w:t xml:space="preserve"> </w:t>
      </w:r>
      <w:r w:rsidR="00241ECD">
        <w:rPr>
          <w:color w:val="000000"/>
        </w:rPr>
        <w:t xml:space="preserve">this case under </w:t>
      </w:r>
      <w:r w:rsidR="00241ECD" w:rsidRPr="009A7578">
        <w:rPr>
          <w:color w:val="000000"/>
        </w:rPr>
        <w:t>cod</w:t>
      </w:r>
      <w:r w:rsidR="00241ECD" w:rsidRPr="00DF5D3A">
        <w:rPr>
          <w:color w:val="000000"/>
          <w:szCs w:val="24"/>
        </w:rPr>
        <w:t xml:space="preserve">e 5257 </w:t>
      </w:r>
      <w:r w:rsidR="00241ECD">
        <w:rPr>
          <w:color w:val="auto"/>
          <w:szCs w:val="24"/>
        </w:rPr>
        <w:t xml:space="preserve">for </w:t>
      </w:r>
      <w:r w:rsidR="000F2F2B">
        <w:rPr>
          <w:bCs/>
          <w:color w:val="000000"/>
          <w:szCs w:val="24"/>
        </w:rPr>
        <w:t xml:space="preserve">knee </w:t>
      </w:r>
      <w:r w:rsidR="00241ECD">
        <w:rPr>
          <w:bCs/>
          <w:color w:val="000000"/>
          <w:szCs w:val="24"/>
        </w:rPr>
        <w:t>instability</w:t>
      </w:r>
      <w:r w:rsidR="004E4DDE">
        <w:rPr>
          <w:bCs/>
          <w:color w:val="000000"/>
          <w:szCs w:val="24"/>
        </w:rPr>
        <w:t>;</w:t>
      </w:r>
      <w:r w:rsidR="000F2F2B">
        <w:rPr>
          <w:bCs/>
          <w:color w:val="000000"/>
          <w:szCs w:val="24"/>
        </w:rPr>
        <w:t xml:space="preserve"> </w:t>
      </w:r>
      <w:r w:rsidR="004E4DDE">
        <w:rPr>
          <w:bCs/>
          <w:color w:val="000000"/>
          <w:szCs w:val="24"/>
        </w:rPr>
        <w:t>which</w:t>
      </w:r>
      <w:r w:rsidR="000F2F2B">
        <w:rPr>
          <w:bCs/>
          <w:color w:val="000000"/>
          <w:szCs w:val="24"/>
        </w:rPr>
        <w:t xml:space="preserve"> confers 10% for </w:t>
      </w:r>
      <w:r w:rsidR="00467DF1">
        <w:rPr>
          <w:bCs/>
          <w:color w:val="000000"/>
          <w:szCs w:val="24"/>
        </w:rPr>
        <w:t>“slight”</w:t>
      </w:r>
      <w:r w:rsidR="000F2F2B">
        <w:rPr>
          <w:bCs/>
          <w:color w:val="000000"/>
          <w:szCs w:val="24"/>
        </w:rPr>
        <w:t xml:space="preserve"> instability, 20% for </w:t>
      </w:r>
      <w:r w:rsidR="00467DF1">
        <w:rPr>
          <w:bCs/>
          <w:color w:val="000000"/>
          <w:szCs w:val="24"/>
        </w:rPr>
        <w:t>“</w:t>
      </w:r>
      <w:r w:rsidR="000F2F2B">
        <w:rPr>
          <w:bCs/>
          <w:color w:val="000000"/>
          <w:szCs w:val="24"/>
        </w:rPr>
        <w:t>moderate,</w:t>
      </w:r>
      <w:r w:rsidR="00467DF1">
        <w:rPr>
          <w:bCs/>
          <w:color w:val="000000"/>
          <w:szCs w:val="24"/>
        </w:rPr>
        <w:t>”</w:t>
      </w:r>
      <w:r w:rsidR="000F2F2B">
        <w:rPr>
          <w:bCs/>
          <w:color w:val="000000"/>
          <w:szCs w:val="24"/>
        </w:rPr>
        <w:t xml:space="preserve"> and 30% for </w:t>
      </w:r>
      <w:r w:rsidR="00467DF1">
        <w:rPr>
          <w:bCs/>
          <w:color w:val="000000"/>
          <w:szCs w:val="24"/>
        </w:rPr>
        <w:t>“</w:t>
      </w:r>
      <w:r w:rsidR="000F2F2B">
        <w:rPr>
          <w:bCs/>
          <w:color w:val="000000"/>
          <w:szCs w:val="24"/>
        </w:rPr>
        <w:t>severe.</w:t>
      </w:r>
      <w:r w:rsidR="00467DF1">
        <w:rPr>
          <w:bCs/>
          <w:color w:val="000000"/>
          <w:szCs w:val="24"/>
        </w:rPr>
        <w:t>”</w:t>
      </w:r>
      <w:r w:rsidR="000F2F2B">
        <w:rPr>
          <w:bCs/>
          <w:color w:val="000000"/>
          <w:szCs w:val="24"/>
        </w:rPr>
        <w:t xml:space="preserve">  The PEB’s 20% rating may therefore be considered appropriate, since the </w:t>
      </w:r>
      <w:r w:rsidR="00467DF1">
        <w:rPr>
          <w:bCs/>
          <w:color w:val="000000"/>
          <w:szCs w:val="24"/>
        </w:rPr>
        <w:t>“severe”</w:t>
      </w:r>
      <w:r w:rsidR="000F2F2B">
        <w:rPr>
          <w:bCs/>
          <w:color w:val="000000"/>
          <w:szCs w:val="24"/>
        </w:rPr>
        <w:t xml:space="preserve"> rating implies recurrent </w:t>
      </w:r>
      <w:proofErr w:type="spellStart"/>
      <w:r w:rsidR="000F2F2B">
        <w:rPr>
          <w:bCs/>
          <w:color w:val="000000"/>
          <w:szCs w:val="24"/>
        </w:rPr>
        <w:t>subluxations</w:t>
      </w:r>
      <w:proofErr w:type="spellEnd"/>
      <w:r w:rsidR="000F2F2B">
        <w:rPr>
          <w:bCs/>
          <w:color w:val="000000"/>
          <w:szCs w:val="24"/>
        </w:rPr>
        <w:t xml:space="preserve"> </w:t>
      </w:r>
      <w:r w:rsidR="004E4DDE">
        <w:rPr>
          <w:bCs/>
          <w:color w:val="000000"/>
          <w:szCs w:val="24"/>
        </w:rPr>
        <w:t>or routine requirement for</w:t>
      </w:r>
      <w:r w:rsidR="000F2F2B">
        <w:rPr>
          <w:bCs/>
          <w:color w:val="000000"/>
          <w:szCs w:val="24"/>
        </w:rPr>
        <w:t xml:space="preserve"> a rigid brace.  The Board deliberated the application of dual ratings, based on separate ratings for instability and limitation of motion.  This was sanctioned by VA Training Letter </w:t>
      </w:r>
      <w:r w:rsidR="001058BF">
        <w:rPr>
          <w:bCs/>
          <w:color w:val="000000"/>
          <w:szCs w:val="24"/>
        </w:rPr>
        <w:t xml:space="preserve">TL </w:t>
      </w:r>
      <w:r w:rsidR="000F2F2B">
        <w:rPr>
          <w:bCs/>
          <w:color w:val="000000"/>
          <w:szCs w:val="24"/>
        </w:rPr>
        <w:t xml:space="preserve">04-22 (October 1, 2004); and, by precedent and legal opinion, may be applied by the Board.  </w:t>
      </w:r>
      <w:r w:rsidR="001058BF">
        <w:rPr>
          <w:bCs/>
          <w:color w:val="000000"/>
          <w:szCs w:val="24"/>
        </w:rPr>
        <w:t xml:space="preserve">Members </w:t>
      </w:r>
      <w:r w:rsidR="003424BF">
        <w:rPr>
          <w:bCs/>
          <w:color w:val="000000"/>
          <w:szCs w:val="24"/>
        </w:rPr>
        <w:t>thus deliberated if a second</w:t>
      </w:r>
      <w:r w:rsidR="005C5E38">
        <w:rPr>
          <w:bCs/>
          <w:color w:val="000000"/>
          <w:szCs w:val="24"/>
        </w:rPr>
        <w:t xml:space="preserve"> compensable code c</w:t>
      </w:r>
      <w:r w:rsidR="003424BF">
        <w:rPr>
          <w:bCs/>
          <w:color w:val="000000"/>
          <w:szCs w:val="24"/>
        </w:rPr>
        <w:t xml:space="preserve">ould be </w:t>
      </w:r>
      <w:r w:rsidR="005C5E38">
        <w:rPr>
          <w:bCs/>
          <w:color w:val="000000"/>
          <w:szCs w:val="24"/>
        </w:rPr>
        <w:t>justified under this sanction.</w:t>
      </w:r>
      <w:r w:rsidR="003424BF">
        <w:rPr>
          <w:bCs/>
          <w:color w:val="000000"/>
          <w:szCs w:val="24"/>
        </w:rPr>
        <w:t xml:space="preserve"> </w:t>
      </w:r>
      <w:r w:rsidR="005C5E38">
        <w:rPr>
          <w:bCs/>
          <w:color w:val="000000"/>
          <w:szCs w:val="24"/>
        </w:rPr>
        <w:t xml:space="preserve"> The 5260 code, however, designates that flexion be limited to at least 60⁰ </w:t>
      </w:r>
      <w:r w:rsidR="000149B7">
        <w:rPr>
          <w:bCs/>
          <w:color w:val="000000"/>
          <w:szCs w:val="24"/>
        </w:rPr>
        <w:t>to achieve a 0% rating; and</w:t>
      </w:r>
      <w:r w:rsidR="005C5E38">
        <w:rPr>
          <w:bCs/>
          <w:color w:val="000000"/>
          <w:szCs w:val="24"/>
        </w:rPr>
        <w:t xml:space="preserve"> thus, even if </w:t>
      </w:r>
      <w:r w:rsidR="005C5E38" w:rsidRPr="009A7578">
        <w:rPr>
          <w:color w:val="000000"/>
        </w:rPr>
        <w:t xml:space="preserve">§4.59 </w:t>
      </w:r>
      <w:r w:rsidR="005C5E38">
        <w:rPr>
          <w:color w:val="000000"/>
        </w:rPr>
        <w:t xml:space="preserve">were </w:t>
      </w:r>
      <w:proofErr w:type="gramStart"/>
      <w:r w:rsidR="00F025A0">
        <w:rPr>
          <w:color w:val="000000"/>
        </w:rPr>
        <w:t>applied,</w:t>
      </w:r>
      <w:proofErr w:type="gramEnd"/>
      <w:r w:rsidR="005C5E38">
        <w:rPr>
          <w:color w:val="000000"/>
        </w:rPr>
        <w:t xml:space="preserve"> </w:t>
      </w:r>
      <w:r w:rsidR="000149B7">
        <w:rPr>
          <w:color w:val="000000"/>
        </w:rPr>
        <w:t>a higher 1</w:t>
      </w:r>
      <w:r w:rsidR="005C5E38">
        <w:rPr>
          <w:color w:val="000000"/>
        </w:rPr>
        <w:t>0%</w:t>
      </w:r>
      <w:r w:rsidR="000149B7">
        <w:rPr>
          <w:color w:val="000000"/>
        </w:rPr>
        <w:t xml:space="preserve"> rating would not be supported by the parameters of the code</w:t>
      </w:r>
      <w:r w:rsidR="005C5E38">
        <w:rPr>
          <w:color w:val="000000"/>
        </w:rPr>
        <w:t xml:space="preserve">.  </w:t>
      </w:r>
      <w:r w:rsidR="000149B7">
        <w:rPr>
          <w:bCs/>
          <w:color w:val="000000"/>
          <w:szCs w:val="24"/>
        </w:rPr>
        <w:t xml:space="preserve">Application of §4.59 is furthermore not endorsed by TL 04-22; </w:t>
      </w:r>
      <w:r w:rsidR="000149B7">
        <w:rPr>
          <w:bCs/>
          <w:color w:val="000000"/>
          <w:szCs w:val="24"/>
        </w:rPr>
        <w:lastRenderedPageBreak/>
        <w:t>nor, is additional rating for codes not based on limitation of motion as with 5259 (</w:t>
      </w:r>
      <w:r w:rsidR="000149B7">
        <w:rPr>
          <w:color w:val="000000"/>
        </w:rPr>
        <w:t xml:space="preserve">cartilage removal).  </w:t>
      </w:r>
      <w:r w:rsidR="00417999" w:rsidRPr="00417999">
        <w:rPr>
          <w:bCs/>
          <w:color w:val="000000"/>
          <w:szCs w:val="24"/>
        </w:rPr>
        <w:t xml:space="preserve">After due deliberation, considering all of the evidence and mindful of VASRD §4.3 (reasonable doubt), the Board concluded that there was insufficient cause to recommend a change in the PEB adjudication for the </w:t>
      </w:r>
      <w:r w:rsidR="00417999">
        <w:rPr>
          <w:bCs/>
          <w:color w:val="000000"/>
          <w:szCs w:val="24"/>
        </w:rPr>
        <w:t>left knee</w:t>
      </w:r>
      <w:r w:rsidR="00417999" w:rsidRPr="00417999">
        <w:rPr>
          <w:bCs/>
          <w:color w:val="000000"/>
          <w:szCs w:val="24"/>
        </w:rPr>
        <w:t xml:space="preserve"> condition.</w:t>
      </w:r>
    </w:p>
    <w:p w:rsidR="00AD2379" w:rsidRPr="009A7578" w:rsidRDefault="00AD2379" w:rsidP="00BF0E94">
      <w:pPr>
        <w:jc w:val="left"/>
        <w:rPr>
          <w:rFonts w:eastAsia="HiddenHorzOCR"/>
          <w:color w:val="000000"/>
          <w:highlight w:val="magenta"/>
          <w:u w:val="single"/>
        </w:rPr>
      </w:pPr>
    </w:p>
    <w:p w:rsidR="00AD2379" w:rsidRPr="001F29F9" w:rsidRDefault="00AD2379" w:rsidP="009A7578">
      <w:pPr>
        <w:jc w:val="both"/>
        <w:rPr>
          <w:color w:val="000000"/>
        </w:rPr>
      </w:pPr>
      <w:proofErr w:type="gramStart"/>
      <w:r w:rsidRPr="001F29F9">
        <w:rPr>
          <w:rFonts w:eastAsia="HiddenHorzOCR"/>
          <w:color w:val="000000"/>
          <w:u w:val="single"/>
        </w:rPr>
        <w:t>Other PEB Conditions</w:t>
      </w:r>
      <w:r w:rsidRPr="001F29F9">
        <w:rPr>
          <w:rFonts w:eastAsia="HiddenHorzOCR"/>
          <w:color w:val="000000"/>
        </w:rPr>
        <w:t>.</w:t>
      </w:r>
      <w:proofErr w:type="gramEnd"/>
      <w:r w:rsidRPr="001F29F9">
        <w:rPr>
          <w:rFonts w:eastAsia="HiddenHorzOCR"/>
          <w:color w:val="000000"/>
        </w:rPr>
        <w:t xml:space="preserve"> </w:t>
      </w:r>
      <w:r w:rsidRPr="001F29F9">
        <w:rPr>
          <w:color w:val="000000"/>
        </w:rPr>
        <w:t xml:space="preserve">The other conditions forwarded by the MEB and adjudicated as not unfitting by the PEB were </w:t>
      </w:r>
      <w:r w:rsidRPr="00D8352E">
        <w:rPr>
          <w:color w:val="000000"/>
        </w:rPr>
        <w:t xml:space="preserve">prostate </w:t>
      </w:r>
      <w:proofErr w:type="spellStart"/>
      <w:r w:rsidRPr="00D8352E">
        <w:rPr>
          <w:color w:val="000000"/>
        </w:rPr>
        <w:t>adenocarcinoma</w:t>
      </w:r>
      <w:proofErr w:type="spellEnd"/>
      <w:r w:rsidRPr="00D8352E">
        <w:rPr>
          <w:color w:val="000000"/>
        </w:rPr>
        <w:t xml:space="preserve">, urinary incontinence </w:t>
      </w:r>
      <w:r w:rsidR="00417999">
        <w:rPr>
          <w:color w:val="000000"/>
        </w:rPr>
        <w:t>as a surgical residual of</w:t>
      </w:r>
      <w:r w:rsidRPr="00D8352E">
        <w:rPr>
          <w:color w:val="000000"/>
        </w:rPr>
        <w:t xml:space="preserve"> prostatectomy, essential hypertension and </w:t>
      </w:r>
      <w:proofErr w:type="spellStart"/>
      <w:r w:rsidRPr="00D8352E">
        <w:rPr>
          <w:color w:val="000000"/>
        </w:rPr>
        <w:t>hyperlipidemia</w:t>
      </w:r>
      <w:proofErr w:type="spellEnd"/>
      <w:r w:rsidRPr="00D8352E">
        <w:rPr>
          <w:color w:val="000000"/>
        </w:rPr>
        <w:t xml:space="preserve">. </w:t>
      </w:r>
      <w:r w:rsidR="00417999">
        <w:rPr>
          <w:color w:val="000000"/>
        </w:rPr>
        <w:t xml:space="preserve"> </w:t>
      </w:r>
      <w:r w:rsidR="00607AC8">
        <w:rPr>
          <w:color w:val="000000"/>
        </w:rPr>
        <w:t xml:space="preserve">The CI underwent a </w:t>
      </w:r>
      <w:r w:rsidR="00607AC8" w:rsidRPr="00D8352E">
        <w:rPr>
          <w:color w:val="000000"/>
        </w:rPr>
        <w:t xml:space="preserve">prostatectomy </w:t>
      </w:r>
      <w:r w:rsidR="008734E7">
        <w:rPr>
          <w:color w:val="000000"/>
        </w:rPr>
        <w:t xml:space="preserve">(non-nerve sparing) </w:t>
      </w:r>
      <w:r w:rsidR="00607AC8">
        <w:rPr>
          <w:color w:val="000000"/>
        </w:rPr>
        <w:t xml:space="preserve">11 months prior to separation, following a diagnosis of early stage cancer.  A post-op note 2 months later documented a good recovery without </w:t>
      </w:r>
      <w:proofErr w:type="spellStart"/>
      <w:r w:rsidR="00607AC8">
        <w:rPr>
          <w:color w:val="000000"/>
        </w:rPr>
        <w:t>sequelae</w:t>
      </w:r>
      <w:proofErr w:type="spellEnd"/>
      <w:r w:rsidR="001F294A">
        <w:rPr>
          <w:color w:val="000000"/>
        </w:rPr>
        <w:t>,</w:t>
      </w:r>
      <w:r w:rsidR="008734E7">
        <w:rPr>
          <w:color w:val="000000"/>
        </w:rPr>
        <w:t xml:space="preserve"> except for the need for erectile adjuncts and </w:t>
      </w:r>
      <w:r w:rsidR="001F294A">
        <w:rPr>
          <w:color w:val="000000"/>
        </w:rPr>
        <w:t>mild incontinence</w:t>
      </w:r>
      <w:r w:rsidR="008734E7">
        <w:rPr>
          <w:color w:val="000000"/>
        </w:rPr>
        <w:t xml:space="preserve">.  The latter </w:t>
      </w:r>
      <w:r w:rsidR="00607AC8">
        <w:rPr>
          <w:color w:val="000000"/>
        </w:rPr>
        <w:t xml:space="preserve">was characterized as “no pad use, rare small volume leakage with strenuous </w:t>
      </w:r>
      <w:r w:rsidR="008734E7">
        <w:rPr>
          <w:color w:val="000000"/>
        </w:rPr>
        <w:t>maneuvers</w:t>
      </w:r>
      <w:r w:rsidR="00467DF1">
        <w:rPr>
          <w:color w:val="000000"/>
        </w:rPr>
        <w:t>.</w:t>
      </w:r>
      <w:r w:rsidR="008734E7">
        <w:rPr>
          <w:color w:val="000000"/>
        </w:rPr>
        <w:t xml:space="preserve">” The hypertension was controlled on medication, and </w:t>
      </w:r>
      <w:proofErr w:type="spellStart"/>
      <w:r w:rsidR="008734E7">
        <w:rPr>
          <w:color w:val="000000"/>
        </w:rPr>
        <w:t>hyperlipidemia</w:t>
      </w:r>
      <w:proofErr w:type="spellEnd"/>
      <w:r w:rsidR="008734E7">
        <w:rPr>
          <w:color w:val="000000"/>
        </w:rPr>
        <w:t xml:space="preserve"> is not a VASRD ratable disability.  </w:t>
      </w:r>
      <w:r w:rsidRPr="00D8352E">
        <w:rPr>
          <w:color w:val="000000"/>
        </w:rPr>
        <w:t>None of these conditions were profiled, implicated in the commander’s statement or noted as failing retention standards.</w:t>
      </w:r>
      <w:r w:rsidRPr="001F29F9">
        <w:rPr>
          <w:color w:val="000000"/>
        </w:rPr>
        <w:t xml:space="preserve"> </w:t>
      </w:r>
      <w:r w:rsidR="00417999">
        <w:rPr>
          <w:color w:val="000000"/>
        </w:rPr>
        <w:t xml:space="preserve"> </w:t>
      </w:r>
      <w:r w:rsidRPr="001F29F9">
        <w:rPr>
          <w:color w:val="000000"/>
        </w:rPr>
        <w:t xml:space="preserve">All were reviewed by the </w:t>
      </w:r>
      <w:r w:rsidR="00467DF1">
        <w:rPr>
          <w:color w:val="000000"/>
        </w:rPr>
        <w:t>a</w:t>
      </w:r>
      <w:r w:rsidR="00417999" w:rsidRPr="001F29F9">
        <w:rPr>
          <w:color w:val="000000"/>
        </w:rPr>
        <w:t xml:space="preserve">ction </w:t>
      </w:r>
      <w:r w:rsidR="00467DF1">
        <w:rPr>
          <w:color w:val="000000"/>
        </w:rPr>
        <w:t>o</w:t>
      </w:r>
      <w:r w:rsidR="00417999" w:rsidRPr="001F29F9">
        <w:rPr>
          <w:color w:val="000000"/>
        </w:rPr>
        <w:t xml:space="preserve">fficer </w:t>
      </w:r>
      <w:r w:rsidRPr="001F29F9">
        <w:rPr>
          <w:color w:val="000000"/>
        </w:rPr>
        <w:t xml:space="preserve">and considered by the Board. </w:t>
      </w:r>
      <w:r w:rsidR="00607AC8">
        <w:rPr>
          <w:color w:val="000000"/>
        </w:rPr>
        <w:t xml:space="preserve"> </w:t>
      </w:r>
      <w:r w:rsidRPr="001F29F9">
        <w:rPr>
          <w:color w:val="000000"/>
        </w:rPr>
        <w:t>There was no indication from the record that any of these conditions significantly interfered with satisfactory duty performance. All evidence considered</w:t>
      </w:r>
      <w:proofErr w:type="gramStart"/>
      <w:r w:rsidRPr="001F29F9">
        <w:rPr>
          <w:color w:val="000000"/>
        </w:rPr>
        <w:t>,</w:t>
      </w:r>
      <w:proofErr w:type="gramEnd"/>
      <w:r w:rsidRPr="001F29F9">
        <w:rPr>
          <w:color w:val="000000"/>
        </w:rPr>
        <w:t xml:space="preserve"> there is not reasonable doubt in the CI’s favor supporting </w:t>
      </w:r>
      <w:proofErr w:type="spellStart"/>
      <w:r w:rsidRPr="001F29F9">
        <w:rPr>
          <w:color w:val="000000"/>
        </w:rPr>
        <w:t>recharacterization</w:t>
      </w:r>
      <w:proofErr w:type="spellEnd"/>
      <w:r w:rsidRPr="001F29F9">
        <w:rPr>
          <w:color w:val="000000"/>
        </w:rPr>
        <w:t xml:space="preserve"> of the PEB fitness adjudication for any of the stated conditions.</w:t>
      </w:r>
    </w:p>
    <w:p w:rsidR="00AD2379" w:rsidRPr="009A7578" w:rsidRDefault="00AD2379" w:rsidP="00BF0E94">
      <w:pPr>
        <w:jc w:val="both"/>
        <w:rPr>
          <w:color w:val="000000"/>
          <w:highlight w:val="magenta"/>
        </w:rPr>
      </w:pPr>
    </w:p>
    <w:p w:rsidR="00AD2379" w:rsidRPr="001F29F9" w:rsidRDefault="00AD2379" w:rsidP="00A02AA8">
      <w:pPr>
        <w:jc w:val="both"/>
        <w:rPr>
          <w:color w:val="000000"/>
        </w:rPr>
      </w:pPr>
      <w:proofErr w:type="gramStart"/>
      <w:r w:rsidRPr="00D8352E">
        <w:rPr>
          <w:color w:val="000000"/>
          <w:u w:val="single"/>
        </w:rPr>
        <w:t>Remaining Conditions.</w:t>
      </w:r>
      <w:proofErr w:type="gramEnd"/>
      <w:r w:rsidRPr="00D8352E">
        <w:rPr>
          <w:color w:val="000000"/>
        </w:rPr>
        <w:t xml:space="preserve"> Several additional non-acute conditions or medical complaints were also documented. </w:t>
      </w:r>
      <w:r w:rsidR="00607AC8" w:rsidRPr="00607AC8">
        <w:rPr>
          <w:color w:val="000000"/>
        </w:rPr>
        <w:t>None of these conditions were significantly clinically or occupationally active during the MEB period; none carried attached profiles; and, none were implicated in the c</w:t>
      </w:r>
      <w:r w:rsidR="00607AC8">
        <w:rPr>
          <w:color w:val="000000"/>
        </w:rPr>
        <w:t>ommander’s statement.</w:t>
      </w:r>
      <w:r w:rsidR="00607AC8" w:rsidRPr="00607AC8">
        <w:rPr>
          <w:color w:val="000000"/>
        </w:rPr>
        <w:t xml:space="preserve">  These conditions were reviewed by the </w:t>
      </w:r>
      <w:r w:rsidR="00467DF1">
        <w:rPr>
          <w:color w:val="000000"/>
        </w:rPr>
        <w:t>a</w:t>
      </w:r>
      <w:r w:rsidR="00607AC8" w:rsidRPr="00607AC8">
        <w:rPr>
          <w:color w:val="000000"/>
        </w:rPr>
        <w:t xml:space="preserve">ction </w:t>
      </w:r>
      <w:r w:rsidR="00467DF1">
        <w:rPr>
          <w:color w:val="000000"/>
        </w:rPr>
        <w:t>o</w:t>
      </w:r>
      <w:r w:rsidR="00607AC8" w:rsidRPr="00607AC8">
        <w:rPr>
          <w:color w:val="000000"/>
        </w:rPr>
        <w:t xml:space="preserve">fficer and considered by the Board.  </w:t>
      </w:r>
      <w:r w:rsidRPr="00D8352E">
        <w:rPr>
          <w:color w:val="000000"/>
        </w:rPr>
        <w:t xml:space="preserve">It was determined that none could be argued as unfitting and subject to separation rating. </w:t>
      </w:r>
      <w:r w:rsidR="00607AC8">
        <w:rPr>
          <w:color w:val="000000"/>
        </w:rPr>
        <w:t xml:space="preserve"> </w:t>
      </w:r>
      <w:r w:rsidRPr="00D8352E">
        <w:rPr>
          <w:color w:val="000000"/>
        </w:rPr>
        <w:t>The Board therefore has no reasonable basis for recommending any additional unfitting conditions for separation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Pr="003C53E8" w:rsidRDefault="00AD2379" w:rsidP="009A7578">
      <w:pPr>
        <w:jc w:val="both"/>
        <w:rPr>
          <w:rFonts w:cs="Times New Roman"/>
          <w:color w:val="auto"/>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w:t>
      </w:r>
      <w:proofErr w:type="spellStart"/>
      <w:r w:rsidRPr="00D8352E">
        <w:rPr>
          <w:color w:val="000000"/>
        </w:rPr>
        <w:t>DoD</w:t>
      </w:r>
      <w:proofErr w:type="spellEnd"/>
      <w:r w:rsidRPr="00D8352E">
        <w:rPr>
          <w:color w:val="000000"/>
        </w:rPr>
        <w:t xml:space="preserve">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w:t>
      </w:r>
      <w:r w:rsidRPr="000149B7">
        <w:rPr>
          <w:rFonts w:cs="Times New Roman"/>
          <w:color w:val="auto"/>
        </w:rPr>
        <w:t>surmise from the record or PEB ruling in this case that any prerogatives outside the VASRD were exercised.</w:t>
      </w:r>
      <w:r w:rsidR="008734E7" w:rsidRPr="000149B7">
        <w:rPr>
          <w:rFonts w:cs="Times New Roman"/>
          <w:color w:val="auto"/>
        </w:rPr>
        <w:t xml:space="preserve"> </w:t>
      </w:r>
      <w:r w:rsidRPr="000149B7">
        <w:rPr>
          <w:rFonts w:cs="Times New Roman"/>
          <w:color w:val="auto"/>
        </w:rPr>
        <w:t xml:space="preserve"> In the matter of the left knee condition and IAW VASRD §4.71a, the Board unanimously recommends no change in the PEB adjudication. </w:t>
      </w:r>
      <w:r w:rsidR="008734E7" w:rsidRPr="000149B7">
        <w:rPr>
          <w:rFonts w:cs="Times New Roman"/>
          <w:color w:val="auto"/>
        </w:rPr>
        <w:t xml:space="preserve"> </w:t>
      </w:r>
      <w:r w:rsidRPr="000149B7">
        <w:rPr>
          <w:rFonts w:cs="Times New Roman"/>
          <w:color w:val="auto"/>
        </w:rPr>
        <w:t xml:space="preserve">In the matter of the </w:t>
      </w:r>
      <w:r w:rsidRPr="000149B7">
        <w:rPr>
          <w:color w:val="000000"/>
        </w:rPr>
        <w:t xml:space="preserve">prostate </w:t>
      </w:r>
      <w:proofErr w:type="spellStart"/>
      <w:r w:rsidRPr="000149B7">
        <w:rPr>
          <w:color w:val="000000"/>
        </w:rPr>
        <w:t>adenocarci</w:t>
      </w:r>
      <w:r w:rsidR="008734E7" w:rsidRPr="000149B7">
        <w:rPr>
          <w:color w:val="000000"/>
        </w:rPr>
        <w:t>noma</w:t>
      </w:r>
      <w:proofErr w:type="spellEnd"/>
      <w:r w:rsidR="008734E7" w:rsidRPr="000149B7">
        <w:rPr>
          <w:color w:val="000000"/>
        </w:rPr>
        <w:t>, urinary</w:t>
      </w:r>
      <w:r w:rsidR="008734E7">
        <w:rPr>
          <w:color w:val="000000"/>
        </w:rPr>
        <w:t xml:space="preserve"> incontinence post-</w:t>
      </w:r>
      <w:r w:rsidRPr="00D8352E">
        <w:rPr>
          <w:color w:val="000000"/>
        </w:rPr>
        <w:t xml:space="preserve">prostatectomy, essential hypertension and </w:t>
      </w:r>
      <w:proofErr w:type="spellStart"/>
      <w:r w:rsidRPr="00D8352E">
        <w:rPr>
          <w:color w:val="000000"/>
        </w:rPr>
        <w:t>hyperlipidemia</w:t>
      </w:r>
      <w:proofErr w:type="spellEnd"/>
      <w:r w:rsidR="008734E7">
        <w:rPr>
          <w:rFonts w:cs="Times New Roman"/>
          <w:color w:val="auto"/>
        </w:rPr>
        <w:t xml:space="preserve"> conditions;</w:t>
      </w:r>
      <w:r w:rsidRPr="00D8352E">
        <w:rPr>
          <w:rFonts w:cs="Times New Roman"/>
          <w:color w:val="auto"/>
        </w:rPr>
        <w:t xml:space="preserve"> the Board unanimously recommends no change from the PEB adjudications as not unfitting. The Board unanimously agrees that there were no other conditions eligible for Board consideration which could be recommended as additionally unfitting for rating at separation.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Pr="001F29F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AD2379" w:rsidP="00BF0E94">
            <w:pPr>
              <w:tabs>
                <w:tab w:val="left" w:pos="288"/>
                <w:tab w:val="left" w:pos="4752"/>
              </w:tabs>
              <w:jc w:val="left"/>
              <w:rPr>
                <w:color w:val="000000"/>
              </w:rPr>
            </w:pPr>
            <w:r w:rsidRPr="000D5DBE">
              <w:rPr>
                <w:color w:val="000000"/>
              </w:rPr>
              <w:t>Left Knee Instability</w:t>
            </w:r>
          </w:p>
        </w:tc>
        <w:tc>
          <w:tcPr>
            <w:tcW w:w="1530" w:type="dxa"/>
            <w:vAlign w:val="center"/>
          </w:tcPr>
          <w:p w:rsidR="00AD2379" w:rsidRPr="000D5DBE" w:rsidRDefault="00AD2379" w:rsidP="00BF0E94">
            <w:pPr>
              <w:tabs>
                <w:tab w:val="left" w:pos="288"/>
                <w:tab w:val="left" w:pos="4752"/>
              </w:tabs>
              <w:rPr>
                <w:color w:val="000000"/>
              </w:rPr>
            </w:pPr>
            <w:r w:rsidRPr="000D5DBE">
              <w:rPr>
                <w:color w:val="000000"/>
              </w:rPr>
              <w:t>5257</w:t>
            </w:r>
          </w:p>
        </w:tc>
        <w:tc>
          <w:tcPr>
            <w:tcW w:w="1026" w:type="dxa"/>
            <w:vAlign w:val="center"/>
          </w:tcPr>
          <w:p w:rsidR="00AD2379" w:rsidRPr="000D5DBE" w:rsidRDefault="00AD2379" w:rsidP="00BF0E94">
            <w:pPr>
              <w:tabs>
                <w:tab w:val="left" w:pos="288"/>
                <w:tab w:val="left" w:pos="4752"/>
              </w:tabs>
              <w:rPr>
                <w:color w:val="000000"/>
              </w:rPr>
            </w:pPr>
            <w:r w:rsidRPr="000D5DBE">
              <w:rPr>
                <w:color w:val="000000"/>
              </w:rPr>
              <w:t>20%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20%</w:t>
            </w:r>
          </w:p>
        </w:tc>
      </w:tr>
    </w:tbl>
    <w:p w:rsidR="00F025A0" w:rsidRDefault="00F025A0">
      <w:pPr>
        <w:spacing w:line="240" w:lineRule="auto"/>
        <w:jc w:val="left"/>
        <w:rPr>
          <w:color w:val="000000"/>
        </w:rPr>
      </w:pPr>
      <w:r>
        <w:rPr>
          <w:color w:val="000000"/>
        </w:rPr>
        <w:br w:type="page"/>
      </w:r>
    </w:p>
    <w:p w:rsidR="00AD2379" w:rsidRPr="001F29F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AD2379" w:rsidRPr="001F29F9" w:rsidRDefault="00AD2379" w:rsidP="00B3575C">
      <w:pPr>
        <w:tabs>
          <w:tab w:val="left" w:pos="288"/>
          <w:tab w:val="left" w:pos="4752"/>
        </w:tabs>
        <w:spacing w:line="440" w:lineRule="exact"/>
        <w:jc w:val="both"/>
        <w:rPr>
          <w:color w:val="000000"/>
        </w:rPr>
      </w:pPr>
      <w:r w:rsidRPr="001F29F9">
        <w:rPr>
          <w:color w:val="000000"/>
        </w:rPr>
        <w:t>Exhibit A.  DD Fo</w:t>
      </w:r>
      <w:r w:rsidR="00467DF1">
        <w:rPr>
          <w:color w:val="000000"/>
        </w:rPr>
        <w:t>rm 294, dated 20110804, w/</w:t>
      </w:r>
      <w:proofErr w:type="spellStart"/>
      <w:r w:rsidR="00467DF1">
        <w:rPr>
          <w:color w:val="000000"/>
        </w:rPr>
        <w:t>atchs</w:t>
      </w:r>
      <w:proofErr w:type="spellEnd"/>
    </w:p>
    <w:p w:rsidR="00AD2379" w:rsidRPr="001F29F9" w:rsidRDefault="00AD2379" w:rsidP="00BF0E94">
      <w:pPr>
        <w:tabs>
          <w:tab w:val="left" w:pos="288"/>
          <w:tab w:val="left" w:pos="4752"/>
        </w:tabs>
        <w:jc w:val="both"/>
        <w:rPr>
          <w:color w:val="000000"/>
        </w:rPr>
      </w:pPr>
      <w:r w:rsidRPr="001F29F9">
        <w:rPr>
          <w:color w:val="000000"/>
        </w:rPr>
        <w:t>Exhib</w:t>
      </w:r>
      <w:r w:rsidR="00467DF1">
        <w:rPr>
          <w:color w:val="000000"/>
        </w:rPr>
        <w:t>it B.  Service Treatment Record</w:t>
      </w:r>
    </w:p>
    <w:p w:rsidR="00AD2379" w:rsidRPr="001F29F9" w:rsidRDefault="00AD2379" w:rsidP="00BF0E94">
      <w:pPr>
        <w:tabs>
          <w:tab w:val="left" w:pos="288"/>
          <w:tab w:val="left" w:pos="4752"/>
        </w:tabs>
        <w:jc w:val="both"/>
        <w:rPr>
          <w:color w:val="000000"/>
        </w:rPr>
      </w:pPr>
      <w:r w:rsidRPr="001F29F9">
        <w:rPr>
          <w:color w:val="000000"/>
        </w:rPr>
        <w:t>Exhibit C.  Department of Ve</w:t>
      </w:r>
      <w:r w:rsidR="00467DF1">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BC03EE">
        <w:rPr>
          <w:color w:val="000000"/>
        </w:rPr>
        <w:t>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BC03EE" w:rsidRDefault="00AD2379" w:rsidP="00BF0E94">
      <w:pPr>
        <w:tabs>
          <w:tab w:val="left" w:pos="0"/>
          <w:tab w:val="left" w:pos="4320"/>
        </w:tabs>
        <w:jc w:val="both"/>
        <w:rPr>
          <w:color w:val="000000"/>
        </w:rPr>
      </w:pPr>
      <w:r w:rsidRPr="001F29F9">
        <w:rPr>
          <w:color w:val="000000"/>
        </w:rPr>
        <w:tab/>
        <w:t xml:space="preserve">           Physical Disability Board of Review</w:t>
      </w:r>
    </w:p>
    <w:p w:rsidR="00BC03EE" w:rsidRDefault="00BC03EE">
      <w:pPr>
        <w:spacing w:line="240" w:lineRule="auto"/>
        <w:jc w:val="left"/>
        <w:rPr>
          <w:color w:val="000000"/>
        </w:rPr>
      </w:pPr>
      <w:r>
        <w:rPr>
          <w:color w:val="000000"/>
        </w:rPr>
        <w:br w:type="page"/>
      </w:r>
    </w:p>
    <w:p w:rsidR="00BC03EE" w:rsidRDefault="00BC03EE" w:rsidP="00BC03EE">
      <w:pPr>
        <w:sectPr w:rsidR="00BC03EE">
          <w:pgSz w:w="12240" w:h="15840"/>
          <w:pgMar w:top="2160" w:right="1440" w:bottom="1440" w:left="1440" w:header="720" w:footer="720" w:gutter="0"/>
          <w:cols w:space="720"/>
        </w:sectPr>
      </w:pPr>
    </w:p>
    <w:p w:rsidR="00BC03EE" w:rsidRDefault="00BC03EE" w:rsidP="00BC03EE">
      <w:pPr>
        <w:pStyle w:val="Header"/>
        <w:tabs>
          <w:tab w:val="left" w:pos="720"/>
        </w:tabs>
        <w:jc w:val="left"/>
      </w:pPr>
      <w:r>
        <w:lastRenderedPageBreak/>
        <w:t>SFMR-RB</w:t>
      </w:r>
      <w:r>
        <w:tab/>
      </w:r>
      <w:r>
        <w:tab/>
      </w:r>
      <w:r>
        <w:tab/>
      </w:r>
      <w:r>
        <w:tab/>
      </w:r>
      <w:r>
        <w:tab/>
      </w:r>
      <w:r>
        <w:tab/>
      </w:r>
      <w:r>
        <w:tab/>
      </w:r>
      <w:r>
        <w:tab/>
      </w:r>
      <w:r>
        <w:tab/>
      </w:r>
    </w:p>
    <w:p w:rsidR="00BC03EE" w:rsidRDefault="00BC03EE" w:rsidP="00BC03EE">
      <w:pPr>
        <w:pStyle w:val="Header"/>
        <w:tabs>
          <w:tab w:val="left" w:pos="720"/>
        </w:tabs>
        <w:jc w:val="left"/>
      </w:pPr>
    </w:p>
    <w:p w:rsidR="00BC03EE" w:rsidRDefault="00BC03EE" w:rsidP="00BC03EE">
      <w:pPr>
        <w:jc w:val="left"/>
      </w:pPr>
    </w:p>
    <w:p w:rsidR="00BC03EE" w:rsidRDefault="00BC03EE" w:rsidP="00BC03EE">
      <w:pPr>
        <w:jc w:val="left"/>
      </w:pPr>
      <w:r>
        <w:t xml:space="preserve">MEMORANDUM FOR Commander, US Army Physical Disability Agency </w:t>
      </w:r>
    </w:p>
    <w:p w:rsidR="00BC03EE" w:rsidRDefault="00BC03EE" w:rsidP="00BC03EE">
      <w:pPr>
        <w:jc w:val="left"/>
      </w:pPr>
      <w:r>
        <w:t xml:space="preserve">(TAPD-ZB </w:t>
      </w:r>
      <w:proofErr w:type="gramStart"/>
      <w:r>
        <w:t>/  )</w:t>
      </w:r>
      <w:proofErr w:type="gramEnd"/>
      <w:r>
        <w:t>, 2900 Crystal Drive, Suite 300, Arlington, VA  22202</w:t>
      </w:r>
    </w:p>
    <w:p w:rsidR="00BC03EE" w:rsidRDefault="00BC03EE" w:rsidP="00BC03EE">
      <w:pPr>
        <w:jc w:val="left"/>
      </w:pPr>
    </w:p>
    <w:p w:rsidR="00BC03EE" w:rsidRDefault="00BC03EE" w:rsidP="00BC03EE">
      <w:pPr>
        <w:ind w:right="-180"/>
        <w:jc w:val="left"/>
      </w:pPr>
      <w:r>
        <w:t>SUBJECT:  Department of Defense Physical Disability Board of Review Recommendation for XXXXXXXXXXXXXXXXXXXXXXXXX, AR20120004763 (PD201100657)</w:t>
      </w:r>
    </w:p>
    <w:p w:rsidR="00BC03EE" w:rsidRDefault="00BC03EE" w:rsidP="00BC03EE">
      <w:pPr>
        <w:pStyle w:val="Header"/>
        <w:tabs>
          <w:tab w:val="left" w:pos="720"/>
        </w:tabs>
        <w:jc w:val="left"/>
      </w:pPr>
    </w:p>
    <w:p w:rsidR="00BC03EE" w:rsidRDefault="00BC03EE" w:rsidP="00BC03EE">
      <w:pPr>
        <w:jc w:val="left"/>
      </w:pPr>
    </w:p>
    <w:p w:rsidR="00BC03EE" w:rsidRDefault="00BC03EE" w:rsidP="00BC03E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C03EE" w:rsidRDefault="00BC03EE" w:rsidP="00BC03EE">
      <w:pPr>
        <w:jc w:val="left"/>
      </w:pPr>
      <w:r>
        <w:t>This decision is final.  The individual concerned, counsel (if any), and any Members of Congress who have shown interest in this application have been notified of this decision by mail.</w:t>
      </w:r>
    </w:p>
    <w:p w:rsidR="00BC03EE" w:rsidRDefault="00BC03EE" w:rsidP="00BC03EE">
      <w:pPr>
        <w:jc w:val="left"/>
      </w:pPr>
    </w:p>
    <w:p w:rsidR="00BC03EE" w:rsidRDefault="00BC03EE" w:rsidP="00BC03EE">
      <w:pPr>
        <w:jc w:val="left"/>
      </w:pPr>
      <w:r>
        <w:t xml:space="preserve"> BY ORDER OF THE SECRETARY OF THE ARMY:</w:t>
      </w:r>
    </w:p>
    <w:p w:rsidR="00BC03EE" w:rsidRDefault="00BC03EE" w:rsidP="00BC03EE">
      <w:pPr>
        <w:jc w:val="left"/>
      </w:pPr>
    </w:p>
    <w:p w:rsidR="00BC03EE" w:rsidRDefault="00BC03EE" w:rsidP="00BC03EE">
      <w:pPr>
        <w:jc w:val="left"/>
      </w:pPr>
    </w:p>
    <w:p w:rsidR="00BC03EE" w:rsidRDefault="00BC03EE" w:rsidP="00BC03EE">
      <w:pPr>
        <w:pStyle w:val="Header"/>
        <w:tabs>
          <w:tab w:val="left" w:pos="720"/>
        </w:tabs>
        <w:jc w:val="left"/>
      </w:pPr>
    </w:p>
    <w:p w:rsidR="00BC03EE" w:rsidRDefault="00BC03EE" w:rsidP="00BC03EE">
      <w:pPr>
        <w:jc w:val="left"/>
      </w:pPr>
    </w:p>
    <w:p w:rsidR="00BC03EE" w:rsidRDefault="00BC03EE" w:rsidP="00BC03EE">
      <w:pPr>
        <w:jc w:val="left"/>
      </w:pPr>
      <w:bookmarkStart w:id="0" w:name="OLE_LINK4"/>
      <w:bookmarkStart w:id="1" w:name="OLE_LINK3"/>
      <w:r>
        <w:t>Encl</w:t>
      </w:r>
      <w:r>
        <w:tab/>
      </w:r>
      <w:r>
        <w:tab/>
      </w:r>
      <w:r>
        <w:tab/>
      </w:r>
      <w:r>
        <w:tab/>
      </w:r>
      <w:r>
        <w:tab/>
      </w:r>
      <w:r>
        <w:tab/>
        <w:t xml:space="preserve">     XXXXXXXXXXXXXXXXX</w:t>
      </w:r>
    </w:p>
    <w:p w:rsidR="00BC03EE" w:rsidRDefault="00BC03EE" w:rsidP="00BC03EE">
      <w:pPr>
        <w:jc w:val="left"/>
      </w:pPr>
      <w:r>
        <w:tab/>
      </w:r>
      <w:r>
        <w:tab/>
      </w:r>
      <w:r>
        <w:tab/>
      </w:r>
      <w:r>
        <w:tab/>
      </w:r>
      <w:r>
        <w:tab/>
      </w:r>
      <w:r>
        <w:tab/>
        <w:t xml:space="preserve">     Deputy Assistant Secretary</w:t>
      </w:r>
    </w:p>
    <w:p w:rsidR="00BC03EE" w:rsidRDefault="00BC03EE" w:rsidP="00BC03EE">
      <w:pPr>
        <w:jc w:val="left"/>
      </w:pPr>
      <w:r>
        <w:tab/>
      </w:r>
      <w:r>
        <w:tab/>
      </w:r>
      <w:r>
        <w:tab/>
      </w:r>
      <w:r>
        <w:tab/>
      </w:r>
      <w:r>
        <w:tab/>
      </w:r>
      <w:r>
        <w:tab/>
        <w:t xml:space="preserve">         (Army Review Boards)</w:t>
      </w:r>
      <w:bookmarkEnd w:id="0"/>
      <w:bookmarkEnd w:id="1"/>
    </w:p>
    <w:p w:rsidR="00BC03EE" w:rsidRDefault="00BC03EE" w:rsidP="00BC03EE">
      <w:pPr>
        <w:jc w:val="left"/>
      </w:pPr>
    </w:p>
    <w:p w:rsidR="00BC03EE" w:rsidRDefault="00BC03EE" w:rsidP="00BC03EE">
      <w:pPr>
        <w:jc w:val="left"/>
      </w:pPr>
      <w:r>
        <w:t xml:space="preserve">CF: </w:t>
      </w:r>
    </w:p>
    <w:p w:rsidR="00BC03EE" w:rsidRDefault="00BC03EE" w:rsidP="00BC03EE">
      <w:pPr>
        <w:jc w:val="left"/>
      </w:pPr>
      <w:r>
        <w:t xml:space="preserve">(  ) </w:t>
      </w:r>
      <w:proofErr w:type="spellStart"/>
      <w:proofErr w:type="gramStart"/>
      <w:r>
        <w:t>DoD</w:t>
      </w:r>
      <w:proofErr w:type="spellEnd"/>
      <w:proofErr w:type="gramEnd"/>
      <w:r>
        <w:t xml:space="preserve"> PDBR</w:t>
      </w:r>
    </w:p>
    <w:p w:rsidR="00BC03EE" w:rsidRDefault="00BC03EE" w:rsidP="00BC03EE">
      <w:pPr>
        <w:jc w:val="left"/>
      </w:pPr>
      <w:r>
        <w:t>(  ) DVA</w:t>
      </w:r>
    </w:p>
    <w:p w:rsidR="00BC03EE" w:rsidRDefault="00BC03EE" w:rsidP="00BC03EE">
      <w:pPr>
        <w:jc w:val="left"/>
      </w:pPr>
    </w:p>
    <w:p w:rsidR="00AD2379" w:rsidRPr="001F29F9" w:rsidRDefault="00AD2379" w:rsidP="00BF0E94">
      <w:pPr>
        <w:tabs>
          <w:tab w:val="left" w:pos="0"/>
          <w:tab w:val="left" w:pos="4320"/>
        </w:tabs>
        <w:jc w:val="both"/>
        <w:rPr>
          <w:color w:val="000000"/>
        </w:rPr>
      </w:pPr>
    </w:p>
    <w:sectPr w:rsidR="00AD2379" w:rsidRPr="001F29F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C5" w:rsidRDefault="00956BC5">
      <w:r>
        <w:separator/>
      </w:r>
    </w:p>
  </w:endnote>
  <w:endnote w:type="continuationSeparator" w:id="0">
    <w:p w:rsidR="00956BC5" w:rsidRDefault="00956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BC03EE" w:rsidRPr="00BC03EE">
        <w:rPr>
          <w:noProof/>
          <w:color w:val="auto"/>
        </w:rPr>
        <w:t>5</w:t>
      </w:r>
    </w:fldSimple>
    <w:r w:rsidRPr="00374247">
      <w:rPr>
        <w:color w:val="auto"/>
      </w:rPr>
      <w:t xml:space="preserve">                                                           </w:t>
    </w:r>
    <w:r w:rsidRPr="001D64F3">
      <w:rPr>
        <w:color w:val="auto"/>
      </w:rPr>
      <w:t>PD1</w:t>
    </w:r>
    <w:r w:rsidRPr="009369A6">
      <w:rPr>
        <w:color w:val="auto"/>
      </w:rPr>
      <w:t>100657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C5" w:rsidRDefault="00956BC5">
      <w:r>
        <w:separator/>
      </w:r>
    </w:p>
  </w:footnote>
  <w:footnote w:type="continuationSeparator" w:id="0">
    <w:p w:rsidR="00956BC5" w:rsidRDefault="00956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F187C"/>
    <w:multiLevelType w:val="multilevel"/>
    <w:tmpl w:val="1C1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9B7"/>
    <w:rsid w:val="00014A47"/>
    <w:rsid w:val="00014A9E"/>
    <w:rsid w:val="00017778"/>
    <w:rsid w:val="00020941"/>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4A"/>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368A"/>
    <w:rsid w:val="0030433B"/>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4BF"/>
    <w:rsid w:val="00344A4F"/>
    <w:rsid w:val="00344D17"/>
    <w:rsid w:val="0034669F"/>
    <w:rsid w:val="003470C4"/>
    <w:rsid w:val="00351498"/>
    <w:rsid w:val="00352B22"/>
    <w:rsid w:val="00352CBF"/>
    <w:rsid w:val="00354547"/>
    <w:rsid w:val="003549F5"/>
    <w:rsid w:val="00355ACB"/>
    <w:rsid w:val="003567DE"/>
    <w:rsid w:val="003574F3"/>
    <w:rsid w:val="00357831"/>
    <w:rsid w:val="0036037D"/>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61AC"/>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6CED"/>
    <w:rsid w:val="00466EB5"/>
    <w:rsid w:val="00467592"/>
    <w:rsid w:val="00467690"/>
    <w:rsid w:val="00467A14"/>
    <w:rsid w:val="00467DF1"/>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6E90"/>
    <w:rsid w:val="004D6F2B"/>
    <w:rsid w:val="004E0248"/>
    <w:rsid w:val="004E21A3"/>
    <w:rsid w:val="004E32EA"/>
    <w:rsid w:val="004E3517"/>
    <w:rsid w:val="004E4DDE"/>
    <w:rsid w:val="004E6866"/>
    <w:rsid w:val="004F0C58"/>
    <w:rsid w:val="004F10EB"/>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7891"/>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462"/>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E38"/>
    <w:rsid w:val="005C62C2"/>
    <w:rsid w:val="005D2306"/>
    <w:rsid w:val="005D2562"/>
    <w:rsid w:val="005D2666"/>
    <w:rsid w:val="005D4548"/>
    <w:rsid w:val="005D4A74"/>
    <w:rsid w:val="005D519F"/>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07AC8"/>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0561"/>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4A8"/>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DDF"/>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498"/>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C0C"/>
    <w:rsid w:val="00952CC5"/>
    <w:rsid w:val="0095340A"/>
    <w:rsid w:val="00953AF6"/>
    <w:rsid w:val="0095423E"/>
    <w:rsid w:val="00954581"/>
    <w:rsid w:val="0095466C"/>
    <w:rsid w:val="00954E5B"/>
    <w:rsid w:val="00955100"/>
    <w:rsid w:val="00955316"/>
    <w:rsid w:val="00955E45"/>
    <w:rsid w:val="00956BC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3EE"/>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8D4"/>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503"/>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319"/>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86F"/>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1B8"/>
    <w:rsid w:val="00EF2E75"/>
    <w:rsid w:val="00EF4C74"/>
    <w:rsid w:val="00EF5268"/>
    <w:rsid w:val="00EF608E"/>
    <w:rsid w:val="00EF6C4A"/>
    <w:rsid w:val="00F0044B"/>
    <w:rsid w:val="00F00E60"/>
    <w:rsid w:val="00F020E5"/>
    <w:rsid w:val="00F025A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CA9"/>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77258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2012-09-28T18:22:00Z</dcterms:created>
  <dcterms:modified xsi:type="dcterms:W3CDTF">2012-09-28T18:22:00Z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