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670" w:rsidRPr="001F29F9" w:rsidRDefault="00540BEF" w:rsidP="00F2257A">
      <w:pPr>
        <w:rPr>
          <w:color w:val="000000" w:themeColor="text1"/>
        </w:rPr>
      </w:pPr>
      <w:r w:rsidRPr="001F29F9">
        <w:rPr>
          <w:color w:val="000000" w:themeColor="text1"/>
        </w:rPr>
        <w:t>RECORD OF PROCEEDINGS</w:t>
      </w:r>
    </w:p>
    <w:p w:rsidR="00540BEF" w:rsidRPr="001F29F9" w:rsidRDefault="00540BEF" w:rsidP="00BF0E94">
      <w:pPr>
        <w:tabs>
          <w:tab w:val="left" w:pos="288"/>
          <w:tab w:val="left" w:pos="4752"/>
        </w:tabs>
        <w:rPr>
          <w:color w:val="000000" w:themeColor="text1"/>
        </w:rPr>
      </w:pPr>
      <w:r w:rsidRPr="001F29F9">
        <w:rPr>
          <w:color w:val="000000" w:themeColor="text1"/>
        </w:rPr>
        <w:t>PHYSICAL DISABILITY BOARD OF REVIEW</w:t>
      </w:r>
    </w:p>
    <w:p w:rsidR="00540BEF" w:rsidRPr="001F29F9" w:rsidRDefault="00540BEF" w:rsidP="00BF0E94">
      <w:pPr>
        <w:tabs>
          <w:tab w:val="left" w:pos="288"/>
          <w:tab w:val="left" w:pos="4752"/>
        </w:tabs>
        <w:jc w:val="both"/>
        <w:rPr>
          <w:caps/>
          <w:color w:val="000000" w:themeColor="text1"/>
        </w:rPr>
      </w:pPr>
    </w:p>
    <w:p w:rsidR="00E0346A" w:rsidRPr="001F29F9" w:rsidRDefault="00F629C0" w:rsidP="00F2257A">
      <w:pPr>
        <w:tabs>
          <w:tab w:val="left" w:pos="288"/>
          <w:tab w:val="right" w:pos="9360"/>
        </w:tabs>
        <w:jc w:val="both"/>
        <w:rPr>
          <w:caps/>
          <w:color w:val="000000" w:themeColor="text1"/>
        </w:rPr>
      </w:pPr>
      <w:r w:rsidRPr="001F29F9">
        <w:rPr>
          <w:caps/>
          <w:color w:val="000000" w:themeColor="text1"/>
        </w:rPr>
        <w:t xml:space="preserve">NAME:  </w:t>
      </w:r>
      <w:r w:rsidR="00E415D1">
        <w:rPr>
          <w:caps/>
          <w:color w:val="000000" w:themeColor="text1"/>
        </w:rPr>
        <w:t xml:space="preserve"> </w:t>
      </w:r>
      <w:r w:rsidR="00055160">
        <w:rPr>
          <w:caps/>
          <w:color w:val="000000" w:themeColor="text1"/>
        </w:rPr>
        <w:t xml:space="preserve">                                        </w:t>
      </w:r>
      <w:r w:rsidR="00EB6565">
        <w:rPr>
          <w:caps/>
          <w:color w:val="000000" w:themeColor="text1"/>
        </w:rPr>
        <w:t xml:space="preserve">  </w:t>
      </w:r>
      <w:r w:rsidR="00F2257A">
        <w:rPr>
          <w:caps/>
          <w:color w:val="000000" w:themeColor="text1"/>
        </w:rPr>
        <w:tab/>
      </w:r>
      <w:r w:rsidR="00EB6565">
        <w:rPr>
          <w:caps/>
          <w:color w:val="000000" w:themeColor="text1"/>
        </w:rPr>
        <w:t xml:space="preserve"> </w:t>
      </w:r>
      <w:r w:rsidRPr="008A2AAC">
        <w:rPr>
          <w:caps/>
          <w:color w:val="000000" w:themeColor="text1"/>
        </w:rPr>
        <w:t xml:space="preserve">BRANCH OF SERVICE: </w:t>
      </w:r>
      <w:r w:rsidR="004C24C5" w:rsidRPr="008A2AAC">
        <w:rPr>
          <w:caps/>
          <w:color w:val="000000" w:themeColor="text1"/>
        </w:rPr>
        <w:t xml:space="preserve"> </w:t>
      </w:r>
      <w:r w:rsidR="00332DE3" w:rsidRPr="008A2AAC">
        <w:rPr>
          <w:caps/>
          <w:color w:val="000000" w:themeColor="text1"/>
        </w:rPr>
        <w:t>marine c</w:t>
      </w:r>
      <w:r w:rsidR="00332DE3" w:rsidRPr="00265B8A">
        <w:rPr>
          <w:caps/>
          <w:color w:val="000000" w:themeColor="text1"/>
        </w:rPr>
        <w:t xml:space="preserve">orps </w:t>
      </w:r>
    </w:p>
    <w:p w:rsidR="00DE3AAD" w:rsidRPr="001F29F9" w:rsidRDefault="00012733" w:rsidP="00F2257A">
      <w:pPr>
        <w:tabs>
          <w:tab w:val="left" w:pos="288"/>
          <w:tab w:val="left" w:pos="4166"/>
          <w:tab w:val="left" w:pos="4752"/>
          <w:tab w:val="right" w:pos="9360"/>
        </w:tabs>
        <w:jc w:val="both"/>
        <w:rPr>
          <w:caps/>
          <w:color w:val="000000" w:themeColor="text1"/>
        </w:rPr>
      </w:pPr>
      <w:r w:rsidRPr="001F29F9">
        <w:rPr>
          <w:caps/>
          <w:color w:val="000000" w:themeColor="text1"/>
        </w:rPr>
        <w:t>C</w:t>
      </w:r>
      <w:r w:rsidR="00DE3AAD" w:rsidRPr="001F29F9">
        <w:rPr>
          <w:caps/>
          <w:color w:val="000000" w:themeColor="text1"/>
        </w:rPr>
        <w:t>ASE NUMBER:  PD</w:t>
      </w:r>
      <w:r w:rsidR="008F58E1" w:rsidRPr="001F29F9">
        <w:rPr>
          <w:caps/>
          <w:color w:val="000000" w:themeColor="text1"/>
        </w:rPr>
        <w:t>1</w:t>
      </w:r>
      <w:r w:rsidR="008F58E1" w:rsidRPr="008A2AAC">
        <w:rPr>
          <w:caps/>
          <w:color w:val="000000" w:themeColor="text1"/>
        </w:rPr>
        <w:t>1</w:t>
      </w:r>
      <w:r w:rsidR="00DE3AAD" w:rsidRPr="008A2AAC">
        <w:rPr>
          <w:caps/>
          <w:color w:val="000000" w:themeColor="text1"/>
        </w:rPr>
        <w:t>00</w:t>
      </w:r>
      <w:r w:rsidR="005A5A4F" w:rsidRPr="008A2AAC">
        <w:rPr>
          <w:caps/>
          <w:color w:val="000000" w:themeColor="text1"/>
        </w:rPr>
        <w:t>655</w:t>
      </w:r>
      <w:r w:rsidR="00055160">
        <w:rPr>
          <w:caps/>
          <w:color w:val="000000" w:themeColor="text1"/>
        </w:rPr>
        <w:tab/>
        <w:t xml:space="preserve">        </w:t>
      </w:r>
      <w:r w:rsidR="00EB6565">
        <w:rPr>
          <w:caps/>
          <w:color w:val="000000" w:themeColor="text1"/>
        </w:rPr>
        <w:t xml:space="preserve"> </w:t>
      </w:r>
      <w:r w:rsidR="00055160">
        <w:rPr>
          <w:caps/>
          <w:color w:val="000000" w:themeColor="text1"/>
        </w:rPr>
        <w:t xml:space="preserve"> </w:t>
      </w:r>
      <w:r w:rsidR="00F2257A">
        <w:rPr>
          <w:caps/>
          <w:color w:val="000000" w:themeColor="text1"/>
        </w:rPr>
        <w:tab/>
      </w:r>
      <w:r w:rsidR="00F2257A">
        <w:rPr>
          <w:caps/>
          <w:color w:val="000000" w:themeColor="text1"/>
        </w:rPr>
        <w:tab/>
      </w:r>
      <w:r w:rsidR="00055160" w:rsidRPr="001F29F9">
        <w:rPr>
          <w:rFonts w:cs="Times New Roman"/>
          <w:color w:val="000000" w:themeColor="text1"/>
          <w:szCs w:val="24"/>
        </w:rPr>
        <w:t xml:space="preserve">DATE OF PLACEMENT ON TDRL:  </w:t>
      </w:r>
      <w:r w:rsidR="00055160" w:rsidRPr="001F29F9">
        <w:rPr>
          <w:color w:val="000000" w:themeColor="text1"/>
        </w:rPr>
        <w:t>200</w:t>
      </w:r>
      <w:r w:rsidR="00055160">
        <w:rPr>
          <w:color w:val="000000" w:themeColor="text1"/>
        </w:rPr>
        <w:t>40701</w:t>
      </w:r>
      <w:r w:rsidR="00055160" w:rsidRPr="00055160">
        <w:rPr>
          <w:rFonts w:cs="Times New Roman"/>
          <w:caps/>
          <w:color w:val="000000" w:themeColor="text1"/>
          <w:szCs w:val="24"/>
        </w:rPr>
        <w:t xml:space="preserve"> </w:t>
      </w:r>
    </w:p>
    <w:p w:rsidR="003B2143" w:rsidRPr="001F29F9" w:rsidRDefault="00055160" w:rsidP="00F2257A">
      <w:pPr>
        <w:tabs>
          <w:tab w:val="left" w:pos="288"/>
          <w:tab w:val="right" w:pos="9360"/>
        </w:tabs>
        <w:jc w:val="both"/>
        <w:rPr>
          <w:color w:val="000000" w:themeColor="text1"/>
        </w:rPr>
      </w:pPr>
      <w:r>
        <w:rPr>
          <w:caps/>
          <w:color w:val="000000" w:themeColor="text1"/>
        </w:rPr>
        <w:t>BOARD DATE:  2012</w:t>
      </w:r>
      <w:r w:rsidR="00842E21">
        <w:rPr>
          <w:caps/>
          <w:color w:val="000000" w:themeColor="text1"/>
        </w:rPr>
        <w:t>0808</w:t>
      </w:r>
      <w:r w:rsidRPr="00055160">
        <w:rPr>
          <w:rFonts w:cs="Times New Roman"/>
          <w:caps/>
          <w:color w:val="000000" w:themeColor="text1"/>
          <w:szCs w:val="24"/>
        </w:rPr>
        <w:t xml:space="preserve"> </w:t>
      </w:r>
      <w:r>
        <w:rPr>
          <w:rFonts w:cs="Times New Roman"/>
          <w:caps/>
          <w:color w:val="000000" w:themeColor="text1"/>
          <w:szCs w:val="24"/>
        </w:rPr>
        <w:t xml:space="preserve">                                         </w:t>
      </w:r>
      <w:r w:rsidR="00F2257A">
        <w:rPr>
          <w:rFonts w:cs="Times New Roman"/>
          <w:caps/>
          <w:color w:val="000000" w:themeColor="text1"/>
          <w:szCs w:val="24"/>
        </w:rPr>
        <w:tab/>
      </w:r>
      <w:r w:rsidRPr="001F29F9">
        <w:rPr>
          <w:rFonts w:cs="Times New Roman"/>
          <w:caps/>
          <w:color w:val="000000" w:themeColor="text1"/>
          <w:szCs w:val="24"/>
        </w:rPr>
        <w:t xml:space="preserve">Date of Permanent </w:t>
      </w:r>
      <w:r w:rsidRPr="001F29F9">
        <w:rPr>
          <w:rFonts w:cs="Times New Roman"/>
          <w:color w:val="000000" w:themeColor="text1"/>
          <w:szCs w:val="24"/>
        </w:rPr>
        <w:t xml:space="preserve">SEPARATION:  </w:t>
      </w:r>
      <w:r w:rsidRPr="001F29F9">
        <w:rPr>
          <w:color w:val="000000" w:themeColor="text1"/>
        </w:rPr>
        <w:t>200</w:t>
      </w:r>
      <w:r>
        <w:rPr>
          <w:color w:val="000000" w:themeColor="text1"/>
        </w:rPr>
        <w:t>6</w:t>
      </w:r>
      <w:r w:rsidR="006B0FA9">
        <w:rPr>
          <w:color w:val="000000" w:themeColor="text1"/>
        </w:rPr>
        <w:t>1101</w:t>
      </w:r>
      <w:r w:rsidR="003B2143" w:rsidRPr="001F29F9">
        <w:rPr>
          <w:caps/>
          <w:color w:val="000000" w:themeColor="text1"/>
        </w:rPr>
        <w:tab/>
      </w:r>
    </w:p>
    <w:p w:rsidR="00AF11EC" w:rsidRPr="001F29F9" w:rsidRDefault="00AF11EC" w:rsidP="00AF11EC">
      <w:pPr>
        <w:pBdr>
          <w:bottom w:val="single" w:sz="12" w:space="1" w:color="auto"/>
        </w:pBdr>
        <w:tabs>
          <w:tab w:val="left" w:pos="288"/>
          <w:tab w:val="left" w:pos="4752"/>
        </w:tabs>
        <w:jc w:val="both"/>
        <w:rPr>
          <w:color w:val="000000" w:themeColor="text1"/>
        </w:rPr>
      </w:pPr>
    </w:p>
    <w:p w:rsidR="009369A6" w:rsidRPr="001F29F9" w:rsidRDefault="009369A6" w:rsidP="00BF0E94">
      <w:pPr>
        <w:tabs>
          <w:tab w:val="left" w:pos="288"/>
          <w:tab w:val="left" w:pos="4752"/>
        </w:tabs>
        <w:jc w:val="both"/>
        <w:rPr>
          <w:color w:val="000000" w:themeColor="text1"/>
        </w:rPr>
      </w:pPr>
    </w:p>
    <w:p w:rsidR="00F63FC7" w:rsidRPr="001F29F9" w:rsidRDefault="00FB0E80" w:rsidP="00BF0E94">
      <w:pPr>
        <w:tabs>
          <w:tab w:val="left" w:pos="288"/>
          <w:tab w:val="left" w:pos="4752"/>
        </w:tabs>
        <w:jc w:val="both"/>
        <w:rPr>
          <w:color w:val="000000" w:themeColor="text1"/>
        </w:rPr>
      </w:pPr>
      <w:r w:rsidRPr="001F29F9">
        <w:rPr>
          <w:color w:val="000000" w:themeColor="text1"/>
          <w:u w:val="single"/>
        </w:rPr>
        <w:t>SUMMARY OF CASE</w:t>
      </w:r>
      <w:r w:rsidRPr="001F29F9">
        <w:rPr>
          <w:color w:val="000000" w:themeColor="text1"/>
        </w:rPr>
        <w:t xml:space="preserve">:  </w:t>
      </w:r>
      <w:r w:rsidR="009759C2" w:rsidRPr="001F29F9">
        <w:rPr>
          <w:color w:val="000000" w:themeColor="text1"/>
        </w:rPr>
        <w:t>Data extracted from the available evidence of record reflects that this covered individual (CI)</w:t>
      </w:r>
      <w:r w:rsidR="00570754" w:rsidRPr="001F29F9">
        <w:rPr>
          <w:color w:val="000000" w:themeColor="text1"/>
        </w:rPr>
        <w:t xml:space="preserve"> </w:t>
      </w:r>
      <w:r w:rsidR="002C6E5B" w:rsidRPr="001F29F9">
        <w:rPr>
          <w:color w:val="000000" w:themeColor="text1"/>
          <w:szCs w:val="24"/>
        </w:rPr>
        <w:t xml:space="preserve">was </w:t>
      </w:r>
      <w:r w:rsidR="00E322F7" w:rsidRPr="001F29F9">
        <w:rPr>
          <w:color w:val="000000" w:themeColor="text1"/>
          <w:szCs w:val="24"/>
        </w:rPr>
        <w:t>an active duty</w:t>
      </w:r>
      <w:r w:rsidR="002E65E6" w:rsidRPr="001F29F9">
        <w:rPr>
          <w:color w:val="000000" w:themeColor="text1"/>
          <w:szCs w:val="24"/>
        </w:rPr>
        <w:t xml:space="preserve"> </w:t>
      </w:r>
      <w:r w:rsidR="003F4C3D">
        <w:rPr>
          <w:color w:val="000000" w:themeColor="text1"/>
          <w:szCs w:val="24"/>
        </w:rPr>
        <w:t>PV</w:t>
      </w:r>
      <w:r w:rsidR="00055160">
        <w:rPr>
          <w:color w:val="000000" w:themeColor="text1"/>
          <w:szCs w:val="24"/>
        </w:rPr>
        <w:t>T/E-1</w:t>
      </w:r>
      <w:r w:rsidR="00705C40" w:rsidRPr="001F29F9">
        <w:rPr>
          <w:color w:val="000000" w:themeColor="text1"/>
          <w:szCs w:val="24"/>
        </w:rPr>
        <w:t xml:space="preserve"> (</w:t>
      </w:r>
      <w:r w:rsidR="00CA1059">
        <w:rPr>
          <w:color w:val="000000" w:themeColor="text1"/>
          <w:szCs w:val="24"/>
        </w:rPr>
        <w:t>9900</w:t>
      </w:r>
      <w:r w:rsidR="00F2257A">
        <w:rPr>
          <w:color w:val="000000" w:themeColor="text1"/>
          <w:szCs w:val="24"/>
        </w:rPr>
        <w:t xml:space="preserve">, </w:t>
      </w:r>
      <w:r w:rsidR="00CA1059">
        <w:rPr>
          <w:color w:val="000000" w:themeColor="text1"/>
          <w:szCs w:val="24"/>
        </w:rPr>
        <w:t>Basic Marine</w:t>
      </w:r>
      <w:r w:rsidR="00E322F7" w:rsidRPr="001F29F9">
        <w:rPr>
          <w:color w:val="000000" w:themeColor="text1"/>
          <w:szCs w:val="24"/>
        </w:rPr>
        <w:t>)</w:t>
      </w:r>
      <w:r w:rsidR="00C75F3D" w:rsidRPr="001F29F9">
        <w:rPr>
          <w:color w:val="000000" w:themeColor="text1"/>
          <w:szCs w:val="24"/>
        </w:rPr>
        <w:t xml:space="preserve">, </w:t>
      </w:r>
      <w:r w:rsidR="002C6E5B" w:rsidRPr="001F29F9">
        <w:rPr>
          <w:color w:val="000000" w:themeColor="text1"/>
          <w:szCs w:val="24"/>
        </w:rPr>
        <w:t xml:space="preserve">medically separated for </w:t>
      </w:r>
      <w:r w:rsidR="008A2AAC">
        <w:rPr>
          <w:color w:val="000000" w:themeColor="text1"/>
          <w:szCs w:val="24"/>
        </w:rPr>
        <w:t xml:space="preserve">subtalar dislocation.  </w:t>
      </w:r>
      <w:r w:rsidR="00CA1059">
        <w:rPr>
          <w:color w:val="000000" w:themeColor="text1"/>
          <w:szCs w:val="24"/>
        </w:rPr>
        <w:t>He</w:t>
      </w:r>
      <w:r w:rsidR="00643C8F" w:rsidRPr="001F29F9">
        <w:rPr>
          <w:color w:val="000000" w:themeColor="text1"/>
          <w:szCs w:val="24"/>
        </w:rPr>
        <w:t xml:space="preserve"> did not respond adequately to treatment and w</w:t>
      </w:r>
      <w:r w:rsidR="00CA1059">
        <w:rPr>
          <w:color w:val="000000" w:themeColor="text1"/>
          <w:szCs w:val="24"/>
        </w:rPr>
        <w:t>as unable to perform within his</w:t>
      </w:r>
      <w:r w:rsidR="00643C8F" w:rsidRPr="001F29F9">
        <w:rPr>
          <w:color w:val="000000" w:themeColor="text1"/>
          <w:szCs w:val="24"/>
        </w:rPr>
        <w:t xml:space="preserve"> </w:t>
      </w:r>
      <w:r w:rsidR="00643C8F" w:rsidRPr="008A2AAC">
        <w:rPr>
          <w:color w:val="000000" w:themeColor="text1"/>
          <w:szCs w:val="24"/>
        </w:rPr>
        <w:t xml:space="preserve">Military Occupational Specialty (MOS) or meet </w:t>
      </w:r>
      <w:r w:rsidR="00CA1059" w:rsidRPr="008A2AAC">
        <w:rPr>
          <w:color w:val="000000" w:themeColor="text1"/>
          <w:szCs w:val="24"/>
        </w:rPr>
        <w:t>physical fit</w:t>
      </w:r>
      <w:r w:rsidR="00CA1059">
        <w:rPr>
          <w:color w:val="000000" w:themeColor="text1"/>
          <w:szCs w:val="24"/>
        </w:rPr>
        <w:t>ness standards.  He</w:t>
      </w:r>
      <w:r w:rsidR="00643C8F" w:rsidRPr="001F29F9">
        <w:rPr>
          <w:color w:val="000000" w:themeColor="text1"/>
          <w:szCs w:val="24"/>
        </w:rPr>
        <w:t xml:space="preserve"> was </w:t>
      </w:r>
      <w:r w:rsidR="00F2257A">
        <w:rPr>
          <w:color w:val="000000" w:themeColor="text1"/>
          <w:szCs w:val="24"/>
        </w:rPr>
        <w:t>injured in basic t</w:t>
      </w:r>
      <w:r w:rsidR="00CA1059">
        <w:rPr>
          <w:color w:val="000000" w:themeColor="text1"/>
          <w:szCs w:val="24"/>
        </w:rPr>
        <w:t xml:space="preserve">raining </w:t>
      </w:r>
      <w:r w:rsidR="00643C8F" w:rsidRPr="001F29F9">
        <w:rPr>
          <w:color w:val="000000" w:themeColor="text1"/>
          <w:szCs w:val="24"/>
        </w:rPr>
        <w:t>and underwent a Medical Evaluation Board (MEB).</w:t>
      </w:r>
      <w:r w:rsidR="008A2AAC">
        <w:rPr>
          <w:color w:val="000000" w:themeColor="text1"/>
          <w:szCs w:val="24"/>
        </w:rPr>
        <w:t xml:space="preserve">  Subtalar dislocation was</w:t>
      </w:r>
      <w:r w:rsidR="000A33C8" w:rsidRPr="001F29F9">
        <w:rPr>
          <w:color w:val="000000" w:themeColor="text1"/>
          <w:szCs w:val="24"/>
        </w:rPr>
        <w:t xml:space="preserve"> forwarded to the Physical Evaluation Board (PEB) as medically unacceptable </w:t>
      </w:r>
      <w:r w:rsidR="00265B8A" w:rsidRPr="008A2AAC">
        <w:rPr>
          <w:color w:val="000000" w:themeColor="text1"/>
          <w:szCs w:val="24"/>
        </w:rPr>
        <w:t>IAW SECNAVINST</w:t>
      </w:r>
      <w:r w:rsidR="00AB1F8D" w:rsidRPr="008A2AAC">
        <w:rPr>
          <w:color w:val="000000" w:themeColor="text1"/>
          <w:szCs w:val="24"/>
        </w:rPr>
        <w:t xml:space="preserve"> 1850.4E</w:t>
      </w:r>
      <w:r w:rsidR="00376E08" w:rsidRPr="008A2AAC">
        <w:rPr>
          <w:color w:val="000000" w:themeColor="text1"/>
          <w:szCs w:val="24"/>
        </w:rPr>
        <w:t>.</w:t>
      </w:r>
      <w:r w:rsidR="008A2AAC">
        <w:rPr>
          <w:color w:val="000000" w:themeColor="text1"/>
          <w:szCs w:val="24"/>
        </w:rPr>
        <w:t xml:space="preserve">  </w:t>
      </w:r>
      <w:r w:rsidR="001A5E62" w:rsidRPr="001F29F9">
        <w:rPr>
          <w:color w:val="000000" w:themeColor="text1"/>
          <w:szCs w:val="24"/>
        </w:rPr>
        <w:t xml:space="preserve">No other </w:t>
      </w:r>
      <w:r w:rsidR="003F4C3D">
        <w:rPr>
          <w:color w:val="000000" w:themeColor="text1"/>
          <w:szCs w:val="24"/>
        </w:rPr>
        <w:t>conditions appeared on the MEB</w:t>
      </w:r>
      <w:r w:rsidR="001A5E62" w:rsidRPr="001F29F9">
        <w:rPr>
          <w:color w:val="000000" w:themeColor="text1"/>
          <w:szCs w:val="24"/>
        </w:rPr>
        <w:t xml:space="preserve"> submission.  </w:t>
      </w:r>
      <w:r w:rsidR="00842BAA" w:rsidRPr="001F29F9">
        <w:rPr>
          <w:color w:val="000000" w:themeColor="text1"/>
          <w:szCs w:val="24"/>
        </w:rPr>
        <w:t xml:space="preserve">The </w:t>
      </w:r>
      <w:r w:rsidR="00F2257A">
        <w:rPr>
          <w:color w:val="000000" w:themeColor="text1"/>
          <w:szCs w:val="24"/>
        </w:rPr>
        <w:t>PEB</w:t>
      </w:r>
      <w:r w:rsidR="00842BAA" w:rsidRPr="006A25B0">
        <w:rPr>
          <w:color w:val="000000" w:themeColor="text1"/>
          <w:szCs w:val="24"/>
        </w:rPr>
        <w:t xml:space="preserve"> adjudicated the </w:t>
      </w:r>
      <w:proofErr w:type="spellStart"/>
      <w:r w:rsidR="008A2AAC" w:rsidRPr="006A25B0">
        <w:rPr>
          <w:color w:val="000000" w:themeColor="text1"/>
          <w:szCs w:val="24"/>
        </w:rPr>
        <w:t>subtalar</w:t>
      </w:r>
      <w:proofErr w:type="spellEnd"/>
      <w:r w:rsidR="008A2AAC" w:rsidRPr="006A25B0">
        <w:rPr>
          <w:color w:val="000000" w:themeColor="text1"/>
          <w:szCs w:val="24"/>
        </w:rPr>
        <w:t xml:space="preserve"> dislocation condition</w:t>
      </w:r>
      <w:r w:rsidR="00842BAA" w:rsidRPr="006A25B0">
        <w:rPr>
          <w:color w:val="000000" w:themeColor="text1"/>
          <w:szCs w:val="24"/>
        </w:rPr>
        <w:t xml:space="preserve"> as unfitting</w:t>
      </w:r>
      <w:r w:rsidR="003F4C3D">
        <w:rPr>
          <w:color w:val="000000" w:themeColor="text1"/>
          <w:szCs w:val="24"/>
        </w:rPr>
        <w:t xml:space="preserve"> and recommended placement on the</w:t>
      </w:r>
      <w:r w:rsidR="003F4C3D" w:rsidRPr="001F29F9">
        <w:rPr>
          <w:color w:val="000000" w:themeColor="text1"/>
          <w:szCs w:val="24"/>
        </w:rPr>
        <w:t xml:space="preserve"> Temporary Disability Retired List (TDRL) </w:t>
      </w:r>
      <w:r w:rsidR="003F4C3D">
        <w:rPr>
          <w:color w:val="000000" w:themeColor="text1"/>
          <w:szCs w:val="24"/>
        </w:rPr>
        <w:t xml:space="preserve">at a 30% disability </w:t>
      </w:r>
      <w:r w:rsidR="00842BAA" w:rsidRPr="006A25B0">
        <w:rPr>
          <w:color w:val="000000" w:themeColor="text1"/>
          <w:szCs w:val="24"/>
        </w:rPr>
        <w:t>rat</w:t>
      </w:r>
      <w:r w:rsidR="003F4C3D">
        <w:rPr>
          <w:color w:val="000000" w:themeColor="text1"/>
          <w:szCs w:val="24"/>
        </w:rPr>
        <w:t xml:space="preserve">ing.  </w:t>
      </w:r>
      <w:r w:rsidR="00A12F75">
        <w:rPr>
          <w:color w:val="000000" w:themeColor="text1"/>
          <w:szCs w:val="24"/>
        </w:rPr>
        <w:t xml:space="preserve">The </w:t>
      </w:r>
      <w:r w:rsidR="00AD7F8F" w:rsidRPr="001F29F9">
        <w:rPr>
          <w:color w:val="000000" w:themeColor="text1"/>
          <w:szCs w:val="24"/>
        </w:rPr>
        <w:t xml:space="preserve">CI </w:t>
      </w:r>
      <w:r w:rsidR="008B04DB" w:rsidRPr="001F29F9">
        <w:rPr>
          <w:color w:val="000000" w:themeColor="text1"/>
          <w:szCs w:val="24"/>
        </w:rPr>
        <w:t>was</w:t>
      </w:r>
      <w:r w:rsidR="00A12F75">
        <w:rPr>
          <w:color w:val="000000" w:themeColor="text1"/>
          <w:szCs w:val="24"/>
        </w:rPr>
        <w:t xml:space="preserve"> reevaluated in July of 2006 and permanent separa</w:t>
      </w:r>
      <w:r w:rsidR="00F2257A">
        <w:rPr>
          <w:color w:val="000000" w:themeColor="text1"/>
          <w:szCs w:val="24"/>
        </w:rPr>
        <w:t xml:space="preserve">tion recommended by the second </w:t>
      </w:r>
      <w:r w:rsidR="00A12F75">
        <w:rPr>
          <w:color w:val="000000" w:themeColor="text1"/>
          <w:szCs w:val="24"/>
        </w:rPr>
        <w:t>PEB on 9 August 2006 at a 20% disability rating</w:t>
      </w:r>
      <w:r w:rsidR="008B04DB" w:rsidRPr="001F29F9">
        <w:rPr>
          <w:color w:val="000000" w:themeColor="text1"/>
          <w:szCs w:val="24"/>
        </w:rPr>
        <w:t>.</w:t>
      </w:r>
      <w:r w:rsidR="006A25B0">
        <w:rPr>
          <w:color w:val="000000" w:themeColor="text1"/>
          <w:szCs w:val="24"/>
        </w:rPr>
        <w:t xml:space="preserve">  </w:t>
      </w:r>
      <w:r w:rsidR="00B20624" w:rsidRPr="001F29F9">
        <w:rPr>
          <w:color w:val="000000" w:themeColor="text1"/>
        </w:rPr>
        <w:t xml:space="preserve">The CI </w:t>
      </w:r>
      <w:r w:rsidR="00190E48" w:rsidRPr="001F29F9">
        <w:rPr>
          <w:color w:val="000000" w:themeColor="text1"/>
        </w:rPr>
        <w:t xml:space="preserve">made no appeals, </w:t>
      </w:r>
      <w:r w:rsidR="00B20624" w:rsidRPr="001F29F9">
        <w:rPr>
          <w:color w:val="000000" w:themeColor="text1"/>
        </w:rPr>
        <w:t>and</w:t>
      </w:r>
      <w:r w:rsidR="006A25B0">
        <w:rPr>
          <w:color w:val="000000" w:themeColor="text1"/>
        </w:rPr>
        <w:t xml:space="preserve"> was </w:t>
      </w:r>
      <w:r w:rsidR="006A25B0" w:rsidRPr="00A12F75">
        <w:rPr>
          <w:color w:val="000000" w:themeColor="text1"/>
        </w:rPr>
        <w:t>medically separated with a</w:t>
      </w:r>
      <w:r w:rsidR="00A12F75" w:rsidRPr="00A12F75">
        <w:rPr>
          <w:color w:val="000000" w:themeColor="text1"/>
        </w:rPr>
        <w:t xml:space="preserve"> </w:t>
      </w:r>
      <w:r w:rsidR="006A25B0" w:rsidRPr="00A12F75">
        <w:rPr>
          <w:color w:val="000000" w:themeColor="text1"/>
        </w:rPr>
        <w:t>20</w:t>
      </w:r>
      <w:r w:rsidR="00B20624" w:rsidRPr="00A12F75">
        <w:rPr>
          <w:color w:val="000000" w:themeColor="text1"/>
        </w:rPr>
        <w:t>% combined disability rating</w:t>
      </w:r>
      <w:r w:rsidR="00A12F75" w:rsidRPr="00A12F75">
        <w:rPr>
          <w:color w:val="000000" w:themeColor="text1"/>
        </w:rPr>
        <w:t xml:space="preserve"> with probable application of </w:t>
      </w:r>
      <w:r w:rsidR="00B946A0" w:rsidRPr="00A12F75">
        <w:rPr>
          <w:color w:val="000000" w:themeColor="text1"/>
        </w:rPr>
        <w:t xml:space="preserve">the </w:t>
      </w:r>
      <w:r w:rsidR="00A12F75" w:rsidRPr="00A12F75">
        <w:rPr>
          <w:color w:val="000000" w:themeColor="text1"/>
          <w:szCs w:val="24"/>
        </w:rPr>
        <w:t>Veterans Administration Schedule for Rating Disabilities (VASRD).</w:t>
      </w:r>
    </w:p>
    <w:p w:rsidR="004174F0" w:rsidRPr="001F29F9" w:rsidRDefault="004174F0" w:rsidP="00BF0E94">
      <w:pPr>
        <w:pBdr>
          <w:bottom w:val="single" w:sz="12" w:space="1" w:color="auto"/>
        </w:pBdr>
        <w:tabs>
          <w:tab w:val="left" w:pos="288"/>
          <w:tab w:val="left" w:pos="4752"/>
        </w:tabs>
        <w:jc w:val="both"/>
        <w:rPr>
          <w:color w:val="000000" w:themeColor="text1"/>
        </w:rPr>
      </w:pPr>
    </w:p>
    <w:p w:rsidR="004174F0" w:rsidRPr="001F29F9" w:rsidRDefault="004174F0" w:rsidP="00BF0E94">
      <w:pPr>
        <w:tabs>
          <w:tab w:val="left" w:pos="288"/>
          <w:tab w:val="left" w:pos="4752"/>
        </w:tabs>
        <w:jc w:val="both"/>
        <w:rPr>
          <w:color w:val="000000" w:themeColor="text1"/>
        </w:rPr>
      </w:pPr>
    </w:p>
    <w:p w:rsidR="00ED5284" w:rsidRPr="001F29F9" w:rsidRDefault="002C6E5B" w:rsidP="00BF0E94">
      <w:pPr>
        <w:tabs>
          <w:tab w:val="left" w:pos="288"/>
          <w:tab w:val="left" w:pos="4752"/>
        </w:tabs>
        <w:jc w:val="both"/>
        <w:rPr>
          <w:rFonts w:eastAsiaTheme="minorHAnsi"/>
          <w:color w:val="000000" w:themeColor="text1"/>
          <w:szCs w:val="24"/>
        </w:rPr>
      </w:pPr>
      <w:r w:rsidRPr="001F29F9">
        <w:rPr>
          <w:color w:val="000000" w:themeColor="text1"/>
          <w:u w:val="single"/>
        </w:rPr>
        <w:t>CI CONTENTION</w:t>
      </w:r>
      <w:r w:rsidRPr="001F29F9">
        <w:rPr>
          <w:color w:val="000000" w:themeColor="text1"/>
        </w:rPr>
        <w:t>:</w:t>
      </w:r>
      <w:r w:rsidR="006A25B0">
        <w:rPr>
          <w:color w:val="000000" w:themeColor="text1"/>
        </w:rPr>
        <w:t xml:space="preserve">  “I was originally rated at 30% placing me on the TDRL</w:t>
      </w:r>
      <w:r w:rsidR="006A25B0" w:rsidRPr="006A25B0">
        <w:rPr>
          <w:color w:val="000000" w:themeColor="text1"/>
        </w:rPr>
        <w:t xml:space="preserve">. </w:t>
      </w:r>
      <w:r w:rsidR="005A1D93">
        <w:rPr>
          <w:color w:val="000000" w:themeColor="text1"/>
        </w:rPr>
        <w:t xml:space="preserve"> </w:t>
      </w:r>
      <w:r w:rsidR="006A25B0" w:rsidRPr="006A25B0">
        <w:rPr>
          <w:color w:val="000000" w:themeColor="text1"/>
        </w:rPr>
        <w:t xml:space="preserve">After my first check up, 18 months </w:t>
      </w:r>
      <w:r w:rsidR="00265B8A" w:rsidRPr="006A25B0">
        <w:rPr>
          <w:color w:val="000000" w:themeColor="text1"/>
        </w:rPr>
        <w:t>later</w:t>
      </w:r>
      <w:r w:rsidR="006A25B0" w:rsidRPr="006A25B0">
        <w:rPr>
          <w:color w:val="000000" w:themeColor="text1"/>
        </w:rPr>
        <w:t>,</w:t>
      </w:r>
      <w:r w:rsidR="006A25B0">
        <w:rPr>
          <w:color w:val="000000" w:themeColor="text1"/>
        </w:rPr>
        <w:t xml:space="preserve"> my rating was reduced to 20%</w:t>
      </w:r>
      <w:r w:rsidR="006A25B0" w:rsidRPr="006A25B0">
        <w:rPr>
          <w:color w:val="000000" w:themeColor="text1"/>
        </w:rPr>
        <w:t xml:space="preserve"> removing me</w:t>
      </w:r>
      <w:r w:rsidR="006A25B0">
        <w:rPr>
          <w:color w:val="000000" w:themeColor="text1"/>
        </w:rPr>
        <w:t xml:space="preserve"> fr</w:t>
      </w:r>
      <w:r w:rsidR="00F2257A">
        <w:rPr>
          <w:color w:val="000000" w:themeColor="text1"/>
        </w:rPr>
        <w:t>om r</w:t>
      </w:r>
      <w:r w:rsidR="006A25B0" w:rsidRPr="006A25B0">
        <w:rPr>
          <w:color w:val="000000" w:themeColor="text1"/>
        </w:rPr>
        <w:t xml:space="preserve">etired status. </w:t>
      </w:r>
      <w:r w:rsidR="005A1D93">
        <w:rPr>
          <w:color w:val="000000" w:themeColor="text1"/>
        </w:rPr>
        <w:t xml:space="preserve"> </w:t>
      </w:r>
      <w:r w:rsidR="006A25B0" w:rsidRPr="006A25B0">
        <w:rPr>
          <w:color w:val="000000" w:themeColor="text1"/>
        </w:rPr>
        <w:t>My injury is extremely rare and is going to get worse with time and possibly may require surgery.</w:t>
      </w:r>
      <w:r w:rsidR="005A1D93">
        <w:rPr>
          <w:color w:val="000000" w:themeColor="text1"/>
        </w:rPr>
        <w:t xml:space="preserve"> </w:t>
      </w:r>
      <w:r w:rsidR="006A25B0" w:rsidRPr="006A25B0">
        <w:rPr>
          <w:color w:val="000000" w:themeColor="text1"/>
        </w:rPr>
        <w:t xml:space="preserve"> There is a</w:t>
      </w:r>
      <w:r w:rsidR="006A25B0">
        <w:rPr>
          <w:color w:val="000000" w:themeColor="text1"/>
        </w:rPr>
        <w:t>n ext</w:t>
      </w:r>
      <w:r w:rsidR="006A25B0" w:rsidRPr="006A25B0">
        <w:rPr>
          <w:color w:val="000000" w:themeColor="text1"/>
        </w:rPr>
        <w:t>reme amount</w:t>
      </w:r>
      <w:r w:rsidR="006A25B0">
        <w:rPr>
          <w:color w:val="000000" w:themeColor="text1"/>
        </w:rPr>
        <w:t xml:space="preserve"> of force necessary</w:t>
      </w:r>
      <w:r w:rsidR="006A25B0" w:rsidRPr="006A25B0">
        <w:rPr>
          <w:color w:val="000000" w:themeColor="text1"/>
        </w:rPr>
        <w:t xml:space="preserve"> </w:t>
      </w:r>
      <w:r w:rsidR="006A25B0">
        <w:rPr>
          <w:color w:val="000000" w:themeColor="text1"/>
        </w:rPr>
        <w:t xml:space="preserve">to </w:t>
      </w:r>
      <w:r w:rsidR="00265B8A">
        <w:rPr>
          <w:color w:val="000000" w:themeColor="text1"/>
        </w:rPr>
        <w:t>dislocate</w:t>
      </w:r>
      <w:r w:rsidR="006A25B0">
        <w:rPr>
          <w:color w:val="000000" w:themeColor="text1"/>
        </w:rPr>
        <w:t xml:space="preserve"> the joint I injured</w:t>
      </w:r>
      <w:r w:rsidR="006A25B0" w:rsidRPr="006A25B0">
        <w:rPr>
          <w:color w:val="000000" w:themeColor="text1"/>
        </w:rPr>
        <w:t>, which causes cartiledge damage</w:t>
      </w:r>
      <w:r w:rsidR="006A25B0">
        <w:rPr>
          <w:color w:val="000000" w:themeColor="text1"/>
        </w:rPr>
        <w:t xml:space="preserve">. 18 months </w:t>
      </w:r>
      <w:r w:rsidR="00265B8A">
        <w:rPr>
          <w:color w:val="000000" w:themeColor="text1"/>
        </w:rPr>
        <w:t>rehabilitation</w:t>
      </w:r>
      <w:r w:rsidR="006A25B0">
        <w:rPr>
          <w:color w:val="000000" w:themeColor="text1"/>
        </w:rPr>
        <w:t xml:space="preserve"> was</w:t>
      </w:r>
      <w:r w:rsidR="006A25B0" w:rsidRPr="006A25B0">
        <w:rPr>
          <w:color w:val="000000" w:themeColor="text1"/>
        </w:rPr>
        <w:t xml:space="preserve"> not </w:t>
      </w:r>
      <w:r w:rsidR="006A25B0">
        <w:rPr>
          <w:color w:val="000000" w:themeColor="text1"/>
        </w:rPr>
        <w:t xml:space="preserve">enough to decide my case.”  </w:t>
      </w:r>
      <w:r w:rsidR="00ED5284" w:rsidRPr="001F29F9">
        <w:rPr>
          <w:rFonts w:eastAsiaTheme="minorHAnsi"/>
          <w:color w:val="000000" w:themeColor="text1"/>
          <w:szCs w:val="24"/>
        </w:rPr>
        <w:t>He elaborates no specific contentions regarding rating or coding and mentions no additionally contended conditions.</w:t>
      </w:r>
    </w:p>
    <w:p w:rsidR="004174F0" w:rsidRPr="001F29F9" w:rsidRDefault="004174F0" w:rsidP="00BF0E94">
      <w:pPr>
        <w:pBdr>
          <w:bottom w:val="single" w:sz="12" w:space="1" w:color="auto"/>
        </w:pBdr>
        <w:tabs>
          <w:tab w:val="left" w:pos="288"/>
          <w:tab w:val="left" w:pos="4752"/>
        </w:tabs>
        <w:jc w:val="both"/>
        <w:rPr>
          <w:color w:val="000000" w:themeColor="text1"/>
        </w:rPr>
      </w:pPr>
    </w:p>
    <w:p w:rsidR="004174F0" w:rsidRDefault="004174F0" w:rsidP="00BF0E94">
      <w:pPr>
        <w:tabs>
          <w:tab w:val="left" w:pos="288"/>
          <w:tab w:val="left" w:pos="4752"/>
        </w:tabs>
        <w:jc w:val="both"/>
        <w:rPr>
          <w:color w:val="000000" w:themeColor="text1"/>
        </w:rPr>
      </w:pPr>
    </w:p>
    <w:p w:rsidR="00930541" w:rsidRDefault="00930541" w:rsidP="00930541">
      <w:pPr>
        <w:jc w:val="both"/>
        <w:rPr>
          <w:color w:val="000000" w:themeColor="text1"/>
        </w:rPr>
      </w:pPr>
      <w:r w:rsidRPr="006A714F">
        <w:rPr>
          <w:color w:val="auto"/>
          <w:u w:val="single"/>
        </w:rPr>
        <w:t>SCOPE OF REVIEW</w:t>
      </w:r>
      <w:r>
        <w:rPr>
          <w:color w:val="auto"/>
        </w:rPr>
        <w:t xml:space="preserve">:  </w:t>
      </w:r>
      <w:r w:rsidRPr="00C566C9">
        <w:rPr>
          <w:color w:val="auto"/>
        </w:rPr>
        <w:t>The Board wishes to clarify that the scope of its re</w:t>
      </w:r>
      <w:r>
        <w:rPr>
          <w:color w:val="auto"/>
        </w:rPr>
        <w:t>view as defined in DoDI 6040.44, Enclosure 3, paragraph 5.e</w:t>
      </w:r>
      <w:proofErr w:type="gramStart"/>
      <w:r>
        <w:rPr>
          <w:color w:val="auto"/>
        </w:rPr>
        <w:t>.(</w:t>
      </w:r>
      <w:proofErr w:type="gramEnd"/>
      <w:r>
        <w:rPr>
          <w:color w:val="auto"/>
        </w:rPr>
        <w:t>2)</w:t>
      </w:r>
      <w:r w:rsidRPr="00C566C9">
        <w:rPr>
          <w:color w:val="auto"/>
        </w:rPr>
        <w:t xml:space="preserve"> is limited to those conditions which were determined by the PEB to be specifically unfitting for continued military service; or, when requested by the CI, those condition</w:t>
      </w:r>
      <w:r>
        <w:rPr>
          <w:color w:val="auto"/>
        </w:rPr>
        <w:t>(</w:t>
      </w:r>
      <w:r w:rsidRPr="00C566C9">
        <w:rPr>
          <w:color w:val="auto"/>
        </w:rPr>
        <w:t>s</w:t>
      </w:r>
      <w:r>
        <w:rPr>
          <w:color w:val="auto"/>
        </w:rPr>
        <w:t>)</w:t>
      </w:r>
      <w:r w:rsidRPr="00C566C9">
        <w:rPr>
          <w:color w:val="auto"/>
        </w:rPr>
        <w:t xml:space="preserve"> “identified but not determined to be unfitting by the PEB</w:t>
      </w:r>
      <w:r w:rsidR="00F2257A">
        <w:rPr>
          <w:color w:val="auto"/>
        </w:rPr>
        <w:t>.</w:t>
      </w:r>
      <w:r w:rsidRPr="00C566C9">
        <w:rPr>
          <w:color w:val="auto"/>
        </w:rPr>
        <w:t>”</w:t>
      </w:r>
      <w:r>
        <w:rPr>
          <w:color w:val="auto"/>
        </w:rPr>
        <w:t xml:space="preserve">  </w:t>
      </w:r>
      <w:r w:rsidR="00F2257A">
        <w:rPr>
          <w:color w:val="auto"/>
        </w:rPr>
        <w:t xml:space="preserve">The </w:t>
      </w:r>
      <w:r w:rsidRPr="009239C0">
        <w:rPr>
          <w:color w:val="auto"/>
        </w:rPr>
        <w:t xml:space="preserve">ratings for unfitting conditions will be reviewed in all cases. </w:t>
      </w:r>
      <w:r>
        <w:rPr>
          <w:color w:val="auto"/>
        </w:rPr>
        <w:t xml:space="preserve"> </w:t>
      </w:r>
      <w:r w:rsidRPr="00C566C9">
        <w:rPr>
          <w:color w:val="auto"/>
        </w:rPr>
        <w:t>Any condition</w:t>
      </w:r>
      <w:r>
        <w:rPr>
          <w:color w:val="auto"/>
        </w:rPr>
        <w:t>s</w:t>
      </w:r>
      <w:r w:rsidRPr="00C566C9">
        <w:rPr>
          <w:color w:val="auto"/>
        </w:rPr>
        <w:t xml:space="preserve"> or contention not requested in this application</w:t>
      </w:r>
      <w:r>
        <w:rPr>
          <w:color w:val="auto"/>
        </w:rPr>
        <w:t>, or</w:t>
      </w:r>
      <w:r w:rsidRPr="00C566C9">
        <w:rPr>
          <w:color w:val="auto"/>
        </w:rPr>
        <w:t xml:space="preserve"> </w:t>
      </w:r>
      <w:r w:rsidRPr="00930541">
        <w:rPr>
          <w:color w:val="auto"/>
        </w:rPr>
        <w:t>otherwise outside the Board’s defined scope of review, remain eligible for future consideration by the Board for Correction of Naval Records</w:t>
      </w:r>
      <w:r w:rsidR="00C70626">
        <w:rPr>
          <w:color w:val="auto"/>
        </w:rPr>
        <w:t>.</w:t>
      </w:r>
      <w:r>
        <w:rPr>
          <w:color w:val="auto"/>
        </w:rPr>
        <w:t xml:space="preserve">  </w:t>
      </w:r>
    </w:p>
    <w:p w:rsidR="00930541" w:rsidRPr="00930541" w:rsidRDefault="00930541" w:rsidP="00BF0E94">
      <w:pPr>
        <w:tabs>
          <w:tab w:val="left" w:pos="288"/>
          <w:tab w:val="left" w:pos="4752"/>
        </w:tabs>
        <w:jc w:val="both"/>
        <w:rPr>
          <w:b/>
          <w:color w:val="000000" w:themeColor="text1"/>
          <w:u w:val="single"/>
        </w:rPr>
      </w:pPr>
      <w:r>
        <w:rPr>
          <w:b/>
          <w:color w:val="000000" w:themeColor="text1"/>
          <w:u w:val="single"/>
        </w:rPr>
        <w:t>______________________________________________________________________________</w:t>
      </w:r>
    </w:p>
    <w:p w:rsidR="00930541" w:rsidRPr="001F29F9" w:rsidRDefault="00930541" w:rsidP="00BF0E94">
      <w:pPr>
        <w:tabs>
          <w:tab w:val="left" w:pos="288"/>
          <w:tab w:val="left" w:pos="4752"/>
        </w:tabs>
        <w:jc w:val="both"/>
        <w:rPr>
          <w:color w:val="000000" w:themeColor="text1"/>
        </w:rPr>
      </w:pPr>
    </w:p>
    <w:p w:rsidR="001537D8" w:rsidRPr="001F29F9" w:rsidRDefault="007F0AB7" w:rsidP="00BF0E94">
      <w:pPr>
        <w:jc w:val="left"/>
        <w:rPr>
          <w:color w:val="000000" w:themeColor="text1"/>
        </w:rPr>
      </w:pPr>
      <w:r w:rsidRPr="001F29F9">
        <w:rPr>
          <w:color w:val="000000" w:themeColor="text1"/>
          <w:u w:val="single"/>
        </w:rPr>
        <w:t>R</w:t>
      </w:r>
      <w:r w:rsidR="002C6E5B" w:rsidRPr="001F29F9">
        <w:rPr>
          <w:color w:val="000000" w:themeColor="text1"/>
          <w:u w:val="single"/>
        </w:rPr>
        <w:t>ATING COMPARISON</w:t>
      </w:r>
      <w:r w:rsidR="002C6E5B" w:rsidRPr="001F29F9">
        <w:rPr>
          <w:color w:val="000000" w:themeColor="text1"/>
        </w:rPr>
        <w:t>:</w:t>
      </w:r>
    </w:p>
    <w:p w:rsidR="00E57703" w:rsidRPr="001F29F9" w:rsidRDefault="00E57703" w:rsidP="00BF0E94">
      <w:pPr>
        <w:tabs>
          <w:tab w:val="left" w:pos="288"/>
          <w:tab w:val="left" w:pos="4752"/>
        </w:tabs>
        <w:jc w:val="both"/>
        <w:rPr>
          <w:b/>
          <w:color w:val="000000" w:themeColor="text1"/>
          <w:sz w:val="18"/>
          <w:szCs w:val="18"/>
          <w:u w:val="single"/>
        </w:rPr>
      </w:pPr>
    </w:p>
    <w:tbl>
      <w:tblPr>
        <w:tblStyle w:val="TableGrid"/>
        <w:tblpPr w:leftFromText="187" w:rightFromText="187" w:vertAnchor="text" w:tblpXSpec="center" w:tblpY="1"/>
        <w:tblOverlap w:val="never"/>
        <w:tblW w:w="9378" w:type="dxa"/>
        <w:jc w:val="center"/>
        <w:tblLayout w:type="fixed"/>
        <w:tblLook w:val="04A0" w:firstRow="1" w:lastRow="0" w:firstColumn="1" w:lastColumn="0" w:noHBand="0" w:noVBand="1"/>
      </w:tblPr>
      <w:tblGrid>
        <w:gridCol w:w="1818"/>
        <w:gridCol w:w="810"/>
        <w:gridCol w:w="810"/>
        <w:gridCol w:w="720"/>
        <w:gridCol w:w="2250"/>
        <w:gridCol w:w="1080"/>
        <w:gridCol w:w="810"/>
        <w:gridCol w:w="1080"/>
      </w:tblGrid>
      <w:tr w:rsidR="00BF70A6" w:rsidRPr="001F29F9" w:rsidTr="00A03A9E">
        <w:trPr>
          <w:trHeight w:val="233"/>
          <w:jc w:val="center"/>
        </w:trPr>
        <w:tc>
          <w:tcPr>
            <w:tcW w:w="4158" w:type="dxa"/>
            <w:gridSpan w:val="4"/>
            <w:tcBorders>
              <w:right w:val="thinThickThinSmallGap" w:sz="24" w:space="0" w:color="auto"/>
            </w:tcBorders>
            <w:shd w:val="clear" w:color="auto" w:fill="D9D9D9" w:themeFill="background1" w:themeFillShade="D9"/>
            <w:vAlign w:val="center"/>
          </w:tcPr>
          <w:p w:rsidR="00BF70A6" w:rsidRPr="001F29F9" w:rsidRDefault="00A57C35" w:rsidP="00BF0E94">
            <w:pPr>
              <w:contextualSpacing/>
              <w:rPr>
                <w:rFonts w:ascii="Calibri" w:hAnsi="Calibri" w:cstheme="minorHAnsi"/>
                <w:b/>
                <w:color w:val="000000" w:themeColor="text1"/>
                <w:sz w:val="18"/>
                <w:szCs w:val="18"/>
              </w:rPr>
            </w:pPr>
            <w:r w:rsidRPr="001F29F9">
              <w:rPr>
                <w:b/>
                <w:color w:val="000000" w:themeColor="text1"/>
                <w:sz w:val="18"/>
                <w:szCs w:val="18"/>
              </w:rPr>
              <w:t>Final Service PEB – Dated 200</w:t>
            </w:r>
            <w:r w:rsidR="00FC2FB2">
              <w:rPr>
                <w:b/>
                <w:color w:val="000000" w:themeColor="text1"/>
                <w:sz w:val="18"/>
                <w:szCs w:val="18"/>
              </w:rPr>
              <w:t>60809</w:t>
            </w:r>
          </w:p>
        </w:tc>
        <w:tc>
          <w:tcPr>
            <w:tcW w:w="5220" w:type="dxa"/>
            <w:gridSpan w:val="4"/>
            <w:tcBorders>
              <w:left w:val="thinThickThinSmallGap" w:sz="24" w:space="0" w:color="auto"/>
            </w:tcBorders>
            <w:shd w:val="clear" w:color="auto" w:fill="D9D9D9" w:themeFill="background1" w:themeFillShade="D9"/>
            <w:vAlign w:val="center"/>
          </w:tcPr>
          <w:p w:rsidR="00BF70A6" w:rsidRPr="001F29F9" w:rsidRDefault="00A57C35" w:rsidP="00BF0E94">
            <w:pPr>
              <w:contextualSpacing/>
              <w:rPr>
                <w:rFonts w:ascii="Calibri" w:hAnsi="Calibri" w:cstheme="minorHAnsi"/>
                <w:b/>
                <w:color w:val="000000" w:themeColor="text1"/>
                <w:sz w:val="18"/>
                <w:szCs w:val="18"/>
              </w:rPr>
            </w:pPr>
            <w:r w:rsidRPr="001F29F9">
              <w:rPr>
                <w:b/>
                <w:color w:val="000000" w:themeColor="text1"/>
                <w:sz w:val="18"/>
                <w:szCs w:val="18"/>
              </w:rPr>
              <w:t>VA* – All Effective Date 200</w:t>
            </w:r>
            <w:r w:rsidR="006730A1">
              <w:rPr>
                <w:b/>
                <w:color w:val="000000" w:themeColor="text1"/>
                <w:sz w:val="18"/>
                <w:szCs w:val="18"/>
              </w:rPr>
              <w:t>40701</w:t>
            </w:r>
          </w:p>
        </w:tc>
      </w:tr>
      <w:tr w:rsidR="008902BE" w:rsidRPr="001F29F9" w:rsidTr="00390031">
        <w:trPr>
          <w:trHeight w:val="233"/>
          <w:jc w:val="center"/>
        </w:trPr>
        <w:tc>
          <w:tcPr>
            <w:tcW w:w="1818" w:type="dxa"/>
            <w:tcBorders>
              <w:bottom w:val="single" w:sz="4" w:space="0" w:color="000000" w:themeColor="text1"/>
            </w:tcBorders>
            <w:shd w:val="clear" w:color="auto" w:fill="D9D9D9" w:themeFill="background1" w:themeFillShade="D9"/>
            <w:vAlign w:val="center"/>
          </w:tcPr>
          <w:p w:rsidR="008902BE" w:rsidRPr="001F29F9" w:rsidRDefault="00A57C35" w:rsidP="00BF0E94">
            <w:pPr>
              <w:contextualSpacing/>
              <w:rPr>
                <w:rFonts w:ascii="Calibri" w:hAnsi="Calibri" w:cstheme="minorHAnsi"/>
                <w:b/>
                <w:color w:val="000000" w:themeColor="text1"/>
                <w:sz w:val="18"/>
                <w:szCs w:val="18"/>
              </w:rPr>
            </w:pPr>
            <w:r w:rsidRPr="001F29F9">
              <w:rPr>
                <w:b/>
                <w:color w:val="000000" w:themeColor="text1"/>
                <w:sz w:val="18"/>
                <w:szCs w:val="18"/>
              </w:rPr>
              <w:t>Condition</w:t>
            </w:r>
          </w:p>
        </w:tc>
        <w:tc>
          <w:tcPr>
            <w:tcW w:w="810" w:type="dxa"/>
            <w:tcBorders>
              <w:bottom w:val="single" w:sz="4" w:space="0" w:color="000000" w:themeColor="text1"/>
            </w:tcBorders>
            <w:shd w:val="clear" w:color="auto" w:fill="D9D9D9" w:themeFill="background1" w:themeFillShade="D9"/>
            <w:vAlign w:val="center"/>
          </w:tcPr>
          <w:p w:rsidR="008902BE" w:rsidRPr="001F29F9" w:rsidRDefault="00A57C35" w:rsidP="00BF0E94">
            <w:pPr>
              <w:contextualSpacing/>
              <w:rPr>
                <w:rFonts w:ascii="Calibri" w:hAnsi="Calibri" w:cstheme="minorHAnsi"/>
                <w:b/>
                <w:color w:val="000000" w:themeColor="text1"/>
                <w:sz w:val="18"/>
                <w:szCs w:val="18"/>
              </w:rPr>
            </w:pPr>
            <w:r w:rsidRPr="001F29F9">
              <w:rPr>
                <w:b/>
                <w:color w:val="000000" w:themeColor="text1"/>
                <w:sz w:val="18"/>
                <w:szCs w:val="18"/>
              </w:rPr>
              <w:t>Code</w:t>
            </w:r>
          </w:p>
        </w:tc>
        <w:tc>
          <w:tcPr>
            <w:tcW w:w="1530" w:type="dxa"/>
            <w:gridSpan w:val="2"/>
            <w:tcBorders>
              <w:bottom w:val="single" w:sz="4" w:space="0" w:color="000000" w:themeColor="text1"/>
              <w:right w:val="thinThickThinSmallGap" w:sz="24" w:space="0" w:color="auto"/>
            </w:tcBorders>
            <w:shd w:val="clear" w:color="auto" w:fill="D9D9D9" w:themeFill="background1" w:themeFillShade="D9"/>
            <w:vAlign w:val="center"/>
          </w:tcPr>
          <w:p w:rsidR="008902BE" w:rsidRPr="001F29F9" w:rsidRDefault="00A57C35" w:rsidP="00BF0E94">
            <w:pPr>
              <w:contextualSpacing/>
              <w:rPr>
                <w:rFonts w:ascii="Calibri" w:hAnsi="Calibri" w:cstheme="minorHAnsi"/>
                <w:b/>
                <w:color w:val="000000" w:themeColor="text1"/>
                <w:sz w:val="18"/>
                <w:szCs w:val="18"/>
              </w:rPr>
            </w:pPr>
            <w:r w:rsidRPr="001F29F9">
              <w:rPr>
                <w:b/>
                <w:color w:val="000000" w:themeColor="text1"/>
                <w:sz w:val="18"/>
                <w:szCs w:val="18"/>
              </w:rPr>
              <w:t>Rating</w:t>
            </w:r>
          </w:p>
        </w:tc>
        <w:tc>
          <w:tcPr>
            <w:tcW w:w="2250" w:type="dxa"/>
            <w:vMerge w:val="restart"/>
            <w:tcBorders>
              <w:left w:val="thinThickThinSmallGap" w:sz="24" w:space="0" w:color="auto"/>
            </w:tcBorders>
            <w:shd w:val="clear" w:color="auto" w:fill="D9D9D9" w:themeFill="background1" w:themeFillShade="D9"/>
            <w:vAlign w:val="center"/>
          </w:tcPr>
          <w:p w:rsidR="008902BE" w:rsidRPr="001F29F9" w:rsidRDefault="00A57C35" w:rsidP="00BF0E94">
            <w:pPr>
              <w:contextualSpacing/>
              <w:rPr>
                <w:rFonts w:ascii="Calibri" w:hAnsi="Calibri" w:cstheme="minorHAnsi"/>
                <w:b/>
                <w:color w:val="000000" w:themeColor="text1"/>
                <w:sz w:val="18"/>
                <w:szCs w:val="18"/>
              </w:rPr>
            </w:pPr>
            <w:r w:rsidRPr="001F29F9">
              <w:rPr>
                <w:b/>
                <w:color w:val="000000" w:themeColor="text1"/>
                <w:sz w:val="18"/>
                <w:szCs w:val="18"/>
              </w:rPr>
              <w:t>Condition</w:t>
            </w:r>
          </w:p>
        </w:tc>
        <w:tc>
          <w:tcPr>
            <w:tcW w:w="1080" w:type="dxa"/>
            <w:vMerge w:val="restart"/>
            <w:shd w:val="clear" w:color="auto" w:fill="D9D9D9" w:themeFill="background1" w:themeFillShade="D9"/>
            <w:vAlign w:val="center"/>
          </w:tcPr>
          <w:p w:rsidR="008902BE" w:rsidRPr="001F29F9" w:rsidRDefault="00A57C35" w:rsidP="00BF0E94">
            <w:pPr>
              <w:contextualSpacing/>
              <w:rPr>
                <w:rFonts w:ascii="Calibri" w:hAnsi="Calibri" w:cstheme="minorHAnsi"/>
                <w:b/>
                <w:color w:val="000000" w:themeColor="text1"/>
                <w:sz w:val="18"/>
                <w:szCs w:val="18"/>
              </w:rPr>
            </w:pPr>
            <w:r w:rsidRPr="001F29F9">
              <w:rPr>
                <w:b/>
                <w:color w:val="000000" w:themeColor="text1"/>
                <w:sz w:val="18"/>
                <w:szCs w:val="18"/>
              </w:rPr>
              <w:t>Code</w:t>
            </w:r>
          </w:p>
        </w:tc>
        <w:tc>
          <w:tcPr>
            <w:tcW w:w="810" w:type="dxa"/>
            <w:vMerge w:val="restart"/>
            <w:shd w:val="clear" w:color="auto" w:fill="D9D9D9" w:themeFill="background1" w:themeFillShade="D9"/>
            <w:vAlign w:val="center"/>
          </w:tcPr>
          <w:p w:rsidR="008902BE" w:rsidRPr="001F29F9" w:rsidRDefault="00A57C35" w:rsidP="00BF0E94">
            <w:pPr>
              <w:contextualSpacing/>
              <w:rPr>
                <w:rFonts w:ascii="Calibri" w:hAnsi="Calibri" w:cstheme="minorHAnsi"/>
                <w:b/>
                <w:color w:val="000000" w:themeColor="text1"/>
                <w:sz w:val="18"/>
                <w:szCs w:val="18"/>
              </w:rPr>
            </w:pPr>
            <w:r w:rsidRPr="001F29F9">
              <w:rPr>
                <w:b/>
                <w:color w:val="000000" w:themeColor="text1"/>
                <w:sz w:val="18"/>
                <w:szCs w:val="18"/>
              </w:rPr>
              <w:t>Rating</w:t>
            </w:r>
          </w:p>
        </w:tc>
        <w:tc>
          <w:tcPr>
            <w:tcW w:w="1080" w:type="dxa"/>
            <w:vMerge w:val="restart"/>
            <w:shd w:val="clear" w:color="auto" w:fill="D9D9D9" w:themeFill="background1" w:themeFillShade="D9"/>
            <w:vAlign w:val="center"/>
          </w:tcPr>
          <w:p w:rsidR="008902BE" w:rsidRPr="001F29F9" w:rsidRDefault="00A57C35" w:rsidP="00BF0E94">
            <w:pPr>
              <w:contextualSpacing/>
              <w:rPr>
                <w:rFonts w:ascii="Calibri" w:hAnsi="Calibri" w:cstheme="minorHAnsi"/>
                <w:b/>
                <w:color w:val="000000" w:themeColor="text1"/>
                <w:sz w:val="18"/>
                <w:szCs w:val="18"/>
              </w:rPr>
            </w:pPr>
            <w:r w:rsidRPr="001F29F9">
              <w:rPr>
                <w:b/>
                <w:color w:val="000000" w:themeColor="text1"/>
                <w:sz w:val="18"/>
                <w:szCs w:val="18"/>
              </w:rPr>
              <w:t>Exam</w:t>
            </w:r>
          </w:p>
        </w:tc>
      </w:tr>
      <w:tr w:rsidR="008902BE" w:rsidRPr="001F29F9" w:rsidTr="00390031">
        <w:trPr>
          <w:trHeight w:val="152"/>
          <w:jc w:val="center"/>
        </w:trPr>
        <w:tc>
          <w:tcPr>
            <w:tcW w:w="1818" w:type="dxa"/>
            <w:shd w:val="clear" w:color="auto" w:fill="D9D9D9" w:themeFill="background1" w:themeFillShade="D9"/>
            <w:vAlign w:val="center"/>
          </w:tcPr>
          <w:p w:rsidR="008902BE" w:rsidRPr="001F29F9" w:rsidRDefault="00A57C35" w:rsidP="00BF0E94">
            <w:pPr>
              <w:contextualSpacing/>
              <w:rPr>
                <w:rFonts w:ascii="Calibri" w:hAnsi="Calibri" w:cstheme="minorHAnsi"/>
                <w:b/>
                <w:color w:val="000000" w:themeColor="text1"/>
                <w:sz w:val="18"/>
                <w:szCs w:val="18"/>
              </w:rPr>
            </w:pPr>
            <w:r w:rsidRPr="001F29F9">
              <w:rPr>
                <w:b/>
                <w:color w:val="000000" w:themeColor="text1"/>
                <w:sz w:val="18"/>
                <w:szCs w:val="18"/>
              </w:rPr>
              <w:t>On TDRL – 200</w:t>
            </w:r>
            <w:r w:rsidR="006730A1">
              <w:rPr>
                <w:b/>
                <w:color w:val="000000" w:themeColor="text1"/>
                <w:sz w:val="18"/>
                <w:szCs w:val="18"/>
              </w:rPr>
              <w:t>40701</w:t>
            </w:r>
          </w:p>
        </w:tc>
        <w:tc>
          <w:tcPr>
            <w:tcW w:w="810" w:type="dxa"/>
            <w:shd w:val="clear" w:color="auto" w:fill="D9D9D9" w:themeFill="background1" w:themeFillShade="D9"/>
            <w:vAlign w:val="center"/>
          </w:tcPr>
          <w:p w:rsidR="008902BE" w:rsidRPr="001F29F9" w:rsidRDefault="008902BE" w:rsidP="00BF0E94">
            <w:pPr>
              <w:contextualSpacing/>
              <w:rPr>
                <w:rFonts w:ascii="Calibri" w:hAnsi="Calibri" w:cstheme="minorHAnsi"/>
                <w:b/>
                <w:color w:val="000000" w:themeColor="text1"/>
                <w:sz w:val="18"/>
                <w:szCs w:val="18"/>
              </w:rPr>
            </w:pPr>
          </w:p>
        </w:tc>
        <w:tc>
          <w:tcPr>
            <w:tcW w:w="810" w:type="dxa"/>
            <w:tcBorders>
              <w:right w:val="single" w:sz="4" w:space="0" w:color="auto"/>
            </w:tcBorders>
            <w:shd w:val="clear" w:color="auto" w:fill="D9D9D9" w:themeFill="background1" w:themeFillShade="D9"/>
            <w:vAlign w:val="center"/>
          </w:tcPr>
          <w:p w:rsidR="008902BE" w:rsidRPr="001F29F9" w:rsidRDefault="00A57C35" w:rsidP="00BF0E94">
            <w:pPr>
              <w:contextualSpacing/>
              <w:rPr>
                <w:rFonts w:ascii="Calibri" w:hAnsi="Calibri" w:cstheme="minorHAnsi"/>
                <w:b/>
                <w:color w:val="000000" w:themeColor="text1"/>
                <w:sz w:val="18"/>
                <w:szCs w:val="18"/>
              </w:rPr>
            </w:pPr>
            <w:r w:rsidRPr="001F29F9">
              <w:rPr>
                <w:b/>
                <w:color w:val="000000" w:themeColor="text1"/>
                <w:sz w:val="18"/>
                <w:szCs w:val="18"/>
              </w:rPr>
              <w:t>TDRL</w:t>
            </w:r>
          </w:p>
        </w:tc>
        <w:tc>
          <w:tcPr>
            <w:tcW w:w="720" w:type="dxa"/>
            <w:tcBorders>
              <w:left w:val="single" w:sz="4" w:space="0" w:color="auto"/>
              <w:right w:val="thinThickThinSmallGap" w:sz="24" w:space="0" w:color="auto"/>
            </w:tcBorders>
            <w:shd w:val="clear" w:color="auto" w:fill="D9D9D9" w:themeFill="background1" w:themeFillShade="D9"/>
            <w:vAlign w:val="center"/>
          </w:tcPr>
          <w:p w:rsidR="008902BE" w:rsidRPr="001F29F9" w:rsidRDefault="00A57C35" w:rsidP="00BF0E94">
            <w:pPr>
              <w:tabs>
                <w:tab w:val="left" w:pos="206"/>
                <w:tab w:val="center" w:pos="387"/>
              </w:tabs>
              <w:contextualSpacing/>
              <w:rPr>
                <w:rFonts w:ascii="Calibri" w:hAnsi="Calibri" w:cstheme="minorHAnsi"/>
                <w:b/>
                <w:color w:val="000000" w:themeColor="text1"/>
                <w:sz w:val="18"/>
                <w:szCs w:val="18"/>
              </w:rPr>
            </w:pPr>
            <w:r w:rsidRPr="001F29F9">
              <w:rPr>
                <w:b/>
                <w:color w:val="000000" w:themeColor="text1"/>
                <w:sz w:val="18"/>
                <w:szCs w:val="18"/>
              </w:rPr>
              <w:t>Sep.</w:t>
            </w:r>
          </w:p>
        </w:tc>
        <w:tc>
          <w:tcPr>
            <w:tcW w:w="2250" w:type="dxa"/>
            <w:vMerge/>
            <w:tcBorders>
              <w:left w:val="thinThickThinSmallGap" w:sz="24" w:space="0" w:color="auto"/>
            </w:tcBorders>
            <w:shd w:val="clear" w:color="auto" w:fill="D9D9D9" w:themeFill="background1" w:themeFillShade="D9"/>
            <w:vAlign w:val="center"/>
          </w:tcPr>
          <w:p w:rsidR="008902BE" w:rsidRPr="001F29F9" w:rsidRDefault="008902BE" w:rsidP="00BF0E94">
            <w:pPr>
              <w:contextualSpacing/>
              <w:rPr>
                <w:rFonts w:ascii="Calibri" w:hAnsi="Calibri" w:cstheme="minorHAnsi"/>
                <w:b/>
                <w:color w:val="000000" w:themeColor="text1"/>
                <w:sz w:val="18"/>
                <w:szCs w:val="18"/>
              </w:rPr>
            </w:pPr>
          </w:p>
        </w:tc>
        <w:tc>
          <w:tcPr>
            <w:tcW w:w="1080" w:type="dxa"/>
            <w:vMerge/>
            <w:shd w:val="clear" w:color="auto" w:fill="C6D9F1" w:themeFill="text2" w:themeFillTint="33"/>
          </w:tcPr>
          <w:p w:rsidR="008902BE" w:rsidRPr="001F29F9" w:rsidRDefault="008902BE" w:rsidP="00BF0E94">
            <w:pPr>
              <w:contextualSpacing/>
              <w:rPr>
                <w:rFonts w:ascii="Calibri" w:hAnsi="Calibri" w:cstheme="minorHAnsi"/>
                <w:b/>
                <w:color w:val="000000" w:themeColor="text1"/>
                <w:sz w:val="18"/>
                <w:szCs w:val="18"/>
              </w:rPr>
            </w:pPr>
          </w:p>
        </w:tc>
        <w:tc>
          <w:tcPr>
            <w:tcW w:w="810" w:type="dxa"/>
            <w:vMerge/>
            <w:shd w:val="clear" w:color="auto" w:fill="C6D9F1" w:themeFill="text2" w:themeFillTint="33"/>
          </w:tcPr>
          <w:p w:rsidR="008902BE" w:rsidRPr="001F29F9" w:rsidRDefault="008902BE" w:rsidP="00BF0E94">
            <w:pPr>
              <w:contextualSpacing/>
              <w:rPr>
                <w:rFonts w:ascii="Calibri" w:hAnsi="Calibri" w:cstheme="minorHAnsi"/>
                <w:b/>
                <w:color w:val="000000" w:themeColor="text1"/>
                <w:sz w:val="18"/>
                <w:szCs w:val="18"/>
              </w:rPr>
            </w:pPr>
          </w:p>
        </w:tc>
        <w:tc>
          <w:tcPr>
            <w:tcW w:w="1080" w:type="dxa"/>
            <w:vMerge/>
            <w:shd w:val="clear" w:color="auto" w:fill="C6D9F1" w:themeFill="text2" w:themeFillTint="33"/>
          </w:tcPr>
          <w:p w:rsidR="008902BE" w:rsidRPr="001F29F9" w:rsidRDefault="008902BE" w:rsidP="00BF0E94">
            <w:pPr>
              <w:contextualSpacing/>
              <w:rPr>
                <w:rFonts w:ascii="Calibri" w:hAnsi="Calibri" w:cstheme="minorHAnsi"/>
                <w:b/>
                <w:color w:val="000000" w:themeColor="text1"/>
                <w:sz w:val="18"/>
                <w:szCs w:val="18"/>
              </w:rPr>
            </w:pPr>
          </w:p>
        </w:tc>
      </w:tr>
      <w:tr w:rsidR="000D2CFD" w:rsidRPr="001F29F9" w:rsidTr="00D41DDC">
        <w:trPr>
          <w:trHeight w:val="313"/>
          <w:jc w:val="center"/>
        </w:trPr>
        <w:tc>
          <w:tcPr>
            <w:tcW w:w="1818" w:type="dxa"/>
            <w:tcBorders>
              <w:right w:val="single" w:sz="4" w:space="0" w:color="auto"/>
            </w:tcBorders>
            <w:shd w:val="clear" w:color="auto" w:fill="FFFFFF" w:themeFill="background1"/>
            <w:vAlign w:val="center"/>
          </w:tcPr>
          <w:p w:rsidR="00BC5860" w:rsidRPr="001F29F9" w:rsidRDefault="006730A1" w:rsidP="00D41DDC">
            <w:pPr>
              <w:spacing w:line="240" w:lineRule="auto"/>
              <w:contextualSpacing/>
              <w:jc w:val="left"/>
              <w:rPr>
                <w:rFonts w:ascii="Calibri" w:eastAsia="Times New Roman" w:hAnsi="Calibri" w:cstheme="minorHAnsi"/>
                <w:color w:val="000000" w:themeColor="text1"/>
                <w:sz w:val="18"/>
                <w:szCs w:val="18"/>
              </w:rPr>
            </w:pPr>
            <w:proofErr w:type="spellStart"/>
            <w:r>
              <w:rPr>
                <w:rFonts w:ascii="Calibri" w:hAnsi="Calibri" w:cstheme="minorHAnsi"/>
                <w:color w:val="000000" w:themeColor="text1"/>
                <w:sz w:val="18"/>
                <w:szCs w:val="18"/>
              </w:rPr>
              <w:t>Subtalar</w:t>
            </w:r>
            <w:proofErr w:type="spellEnd"/>
            <w:r>
              <w:rPr>
                <w:rFonts w:ascii="Calibri" w:hAnsi="Calibri" w:cstheme="minorHAnsi"/>
                <w:color w:val="000000" w:themeColor="text1"/>
                <w:sz w:val="18"/>
                <w:szCs w:val="18"/>
              </w:rPr>
              <w:t xml:space="preserve"> Dislocation</w:t>
            </w:r>
          </w:p>
        </w:tc>
        <w:tc>
          <w:tcPr>
            <w:tcW w:w="810" w:type="dxa"/>
            <w:tcBorders>
              <w:left w:val="single" w:sz="4" w:space="0" w:color="auto"/>
            </w:tcBorders>
            <w:shd w:val="clear" w:color="auto" w:fill="FFFFFF" w:themeFill="background1"/>
            <w:vAlign w:val="center"/>
          </w:tcPr>
          <w:p w:rsidR="00BC5860" w:rsidRPr="001F29F9" w:rsidRDefault="006730A1">
            <w:pPr>
              <w:spacing w:line="180" w:lineRule="exact"/>
              <w:contextualSpacing/>
              <w:rPr>
                <w:rFonts w:ascii="Calibri" w:eastAsia="Times New Roman" w:hAnsi="Calibri" w:cstheme="minorHAnsi"/>
                <w:color w:val="000000" w:themeColor="text1"/>
                <w:sz w:val="18"/>
                <w:szCs w:val="18"/>
              </w:rPr>
            </w:pPr>
            <w:r>
              <w:rPr>
                <w:rFonts w:ascii="Calibri" w:hAnsi="Calibri" w:cstheme="minorHAnsi"/>
                <w:color w:val="000000" w:themeColor="text1"/>
                <w:sz w:val="18"/>
                <w:szCs w:val="18"/>
              </w:rPr>
              <w:t>5284</w:t>
            </w:r>
          </w:p>
        </w:tc>
        <w:tc>
          <w:tcPr>
            <w:tcW w:w="810" w:type="dxa"/>
            <w:tcBorders>
              <w:right w:val="single" w:sz="4" w:space="0" w:color="auto"/>
            </w:tcBorders>
            <w:shd w:val="clear" w:color="auto" w:fill="FFFFFF" w:themeFill="background1"/>
            <w:vAlign w:val="center"/>
          </w:tcPr>
          <w:p w:rsidR="00BC5860" w:rsidRPr="001F29F9" w:rsidRDefault="006730A1">
            <w:pPr>
              <w:spacing w:line="180" w:lineRule="exact"/>
              <w:rPr>
                <w:rFonts w:ascii="Calibri" w:eastAsia="Times New Roman" w:hAnsi="Calibri" w:cstheme="minorHAnsi"/>
                <w:color w:val="000000" w:themeColor="text1"/>
                <w:sz w:val="18"/>
                <w:szCs w:val="18"/>
              </w:rPr>
            </w:pPr>
            <w:r>
              <w:rPr>
                <w:rFonts w:ascii="Calibri" w:hAnsi="Calibri" w:cstheme="minorHAnsi"/>
                <w:color w:val="000000" w:themeColor="text1"/>
                <w:sz w:val="18"/>
                <w:szCs w:val="18"/>
              </w:rPr>
              <w:t>30</w:t>
            </w:r>
            <w:r w:rsidR="000D2CFD" w:rsidRPr="001F29F9">
              <w:rPr>
                <w:rFonts w:ascii="Calibri" w:hAnsi="Calibri" w:cstheme="minorHAnsi"/>
                <w:color w:val="000000" w:themeColor="text1"/>
                <w:sz w:val="18"/>
                <w:szCs w:val="18"/>
              </w:rPr>
              <w:t>%</w:t>
            </w:r>
          </w:p>
        </w:tc>
        <w:tc>
          <w:tcPr>
            <w:tcW w:w="720" w:type="dxa"/>
            <w:tcBorders>
              <w:left w:val="single" w:sz="4" w:space="0" w:color="auto"/>
              <w:right w:val="thinThickThinSmallGap" w:sz="24" w:space="0" w:color="auto"/>
            </w:tcBorders>
            <w:shd w:val="clear" w:color="auto" w:fill="FFFFFF" w:themeFill="background1"/>
            <w:vAlign w:val="center"/>
          </w:tcPr>
          <w:p w:rsidR="00BC5860" w:rsidRPr="001F29F9" w:rsidRDefault="006730A1">
            <w:pPr>
              <w:spacing w:line="180" w:lineRule="exact"/>
              <w:rPr>
                <w:rFonts w:ascii="Calibri" w:eastAsia="Times New Roman" w:hAnsi="Calibri" w:cstheme="minorHAnsi"/>
                <w:color w:val="000000" w:themeColor="text1"/>
                <w:sz w:val="18"/>
                <w:szCs w:val="18"/>
              </w:rPr>
            </w:pPr>
            <w:r>
              <w:rPr>
                <w:rFonts w:ascii="Calibri" w:hAnsi="Calibri" w:cstheme="minorHAnsi"/>
                <w:color w:val="000000" w:themeColor="text1"/>
                <w:sz w:val="18"/>
                <w:szCs w:val="18"/>
              </w:rPr>
              <w:t>20</w:t>
            </w:r>
            <w:r w:rsidR="000D2CFD" w:rsidRPr="001F29F9">
              <w:rPr>
                <w:rFonts w:ascii="Calibri" w:hAnsi="Calibri" w:cstheme="minorHAnsi"/>
                <w:color w:val="000000" w:themeColor="text1"/>
                <w:sz w:val="18"/>
                <w:szCs w:val="18"/>
              </w:rPr>
              <w:t>%</w:t>
            </w:r>
          </w:p>
        </w:tc>
        <w:tc>
          <w:tcPr>
            <w:tcW w:w="2250" w:type="dxa"/>
            <w:tcBorders>
              <w:left w:val="thinThickThinSmallGap" w:sz="24" w:space="0" w:color="auto"/>
            </w:tcBorders>
            <w:shd w:val="clear" w:color="auto" w:fill="FFFFFF" w:themeFill="background1"/>
          </w:tcPr>
          <w:p w:rsidR="00BC5860" w:rsidRPr="001F29F9" w:rsidRDefault="00D41DDC" w:rsidP="00D41DDC">
            <w:pPr>
              <w:spacing w:line="180" w:lineRule="exact"/>
              <w:contextualSpacing/>
              <w:jc w:val="left"/>
              <w:rPr>
                <w:rFonts w:ascii="Calibri" w:eastAsia="Times New Roman" w:hAnsi="Calibri" w:cstheme="minorHAnsi"/>
                <w:color w:val="000000" w:themeColor="text1"/>
                <w:sz w:val="18"/>
                <w:szCs w:val="18"/>
              </w:rPr>
            </w:pPr>
            <w:r>
              <w:rPr>
                <w:rFonts w:ascii="Calibri" w:hAnsi="Calibri" w:cstheme="minorHAnsi"/>
                <w:color w:val="000000" w:themeColor="text1"/>
                <w:sz w:val="18"/>
                <w:szCs w:val="18"/>
              </w:rPr>
              <w:t xml:space="preserve">S/P </w:t>
            </w:r>
            <w:r w:rsidR="006730A1">
              <w:rPr>
                <w:rFonts w:ascii="Calibri" w:hAnsi="Calibri" w:cstheme="minorHAnsi"/>
                <w:color w:val="000000" w:themeColor="text1"/>
                <w:sz w:val="18"/>
                <w:szCs w:val="18"/>
              </w:rPr>
              <w:t xml:space="preserve">reduction, </w:t>
            </w:r>
            <w:proofErr w:type="spellStart"/>
            <w:r w:rsidR="006730A1">
              <w:rPr>
                <w:rFonts w:ascii="Calibri" w:hAnsi="Calibri" w:cstheme="minorHAnsi"/>
                <w:color w:val="000000" w:themeColor="text1"/>
                <w:sz w:val="18"/>
                <w:szCs w:val="18"/>
              </w:rPr>
              <w:t>Subtalar</w:t>
            </w:r>
            <w:proofErr w:type="spellEnd"/>
            <w:r w:rsidR="006730A1">
              <w:rPr>
                <w:rFonts w:ascii="Calibri" w:hAnsi="Calibri" w:cstheme="minorHAnsi"/>
                <w:color w:val="000000" w:themeColor="text1"/>
                <w:sz w:val="18"/>
                <w:szCs w:val="18"/>
              </w:rPr>
              <w:t xml:space="preserve"> Dislocation R/Ankle</w:t>
            </w:r>
          </w:p>
        </w:tc>
        <w:tc>
          <w:tcPr>
            <w:tcW w:w="1080" w:type="dxa"/>
            <w:shd w:val="clear" w:color="auto" w:fill="FFFFFF" w:themeFill="background1"/>
            <w:vAlign w:val="center"/>
          </w:tcPr>
          <w:p w:rsidR="00BC5860" w:rsidRPr="001F29F9" w:rsidRDefault="006730A1">
            <w:pPr>
              <w:spacing w:line="180" w:lineRule="exact"/>
              <w:contextualSpacing/>
              <w:rPr>
                <w:rFonts w:ascii="Calibri" w:eastAsia="Times New Roman" w:hAnsi="Calibri" w:cstheme="minorHAnsi"/>
                <w:color w:val="000000" w:themeColor="text1"/>
                <w:sz w:val="18"/>
                <w:szCs w:val="18"/>
              </w:rPr>
            </w:pPr>
            <w:r>
              <w:rPr>
                <w:rFonts w:ascii="Calibri" w:hAnsi="Calibri" w:cstheme="minorHAnsi"/>
                <w:color w:val="000000" w:themeColor="text1"/>
                <w:sz w:val="18"/>
                <w:szCs w:val="18"/>
              </w:rPr>
              <w:t>5010-5271</w:t>
            </w:r>
          </w:p>
        </w:tc>
        <w:tc>
          <w:tcPr>
            <w:tcW w:w="810" w:type="dxa"/>
            <w:shd w:val="clear" w:color="auto" w:fill="FFFFFF" w:themeFill="background1"/>
            <w:vAlign w:val="center"/>
          </w:tcPr>
          <w:p w:rsidR="00BC5860" w:rsidRPr="001F29F9" w:rsidRDefault="006730A1">
            <w:pPr>
              <w:spacing w:line="180" w:lineRule="exact"/>
              <w:contextualSpacing/>
              <w:rPr>
                <w:rFonts w:ascii="Calibri" w:eastAsia="Times New Roman" w:hAnsi="Calibri" w:cstheme="minorHAnsi"/>
                <w:color w:val="000000" w:themeColor="text1"/>
                <w:sz w:val="18"/>
                <w:szCs w:val="18"/>
              </w:rPr>
            </w:pPr>
            <w:r>
              <w:rPr>
                <w:rFonts w:ascii="Calibri" w:hAnsi="Calibri" w:cstheme="minorHAnsi"/>
                <w:color w:val="000000" w:themeColor="text1"/>
                <w:sz w:val="18"/>
                <w:szCs w:val="18"/>
              </w:rPr>
              <w:t>10</w:t>
            </w:r>
            <w:r w:rsidR="000D2CFD" w:rsidRPr="001F29F9">
              <w:rPr>
                <w:rFonts w:ascii="Calibri" w:hAnsi="Calibri" w:cstheme="minorHAnsi"/>
                <w:color w:val="000000" w:themeColor="text1"/>
                <w:sz w:val="18"/>
                <w:szCs w:val="18"/>
              </w:rPr>
              <w:t>%</w:t>
            </w:r>
          </w:p>
        </w:tc>
        <w:tc>
          <w:tcPr>
            <w:tcW w:w="1080" w:type="dxa"/>
            <w:shd w:val="clear" w:color="auto" w:fill="FFFFFF" w:themeFill="background1"/>
            <w:vAlign w:val="center"/>
          </w:tcPr>
          <w:p w:rsidR="00BC5860" w:rsidRPr="001F29F9" w:rsidRDefault="000D2CFD">
            <w:pPr>
              <w:spacing w:line="180" w:lineRule="exact"/>
              <w:contextualSpacing/>
              <w:rPr>
                <w:rFonts w:ascii="Calibri" w:eastAsia="Times New Roman" w:hAnsi="Calibri" w:cstheme="minorHAnsi"/>
                <w:color w:val="000000" w:themeColor="text1"/>
                <w:sz w:val="18"/>
                <w:szCs w:val="18"/>
              </w:rPr>
            </w:pPr>
            <w:r w:rsidRPr="001F29F9">
              <w:rPr>
                <w:rFonts w:ascii="Calibri" w:hAnsi="Calibri" w:cstheme="minorHAnsi"/>
                <w:color w:val="000000" w:themeColor="text1"/>
                <w:sz w:val="18"/>
                <w:szCs w:val="18"/>
              </w:rPr>
              <w:t>200</w:t>
            </w:r>
            <w:r w:rsidR="006730A1">
              <w:rPr>
                <w:rFonts w:ascii="Calibri" w:hAnsi="Calibri" w:cstheme="minorHAnsi"/>
                <w:color w:val="000000" w:themeColor="text1"/>
                <w:sz w:val="18"/>
                <w:szCs w:val="18"/>
              </w:rPr>
              <w:t>40524</w:t>
            </w:r>
          </w:p>
        </w:tc>
      </w:tr>
      <w:tr w:rsidR="006730A1" w:rsidRPr="001F29F9" w:rsidTr="000C10F6">
        <w:trPr>
          <w:trHeight w:val="125"/>
          <w:jc w:val="center"/>
        </w:trPr>
        <w:tc>
          <w:tcPr>
            <w:tcW w:w="4158" w:type="dxa"/>
            <w:gridSpan w:val="4"/>
            <w:vMerge w:val="restart"/>
            <w:tcBorders>
              <w:right w:val="thinThickThinSmallGap" w:sz="24" w:space="0" w:color="auto"/>
            </w:tcBorders>
            <w:shd w:val="clear" w:color="auto" w:fill="FFFFFF" w:themeFill="background1"/>
          </w:tcPr>
          <w:p w:rsidR="006730A1" w:rsidRPr="001F29F9" w:rsidRDefault="006730A1" w:rsidP="0071264B">
            <w:pPr>
              <w:spacing w:line="180" w:lineRule="exact"/>
              <w:contextualSpacing/>
              <w:rPr>
                <w:rFonts w:ascii="Calibri" w:eastAsia="Times New Roman" w:hAnsi="Calibri" w:cstheme="minorHAnsi"/>
                <w:color w:val="000000" w:themeColor="text1"/>
                <w:sz w:val="18"/>
                <w:szCs w:val="18"/>
              </w:rPr>
            </w:pPr>
            <w:r w:rsidRPr="001F29F9">
              <w:rPr>
                <w:rFonts w:ascii="Calibri" w:hAnsi="Calibri" w:cstheme="minorHAnsi"/>
                <w:color w:val="000000" w:themeColor="text1"/>
                <w:sz w:val="18"/>
                <w:szCs w:val="18"/>
              </w:rPr>
              <w:t>↓No Additional MEB/PEB Entries↓</w:t>
            </w:r>
          </w:p>
        </w:tc>
        <w:tc>
          <w:tcPr>
            <w:tcW w:w="2250" w:type="dxa"/>
            <w:tcBorders>
              <w:left w:val="thinThickThinSmallGap" w:sz="24" w:space="0" w:color="auto"/>
            </w:tcBorders>
            <w:shd w:val="clear" w:color="auto" w:fill="FFFFFF" w:themeFill="background1"/>
          </w:tcPr>
          <w:p w:rsidR="006730A1" w:rsidRPr="001F29F9" w:rsidRDefault="006730A1">
            <w:pPr>
              <w:spacing w:line="180" w:lineRule="exact"/>
              <w:contextualSpacing/>
              <w:jc w:val="both"/>
              <w:rPr>
                <w:rFonts w:ascii="Calibri" w:eastAsia="Times New Roman" w:hAnsi="Calibri" w:cstheme="minorHAnsi"/>
                <w:color w:val="000000" w:themeColor="text1"/>
                <w:sz w:val="18"/>
                <w:szCs w:val="18"/>
              </w:rPr>
            </w:pPr>
            <w:r>
              <w:rPr>
                <w:rFonts w:ascii="Calibri" w:eastAsia="Times New Roman" w:hAnsi="Calibri" w:cstheme="minorHAnsi"/>
                <w:color w:val="000000" w:themeColor="text1"/>
                <w:sz w:val="18"/>
                <w:szCs w:val="18"/>
              </w:rPr>
              <w:t>L/Hip Capsulitis</w:t>
            </w:r>
          </w:p>
        </w:tc>
        <w:tc>
          <w:tcPr>
            <w:tcW w:w="1080" w:type="dxa"/>
            <w:shd w:val="clear" w:color="auto" w:fill="FFFFFF" w:themeFill="background1"/>
            <w:vAlign w:val="center"/>
          </w:tcPr>
          <w:p w:rsidR="006730A1" w:rsidRPr="001F29F9" w:rsidRDefault="006730A1">
            <w:pPr>
              <w:spacing w:line="180" w:lineRule="exact"/>
              <w:contextualSpacing/>
              <w:rPr>
                <w:rFonts w:ascii="Calibri" w:eastAsia="Times New Roman" w:hAnsi="Calibri" w:cstheme="minorHAnsi"/>
                <w:color w:val="000000" w:themeColor="text1"/>
                <w:sz w:val="18"/>
                <w:szCs w:val="18"/>
              </w:rPr>
            </w:pPr>
            <w:r>
              <w:rPr>
                <w:rFonts w:ascii="Calibri" w:eastAsia="Times New Roman" w:hAnsi="Calibri" w:cstheme="minorHAnsi"/>
                <w:color w:val="000000" w:themeColor="text1"/>
                <w:sz w:val="18"/>
                <w:szCs w:val="18"/>
              </w:rPr>
              <w:t>5299-5255</w:t>
            </w:r>
          </w:p>
        </w:tc>
        <w:tc>
          <w:tcPr>
            <w:tcW w:w="810" w:type="dxa"/>
            <w:shd w:val="clear" w:color="auto" w:fill="FFFFFF" w:themeFill="background1"/>
            <w:vAlign w:val="center"/>
          </w:tcPr>
          <w:p w:rsidR="006730A1" w:rsidRPr="001F29F9" w:rsidRDefault="006730A1">
            <w:pPr>
              <w:spacing w:line="180" w:lineRule="exact"/>
              <w:contextualSpacing/>
              <w:rPr>
                <w:rFonts w:ascii="Calibri" w:eastAsia="Times New Roman" w:hAnsi="Calibri" w:cstheme="minorHAnsi"/>
                <w:color w:val="000000" w:themeColor="text1"/>
                <w:sz w:val="18"/>
                <w:szCs w:val="18"/>
              </w:rPr>
            </w:pPr>
            <w:r>
              <w:rPr>
                <w:rFonts w:ascii="Calibri" w:eastAsia="Times New Roman" w:hAnsi="Calibri" w:cstheme="minorHAnsi"/>
                <w:color w:val="000000" w:themeColor="text1"/>
                <w:sz w:val="18"/>
                <w:szCs w:val="18"/>
              </w:rPr>
              <w:t>10%</w:t>
            </w:r>
          </w:p>
        </w:tc>
        <w:tc>
          <w:tcPr>
            <w:tcW w:w="1080" w:type="dxa"/>
            <w:shd w:val="clear" w:color="auto" w:fill="FFFFFF" w:themeFill="background1"/>
            <w:vAlign w:val="center"/>
          </w:tcPr>
          <w:p w:rsidR="006730A1" w:rsidRPr="001F29F9" w:rsidRDefault="006730A1">
            <w:pPr>
              <w:spacing w:line="180" w:lineRule="exact"/>
              <w:contextualSpacing/>
              <w:rPr>
                <w:rFonts w:ascii="Calibri" w:eastAsia="Times New Roman" w:hAnsi="Calibri" w:cstheme="minorHAnsi"/>
                <w:color w:val="000000" w:themeColor="text1"/>
                <w:sz w:val="18"/>
                <w:szCs w:val="18"/>
              </w:rPr>
            </w:pPr>
            <w:r>
              <w:rPr>
                <w:rFonts w:ascii="Calibri" w:eastAsia="Times New Roman" w:hAnsi="Calibri" w:cstheme="minorHAnsi"/>
                <w:color w:val="000000" w:themeColor="text1"/>
                <w:sz w:val="18"/>
                <w:szCs w:val="18"/>
              </w:rPr>
              <w:t>20040524</w:t>
            </w:r>
          </w:p>
        </w:tc>
      </w:tr>
      <w:tr w:rsidR="006730A1" w:rsidRPr="001F29F9" w:rsidTr="000C10F6">
        <w:trPr>
          <w:trHeight w:val="188"/>
          <w:jc w:val="center"/>
        </w:trPr>
        <w:tc>
          <w:tcPr>
            <w:tcW w:w="4158" w:type="dxa"/>
            <w:gridSpan w:val="4"/>
            <w:vMerge/>
            <w:tcBorders>
              <w:bottom w:val="single" w:sz="4" w:space="0" w:color="000000" w:themeColor="text1"/>
              <w:right w:val="thinThickThinSmallGap" w:sz="24" w:space="0" w:color="auto"/>
            </w:tcBorders>
            <w:shd w:val="clear" w:color="auto" w:fill="FFFFFF" w:themeFill="background1"/>
          </w:tcPr>
          <w:p w:rsidR="006730A1" w:rsidRPr="001F29F9" w:rsidRDefault="006730A1">
            <w:pPr>
              <w:spacing w:line="180" w:lineRule="exact"/>
              <w:contextualSpacing/>
              <w:jc w:val="both"/>
              <w:rPr>
                <w:rFonts w:ascii="Calibri" w:eastAsia="Times New Roman" w:hAnsi="Calibri" w:cstheme="minorHAnsi"/>
                <w:color w:val="000000" w:themeColor="text1"/>
                <w:sz w:val="18"/>
                <w:szCs w:val="18"/>
              </w:rPr>
            </w:pPr>
          </w:p>
        </w:tc>
        <w:tc>
          <w:tcPr>
            <w:tcW w:w="4140" w:type="dxa"/>
            <w:gridSpan w:val="3"/>
            <w:tcBorders>
              <w:left w:val="thinThickThinSmallGap" w:sz="24" w:space="0" w:color="auto"/>
              <w:bottom w:val="single" w:sz="4" w:space="0" w:color="000000" w:themeColor="text1"/>
            </w:tcBorders>
            <w:shd w:val="clear" w:color="auto" w:fill="FFFFFF" w:themeFill="background1"/>
            <w:vAlign w:val="center"/>
          </w:tcPr>
          <w:p w:rsidR="006730A1" w:rsidRPr="001F29F9" w:rsidRDefault="006730A1" w:rsidP="006730A1">
            <w:pPr>
              <w:spacing w:line="180" w:lineRule="exact"/>
              <w:contextualSpacing/>
              <w:rPr>
                <w:rFonts w:ascii="Calibri" w:eastAsia="Times New Roman" w:hAnsi="Calibri" w:cstheme="minorHAnsi"/>
                <w:color w:val="000000" w:themeColor="text1"/>
                <w:sz w:val="18"/>
                <w:szCs w:val="18"/>
              </w:rPr>
            </w:pPr>
            <w:r>
              <w:rPr>
                <w:rFonts w:ascii="Calibri" w:hAnsi="Calibri" w:cstheme="minorHAnsi"/>
                <w:color w:val="000000" w:themeColor="text1"/>
                <w:sz w:val="18"/>
                <w:szCs w:val="18"/>
              </w:rPr>
              <w:t>0% x 0</w:t>
            </w:r>
            <w:r w:rsidRPr="001F29F9">
              <w:rPr>
                <w:rFonts w:ascii="Calibri" w:hAnsi="Calibri" w:cstheme="minorHAnsi"/>
                <w:color w:val="000000" w:themeColor="text1"/>
                <w:sz w:val="18"/>
                <w:szCs w:val="18"/>
              </w:rPr>
              <w:t xml:space="preserve">/Not Service Connected x </w:t>
            </w:r>
            <w:r>
              <w:rPr>
                <w:rFonts w:ascii="Calibri" w:hAnsi="Calibri" w:cstheme="minorHAnsi"/>
                <w:color w:val="000000" w:themeColor="text1"/>
                <w:sz w:val="18"/>
                <w:szCs w:val="18"/>
              </w:rPr>
              <w:t>0</w:t>
            </w:r>
          </w:p>
        </w:tc>
        <w:tc>
          <w:tcPr>
            <w:tcW w:w="1080" w:type="dxa"/>
            <w:tcBorders>
              <w:bottom w:val="single" w:sz="4" w:space="0" w:color="000000" w:themeColor="text1"/>
            </w:tcBorders>
            <w:shd w:val="clear" w:color="auto" w:fill="FFFFFF" w:themeFill="background1"/>
            <w:vAlign w:val="center"/>
          </w:tcPr>
          <w:p w:rsidR="006730A1" w:rsidRPr="001F29F9" w:rsidRDefault="006730A1" w:rsidP="00106920">
            <w:pPr>
              <w:spacing w:line="180" w:lineRule="exact"/>
              <w:contextualSpacing/>
              <w:jc w:val="left"/>
              <w:rPr>
                <w:rFonts w:ascii="Calibri" w:eastAsia="Times New Roman" w:hAnsi="Calibri" w:cstheme="minorHAnsi"/>
                <w:color w:val="000000" w:themeColor="text1"/>
                <w:sz w:val="18"/>
                <w:szCs w:val="18"/>
              </w:rPr>
            </w:pPr>
            <w:r>
              <w:rPr>
                <w:rFonts w:ascii="Calibri" w:hAnsi="Calibri" w:cstheme="minorHAnsi"/>
                <w:color w:val="000000" w:themeColor="text1"/>
                <w:sz w:val="18"/>
                <w:szCs w:val="18"/>
              </w:rPr>
              <w:t>20040923</w:t>
            </w:r>
          </w:p>
        </w:tc>
      </w:tr>
      <w:tr w:rsidR="006D4250" w:rsidRPr="001F29F9" w:rsidTr="00A03A9E">
        <w:trPr>
          <w:trHeight w:val="242"/>
          <w:jc w:val="center"/>
        </w:trPr>
        <w:tc>
          <w:tcPr>
            <w:tcW w:w="4158" w:type="dxa"/>
            <w:gridSpan w:val="4"/>
            <w:tcBorders>
              <w:right w:val="thinThickThinSmallGap" w:sz="24" w:space="0" w:color="auto"/>
            </w:tcBorders>
            <w:shd w:val="clear" w:color="auto" w:fill="D9D9D9" w:themeFill="background1" w:themeFillShade="D9"/>
            <w:vAlign w:val="center"/>
          </w:tcPr>
          <w:p w:rsidR="006D4250" w:rsidRPr="001F29F9" w:rsidRDefault="006D4250" w:rsidP="00BF0E94">
            <w:pPr>
              <w:contextualSpacing/>
              <w:rPr>
                <w:rFonts w:ascii="Calibri" w:hAnsi="Calibri" w:cstheme="minorHAnsi"/>
                <w:color w:val="000000" w:themeColor="text1"/>
                <w:sz w:val="18"/>
                <w:szCs w:val="18"/>
              </w:rPr>
            </w:pPr>
            <w:r w:rsidRPr="001F29F9">
              <w:rPr>
                <w:rFonts w:ascii="Calibri" w:hAnsi="Calibri" w:cstheme="minorHAnsi"/>
                <w:color w:val="000000" w:themeColor="text1"/>
                <w:sz w:val="18"/>
                <w:szCs w:val="18"/>
              </w:rPr>
              <w:t xml:space="preserve">Combined:  </w:t>
            </w:r>
            <w:r w:rsidR="006730A1">
              <w:rPr>
                <w:rFonts w:ascii="Calibri" w:hAnsi="Calibri" w:cstheme="minorHAnsi"/>
                <w:color w:val="000000" w:themeColor="text1"/>
                <w:sz w:val="18"/>
                <w:szCs w:val="18"/>
              </w:rPr>
              <w:t>20</w:t>
            </w:r>
            <w:r w:rsidRPr="001F29F9">
              <w:rPr>
                <w:rFonts w:ascii="Calibri" w:hAnsi="Calibri" w:cstheme="minorHAnsi"/>
                <w:color w:val="000000" w:themeColor="text1"/>
                <w:sz w:val="18"/>
                <w:szCs w:val="18"/>
              </w:rPr>
              <w:t>%</w:t>
            </w:r>
          </w:p>
        </w:tc>
        <w:tc>
          <w:tcPr>
            <w:tcW w:w="5220" w:type="dxa"/>
            <w:gridSpan w:val="4"/>
            <w:tcBorders>
              <w:left w:val="thinThickThinSmallGap" w:sz="24" w:space="0" w:color="auto"/>
            </w:tcBorders>
            <w:shd w:val="clear" w:color="auto" w:fill="D9D9D9" w:themeFill="background1" w:themeFillShade="D9"/>
            <w:vAlign w:val="center"/>
          </w:tcPr>
          <w:p w:rsidR="006D4250" w:rsidRPr="001F29F9" w:rsidRDefault="006D4250" w:rsidP="00BF0E94">
            <w:pPr>
              <w:contextualSpacing/>
              <w:rPr>
                <w:rFonts w:ascii="Calibri" w:hAnsi="Calibri" w:cstheme="minorHAnsi"/>
                <w:color w:val="000000" w:themeColor="text1"/>
                <w:sz w:val="18"/>
                <w:szCs w:val="18"/>
              </w:rPr>
            </w:pPr>
            <w:r w:rsidRPr="001F29F9">
              <w:rPr>
                <w:rFonts w:ascii="Calibri" w:hAnsi="Calibri" w:cstheme="minorHAnsi"/>
                <w:color w:val="000000" w:themeColor="text1"/>
                <w:sz w:val="18"/>
                <w:szCs w:val="18"/>
              </w:rPr>
              <w:t xml:space="preserve">Combined: </w:t>
            </w:r>
            <w:r w:rsidR="00E57FED" w:rsidRPr="001F29F9">
              <w:rPr>
                <w:rFonts w:ascii="Calibri" w:hAnsi="Calibri" w:cstheme="minorHAnsi"/>
                <w:color w:val="000000" w:themeColor="text1"/>
                <w:sz w:val="18"/>
                <w:szCs w:val="18"/>
              </w:rPr>
              <w:t xml:space="preserve"> </w:t>
            </w:r>
            <w:r w:rsidR="006730A1">
              <w:rPr>
                <w:rFonts w:ascii="Calibri" w:hAnsi="Calibri" w:cstheme="minorHAnsi"/>
                <w:color w:val="000000" w:themeColor="text1"/>
                <w:sz w:val="18"/>
                <w:szCs w:val="18"/>
              </w:rPr>
              <w:t>2</w:t>
            </w:r>
            <w:r w:rsidR="006F0F9C" w:rsidRPr="001F29F9">
              <w:rPr>
                <w:rFonts w:ascii="Calibri" w:hAnsi="Calibri" w:cstheme="minorHAnsi"/>
                <w:color w:val="000000" w:themeColor="text1"/>
                <w:sz w:val="18"/>
                <w:szCs w:val="18"/>
              </w:rPr>
              <w:t>0</w:t>
            </w:r>
            <w:r w:rsidRPr="001F29F9">
              <w:rPr>
                <w:rFonts w:ascii="Calibri" w:hAnsi="Calibri" w:cstheme="minorHAnsi"/>
                <w:color w:val="000000" w:themeColor="text1"/>
                <w:sz w:val="18"/>
                <w:szCs w:val="18"/>
              </w:rPr>
              <w:t>%</w:t>
            </w:r>
          </w:p>
        </w:tc>
      </w:tr>
    </w:tbl>
    <w:p w:rsidR="004174F0" w:rsidRPr="001F29F9" w:rsidRDefault="004174F0" w:rsidP="00BF0E94">
      <w:pPr>
        <w:pBdr>
          <w:bottom w:val="single" w:sz="12" w:space="1" w:color="auto"/>
        </w:pBdr>
        <w:tabs>
          <w:tab w:val="left" w:pos="288"/>
          <w:tab w:val="left" w:pos="4752"/>
        </w:tabs>
        <w:jc w:val="both"/>
        <w:rPr>
          <w:color w:val="000000" w:themeColor="text1"/>
        </w:rPr>
      </w:pPr>
    </w:p>
    <w:p w:rsidR="009369A6" w:rsidRPr="001F29F9" w:rsidRDefault="00D41DDC" w:rsidP="009369A6">
      <w:pPr>
        <w:rPr>
          <w:color w:val="000000" w:themeColor="text1"/>
          <w:szCs w:val="24"/>
          <w:u w:val="single"/>
        </w:rPr>
      </w:pPr>
      <w:r>
        <w:rPr>
          <w:color w:val="000000" w:themeColor="text1"/>
          <w:sz w:val="18"/>
          <w:szCs w:val="18"/>
        </w:rPr>
        <w:t xml:space="preserve"> </w:t>
      </w:r>
    </w:p>
    <w:p w:rsidR="000C10F6" w:rsidRPr="00A32AD8" w:rsidRDefault="002C6E5B" w:rsidP="00FB6596">
      <w:pPr>
        <w:tabs>
          <w:tab w:val="left" w:pos="288"/>
          <w:tab w:val="left" w:pos="4752"/>
        </w:tabs>
        <w:jc w:val="both"/>
        <w:rPr>
          <w:color w:val="auto"/>
          <w:szCs w:val="24"/>
        </w:rPr>
      </w:pPr>
      <w:r w:rsidRPr="001F29F9">
        <w:rPr>
          <w:color w:val="000000" w:themeColor="text1"/>
          <w:szCs w:val="24"/>
          <w:u w:val="single"/>
        </w:rPr>
        <w:lastRenderedPageBreak/>
        <w:t>ANALYSIS SUMMARY</w:t>
      </w:r>
      <w:r w:rsidRPr="001F29F9">
        <w:rPr>
          <w:color w:val="000000" w:themeColor="text1"/>
          <w:szCs w:val="24"/>
        </w:rPr>
        <w:t>:</w:t>
      </w:r>
      <w:r w:rsidR="00FB6596">
        <w:rPr>
          <w:color w:val="000000" w:themeColor="text1"/>
          <w:szCs w:val="24"/>
        </w:rPr>
        <w:t xml:space="preserve">  </w:t>
      </w:r>
      <w:r w:rsidR="00FB6596" w:rsidRPr="007C3350">
        <w:rPr>
          <w:rFonts w:cs="Times New Roman"/>
          <w:color w:val="auto"/>
          <w:szCs w:val="24"/>
        </w:rPr>
        <w:t xml:space="preserve">The </w:t>
      </w:r>
      <w:r w:rsidR="00F2257A">
        <w:rPr>
          <w:rFonts w:cs="Times New Roman"/>
          <w:color w:val="auto"/>
          <w:szCs w:val="24"/>
        </w:rPr>
        <w:t>Disability Evaluation System (</w:t>
      </w:r>
      <w:r w:rsidR="00FB6596" w:rsidRPr="007C3350">
        <w:rPr>
          <w:rFonts w:cs="Times New Roman"/>
          <w:color w:val="auto"/>
          <w:szCs w:val="24"/>
        </w:rPr>
        <w:t>DES) is responsible for maintaining a fit and v</w:t>
      </w:r>
      <w:r w:rsidR="00F2257A">
        <w:rPr>
          <w:rFonts w:cs="Times New Roman"/>
          <w:color w:val="auto"/>
          <w:szCs w:val="24"/>
        </w:rPr>
        <w:t xml:space="preserve">ital fighting force. While the </w:t>
      </w:r>
      <w:r w:rsidR="00FB6596" w:rsidRPr="007C3350">
        <w:rPr>
          <w:rFonts w:cs="Times New Roman"/>
          <w:color w:val="auto"/>
          <w:szCs w:val="24"/>
        </w:rPr>
        <w:t>DES considers all of the service member's medical conditions, compensation can only be offered for those medical conditions that cut short a service member’s career, and then only to the degree of severity present at the t</w:t>
      </w:r>
      <w:r w:rsidR="00F2257A">
        <w:rPr>
          <w:rFonts w:cs="Times New Roman"/>
          <w:color w:val="auto"/>
          <w:szCs w:val="24"/>
        </w:rPr>
        <w:t xml:space="preserve">ime of final disposition.  The </w:t>
      </w:r>
      <w:r w:rsidR="00FB6596" w:rsidRPr="007C3350">
        <w:rPr>
          <w:rFonts w:cs="Times New Roman"/>
          <w:color w:val="auto"/>
          <w:szCs w:val="24"/>
        </w:rPr>
        <w:t>DES has neither the role nor the authority to compensate service members for anticipated future severity or potential complications of conditions resulting in medical separation nor for conditions determined to be service</w:t>
      </w:r>
      <w:r w:rsidR="00F2257A">
        <w:rPr>
          <w:rFonts w:cs="Times New Roman"/>
          <w:color w:val="auto"/>
          <w:szCs w:val="24"/>
        </w:rPr>
        <w:t>-</w:t>
      </w:r>
      <w:r w:rsidR="00FB6596" w:rsidRPr="007C3350">
        <w:rPr>
          <w:rFonts w:cs="Times New Roman"/>
          <w:color w:val="auto"/>
          <w:szCs w:val="24"/>
        </w:rPr>
        <w:t xml:space="preserve">connected by the </w:t>
      </w:r>
      <w:r w:rsidR="00C70626" w:rsidRPr="007C3350">
        <w:rPr>
          <w:rFonts w:cs="Times New Roman"/>
          <w:color w:val="auto"/>
          <w:szCs w:val="24"/>
        </w:rPr>
        <w:t>Department of Veteran</w:t>
      </w:r>
      <w:r w:rsidR="00C70626">
        <w:rPr>
          <w:rFonts w:cs="Times New Roman"/>
          <w:color w:val="auto"/>
          <w:szCs w:val="24"/>
        </w:rPr>
        <w:t>s’</w:t>
      </w:r>
      <w:r w:rsidR="00C70626" w:rsidRPr="007C3350">
        <w:rPr>
          <w:rFonts w:cs="Times New Roman"/>
          <w:color w:val="auto"/>
          <w:szCs w:val="24"/>
        </w:rPr>
        <w:t xml:space="preserve"> Affairs (DVA), </w:t>
      </w:r>
      <w:r w:rsidR="00FB6596" w:rsidRPr="007C3350">
        <w:rPr>
          <w:rFonts w:cs="Times New Roman"/>
          <w:color w:val="auto"/>
          <w:szCs w:val="24"/>
        </w:rPr>
        <w:t xml:space="preserve">but not determined to be unfitting by the PEB.  However the </w:t>
      </w:r>
      <w:r w:rsidR="00C70626">
        <w:rPr>
          <w:rFonts w:cs="Times New Roman"/>
          <w:color w:val="auto"/>
          <w:szCs w:val="24"/>
        </w:rPr>
        <w:t xml:space="preserve">DVA, </w:t>
      </w:r>
      <w:r w:rsidR="00FB6596" w:rsidRPr="007C3350">
        <w:rPr>
          <w:rFonts w:cs="Times New Roman"/>
          <w:color w:val="auto"/>
          <w:szCs w:val="24"/>
        </w:rPr>
        <w:t>operating under a different set of laws (Title 38, United States Code), is empowered to compensate all service</w:t>
      </w:r>
      <w:r w:rsidR="00F2257A">
        <w:rPr>
          <w:rFonts w:cs="Times New Roman"/>
          <w:color w:val="auto"/>
          <w:szCs w:val="24"/>
        </w:rPr>
        <w:t>-</w:t>
      </w:r>
      <w:r w:rsidR="00FB6596" w:rsidRPr="007C3350">
        <w:rPr>
          <w:rFonts w:cs="Times New Roman"/>
          <w:color w:val="auto"/>
          <w:szCs w:val="24"/>
        </w:rPr>
        <w:t>connected conditions and to periodically re-evaluate said conditions for the purpose of adjusting the vetera</w:t>
      </w:r>
      <w:r w:rsidR="00F2257A">
        <w:rPr>
          <w:rFonts w:cs="Times New Roman"/>
          <w:color w:val="auto"/>
          <w:szCs w:val="24"/>
        </w:rPr>
        <w:t>n’s disability rating should the</w:t>
      </w:r>
      <w:r w:rsidR="00FB6596" w:rsidRPr="007C3350">
        <w:rPr>
          <w:rFonts w:cs="Times New Roman"/>
          <w:color w:val="auto"/>
          <w:szCs w:val="24"/>
        </w:rPr>
        <w:t xml:space="preserve"> degree of impairment vary over time.  The Board’s role is confined to the review of medical records and all evidence at hand to assess the fairness of PEB rating determinations, compared </w:t>
      </w:r>
      <w:r w:rsidR="00FB6596" w:rsidRPr="00F2257A">
        <w:rPr>
          <w:rFonts w:cs="Times New Roman"/>
          <w:color w:val="auto"/>
          <w:szCs w:val="24"/>
        </w:rPr>
        <w:t>to VASRD standards</w:t>
      </w:r>
      <w:r w:rsidR="00FB6596" w:rsidRPr="007C3350">
        <w:rPr>
          <w:rFonts w:cs="Times New Roman"/>
          <w:color w:val="auto"/>
          <w:szCs w:val="24"/>
        </w:rPr>
        <w:t>, based on severity at the time of separation.  The Board utilizes VA evidence proximal to separation in arriving at its recommendations; and, DoDI 6040.44 defines a 12</w:t>
      </w:r>
      <w:r w:rsidR="00F2257A">
        <w:rPr>
          <w:rFonts w:cs="Times New Roman"/>
          <w:color w:val="auto"/>
          <w:szCs w:val="24"/>
        </w:rPr>
        <w:t>-</w:t>
      </w:r>
      <w:r w:rsidR="00FB6596" w:rsidRPr="007C3350">
        <w:rPr>
          <w:rFonts w:cs="Times New Roman"/>
          <w:color w:val="auto"/>
          <w:szCs w:val="24"/>
        </w:rPr>
        <w:t xml:space="preserve">month interval for special consideration to post-separation evidence. </w:t>
      </w:r>
      <w:r w:rsidR="0071264B">
        <w:rPr>
          <w:rFonts w:cs="Times New Roman"/>
          <w:color w:val="auto"/>
          <w:szCs w:val="24"/>
        </w:rPr>
        <w:t xml:space="preserve"> </w:t>
      </w:r>
      <w:r w:rsidR="00FB6596" w:rsidRPr="007C3350">
        <w:rPr>
          <w:rFonts w:cs="Times New Roman"/>
          <w:color w:val="auto"/>
          <w:szCs w:val="24"/>
        </w:rPr>
        <w:t>The Board’s authority as defined in DoDI 6044.40, however, resides in evaluating the fairness of DES fitness determinations and rating decisions for disability at the time of separation.</w:t>
      </w:r>
      <w:r w:rsidR="0071264B">
        <w:rPr>
          <w:rFonts w:cs="Times New Roman"/>
          <w:color w:val="auto"/>
          <w:szCs w:val="24"/>
        </w:rPr>
        <w:t xml:space="preserve"> </w:t>
      </w:r>
      <w:r w:rsidR="00FB6596" w:rsidRPr="007C3350">
        <w:rPr>
          <w:rFonts w:cs="Times New Roman"/>
          <w:color w:val="auto"/>
          <w:szCs w:val="24"/>
        </w:rPr>
        <w:t xml:space="preserve"> Post-separation evidence therefore is probative only to the extent that it reasonably reflects the disability and fitness implications at the time of separation</w:t>
      </w:r>
      <w:r w:rsidR="00FB6596" w:rsidRPr="00842E21">
        <w:rPr>
          <w:rFonts w:cs="Times New Roman"/>
          <w:color w:val="auto"/>
          <w:szCs w:val="24"/>
        </w:rPr>
        <w:t>.</w:t>
      </w:r>
      <w:r w:rsidR="002A1E2D" w:rsidRPr="00842E21">
        <w:rPr>
          <w:rFonts w:cs="Times New Roman"/>
          <w:color w:val="auto"/>
          <w:szCs w:val="24"/>
        </w:rPr>
        <w:t xml:space="preserve">  The Board recognizes </w:t>
      </w:r>
      <w:r w:rsidR="002A1E2D" w:rsidRPr="00842E21">
        <w:rPr>
          <w:color w:val="auto"/>
          <w:szCs w:val="24"/>
        </w:rPr>
        <w:t>that PEB</w:t>
      </w:r>
      <w:r w:rsidR="000C10F6" w:rsidRPr="00842E21">
        <w:rPr>
          <w:color w:val="auto"/>
          <w:szCs w:val="24"/>
        </w:rPr>
        <w:t xml:space="preserve">s across the services sometimes apply an overly generous initial rating in order to meet the DoD requirement of 30% disability for placement on TDRL. </w:t>
      </w:r>
      <w:r w:rsidR="002A1E2D" w:rsidRPr="00842E21">
        <w:rPr>
          <w:color w:val="auto"/>
          <w:szCs w:val="24"/>
        </w:rPr>
        <w:t xml:space="preserve"> </w:t>
      </w:r>
      <w:r w:rsidR="000C10F6" w:rsidRPr="00842E21">
        <w:rPr>
          <w:color w:val="auto"/>
          <w:szCs w:val="24"/>
        </w:rPr>
        <w:t xml:space="preserve">This is in the member’s best interest at the time and does not mean that a final lower rating is unfair, even if perceived as incongruent with subjective severity from one rating to the next. </w:t>
      </w:r>
      <w:r w:rsidR="002A1E2D" w:rsidRPr="00842E21">
        <w:rPr>
          <w:color w:val="auto"/>
          <w:szCs w:val="24"/>
        </w:rPr>
        <w:t xml:space="preserve"> </w:t>
      </w:r>
      <w:r w:rsidR="000C10F6" w:rsidRPr="00842E21">
        <w:rPr>
          <w:color w:val="auto"/>
          <w:szCs w:val="24"/>
        </w:rPr>
        <w:t>Thus the sole basis for the Board’s permanent disability recommendation is the optimal VASRD rating for disability at the time the CI is permanently separated at exit from TDRL.</w:t>
      </w:r>
    </w:p>
    <w:p w:rsidR="002C6E5B" w:rsidRPr="00A32AD8" w:rsidRDefault="002C6E5B" w:rsidP="00A32AD8">
      <w:pPr>
        <w:tabs>
          <w:tab w:val="left" w:pos="288"/>
          <w:tab w:val="left" w:pos="4752"/>
        </w:tabs>
        <w:jc w:val="both"/>
        <w:rPr>
          <w:color w:val="auto"/>
          <w:szCs w:val="24"/>
        </w:rPr>
      </w:pPr>
    </w:p>
    <w:p w:rsidR="00EE3A92" w:rsidRPr="00A32AD8" w:rsidRDefault="00716EAF" w:rsidP="00A32AD8">
      <w:pPr>
        <w:tabs>
          <w:tab w:val="left" w:pos="288"/>
          <w:tab w:val="left" w:pos="4752"/>
        </w:tabs>
        <w:jc w:val="both"/>
        <w:rPr>
          <w:color w:val="auto"/>
          <w:szCs w:val="24"/>
        </w:rPr>
      </w:pPr>
      <w:r w:rsidRPr="00A32AD8">
        <w:rPr>
          <w:color w:val="auto"/>
          <w:szCs w:val="24"/>
          <w:u w:val="single"/>
        </w:rPr>
        <w:t xml:space="preserve">Subtalar </w:t>
      </w:r>
      <w:r w:rsidR="00AF11EC" w:rsidRPr="00A32AD8">
        <w:rPr>
          <w:color w:val="auto"/>
          <w:szCs w:val="24"/>
          <w:u w:val="single"/>
        </w:rPr>
        <w:t>D</w:t>
      </w:r>
      <w:r w:rsidRPr="00A32AD8">
        <w:rPr>
          <w:color w:val="auto"/>
          <w:szCs w:val="24"/>
          <w:u w:val="single"/>
        </w:rPr>
        <w:t xml:space="preserve">islocation </w:t>
      </w:r>
      <w:r w:rsidR="00AF11EC" w:rsidRPr="00A32AD8">
        <w:rPr>
          <w:color w:val="auto"/>
          <w:szCs w:val="24"/>
          <w:u w:val="single"/>
        </w:rPr>
        <w:t>C</w:t>
      </w:r>
      <w:r w:rsidR="003F2EEE" w:rsidRPr="00A32AD8">
        <w:rPr>
          <w:color w:val="auto"/>
          <w:szCs w:val="24"/>
          <w:u w:val="single"/>
        </w:rPr>
        <w:t>ondition</w:t>
      </w:r>
      <w:r w:rsidR="00AF11EC" w:rsidRPr="00A32AD8">
        <w:rPr>
          <w:color w:val="auto"/>
          <w:szCs w:val="24"/>
          <w:u w:val="single"/>
        </w:rPr>
        <w:t>, Right Ankle</w:t>
      </w:r>
      <w:r w:rsidR="003F2EEE" w:rsidRPr="00A32AD8">
        <w:rPr>
          <w:color w:val="auto"/>
          <w:szCs w:val="24"/>
        </w:rPr>
        <w:t xml:space="preserve">.  </w:t>
      </w:r>
      <w:r w:rsidR="00FB6596" w:rsidRPr="00A32AD8">
        <w:rPr>
          <w:color w:val="auto"/>
          <w:szCs w:val="24"/>
        </w:rPr>
        <w:t>There was one</w:t>
      </w:r>
      <w:r w:rsidR="00A57C35" w:rsidRPr="00A32AD8">
        <w:rPr>
          <w:color w:val="auto"/>
          <w:szCs w:val="24"/>
        </w:rPr>
        <w:t xml:space="preserve"> goniometric range</w:t>
      </w:r>
      <w:r w:rsidR="003B7BFE">
        <w:rPr>
          <w:color w:val="auto"/>
          <w:szCs w:val="24"/>
        </w:rPr>
        <w:t>-</w:t>
      </w:r>
      <w:r w:rsidR="00A57C35" w:rsidRPr="00A32AD8">
        <w:rPr>
          <w:color w:val="auto"/>
          <w:szCs w:val="24"/>
        </w:rPr>
        <w:t>of</w:t>
      </w:r>
      <w:r w:rsidR="003B7BFE">
        <w:rPr>
          <w:color w:val="auto"/>
          <w:szCs w:val="24"/>
        </w:rPr>
        <w:t>-</w:t>
      </w:r>
      <w:r w:rsidR="00A57C35" w:rsidRPr="00A32AD8">
        <w:rPr>
          <w:color w:val="auto"/>
          <w:szCs w:val="24"/>
        </w:rPr>
        <w:t>motion (ROM) evaluation</w:t>
      </w:r>
      <w:r w:rsidR="00AF11EC" w:rsidRPr="00A32AD8">
        <w:rPr>
          <w:color w:val="auto"/>
          <w:szCs w:val="24"/>
        </w:rPr>
        <w:t xml:space="preserve"> </w:t>
      </w:r>
      <w:r w:rsidR="00FB6596" w:rsidRPr="00A32AD8">
        <w:rPr>
          <w:color w:val="auto"/>
          <w:szCs w:val="24"/>
        </w:rPr>
        <w:t>proximate to TDRL entry</w:t>
      </w:r>
      <w:r w:rsidR="00EE3A92" w:rsidRPr="00A32AD8">
        <w:rPr>
          <w:color w:val="auto"/>
          <w:szCs w:val="24"/>
        </w:rPr>
        <w:t xml:space="preserve"> </w:t>
      </w:r>
      <w:r w:rsidR="00A57C35" w:rsidRPr="00A32AD8">
        <w:rPr>
          <w:color w:val="auto"/>
          <w:szCs w:val="24"/>
        </w:rPr>
        <w:t>in evidence, with documentation of additional ratable criteria, which the Board weighed in arriving at its rating recommendation.</w:t>
      </w:r>
      <w:r w:rsidR="00FB6596" w:rsidRPr="00A32AD8">
        <w:rPr>
          <w:color w:val="auto"/>
          <w:szCs w:val="24"/>
        </w:rPr>
        <w:t xml:space="preserve">  There were no goniometric ROM evaluations proximate to TDRL exit</w:t>
      </w:r>
      <w:r w:rsidR="00EE3A92" w:rsidRPr="00A32AD8">
        <w:rPr>
          <w:color w:val="auto"/>
          <w:szCs w:val="24"/>
        </w:rPr>
        <w:t xml:space="preserve"> </w:t>
      </w:r>
      <w:r w:rsidR="00FB6596" w:rsidRPr="00A32AD8">
        <w:rPr>
          <w:color w:val="auto"/>
          <w:szCs w:val="24"/>
        </w:rPr>
        <w:t>although there is a VA examination in 20</w:t>
      </w:r>
      <w:r w:rsidR="001819B4" w:rsidRPr="00A32AD8">
        <w:rPr>
          <w:color w:val="auto"/>
          <w:szCs w:val="24"/>
        </w:rPr>
        <w:t>10</w:t>
      </w:r>
      <w:r w:rsidR="00FB6596" w:rsidRPr="00A32AD8">
        <w:rPr>
          <w:color w:val="auto"/>
          <w:szCs w:val="24"/>
        </w:rPr>
        <w:t xml:space="preserve">, </w:t>
      </w:r>
      <w:r w:rsidR="00906E3A" w:rsidRPr="00A32AD8">
        <w:rPr>
          <w:color w:val="auto"/>
          <w:szCs w:val="24"/>
        </w:rPr>
        <w:t>over three</w:t>
      </w:r>
      <w:r w:rsidR="00FB6596" w:rsidRPr="00A32AD8">
        <w:rPr>
          <w:color w:val="auto"/>
          <w:szCs w:val="24"/>
        </w:rPr>
        <w:t xml:space="preserve"> years after TDRL exit.  </w:t>
      </w:r>
    </w:p>
    <w:p w:rsidR="00EE3A92" w:rsidRDefault="00EE3A92" w:rsidP="00EE3A92">
      <w:pPr>
        <w:rPr>
          <w:color w:val="000000" w:themeColor="text1"/>
          <w:szCs w:val="18"/>
        </w:rPr>
      </w:pPr>
    </w:p>
    <w:tbl>
      <w:tblPr>
        <w:tblpPr w:leftFromText="180" w:rightFromText="180" w:vertAnchor="text" w:tblpXSpec="center" w:tblpY="1"/>
        <w:tblOverlap w:val="never"/>
        <w:tblW w:w="8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1450"/>
        <w:gridCol w:w="1450"/>
        <w:gridCol w:w="1450"/>
        <w:gridCol w:w="1450"/>
      </w:tblGrid>
      <w:tr w:rsidR="001424A0" w:rsidRPr="001F29F9" w:rsidTr="000C10F6">
        <w:trPr>
          <w:trHeight w:val="467"/>
        </w:trPr>
        <w:tc>
          <w:tcPr>
            <w:tcW w:w="2660" w:type="dxa"/>
            <w:vMerge w:val="restart"/>
            <w:tcBorders>
              <w:top w:val="single" w:sz="4" w:space="0" w:color="000000"/>
              <w:left w:val="single" w:sz="4" w:space="0" w:color="000000"/>
              <w:right w:val="single" w:sz="4" w:space="0" w:color="000000"/>
            </w:tcBorders>
            <w:shd w:val="clear" w:color="auto" w:fill="D9D9D9" w:themeFill="background1" w:themeFillShade="D9"/>
            <w:vAlign w:val="center"/>
            <w:hideMark/>
          </w:tcPr>
          <w:p w:rsidR="001424A0" w:rsidRPr="001F29F9" w:rsidRDefault="001424A0" w:rsidP="000C10F6">
            <w:pPr>
              <w:rPr>
                <w:rFonts w:eastAsia="Calibri"/>
                <w:color w:val="000000" w:themeColor="text1"/>
                <w:sz w:val="18"/>
                <w:szCs w:val="18"/>
              </w:rPr>
            </w:pPr>
            <w:r w:rsidRPr="001F29F9">
              <w:rPr>
                <w:rFonts w:eastAsia="Calibri"/>
                <w:color w:val="000000" w:themeColor="text1"/>
                <w:sz w:val="18"/>
                <w:szCs w:val="18"/>
              </w:rPr>
              <w:t>Goniometric ROM</w:t>
            </w:r>
          </w:p>
          <w:p w:rsidR="001424A0" w:rsidRDefault="001424A0" w:rsidP="000C10F6">
            <w:pPr>
              <w:rPr>
                <w:rFonts w:eastAsia="Calibri"/>
                <w:color w:val="000000" w:themeColor="text1"/>
                <w:sz w:val="18"/>
                <w:szCs w:val="18"/>
              </w:rPr>
            </w:pPr>
            <w:proofErr w:type="spellStart"/>
            <w:r w:rsidRPr="001F29F9">
              <w:rPr>
                <w:rFonts w:eastAsia="Calibri"/>
                <w:color w:val="000000" w:themeColor="text1"/>
                <w:sz w:val="18"/>
                <w:szCs w:val="18"/>
              </w:rPr>
              <w:t>Bilat</w:t>
            </w:r>
            <w:proofErr w:type="spellEnd"/>
            <w:r w:rsidRPr="001F29F9">
              <w:rPr>
                <w:rFonts w:eastAsia="Calibri"/>
                <w:color w:val="000000" w:themeColor="text1"/>
                <w:sz w:val="18"/>
                <w:szCs w:val="18"/>
              </w:rPr>
              <w:t xml:space="preserve"> Ankles</w:t>
            </w:r>
          </w:p>
          <w:p w:rsidR="00A32AD8" w:rsidRPr="001F29F9" w:rsidRDefault="00A32AD8" w:rsidP="000C10F6">
            <w:pPr>
              <w:rPr>
                <w:rFonts w:eastAsia="Calibri"/>
                <w:color w:val="000000" w:themeColor="text1"/>
                <w:sz w:val="18"/>
                <w:szCs w:val="18"/>
              </w:rPr>
            </w:pPr>
            <w:r>
              <w:rPr>
                <w:rFonts w:eastAsia="Calibri"/>
                <w:color w:val="000000" w:themeColor="text1"/>
                <w:sz w:val="18"/>
                <w:szCs w:val="18"/>
              </w:rPr>
              <w:t>Degrees</w:t>
            </w:r>
          </w:p>
        </w:tc>
        <w:tc>
          <w:tcPr>
            <w:tcW w:w="29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1424A0" w:rsidRPr="0071264B" w:rsidRDefault="001424A0" w:rsidP="0071264B">
            <w:pPr>
              <w:spacing w:line="200" w:lineRule="exact"/>
              <w:rPr>
                <w:rFonts w:eastAsia="Calibri" w:cs="Times New Roman"/>
                <w:color w:val="000000" w:themeColor="text1"/>
                <w:sz w:val="18"/>
                <w:szCs w:val="18"/>
              </w:rPr>
            </w:pPr>
            <w:r w:rsidRPr="001F29F9">
              <w:rPr>
                <w:rFonts w:eastAsia="Calibri"/>
                <w:color w:val="000000" w:themeColor="text1"/>
                <w:sz w:val="18"/>
                <w:szCs w:val="18"/>
              </w:rPr>
              <w:t>VA</w:t>
            </w:r>
            <w:r w:rsidRPr="001F29F9">
              <w:rPr>
                <w:color w:val="000000" w:themeColor="text1"/>
                <w:sz w:val="18"/>
                <w:szCs w:val="18"/>
              </w:rPr>
              <w:t xml:space="preserve"> C&amp;P </w:t>
            </w:r>
            <w:r w:rsidRPr="001F29F9">
              <w:rPr>
                <w:rFonts w:eastAsia="Calibri"/>
                <w:color w:val="000000" w:themeColor="text1"/>
                <w:sz w:val="18"/>
                <w:szCs w:val="18"/>
              </w:rPr>
              <w:t xml:space="preserve">~ </w:t>
            </w:r>
            <w:r>
              <w:rPr>
                <w:rFonts w:eastAsia="Calibri"/>
                <w:color w:val="000000" w:themeColor="text1"/>
                <w:sz w:val="18"/>
                <w:szCs w:val="18"/>
              </w:rPr>
              <w:t>1</w:t>
            </w:r>
            <w:r w:rsidRPr="001F29F9">
              <w:rPr>
                <w:rFonts w:eastAsia="Calibri"/>
                <w:color w:val="000000" w:themeColor="text1"/>
                <w:sz w:val="18"/>
                <w:szCs w:val="18"/>
              </w:rPr>
              <w:t xml:space="preserve"> Mo. Pre-TDRL Placement</w:t>
            </w:r>
          </w:p>
        </w:tc>
        <w:tc>
          <w:tcPr>
            <w:tcW w:w="29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1424A0" w:rsidRPr="001F29F9" w:rsidRDefault="001424A0" w:rsidP="0071264B">
            <w:pPr>
              <w:spacing w:line="200" w:lineRule="exact"/>
              <w:rPr>
                <w:rFonts w:eastAsia="Calibri"/>
                <w:color w:val="000000" w:themeColor="text1"/>
                <w:sz w:val="18"/>
                <w:szCs w:val="18"/>
              </w:rPr>
            </w:pPr>
            <w:r w:rsidRPr="001F29F9">
              <w:rPr>
                <w:rFonts w:eastAsia="Calibri"/>
                <w:color w:val="000000" w:themeColor="text1"/>
                <w:sz w:val="18"/>
                <w:szCs w:val="18"/>
              </w:rPr>
              <w:t>VA</w:t>
            </w:r>
            <w:r w:rsidRPr="001F29F9">
              <w:rPr>
                <w:color w:val="000000" w:themeColor="text1"/>
                <w:sz w:val="18"/>
                <w:szCs w:val="18"/>
              </w:rPr>
              <w:t xml:space="preserve"> C&amp;P </w:t>
            </w:r>
            <w:r w:rsidRPr="001F29F9">
              <w:rPr>
                <w:rFonts w:eastAsia="Calibri"/>
                <w:color w:val="000000" w:themeColor="text1"/>
                <w:sz w:val="18"/>
                <w:szCs w:val="18"/>
              </w:rPr>
              <w:t>~</w:t>
            </w:r>
            <w:r w:rsidR="00906E3A">
              <w:rPr>
                <w:rFonts w:eastAsia="Calibri"/>
                <w:color w:val="000000" w:themeColor="text1"/>
                <w:sz w:val="18"/>
                <w:szCs w:val="18"/>
              </w:rPr>
              <w:t>38</w:t>
            </w:r>
            <w:r>
              <w:rPr>
                <w:rFonts w:eastAsia="Calibri"/>
                <w:color w:val="000000" w:themeColor="text1"/>
                <w:sz w:val="18"/>
                <w:szCs w:val="18"/>
              </w:rPr>
              <w:t xml:space="preserve"> </w:t>
            </w:r>
            <w:r w:rsidRPr="001F29F9">
              <w:rPr>
                <w:rFonts w:eastAsia="Calibri"/>
                <w:color w:val="000000" w:themeColor="text1"/>
                <w:sz w:val="18"/>
                <w:szCs w:val="18"/>
              </w:rPr>
              <w:t>Mo. After-Permanent Separation</w:t>
            </w:r>
          </w:p>
        </w:tc>
      </w:tr>
      <w:tr w:rsidR="001424A0" w:rsidRPr="001F29F9" w:rsidTr="000C10F6">
        <w:trPr>
          <w:trHeight w:val="467"/>
        </w:trPr>
        <w:tc>
          <w:tcPr>
            <w:tcW w:w="2660" w:type="dxa"/>
            <w:vMerge/>
            <w:tcBorders>
              <w:left w:val="single" w:sz="4" w:space="0" w:color="000000"/>
              <w:bottom w:val="single" w:sz="4" w:space="0" w:color="000000"/>
              <w:right w:val="single" w:sz="4" w:space="0" w:color="000000"/>
            </w:tcBorders>
            <w:shd w:val="clear" w:color="auto" w:fill="D9D9D9" w:themeFill="background1" w:themeFillShade="D9"/>
            <w:vAlign w:val="center"/>
            <w:hideMark/>
          </w:tcPr>
          <w:p w:rsidR="001424A0" w:rsidRPr="001F29F9" w:rsidRDefault="001424A0" w:rsidP="000C10F6">
            <w:pPr>
              <w:rPr>
                <w:rFonts w:eastAsia="Calibri"/>
                <w:color w:val="000000" w:themeColor="text1"/>
                <w:sz w:val="18"/>
                <w:szCs w:val="18"/>
              </w:rPr>
            </w:pPr>
          </w:p>
        </w:tc>
        <w:tc>
          <w:tcPr>
            <w:tcW w:w="14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1424A0" w:rsidRPr="001F29F9" w:rsidRDefault="001424A0" w:rsidP="000C10F6">
            <w:pPr>
              <w:rPr>
                <w:rFonts w:eastAsia="Calibri"/>
                <w:color w:val="000000" w:themeColor="text1"/>
                <w:sz w:val="18"/>
                <w:szCs w:val="18"/>
              </w:rPr>
            </w:pPr>
            <w:r w:rsidRPr="001F29F9">
              <w:rPr>
                <w:rFonts w:eastAsia="Calibri"/>
                <w:color w:val="000000" w:themeColor="text1"/>
                <w:sz w:val="18"/>
                <w:szCs w:val="18"/>
              </w:rPr>
              <w:t>Left</w:t>
            </w:r>
          </w:p>
        </w:tc>
        <w:tc>
          <w:tcPr>
            <w:tcW w:w="14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424A0" w:rsidRPr="001F29F9" w:rsidRDefault="001424A0" w:rsidP="000C10F6">
            <w:pPr>
              <w:rPr>
                <w:rFonts w:eastAsia="Calibri"/>
                <w:color w:val="000000" w:themeColor="text1"/>
                <w:sz w:val="18"/>
                <w:szCs w:val="18"/>
              </w:rPr>
            </w:pPr>
            <w:r w:rsidRPr="001F29F9">
              <w:rPr>
                <w:rFonts w:eastAsia="Calibri"/>
                <w:color w:val="000000" w:themeColor="text1"/>
                <w:sz w:val="18"/>
                <w:szCs w:val="18"/>
              </w:rPr>
              <w:t>Right</w:t>
            </w:r>
          </w:p>
        </w:tc>
        <w:tc>
          <w:tcPr>
            <w:tcW w:w="14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1424A0" w:rsidRPr="001F29F9" w:rsidRDefault="001424A0" w:rsidP="000C10F6">
            <w:pPr>
              <w:rPr>
                <w:rFonts w:eastAsia="Calibri"/>
                <w:color w:val="000000" w:themeColor="text1"/>
                <w:sz w:val="18"/>
                <w:szCs w:val="18"/>
              </w:rPr>
            </w:pPr>
            <w:r w:rsidRPr="001F29F9">
              <w:rPr>
                <w:rFonts w:eastAsia="Calibri"/>
                <w:color w:val="000000" w:themeColor="text1"/>
                <w:sz w:val="18"/>
                <w:szCs w:val="18"/>
              </w:rPr>
              <w:t>Left</w:t>
            </w:r>
          </w:p>
        </w:tc>
        <w:tc>
          <w:tcPr>
            <w:tcW w:w="14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424A0" w:rsidRPr="001F29F9" w:rsidRDefault="001424A0" w:rsidP="000C10F6">
            <w:pPr>
              <w:rPr>
                <w:rFonts w:eastAsia="Calibri"/>
                <w:color w:val="000000" w:themeColor="text1"/>
                <w:sz w:val="18"/>
                <w:szCs w:val="18"/>
              </w:rPr>
            </w:pPr>
            <w:r w:rsidRPr="001F29F9">
              <w:rPr>
                <w:rFonts w:eastAsia="Calibri"/>
                <w:color w:val="000000" w:themeColor="text1"/>
                <w:sz w:val="18"/>
                <w:szCs w:val="18"/>
              </w:rPr>
              <w:t>Right</w:t>
            </w:r>
          </w:p>
        </w:tc>
      </w:tr>
      <w:tr w:rsidR="001424A0" w:rsidRPr="001F29F9" w:rsidTr="000C10F6">
        <w:tc>
          <w:tcPr>
            <w:tcW w:w="2660" w:type="dxa"/>
            <w:tcBorders>
              <w:top w:val="single" w:sz="4" w:space="0" w:color="000000"/>
              <w:left w:val="single" w:sz="4" w:space="0" w:color="000000"/>
              <w:bottom w:val="single" w:sz="4" w:space="0" w:color="000000"/>
              <w:right w:val="single" w:sz="4" w:space="0" w:color="000000"/>
            </w:tcBorders>
            <w:vAlign w:val="center"/>
            <w:hideMark/>
          </w:tcPr>
          <w:p w:rsidR="001424A0" w:rsidRPr="001F29F9" w:rsidRDefault="001424A0" w:rsidP="000C10F6">
            <w:pPr>
              <w:rPr>
                <w:rFonts w:eastAsia="Calibri"/>
                <w:color w:val="000000" w:themeColor="text1"/>
                <w:sz w:val="18"/>
                <w:szCs w:val="18"/>
              </w:rPr>
            </w:pPr>
            <w:r w:rsidRPr="001F29F9">
              <w:rPr>
                <w:rFonts w:eastAsia="Calibri"/>
                <w:color w:val="000000" w:themeColor="text1"/>
                <w:sz w:val="18"/>
                <w:szCs w:val="18"/>
              </w:rPr>
              <w:t>Dorsiflexion  (0-20)</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1424A0" w:rsidRPr="001F29F9" w:rsidRDefault="001424A0" w:rsidP="000C10F6">
            <w:pPr>
              <w:rPr>
                <w:rFonts w:eastAsia="Calibri"/>
                <w:color w:val="000000" w:themeColor="text1"/>
                <w:sz w:val="18"/>
                <w:szCs w:val="18"/>
              </w:rPr>
            </w:pPr>
            <w:r>
              <w:rPr>
                <w:rFonts w:eastAsia="Calibri"/>
                <w:color w:val="000000" w:themeColor="text1"/>
                <w:sz w:val="18"/>
                <w:szCs w:val="18"/>
              </w:rPr>
              <w:t>15</w:t>
            </w:r>
          </w:p>
        </w:tc>
        <w:tc>
          <w:tcPr>
            <w:tcW w:w="1450" w:type="dxa"/>
            <w:tcBorders>
              <w:top w:val="single" w:sz="4" w:space="0" w:color="000000"/>
              <w:left w:val="single" w:sz="4" w:space="0" w:color="000000"/>
              <w:bottom w:val="single" w:sz="4" w:space="0" w:color="000000"/>
              <w:right w:val="single" w:sz="4" w:space="0" w:color="000000"/>
            </w:tcBorders>
            <w:vAlign w:val="center"/>
          </w:tcPr>
          <w:p w:rsidR="001424A0" w:rsidRPr="001F29F9" w:rsidRDefault="001424A0" w:rsidP="00A32AD8">
            <w:pPr>
              <w:rPr>
                <w:rFonts w:eastAsia="Calibri"/>
                <w:color w:val="000000" w:themeColor="text1"/>
                <w:sz w:val="18"/>
                <w:szCs w:val="18"/>
              </w:rPr>
            </w:pPr>
            <w:r>
              <w:rPr>
                <w:rFonts w:eastAsia="Calibri"/>
                <w:color w:val="000000" w:themeColor="text1"/>
                <w:sz w:val="18"/>
                <w:szCs w:val="18"/>
              </w:rPr>
              <w:t>0</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1424A0" w:rsidRPr="001F29F9" w:rsidRDefault="001424A0" w:rsidP="00A32AD8">
            <w:pPr>
              <w:rPr>
                <w:rFonts w:eastAsia="Calibri"/>
                <w:color w:val="000000" w:themeColor="text1"/>
                <w:sz w:val="18"/>
                <w:szCs w:val="18"/>
              </w:rPr>
            </w:pPr>
            <w:r>
              <w:rPr>
                <w:rFonts w:eastAsia="Calibri"/>
                <w:color w:val="000000" w:themeColor="text1"/>
                <w:sz w:val="18"/>
                <w:szCs w:val="18"/>
              </w:rPr>
              <w:t>20</w:t>
            </w:r>
          </w:p>
        </w:tc>
        <w:tc>
          <w:tcPr>
            <w:tcW w:w="1450" w:type="dxa"/>
            <w:tcBorders>
              <w:top w:val="single" w:sz="4" w:space="0" w:color="000000"/>
              <w:left w:val="single" w:sz="4" w:space="0" w:color="000000"/>
              <w:bottom w:val="single" w:sz="4" w:space="0" w:color="000000"/>
              <w:right w:val="single" w:sz="4" w:space="0" w:color="000000"/>
            </w:tcBorders>
            <w:vAlign w:val="center"/>
          </w:tcPr>
          <w:p w:rsidR="001424A0" w:rsidRPr="001F29F9" w:rsidRDefault="001424A0" w:rsidP="00A32AD8">
            <w:pPr>
              <w:rPr>
                <w:rFonts w:eastAsia="Calibri"/>
                <w:color w:val="000000" w:themeColor="text1"/>
                <w:sz w:val="18"/>
                <w:szCs w:val="18"/>
              </w:rPr>
            </w:pPr>
            <w:r>
              <w:rPr>
                <w:rFonts w:eastAsia="Calibri"/>
                <w:color w:val="000000" w:themeColor="text1"/>
                <w:sz w:val="18"/>
                <w:szCs w:val="18"/>
              </w:rPr>
              <w:t>20</w:t>
            </w:r>
          </w:p>
        </w:tc>
      </w:tr>
      <w:tr w:rsidR="001424A0" w:rsidRPr="001F29F9" w:rsidTr="000C10F6">
        <w:tc>
          <w:tcPr>
            <w:tcW w:w="2660" w:type="dxa"/>
            <w:tcBorders>
              <w:top w:val="single" w:sz="4" w:space="0" w:color="000000"/>
              <w:left w:val="single" w:sz="4" w:space="0" w:color="000000"/>
              <w:bottom w:val="single" w:sz="4" w:space="0" w:color="000000"/>
              <w:right w:val="single" w:sz="4" w:space="0" w:color="000000"/>
            </w:tcBorders>
            <w:vAlign w:val="center"/>
            <w:hideMark/>
          </w:tcPr>
          <w:p w:rsidR="001424A0" w:rsidRPr="001F29F9" w:rsidRDefault="001424A0" w:rsidP="000C10F6">
            <w:pPr>
              <w:rPr>
                <w:rFonts w:eastAsia="Calibri"/>
                <w:color w:val="000000" w:themeColor="text1"/>
                <w:sz w:val="18"/>
                <w:szCs w:val="18"/>
              </w:rPr>
            </w:pPr>
            <w:r w:rsidRPr="001F29F9">
              <w:rPr>
                <w:rFonts w:eastAsia="Calibri"/>
                <w:color w:val="000000" w:themeColor="text1"/>
                <w:sz w:val="18"/>
                <w:szCs w:val="18"/>
              </w:rPr>
              <w:t>Plantar Flexion (0-45)</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1424A0" w:rsidRPr="001F29F9" w:rsidRDefault="001424A0" w:rsidP="00A32AD8">
            <w:pPr>
              <w:rPr>
                <w:rFonts w:eastAsia="Calibri"/>
                <w:color w:val="000000" w:themeColor="text1"/>
                <w:sz w:val="18"/>
                <w:szCs w:val="18"/>
              </w:rPr>
            </w:pPr>
            <w:r>
              <w:rPr>
                <w:rFonts w:eastAsia="Calibri"/>
                <w:color w:val="000000" w:themeColor="text1"/>
                <w:sz w:val="18"/>
                <w:szCs w:val="18"/>
              </w:rPr>
              <w:t>56</w:t>
            </w:r>
          </w:p>
        </w:tc>
        <w:tc>
          <w:tcPr>
            <w:tcW w:w="1450" w:type="dxa"/>
            <w:tcBorders>
              <w:top w:val="single" w:sz="4" w:space="0" w:color="000000"/>
              <w:left w:val="single" w:sz="4" w:space="0" w:color="000000"/>
              <w:bottom w:val="single" w:sz="4" w:space="0" w:color="000000"/>
              <w:right w:val="single" w:sz="4" w:space="0" w:color="000000"/>
            </w:tcBorders>
            <w:vAlign w:val="center"/>
          </w:tcPr>
          <w:p w:rsidR="001424A0" w:rsidRPr="001F29F9" w:rsidRDefault="001424A0" w:rsidP="00A32AD8">
            <w:pPr>
              <w:rPr>
                <w:rFonts w:eastAsia="Calibri"/>
                <w:color w:val="000000" w:themeColor="text1"/>
                <w:sz w:val="18"/>
                <w:szCs w:val="18"/>
              </w:rPr>
            </w:pPr>
            <w:r>
              <w:rPr>
                <w:rFonts w:eastAsia="Calibri"/>
                <w:color w:val="000000" w:themeColor="text1"/>
                <w:sz w:val="18"/>
                <w:szCs w:val="18"/>
              </w:rPr>
              <w:t>56</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1424A0" w:rsidRPr="001F29F9" w:rsidRDefault="001424A0" w:rsidP="00A32AD8">
            <w:pPr>
              <w:rPr>
                <w:rFonts w:eastAsia="Calibri"/>
                <w:color w:val="000000" w:themeColor="text1"/>
                <w:sz w:val="18"/>
                <w:szCs w:val="18"/>
              </w:rPr>
            </w:pPr>
            <w:r>
              <w:rPr>
                <w:rFonts w:eastAsia="Calibri"/>
                <w:color w:val="000000" w:themeColor="text1"/>
                <w:sz w:val="18"/>
                <w:szCs w:val="18"/>
              </w:rPr>
              <w:t>50</w:t>
            </w:r>
          </w:p>
        </w:tc>
        <w:tc>
          <w:tcPr>
            <w:tcW w:w="1450" w:type="dxa"/>
            <w:tcBorders>
              <w:top w:val="single" w:sz="4" w:space="0" w:color="000000"/>
              <w:left w:val="single" w:sz="4" w:space="0" w:color="000000"/>
              <w:bottom w:val="single" w:sz="4" w:space="0" w:color="000000"/>
              <w:right w:val="single" w:sz="4" w:space="0" w:color="000000"/>
            </w:tcBorders>
            <w:vAlign w:val="center"/>
          </w:tcPr>
          <w:p w:rsidR="001424A0" w:rsidRPr="001F29F9" w:rsidRDefault="001424A0" w:rsidP="00A32AD8">
            <w:pPr>
              <w:rPr>
                <w:rFonts w:eastAsia="Calibri"/>
                <w:color w:val="000000" w:themeColor="text1"/>
                <w:sz w:val="18"/>
                <w:szCs w:val="18"/>
              </w:rPr>
            </w:pPr>
            <w:r>
              <w:rPr>
                <w:rFonts w:eastAsia="Calibri"/>
                <w:color w:val="000000" w:themeColor="text1"/>
                <w:sz w:val="18"/>
                <w:szCs w:val="18"/>
              </w:rPr>
              <w:t>50</w:t>
            </w:r>
          </w:p>
        </w:tc>
      </w:tr>
      <w:tr w:rsidR="00A32AD8" w:rsidRPr="001F29F9" w:rsidTr="000C10F6">
        <w:tc>
          <w:tcPr>
            <w:tcW w:w="2660" w:type="dxa"/>
            <w:tcBorders>
              <w:top w:val="single" w:sz="4" w:space="0" w:color="000000"/>
              <w:left w:val="single" w:sz="4" w:space="0" w:color="000000"/>
              <w:bottom w:val="single" w:sz="4" w:space="0" w:color="000000"/>
              <w:right w:val="single" w:sz="4" w:space="0" w:color="000000"/>
            </w:tcBorders>
            <w:vAlign w:val="center"/>
            <w:hideMark/>
          </w:tcPr>
          <w:p w:rsidR="00A32AD8" w:rsidRPr="001F29F9" w:rsidRDefault="00A32AD8" w:rsidP="000C10F6">
            <w:pPr>
              <w:tabs>
                <w:tab w:val="left" w:pos="288"/>
                <w:tab w:val="left" w:pos="4752"/>
              </w:tabs>
              <w:rPr>
                <w:rFonts w:eastAsiaTheme="minorHAnsi"/>
                <w:color w:val="000000" w:themeColor="text1"/>
                <w:sz w:val="18"/>
                <w:szCs w:val="18"/>
              </w:rPr>
            </w:pPr>
            <w:r>
              <w:rPr>
                <w:rFonts w:eastAsiaTheme="minorHAnsi"/>
                <w:color w:val="000000" w:themeColor="text1"/>
                <w:sz w:val="18"/>
                <w:szCs w:val="18"/>
              </w:rPr>
              <w:t>Comments</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A32AD8" w:rsidRDefault="00A32AD8" w:rsidP="000C10F6">
            <w:pPr>
              <w:contextualSpacing/>
              <w:rPr>
                <w:rFonts w:eastAsia="Calibri"/>
                <w:color w:val="000000" w:themeColor="text1"/>
                <w:sz w:val="18"/>
                <w:szCs w:val="18"/>
              </w:rPr>
            </w:pPr>
            <w:r>
              <w:rPr>
                <w:rFonts w:eastAsia="Calibri"/>
                <w:color w:val="000000" w:themeColor="text1"/>
                <w:sz w:val="18"/>
                <w:szCs w:val="18"/>
              </w:rPr>
              <w:t>Normal uninjured ankle.</w:t>
            </w:r>
          </w:p>
        </w:tc>
        <w:tc>
          <w:tcPr>
            <w:tcW w:w="1450" w:type="dxa"/>
            <w:tcBorders>
              <w:top w:val="single" w:sz="4" w:space="0" w:color="000000"/>
              <w:left w:val="single" w:sz="4" w:space="0" w:color="000000"/>
              <w:bottom w:val="single" w:sz="4" w:space="0" w:color="000000"/>
              <w:right w:val="single" w:sz="4" w:space="0" w:color="000000"/>
            </w:tcBorders>
            <w:vAlign w:val="center"/>
          </w:tcPr>
          <w:p w:rsidR="00A32AD8" w:rsidRDefault="00A32AD8" w:rsidP="000C10F6">
            <w:pPr>
              <w:contextualSpacing/>
              <w:rPr>
                <w:rFonts w:eastAsia="Calibri"/>
                <w:color w:val="000000" w:themeColor="text1"/>
                <w:sz w:val="18"/>
                <w:szCs w:val="18"/>
              </w:rPr>
            </w:pPr>
            <w:r>
              <w:rPr>
                <w:rFonts w:eastAsia="Calibri"/>
                <w:color w:val="000000" w:themeColor="text1"/>
                <w:sz w:val="18"/>
                <w:szCs w:val="18"/>
              </w:rPr>
              <w:t>Swelling and tenderness.</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A32AD8" w:rsidRDefault="00A32AD8" w:rsidP="001424A0">
            <w:pPr>
              <w:contextualSpacing/>
              <w:rPr>
                <w:rFonts w:eastAsia="Calibri"/>
                <w:color w:val="000000" w:themeColor="text1"/>
                <w:sz w:val="18"/>
                <w:szCs w:val="18"/>
              </w:rPr>
            </w:pPr>
            <w:r>
              <w:rPr>
                <w:rFonts w:eastAsia="Calibri"/>
                <w:color w:val="000000" w:themeColor="text1"/>
                <w:sz w:val="18"/>
                <w:szCs w:val="18"/>
              </w:rPr>
              <w:t>Normal uninjured ankle.</w:t>
            </w:r>
          </w:p>
        </w:tc>
        <w:tc>
          <w:tcPr>
            <w:tcW w:w="1450" w:type="dxa"/>
            <w:tcBorders>
              <w:top w:val="single" w:sz="4" w:space="0" w:color="000000"/>
              <w:left w:val="single" w:sz="4" w:space="0" w:color="000000"/>
              <w:bottom w:val="single" w:sz="4" w:space="0" w:color="000000"/>
              <w:right w:val="single" w:sz="4" w:space="0" w:color="000000"/>
            </w:tcBorders>
            <w:vAlign w:val="center"/>
          </w:tcPr>
          <w:p w:rsidR="00A32AD8" w:rsidRDefault="00A32AD8" w:rsidP="000C10F6">
            <w:pPr>
              <w:contextualSpacing/>
              <w:rPr>
                <w:rFonts w:eastAsia="Calibri"/>
                <w:color w:val="000000" w:themeColor="text1"/>
                <w:sz w:val="18"/>
                <w:szCs w:val="18"/>
              </w:rPr>
            </w:pPr>
            <w:r>
              <w:rPr>
                <w:rFonts w:eastAsia="Calibri"/>
                <w:color w:val="000000" w:themeColor="text1"/>
                <w:sz w:val="18"/>
                <w:szCs w:val="18"/>
              </w:rPr>
              <w:t>Some pain with motion.</w:t>
            </w:r>
          </w:p>
        </w:tc>
      </w:tr>
      <w:tr w:rsidR="001424A0" w:rsidRPr="001F29F9" w:rsidTr="000C10F6">
        <w:tc>
          <w:tcPr>
            <w:tcW w:w="2660" w:type="dxa"/>
            <w:tcBorders>
              <w:top w:val="single" w:sz="4" w:space="0" w:color="000000"/>
              <w:left w:val="single" w:sz="4" w:space="0" w:color="000000"/>
              <w:bottom w:val="single" w:sz="4" w:space="0" w:color="000000"/>
              <w:right w:val="single" w:sz="4" w:space="0" w:color="000000"/>
            </w:tcBorders>
            <w:vAlign w:val="center"/>
            <w:hideMark/>
          </w:tcPr>
          <w:p w:rsidR="001424A0" w:rsidRPr="001F29F9" w:rsidRDefault="001424A0" w:rsidP="000C10F6">
            <w:pPr>
              <w:tabs>
                <w:tab w:val="left" w:pos="288"/>
                <w:tab w:val="left" w:pos="4752"/>
              </w:tabs>
              <w:rPr>
                <w:rFonts w:eastAsiaTheme="minorHAnsi"/>
                <w:color w:val="000000" w:themeColor="text1"/>
                <w:sz w:val="18"/>
                <w:szCs w:val="18"/>
              </w:rPr>
            </w:pPr>
            <w:r w:rsidRPr="001F29F9">
              <w:rPr>
                <w:rFonts w:eastAsiaTheme="minorHAnsi"/>
                <w:color w:val="000000" w:themeColor="text1"/>
                <w:sz w:val="18"/>
                <w:szCs w:val="18"/>
              </w:rPr>
              <w:t>§4.71a Rating</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1424A0" w:rsidRPr="001F29F9" w:rsidRDefault="000C10F6" w:rsidP="000C10F6">
            <w:pPr>
              <w:contextualSpacing/>
              <w:rPr>
                <w:rFonts w:eastAsia="Calibri"/>
                <w:color w:val="000000" w:themeColor="text1"/>
                <w:sz w:val="18"/>
                <w:szCs w:val="18"/>
              </w:rPr>
            </w:pPr>
            <w:r>
              <w:rPr>
                <w:rFonts w:eastAsia="Calibri"/>
                <w:color w:val="000000" w:themeColor="text1"/>
                <w:sz w:val="18"/>
                <w:szCs w:val="18"/>
              </w:rPr>
              <w:t>N/A</w:t>
            </w:r>
          </w:p>
        </w:tc>
        <w:tc>
          <w:tcPr>
            <w:tcW w:w="1450" w:type="dxa"/>
            <w:tcBorders>
              <w:top w:val="single" w:sz="4" w:space="0" w:color="000000"/>
              <w:left w:val="single" w:sz="4" w:space="0" w:color="000000"/>
              <w:bottom w:val="single" w:sz="4" w:space="0" w:color="000000"/>
              <w:right w:val="single" w:sz="4" w:space="0" w:color="000000"/>
            </w:tcBorders>
            <w:vAlign w:val="center"/>
          </w:tcPr>
          <w:p w:rsidR="001424A0" w:rsidRPr="001F29F9" w:rsidRDefault="000C10F6" w:rsidP="00A32AD8">
            <w:pPr>
              <w:contextualSpacing/>
              <w:rPr>
                <w:rFonts w:eastAsia="Calibri"/>
                <w:color w:val="000000" w:themeColor="text1"/>
                <w:sz w:val="18"/>
                <w:szCs w:val="18"/>
              </w:rPr>
            </w:pPr>
            <w:r>
              <w:rPr>
                <w:rFonts w:eastAsia="Calibri"/>
                <w:color w:val="000000" w:themeColor="text1"/>
                <w:sz w:val="18"/>
                <w:szCs w:val="18"/>
              </w:rPr>
              <w:t>10</w:t>
            </w:r>
            <w:r w:rsidR="001424A0" w:rsidRPr="001F29F9">
              <w:rPr>
                <w:rFonts w:eastAsia="Calibri"/>
                <w:color w:val="000000" w:themeColor="text1"/>
                <w:sz w:val="18"/>
                <w:szCs w:val="18"/>
              </w:rPr>
              <w:t>%</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1424A0" w:rsidRPr="001F29F9" w:rsidRDefault="001424A0" w:rsidP="001424A0">
            <w:pPr>
              <w:contextualSpacing/>
              <w:rPr>
                <w:rFonts w:eastAsia="Calibri"/>
                <w:color w:val="000000" w:themeColor="text1"/>
                <w:sz w:val="18"/>
                <w:szCs w:val="18"/>
              </w:rPr>
            </w:pPr>
            <w:r>
              <w:rPr>
                <w:rFonts w:eastAsia="Calibri"/>
                <w:color w:val="000000" w:themeColor="text1"/>
                <w:sz w:val="18"/>
                <w:szCs w:val="18"/>
              </w:rPr>
              <w:t>N</w:t>
            </w:r>
            <w:r w:rsidR="000C10F6">
              <w:rPr>
                <w:rFonts w:eastAsia="Calibri"/>
                <w:color w:val="000000" w:themeColor="text1"/>
                <w:sz w:val="18"/>
                <w:szCs w:val="18"/>
              </w:rPr>
              <w:t>/</w:t>
            </w:r>
            <w:r>
              <w:rPr>
                <w:rFonts w:eastAsia="Calibri"/>
                <w:color w:val="000000" w:themeColor="text1"/>
                <w:sz w:val="18"/>
                <w:szCs w:val="18"/>
              </w:rPr>
              <w:t>A</w:t>
            </w:r>
          </w:p>
        </w:tc>
        <w:tc>
          <w:tcPr>
            <w:tcW w:w="1450" w:type="dxa"/>
            <w:tcBorders>
              <w:top w:val="single" w:sz="4" w:space="0" w:color="000000"/>
              <w:left w:val="single" w:sz="4" w:space="0" w:color="000000"/>
              <w:bottom w:val="single" w:sz="4" w:space="0" w:color="000000"/>
              <w:right w:val="single" w:sz="4" w:space="0" w:color="000000"/>
            </w:tcBorders>
            <w:vAlign w:val="center"/>
          </w:tcPr>
          <w:p w:rsidR="001424A0" w:rsidRPr="001F29F9" w:rsidRDefault="000C10F6" w:rsidP="00A32AD8">
            <w:pPr>
              <w:contextualSpacing/>
              <w:rPr>
                <w:rFonts w:eastAsia="Calibri"/>
                <w:color w:val="000000" w:themeColor="text1"/>
                <w:sz w:val="18"/>
                <w:szCs w:val="18"/>
              </w:rPr>
            </w:pPr>
            <w:r>
              <w:rPr>
                <w:rFonts w:eastAsia="Calibri"/>
                <w:color w:val="000000" w:themeColor="text1"/>
                <w:sz w:val="18"/>
                <w:szCs w:val="18"/>
              </w:rPr>
              <w:t>10</w:t>
            </w:r>
            <w:r w:rsidR="001424A0" w:rsidRPr="001F29F9">
              <w:rPr>
                <w:rFonts w:eastAsia="Calibri"/>
                <w:color w:val="000000" w:themeColor="text1"/>
                <w:sz w:val="18"/>
                <w:szCs w:val="18"/>
              </w:rPr>
              <w:t>%</w:t>
            </w:r>
          </w:p>
        </w:tc>
      </w:tr>
    </w:tbl>
    <w:p w:rsidR="001424A0" w:rsidRDefault="001424A0" w:rsidP="000C10F6">
      <w:pPr>
        <w:jc w:val="left"/>
        <w:rPr>
          <w:color w:val="000000" w:themeColor="text1"/>
          <w:szCs w:val="18"/>
        </w:rPr>
      </w:pPr>
    </w:p>
    <w:p w:rsidR="00906E3A" w:rsidRDefault="000C10F6" w:rsidP="00FB6596">
      <w:pPr>
        <w:jc w:val="both"/>
        <w:rPr>
          <w:color w:val="000000" w:themeColor="text1"/>
          <w:szCs w:val="24"/>
        </w:rPr>
      </w:pPr>
      <w:r w:rsidRPr="000C10F6">
        <w:rPr>
          <w:color w:val="000000" w:themeColor="text1"/>
          <w:szCs w:val="24"/>
        </w:rPr>
        <w:t xml:space="preserve">The CI was </w:t>
      </w:r>
      <w:r w:rsidR="000527D1">
        <w:rPr>
          <w:color w:val="000000" w:themeColor="text1"/>
          <w:szCs w:val="24"/>
        </w:rPr>
        <w:t>on day 12</w:t>
      </w:r>
      <w:r w:rsidRPr="000C10F6">
        <w:rPr>
          <w:color w:val="000000" w:themeColor="text1"/>
          <w:szCs w:val="24"/>
        </w:rPr>
        <w:t xml:space="preserve"> in basic training </w:t>
      </w:r>
      <w:r>
        <w:rPr>
          <w:color w:val="000000" w:themeColor="text1"/>
          <w:szCs w:val="24"/>
        </w:rPr>
        <w:t xml:space="preserve">when he fell from </w:t>
      </w:r>
      <w:r w:rsidR="000527D1">
        <w:rPr>
          <w:color w:val="000000" w:themeColor="text1"/>
          <w:szCs w:val="24"/>
        </w:rPr>
        <w:t>a climbing</w:t>
      </w:r>
      <w:r>
        <w:rPr>
          <w:color w:val="000000" w:themeColor="text1"/>
          <w:szCs w:val="24"/>
        </w:rPr>
        <w:t xml:space="preserve"> rope onto his right foot, dislocating his sub-talar joint</w:t>
      </w:r>
      <w:r w:rsidR="00AF11EC">
        <w:rPr>
          <w:color w:val="000000" w:themeColor="text1"/>
          <w:szCs w:val="24"/>
        </w:rPr>
        <w:t xml:space="preserve"> (ankle)</w:t>
      </w:r>
      <w:r>
        <w:rPr>
          <w:color w:val="000000" w:themeColor="text1"/>
          <w:szCs w:val="24"/>
        </w:rPr>
        <w:t>.  He was managed conservative</w:t>
      </w:r>
      <w:r w:rsidR="000527D1">
        <w:rPr>
          <w:color w:val="000000" w:themeColor="text1"/>
          <w:szCs w:val="24"/>
        </w:rPr>
        <w:t>ly</w:t>
      </w:r>
      <w:r>
        <w:rPr>
          <w:color w:val="000000" w:themeColor="text1"/>
          <w:szCs w:val="24"/>
        </w:rPr>
        <w:t xml:space="preserve"> with</w:t>
      </w:r>
      <w:r w:rsidR="000527D1">
        <w:rPr>
          <w:color w:val="000000" w:themeColor="text1"/>
          <w:szCs w:val="24"/>
        </w:rPr>
        <w:t xml:space="preserve"> </w:t>
      </w:r>
      <w:r w:rsidR="00AF11EC">
        <w:rPr>
          <w:color w:val="000000" w:themeColor="text1"/>
          <w:szCs w:val="24"/>
        </w:rPr>
        <w:t xml:space="preserve">closed reduction, casting and </w:t>
      </w:r>
      <w:r w:rsidR="000527D1">
        <w:rPr>
          <w:color w:val="000000" w:themeColor="text1"/>
          <w:szCs w:val="24"/>
        </w:rPr>
        <w:t xml:space="preserve">non-weight bearing.  </w:t>
      </w:r>
      <w:r w:rsidR="00E75A08">
        <w:rPr>
          <w:color w:val="000000" w:themeColor="text1"/>
          <w:szCs w:val="24"/>
        </w:rPr>
        <w:t xml:space="preserve">Due to the anticipated several months of rehabilitation, </w:t>
      </w:r>
      <w:r>
        <w:rPr>
          <w:color w:val="000000" w:themeColor="text1"/>
          <w:szCs w:val="24"/>
        </w:rPr>
        <w:t>it was determined that he would not be fit to return to training in a timely</w:t>
      </w:r>
      <w:r w:rsidR="00AF11EC">
        <w:rPr>
          <w:color w:val="000000" w:themeColor="text1"/>
          <w:szCs w:val="24"/>
        </w:rPr>
        <w:t xml:space="preserve"> fashion and he was referred for MEB.  </w:t>
      </w:r>
      <w:r w:rsidR="002A1E2D" w:rsidRPr="002A1E2D">
        <w:rPr>
          <w:color w:val="000000" w:themeColor="text1"/>
          <w:szCs w:val="24"/>
        </w:rPr>
        <w:t xml:space="preserve">The MEB examination was </w:t>
      </w:r>
      <w:r w:rsidR="002A1E2D">
        <w:rPr>
          <w:color w:val="000000" w:themeColor="text1"/>
          <w:szCs w:val="24"/>
        </w:rPr>
        <w:t xml:space="preserve">on 9 April 2004, </w:t>
      </w:r>
      <w:r w:rsidR="00C70626">
        <w:rPr>
          <w:color w:val="000000" w:themeColor="text1"/>
          <w:szCs w:val="24"/>
        </w:rPr>
        <w:t>3</w:t>
      </w:r>
      <w:r w:rsidR="002A1E2D">
        <w:rPr>
          <w:color w:val="000000" w:themeColor="text1"/>
          <w:szCs w:val="24"/>
        </w:rPr>
        <w:t xml:space="preserve"> months prior to TDRL entry and approximately one month after the </w:t>
      </w:r>
      <w:r w:rsidR="00B946A0">
        <w:rPr>
          <w:color w:val="000000" w:themeColor="text1"/>
          <w:szCs w:val="24"/>
        </w:rPr>
        <w:t>initial</w:t>
      </w:r>
      <w:r w:rsidR="002A1E2D">
        <w:rPr>
          <w:color w:val="000000" w:themeColor="text1"/>
          <w:szCs w:val="24"/>
        </w:rPr>
        <w:t xml:space="preserve"> injury.  He was noted to still have moderate foot and ankle edema, significant tenderness to palpation along the subtalar joint and </w:t>
      </w:r>
      <w:r w:rsidR="000527D1">
        <w:rPr>
          <w:color w:val="000000" w:themeColor="text1"/>
          <w:szCs w:val="24"/>
        </w:rPr>
        <w:t>mid foot.  Both dorsi and planta</w:t>
      </w:r>
      <w:r w:rsidR="002A1E2D">
        <w:rPr>
          <w:color w:val="000000" w:themeColor="text1"/>
          <w:szCs w:val="24"/>
        </w:rPr>
        <w:t>r flexion were weak; this was thought to be secondary to pain.  Some reduction in sen</w:t>
      </w:r>
      <w:r w:rsidR="000527D1">
        <w:rPr>
          <w:color w:val="000000" w:themeColor="text1"/>
          <w:szCs w:val="24"/>
        </w:rPr>
        <w:t>s</w:t>
      </w:r>
      <w:r w:rsidR="002A1E2D">
        <w:rPr>
          <w:color w:val="000000" w:themeColor="text1"/>
          <w:szCs w:val="24"/>
        </w:rPr>
        <w:t xml:space="preserve">ation was noted globally about the right foot.  Imaging showed good alignment of the reduction.  He was still in </w:t>
      </w:r>
      <w:r w:rsidR="00B946A0">
        <w:rPr>
          <w:color w:val="000000" w:themeColor="text1"/>
          <w:szCs w:val="24"/>
        </w:rPr>
        <w:t>acute</w:t>
      </w:r>
      <w:r w:rsidR="002A1E2D">
        <w:rPr>
          <w:color w:val="000000" w:themeColor="text1"/>
          <w:szCs w:val="24"/>
        </w:rPr>
        <w:t xml:space="preserve"> treatment and in an immobilizer with a cam walker</w:t>
      </w:r>
      <w:r w:rsidR="000527D1">
        <w:rPr>
          <w:color w:val="000000" w:themeColor="text1"/>
          <w:szCs w:val="24"/>
        </w:rPr>
        <w:t>.  He was</w:t>
      </w:r>
      <w:r w:rsidR="002A1E2D">
        <w:rPr>
          <w:color w:val="000000" w:themeColor="text1"/>
          <w:szCs w:val="24"/>
        </w:rPr>
        <w:t xml:space="preserve"> expected to be non-</w:t>
      </w:r>
      <w:r w:rsidR="00B946A0">
        <w:rPr>
          <w:color w:val="000000" w:themeColor="text1"/>
          <w:szCs w:val="24"/>
        </w:rPr>
        <w:t>weight bearing</w:t>
      </w:r>
      <w:r w:rsidR="002A1E2D">
        <w:rPr>
          <w:color w:val="000000" w:themeColor="text1"/>
          <w:szCs w:val="24"/>
        </w:rPr>
        <w:t xml:space="preserve"> for another two weeks</w:t>
      </w:r>
      <w:r w:rsidR="00E75A08">
        <w:rPr>
          <w:color w:val="000000" w:themeColor="text1"/>
          <w:szCs w:val="24"/>
        </w:rPr>
        <w:t xml:space="preserve"> followed by several </w:t>
      </w:r>
      <w:r w:rsidR="003B7BFE">
        <w:rPr>
          <w:color w:val="000000" w:themeColor="text1"/>
          <w:szCs w:val="24"/>
        </w:rPr>
        <w:t xml:space="preserve">months of </w:t>
      </w:r>
      <w:r w:rsidR="003B7BFE">
        <w:rPr>
          <w:color w:val="000000" w:themeColor="text1"/>
          <w:szCs w:val="24"/>
        </w:rPr>
        <w:lastRenderedPageBreak/>
        <w:t xml:space="preserve">rehabilitation.  The </w:t>
      </w:r>
      <w:r w:rsidR="00E75A08">
        <w:rPr>
          <w:color w:val="000000" w:themeColor="text1"/>
          <w:szCs w:val="24"/>
        </w:rPr>
        <w:t xml:space="preserve">PEB, 14 May 2004, recommended that he be placed on TDRL during </w:t>
      </w:r>
      <w:r w:rsidR="00B946A0">
        <w:rPr>
          <w:color w:val="000000" w:themeColor="text1"/>
          <w:szCs w:val="24"/>
        </w:rPr>
        <w:t>convalescence</w:t>
      </w:r>
      <w:r w:rsidR="00E75A08">
        <w:rPr>
          <w:color w:val="000000" w:themeColor="text1"/>
          <w:szCs w:val="24"/>
        </w:rPr>
        <w:t xml:space="preserve"> and rehabilitation.  </w:t>
      </w:r>
      <w:r w:rsidR="00106080">
        <w:rPr>
          <w:color w:val="000000" w:themeColor="text1"/>
          <w:szCs w:val="24"/>
        </w:rPr>
        <w:t>The initial VA Compensation and P</w:t>
      </w:r>
      <w:r w:rsidR="002A1E2D">
        <w:rPr>
          <w:color w:val="000000" w:themeColor="text1"/>
          <w:szCs w:val="24"/>
        </w:rPr>
        <w:t xml:space="preserve">ension (C&amp;P) exam was on 24 May 2004, </w:t>
      </w:r>
      <w:r w:rsidR="00C70626">
        <w:rPr>
          <w:color w:val="000000" w:themeColor="text1"/>
          <w:szCs w:val="24"/>
        </w:rPr>
        <w:t>5</w:t>
      </w:r>
      <w:r w:rsidR="002A1E2D">
        <w:rPr>
          <w:color w:val="000000" w:themeColor="text1"/>
          <w:szCs w:val="24"/>
        </w:rPr>
        <w:t xml:space="preserve"> weeks before TDRL entry.  He had been out of the cam wa</w:t>
      </w:r>
      <w:r w:rsidR="000527D1">
        <w:rPr>
          <w:color w:val="000000" w:themeColor="text1"/>
          <w:szCs w:val="24"/>
        </w:rPr>
        <w:t>lker for three days</w:t>
      </w:r>
      <w:r w:rsidR="002A1E2D">
        <w:rPr>
          <w:color w:val="000000" w:themeColor="text1"/>
          <w:szCs w:val="24"/>
        </w:rPr>
        <w:t xml:space="preserve"> and was using a</w:t>
      </w:r>
      <w:r w:rsidR="00A317C7">
        <w:rPr>
          <w:color w:val="000000" w:themeColor="text1"/>
          <w:szCs w:val="24"/>
        </w:rPr>
        <w:t xml:space="preserve">n elastic support.  Sensory loss was again noted globally along with diminished ROM.  Motor strength was also reduced and edema was persistent.  </w:t>
      </w:r>
      <w:r w:rsidR="00415AA5">
        <w:rPr>
          <w:color w:val="000000" w:themeColor="text1"/>
          <w:szCs w:val="24"/>
        </w:rPr>
        <w:t>Early arthritic changes were noted on X</w:t>
      </w:r>
      <w:r w:rsidR="00E75A08">
        <w:rPr>
          <w:color w:val="000000" w:themeColor="text1"/>
          <w:szCs w:val="24"/>
        </w:rPr>
        <w:t>-r</w:t>
      </w:r>
      <w:r w:rsidR="00415AA5">
        <w:rPr>
          <w:color w:val="000000" w:themeColor="text1"/>
          <w:szCs w:val="24"/>
        </w:rPr>
        <w:t>ay.</w:t>
      </w:r>
      <w:r w:rsidR="00E75A08">
        <w:rPr>
          <w:color w:val="000000" w:themeColor="text1"/>
          <w:szCs w:val="24"/>
        </w:rPr>
        <w:t xml:space="preserve">  The VA granted a 10% rating for the right ankle condition based on this C&amp;P examination.  </w:t>
      </w:r>
      <w:r w:rsidR="00415AA5">
        <w:rPr>
          <w:color w:val="000000" w:themeColor="text1"/>
          <w:szCs w:val="24"/>
        </w:rPr>
        <w:t>The Board first considered the TDRL entry rating.</w:t>
      </w:r>
      <w:r w:rsidR="00E75A08">
        <w:rPr>
          <w:color w:val="000000" w:themeColor="text1"/>
          <w:szCs w:val="24"/>
        </w:rPr>
        <w:t xml:space="preserve">  </w:t>
      </w:r>
      <w:r w:rsidR="00E75A08" w:rsidRPr="00E75A08">
        <w:rPr>
          <w:color w:val="000000" w:themeColor="text1"/>
          <w:szCs w:val="24"/>
        </w:rPr>
        <w:t xml:space="preserve">It is noted that both MEB and C&amp;P examinations </w:t>
      </w:r>
      <w:r w:rsidR="00E00685">
        <w:rPr>
          <w:color w:val="000000" w:themeColor="text1"/>
          <w:szCs w:val="24"/>
        </w:rPr>
        <w:t>discuss</w:t>
      </w:r>
      <w:r w:rsidR="00E75A08" w:rsidRPr="00E75A08">
        <w:rPr>
          <w:color w:val="000000" w:themeColor="text1"/>
          <w:szCs w:val="24"/>
        </w:rPr>
        <w:t>ed above were conducted in the acute recovery period and do not reflect permanent impairment.</w:t>
      </w:r>
      <w:r w:rsidR="00E75A08">
        <w:rPr>
          <w:color w:val="000000" w:themeColor="text1"/>
          <w:szCs w:val="24"/>
        </w:rPr>
        <w:t xml:space="preserve">  The </w:t>
      </w:r>
      <w:r w:rsidR="00415AA5">
        <w:rPr>
          <w:color w:val="000000" w:themeColor="text1"/>
          <w:szCs w:val="24"/>
        </w:rPr>
        <w:t>PEB coded the ankle condition as 5284</w:t>
      </w:r>
      <w:r w:rsidR="006B0FA9">
        <w:rPr>
          <w:color w:val="000000" w:themeColor="text1"/>
          <w:szCs w:val="24"/>
        </w:rPr>
        <w:t xml:space="preserve">, </w:t>
      </w:r>
      <w:r w:rsidR="00E75A08">
        <w:rPr>
          <w:color w:val="000000" w:themeColor="text1"/>
          <w:szCs w:val="24"/>
        </w:rPr>
        <w:t xml:space="preserve">other </w:t>
      </w:r>
      <w:r w:rsidR="006B0FA9">
        <w:rPr>
          <w:color w:val="000000" w:themeColor="text1"/>
          <w:szCs w:val="24"/>
        </w:rPr>
        <w:t>foot injuries,</w:t>
      </w:r>
      <w:r w:rsidR="00415AA5">
        <w:rPr>
          <w:color w:val="000000" w:themeColor="text1"/>
          <w:szCs w:val="24"/>
        </w:rPr>
        <w:t xml:space="preserve"> and that the VA coded it 5010-5271</w:t>
      </w:r>
      <w:r w:rsidR="006B0FA9">
        <w:rPr>
          <w:color w:val="000000" w:themeColor="text1"/>
          <w:szCs w:val="24"/>
        </w:rPr>
        <w:t xml:space="preserve">, respectively traumatic arthritis and limited ROM.  The PEB </w:t>
      </w:r>
      <w:r w:rsidR="00415AA5">
        <w:rPr>
          <w:color w:val="000000" w:themeColor="text1"/>
          <w:szCs w:val="24"/>
        </w:rPr>
        <w:t xml:space="preserve">rated at 30% and </w:t>
      </w:r>
      <w:r w:rsidR="006B0FA9">
        <w:rPr>
          <w:color w:val="000000" w:themeColor="text1"/>
          <w:szCs w:val="24"/>
        </w:rPr>
        <w:t>the VA at 10%.  The Board notes that the 30% rating awarded by the PEB is the highest available under the code 5284 and that for a higher rating of 40%, the disability would need to be equivalent to complete loss of function of the foot.  The disability did not rise to this level of severity.</w:t>
      </w:r>
      <w:r w:rsidR="00E75A08">
        <w:rPr>
          <w:color w:val="000000" w:themeColor="text1"/>
          <w:szCs w:val="24"/>
        </w:rPr>
        <w:t xml:space="preserve">  As discussed previously, the initial rating adjudicated by the PEB was the result of the PEB’s intent to place the CI on TDRL for purpose of stabilization and rehabilitation prior to a final fitness and disability determination</w:t>
      </w:r>
      <w:r w:rsidR="002757CE">
        <w:rPr>
          <w:color w:val="000000" w:themeColor="text1"/>
          <w:szCs w:val="24"/>
        </w:rPr>
        <w:t xml:space="preserve"> (IAW DoDI 1322.38).</w:t>
      </w:r>
      <w:r w:rsidR="0071264B">
        <w:rPr>
          <w:color w:val="000000" w:themeColor="text1"/>
          <w:szCs w:val="24"/>
        </w:rPr>
        <w:t xml:space="preserve">  </w:t>
      </w:r>
      <w:r w:rsidR="006B0FA9" w:rsidRPr="00F64312">
        <w:rPr>
          <w:rFonts w:eastAsia="Calibri" w:cs="Times New Roman"/>
          <w:color w:val="auto"/>
          <w:szCs w:val="24"/>
        </w:rPr>
        <w:t xml:space="preserve">After due deliberation, considering all of the evidence and mindful of VASRD §4.3 (reasonable doubt), the Board concluded that there was insufficient cause to recommend a change in the PEB adjudication for the </w:t>
      </w:r>
      <w:r w:rsidR="006B0FA9">
        <w:rPr>
          <w:rFonts w:eastAsia="Calibri" w:cs="Times New Roman"/>
          <w:color w:val="auto"/>
          <w:szCs w:val="24"/>
        </w:rPr>
        <w:t xml:space="preserve">ankle </w:t>
      </w:r>
      <w:r w:rsidR="006B0FA9" w:rsidRPr="00F64312">
        <w:rPr>
          <w:rFonts w:eastAsia="Calibri" w:cs="Times New Roman"/>
          <w:color w:val="auto"/>
          <w:szCs w:val="24"/>
        </w:rPr>
        <w:t>condition</w:t>
      </w:r>
      <w:r w:rsidR="006B0FA9">
        <w:rPr>
          <w:rFonts w:eastAsia="Calibri" w:cs="Times New Roman"/>
          <w:color w:val="auto"/>
          <w:szCs w:val="24"/>
        </w:rPr>
        <w:t xml:space="preserve"> for TDRL entry.  The Board next considered the permanent rating of disability.  The </w:t>
      </w:r>
      <w:r w:rsidR="00F01693">
        <w:rPr>
          <w:rFonts w:eastAsia="Calibri" w:cs="Times New Roman"/>
          <w:color w:val="auto"/>
          <w:szCs w:val="24"/>
        </w:rPr>
        <w:t xml:space="preserve">TDRL </w:t>
      </w:r>
      <w:r w:rsidR="006B0FA9">
        <w:rPr>
          <w:rFonts w:eastAsia="Calibri" w:cs="Times New Roman"/>
          <w:color w:val="auto"/>
          <w:szCs w:val="24"/>
        </w:rPr>
        <w:t xml:space="preserve">examination was on 20 July 2006, </w:t>
      </w:r>
      <w:r w:rsidR="00F01693">
        <w:rPr>
          <w:rFonts w:eastAsia="Calibri" w:cs="Times New Roman"/>
          <w:color w:val="auto"/>
          <w:szCs w:val="24"/>
        </w:rPr>
        <w:t xml:space="preserve">two years after placement on TDRL and </w:t>
      </w:r>
      <w:r w:rsidR="00C70626">
        <w:rPr>
          <w:rFonts w:eastAsia="Calibri" w:cs="Times New Roman"/>
          <w:color w:val="auto"/>
          <w:szCs w:val="24"/>
        </w:rPr>
        <w:t>3</w:t>
      </w:r>
      <w:r w:rsidR="00967CAD">
        <w:rPr>
          <w:rFonts w:eastAsia="Calibri" w:cs="Times New Roman"/>
          <w:color w:val="auto"/>
          <w:szCs w:val="24"/>
        </w:rPr>
        <w:t xml:space="preserve"> months prior to TDRL exit.  The </w:t>
      </w:r>
      <w:r w:rsidR="00F01693">
        <w:rPr>
          <w:rFonts w:eastAsia="Calibri" w:cs="Times New Roman"/>
          <w:color w:val="auto"/>
          <w:szCs w:val="24"/>
        </w:rPr>
        <w:t xml:space="preserve">TDRL </w:t>
      </w:r>
      <w:r w:rsidR="00967CAD">
        <w:rPr>
          <w:rFonts w:eastAsia="Calibri" w:cs="Times New Roman"/>
          <w:color w:val="auto"/>
          <w:szCs w:val="24"/>
        </w:rPr>
        <w:t>examiner noted that the CI had little limitation in physical activities although there was soreness in the foot afterwards. The C</w:t>
      </w:r>
      <w:r w:rsidR="005A1D93">
        <w:rPr>
          <w:rFonts w:eastAsia="Calibri" w:cs="Times New Roman"/>
          <w:color w:val="auto"/>
          <w:szCs w:val="24"/>
        </w:rPr>
        <w:t>I</w:t>
      </w:r>
      <w:r w:rsidR="00967CAD">
        <w:rPr>
          <w:rFonts w:eastAsia="Calibri" w:cs="Times New Roman"/>
          <w:color w:val="auto"/>
          <w:szCs w:val="24"/>
        </w:rPr>
        <w:t xml:space="preserve"> was able to surf, mountain bike and snowboard.  On exam, dorsiflexion was decreased bilaterally.  No comment was made if this was symmetric.  Subtalar motion was noted to be abnormal on the right.  Degenerative joint disease was noted on imaging.  The VA did not perfor</w:t>
      </w:r>
      <w:r w:rsidR="00906E3A">
        <w:rPr>
          <w:rFonts w:eastAsia="Calibri" w:cs="Times New Roman"/>
          <w:color w:val="auto"/>
          <w:szCs w:val="24"/>
        </w:rPr>
        <w:t>m another C&amp;P exam until over three</w:t>
      </w:r>
      <w:r w:rsidR="00967CAD">
        <w:rPr>
          <w:rFonts w:eastAsia="Calibri" w:cs="Times New Roman"/>
          <w:color w:val="auto"/>
          <w:szCs w:val="24"/>
        </w:rPr>
        <w:t xml:space="preserve"> years after TDRL exit.  </w:t>
      </w:r>
      <w:r w:rsidR="00906E3A">
        <w:rPr>
          <w:rFonts w:eastAsia="Calibri" w:cs="Times New Roman"/>
          <w:color w:val="auto"/>
          <w:szCs w:val="24"/>
        </w:rPr>
        <w:t>The Board notes that this is well outside of the 12</w:t>
      </w:r>
      <w:r w:rsidR="00C70626">
        <w:rPr>
          <w:rFonts w:eastAsia="Calibri" w:cs="Times New Roman"/>
          <w:color w:val="auto"/>
          <w:szCs w:val="24"/>
        </w:rPr>
        <w:t>-</w:t>
      </w:r>
      <w:r w:rsidR="00906E3A">
        <w:rPr>
          <w:rFonts w:eastAsia="Calibri" w:cs="Times New Roman"/>
          <w:color w:val="auto"/>
          <w:szCs w:val="24"/>
        </w:rPr>
        <w:t>month window typically used for adjudication.  Nonethe</w:t>
      </w:r>
      <w:r w:rsidR="00B946A0">
        <w:rPr>
          <w:rFonts w:eastAsia="Calibri" w:cs="Times New Roman"/>
          <w:color w:val="auto"/>
          <w:szCs w:val="24"/>
        </w:rPr>
        <w:t>le</w:t>
      </w:r>
      <w:r w:rsidR="00906E3A">
        <w:rPr>
          <w:rFonts w:eastAsia="Calibri" w:cs="Times New Roman"/>
          <w:color w:val="auto"/>
          <w:szCs w:val="24"/>
        </w:rPr>
        <w:t>ss, as there was only the single exam proximate to TDRL exit, it serves to validate the PEB exam.  The CI stated that he had more pain than previously and was now restricting his activities</w:t>
      </w:r>
      <w:r w:rsidR="000527D1">
        <w:rPr>
          <w:rFonts w:eastAsia="Calibri" w:cs="Times New Roman"/>
          <w:color w:val="auto"/>
          <w:szCs w:val="24"/>
        </w:rPr>
        <w:t>; he</w:t>
      </w:r>
      <w:r w:rsidR="00906E3A">
        <w:rPr>
          <w:rFonts w:eastAsia="Calibri" w:cs="Times New Roman"/>
          <w:color w:val="auto"/>
          <w:szCs w:val="24"/>
        </w:rPr>
        <w:t xml:space="preserve"> no longer ran or snowboarded.  He was able to hike several miles, but did have pain afterwards.  He used no assistive devices.  On exam, his gait was normal and could walk on his toes and heels “with ease</w:t>
      </w:r>
      <w:r w:rsidR="00106080">
        <w:rPr>
          <w:rFonts w:eastAsia="Calibri" w:cs="Times New Roman"/>
          <w:color w:val="auto"/>
          <w:szCs w:val="24"/>
        </w:rPr>
        <w:t>.</w:t>
      </w:r>
      <w:r w:rsidR="00906E3A">
        <w:rPr>
          <w:rFonts w:eastAsia="Calibri" w:cs="Times New Roman"/>
          <w:color w:val="auto"/>
          <w:szCs w:val="24"/>
        </w:rPr>
        <w:t>”  ROM was normal without ligamentous laxity or pain other than when plantar flexed and inverted.</w:t>
      </w:r>
      <w:r w:rsidR="00906E3A">
        <w:rPr>
          <w:color w:val="000000" w:themeColor="text1"/>
          <w:szCs w:val="24"/>
        </w:rPr>
        <w:t xml:space="preserve">  Motor strength was normal.  A benign bony prominence was noted.  DeLuca criteria were negative.  </w:t>
      </w:r>
      <w:r w:rsidR="005A1D93">
        <w:rPr>
          <w:color w:val="000000" w:themeColor="text1"/>
          <w:szCs w:val="24"/>
        </w:rPr>
        <w:t xml:space="preserve">No incapacitation was noted.  </w:t>
      </w:r>
      <w:r w:rsidR="00D31FF7">
        <w:rPr>
          <w:color w:val="000000" w:themeColor="text1"/>
          <w:szCs w:val="24"/>
        </w:rPr>
        <w:t xml:space="preserve">The VA continued the 10% disability rating and </w:t>
      </w:r>
      <w:r w:rsidR="005A1D93">
        <w:rPr>
          <w:color w:val="000000" w:themeColor="text1"/>
          <w:szCs w:val="24"/>
        </w:rPr>
        <w:t>retained the coding initially assigned.</w:t>
      </w:r>
      <w:r w:rsidR="00D31FF7">
        <w:rPr>
          <w:color w:val="000000" w:themeColor="text1"/>
          <w:szCs w:val="24"/>
        </w:rPr>
        <w:t xml:space="preserve">  </w:t>
      </w:r>
      <w:r w:rsidR="005A1D93">
        <w:rPr>
          <w:color w:val="000000" w:themeColor="text1"/>
          <w:szCs w:val="24"/>
        </w:rPr>
        <w:t>The PEB determined a 20% rating for a moderately severe foot injury</w:t>
      </w:r>
      <w:r w:rsidR="00D31FF7">
        <w:rPr>
          <w:color w:val="000000" w:themeColor="text1"/>
          <w:szCs w:val="24"/>
        </w:rPr>
        <w:t xml:space="preserve"> (5284, foot injury, other)</w:t>
      </w:r>
      <w:r w:rsidR="005A1D93">
        <w:rPr>
          <w:color w:val="000000" w:themeColor="text1"/>
          <w:szCs w:val="24"/>
        </w:rPr>
        <w:t>.</w:t>
      </w:r>
      <w:r w:rsidR="00D31FF7">
        <w:rPr>
          <w:color w:val="000000" w:themeColor="text1"/>
          <w:szCs w:val="24"/>
        </w:rPr>
        <w:t xml:space="preserve">  Board members agreed that the </w:t>
      </w:r>
      <w:r w:rsidR="005A1D93">
        <w:rPr>
          <w:color w:val="000000" w:themeColor="text1"/>
          <w:szCs w:val="24"/>
        </w:rPr>
        <w:t xml:space="preserve">disability </w:t>
      </w:r>
      <w:r w:rsidR="00D31FF7">
        <w:rPr>
          <w:color w:val="000000" w:themeColor="text1"/>
          <w:szCs w:val="24"/>
        </w:rPr>
        <w:t>reflected in the TDRL evaluation was slight to mild as the CI participated in sports activities, but did experience pain.  Members concluded the condition more nearly approximated the 1</w:t>
      </w:r>
      <w:r w:rsidR="00B946A0">
        <w:rPr>
          <w:color w:val="000000" w:themeColor="text1"/>
          <w:szCs w:val="24"/>
        </w:rPr>
        <w:t>0% rating adjudicated by the VA;</w:t>
      </w:r>
      <w:r w:rsidR="00D31FF7">
        <w:rPr>
          <w:color w:val="000000" w:themeColor="text1"/>
          <w:szCs w:val="24"/>
        </w:rPr>
        <w:t xml:space="preserve"> however</w:t>
      </w:r>
      <w:r w:rsidR="00B946A0">
        <w:rPr>
          <w:color w:val="000000" w:themeColor="text1"/>
          <w:szCs w:val="24"/>
        </w:rPr>
        <w:t>,</w:t>
      </w:r>
      <w:r w:rsidR="00D31FF7">
        <w:rPr>
          <w:color w:val="000000" w:themeColor="text1"/>
          <w:szCs w:val="24"/>
        </w:rPr>
        <w:t xml:space="preserve"> the Board may not recommend a rating lower than that adjudicated by the PEB.</w:t>
      </w:r>
      <w:r w:rsidR="00390031">
        <w:rPr>
          <w:color w:val="000000" w:themeColor="text1"/>
          <w:szCs w:val="24"/>
        </w:rPr>
        <w:t xml:space="preserve">  </w:t>
      </w:r>
      <w:r w:rsidR="005A1D93" w:rsidRPr="00F64312">
        <w:rPr>
          <w:rFonts w:eastAsia="Calibri" w:cs="Times New Roman"/>
          <w:color w:val="auto"/>
          <w:szCs w:val="24"/>
        </w:rPr>
        <w:t xml:space="preserve">After due deliberation, considering all of the evidence and mindful of VASRD §4.3 (reasonable doubt), the Board concluded that there was insufficient cause to recommend a change in the PEB adjudication for the </w:t>
      </w:r>
      <w:r w:rsidR="005A1D93">
        <w:rPr>
          <w:rFonts w:eastAsia="Calibri" w:cs="Times New Roman"/>
          <w:color w:val="auto"/>
          <w:szCs w:val="24"/>
        </w:rPr>
        <w:t xml:space="preserve">ankle </w:t>
      </w:r>
      <w:r w:rsidR="005A1D93" w:rsidRPr="00F64312">
        <w:rPr>
          <w:rFonts w:eastAsia="Calibri" w:cs="Times New Roman"/>
          <w:color w:val="auto"/>
          <w:szCs w:val="24"/>
        </w:rPr>
        <w:t>condition</w:t>
      </w:r>
      <w:r w:rsidR="005A1D93">
        <w:rPr>
          <w:rFonts w:eastAsia="Calibri" w:cs="Times New Roman"/>
          <w:color w:val="auto"/>
          <w:szCs w:val="24"/>
        </w:rPr>
        <w:t xml:space="preserve"> for TDRL exit and permanent rating.  </w:t>
      </w:r>
    </w:p>
    <w:p w:rsidR="001031F4" w:rsidRPr="001F29F9" w:rsidRDefault="001031F4" w:rsidP="00BF0E94">
      <w:pPr>
        <w:pBdr>
          <w:bottom w:val="single" w:sz="12" w:space="1" w:color="auto"/>
        </w:pBdr>
        <w:tabs>
          <w:tab w:val="left" w:pos="288"/>
          <w:tab w:val="left" w:pos="4752"/>
        </w:tabs>
        <w:jc w:val="both"/>
        <w:rPr>
          <w:color w:val="000000" w:themeColor="text1"/>
        </w:rPr>
      </w:pPr>
    </w:p>
    <w:p w:rsidR="00F1737C" w:rsidRPr="001F29F9" w:rsidRDefault="00F1737C" w:rsidP="006364ED">
      <w:pPr>
        <w:jc w:val="left"/>
        <w:rPr>
          <w:color w:val="000000" w:themeColor="text1"/>
          <w:szCs w:val="24"/>
        </w:rPr>
      </w:pPr>
    </w:p>
    <w:p w:rsidR="00A32AD8" w:rsidRPr="00F64312" w:rsidRDefault="00C56FC8" w:rsidP="00A32AD8">
      <w:pPr>
        <w:jc w:val="both"/>
        <w:rPr>
          <w:rFonts w:eastAsia="Calibri" w:cs="Times New Roman"/>
          <w:color w:val="auto"/>
          <w:szCs w:val="24"/>
        </w:rPr>
      </w:pPr>
      <w:r w:rsidRPr="001F29F9">
        <w:rPr>
          <w:color w:val="000000" w:themeColor="text1"/>
          <w:szCs w:val="24"/>
          <w:u w:val="single"/>
        </w:rPr>
        <w:t>BOARD FINDINGS</w:t>
      </w:r>
      <w:r w:rsidRPr="001F29F9">
        <w:rPr>
          <w:color w:val="000000" w:themeColor="text1"/>
          <w:szCs w:val="24"/>
        </w:rPr>
        <w:t>:</w:t>
      </w:r>
      <w:r w:rsidRPr="001F29F9">
        <w:rPr>
          <w:rFonts w:eastAsiaTheme="minorHAnsi"/>
          <w:color w:val="000000" w:themeColor="text1"/>
          <w:szCs w:val="24"/>
        </w:rPr>
        <w:t xml:space="preserve">  IAW DoDI 6040.44, provisions of DoD or Military Department regulations or guidelines relied upon by the PEB will not be considered by the Board to the extent they were inconsistent with the VASRD in effect at the time of the adjudication.</w:t>
      </w:r>
      <w:r w:rsidR="0071264B">
        <w:rPr>
          <w:rFonts w:eastAsiaTheme="minorHAnsi"/>
          <w:color w:val="000000" w:themeColor="text1"/>
          <w:szCs w:val="24"/>
        </w:rPr>
        <w:t xml:space="preserve">  In the matter of the right ankle, the Board recommends no change in the PEB adjudication at TDRL entry or exit.  </w:t>
      </w:r>
      <w:r w:rsidR="00A32AD8" w:rsidRPr="00F64312">
        <w:rPr>
          <w:rFonts w:eastAsia="Calibri" w:cs="Times New Roman"/>
          <w:color w:val="auto"/>
          <w:szCs w:val="24"/>
        </w:rPr>
        <w:t xml:space="preserve">There were no other conditions within the Board’s scope of review for consideration.  </w:t>
      </w:r>
    </w:p>
    <w:p w:rsidR="00A32AD8" w:rsidRPr="001F29F9" w:rsidRDefault="00A32AD8" w:rsidP="00A32AD8">
      <w:pPr>
        <w:pBdr>
          <w:bottom w:val="single" w:sz="12" w:space="1" w:color="auto"/>
        </w:pBdr>
        <w:tabs>
          <w:tab w:val="left" w:pos="288"/>
          <w:tab w:val="left" w:pos="4752"/>
        </w:tabs>
        <w:jc w:val="both"/>
        <w:rPr>
          <w:color w:val="000000" w:themeColor="text1"/>
        </w:rPr>
      </w:pPr>
    </w:p>
    <w:p w:rsidR="00A32AD8" w:rsidRPr="001F29F9" w:rsidRDefault="00A32AD8" w:rsidP="00A32AD8">
      <w:pPr>
        <w:jc w:val="left"/>
        <w:rPr>
          <w:color w:val="000000" w:themeColor="text1"/>
          <w:szCs w:val="24"/>
        </w:rPr>
      </w:pPr>
    </w:p>
    <w:p w:rsidR="00F1737C" w:rsidRPr="001F29F9" w:rsidRDefault="00F1737C" w:rsidP="006364ED">
      <w:pPr>
        <w:jc w:val="left"/>
        <w:rPr>
          <w:color w:val="000000" w:themeColor="text1"/>
          <w:szCs w:val="24"/>
        </w:rPr>
      </w:pPr>
    </w:p>
    <w:p w:rsidR="006B4AA2" w:rsidRPr="001F29F9" w:rsidRDefault="00C56FC8" w:rsidP="00390031">
      <w:pPr>
        <w:jc w:val="left"/>
        <w:rPr>
          <w:color w:val="000000" w:themeColor="text1"/>
          <w:szCs w:val="24"/>
        </w:rPr>
      </w:pPr>
      <w:r w:rsidRPr="001F29F9">
        <w:rPr>
          <w:color w:val="000000" w:themeColor="text1"/>
          <w:szCs w:val="24"/>
          <w:u w:val="single"/>
        </w:rPr>
        <w:lastRenderedPageBreak/>
        <w:t>RECOMMENDATION</w:t>
      </w:r>
      <w:r w:rsidRPr="001F29F9">
        <w:rPr>
          <w:color w:val="000000" w:themeColor="text1"/>
          <w:szCs w:val="24"/>
        </w:rPr>
        <w:t>:</w:t>
      </w:r>
      <w:r w:rsidR="00390031">
        <w:rPr>
          <w:color w:val="000000" w:themeColor="text1"/>
          <w:szCs w:val="24"/>
        </w:rPr>
        <w:t xml:space="preserve">  </w:t>
      </w:r>
      <w:r w:rsidRPr="001F29F9">
        <w:rPr>
          <w:color w:val="000000" w:themeColor="text1"/>
          <w:szCs w:val="24"/>
        </w:rPr>
        <w:t>The Board</w:t>
      </w:r>
      <w:r w:rsidR="006A543A" w:rsidRPr="001F29F9">
        <w:rPr>
          <w:color w:val="000000" w:themeColor="text1"/>
          <w:szCs w:val="24"/>
        </w:rPr>
        <w:t>,</w:t>
      </w:r>
      <w:r w:rsidRPr="001F29F9">
        <w:rPr>
          <w:color w:val="000000" w:themeColor="text1"/>
          <w:szCs w:val="24"/>
        </w:rPr>
        <w:t xml:space="preserve"> therefore</w:t>
      </w:r>
      <w:r w:rsidR="006A543A" w:rsidRPr="001F29F9">
        <w:rPr>
          <w:color w:val="000000" w:themeColor="text1"/>
          <w:szCs w:val="24"/>
        </w:rPr>
        <w:t>,</w:t>
      </w:r>
      <w:r w:rsidRPr="001F29F9">
        <w:rPr>
          <w:color w:val="000000" w:themeColor="text1"/>
          <w:szCs w:val="24"/>
        </w:rPr>
        <w:t xml:space="preserve"> recommends that there be no recharacterization of the CI’s disability and separation determination</w:t>
      </w:r>
      <w:r w:rsidR="008C3FD0" w:rsidRPr="001F29F9">
        <w:rPr>
          <w:color w:val="000000" w:themeColor="text1"/>
          <w:szCs w:val="24"/>
        </w:rPr>
        <w:t>,</w:t>
      </w:r>
      <w:r w:rsidR="00BD2A49" w:rsidRPr="001F29F9">
        <w:rPr>
          <w:color w:val="000000" w:themeColor="text1"/>
          <w:szCs w:val="24"/>
        </w:rPr>
        <w:t xml:space="preserve"> as follows:</w:t>
      </w:r>
      <w:r w:rsidR="003604A5" w:rsidRPr="001F29F9">
        <w:rPr>
          <w:color w:val="000000" w:themeColor="text1"/>
          <w:szCs w:val="24"/>
        </w:rPr>
        <w:t xml:space="preserve"> </w:t>
      </w:r>
    </w:p>
    <w:p w:rsidR="00716EAF" w:rsidRPr="001F29F9" w:rsidRDefault="00716EAF" w:rsidP="00BF0E94">
      <w:pPr>
        <w:jc w:val="both"/>
        <w:rPr>
          <w:color w:val="000000" w:themeColor="text1"/>
          <w:sz w:val="20"/>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0"/>
        <w:gridCol w:w="1530"/>
        <w:gridCol w:w="810"/>
        <w:gridCol w:w="1530"/>
      </w:tblGrid>
      <w:tr w:rsidR="00716EAF" w:rsidRPr="00F64312" w:rsidTr="000C10F6">
        <w:trPr>
          <w:trHeight w:val="206"/>
          <w:jc w:val="center"/>
        </w:trPr>
        <w:tc>
          <w:tcPr>
            <w:tcW w:w="5490" w:type="dxa"/>
            <w:vMerge w:val="restart"/>
            <w:shd w:val="clear" w:color="auto" w:fill="D9D9D9"/>
            <w:vAlign w:val="center"/>
          </w:tcPr>
          <w:p w:rsidR="00716EAF" w:rsidRPr="00F64312" w:rsidRDefault="00716EAF" w:rsidP="000C10F6">
            <w:pPr>
              <w:tabs>
                <w:tab w:val="left" w:pos="288"/>
                <w:tab w:val="left" w:pos="4752"/>
              </w:tabs>
              <w:rPr>
                <w:rFonts w:eastAsia="Calibri" w:cs="Times New Roman"/>
                <w:b/>
                <w:color w:val="auto"/>
                <w:szCs w:val="24"/>
              </w:rPr>
            </w:pPr>
            <w:r w:rsidRPr="00F64312">
              <w:rPr>
                <w:rFonts w:eastAsia="Calibri" w:cs="Times New Roman"/>
                <w:b/>
                <w:color w:val="auto"/>
                <w:szCs w:val="24"/>
              </w:rPr>
              <w:t>UNFITTING CONDITION</w:t>
            </w:r>
          </w:p>
        </w:tc>
        <w:tc>
          <w:tcPr>
            <w:tcW w:w="1530" w:type="dxa"/>
            <w:vMerge w:val="restart"/>
            <w:shd w:val="clear" w:color="auto" w:fill="D9D9D9"/>
            <w:vAlign w:val="center"/>
          </w:tcPr>
          <w:p w:rsidR="00716EAF" w:rsidRPr="00F64312" w:rsidRDefault="00716EAF" w:rsidP="000C10F6">
            <w:pPr>
              <w:tabs>
                <w:tab w:val="left" w:pos="288"/>
                <w:tab w:val="left" w:pos="4752"/>
              </w:tabs>
              <w:rPr>
                <w:rFonts w:eastAsia="Calibri" w:cs="Times New Roman"/>
                <w:b/>
                <w:color w:val="auto"/>
                <w:szCs w:val="24"/>
              </w:rPr>
            </w:pPr>
            <w:r w:rsidRPr="00F64312">
              <w:rPr>
                <w:rFonts w:eastAsia="Calibri" w:cs="Times New Roman"/>
                <w:b/>
                <w:color w:val="auto"/>
                <w:szCs w:val="24"/>
              </w:rPr>
              <w:t>VASRD CODE</w:t>
            </w:r>
          </w:p>
        </w:tc>
        <w:tc>
          <w:tcPr>
            <w:tcW w:w="2340" w:type="dxa"/>
            <w:gridSpan w:val="2"/>
            <w:tcBorders>
              <w:bottom w:val="single" w:sz="4" w:space="0" w:color="auto"/>
            </w:tcBorders>
            <w:shd w:val="clear" w:color="auto" w:fill="D9D9D9"/>
            <w:vAlign w:val="center"/>
          </w:tcPr>
          <w:p w:rsidR="00716EAF" w:rsidRPr="00F64312" w:rsidRDefault="00716EAF" w:rsidP="000C10F6">
            <w:pPr>
              <w:rPr>
                <w:color w:val="auto"/>
              </w:rPr>
            </w:pPr>
            <w:r w:rsidRPr="00F64312">
              <w:rPr>
                <w:rFonts w:eastAsia="Calibri" w:cs="Times New Roman"/>
                <w:b/>
                <w:color w:val="auto"/>
                <w:szCs w:val="24"/>
              </w:rPr>
              <w:t>RATING</w:t>
            </w:r>
          </w:p>
        </w:tc>
      </w:tr>
      <w:tr w:rsidR="00716EAF" w:rsidRPr="00F64312" w:rsidTr="000C10F6">
        <w:trPr>
          <w:trHeight w:val="194"/>
          <w:jc w:val="center"/>
        </w:trPr>
        <w:tc>
          <w:tcPr>
            <w:tcW w:w="5490" w:type="dxa"/>
            <w:vMerge/>
            <w:shd w:val="clear" w:color="auto" w:fill="D9D9D9"/>
            <w:vAlign w:val="center"/>
          </w:tcPr>
          <w:p w:rsidR="00716EAF" w:rsidRPr="00F64312" w:rsidRDefault="00716EAF" w:rsidP="000C10F6">
            <w:pPr>
              <w:tabs>
                <w:tab w:val="left" w:pos="288"/>
                <w:tab w:val="left" w:pos="4752"/>
              </w:tabs>
              <w:rPr>
                <w:rFonts w:eastAsia="Calibri" w:cs="Times New Roman"/>
                <w:b/>
                <w:color w:val="auto"/>
                <w:szCs w:val="24"/>
              </w:rPr>
            </w:pPr>
          </w:p>
        </w:tc>
        <w:tc>
          <w:tcPr>
            <w:tcW w:w="1530" w:type="dxa"/>
            <w:vMerge/>
            <w:shd w:val="clear" w:color="auto" w:fill="D9D9D9"/>
            <w:vAlign w:val="center"/>
          </w:tcPr>
          <w:p w:rsidR="00716EAF" w:rsidRPr="00F64312" w:rsidRDefault="00716EAF" w:rsidP="000C10F6">
            <w:pPr>
              <w:tabs>
                <w:tab w:val="left" w:pos="288"/>
                <w:tab w:val="left" w:pos="4752"/>
              </w:tabs>
              <w:rPr>
                <w:rFonts w:eastAsia="Calibri" w:cs="Times New Roman"/>
                <w:b/>
                <w:color w:val="auto"/>
                <w:szCs w:val="24"/>
              </w:rPr>
            </w:pPr>
          </w:p>
        </w:tc>
        <w:tc>
          <w:tcPr>
            <w:tcW w:w="810" w:type="dxa"/>
            <w:tcBorders>
              <w:top w:val="single" w:sz="4" w:space="0" w:color="auto"/>
            </w:tcBorders>
            <w:shd w:val="clear" w:color="auto" w:fill="D9D9D9"/>
            <w:vAlign w:val="center"/>
          </w:tcPr>
          <w:p w:rsidR="00716EAF" w:rsidRPr="00F64312" w:rsidRDefault="00716EAF" w:rsidP="000C10F6">
            <w:pPr>
              <w:rPr>
                <w:color w:val="auto"/>
              </w:rPr>
            </w:pPr>
            <w:r w:rsidRPr="00F64312">
              <w:rPr>
                <w:rFonts w:eastAsia="Calibri" w:cs="Times New Roman"/>
                <w:b/>
                <w:color w:val="auto"/>
                <w:szCs w:val="24"/>
              </w:rPr>
              <w:t>TDRL</w:t>
            </w:r>
          </w:p>
        </w:tc>
        <w:tc>
          <w:tcPr>
            <w:tcW w:w="1530" w:type="dxa"/>
            <w:tcBorders>
              <w:top w:val="single" w:sz="4" w:space="0" w:color="auto"/>
            </w:tcBorders>
            <w:shd w:val="pct15" w:color="auto" w:fill="auto"/>
            <w:vAlign w:val="center"/>
          </w:tcPr>
          <w:p w:rsidR="00716EAF" w:rsidRPr="00F64312" w:rsidRDefault="00716EAF" w:rsidP="000C10F6">
            <w:pPr>
              <w:tabs>
                <w:tab w:val="left" w:pos="288"/>
                <w:tab w:val="left" w:pos="4752"/>
              </w:tabs>
              <w:rPr>
                <w:rFonts w:eastAsia="Calibri" w:cs="Times New Roman"/>
                <w:b/>
                <w:color w:val="auto"/>
                <w:szCs w:val="24"/>
              </w:rPr>
            </w:pPr>
            <w:r w:rsidRPr="00F64312">
              <w:rPr>
                <w:rFonts w:eastAsia="Calibri" w:cs="Times New Roman"/>
                <w:b/>
                <w:color w:val="auto"/>
                <w:szCs w:val="24"/>
              </w:rPr>
              <w:t>PERMANENT</w:t>
            </w:r>
          </w:p>
        </w:tc>
      </w:tr>
      <w:tr w:rsidR="00716EAF" w:rsidRPr="00F64312" w:rsidTr="000C10F6">
        <w:trPr>
          <w:trHeight w:val="197"/>
          <w:jc w:val="center"/>
        </w:trPr>
        <w:tc>
          <w:tcPr>
            <w:tcW w:w="5490" w:type="dxa"/>
            <w:vAlign w:val="center"/>
          </w:tcPr>
          <w:p w:rsidR="00716EAF" w:rsidRPr="00F64312" w:rsidRDefault="00927478" w:rsidP="00A32AD8">
            <w:pPr>
              <w:tabs>
                <w:tab w:val="left" w:pos="288"/>
                <w:tab w:val="left" w:pos="4752"/>
              </w:tabs>
              <w:jc w:val="left"/>
              <w:rPr>
                <w:rFonts w:eastAsia="Calibri" w:cs="Times New Roman"/>
                <w:color w:val="auto"/>
                <w:szCs w:val="24"/>
              </w:rPr>
            </w:pPr>
            <w:proofErr w:type="spellStart"/>
            <w:r>
              <w:rPr>
                <w:color w:val="auto"/>
              </w:rPr>
              <w:t>Subtalar</w:t>
            </w:r>
            <w:proofErr w:type="spellEnd"/>
            <w:r>
              <w:rPr>
                <w:color w:val="auto"/>
              </w:rPr>
              <w:t xml:space="preserve"> </w:t>
            </w:r>
            <w:r w:rsidR="00A32AD8">
              <w:rPr>
                <w:color w:val="auto"/>
              </w:rPr>
              <w:t>D</w:t>
            </w:r>
            <w:r>
              <w:rPr>
                <w:color w:val="auto"/>
              </w:rPr>
              <w:t>islocation</w:t>
            </w:r>
          </w:p>
        </w:tc>
        <w:tc>
          <w:tcPr>
            <w:tcW w:w="1530" w:type="dxa"/>
            <w:tcBorders>
              <w:bottom w:val="single" w:sz="4" w:space="0" w:color="000000"/>
            </w:tcBorders>
            <w:vAlign w:val="center"/>
          </w:tcPr>
          <w:p w:rsidR="00716EAF" w:rsidRPr="00390031" w:rsidRDefault="00927478" w:rsidP="000C10F6">
            <w:pPr>
              <w:tabs>
                <w:tab w:val="left" w:pos="288"/>
                <w:tab w:val="left" w:pos="4752"/>
              </w:tabs>
              <w:rPr>
                <w:color w:val="auto"/>
              </w:rPr>
            </w:pPr>
            <w:r w:rsidRPr="00390031">
              <w:rPr>
                <w:color w:val="auto"/>
              </w:rPr>
              <w:t>5284</w:t>
            </w:r>
          </w:p>
        </w:tc>
        <w:tc>
          <w:tcPr>
            <w:tcW w:w="810" w:type="dxa"/>
            <w:tcBorders>
              <w:bottom w:val="single" w:sz="4" w:space="0" w:color="000000"/>
            </w:tcBorders>
            <w:vAlign w:val="center"/>
          </w:tcPr>
          <w:p w:rsidR="00716EAF" w:rsidRPr="00390031" w:rsidRDefault="00927478" w:rsidP="000C10F6">
            <w:pPr>
              <w:tabs>
                <w:tab w:val="left" w:pos="288"/>
                <w:tab w:val="left" w:pos="4752"/>
              </w:tabs>
              <w:rPr>
                <w:color w:val="auto"/>
              </w:rPr>
            </w:pPr>
            <w:r w:rsidRPr="00390031">
              <w:rPr>
                <w:color w:val="auto"/>
              </w:rPr>
              <w:t>3</w:t>
            </w:r>
            <w:r w:rsidR="00716EAF" w:rsidRPr="00390031">
              <w:rPr>
                <w:color w:val="auto"/>
              </w:rPr>
              <w:t>0%</w:t>
            </w:r>
          </w:p>
        </w:tc>
        <w:tc>
          <w:tcPr>
            <w:tcW w:w="1530" w:type="dxa"/>
            <w:tcBorders>
              <w:bottom w:val="single" w:sz="4" w:space="0" w:color="000000"/>
            </w:tcBorders>
            <w:vAlign w:val="center"/>
          </w:tcPr>
          <w:p w:rsidR="00716EAF" w:rsidRPr="00390031" w:rsidRDefault="00927478" w:rsidP="000C10F6">
            <w:pPr>
              <w:tabs>
                <w:tab w:val="left" w:pos="288"/>
                <w:tab w:val="left" w:pos="4752"/>
              </w:tabs>
              <w:rPr>
                <w:rFonts w:eastAsia="Calibri" w:cs="Times New Roman"/>
                <w:color w:val="auto"/>
                <w:szCs w:val="24"/>
              </w:rPr>
            </w:pPr>
            <w:r w:rsidRPr="00390031">
              <w:rPr>
                <w:rFonts w:eastAsia="Calibri" w:cs="Times New Roman"/>
                <w:color w:val="auto"/>
                <w:szCs w:val="24"/>
              </w:rPr>
              <w:t>2</w:t>
            </w:r>
            <w:r w:rsidR="00716EAF" w:rsidRPr="00390031">
              <w:rPr>
                <w:rFonts w:eastAsia="Calibri" w:cs="Times New Roman"/>
                <w:color w:val="auto"/>
                <w:szCs w:val="24"/>
              </w:rPr>
              <w:t>0%</w:t>
            </w:r>
          </w:p>
        </w:tc>
      </w:tr>
      <w:tr w:rsidR="00716EAF" w:rsidRPr="00F64312" w:rsidTr="000C10F6">
        <w:tblPrEx>
          <w:tblLook w:val="0000" w:firstRow="0" w:lastRow="0" w:firstColumn="0" w:lastColumn="0" w:noHBand="0" w:noVBand="0"/>
        </w:tblPrEx>
        <w:trPr>
          <w:gridBefore w:val="1"/>
          <w:wBefore w:w="5490" w:type="dxa"/>
          <w:trHeight w:val="161"/>
          <w:jc w:val="center"/>
        </w:trPr>
        <w:tc>
          <w:tcPr>
            <w:tcW w:w="1530" w:type="dxa"/>
            <w:tcBorders>
              <w:left w:val="single" w:sz="4" w:space="0" w:color="auto"/>
            </w:tcBorders>
            <w:shd w:val="pct15" w:color="auto" w:fill="auto"/>
            <w:vAlign w:val="center"/>
          </w:tcPr>
          <w:p w:rsidR="00716EAF" w:rsidRPr="00390031" w:rsidRDefault="00716EAF" w:rsidP="000C10F6">
            <w:pPr>
              <w:tabs>
                <w:tab w:val="left" w:pos="288"/>
                <w:tab w:val="left" w:pos="4752"/>
              </w:tabs>
              <w:rPr>
                <w:rFonts w:eastAsia="Calibri" w:cs="Times New Roman"/>
                <w:b/>
                <w:color w:val="auto"/>
                <w:szCs w:val="24"/>
              </w:rPr>
            </w:pPr>
            <w:r w:rsidRPr="00390031">
              <w:rPr>
                <w:rFonts w:eastAsia="Calibri" w:cs="Times New Roman"/>
                <w:b/>
                <w:color w:val="auto"/>
                <w:szCs w:val="24"/>
              </w:rPr>
              <w:t>COMBINED</w:t>
            </w:r>
          </w:p>
        </w:tc>
        <w:tc>
          <w:tcPr>
            <w:tcW w:w="810" w:type="dxa"/>
            <w:tcBorders>
              <w:left w:val="single" w:sz="4" w:space="0" w:color="auto"/>
            </w:tcBorders>
            <w:shd w:val="pct15" w:color="auto" w:fill="auto"/>
            <w:vAlign w:val="center"/>
          </w:tcPr>
          <w:p w:rsidR="00716EAF" w:rsidRPr="00390031" w:rsidRDefault="00927478" w:rsidP="000C10F6">
            <w:pPr>
              <w:tabs>
                <w:tab w:val="left" w:pos="288"/>
                <w:tab w:val="left" w:pos="4752"/>
              </w:tabs>
              <w:rPr>
                <w:rFonts w:eastAsia="Calibri" w:cs="Times New Roman"/>
                <w:b/>
                <w:color w:val="auto"/>
                <w:szCs w:val="24"/>
              </w:rPr>
            </w:pPr>
            <w:r w:rsidRPr="00390031">
              <w:rPr>
                <w:rFonts w:eastAsia="Calibri" w:cs="Times New Roman"/>
                <w:b/>
                <w:color w:val="auto"/>
                <w:szCs w:val="24"/>
              </w:rPr>
              <w:t>3</w:t>
            </w:r>
            <w:r w:rsidR="00716EAF" w:rsidRPr="00390031">
              <w:rPr>
                <w:rFonts w:eastAsia="Calibri" w:cs="Times New Roman"/>
                <w:b/>
                <w:color w:val="auto"/>
                <w:szCs w:val="24"/>
              </w:rPr>
              <w:t>0%</w:t>
            </w:r>
          </w:p>
        </w:tc>
        <w:tc>
          <w:tcPr>
            <w:tcW w:w="1530" w:type="dxa"/>
            <w:shd w:val="pct15" w:color="auto" w:fill="auto"/>
            <w:vAlign w:val="center"/>
          </w:tcPr>
          <w:p w:rsidR="00716EAF" w:rsidRPr="00390031" w:rsidRDefault="00927478" w:rsidP="000C10F6">
            <w:pPr>
              <w:tabs>
                <w:tab w:val="left" w:pos="288"/>
                <w:tab w:val="left" w:pos="4752"/>
              </w:tabs>
              <w:rPr>
                <w:rFonts w:eastAsia="Calibri" w:cs="Times New Roman"/>
                <w:b/>
                <w:color w:val="auto"/>
                <w:szCs w:val="24"/>
              </w:rPr>
            </w:pPr>
            <w:r w:rsidRPr="00390031">
              <w:rPr>
                <w:rFonts w:eastAsia="Calibri" w:cs="Times New Roman"/>
                <w:b/>
                <w:color w:val="auto"/>
                <w:szCs w:val="24"/>
              </w:rPr>
              <w:t>2</w:t>
            </w:r>
            <w:r w:rsidR="00716EAF" w:rsidRPr="00390031">
              <w:rPr>
                <w:rFonts w:eastAsia="Calibri" w:cs="Times New Roman"/>
                <w:b/>
                <w:color w:val="auto"/>
                <w:szCs w:val="24"/>
              </w:rPr>
              <w:t>0%</w:t>
            </w:r>
          </w:p>
        </w:tc>
      </w:tr>
    </w:tbl>
    <w:p w:rsidR="00A32AD8" w:rsidRPr="001F29F9" w:rsidRDefault="00A32AD8" w:rsidP="00A32AD8">
      <w:pPr>
        <w:pBdr>
          <w:bottom w:val="single" w:sz="12" w:space="1" w:color="auto"/>
        </w:pBdr>
        <w:tabs>
          <w:tab w:val="left" w:pos="288"/>
          <w:tab w:val="left" w:pos="4752"/>
        </w:tabs>
        <w:jc w:val="both"/>
        <w:rPr>
          <w:color w:val="000000" w:themeColor="text1"/>
        </w:rPr>
      </w:pPr>
    </w:p>
    <w:p w:rsidR="005B1D09" w:rsidRPr="001F29F9" w:rsidRDefault="005B1D09" w:rsidP="00A32AD8">
      <w:pPr>
        <w:jc w:val="both"/>
        <w:rPr>
          <w:color w:val="000000" w:themeColor="text1"/>
          <w:szCs w:val="24"/>
        </w:rPr>
      </w:pPr>
    </w:p>
    <w:p w:rsidR="00D91DA6" w:rsidRPr="001F29F9" w:rsidRDefault="00FB1725" w:rsidP="00BF0E94">
      <w:pPr>
        <w:tabs>
          <w:tab w:val="left" w:pos="288"/>
          <w:tab w:val="left" w:pos="4752"/>
        </w:tabs>
        <w:jc w:val="both"/>
        <w:rPr>
          <w:color w:val="000000" w:themeColor="text1"/>
        </w:rPr>
      </w:pPr>
      <w:r w:rsidRPr="001F29F9">
        <w:rPr>
          <w:color w:val="000000" w:themeColor="text1"/>
        </w:rPr>
        <w:t>The following documentary evidence was considered:</w:t>
      </w:r>
    </w:p>
    <w:p w:rsidR="00EB5EFD" w:rsidRPr="001F29F9" w:rsidRDefault="00EB5EFD" w:rsidP="00BF0E94">
      <w:pPr>
        <w:tabs>
          <w:tab w:val="left" w:pos="288"/>
          <w:tab w:val="left" w:pos="4752"/>
        </w:tabs>
        <w:jc w:val="both"/>
        <w:rPr>
          <w:color w:val="000000" w:themeColor="text1"/>
        </w:rPr>
      </w:pPr>
    </w:p>
    <w:p w:rsidR="00114F20" w:rsidRPr="001F29F9" w:rsidRDefault="00FB1725" w:rsidP="00B3575C">
      <w:pPr>
        <w:tabs>
          <w:tab w:val="left" w:pos="288"/>
          <w:tab w:val="left" w:pos="4752"/>
        </w:tabs>
        <w:spacing w:line="440" w:lineRule="exact"/>
        <w:jc w:val="both"/>
        <w:rPr>
          <w:color w:val="000000" w:themeColor="text1"/>
        </w:rPr>
      </w:pPr>
      <w:r w:rsidRPr="001F29F9">
        <w:rPr>
          <w:color w:val="000000" w:themeColor="text1"/>
        </w:rPr>
        <w:t xml:space="preserve">Exhibit A.  DD Form 294, </w:t>
      </w:r>
      <w:r w:rsidRPr="001F29F9">
        <w:rPr>
          <w:color w:val="000000" w:themeColor="text1"/>
          <w:szCs w:val="24"/>
        </w:rPr>
        <w:t>dated 20</w:t>
      </w:r>
      <w:r w:rsidR="001215DF" w:rsidRPr="001F29F9">
        <w:rPr>
          <w:color w:val="000000" w:themeColor="text1"/>
          <w:szCs w:val="24"/>
        </w:rPr>
        <w:t>1</w:t>
      </w:r>
      <w:r w:rsidR="00265B8A">
        <w:rPr>
          <w:color w:val="000000" w:themeColor="text1"/>
          <w:szCs w:val="24"/>
        </w:rPr>
        <w:t>10803</w:t>
      </w:r>
      <w:r w:rsidR="003B7BFE">
        <w:rPr>
          <w:color w:val="000000" w:themeColor="text1"/>
        </w:rPr>
        <w:t>, w/atchs</w:t>
      </w:r>
    </w:p>
    <w:p w:rsidR="00114F20" w:rsidRPr="001F29F9" w:rsidRDefault="00FB1725" w:rsidP="00BF0E94">
      <w:pPr>
        <w:tabs>
          <w:tab w:val="left" w:pos="288"/>
          <w:tab w:val="left" w:pos="4752"/>
        </w:tabs>
        <w:jc w:val="both"/>
        <w:rPr>
          <w:color w:val="000000" w:themeColor="text1"/>
        </w:rPr>
      </w:pPr>
      <w:r w:rsidRPr="001F29F9">
        <w:rPr>
          <w:color w:val="000000" w:themeColor="text1"/>
        </w:rPr>
        <w:t>Exhib</w:t>
      </w:r>
      <w:r w:rsidR="003B7BFE">
        <w:rPr>
          <w:color w:val="000000" w:themeColor="text1"/>
        </w:rPr>
        <w:t>it B.  Service Treatment Record</w:t>
      </w:r>
    </w:p>
    <w:p w:rsidR="00114F20" w:rsidRPr="001F29F9" w:rsidRDefault="00FB1725" w:rsidP="00BF0E94">
      <w:pPr>
        <w:tabs>
          <w:tab w:val="left" w:pos="288"/>
          <w:tab w:val="left" w:pos="4752"/>
        </w:tabs>
        <w:jc w:val="both"/>
        <w:rPr>
          <w:color w:val="000000" w:themeColor="text1"/>
        </w:rPr>
      </w:pPr>
      <w:r w:rsidRPr="001F29F9">
        <w:rPr>
          <w:color w:val="000000" w:themeColor="text1"/>
        </w:rPr>
        <w:t>Exhibit C.  Department of Ve</w:t>
      </w:r>
      <w:r w:rsidR="003B7BFE">
        <w:rPr>
          <w:color w:val="000000" w:themeColor="text1"/>
        </w:rPr>
        <w:t>terans Affairs Treatment Record</w:t>
      </w:r>
    </w:p>
    <w:p w:rsidR="00D91DA6" w:rsidRPr="001F29F9" w:rsidRDefault="00D91DA6"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E3077F" w:rsidRPr="001F29F9" w:rsidRDefault="00220FA9" w:rsidP="00BF0E94">
      <w:pPr>
        <w:tabs>
          <w:tab w:val="left" w:pos="0"/>
          <w:tab w:val="left" w:pos="4320"/>
        </w:tabs>
        <w:jc w:val="both"/>
        <w:rPr>
          <w:color w:val="000000" w:themeColor="text1"/>
          <w:szCs w:val="24"/>
        </w:rPr>
      </w:pPr>
      <w:r w:rsidRPr="001F29F9">
        <w:rPr>
          <w:color w:val="000000" w:themeColor="text1"/>
          <w:szCs w:val="24"/>
        </w:rPr>
        <w:tab/>
      </w:r>
      <w:r w:rsidR="008E3C90" w:rsidRPr="001F29F9">
        <w:rPr>
          <w:color w:val="000000" w:themeColor="text1"/>
          <w:szCs w:val="24"/>
        </w:rPr>
        <w:t xml:space="preserve">           </w:t>
      </w:r>
      <w:r w:rsidR="00E415D1">
        <w:rPr>
          <w:color w:val="000000" w:themeColor="text1"/>
          <w:szCs w:val="24"/>
        </w:rPr>
        <w:t xml:space="preserve"> </w:t>
      </w:r>
    </w:p>
    <w:p w:rsidR="002F195B" w:rsidRPr="001F29F9" w:rsidRDefault="00220FA9" w:rsidP="00BF0E94">
      <w:pPr>
        <w:tabs>
          <w:tab w:val="left" w:pos="0"/>
          <w:tab w:val="left" w:pos="4320"/>
        </w:tabs>
        <w:jc w:val="both"/>
        <w:rPr>
          <w:color w:val="000000" w:themeColor="text1"/>
          <w:szCs w:val="24"/>
        </w:rPr>
      </w:pPr>
      <w:r w:rsidRPr="001F29F9">
        <w:rPr>
          <w:color w:val="000000" w:themeColor="text1"/>
          <w:szCs w:val="24"/>
        </w:rPr>
        <w:tab/>
      </w:r>
      <w:r w:rsidR="008E3C90" w:rsidRPr="001F29F9">
        <w:rPr>
          <w:color w:val="000000" w:themeColor="text1"/>
          <w:szCs w:val="24"/>
        </w:rPr>
        <w:t xml:space="preserve">           </w:t>
      </w:r>
      <w:r w:rsidR="005F73CA" w:rsidRPr="001F29F9">
        <w:rPr>
          <w:color w:val="000000" w:themeColor="text1"/>
          <w:szCs w:val="24"/>
        </w:rPr>
        <w:t>President</w:t>
      </w:r>
    </w:p>
    <w:p w:rsidR="00E415D1" w:rsidRDefault="002F195B" w:rsidP="00BF0E94">
      <w:pPr>
        <w:tabs>
          <w:tab w:val="left" w:pos="0"/>
          <w:tab w:val="left" w:pos="4320"/>
        </w:tabs>
        <w:jc w:val="both"/>
        <w:rPr>
          <w:color w:val="000000" w:themeColor="text1"/>
          <w:szCs w:val="24"/>
        </w:rPr>
      </w:pPr>
      <w:r w:rsidRPr="001F29F9">
        <w:rPr>
          <w:color w:val="000000" w:themeColor="text1"/>
          <w:szCs w:val="24"/>
        </w:rPr>
        <w:tab/>
        <w:t xml:space="preserve">           </w:t>
      </w:r>
      <w:r w:rsidR="00220FA9" w:rsidRPr="001F29F9">
        <w:rPr>
          <w:color w:val="000000" w:themeColor="text1"/>
          <w:szCs w:val="24"/>
        </w:rPr>
        <w:t>P</w:t>
      </w:r>
      <w:r w:rsidR="00E3077F" w:rsidRPr="001F29F9">
        <w:rPr>
          <w:color w:val="000000" w:themeColor="text1"/>
          <w:szCs w:val="24"/>
        </w:rPr>
        <w:t>hysical Disability Board of Review</w:t>
      </w:r>
    </w:p>
    <w:p w:rsidR="00E415D1" w:rsidRDefault="00E415D1">
      <w:pPr>
        <w:rPr>
          <w:color w:val="000000" w:themeColor="text1"/>
          <w:szCs w:val="24"/>
        </w:rPr>
      </w:pPr>
      <w:r>
        <w:rPr>
          <w:color w:val="000000" w:themeColor="text1"/>
          <w:szCs w:val="24"/>
        </w:rPr>
        <w:br w:type="page"/>
      </w:r>
    </w:p>
    <w:p w:rsidR="00E415D1" w:rsidRPr="006C16F1" w:rsidRDefault="00E415D1" w:rsidP="00E415D1">
      <w:pPr>
        <w:spacing w:line="240" w:lineRule="auto"/>
        <w:ind w:left="-360"/>
        <w:jc w:val="both"/>
        <w:rPr>
          <w:rFonts w:ascii="Times New Roman" w:hAnsi="Times New Roman" w:cs="Times New Roman"/>
          <w:color w:val="auto"/>
          <w:szCs w:val="24"/>
        </w:rPr>
      </w:pPr>
      <w:r w:rsidRPr="006C16F1">
        <w:rPr>
          <w:rFonts w:ascii="Times New Roman" w:hAnsi="Times New Roman" w:cs="Times New Roman"/>
          <w:color w:val="auto"/>
          <w:szCs w:val="24"/>
        </w:rPr>
        <w:lastRenderedPageBreak/>
        <w:t>MEMORANDUM FOR DIRECTOR, SECRETARY OF THE NAVY COUNCIL</w:t>
      </w:r>
    </w:p>
    <w:p w:rsidR="00E415D1" w:rsidRPr="006C16F1" w:rsidRDefault="00E415D1" w:rsidP="00E415D1">
      <w:pPr>
        <w:spacing w:line="240" w:lineRule="auto"/>
        <w:jc w:val="both"/>
        <w:rPr>
          <w:rFonts w:ascii="Times New Roman" w:hAnsi="Times New Roman" w:cs="Times New Roman"/>
          <w:color w:val="auto"/>
          <w:szCs w:val="24"/>
        </w:rPr>
      </w:pPr>
      <w:r w:rsidRPr="006C16F1">
        <w:rPr>
          <w:rFonts w:ascii="Times New Roman" w:hAnsi="Times New Roman" w:cs="Times New Roman"/>
          <w:color w:val="auto"/>
          <w:szCs w:val="24"/>
        </w:rPr>
        <w:t xml:space="preserve">                                  OF REVIEW BOARDS </w:t>
      </w:r>
    </w:p>
    <w:p w:rsidR="00E415D1" w:rsidRPr="006C16F1" w:rsidRDefault="00E415D1" w:rsidP="00E415D1">
      <w:pPr>
        <w:spacing w:line="240" w:lineRule="auto"/>
        <w:jc w:val="both"/>
        <w:rPr>
          <w:rFonts w:ascii="Times New Roman" w:hAnsi="Times New Roman" w:cs="Times New Roman"/>
          <w:color w:val="auto"/>
          <w:szCs w:val="24"/>
        </w:rPr>
      </w:pPr>
    </w:p>
    <w:p w:rsidR="00E415D1" w:rsidRPr="006C16F1" w:rsidRDefault="00E415D1" w:rsidP="00E415D1">
      <w:pPr>
        <w:spacing w:line="240" w:lineRule="auto"/>
        <w:ind w:left="-360"/>
        <w:jc w:val="both"/>
        <w:rPr>
          <w:rFonts w:ascii="Times New Roman" w:hAnsi="Times New Roman" w:cs="Times New Roman"/>
          <w:color w:val="auto"/>
          <w:szCs w:val="24"/>
        </w:rPr>
      </w:pPr>
      <w:proofErr w:type="spellStart"/>
      <w:r w:rsidRPr="006C16F1">
        <w:rPr>
          <w:rFonts w:ascii="Times New Roman" w:hAnsi="Times New Roman" w:cs="Times New Roman"/>
          <w:color w:val="auto"/>
          <w:szCs w:val="24"/>
        </w:rPr>
        <w:t>Subj</w:t>
      </w:r>
      <w:proofErr w:type="spellEnd"/>
      <w:r w:rsidRPr="006C16F1">
        <w:rPr>
          <w:rFonts w:ascii="Times New Roman" w:hAnsi="Times New Roman" w:cs="Times New Roman"/>
          <w:color w:val="auto"/>
          <w:szCs w:val="24"/>
        </w:rPr>
        <w:t>:  PHYSICAL DISABILITY BOARD OF REVIEW (PDBR) RECOMMENDATIONS</w:t>
      </w:r>
    </w:p>
    <w:p w:rsidR="00E415D1" w:rsidRPr="006C16F1" w:rsidRDefault="00E415D1" w:rsidP="00E415D1">
      <w:pPr>
        <w:spacing w:line="240" w:lineRule="auto"/>
        <w:jc w:val="both"/>
        <w:rPr>
          <w:rFonts w:ascii="Times New Roman" w:hAnsi="Times New Roman" w:cs="Times New Roman"/>
          <w:color w:val="auto"/>
          <w:szCs w:val="24"/>
        </w:rPr>
      </w:pPr>
    </w:p>
    <w:p w:rsidR="00E415D1" w:rsidRPr="006C16F1" w:rsidRDefault="00E415D1" w:rsidP="00E415D1">
      <w:pPr>
        <w:spacing w:line="240" w:lineRule="auto"/>
        <w:ind w:left="-360"/>
        <w:jc w:val="both"/>
        <w:rPr>
          <w:rFonts w:ascii="Times New Roman" w:hAnsi="Times New Roman" w:cs="Times New Roman"/>
          <w:color w:val="auto"/>
          <w:szCs w:val="24"/>
        </w:rPr>
      </w:pPr>
      <w:r w:rsidRPr="006C16F1">
        <w:rPr>
          <w:rFonts w:ascii="Times New Roman" w:hAnsi="Times New Roman" w:cs="Times New Roman"/>
          <w:color w:val="auto"/>
          <w:szCs w:val="24"/>
        </w:rPr>
        <w:t xml:space="preserve">Ref:   (a) </w:t>
      </w:r>
      <w:proofErr w:type="spellStart"/>
      <w:r w:rsidRPr="006C16F1">
        <w:rPr>
          <w:rFonts w:ascii="Times New Roman" w:hAnsi="Times New Roman" w:cs="Times New Roman"/>
          <w:color w:val="auto"/>
          <w:szCs w:val="24"/>
        </w:rPr>
        <w:t>DoDI</w:t>
      </w:r>
      <w:proofErr w:type="spellEnd"/>
      <w:r w:rsidRPr="006C16F1">
        <w:rPr>
          <w:rFonts w:ascii="Times New Roman" w:hAnsi="Times New Roman" w:cs="Times New Roman"/>
          <w:color w:val="auto"/>
          <w:szCs w:val="24"/>
        </w:rPr>
        <w:t xml:space="preserve"> 6040.44</w:t>
      </w:r>
    </w:p>
    <w:p w:rsidR="00E415D1" w:rsidRPr="006C16F1" w:rsidRDefault="00E415D1" w:rsidP="00E415D1">
      <w:pPr>
        <w:spacing w:line="240" w:lineRule="auto"/>
        <w:ind w:left="-540"/>
        <w:jc w:val="both"/>
        <w:rPr>
          <w:rFonts w:ascii="Times New Roman" w:hAnsi="Times New Roman" w:cs="Times New Roman"/>
          <w:color w:val="auto"/>
          <w:szCs w:val="24"/>
        </w:rPr>
      </w:pPr>
      <w:r w:rsidRPr="006C16F1">
        <w:rPr>
          <w:rFonts w:ascii="Times New Roman" w:hAnsi="Times New Roman" w:cs="Times New Roman"/>
          <w:color w:val="auto"/>
          <w:szCs w:val="24"/>
        </w:rPr>
        <w:t xml:space="preserve">             (b) CORB </w:t>
      </w:r>
      <w:proofErr w:type="spellStart"/>
      <w:r w:rsidRPr="006C16F1">
        <w:rPr>
          <w:rFonts w:ascii="Times New Roman" w:hAnsi="Times New Roman" w:cs="Times New Roman"/>
          <w:color w:val="auto"/>
          <w:szCs w:val="24"/>
        </w:rPr>
        <w:t>ltr</w:t>
      </w:r>
      <w:proofErr w:type="spellEnd"/>
      <w:r w:rsidRPr="006C16F1">
        <w:rPr>
          <w:rFonts w:ascii="Times New Roman" w:hAnsi="Times New Roman" w:cs="Times New Roman"/>
          <w:color w:val="auto"/>
          <w:szCs w:val="24"/>
        </w:rPr>
        <w:t xml:space="preserve"> </w:t>
      </w:r>
      <w:proofErr w:type="spellStart"/>
      <w:r w:rsidRPr="006C16F1">
        <w:rPr>
          <w:rFonts w:ascii="Times New Roman" w:hAnsi="Times New Roman" w:cs="Times New Roman"/>
          <w:color w:val="auto"/>
          <w:szCs w:val="24"/>
        </w:rPr>
        <w:t>dtd</w:t>
      </w:r>
      <w:proofErr w:type="spellEnd"/>
      <w:r w:rsidRPr="006C16F1">
        <w:rPr>
          <w:rFonts w:ascii="Times New Roman" w:hAnsi="Times New Roman" w:cs="Times New Roman"/>
          <w:color w:val="auto"/>
          <w:szCs w:val="24"/>
        </w:rPr>
        <w:t xml:space="preserve"> 19 Sep 12</w:t>
      </w:r>
    </w:p>
    <w:p w:rsidR="00E415D1" w:rsidRPr="006C16F1" w:rsidRDefault="00E415D1" w:rsidP="00E415D1">
      <w:pPr>
        <w:spacing w:line="240" w:lineRule="auto"/>
        <w:ind w:left="-540"/>
        <w:jc w:val="both"/>
        <w:rPr>
          <w:rFonts w:ascii="Times New Roman" w:hAnsi="Times New Roman" w:cs="Times New Roman"/>
          <w:color w:val="auto"/>
          <w:szCs w:val="24"/>
        </w:rPr>
      </w:pPr>
    </w:p>
    <w:p w:rsidR="00E415D1" w:rsidRPr="006C16F1" w:rsidRDefault="00E415D1" w:rsidP="00E415D1">
      <w:pPr>
        <w:spacing w:line="240" w:lineRule="auto"/>
        <w:ind w:left="-360"/>
        <w:jc w:val="left"/>
        <w:rPr>
          <w:rFonts w:ascii="Times New Roman" w:hAnsi="Times New Roman" w:cs="Times New Roman"/>
          <w:color w:val="auto"/>
          <w:szCs w:val="24"/>
        </w:rPr>
      </w:pPr>
      <w:r w:rsidRPr="006C16F1">
        <w:rPr>
          <w:rFonts w:ascii="Times New Roman" w:hAnsi="Times New Roman" w:cs="Times New Roman"/>
          <w:color w:val="auto"/>
          <w:szCs w:val="24"/>
        </w:rPr>
        <w:t xml:space="preserve">      In accordance with reference (a), I have reviewed the cases forwarded by reference (b), and, for the reasons provided in their forwarding memorandum, approve the recommendations of the </w:t>
      </w:r>
      <w:proofErr w:type="gramStart"/>
      <w:r w:rsidRPr="006C16F1">
        <w:rPr>
          <w:rFonts w:ascii="Times New Roman" w:hAnsi="Times New Roman" w:cs="Times New Roman"/>
          <w:color w:val="auto"/>
          <w:szCs w:val="24"/>
        </w:rPr>
        <w:t>PDBR  that</w:t>
      </w:r>
      <w:proofErr w:type="gramEnd"/>
      <w:r w:rsidRPr="006C16F1">
        <w:rPr>
          <w:rFonts w:ascii="Times New Roman" w:hAnsi="Times New Roman" w:cs="Times New Roman"/>
          <w:color w:val="auto"/>
          <w:szCs w:val="24"/>
        </w:rPr>
        <w:t xml:space="preserve"> the following individual’s records not be corrected to reflect a change in either characterization of separation or in the disability rating previously assigned by the Department of the Navy’s Physical Evaluation Board:</w:t>
      </w:r>
    </w:p>
    <w:p w:rsidR="00E415D1" w:rsidRPr="006C16F1" w:rsidRDefault="00E415D1" w:rsidP="00E415D1">
      <w:pPr>
        <w:spacing w:line="240" w:lineRule="auto"/>
        <w:ind w:left="-360"/>
        <w:jc w:val="left"/>
        <w:rPr>
          <w:rFonts w:ascii="Times New Roman" w:hAnsi="Times New Roman" w:cs="Times New Roman"/>
          <w:color w:val="auto"/>
          <w:szCs w:val="24"/>
        </w:rPr>
      </w:pPr>
    </w:p>
    <w:p w:rsidR="00E415D1" w:rsidRPr="006C16F1" w:rsidRDefault="00E415D1" w:rsidP="00E415D1">
      <w:pPr>
        <w:spacing w:line="240" w:lineRule="auto"/>
        <w:ind w:left="720"/>
        <w:jc w:val="left"/>
        <w:rPr>
          <w:rFonts w:ascii="Times New Roman" w:hAnsi="Times New Roman" w:cs="Times New Roman"/>
          <w:color w:val="auto"/>
          <w:szCs w:val="24"/>
        </w:rPr>
      </w:pPr>
      <w:r w:rsidRPr="006C16F1">
        <w:rPr>
          <w:rFonts w:ascii="Times New Roman" w:hAnsi="Times New Roman" w:cs="Times New Roman"/>
          <w:color w:val="auto"/>
          <w:szCs w:val="24"/>
        </w:rPr>
        <w:t>-  XXXX former USMC</w:t>
      </w:r>
    </w:p>
    <w:p w:rsidR="00E415D1" w:rsidRPr="006C16F1" w:rsidRDefault="00E415D1" w:rsidP="00E415D1">
      <w:pPr>
        <w:spacing w:line="240" w:lineRule="auto"/>
        <w:ind w:left="720"/>
        <w:jc w:val="left"/>
        <w:rPr>
          <w:rFonts w:ascii="Times New Roman" w:hAnsi="Times New Roman" w:cs="Times New Roman"/>
          <w:color w:val="auto"/>
          <w:szCs w:val="24"/>
        </w:rPr>
      </w:pPr>
      <w:r w:rsidRPr="006C16F1">
        <w:rPr>
          <w:rFonts w:ascii="Times New Roman" w:hAnsi="Times New Roman" w:cs="Times New Roman"/>
          <w:color w:val="auto"/>
          <w:szCs w:val="24"/>
        </w:rPr>
        <w:t>-  XXXX former USMC</w:t>
      </w:r>
    </w:p>
    <w:p w:rsidR="00E415D1" w:rsidRPr="006C16F1" w:rsidRDefault="00E415D1" w:rsidP="00E415D1">
      <w:pPr>
        <w:spacing w:line="240" w:lineRule="auto"/>
        <w:ind w:left="720"/>
        <w:jc w:val="left"/>
        <w:rPr>
          <w:rFonts w:ascii="Times New Roman" w:hAnsi="Times New Roman" w:cs="Times New Roman"/>
          <w:color w:val="auto"/>
          <w:szCs w:val="24"/>
        </w:rPr>
      </w:pPr>
      <w:r w:rsidRPr="006C16F1">
        <w:rPr>
          <w:rFonts w:ascii="Times New Roman" w:hAnsi="Times New Roman" w:cs="Times New Roman"/>
          <w:color w:val="auto"/>
          <w:szCs w:val="24"/>
        </w:rPr>
        <w:t>-  XXXX former USMC</w:t>
      </w:r>
    </w:p>
    <w:p w:rsidR="00E415D1" w:rsidRPr="006C16F1" w:rsidRDefault="00E415D1" w:rsidP="00E415D1">
      <w:pPr>
        <w:spacing w:line="240" w:lineRule="auto"/>
        <w:ind w:left="720"/>
        <w:jc w:val="left"/>
        <w:rPr>
          <w:rFonts w:ascii="Times New Roman" w:hAnsi="Times New Roman" w:cs="Times New Roman"/>
          <w:color w:val="auto"/>
          <w:szCs w:val="24"/>
        </w:rPr>
      </w:pPr>
      <w:r w:rsidRPr="006C16F1">
        <w:rPr>
          <w:rFonts w:ascii="Times New Roman" w:hAnsi="Times New Roman" w:cs="Times New Roman"/>
          <w:color w:val="auto"/>
          <w:szCs w:val="24"/>
        </w:rPr>
        <w:t>-  XXXX former USN</w:t>
      </w:r>
    </w:p>
    <w:p w:rsidR="00E415D1" w:rsidRPr="006C16F1" w:rsidRDefault="00E415D1" w:rsidP="00E415D1">
      <w:pPr>
        <w:spacing w:line="240" w:lineRule="auto"/>
        <w:jc w:val="left"/>
        <w:rPr>
          <w:rFonts w:ascii="Times New Roman" w:hAnsi="Times New Roman" w:cs="Times New Roman"/>
          <w:color w:val="auto"/>
          <w:szCs w:val="24"/>
        </w:rPr>
      </w:pPr>
      <w:r w:rsidRPr="006C16F1">
        <w:rPr>
          <w:rFonts w:ascii="Times New Roman" w:hAnsi="Times New Roman" w:cs="Times New Roman"/>
          <w:color w:val="auto"/>
          <w:szCs w:val="24"/>
        </w:rPr>
        <w:t xml:space="preserve">    </w:t>
      </w:r>
    </w:p>
    <w:p w:rsidR="00E415D1" w:rsidRPr="006C16F1" w:rsidRDefault="00E415D1" w:rsidP="00E415D1">
      <w:pPr>
        <w:spacing w:line="240" w:lineRule="auto"/>
        <w:ind w:left="1080"/>
        <w:jc w:val="left"/>
        <w:rPr>
          <w:rFonts w:ascii="Times New Roman" w:hAnsi="Times New Roman" w:cs="Times New Roman"/>
          <w:color w:val="auto"/>
          <w:szCs w:val="24"/>
        </w:rPr>
      </w:pPr>
    </w:p>
    <w:p w:rsidR="00E415D1" w:rsidRPr="006C16F1" w:rsidRDefault="00E415D1" w:rsidP="00E415D1">
      <w:pPr>
        <w:spacing w:line="240" w:lineRule="auto"/>
        <w:ind w:left="1080"/>
        <w:jc w:val="left"/>
        <w:rPr>
          <w:rFonts w:ascii="Times New Roman" w:hAnsi="Times New Roman" w:cs="Times New Roman"/>
          <w:color w:val="auto"/>
          <w:szCs w:val="24"/>
        </w:rPr>
      </w:pPr>
    </w:p>
    <w:p w:rsidR="00E415D1" w:rsidRPr="006C16F1" w:rsidRDefault="00E415D1" w:rsidP="00E415D1">
      <w:pPr>
        <w:spacing w:line="240" w:lineRule="auto"/>
        <w:jc w:val="both"/>
        <w:rPr>
          <w:rFonts w:ascii="Times New Roman" w:hAnsi="Times New Roman" w:cs="Times New Roman"/>
          <w:color w:val="auto"/>
          <w:szCs w:val="24"/>
        </w:rPr>
      </w:pPr>
      <w:r w:rsidRPr="006C16F1">
        <w:rPr>
          <w:rFonts w:ascii="Times New Roman" w:hAnsi="Times New Roman" w:cs="Times New Roman"/>
          <w:color w:val="auto"/>
          <w:szCs w:val="24"/>
        </w:rPr>
        <w:tab/>
      </w:r>
      <w:r w:rsidRPr="006C16F1">
        <w:rPr>
          <w:rFonts w:ascii="Times New Roman" w:hAnsi="Times New Roman" w:cs="Times New Roman"/>
          <w:color w:val="auto"/>
          <w:szCs w:val="24"/>
        </w:rPr>
        <w:tab/>
      </w:r>
      <w:r w:rsidRPr="006C16F1">
        <w:rPr>
          <w:rFonts w:ascii="Times New Roman" w:hAnsi="Times New Roman" w:cs="Times New Roman"/>
          <w:color w:val="auto"/>
          <w:szCs w:val="24"/>
        </w:rPr>
        <w:tab/>
      </w:r>
      <w:r w:rsidRPr="006C16F1">
        <w:rPr>
          <w:rFonts w:ascii="Times New Roman" w:hAnsi="Times New Roman" w:cs="Times New Roman"/>
          <w:color w:val="auto"/>
          <w:szCs w:val="24"/>
        </w:rPr>
        <w:tab/>
      </w:r>
      <w:r w:rsidRPr="006C16F1">
        <w:rPr>
          <w:rFonts w:ascii="Times New Roman" w:hAnsi="Times New Roman" w:cs="Times New Roman"/>
          <w:color w:val="auto"/>
          <w:szCs w:val="24"/>
        </w:rPr>
        <w:tab/>
      </w:r>
      <w:r w:rsidRPr="006C16F1">
        <w:rPr>
          <w:rFonts w:ascii="Times New Roman" w:hAnsi="Times New Roman" w:cs="Times New Roman"/>
          <w:color w:val="auto"/>
          <w:szCs w:val="24"/>
        </w:rPr>
        <w:tab/>
        <w:t xml:space="preserve">   </w:t>
      </w:r>
    </w:p>
    <w:p w:rsidR="00E415D1" w:rsidRPr="006C16F1" w:rsidRDefault="00E415D1" w:rsidP="00E415D1">
      <w:pPr>
        <w:spacing w:line="240" w:lineRule="auto"/>
        <w:jc w:val="both"/>
        <w:rPr>
          <w:rFonts w:ascii="Times New Roman" w:hAnsi="Times New Roman" w:cs="Times New Roman"/>
          <w:color w:val="auto"/>
          <w:szCs w:val="24"/>
        </w:rPr>
      </w:pPr>
      <w:r w:rsidRPr="006C16F1">
        <w:rPr>
          <w:rFonts w:ascii="Times New Roman" w:hAnsi="Times New Roman" w:cs="Times New Roman"/>
          <w:color w:val="auto"/>
          <w:szCs w:val="24"/>
        </w:rPr>
        <w:tab/>
        <w:t xml:space="preserve">     </w:t>
      </w:r>
      <w:r w:rsidRPr="006C16F1">
        <w:rPr>
          <w:rFonts w:ascii="Times New Roman" w:hAnsi="Times New Roman" w:cs="Times New Roman"/>
          <w:color w:val="auto"/>
          <w:szCs w:val="24"/>
        </w:rPr>
        <w:tab/>
      </w:r>
      <w:r w:rsidRPr="006C16F1">
        <w:rPr>
          <w:rFonts w:ascii="Times New Roman" w:hAnsi="Times New Roman" w:cs="Times New Roman"/>
          <w:color w:val="auto"/>
          <w:szCs w:val="24"/>
        </w:rPr>
        <w:tab/>
      </w:r>
      <w:r w:rsidRPr="006C16F1">
        <w:rPr>
          <w:rFonts w:ascii="Times New Roman" w:hAnsi="Times New Roman" w:cs="Times New Roman"/>
          <w:color w:val="auto"/>
          <w:szCs w:val="24"/>
        </w:rPr>
        <w:tab/>
      </w:r>
      <w:r w:rsidRPr="006C16F1">
        <w:rPr>
          <w:rFonts w:ascii="Times New Roman" w:hAnsi="Times New Roman" w:cs="Times New Roman"/>
          <w:color w:val="auto"/>
          <w:szCs w:val="24"/>
        </w:rPr>
        <w:tab/>
      </w:r>
      <w:r w:rsidRPr="006C16F1">
        <w:rPr>
          <w:rFonts w:ascii="Times New Roman" w:hAnsi="Times New Roman" w:cs="Times New Roman"/>
          <w:color w:val="auto"/>
          <w:szCs w:val="24"/>
        </w:rPr>
        <w:tab/>
        <w:t xml:space="preserve">  Assistant General Counsel</w:t>
      </w:r>
    </w:p>
    <w:p w:rsidR="00E415D1" w:rsidRPr="006C16F1" w:rsidRDefault="00E415D1" w:rsidP="00E415D1">
      <w:pPr>
        <w:spacing w:line="240" w:lineRule="auto"/>
        <w:jc w:val="both"/>
        <w:rPr>
          <w:rFonts w:ascii="Times New Roman" w:hAnsi="Times New Roman" w:cs="Times New Roman"/>
          <w:color w:val="auto"/>
          <w:szCs w:val="24"/>
        </w:rPr>
      </w:pPr>
      <w:r w:rsidRPr="006C16F1">
        <w:rPr>
          <w:rFonts w:ascii="Times New Roman" w:hAnsi="Times New Roman" w:cs="Times New Roman"/>
          <w:color w:val="auto"/>
          <w:szCs w:val="24"/>
        </w:rPr>
        <w:tab/>
      </w:r>
      <w:r w:rsidRPr="006C16F1">
        <w:rPr>
          <w:rFonts w:ascii="Times New Roman" w:hAnsi="Times New Roman" w:cs="Times New Roman"/>
          <w:color w:val="auto"/>
          <w:szCs w:val="24"/>
        </w:rPr>
        <w:tab/>
      </w:r>
      <w:r w:rsidRPr="006C16F1">
        <w:rPr>
          <w:rFonts w:ascii="Times New Roman" w:hAnsi="Times New Roman" w:cs="Times New Roman"/>
          <w:color w:val="auto"/>
          <w:szCs w:val="24"/>
        </w:rPr>
        <w:tab/>
      </w:r>
      <w:r w:rsidRPr="006C16F1">
        <w:rPr>
          <w:rFonts w:ascii="Times New Roman" w:hAnsi="Times New Roman" w:cs="Times New Roman"/>
          <w:color w:val="auto"/>
          <w:szCs w:val="24"/>
        </w:rPr>
        <w:tab/>
      </w:r>
      <w:r w:rsidRPr="006C16F1">
        <w:rPr>
          <w:rFonts w:ascii="Times New Roman" w:hAnsi="Times New Roman" w:cs="Times New Roman"/>
          <w:color w:val="auto"/>
          <w:szCs w:val="24"/>
        </w:rPr>
        <w:tab/>
      </w:r>
      <w:r w:rsidRPr="006C16F1">
        <w:rPr>
          <w:rFonts w:ascii="Times New Roman" w:hAnsi="Times New Roman" w:cs="Times New Roman"/>
          <w:color w:val="auto"/>
          <w:szCs w:val="24"/>
        </w:rPr>
        <w:tab/>
        <w:t xml:space="preserve">  (Manpower &amp; Reserve Affairs)</w:t>
      </w:r>
    </w:p>
    <w:p w:rsidR="00E3077F" w:rsidRPr="001F29F9" w:rsidRDefault="00E3077F" w:rsidP="00BF0E94">
      <w:pPr>
        <w:tabs>
          <w:tab w:val="left" w:pos="0"/>
          <w:tab w:val="left" w:pos="4320"/>
        </w:tabs>
        <w:jc w:val="both"/>
        <w:rPr>
          <w:color w:val="000000" w:themeColor="text1"/>
          <w:szCs w:val="24"/>
        </w:rPr>
      </w:pPr>
      <w:bookmarkStart w:id="0" w:name="_GoBack"/>
      <w:bookmarkEnd w:id="0"/>
    </w:p>
    <w:sectPr w:rsidR="00E3077F" w:rsidRPr="001F29F9" w:rsidSect="00E70164">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0A4" w:rsidRDefault="004640A4">
      <w:r>
        <w:separator/>
      </w:r>
    </w:p>
  </w:endnote>
  <w:endnote w:type="continuationSeparator" w:id="0">
    <w:p w:rsidR="004640A4" w:rsidRDefault="00464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1F3C8F4B-152B-43B3-AAB1-F9255CA4A8BC}"/>
    <w:embedBold r:id="rId2" w:fontKey="{313C3EA0-3575-4957-B8CE-E8B09BA6EF4D}"/>
  </w:font>
  <w:font w:name="Times New Roman">
    <w:panose1 w:val="02020603050405020304"/>
    <w:charset w:val="00"/>
    <w:family w:val="roman"/>
    <w:pitch w:val="variable"/>
    <w:sig w:usb0="E0002AFF" w:usb1="C0007841" w:usb2="00000009" w:usb3="00000000" w:csb0="000001FF" w:csb1="00000000"/>
    <w:embedRegular r:id="rId3" w:fontKey="{92ED703E-5E0E-4637-87F4-27C2EBCD022E}"/>
    <w:embedBold r:id="rId4" w:fontKey="{F3D5EDC8-9D66-4765-BDD1-CD473E311F2C}"/>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B99" w:rsidRDefault="00790B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szCs w:val="24"/>
      </w:rPr>
      <w:id w:val="94093361"/>
      <w:docPartObj>
        <w:docPartGallery w:val="Page Numbers (Bottom of Page)"/>
        <w:docPartUnique/>
      </w:docPartObj>
    </w:sdtPr>
    <w:sdtEndPr/>
    <w:sdtContent>
      <w:p w:rsidR="002757CE" w:rsidRPr="00374247" w:rsidRDefault="002757CE" w:rsidP="00374247">
        <w:pPr>
          <w:pStyle w:val="Footer"/>
          <w:ind w:firstLine="4320"/>
          <w:rPr>
            <w:color w:val="auto"/>
            <w:szCs w:val="24"/>
          </w:rPr>
        </w:pPr>
        <w:r w:rsidRPr="00374247">
          <w:rPr>
            <w:color w:val="auto"/>
            <w:szCs w:val="24"/>
          </w:rPr>
          <w:t xml:space="preserve">   </w:t>
        </w:r>
        <w:r w:rsidR="0079350B" w:rsidRPr="00374247">
          <w:rPr>
            <w:color w:val="auto"/>
            <w:szCs w:val="24"/>
          </w:rPr>
          <w:fldChar w:fldCharType="begin"/>
        </w:r>
        <w:r w:rsidRPr="00374247">
          <w:rPr>
            <w:color w:val="auto"/>
            <w:szCs w:val="24"/>
          </w:rPr>
          <w:instrText xml:space="preserve"> PAGE   \* MERGEFORMAT </w:instrText>
        </w:r>
        <w:r w:rsidR="0079350B" w:rsidRPr="00374247">
          <w:rPr>
            <w:color w:val="auto"/>
            <w:szCs w:val="24"/>
          </w:rPr>
          <w:fldChar w:fldCharType="separate"/>
        </w:r>
        <w:r w:rsidR="00E415D1" w:rsidRPr="00E415D1">
          <w:rPr>
            <w:noProof/>
            <w:color w:val="auto"/>
          </w:rPr>
          <w:t>5</w:t>
        </w:r>
        <w:r w:rsidR="0079350B" w:rsidRPr="00374247">
          <w:rPr>
            <w:color w:val="auto"/>
            <w:szCs w:val="24"/>
          </w:rPr>
          <w:fldChar w:fldCharType="end"/>
        </w:r>
        <w:r w:rsidRPr="00374247">
          <w:rPr>
            <w:color w:val="auto"/>
            <w:szCs w:val="24"/>
          </w:rPr>
          <w:t xml:space="preserve">                                                           </w:t>
        </w:r>
        <w:r w:rsidRPr="001D64F3">
          <w:rPr>
            <w:color w:val="auto"/>
            <w:szCs w:val="24"/>
          </w:rPr>
          <w:t>P</w:t>
        </w:r>
        <w:r w:rsidRPr="006730A1">
          <w:rPr>
            <w:color w:val="auto"/>
            <w:szCs w:val="24"/>
          </w:rPr>
          <w:t>D110</w:t>
        </w:r>
        <w:r w:rsidRPr="001D64F3">
          <w:rPr>
            <w:color w:val="auto"/>
            <w:szCs w:val="24"/>
          </w:rPr>
          <w:t>0</w:t>
        </w:r>
        <w:r>
          <w:rPr>
            <w:color w:val="auto"/>
            <w:szCs w:val="24"/>
          </w:rPr>
          <w:t>655</w:t>
        </w:r>
      </w:p>
    </w:sdtContent>
  </w:sdt>
  <w:p w:rsidR="002757CE" w:rsidRPr="00684CE6" w:rsidRDefault="002757CE">
    <w:pPr>
      <w:pStyle w:val="Footer"/>
      <w:rPr>
        <w:color w:val="auto"/>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B99" w:rsidRDefault="00790B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0A4" w:rsidRDefault="004640A4">
      <w:r>
        <w:separator/>
      </w:r>
    </w:p>
  </w:footnote>
  <w:footnote w:type="continuationSeparator" w:id="0">
    <w:p w:rsidR="004640A4" w:rsidRDefault="004640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B99" w:rsidRDefault="00790B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B99" w:rsidRDefault="00790B9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B99" w:rsidRDefault="00790B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42CC"/>
    <w:multiLevelType w:val="hybridMultilevel"/>
    <w:tmpl w:val="BFA47516"/>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E7CCC"/>
    <w:multiLevelType w:val="hybridMultilevel"/>
    <w:tmpl w:val="F26CA91A"/>
    <w:lvl w:ilvl="0" w:tplc="8F7AB93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4D1F9B"/>
    <w:multiLevelType w:val="hybridMultilevel"/>
    <w:tmpl w:val="D61A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268AC"/>
    <w:multiLevelType w:val="hybridMultilevel"/>
    <w:tmpl w:val="D526C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F14EEB"/>
    <w:multiLevelType w:val="hybridMultilevel"/>
    <w:tmpl w:val="A5C2833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171C56"/>
    <w:multiLevelType w:val="hybridMultilevel"/>
    <w:tmpl w:val="E8F47BEC"/>
    <w:lvl w:ilvl="0" w:tplc="8426079A">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6">
    <w:nsid w:val="17BA7C44"/>
    <w:multiLevelType w:val="hybridMultilevel"/>
    <w:tmpl w:val="7C12628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5422F0"/>
    <w:multiLevelType w:val="hybridMultilevel"/>
    <w:tmpl w:val="DF66D326"/>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845D80"/>
    <w:multiLevelType w:val="hybridMultilevel"/>
    <w:tmpl w:val="A892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F538FD"/>
    <w:multiLevelType w:val="hybridMultilevel"/>
    <w:tmpl w:val="6AA8201E"/>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6A3FF5"/>
    <w:multiLevelType w:val="hybridMultilevel"/>
    <w:tmpl w:val="CDACECDE"/>
    <w:lvl w:ilvl="0" w:tplc="DF86C54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4F193D"/>
    <w:multiLevelType w:val="hybridMultilevel"/>
    <w:tmpl w:val="9C4EF4C6"/>
    <w:lvl w:ilvl="0" w:tplc="3B98A07E">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2">
    <w:nsid w:val="431821A9"/>
    <w:multiLevelType w:val="hybridMultilevel"/>
    <w:tmpl w:val="100E3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F06437"/>
    <w:multiLevelType w:val="hybridMultilevel"/>
    <w:tmpl w:val="F88001A6"/>
    <w:lvl w:ilvl="0" w:tplc="5E7A036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856844"/>
    <w:multiLevelType w:val="hybridMultilevel"/>
    <w:tmpl w:val="979A8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8C4253"/>
    <w:multiLevelType w:val="hybridMultilevel"/>
    <w:tmpl w:val="5E96218A"/>
    <w:lvl w:ilvl="0" w:tplc="4F8E831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5E172F4"/>
    <w:multiLevelType w:val="hybridMultilevel"/>
    <w:tmpl w:val="3B98A040"/>
    <w:lvl w:ilvl="0" w:tplc="C5A2619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D637FB"/>
    <w:multiLevelType w:val="hybridMultilevel"/>
    <w:tmpl w:val="E81C20AE"/>
    <w:lvl w:ilvl="0" w:tplc="41C210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7C58B7"/>
    <w:multiLevelType w:val="hybridMultilevel"/>
    <w:tmpl w:val="87149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920263"/>
    <w:multiLevelType w:val="hybridMultilevel"/>
    <w:tmpl w:val="5ABA2AD0"/>
    <w:lvl w:ilvl="0" w:tplc="C3D8CF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94670E"/>
    <w:multiLevelType w:val="hybridMultilevel"/>
    <w:tmpl w:val="7C92692E"/>
    <w:lvl w:ilvl="0" w:tplc="20A6E15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DA16B7"/>
    <w:multiLevelType w:val="hybridMultilevel"/>
    <w:tmpl w:val="3BD2466C"/>
    <w:lvl w:ilvl="0" w:tplc="AABA22A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20"/>
  </w:num>
  <w:num w:numId="4">
    <w:abstractNumId w:val="7"/>
  </w:num>
  <w:num w:numId="5">
    <w:abstractNumId w:val="4"/>
  </w:num>
  <w:num w:numId="6">
    <w:abstractNumId w:val="9"/>
  </w:num>
  <w:num w:numId="7">
    <w:abstractNumId w:val="0"/>
  </w:num>
  <w:num w:numId="8">
    <w:abstractNumId w:val="6"/>
  </w:num>
  <w:num w:numId="9">
    <w:abstractNumId w:val="17"/>
  </w:num>
  <w:num w:numId="10">
    <w:abstractNumId w:val="11"/>
  </w:num>
  <w:num w:numId="11">
    <w:abstractNumId w:val="5"/>
  </w:num>
  <w:num w:numId="12">
    <w:abstractNumId w:val="14"/>
  </w:num>
  <w:num w:numId="13">
    <w:abstractNumId w:val="8"/>
  </w:num>
  <w:num w:numId="14">
    <w:abstractNumId w:val="16"/>
  </w:num>
  <w:num w:numId="15">
    <w:abstractNumId w:val="21"/>
  </w:num>
  <w:num w:numId="16">
    <w:abstractNumId w:val="1"/>
  </w:num>
  <w:num w:numId="17">
    <w:abstractNumId w:val="19"/>
  </w:num>
  <w:num w:numId="18">
    <w:abstractNumId w:val="10"/>
  </w:num>
  <w:num w:numId="19">
    <w:abstractNumId w:val="13"/>
  </w:num>
  <w:num w:numId="20">
    <w:abstractNumId w:val="18"/>
  </w:num>
  <w:num w:numId="21">
    <w:abstractNumId w:val="1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2"/>
  <w:doNotDisplayPageBoundaries/>
  <w:printFractionalCharacterWidth/>
  <w:embedTrueTypeFonts/>
  <w:embedSystemFonts/>
  <w:saveSubsetFonts/>
  <w:hideSpellingErrors/>
  <w:hideGrammaticalError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2"/>
  </w:compat>
  <w:rsids>
    <w:rsidRoot w:val="001C28D1"/>
    <w:rsid w:val="000024F5"/>
    <w:rsid w:val="000059FA"/>
    <w:rsid w:val="00006186"/>
    <w:rsid w:val="00006F87"/>
    <w:rsid w:val="00007107"/>
    <w:rsid w:val="00010ABA"/>
    <w:rsid w:val="00010B0F"/>
    <w:rsid w:val="00012428"/>
    <w:rsid w:val="00012733"/>
    <w:rsid w:val="00013417"/>
    <w:rsid w:val="000145C2"/>
    <w:rsid w:val="0001473F"/>
    <w:rsid w:val="00014A47"/>
    <w:rsid w:val="00014A9E"/>
    <w:rsid w:val="00017778"/>
    <w:rsid w:val="00021361"/>
    <w:rsid w:val="00022CF3"/>
    <w:rsid w:val="00023913"/>
    <w:rsid w:val="00023D43"/>
    <w:rsid w:val="00024002"/>
    <w:rsid w:val="00024DE7"/>
    <w:rsid w:val="00026092"/>
    <w:rsid w:val="00030776"/>
    <w:rsid w:val="00032E07"/>
    <w:rsid w:val="000332CA"/>
    <w:rsid w:val="0003374E"/>
    <w:rsid w:val="000344D8"/>
    <w:rsid w:val="000344E6"/>
    <w:rsid w:val="00035C3A"/>
    <w:rsid w:val="00036E4B"/>
    <w:rsid w:val="00037929"/>
    <w:rsid w:val="000379D0"/>
    <w:rsid w:val="00040FC4"/>
    <w:rsid w:val="000416F8"/>
    <w:rsid w:val="00042C26"/>
    <w:rsid w:val="00043382"/>
    <w:rsid w:val="00044623"/>
    <w:rsid w:val="000452D7"/>
    <w:rsid w:val="00051622"/>
    <w:rsid w:val="00051A11"/>
    <w:rsid w:val="00052234"/>
    <w:rsid w:val="000527D1"/>
    <w:rsid w:val="00053D7C"/>
    <w:rsid w:val="00055160"/>
    <w:rsid w:val="000575C5"/>
    <w:rsid w:val="000577C9"/>
    <w:rsid w:val="00060FFD"/>
    <w:rsid w:val="00061D69"/>
    <w:rsid w:val="00061DD2"/>
    <w:rsid w:val="0006431E"/>
    <w:rsid w:val="000652EA"/>
    <w:rsid w:val="00065E21"/>
    <w:rsid w:val="000673ED"/>
    <w:rsid w:val="00067854"/>
    <w:rsid w:val="00070DED"/>
    <w:rsid w:val="00072433"/>
    <w:rsid w:val="00072B3E"/>
    <w:rsid w:val="0007388C"/>
    <w:rsid w:val="0007488B"/>
    <w:rsid w:val="00075702"/>
    <w:rsid w:val="00075A0C"/>
    <w:rsid w:val="000775C2"/>
    <w:rsid w:val="00077835"/>
    <w:rsid w:val="000806AD"/>
    <w:rsid w:val="00080BDF"/>
    <w:rsid w:val="00080C57"/>
    <w:rsid w:val="00082482"/>
    <w:rsid w:val="00082CA0"/>
    <w:rsid w:val="00084CF2"/>
    <w:rsid w:val="00085D7B"/>
    <w:rsid w:val="0008708B"/>
    <w:rsid w:val="00091D6B"/>
    <w:rsid w:val="00092619"/>
    <w:rsid w:val="00092C66"/>
    <w:rsid w:val="000949DD"/>
    <w:rsid w:val="00094E4F"/>
    <w:rsid w:val="000A2BCE"/>
    <w:rsid w:val="000A31E2"/>
    <w:rsid w:val="000A33C8"/>
    <w:rsid w:val="000A41E3"/>
    <w:rsid w:val="000A4BBA"/>
    <w:rsid w:val="000A5071"/>
    <w:rsid w:val="000B0AD2"/>
    <w:rsid w:val="000B1022"/>
    <w:rsid w:val="000B2FB8"/>
    <w:rsid w:val="000B471C"/>
    <w:rsid w:val="000B4C99"/>
    <w:rsid w:val="000C06F6"/>
    <w:rsid w:val="000C0F15"/>
    <w:rsid w:val="000C10F6"/>
    <w:rsid w:val="000C15F8"/>
    <w:rsid w:val="000C1D34"/>
    <w:rsid w:val="000C2362"/>
    <w:rsid w:val="000C2FA8"/>
    <w:rsid w:val="000C3C13"/>
    <w:rsid w:val="000C4D5F"/>
    <w:rsid w:val="000C53F9"/>
    <w:rsid w:val="000C5813"/>
    <w:rsid w:val="000C714C"/>
    <w:rsid w:val="000C7161"/>
    <w:rsid w:val="000C75CF"/>
    <w:rsid w:val="000C7B83"/>
    <w:rsid w:val="000C7DE4"/>
    <w:rsid w:val="000D0AE6"/>
    <w:rsid w:val="000D15E7"/>
    <w:rsid w:val="000D1A24"/>
    <w:rsid w:val="000D1CF4"/>
    <w:rsid w:val="000D1DBC"/>
    <w:rsid w:val="000D21C7"/>
    <w:rsid w:val="000D248A"/>
    <w:rsid w:val="000D2CFD"/>
    <w:rsid w:val="000D2EA7"/>
    <w:rsid w:val="000D35D8"/>
    <w:rsid w:val="000D43F9"/>
    <w:rsid w:val="000D4717"/>
    <w:rsid w:val="000D6457"/>
    <w:rsid w:val="000D7D55"/>
    <w:rsid w:val="000E0993"/>
    <w:rsid w:val="000E2E50"/>
    <w:rsid w:val="000E37E0"/>
    <w:rsid w:val="000E3F20"/>
    <w:rsid w:val="000E4C25"/>
    <w:rsid w:val="000E4CBF"/>
    <w:rsid w:val="000E5577"/>
    <w:rsid w:val="000E7034"/>
    <w:rsid w:val="000F02BE"/>
    <w:rsid w:val="000F0928"/>
    <w:rsid w:val="000F0B3D"/>
    <w:rsid w:val="000F1E65"/>
    <w:rsid w:val="000F427B"/>
    <w:rsid w:val="000F43D0"/>
    <w:rsid w:val="000F4F18"/>
    <w:rsid w:val="000F688E"/>
    <w:rsid w:val="000F7181"/>
    <w:rsid w:val="000F7581"/>
    <w:rsid w:val="001007CE"/>
    <w:rsid w:val="001008C1"/>
    <w:rsid w:val="001023DB"/>
    <w:rsid w:val="00102B8D"/>
    <w:rsid w:val="001031F4"/>
    <w:rsid w:val="00103948"/>
    <w:rsid w:val="00103CCF"/>
    <w:rsid w:val="0010417F"/>
    <w:rsid w:val="001042D2"/>
    <w:rsid w:val="0010530E"/>
    <w:rsid w:val="00105C07"/>
    <w:rsid w:val="00106080"/>
    <w:rsid w:val="00106920"/>
    <w:rsid w:val="00106AD8"/>
    <w:rsid w:val="001078DB"/>
    <w:rsid w:val="001079FA"/>
    <w:rsid w:val="00107EC5"/>
    <w:rsid w:val="001103CD"/>
    <w:rsid w:val="00113D2A"/>
    <w:rsid w:val="00114F20"/>
    <w:rsid w:val="0011590B"/>
    <w:rsid w:val="001211AF"/>
    <w:rsid w:val="001215DF"/>
    <w:rsid w:val="001219DF"/>
    <w:rsid w:val="0012220B"/>
    <w:rsid w:val="00122ABE"/>
    <w:rsid w:val="001231DC"/>
    <w:rsid w:val="0012453A"/>
    <w:rsid w:val="0012489B"/>
    <w:rsid w:val="001272AE"/>
    <w:rsid w:val="00130756"/>
    <w:rsid w:val="001315DD"/>
    <w:rsid w:val="0013525F"/>
    <w:rsid w:val="00135385"/>
    <w:rsid w:val="00136204"/>
    <w:rsid w:val="001364D1"/>
    <w:rsid w:val="001374C7"/>
    <w:rsid w:val="00140FA4"/>
    <w:rsid w:val="00141806"/>
    <w:rsid w:val="00141BC9"/>
    <w:rsid w:val="001421FD"/>
    <w:rsid w:val="001424A0"/>
    <w:rsid w:val="001425C8"/>
    <w:rsid w:val="00142EBA"/>
    <w:rsid w:val="00143B79"/>
    <w:rsid w:val="00145965"/>
    <w:rsid w:val="00150B8A"/>
    <w:rsid w:val="00150DCB"/>
    <w:rsid w:val="00151912"/>
    <w:rsid w:val="00153740"/>
    <w:rsid w:val="001537D8"/>
    <w:rsid w:val="00153D88"/>
    <w:rsid w:val="001541C5"/>
    <w:rsid w:val="00155E87"/>
    <w:rsid w:val="0015623F"/>
    <w:rsid w:val="00156585"/>
    <w:rsid w:val="00156BA9"/>
    <w:rsid w:val="00161642"/>
    <w:rsid w:val="00161761"/>
    <w:rsid w:val="00166182"/>
    <w:rsid w:val="001665A7"/>
    <w:rsid w:val="0017038B"/>
    <w:rsid w:val="00170C94"/>
    <w:rsid w:val="0017139A"/>
    <w:rsid w:val="001724C8"/>
    <w:rsid w:val="001732C4"/>
    <w:rsid w:val="001745DD"/>
    <w:rsid w:val="00174FDE"/>
    <w:rsid w:val="00174FE3"/>
    <w:rsid w:val="00176D63"/>
    <w:rsid w:val="00177659"/>
    <w:rsid w:val="001779E5"/>
    <w:rsid w:val="00180826"/>
    <w:rsid w:val="00181240"/>
    <w:rsid w:val="001819B4"/>
    <w:rsid w:val="00182A4C"/>
    <w:rsid w:val="00183F77"/>
    <w:rsid w:val="00183FB3"/>
    <w:rsid w:val="001844D8"/>
    <w:rsid w:val="00185DA8"/>
    <w:rsid w:val="00185ECB"/>
    <w:rsid w:val="001865E0"/>
    <w:rsid w:val="001870F0"/>
    <w:rsid w:val="00190E48"/>
    <w:rsid w:val="0019114B"/>
    <w:rsid w:val="0019273F"/>
    <w:rsid w:val="00193814"/>
    <w:rsid w:val="00193AAB"/>
    <w:rsid w:val="00193AD5"/>
    <w:rsid w:val="00194930"/>
    <w:rsid w:val="00195AAC"/>
    <w:rsid w:val="001A025E"/>
    <w:rsid w:val="001A08CD"/>
    <w:rsid w:val="001A0A1E"/>
    <w:rsid w:val="001A2182"/>
    <w:rsid w:val="001A323E"/>
    <w:rsid w:val="001A5320"/>
    <w:rsid w:val="001A5E62"/>
    <w:rsid w:val="001A6848"/>
    <w:rsid w:val="001A7538"/>
    <w:rsid w:val="001B06FB"/>
    <w:rsid w:val="001B0B1A"/>
    <w:rsid w:val="001B20E6"/>
    <w:rsid w:val="001B4C0B"/>
    <w:rsid w:val="001B4D12"/>
    <w:rsid w:val="001B4EC2"/>
    <w:rsid w:val="001B5B59"/>
    <w:rsid w:val="001B60E0"/>
    <w:rsid w:val="001B755A"/>
    <w:rsid w:val="001B7C8C"/>
    <w:rsid w:val="001C051D"/>
    <w:rsid w:val="001C0688"/>
    <w:rsid w:val="001C181A"/>
    <w:rsid w:val="001C1877"/>
    <w:rsid w:val="001C2053"/>
    <w:rsid w:val="001C252F"/>
    <w:rsid w:val="001C28D1"/>
    <w:rsid w:val="001C3473"/>
    <w:rsid w:val="001C5BDA"/>
    <w:rsid w:val="001C5CFC"/>
    <w:rsid w:val="001C7231"/>
    <w:rsid w:val="001C7418"/>
    <w:rsid w:val="001C7EBE"/>
    <w:rsid w:val="001D0051"/>
    <w:rsid w:val="001D150B"/>
    <w:rsid w:val="001D169A"/>
    <w:rsid w:val="001D2224"/>
    <w:rsid w:val="001D31AA"/>
    <w:rsid w:val="001D37B9"/>
    <w:rsid w:val="001D3DC0"/>
    <w:rsid w:val="001D4F88"/>
    <w:rsid w:val="001D64F3"/>
    <w:rsid w:val="001D66EF"/>
    <w:rsid w:val="001D68CF"/>
    <w:rsid w:val="001D6A8C"/>
    <w:rsid w:val="001D7A56"/>
    <w:rsid w:val="001E15C0"/>
    <w:rsid w:val="001E18E0"/>
    <w:rsid w:val="001E18E2"/>
    <w:rsid w:val="001E19D0"/>
    <w:rsid w:val="001E2477"/>
    <w:rsid w:val="001E2A30"/>
    <w:rsid w:val="001E2FF1"/>
    <w:rsid w:val="001E3FE1"/>
    <w:rsid w:val="001E41FE"/>
    <w:rsid w:val="001E635C"/>
    <w:rsid w:val="001F0297"/>
    <w:rsid w:val="001F29F9"/>
    <w:rsid w:val="001F6417"/>
    <w:rsid w:val="001F6E0B"/>
    <w:rsid w:val="00200AA0"/>
    <w:rsid w:val="00202325"/>
    <w:rsid w:val="00202736"/>
    <w:rsid w:val="00203652"/>
    <w:rsid w:val="00204562"/>
    <w:rsid w:val="00205B4F"/>
    <w:rsid w:val="002060B6"/>
    <w:rsid w:val="002066B5"/>
    <w:rsid w:val="00210EAC"/>
    <w:rsid w:val="00211612"/>
    <w:rsid w:val="002119B6"/>
    <w:rsid w:val="00212389"/>
    <w:rsid w:val="00212B40"/>
    <w:rsid w:val="00213BD0"/>
    <w:rsid w:val="00214A45"/>
    <w:rsid w:val="00214DBA"/>
    <w:rsid w:val="002151AB"/>
    <w:rsid w:val="0021548C"/>
    <w:rsid w:val="00215C4C"/>
    <w:rsid w:val="00215ED6"/>
    <w:rsid w:val="00216049"/>
    <w:rsid w:val="002163FA"/>
    <w:rsid w:val="00217606"/>
    <w:rsid w:val="00217C09"/>
    <w:rsid w:val="00220F5C"/>
    <w:rsid w:val="00220FA9"/>
    <w:rsid w:val="002216BF"/>
    <w:rsid w:val="00221B9B"/>
    <w:rsid w:val="00222268"/>
    <w:rsid w:val="00225080"/>
    <w:rsid w:val="00225196"/>
    <w:rsid w:val="00225CB4"/>
    <w:rsid w:val="00226B1A"/>
    <w:rsid w:val="00227F0B"/>
    <w:rsid w:val="0023049F"/>
    <w:rsid w:val="002310C3"/>
    <w:rsid w:val="002316F6"/>
    <w:rsid w:val="00232609"/>
    <w:rsid w:val="00232C9B"/>
    <w:rsid w:val="00232E73"/>
    <w:rsid w:val="00232F09"/>
    <w:rsid w:val="002335D5"/>
    <w:rsid w:val="002338CA"/>
    <w:rsid w:val="00233FE5"/>
    <w:rsid w:val="00234B3B"/>
    <w:rsid w:val="00234D98"/>
    <w:rsid w:val="00235AD0"/>
    <w:rsid w:val="00236018"/>
    <w:rsid w:val="002374C9"/>
    <w:rsid w:val="0024162D"/>
    <w:rsid w:val="0024174E"/>
    <w:rsid w:val="00242238"/>
    <w:rsid w:val="0024227D"/>
    <w:rsid w:val="00242D14"/>
    <w:rsid w:val="002432F4"/>
    <w:rsid w:val="00246860"/>
    <w:rsid w:val="002468D9"/>
    <w:rsid w:val="00246995"/>
    <w:rsid w:val="00246DFF"/>
    <w:rsid w:val="00246E89"/>
    <w:rsid w:val="00246F96"/>
    <w:rsid w:val="0025183C"/>
    <w:rsid w:val="00252351"/>
    <w:rsid w:val="002528EC"/>
    <w:rsid w:val="00253EAA"/>
    <w:rsid w:val="00255049"/>
    <w:rsid w:val="00257538"/>
    <w:rsid w:val="00257AFF"/>
    <w:rsid w:val="00257DE5"/>
    <w:rsid w:val="00260531"/>
    <w:rsid w:val="00260B9A"/>
    <w:rsid w:val="00262EA5"/>
    <w:rsid w:val="0026318D"/>
    <w:rsid w:val="00264148"/>
    <w:rsid w:val="00265B8A"/>
    <w:rsid w:val="002660AF"/>
    <w:rsid w:val="00270864"/>
    <w:rsid w:val="002712F7"/>
    <w:rsid w:val="0027159C"/>
    <w:rsid w:val="002722F2"/>
    <w:rsid w:val="00274549"/>
    <w:rsid w:val="00274E46"/>
    <w:rsid w:val="002752AE"/>
    <w:rsid w:val="002757CE"/>
    <w:rsid w:val="00275AFD"/>
    <w:rsid w:val="002769AF"/>
    <w:rsid w:val="00276C86"/>
    <w:rsid w:val="00276FD0"/>
    <w:rsid w:val="00277217"/>
    <w:rsid w:val="002810A4"/>
    <w:rsid w:val="0028261C"/>
    <w:rsid w:val="00282DB6"/>
    <w:rsid w:val="00284A26"/>
    <w:rsid w:val="00285095"/>
    <w:rsid w:val="00287006"/>
    <w:rsid w:val="0029030A"/>
    <w:rsid w:val="00292397"/>
    <w:rsid w:val="00292AB2"/>
    <w:rsid w:val="00292B82"/>
    <w:rsid w:val="00293DB6"/>
    <w:rsid w:val="00293FE8"/>
    <w:rsid w:val="00294437"/>
    <w:rsid w:val="00296686"/>
    <w:rsid w:val="00297A00"/>
    <w:rsid w:val="00297A45"/>
    <w:rsid w:val="00297E20"/>
    <w:rsid w:val="002A1E2D"/>
    <w:rsid w:val="002A233F"/>
    <w:rsid w:val="002A3237"/>
    <w:rsid w:val="002A4119"/>
    <w:rsid w:val="002A58B7"/>
    <w:rsid w:val="002A5943"/>
    <w:rsid w:val="002A5C3C"/>
    <w:rsid w:val="002A685E"/>
    <w:rsid w:val="002A72C7"/>
    <w:rsid w:val="002B0204"/>
    <w:rsid w:val="002B03B2"/>
    <w:rsid w:val="002B0749"/>
    <w:rsid w:val="002B2645"/>
    <w:rsid w:val="002B303A"/>
    <w:rsid w:val="002B32E9"/>
    <w:rsid w:val="002B4E22"/>
    <w:rsid w:val="002B6FA0"/>
    <w:rsid w:val="002B7710"/>
    <w:rsid w:val="002C0DEA"/>
    <w:rsid w:val="002C34F6"/>
    <w:rsid w:val="002C3B6D"/>
    <w:rsid w:val="002C3F59"/>
    <w:rsid w:val="002C5D9D"/>
    <w:rsid w:val="002C5F10"/>
    <w:rsid w:val="002C6E5B"/>
    <w:rsid w:val="002D08F3"/>
    <w:rsid w:val="002D18B4"/>
    <w:rsid w:val="002D2058"/>
    <w:rsid w:val="002D231A"/>
    <w:rsid w:val="002D5330"/>
    <w:rsid w:val="002D5F57"/>
    <w:rsid w:val="002D73D4"/>
    <w:rsid w:val="002D7787"/>
    <w:rsid w:val="002E1877"/>
    <w:rsid w:val="002E1C31"/>
    <w:rsid w:val="002E2E0F"/>
    <w:rsid w:val="002E333A"/>
    <w:rsid w:val="002E3474"/>
    <w:rsid w:val="002E400C"/>
    <w:rsid w:val="002E49C3"/>
    <w:rsid w:val="002E5114"/>
    <w:rsid w:val="002E5988"/>
    <w:rsid w:val="002E65E6"/>
    <w:rsid w:val="002E6D51"/>
    <w:rsid w:val="002E7072"/>
    <w:rsid w:val="002E7570"/>
    <w:rsid w:val="002E764B"/>
    <w:rsid w:val="002E7C25"/>
    <w:rsid w:val="002F0C51"/>
    <w:rsid w:val="002F0D6A"/>
    <w:rsid w:val="002F0E28"/>
    <w:rsid w:val="002F195B"/>
    <w:rsid w:val="002F287E"/>
    <w:rsid w:val="002F2981"/>
    <w:rsid w:val="002F2D63"/>
    <w:rsid w:val="002F6AD8"/>
    <w:rsid w:val="002F7F81"/>
    <w:rsid w:val="00300A36"/>
    <w:rsid w:val="00301B45"/>
    <w:rsid w:val="00305856"/>
    <w:rsid w:val="00305867"/>
    <w:rsid w:val="0030678B"/>
    <w:rsid w:val="00306D16"/>
    <w:rsid w:val="00307595"/>
    <w:rsid w:val="00307DA6"/>
    <w:rsid w:val="00310CD7"/>
    <w:rsid w:val="00313C3A"/>
    <w:rsid w:val="00313D7A"/>
    <w:rsid w:val="003155FB"/>
    <w:rsid w:val="00316671"/>
    <w:rsid w:val="0032136A"/>
    <w:rsid w:val="003224D8"/>
    <w:rsid w:val="00323A90"/>
    <w:rsid w:val="00323E70"/>
    <w:rsid w:val="003258A7"/>
    <w:rsid w:val="00325BA2"/>
    <w:rsid w:val="003262BD"/>
    <w:rsid w:val="00326798"/>
    <w:rsid w:val="00326B1C"/>
    <w:rsid w:val="00326C08"/>
    <w:rsid w:val="00326F7F"/>
    <w:rsid w:val="00327616"/>
    <w:rsid w:val="00330311"/>
    <w:rsid w:val="00330D55"/>
    <w:rsid w:val="003320E8"/>
    <w:rsid w:val="0033238E"/>
    <w:rsid w:val="003328FD"/>
    <w:rsid w:val="00332DE3"/>
    <w:rsid w:val="0033334F"/>
    <w:rsid w:val="0033414F"/>
    <w:rsid w:val="00334514"/>
    <w:rsid w:val="0033555E"/>
    <w:rsid w:val="0033601F"/>
    <w:rsid w:val="00336805"/>
    <w:rsid w:val="00337351"/>
    <w:rsid w:val="00341A54"/>
    <w:rsid w:val="00344A4F"/>
    <w:rsid w:val="00344D17"/>
    <w:rsid w:val="0034669F"/>
    <w:rsid w:val="003470C4"/>
    <w:rsid w:val="00351498"/>
    <w:rsid w:val="00352B22"/>
    <w:rsid w:val="00352CBF"/>
    <w:rsid w:val="00354547"/>
    <w:rsid w:val="003549F5"/>
    <w:rsid w:val="00355ACB"/>
    <w:rsid w:val="003567DE"/>
    <w:rsid w:val="003574F3"/>
    <w:rsid w:val="00357831"/>
    <w:rsid w:val="003604A5"/>
    <w:rsid w:val="0036114B"/>
    <w:rsid w:val="003618B6"/>
    <w:rsid w:val="0036199A"/>
    <w:rsid w:val="003620C8"/>
    <w:rsid w:val="0036319E"/>
    <w:rsid w:val="003632A4"/>
    <w:rsid w:val="00363362"/>
    <w:rsid w:val="0036392A"/>
    <w:rsid w:val="00364CAB"/>
    <w:rsid w:val="00365767"/>
    <w:rsid w:val="003659C0"/>
    <w:rsid w:val="003660DF"/>
    <w:rsid w:val="00367D4F"/>
    <w:rsid w:val="00370743"/>
    <w:rsid w:val="00370EF5"/>
    <w:rsid w:val="0037135B"/>
    <w:rsid w:val="003718CD"/>
    <w:rsid w:val="00372251"/>
    <w:rsid w:val="00373F64"/>
    <w:rsid w:val="00374247"/>
    <w:rsid w:val="00374EA1"/>
    <w:rsid w:val="0037520D"/>
    <w:rsid w:val="00375724"/>
    <w:rsid w:val="00375809"/>
    <w:rsid w:val="00375CF1"/>
    <w:rsid w:val="0037628C"/>
    <w:rsid w:val="00376A07"/>
    <w:rsid w:val="00376B81"/>
    <w:rsid w:val="00376E08"/>
    <w:rsid w:val="00377BD2"/>
    <w:rsid w:val="00380FD4"/>
    <w:rsid w:val="00381E16"/>
    <w:rsid w:val="003821E1"/>
    <w:rsid w:val="003840F6"/>
    <w:rsid w:val="00384866"/>
    <w:rsid w:val="003851BA"/>
    <w:rsid w:val="003857D4"/>
    <w:rsid w:val="00385D6F"/>
    <w:rsid w:val="00386D43"/>
    <w:rsid w:val="00387095"/>
    <w:rsid w:val="00387E95"/>
    <w:rsid w:val="00390031"/>
    <w:rsid w:val="00390092"/>
    <w:rsid w:val="00390CFA"/>
    <w:rsid w:val="00391858"/>
    <w:rsid w:val="00393651"/>
    <w:rsid w:val="00394926"/>
    <w:rsid w:val="00394FF9"/>
    <w:rsid w:val="00395651"/>
    <w:rsid w:val="00395E12"/>
    <w:rsid w:val="003962A8"/>
    <w:rsid w:val="00396779"/>
    <w:rsid w:val="00397DB7"/>
    <w:rsid w:val="003A27B2"/>
    <w:rsid w:val="003A40B4"/>
    <w:rsid w:val="003A41BA"/>
    <w:rsid w:val="003A5491"/>
    <w:rsid w:val="003A5958"/>
    <w:rsid w:val="003A6A99"/>
    <w:rsid w:val="003A6E60"/>
    <w:rsid w:val="003A76AB"/>
    <w:rsid w:val="003A7FF8"/>
    <w:rsid w:val="003B17AC"/>
    <w:rsid w:val="003B2143"/>
    <w:rsid w:val="003B227A"/>
    <w:rsid w:val="003B3A77"/>
    <w:rsid w:val="003B4319"/>
    <w:rsid w:val="003B5854"/>
    <w:rsid w:val="003B6764"/>
    <w:rsid w:val="003B7A8B"/>
    <w:rsid w:val="003B7BFE"/>
    <w:rsid w:val="003C247E"/>
    <w:rsid w:val="003C294B"/>
    <w:rsid w:val="003C5046"/>
    <w:rsid w:val="003C5B54"/>
    <w:rsid w:val="003C6068"/>
    <w:rsid w:val="003C7AEC"/>
    <w:rsid w:val="003D2BA3"/>
    <w:rsid w:val="003D316B"/>
    <w:rsid w:val="003D3C22"/>
    <w:rsid w:val="003D551D"/>
    <w:rsid w:val="003D56A0"/>
    <w:rsid w:val="003D609F"/>
    <w:rsid w:val="003D69F5"/>
    <w:rsid w:val="003D7089"/>
    <w:rsid w:val="003D7DDB"/>
    <w:rsid w:val="003E024F"/>
    <w:rsid w:val="003E02C7"/>
    <w:rsid w:val="003E0543"/>
    <w:rsid w:val="003E061D"/>
    <w:rsid w:val="003E0B5A"/>
    <w:rsid w:val="003E1682"/>
    <w:rsid w:val="003E31E3"/>
    <w:rsid w:val="003E3E93"/>
    <w:rsid w:val="003E46D1"/>
    <w:rsid w:val="003E6214"/>
    <w:rsid w:val="003F070E"/>
    <w:rsid w:val="003F1206"/>
    <w:rsid w:val="003F2418"/>
    <w:rsid w:val="003F28DB"/>
    <w:rsid w:val="003F2EEE"/>
    <w:rsid w:val="003F4C3D"/>
    <w:rsid w:val="003F58B0"/>
    <w:rsid w:val="003F776F"/>
    <w:rsid w:val="004007E9"/>
    <w:rsid w:val="00400810"/>
    <w:rsid w:val="00401825"/>
    <w:rsid w:val="00401BBC"/>
    <w:rsid w:val="004026FC"/>
    <w:rsid w:val="00403BFB"/>
    <w:rsid w:val="00404B45"/>
    <w:rsid w:val="00405BCF"/>
    <w:rsid w:val="004068E0"/>
    <w:rsid w:val="00406CC5"/>
    <w:rsid w:val="00406FCA"/>
    <w:rsid w:val="004074A4"/>
    <w:rsid w:val="004101B2"/>
    <w:rsid w:val="004123D7"/>
    <w:rsid w:val="00412658"/>
    <w:rsid w:val="004129DA"/>
    <w:rsid w:val="00415AA5"/>
    <w:rsid w:val="00415EA4"/>
    <w:rsid w:val="0041604B"/>
    <w:rsid w:val="004172DB"/>
    <w:rsid w:val="004174F0"/>
    <w:rsid w:val="00420A1D"/>
    <w:rsid w:val="00420B1E"/>
    <w:rsid w:val="004211FD"/>
    <w:rsid w:val="00421485"/>
    <w:rsid w:val="004216DA"/>
    <w:rsid w:val="00421DEA"/>
    <w:rsid w:val="00422B75"/>
    <w:rsid w:val="00424612"/>
    <w:rsid w:val="0042528C"/>
    <w:rsid w:val="00425672"/>
    <w:rsid w:val="00425A6A"/>
    <w:rsid w:val="00426A23"/>
    <w:rsid w:val="00427C7F"/>
    <w:rsid w:val="00427F54"/>
    <w:rsid w:val="004316FD"/>
    <w:rsid w:val="00433F36"/>
    <w:rsid w:val="00434860"/>
    <w:rsid w:val="00434BBD"/>
    <w:rsid w:val="0043503A"/>
    <w:rsid w:val="00437B8A"/>
    <w:rsid w:val="00437D18"/>
    <w:rsid w:val="00437D77"/>
    <w:rsid w:val="00441D99"/>
    <w:rsid w:val="004435BE"/>
    <w:rsid w:val="0044384F"/>
    <w:rsid w:val="0044411E"/>
    <w:rsid w:val="00444472"/>
    <w:rsid w:val="00444B93"/>
    <w:rsid w:val="00444F80"/>
    <w:rsid w:val="00445599"/>
    <w:rsid w:val="00446018"/>
    <w:rsid w:val="0044769D"/>
    <w:rsid w:val="0045027B"/>
    <w:rsid w:val="004504E7"/>
    <w:rsid w:val="00451F9D"/>
    <w:rsid w:val="00453167"/>
    <w:rsid w:val="0045361D"/>
    <w:rsid w:val="004543BC"/>
    <w:rsid w:val="00454F28"/>
    <w:rsid w:val="0045645D"/>
    <w:rsid w:val="0045707D"/>
    <w:rsid w:val="004574C6"/>
    <w:rsid w:val="00457743"/>
    <w:rsid w:val="00457BCF"/>
    <w:rsid w:val="00457DCE"/>
    <w:rsid w:val="00460E3F"/>
    <w:rsid w:val="0046111A"/>
    <w:rsid w:val="00462F68"/>
    <w:rsid w:val="0046369B"/>
    <w:rsid w:val="004640A4"/>
    <w:rsid w:val="004640E9"/>
    <w:rsid w:val="004647EB"/>
    <w:rsid w:val="00466CED"/>
    <w:rsid w:val="00466EB5"/>
    <w:rsid w:val="00467592"/>
    <w:rsid w:val="00467690"/>
    <w:rsid w:val="00467A14"/>
    <w:rsid w:val="004718E7"/>
    <w:rsid w:val="00472289"/>
    <w:rsid w:val="00472535"/>
    <w:rsid w:val="004761CC"/>
    <w:rsid w:val="004766C9"/>
    <w:rsid w:val="00480D4A"/>
    <w:rsid w:val="00481DA1"/>
    <w:rsid w:val="00483A2B"/>
    <w:rsid w:val="00484212"/>
    <w:rsid w:val="004848C3"/>
    <w:rsid w:val="00484BA9"/>
    <w:rsid w:val="0048599A"/>
    <w:rsid w:val="00486818"/>
    <w:rsid w:val="00491C36"/>
    <w:rsid w:val="0049255F"/>
    <w:rsid w:val="0049445D"/>
    <w:rsid w:val="00494D39"/>
    <w:rsid w:val="00495350"/>
    <w:rsid w:val="00495E3C"/>
    <w:rsid w:val="00496041"/>
    <w:rsid w:val="00497156"/>
    <w:rsid w:val="004A0C79"/>
    <w:rsid w:val="004A20D9"/>
    <w:rsid w:val="004A24D2"/>
    <w:rsid w:val="004A3214"/>
    <w:rsid w:val="004A32E6"/>
    <w:rsid w:val="004A4136"/>
    <w:rsid w:val="004A417B"/>
    <w:rsid w:val="004A4378"/>
    <w:rsid w:val="004A712D"/>
    <w:rsid w:val="004A7C03"/>
    <w:rsid w:val="004B03F3"/>
    <w:rsid w:val="004B0CC9"/>
    <w:rsid w:val="004B2536"/>
    <w:rsid w:val="004B46D7"/>
    <w:rsid w:val="004B519C"/>
    <w:rsid w:val="004B6AF3"/>
    <w:rsid w:val="004B6F1F"/>
    <w:rsid w:val="004B715E"/>
    <w:rsid w:val="004B7169"/>
    <w:rsid w:val="004B79C9"/>
    <w:rsid w:val="004C00DD"/>
    <w:rsid w:val="004C05CF"/>
    <w:rsid w:val="004C0776"/>
    <w:rsid w:val="004C1EF8"/>
    <w:rsid w:val="004C2063"/>
    <w:rsid w:val="004C24C5"/>
    <w:rsid w:val="004C2645"/>
    <w:rsid w:val="004C47D5"/>
    <w:rsid w:val="004C4CAF"/>
    <w:rsid w:val="004C5E33"/>
    <w:rsid w:val="004C60A3"/>
    <w:rsid w:val="004C6CDA"/>
    <w:rsid w:val="004D10D4"/>
    <w:rsid w:val="004D16BD"/>
    <w:rsid w:val="004D2AAB"/>
    <w:rsid w:val="004D3C7F"/>
    <w:rsid w:val="004D4226"/>
    <w:rsid w:val="004D42CB"/>
    <w:rsid w:val="004D6E90"/>
    <w:rsid w:val="004D6F2B"/>
    <w:rsid w:val="004E0248"/>
    <w:rsid w:val="004E21A3"/>
    <w:rsid w:val="004E32EA"/>
    <w:rsid w:val="004E3517"/>
    <w:rsid w:val="004E6866"/>
    <w:rsid w:val="004F0C58"/>
    <w:rsid w:val="004F3222"/>
    <w:rsid w:val="004F3639"/>
    <w:rsid w:val="004F3BFA"/>
    <w:rsid w:val="004F4E3C"/>
    <w:rsid w:val="004F5A1A"/>
    <w:rsid w:val="004F77A3"/>
    <w:rsid w:val="005000AB"/>
    <w:rsid w:val="00500EAF"/>
    <w:rsid w:val="00500F3C"/>
    <w:rsid w:val="005025EE"/>
    <w:rsid w:val="00503401"/>
    <w:rsid w:val="00503DDF"/>
    <w:rsid w:val="00505524"/>
    <w:rsid w:val="005058D5"/>
    <w:rsid w:val="00506688"/>
    <w:rsid w:val="00510588"/>
    <w:rsid w:val="00510F9C"/>
    <w:rsid w:val="0051146C"/>
    <w:rsid w:val="0051220B"/>
    <w:rsid w:val="00512253"/>
    <w:rsid w:val="00512484"/>
    <w:rsid w:val="00514449"/>
    <w:rsid w:val="00515419"/>
    <w:rsid w:val="005157BD"/>
    <w:rsid w:val="005214A3"/>
    <w:rsid w:val="005222E7"/>
    <w:rsid w:val="00523488"/>
    <w:rsid w:val="00523A8B"/>
    <w:rsid w:val="00523E04"/>
    <w:rsid w:val="00525003"/>
    <w:rsid w:val="0052590B"/>
    <w:rsid w:val="0052592B"/>
    <w:rsid w:val="00526591"/>
    <w:rsid w:val="00527178"/>
    <w:rsid w:val="00527618"/>
    <w:rsid w:val="005278CB"/>
    <w:rsid w:val="00530388"/>
    <w:rsid w:val="00531DA0"/>
    <w:rsid w:val="00532E9D"/>
    <w:rsid w:val="00533075"/>
    <w:rsid w:val="00534D42"/>
    <w:rsid w:val="005350A5"/>
    <w:rsid w:val="00536379"/>
    <w:rsid w:val="00537238"/>
    <w:rsid w:val="005400C5"/>
    <w:rsid w:val="005404CD"/>
    <w:rsid w:val="00540BE0"/>
    <w:rsid w:val="00540BEF"/>
    <w:rsid w:val="00542B34"/>
    <w:rsid w:val="00542C9A"/>
    <w:rsid w:val="005436C2"/>
    <w:rsid w:val="005442D4"/>
    <w:rsid w:val="0054586A"/>
    <w:rsid w:val="0054631F"/>
    <w:rsid w:val="00546C24"/>
    <w:rsid w:val="005471BA"/>
    <w:rsid w:val="00547BDA"/>
    <w:rsid w:val="00547BE6"/>
    <w:rsid w:val="0055034F"/>
    <w:rsid w:val="00550476"/>
    <w:rsid w:val="0055262F"/>
    <w:rsid w:val="0055288D"/>
    <w:rsid w:val="00555259"/>
    <w:rsid w:val="00555C66"/>
    <w:rsid w:val="005569EF"/>
    <w:rsid w:val="00556BDE"/>
    <w:rsid w:val="00560D57"/>
    <w:rsid w:val="00562A94"/>
    <w:rsid w:val="00563FAD"/>
    <w:rsid w:val="005701C1"/>
    <w:rsid w:val="005703BF"/>
    <w:rsid w:val="00570754"/>
    <w:rsid w:val="005709F7"/>
    <w:rsid w:val="00570EAA"/>
    <w:rsid w:val="005710A9"/>
    <w:rsid w:val="005716B0"/>
    <w:rsid w:val="00571B11"/>
    <w:rsid w:val="00571D1B"/>
    <w:rsid w:val="00571DA3"/>
    <w:rsid w:val="005738F5"/>
    <w:rsid w:val="00573D34"/>
    <w:rsid w:val="00574A1B"/>
    <w:rsid w:val="00575963"/>
    <w:rsid w:val="00575EBE"/>
    <w:rsid w:val="0058039C"/>
    <w:rsid w:val="00580A63"/>
    <w:rsid w:val="00583379"/>
    <w:rsid w:val="0058417C"/>
    <w:rsid w:val="005854F9"/>
    <w:rsid w:val="00586EC6"/>
    <w:rsid w:val="00587DDE"/>
    <w:rsid w:val="00593043"/>
    <w:rsid w:val="00595B60"/>
    <w:rsid w:val="00595B63"/>
    <w:rsid w:val="00595BF0"/>
    <w:rsid w:val="00597E16"/>
    <w:rsid w:val="005A0B1D"/>
    <w:rsid w:val="005A1846"/>
    <w:rsid w:val="005A1D93"/>
    <w:rsid w:val="005A258C"/>
    <w:rsid w:val="005A3560"/>
    <w:rsid w:val="005A464E"/>
    <w:rsid w:val="005A5A4F"/>
    <w:rsid w:val="005A62FC"/>
    <w:rsid w:val="005A6C99"/>
    <w:rsid w:val="005A7D5D"/>
    <w:rsid w:val="005B0040"/>
    <w:rsid w:val="005B011A"/>
    <w:rsid w:val="005B0283"/>
    <w:rsid w:val="005B1ADA"/>
    <w:rsid w:val="005B1D09"/>
    <w:rsid w:val="005B1D8F"/>
    <w:rsid w:val="005B1E94"/>
    <w:rsid w:val="005B5B3D"/>
    <w:rsid w:val="005B5E8F"/>
    <w:rsid w:val="005B64CF"/>
    <w:rsid w:val="005B72DA"/>
    <w:rsid w:val="005C0E87"/>
    <w:rsid w:val="005C1398"/>
    <w:rsid w:val="005C16F3"/>
    <w:rsid w:val="005C3758"/>
    <w:rsid w:val="005C4D72"/>
    <w:rsid w:val="005C50C1"/>
    <w:rsid w:val="005C62C2"/>
    <w:rsid w:val="005D2306"/>
    <w:rsid w:val="005D2562"/>
    <w:rsid w:val="005D2666"/>
    <w:rsid w:val="005D4548"/>
    <w:rsid w:val="005D4A74"/>
    <w:rsid w:val="005D5E91"/>
    <w:rsid w:val="005D67EF"/>
    <w:rsid w:val="005E3064"/>
    <w:rsid w:val="005E54DC"/>
    <w:rsid w:val="005E65DC"/>
    <w:rsid w:val="005E6AEE"/>
    <w:rsid w:val="005E72B2"/>
    <w:rsid w:val="005E79A0"/>
    <w:rsid w:val="005F097E"/>
    <w:rsid w:val="005F1115"/>
    <w:rsid w:val="005F1AB6"/>
    <w:rsid w:val="005F27F2"/>
    <w:rsid w:val="005F2B27"/>
    <w:rsid w:val="005F3567"/>
    <w:rsid w:val="005F3AFE"/>
    <w:rsid w:val="005F424D"/>
    <w:rsid w:val="005F55F5"/>
    <w:rsid w:val="005F5EC1"/>
    <w:rsid w:val="005F67A9"/>
    <w:rsid w:val="005F6B6D"/>
    <w:rsid w:val="005F73CA"/>
    <w:rsid w:val="006008F8"/>
    <w:rsid w:val="006036C2"/>
    <w:rsid w:val="00605AAB"/>
    <w:rsid w:val="00606BEB"/>
    <w:rsid w:val="0061014A"/>
    <w:rsid w:val="0061054B"/>
    <w:rsid w:val="006110FB"/>
    <w:rsid w:val="00612FB0"/>
    <w:rsid w:val="0061356D"/>
    <w:rsid w:val="00613E26"/>
    <w:rsid w:val="00615641"/>
    <w:rsid w:val="00615A66"/>
    <w:rsid w:val="00616959"/>
    <w:rsid w:val="0062036E"/>
    <w:rsid w:val="006211D0"/>
    <w:rsid w:val="00621595"/>
    <w:rsid w:val="0062359D"/>
    <w:rsid w:val="00623634"/>
    <w:rsid w:val="00624D0C"/>
    <w:rsid w:val="00626A0F"/>
    <w:rsid w:val="006274B4"/>
    <w:rsid w:val="006307BA"/>
    <w:rsid w:val="006315BA"/>
    <w:rsid w:val="00634C4A"/>
    <w:rsid w:val="0063532E"/>
    <w:rsid w:val="0063579F"/>
    <w:rsid w:val="006364ED"/>
    <w:rsid w:val="00637063"/>
    <w:rsid w:val="0063737C"/>
    <w:rsid w:val="00637BDC"/>
    <w:rsid w:val="00640363"/>
    <w:rsid w:val="00640622"/>
    <w:rsid w:val="006418C9"/>
    <w:rsid w:val="00642BD6"/>
    <w:rsid w:val="00643C8F"/>
    <w:rsid w:val="00645046"/>
    <w:rsid w:val="0064527A"/>
    <w:rsid w:val="006458FD"/>
    <w:rsid w:val="00645DE8"/>
    <w:rsid w:val="00645EA2"/>
    <w:rsid w:val="00651E6D"/>
    <w:rsid w:val="0065237D"/>
    <w:rsid w:val="00652943"/>
    <w:rsid w:val="00653AB2"/>
    <w:rsid w:val="00653D2D"/>
    <w:rsid w:val="0065435E"/>
    <w:rsid w:val="00654551"/>
    <w:rsid w:val="00654F91"/>
    <w:rsid w:val="006555E7"/>
    <w:rsid w:val="00655CCC"/>
    <w:rsid w:val="006560B6"/>
    <w:rsid w:val="0065726D"/>
    <w:rsid w:val="006573F2"/>
    <w:rsid w:val="00661BA2"/>
    <w:rsid w:val="00662AD0"/>
    <w:rsid w:val="00662F08"/>
    <w:rsid w:val="00663589"/>
    <w:rsid w:val="00664427"/>
    <w:rsid w:val="00664840"/>
    <w:rsid w:val="006649CD"/>
    <w:rsid w:val="00665D75"/>
    <w:rsid w:val="006708E3"/>
    <w:rsid w:val="00670DDC"/>
    <w:rsid w:val="00671389"/>
    <w:rsid w:val="00671EB4"/>
    <w:rsid w:val="006730A1"/>
    <w:rsid w:val="00673CDC"/>
    <w:rsid w:val="0067443B"/>
    <w:rsid w:val="006770AA"/>
    <w:rsid w:val="0068098E"/>
    <w:rsid w:val="006810BD"/>
    <w:rsid w:val="00682486"/>
    <w:rsid w:val="006833A7"/>
    <w:rsid w:val="00684CE6"/>
    <w:rsid w:val="00684E2B"/>
    <w:rsid w:val="006857A0"/>
    <w:rsid w:val="00687C7E"/>
    <w:rsid w:val="00687D3D"/>
    <w:rsid w:val="00690569"/>
    <w:rsid w:val="00690FDA"/>
    <w:rsid w:val="00691E61"/>
    <w:rsid w:val="006937C6"/>
    <w:rsid w:val="00693C5E"/>
    <w:rsid w:val="00693CEE"/>
    <w:rsid w:val="00694EEA"/>
    <w:rsid w:val="006955B4"/>
    <w:rsid w:val="00695DEF"/>
    <w:rsid w:val="00696476"/>
    <w:rsid w:val="00696C74"/>
    <w:rsid w:val="00697C9B"/>
    <w:rsid w:val="006A10FA"/>
    <w:rsid w:val="006A12E0"/>
    <w:rsid w:val="006A25B0"/>
    <w:rsid w:val="006A40E6"/>
    <w:rsid w:val="006A516B"/>
    <w:rsid w:val="006A5362"/>
    <w:rsid w:val="006A543A"/>
    <w:rsid w:val="006A5C07"/>
    <w:rsid w:val="006A75FA"/>
    <w:rsid w:val="006B07D5"/>
    <w:rsid w:val="006B0FA9"/>
    <w:rsid w:val="006B1309"/>
    <w:rsid w:val="006B31E6"/>
    <w:rsid w:val="006B3923"/>
    <w:rsid w:val="006B3F3E"/>
    <w:rsid w:val="006B4AA2"/>
    <w:rsid w:val="006B4C4D"/>
    <w:rsid w:val="006B53C4"/>
    <w:rsid w:val="006B586B"/>
    <w:rsid w:val="006B5923"/>
    <w:rsid w:val="006B67D9"/>
    <w:rsid w:val="006B6C14"/>
    <w:rsid w:val="006B7159"/>
    <w:rsid w:val="006B715E"/>
    <w:rsid w:val="006C1D6E"/>
    <w:rsid w:val="006C2EF6"/>
    <w:rsid w:val="006C3A68"/>
    <w:rsid w:val="006C3B08"/>
    <w:rsid w:val="006C6AB1"/>
    <w:rsid w:val="006C6E6B"/>
    <w:rsid w:val="006C73D4"/>
    <w:rsid w:val="006D145F"/>
    <w:rsid w:val="006D2000"/>
    <w:rsid w:val="006D2D39"/>
    <w:rsid w:val="006D2F31"/>
    <w:rsid w:val="006D4250"/>
    <w:rsid w:val="006D4E0E"/>
    <w:rsid w:val="006D5861"/>
    <w:rsid w:val="006D5CE2"/>
    <w:rsid w:val="006D7854"/>
    <w:rsid w:val="006E06D1"/>
    <w:rsid w:val="006E122E"/>
    <w:rsid w:val="006E1313"/>
    <w:rsid w:val="006E2DC8"/>
    <w:rsid w:val="006E58CB"/>
    <w:rsid w:val="006E6B68"/>
    <w:rsid w:val="006E7356"/>
    <w:rsid w:val="006E77C8"/>
    <w:rsid w:val="006F0F9C"/>
    <w:rsid w:val="006F149D"/>
    <w:rsid w:val="006F1A46"/>
    <w:rsid w:val="006F45A0"/>
    <w:rsid w:val="006F4F06"/>
    <w:rsid w:val="006F5A4E"/>
    <w:rsid w:val="006F5D37"/>
    <w:rsid w:val="006F6005"/>
    <w:rsid w:val="007005EA"/>
    <w:rsid w:val="0070220D"/>
    <w:rsid w:val="00703B6C"/>
    <w:rsid w:val="00703BB0"/>
    <w:rsid w:val="00704519"/>
    <w:rsid w:val="00704C40"/>
    <w:rsid w:val="00704C88"/>
    <w:rsid w:val="00704EA1"/>
    <w:rsid w:val="00705BE5"/>
    <w:rsid w:val="00705C40"/>
    <w:rsid w:val="00706482"/>
    <w:rsid w:val="00706754"/>
    <w:rsid w:val="00706BEF"/>
    <w:rsid w:val="00707028"/>
    <w:rsid w:val="00707ECE"/>
    <w:rsid w:val="00710CE8"/>
    <w:rsid w:val="00711350"/>
    <w:rsid w:val="00711538"/>
    <w:rsid w:val="007116BC"/>
    <w:rsid w:val="00711961"/>
    <w:rsid w:val="00711CA6"/>
    <w:rsid w:val="0071264B"/>
    <w:rsid w:val="007165CE"/>
    <w:rsid w:val="00716EAF"/>
    <w:rsid w:val="00717CEB"/>
    <w:rsid w:val="0072035D"/>
    <w:rsid w:val="00720968"/>
    <w:rsid w:val="00721705"/>
    <w:rsid w:val="00721B7A"/>
    <w:rsid w:val="00721D12"/>
    <w:rsid w:val="00721F8B"/>
    <w:rsid w:val="007236E0"/>
    <w:rsid w:val="007237CE"/>
    <w:rsid w:val="00724619"/>
    <w:rsid w:val="00724688"/>
    <w:rsid w:val="00725BC5"/>
    <w:rsid w:val="007260A9"/>
    <w:rsid w:val="00726C1D"/>
    <w:rsid w:val="007272F1"/>
    <w:rsid w:val="00727565"/>
    <w:rsid w:val="0073062D"/>
    <w:rsid w:val="0073093B"/>
    <w:rsid w:val="0073254D"/>
    <w:rsid w:val="007340F3"/>
    <w:rsid w:val="007347BB"/>
    <w:rsid w:val="00735704"/>
    <w:rsid w:val="00736A49"/>
    <w:rsid w:val="007419A1"/>
    <w:rsid w:val="00743B71"/>
    <w:rsid w:val="00743C2D"/>
    <w:rsid w:val="00743C3A"/>
    <w:rsid w:val="00743E36"/>
    <w:rsid w:val="00743F05"/>
    <w:rsid w:val="007441C1"/>
    <w:rsid w:val="007446F7"/>
    <w:rsid w:val="00744EBB"/>
    <w:rsid w:val="00745B0A"/>
    <w:rsid w:val="00745DBE"/>
    <w:rsid w:val="007468AC"/>
    <w:rsid w:val="00746AE2"/>
    <w:rsid w:val="00750C82"/>
    <w:rsid w:val="00750E3A"/>
    <w:rsid w:val="00752035"/>
    <w:rsid w:val="0076100C"/>
    <w:rsid w:val="007612A5"/>
    <w:rsid w:val="00763CAE"/>
    <w:rsid w:val="00763F95"/>
    <w:rsid w:val="007651ED"/>
    <w:rsid w:val="00766C87"/>
    <w:rsid w:val="00771043"/>
    <w:rsid w:val="0077272B"/>
    <w:rsid w:val="00773AF7"/>
    <w:rsid w:val="00774FFD"/>
    <w:rsid w:val="00780378"/>
    <w:rsid w:val="0078085E"/>
    <w:rsid w:val="00781BD4"/>
    <w:rsid w:val="00782562"/>
    <w:rsid w:val="007828B4"/>
    <w:rsid w:val="00784832"/>
    <w:rsid w:val="00784EA0"/>
    <w:rsid w:val="00785D77"/>
    <w:rsid w:val="00786111"/>
    <w:rsid w:val="00790963"/>
    <w:rsid w:val="00790B99"/>
    <w:rsid w:val="0079150B"/>
    <w:rsid w:val="0079154B"/>
    <w:rsid w:val="00791EED"/>
    <w:rsid w:val="00791F1E"/>
    <w:rsid w:val="007927BE"/>
    <w:rsid w:val="0079350B"/>
    <w:rsid w:val="007935B8"/>
    <w:rsid w:val="00794ADE"/>
    <w:rsid w:val="00794F3D"/>
    <w:rsid w:val="00795CE9"/>
    <w:rsid w:val="00796045"/>
    <w:rsid w:val="007968AC"/>
    <w:rsid w:val="007969AB"/>
    <w:rsid w:val="007973D8"/>
    <w:rsid w:val="00797801"/>
    <w:rsid w:val="007A0861"/>
    <w:rsid w:val="007A0B39"/>
    <w:rsid w:val="007A14A4"/>
    <w:rsid w:val="007A168F"/>
    <w:rsid w:val="007A2346"/>
    <w:rsid w:val="007A28E4"/>
    <w:rsid w:val="007A3BB3"/>
    <w:rsid w:val="007A3F91"/>
    <w:rsid w:val="007A3F9C"/>
    <w:rsid w:val="007A5AD1"/>
    <w:rsid w:val="007A5B7B"/>
    <w:rsid w:val="007A65A9"/>
    <w:rsid w:val="007A7FD8"/>
    <w:rsid w:val="007B0128"/>
    <w:rsid w:val="007B0635"/>
    <w:rsid w:val="007B0A06"/>
    <w:rsid w:val="007B0B24"/>
    <w:rsid w:val="007B0F8B"/>
    <w:rsid w:val="007B1C83"/>
    <w:rsid w:val="007B4181"/>
    <w:rsid w:val="007B5746"/>
    <w:rsid w:val="007B5C5C"/>
    <w:rsid w:val="007B6CE0"/>
    <w:rsid w:val="007B7B37"/>
    <w:rsid w:val="007B7C41"/>
    <w:rsid w:val="007C05C5"/>
    <w:rsid w:val="007C0715"/>
    <w:rsid w:val="007C0B04"/>
    <w:rsid w:val="007C11E9"/>
    <w:rsid w:val="007C238B"/>
    <w:rsid w:val="007C2802"/>
    <w:rsid w:val="007C3E5A"/>
    <w:rsid w:val="007C433E"/>
    <w:rsid w:val="007C4452"/>
    <w:rsid w:val="007C4B3C"/>
    <w:rsid w:val="007C4DB1"/>
    <w:rsid w:val="007C6046"/>
    <w:rsid w:val="007C605A"/>
    <w:rsid w:val="007C6F0C"/>
    <w:rsid w:val="007D0292"/>
    <w:rsid w:val="007D136C"/>
    <w:rsid w:val="007D1FCE"/>
    <w:rsid w:val="007D21AC"/>
    <w:rsid w:val="007D24B0"/>
    <w:rsid w:val="007D3882"/>
    <w:rsid w:val="007D39E4"/>
    <w:rsid w:val="007D3FE7"/>
    <w:rsid w:val="007D4CFC"/>
    <w:rsid w:val="007D568A"/>
    <w:rsid w:val="007D574E"/>
    <w:rsid w:val="007D57C0"/>
    <w:rsid w:val="007D67CB"/>
    <w:rsid w:val="007D6BFE"/>
    <w:rsid w:val="007E176C"/>
    <w:rsid w:val="007E2046"/>
    <w:rsid w:val="007E3883"/>
    <w:rsid w:val="007E4876"/>
    <w:rsid w:val="007E48CD"/>
    <w:rsid w:val="007E4ACB"/>
    <w:rsid w:val="007E4FBB"/>
    <w:rsid w:val="007E55BF"/>
    <w:rsid w:val="007E59E3"/>
    <w:rsid w:val="007E5E39"/>
    <w:rsid w:val="007E71B1"/>
    <w:rsid w:val="007E7B4E"/>
    <w:rsid w:val="007E7F02"/>
    <w:rsid w:val="007F0292"/>
    <w:rsid w:val="007F0722"/>
    <w:rsid w:val="007F0AB7"/>
    <w:rsid w:val="007F0CE2"/>
    <w:rsid w:val="007F0EFF"/>
    <w:rsid w:val="007F1375"/>
    <w:rsid w:val="007F1AFD"/>
    <w:rsid w:val="007F30E4"/>
    <w:rsid w:val="0080064F"/>
    <w:rsid w:val="00801B85"/>
    <w:rsid w:val="00803850"/>
    <w:rsid w:val="008039E8"/>
    <w:rsid w:val="00804385"/>
    <w:rsid w:val="00804E0E"/>
    <w:rsid w:val="008051EB"/>
    <w:rsid w:val="0080588E"/>
    <w:rsid w:val="00805AFD"/>
    <w:rsid w:val="00806397"/>
    <w:rsid w:val="008078D8"/>
    <w:rsid w:val="0080798E"/>
    <w:rsid w:val="00811BD9"/>
    <w:rsid w:val="00811D5B"/>
    <w:rsid w:val="00813C51"/>
    <w:rsid w:val="00816CCB"/>
    <w:rsid w:val="00817572"/>
    <w:rsid w:val="00817713"/>
    <w:rsid w:val="008208C3"/>
    <w:rsid w:val="008220F1"/>
    <w:rsid w:val="0082340B"/>
    <w:rsid w:val="00823D6A"/>
    <w:rsid w:val="00827B29"/>
    <w:rsid w:val="00827DB6"/>
    <w:rsid w:val="008304B2"/>
    <w:rsid w:val="00830999"/>
    <w:rsid w:val="00830D5E"/>
    <w:rsid w:val="00830F69"/>
    <w:rsid w:val="00831940"/>
    <w:rsid w:val="008324D9"/>
    <w:rsid w:val="00833418"/>
    <w:rsid w:val="0083387F"/>
    <w:rsid w:val="00834458"/>
    <w:rsid w:val="00834AEA"/>
    <w:rsid w:val="00835841"/>
    <w:rsid w:val="00835BF8"/>
    <w:rsid w:val="00835FB7"/>
    <w:rsid w:val="00837465"/>
    <w:rsid w:val="0084002E"/>
    <w:rsid w:val="00840159"/>
    <w:rsid w:val="00840621"/>
    <w:rsid w:val="00841243"/>
    <w:rsid w:val="00841457"/>
    <w:rsid w:val="00842BAA"/>
    <w:rsid w:val="00842D8F"/>
    <w:rsid w:val="00842E21"/>
    <w:rsid w:val="0084374E"/>
    <w:rsid w:val="00844842"/>
    <w:rsid w:val="0084493E"/>
    <w:rsid w:val="00844A53"/>
    <w:rsid w:val="00844B99"/>
    <w:rsid w:val="00844DD0"/>
    <w:rsid w:val="008455C8"/>
    <w:rsid w:val="00846407"/>
    <w:rsid w:val="0085006A"/>
    <w:rsid w:val="00850127"/>
    <w:rsid w:val="0085089F"/>
    <w:rsid w:val="0085206E"/>
    <w:rsid w:val="00852273"/>
    <w:rsid w:val="0085293D"/>
    <w:rsid w:val="00852AD4"/>
    <w:rsid w:val="00852BA8"/>
    <w:rsid w:val="00852BF0"/>
    <w:rsid w:val="00853718"/>
    <w:rsid w:val="008541EF"/>
    <w:rsid w:val="00856428"/>
    <w:rsid w:val="00856AC7"/>
    <w:rsid w:val="00856FA4"/>
    <w:rsid w:val="00860869"/>
    <w:rsid w:val="00860E60"/>
    <w:rsid w:val="0086102A"/>
    <w:rsid w:val="0086162B"/>
    <w:rsid w:val="00861710"/>
    <w:rsid w:val="00861D5C"/>
    <w:rsid w:val="00861E7C"/>
    <w:rsid w:val="0086429C"/>
    <w:rsid w:val="00865207"/>
    <w:rsid w:val="008656A7"/>
    <w:rsid w:val="00865FA3"/>
    <w:rsid w:val="00866231"/>
    <w:rsid w:val="00871262"/>
    <w:rsid w:val="0087170E"/>
    <w:rsid w:val="00871D4E"/>
    <w:rsid w:val="00871E7B"/>
    <w:rsid w:val="008721BB"/>
    <w:rsid w:val="0087566D"/>
    <w:rsid w:val="00875B50"/>
    <w:rsid w:val="00875B51"/>
    <w:rsid w:val="00875F2D"/>
    <w:rsid w:val="008762E7"/>
    <w:rsid w:val="008764DC"/>
    <w:rsid w:val="00882CC2"/>
    <w:rsid w:val="00883103"/>
    <w:rsid w:val="0088325A"/>
    <w:rsid w:val="00883930"/>
    <w:rsid w:val="00884535"/>
    <w:rsid w:val="008902BE"/>
    <w:rsid w:val="0089038F"/>
    <w:rsid w:val="00890CDA"/>
    <w:rsid w:val="00891BBA"/>
    <w:rsid w:val="00892079"/>
    <w:rsid w:val="00892B90"/>
    <w:rsid w:val="00896535"/>
    <w:rsid w:val="00896683"/>
    <w:rsid w:val="00896E71"/>
    <w:rsid w:val="0089750B"/>
    <w:rsid w:val="00897589"/>
    <w:rsid w:val="008A0C99"/>
    <w:rsid w:val="008A0D4F"/>
    <w:rsid w:val="008A1CC3"/>
    <w:rsid w:val="008A2AAC"/>
    <w:rsid w:val="008A39D7"/>
    <w:rsid w:val="008A55DE"/>
    <w:rsid w:val="008A5705"/>
    <w:rsid w:val="008A5C34"/>
    <w:rsid w:val="008A63A9"/>
    <w:rsid w:val="008A7073"/>
    <w:rsid w:val="008A79F0"/>
    <w:rsid w:val="008A7F7E"/>
    <w:rsid w:val="008B04DB"/>
    <w:rsid w:val="008B09B4"/>
    <w:rsid w:val="008B1B11"/>
    <w:rsid w:val="008B1DF4"/>
    <w:rsid w:val="008B27FD"/>
    <w:rsid w:val="008B2FDB"/>
    <w:rsid w:val="008B3AF2"/>
    <w:rsid w:val="008B446D"/>
    <w:rsid w:val="008B515D"/>
    <w:rsid w:val="008B5D31"/>
    <w:rsid w:val="008B6705"/>
    <w:rsid w:val="008C22F3"/>
    <w:rsid w:val="008C3223"/>
    <w:rsid w:val="008C3FD0"/>
    <w:rsid w:val="008C4F01"/>
    <w:rsid w:val="008C5152"/>
    <w:rsid w:val="008C710E"/>
    <w:rsid w:val="008D1484"/>
    <w:rsid w:val="008D1C6B"/>
    <w:rsid w:val="008D29E7"/>
    <w:rsid w:val="008D5104"/>
    <w:rsid w:val="008D75F4"/>
    <w:rsid w:val="008D795D"/>
    <w:rsid w:val="008D7B07"/>
    <w:rsid w:val="008E0D8F"/>
    <w:rsid w:val="008E0F4E"/>
    <w:rsid w:val="008E1E94"/>
    <w:rsid w:val="008E2D99"/>
    <w:rsid w:val="008E30D4"/>
    <w:rsid w:val="008E38B0"/>
    <w:rsid w:val="008E3C90"/>
    <w:rsid w:val="008E4A60"/>
    <w:rsid w:val="008E744D"/>
    <w:rsid w:val="008F1E08"/>
    <w:rsid w:val="008F30F4"/>
    <w:rsid w:val="008F58E1"/>
    <w:rsid w:val="008F6E05"/>
    <w:rsid w:val="008F6FC8"/>
    <w:rsid w:val="0090045D"/>
    <w:rsid w:val="00900906"/>
    <w:rsid w:val="00900D8F"/>
    <w:rsid w:val="00901229"/>
    <w:rsid w:val="009014E3"/>
    <w:rsid w:val="009020ED"/>
    <w:rsid w:val="009026E8"/>
    <w:rsid w:val="00902FDD"/>
    <w:rsid w:val="00905EEF"/>
    <w:rsid w:val="00906E3A"/>
    <w:rsid w:val="00906EB7"/>
    <w:rsid w:val="00907FE6"/>
    <w:rsid w:val="009102BF"/>
    <w:rsid w:val="00911490"/>
    <w:rsid w:val="009115F2"/>
    <w:rsid w:val="00911B11"/>
    <w:rsid w:val="00914ADB"/>
    <w:rsid w:val="00917182"/>
    <w:rsid w:val="00920251"/>
    <w:rsid w:val="00921CFD"/>
    <w:rsid w:val="00922222"/>
    <w:rsid w:val="00923B25"/>
    <w:rsid w:val="0092402E"/>
    <w:rsid w:val="009259BA"/>
    <w:rsid w:val="00926FCB"/>
    <w:rsid w:val="00927478"/>
    <w:rsid w:val="009303BB"/>
    <w:rsid w:val="00930541"/>
    <w:rsid w:val="0093108A"/>
    <w:rsid w:val="00931B6D"/>
    <w:rsid w:val="0093311A"/>
    <w:rsid w:val="009346D0"/>
    <w:rsid w:val="009369A6"/>
    <w:rsid w:val="0093730D"/>
    <w:rsid w:val="00937F57"/>
    <w:rsid w:val="0094031E"/>
    <w:rsid w:val="009419B4"/>
    <w:rsid w:val="00941A4C"/>
    <w:rsid w:val="00942645"/>
    <w:rsid w:val="009461E6"/>
    <w:rsid w:val="00950A3A"/>
    <w:rsid w:val="00952CC5"/>
    <w:rsid w:val="0095340A"/>
    <w:rsid w:val="00953AF6"/>
    <w:rsid w:val="0095423E"/>
    <w:rsid w:val="00954581"/>
    <w:rsid w:val="0095466C"/>
    <w:rsid w:val="00954E5B"/>
    <w:rsid w:val="00955100"/>
    <w:rsid w:val="00955316"/>
    <w:rsid w:val="00955E45"/>
    <w:rsid w:val="009576BC"/>
    <w:rsid w:val="00957899"/>
    <w:rsid w:val="00957927"/>
    <w:rsid w:val="00960357"/>
    <w:rsid w:val="0096168C"/>
    <w:rsid w:val="00961840"/>
    <w:rsid w:val="009625E3"/>
    <w:rsid w:val="00962F2D"/>
    <w:rsid w:val="00963A7A"/>
    <w:rsid w:val="009672CD"/>
    <w:rsid w:val="00967CAD"/>
    <w:rsid w:val="00971810"/>
    <w:rsid w:val="00972996"/>
    <w:rsid w:val="009730B4"/>
    <w:rsid w:val="0097320E"/>
    <w:rsid w:val="009732B8"/>
    <w:rsid w:val="00974647"/>
    <w:rsid w:val="0097514A"/>
    <w:rsid w:val="009759C2"/>
    <w:rsid w:val="00975C72"/>
    <w:rsid w:val="00976869"/>
    <w:rsid w:val="00977740"/>
    <w:rsid w:val="00977CB4"/>
    <w:rsid w:val="009809B8"/>
    <w:rsid w:val="00981086"/>
    <w:rsid w:val="009818AF"/>
    <w:rsid w:val="00981B1C"/>
    <w:rsid w:val="0098222D"/>
    <w:rsid w:val="009842F3"/>
    <w:rsid w:val="00984EBF"/>
    <w:rsid w:val="00985099"/>
    <w:rsid w:val="00985D32"/>
    <w:rsid w:val="00986514"/>
    <w:rsid w:val="00986FCC"/>
    <w:rsid w:val="00990FD6"/>
    <w:rsid w:val="009935C3"/>
    <w:rsid w:val="0099421F"/>
    <w:rsid w:val="00994FC8"/>
    <w:rsid w:val="009A0DE3"/>
    <w:rsid w:val="009A1643"/>
    <w:rsid w:val="009A215A"/>
    <w:rsid w:val="009A26B9"/>
    <w:rsid w:val="009A49D3"/>
    <w:rsid w:val="009A4F1B"/>
    <w:rsid w:val="009A66C5"/>
    <w:rsid w:val="009A66E7"/>
    <w:rsid w:val="009A79BA"/>
    <w:rsid w:val="009B10F9"/>
    <w:rsid w:val="009B14D1"/>
    <w:rsid w:val="009B1534"/>
    <w:rsid w:val="009B4963"/>
    <w:rsid w:val="009B4A3B"/>
    <w:rsid w:val="009B6023"/>
    <w:rsid w:val="009B69D3"/>
    <w:rsid w:val="009B721E"/>
    <w:rsid w:val="009B7BA7"/>
    <w:rsid w:val="009B7C01"/>
    <w:rsid w:val="009C0938"/>
    <w:rsid w:val="009C0C22"/>
    <w:rsid w:val="009C15D9"/>
    <w:rsid w:val="009C1A1D"/>
    <w:rsid w:val="009C22C8"/>
    <w:rsid w:val="009C3F82"/>
    <w:rsid w:val="009C582A"/>
    <w:rsid w:val="009C5C56"/>
    <w:rsid w:val="009C72DD"/>
    <w:rsid w:val="009C78FD"/>
    <w:rsid w:val="009C7DF5"/>
    <w:rsid w:val="009D056C"/>
    <w:rsid w:val="009D060F"/>
    <w:rsid w:val="009D1ADE"/>
    <w:rsid w:val="009D297C"/>
    <w:rsid w:val="009D3652"/>
    <w:rsid w:val="009D37CA"/>
    <w:rsid w:val="009D4229"/>
    <w:rsid w:val="009D4268"/>
    <w:rsid w:val="009D5DE9"/>
    <w:rsid w:val="009E09D0"/>
    <w:rsid w:val="009E1181"/>
    <w:rsid w:val="009E1283"/>
    <w:rsid w:val="009E3A7F"/>
    <w:rsid w:val="009E4C9B"/>
    <w:rsid w:val="009E4DFC"/>
    <w:rsid w:val="009E5789"/>
    <w:rsid w:val="009E57B1"/>
    <w:rsid w:val="009E6379"/>
    <w:rsid w:val="009F020F"/>
    <w:rsid w:val="009F3B63"/>
    <w:rsid w:val="009F43E2"/>
    <w:rsid w:val="009F4ADE"/>
    <w:rsid w:val="009F6292"/>
    <w:rsid w:val="009F7809"/>
    <w:rsid w:val="009F7822"/>
    <w:rsid w:val="009F7AF5"/>
    <w:rsid w:val="00A00613"/>
    <w:rsid w:val="00A006F1"/>
    <w:rsid w:val="00A007A7"/>
    <w:rsid w:val="00A00D14"/>
    <w:rsid w:val="00A01408"/>
    <w:rsid w:val="00A02457"/>
    <w:rsid w:val="00A02AA8"/>
    <w:rsid w:val="00A03190"/>
    <w:rsid w:val="00A03A9E"/>
    <w:rsid w:val="00A0404B"/>
    <w:rsid w:val="00A06F66"/>
    <w:rsid w:val="00A0798C"/>
    <w:rsid w:val="00A07BDD"/>
    <w:rsid w:val="00A07F12"/>
    <w:rsid w:val="00A1105B"/>
    <w:rsid w:val="00A1213C"/>
    <w:rsid w:val="00A12F75"/>
    <w:rsid w:val="00A130E8"/>
    <w:rsid w:val="00A15B6B"/>
    <w:rsid w:val="00A15EB4"/>
    <w:rsid w:val="00A16172"/>
    <w:rsid w:val="00A16876"/>
    <w:rsid w:val="00A200AA"/>
    <w:rsid w:val="00A20558"/>
    <w:rsid w:val="00A211DD"/>
    <w:rsid w:val="00A2186F"/>
    <w:rsid w:val="00A2270B"/>
    <w:rsid w:val="00A23B89"/>
    <w:rsid w:val="00A23C4F"/>
    <w:rsid w:val="00A23FE3"/>
    <w:rsid w:val="00A248C3"/>
    <w:rsid w:val="00A2496E"/>
    <w:rsid w:val="00A2515A"/>
    <w:rsid w:val="00A253E8"/>
    <w:rsid w:val="00A258B7"/>
    <w:rsid w:val="00A25A0C"/>
    <w:rsid w:val="00A25A83"/>
    <w:rsid w:val="00A262B6"/>
    <w:rsid w:val="00A305AD"/>
    <w:rsid w:val="00A317C7"/>
    <w:rsid w:val="00A31FE2"/>
    <w:rsid w:val="00A32743"/>
    <w:rsid w:val="00A32AD8"/>
    <w:rsid w:val="00A40356"/>
    <w:rsid w:val="00A40FFB"/>
    <w:rsid w:val="00A41468"/>
    <w:rsid w:val="00A414A9"/>
    <w:rsid w:val="00A44141"/>
    <w:rsid w:val="00A44CCA"/>
    <w:rsid w:val="00A44D75"/>
    <w:rsid w:val="00A47CF1"/>
    <w:rsid w:val="00A50418"/>
    <w:rsid w:val="00A50B17"/>
    <w:rsid w:val="00A53A9B"/>
    <w:rsid w:val="00A54A47"/>
    <w:rsid w:val="00A56D26"/>
    <w:rsid w:val="00A571A7"/>
    <w:rsid w:val="00A5749A"/>
    <w:rsid w:val="00A575E1"/>
    <w:rsid w:val="00A57BA8"/>
    <w:rsid w:val="00A57C35"/>
    <w:rsid w:val="00A608FB"/>
    <w:rsid w:val="00A60D83"/>
    <w:rsid w:val="00A60F68"/>
    <w:rsid w:val="00A63DF3"/>
    <w:rsid w:val="00A65C78"/>
    <w:rsid w:val="00A65F67"/>
    <w:rsid w:val="00A660A8"/>
    <w:rsid w:val="00A66A45"/>
    <w:rsid w:val="00A67591"/>
    <w:rsid w:val="00A67911"/>
    <w:rsid w:val="00A67CA6"/>
    <w:rsid w:val="00A70E7B"/>
    <w:rsid w:val="00A717EA"/>
    <w:rsid w:val="00A730B0"/>
    <w:rsid w:val="00A73B84"/>
    <w:rsid w:val="00A7411D"/>
    <w:rsid w:val="00A756C4"/>
    <w:rsid w:val="00A7592B"/>
    <w:rsid w:val="00A75ED7"/>
    <w:rsid w:val="00A76094"/>
    <w:rsid w:val="00A76614"/>
    <w:rsid w:val="00A768E2"/>
    <w:rsid w:val="00A82C52"/>
    <w:rsid w:val="00A838E8"/>
    <w:rsid w:val="00A83C15"/>
    <w:rsid w:val="00A84EC4"/>
    <w:rsid w:val="00A86CB6"/>
    <w:rsid w:val="00A90D55"/>
    <w:rsid w:val="00A9225E"/>
    <w:rsid w:val="00A944D8"/>
    <w:rsid w:val="00A959E7"/>
    <w:rsid w:val="00A95BBA"/>
    <w:rsid w:val="00A961EE"/>
    <w:rsid w:val="00A96559"/>
    <w:rsid w:val="00A97B11"/>
    <w:rsid w:val="00A97CD9"/>
    <w:rsid w:val="00AA020A"/>
    <w:rsid w:val="00AA04B3"/>
    <w:rsid w:val="00AA1253"/>
    <w:rsid w:val="00AA1ED0"/>
    <w:rsid w:val="00AA1F5B"/>
    <w:rsid w:val="00AA28EF"/>
    <w:rsid w:val="00AA3593"/>
    <w:rsid w:val="00AA38CA"/>
    <w:rsid w:val="00AA493E"/>
    <w:rsid w:val="00AA73AF"/>
    <w:rsid w:val="00AB062D"/>
    <w:rsid w:val="00AB0A8A"/>
    <w:rsid w:val="00AB1754"/>
    <w:rsid w:val="00AB1F8D"/>
    <w:rsid w:val="00AB27DD"/>
    <w:rsid w:val="00AB4BA4"/>
    <w:rsid w:val="00AB592E"/>
    <w:rsid w:val="00AC0C1C"/>
    <w:rsid w:val="00AC1305"/>
    <w:rsid w:val="00AC37BE"/>
    <w:rsid w:val="00AC439D"/>
    <w:rsid w:val="00AC62CC"/>
    <w:rsid w:val="00AC713F"/>
    <w:rsid w:val="00AC7329"/>
    <w:rsid w:val="00AC7D96"/>
    <w:rsid w:val="00AD00E4"/>
    <w:rsid w:val="00AD067E"/>
    <w:rsid w:val="00AD168B"/>
    <w:rsid w:val="00AD1B4E"/>
    <w:rsid w:val="00AD2801"/>
    <w:rsid w:val="00AD3496"/>
    <w:rsid w:val="00AD426A"/>
    <w:rsid w:val="00AD49A1"/>
    <w:rsid w:val="00AD5771"/>
    <w:rsid w:val="00AD6870"/>
    <w:rsid w:val="00AD68C5"/>
    <w:rsid w:val="00AD7F8F"/>
    <w:rsid w:val="00AE0BF9"/>
    <w:rsid w:val="00AE1273"/>
    <w:rsid w:val="00AE18C5"/>
    <w:rsid w:val="00AE2540"/>
    <w:rsid w:val="00AE2CF4"/>
    <w:rsid w:val="00AE2D29"/>
    <w:rsid w:val="00AE2F15"/>
    <w:rsid w:val="00AE4624"/>
    <w:rsid w:val="00AE4B3E"/>
    <w:rsid w:val="00AE4B90"/>
    <w:rsid w:val="00AE5E14"/>
    <w:rsid w:val="00AE6115"/>
    <w:rsid w:val="00AE625B"/>
    <w:rsid w:val="00AF01B2"/>
    <w:rsid w:val="00AF1103"/>
    <w:rsid w:val="00AF11EC"/>
    <w:rsid w:val="00AF1668"/>
    <w:rsid w:val="00AF25B2"/>
    <w:rsid w:val="00AF28DE"/>
    <w:rsid w:val="00AF41EE"/>
    <w:rsid w:val="00AF4FA5"/>
    <w:rsid w:val="00AF5BB4"/>
    <w:rsid w:val="00AF605F"/>
    <w:rsid w:val="00AF6ECC"/>
    <w:rsid w:val="00B02145"/>
    <w:rsid w:val="00B022DC"/>
    <w:rsid w:val="00B04562"/>
    <w:rsid w:val="00B0472F"/>
    <w:rsid w:val="00B06930"/>
    <w:rsid w:val="00B0773A"/>
    <w:rsid w:val="00B07955"/>
    <w:rsid w:val="00B1176B"/>
    <w:rsid w:val="00B140B8"/>
    <w:rsid w:val="00B14FAA"/>
    <w:rsid w:val="00B15BED"/>
    <w:rsid w:val="00B15D30"/>
    <w:rsid w:val="00B15F09"/>
    <w:rsid w:val="00B16D18"/>
    <w:rsid w:val="00B177DE"/>
    <w:rsid w:val="00B20624"/>
    <w:rsid w:val="00B21F2F"/>
    <w:rsid w:val="00B23436"/>
    <w:rsid w:val="00B237F1"/>
    <w:rsid w:val="00B23F10"/>
    <w:rsid w:val="00B24328"/>
    <w:rsid w:val="00B24ED4"/>
    <w:rsid w:val="00B24F33"/>
    <w:rsid w:val="00B26354"/>
    <w:rsid w:val="00B26CA0"/>
    <w:rsid w:val="00B300BD"/>
    <w:rsid w:val="00B31965"/>
    <w:rsid w:val="00B32179"/>
    <w:rsid w:val="00B32341"/>
    <w:rsid w:val="00B32685"/>
    <w:rsid w:val="00B32C2B"/>
    <w:rsid w:val="00B33007"/>
    <w:rsid w:val="00B331A9"/>
    <w:rsid w:val="00B33498"/>
    <w:rsid w:val="00B33598"/>
    <w:rsid w:val="00B3575C"/>
    <w:rsid w:val="00B36569"/>
    <w:rsid w:val="00B37345"/>
    <w:rsid w:val="00B37F53"/>
    <w:rsid w:val="00B40A05"/>
    <w:rsid w:val="00B40A3E"/>
    <w:rsid w:val="00B427BB"/>
    <w:rsid w:val="00B43BA2"/>
    <w:rsid w:val="00B449EE"/>
    <w:rsid w:val="00B454AE"/>
    <w:rsid w:val="00B50227"/>
    <w:rsid w:val="00B50510"/>
    <w:rsid w:val="00B522CD"/>
    <w:rsid w:val="00B55143"/>
    <w:rsid w:val="00B553B2"/>
    <w:rsid w:val="00B555C8"/>
    <w:rsid w:val="00B55917"/>
    <w:rsid w:val="00B55D87"/>
    <w:rsid w:val="00B5646A"/>
    <w:rsid w:val="00B56F3D"/>
    <w:rsid w:val="00B57921"/>
    <w:rsid w:val="00B57E78"/>
    <w:rsid w:val="00B57EB8"/>
    <w:rsid w:val="00B609F6"/>
    <w:rsid w:val="00B60E75"/>
    <w:rsid w:val="00B643A6"/>
    <w:rsid w:val="00B64DD6"/>
    <w:rsid w:val="00B66505"/>
    <w:rsid w:val="00B6710C"/>
    <w:rsid w:val="00B67E84"/>
    <w:rsid w:val="00B72076"/>
    <w:rsid w:val="00B72303"/>
    <w:rsid w:val="00B727A9"/>
    <w:rsid w:val="00B72C72"/>
    <w:rsid w:val="00B72ED9"/>
    <w:rsid w:val="00B731E4"/>
    <w:rsid w:val="00B751CE"/>
    <w:rsid w:val="00B75A8B"/>
    <w:rsid w:val="00B75B61"/>
    <w:rsid w:val="00B76796"/>
    <w:rsid w:val="00B771E0"/>
    <w:rsid w:val="00B7793B"/>
    <w:rsid w:val="00B77EE7"/>
    <w:rsid w:val="00B80EDD"/>
    <w:rsid w:val="00B812BD"/>
    <w:rsid w:val="00B81964"/>
    <w:rsid w:val="00B82277"/>
    <w:rsid w:val="00B83F87"/>
    <w:rsid w:val="00B8478F"/>
    <w:rsid w:val="00B84F93"/>
    <w:rsid w:val="00B91676"/>
    <w:rsid w:val="00B9322B"/>
    <w:rsid w:val="00B93640"/>
    <w:rsid w:val="00B946A0"/>
    <w:rsid w:val="00B955D5"/>
    <w:rsid w:val="00B95833"/>
    <w:rsid w:val="00BA1824"/>
    <w:rsid w:val="00BA2D98"/>
    <w:rsid w:val="00BA2F0C"/>
    <w:rsid w:val="00BA30D1"/>
    <w:rsid w:val="00BA30E1"/>
    <w:rsid w:val="00BA4609"/>
    <w:rsid w:val="00BA5BE2"/>
    <w:rsid w:val="00BA6A9C"/>
    <w:rsid w:val="00BA7F46"/>
    <w:rsid w:val="00BB0388"/>
    <w:rsid w:val="00BB0A0A"/>
    <w:rsid w:val="00BB133C"/>
    <w:rsid w:val="00BB1F04"/>
    <w:rsid w:val="00BB45B5"/>
    <w:rsid w:val="00BB4DDE"/>
    <w:rsid w:val="00BB6064"/>
    <w:rsid w:val="00BB65CE"/>
    <w:rsid w:val="00BB7012"/>
    <w:rsid w:val="00BC09D1"/>
    <w:rsid w:val="00BC1CF3"/>
    <w:rsid w:val="00BC2BE0"/>
    <w:rsid w:val="00BC3573"/>
    <w:rsid w:val="00BC5860"/>
    <w:rsid w:val="00BC7F82"/>
    <w:rsid w:val="00BD1844"/>
    <w:rsid w:val="00BD2A49"/>
    <w:rsid w:val="00BD3683"/>
    <w:rsid w:val="00BD40AB"/>
    <w:rsid w:val="00BD40DE"/>
    <w:rsid w:val="00BD6297"/>
    <w:rsid w:val="00BD6806"/>
    <w:rsid w:val="00BD6939"/>
    <w:rsid w:val="00BD7433"/>
    <w:rsid w:val="00BD7831"/>
    <w:rsid w:val="00BD7C10"/>
    <w:rsid w:val="00BE046F"/>
    <w:rsid w:val="00BE0DEB"/>
    <w:rsid w:val="00BE229C"/>
    <w:rsid w:val="00BE2AB8"/>
    <w:rsid w:val="00BE2FC1"/>
    <w:rsid w:val="00BE3142"/>
    <w:rsid w:val="00BE4039"/>
    <w:rsid w:val="00BE6365"/>
    <w:rsid w:val="00BF01B7"/>
    <w:rsid w:val="00BF0B7F"/>
    <w:rsid w:val="00BF0E94"/>
    <w:rsid w:val="00BF2988"/>
    <w:rsid w:val="00BF3FB9"/>
    <w:rsid w:val="00BF4012"/>
    <w:rsid w:val="00BF4720"/>
    <w:rsid w:val="00BF4F49"/>
    <w:rsid w:val="00BF6759"/>
    <w:rsid w:val="00BF70A6"/>
    <w:rsid w:val="00BF7B4F"/>
    <w:rsid w:val="00BF7B63"/>
    <w:rsid w:val="00BF7F3C"/>
    <w:rsid w:val="00C005D4"/>
    <w:rsid w:val="00C0359D"/>
    <w:rsid w:val="00C038EC"/>
    <w:rsid w:val="00C03C21"/>
    <w:rsid w:val="00C05C6D"/>
    <w:rsid w:val="00C072D7"/>
    <w:rsid w:val="00C10302"/>
    <w:rsid w:val="00C104DB"/>
    <w:rsid w:val="00C10A22"/>
    <w:rsid w:val="00C10F5B"/>
    <w:rsid w:val="00C1122B"/>
    <w:rsid w:val="00C127F2"/>
    <w:rsid w:val="00C13B34"/>
    <w:rsid w:val="00C13F26"/>
    <w:rsid w:val="00C1474E"/>
    <w:rsid w:val="00C14C37"/>
    <w:rsid w:val="00C157AA"/>
    <w:rsid w:val="00C162E1"/>
    <w:rsid w:val="00C16BE4"/>
    <w:rsid w:val="00C16E9F"/>
    <w:rsid w:val="00C1713D"/>
    <w:rsid w:val="00C17523"/>
    <w:rsid w:val="00C177F1"/>
    <w:rsid w:val="00C17EE6"/>
    <w:rsid w:val="00C217F7"/>
    <w:rsid w:val="00C2272E"/>
    <w:rsid w:val="00C22F3A"/>
    <w:rsid w:val="00C23311"/>
    <w:rsid w:val="00C24AD9"/>
    <w:rsid w:val="00C25978"/>
    <w:rsid w:val="00C261C6"/>
    <w:rsid w:val="00C26621"/>
    <w:rsid w:val="00C26B27"/>
    <w:rsid w:val="00C26E7C"/>
    <w:rsid w:val="00C276CD"/>
    <w:rsid w:val="00C27827"/>
    <w:rsid w:val="00C30A97"/>
    <w:rsid w:val="00C31DDC"/>
    <w:rsid w:val="00C3223A"/>
    <w:rsid w:val="00C32E1E"/>
    <w:rsid w:val="00C34168"/>
    <w:rsid w:val="00C34247"/>
    <w:rsid w:val="00C34326"/>
    <w:rsid w:val="00C34CEB"/>
    <w:rsid w:val="00C36201"/>
    <w:rsid w:val="00C368E8"/>
    <w:rsid w:val="00C36C3D"/>
    <w:rsid w:val="00C372C7"/>
    <w:rsid w:val="00C376A7"/>
    <w:rsid w:val="00C42443"/>
    <w:rsid w:val="00C42CBA"/>
    <w:rsid w:val="00C4338C"/>
    <w:rsid w:val="00C43C2B"/>
    <w:rsid w:val="00C45B27"/>
    <w:rsid w:val="00C4652E"/>
    <w:rsid w:val="00C472C7"/>
    <w:rsid w:val="00C5019E"/>
    <w:rsid w:val="00C50C8C"/>
    <w:rsid w:val="00C51962"/>
    <w:rsid w:val="00C5377C"/>
    <w:rsid w:val="00C53E8A"/>
    <w:rsid w:val="00C54DF3"/>
    <w:rsid w:val="00C560A7"/>
    <w:rsid w:val="00C56FC8"/>
    <w:rsid w:val="00C60F23"/>
    <w:rsid w:val="00C6170B"/>
    <w:rsid w:val="00C62EB2"/>
    <w:rsid w:val="00C63431"/>
    <w:rsid w:val="00C64C87"/>
    <w:rsid w:val="00C65414"/>
    <w:rsid w:val="00C665FE"/>
    <w:rsid w:val="00C70626"/>
    <w:rsid w:val="00C71BEC"/>
    <w:rsid w:val="00C73942"/>
    <w:rsid w:val="00C73A83"/>
    <w:rsid w:val="00C740A3"/>
    <w:rsid w:val="00C74D3A"/>
    <w:rsid w:val="00C75F3D"/>
    <w:rsid w:val="00C80511"/>
    <w:rsid w:val="00C80655"/>
    <w:rsid w:val="00C81937"/>
    <w:rsid w:val="00C826F5"/>
    <w:rsid w:val="00C83740"/>
    <w:rsid w:val="00C84527"/>
    <w:rsid w:val="00C84AD1"/>
    <w:rsid w:val="00C85579"/>
    <w:rsid w:val="00C8590C"/>
    <w:rsid w:val="00C862F1"/>
    <w:rsid w:val="00C863E5"/>
    <w:rsid w:val="00C87BE6"/>
    <w:rsid w:val="00C87F76"/>
    <w:rsid w:val="00C931FC"/>
    <w:rsid w:val="00C932C5"/>
    <w:rsid w:val="00C94CB6"/>
    <w:rsid w:val="00C95299"/>
    <w:rsid w:val="00C95A72"/>
    <w:rsid w:val="00C9650E"/>
    <w:rsid w:val="00C97000"/>
    <w:rsid w:val="00C975BD"/>
    <w:rsid w:val="00CA068D"/>
    <w:rsid w:val="00CA08DF"/>
    <w:rsid w:val="00CA1059"/>
    <w:rsid w:val="00CA1228"/>
    <w:rsid w:val="00CA1C73"/>
    <w:rsid w:val="00CA282D"/>
    <w:rsid w:val="00CA3F73"/>
    <w:rsid w:val="00CA4670"/>
    <w:rsid w:val="00CA5F89"/>
    <w:rsid w:val="00CA6B1A"/>
    <w:rsid w:val="00CB1B18"/>
    <w:rsid w:val="00CB20DC"/>
    <w:rsid w:val="00CB23DC"/>
    <w:rsid w:val="00CB2487"/>
    <w:rsid w:val="00CB28E2"/>
    <w:rsid w:val="00CB2F20"/>
    <w:rsid w:val="00CB3395"/>
    <w:rsid w:val="00CB5801"/>
    <w:rsid w:val="00CB758D"/>
    <w:rsid w:val="00CB7A3E"/>
    <w:rsid w:val="00CB7FF7"/>
    <w:rsid w:val="00CC0D0E"/>
    <w:rsid w:val="00CC1253"/>
    <w:rsid w:val="00CC19B3"/>
    <w:rsid w:val="00CC2044"/>
    <w:rsid w:val="00CC39D2"/>
    <w:rsid w:val="00CC69EC"/>
    <w:rsid w:val="00CC78A2"/>
    <w:rsid w:val="00CC7DF8"/>
    <w:rsid w:val="00CD0EC3"/>
    <w:rsid w:val="00CD15BE"/>
    <w:rsid w:val="00CD1EF2"/>
    <w:rsid w:val="00CD32BD"/>
    <w:rsid w:val="00CD34C7"/>
    <w:rsid w:val="00CD5653"/>
    <w:rsid w:val="00CD5E6D"/>
    <w:rsid w:val="00CD63C8"/>
    <w:rsid w:val="00CD76F8"/>
    <w:rsid w:val="00CD78A5"/>
    <w:rsid w:val="00CE02E8"/>
    <w:rsid w:val="00CE069E"/>
    <w:rsid w:val="00CE0DE0"/>
    <w:rsid w:val="00CE2CC2"/>
    <w:rsid w:val="00CE3722"/>
    <w:rsid w:val="00CF158D"/>
    <w:rsid w:val="00CF2166"/>
    <w:rsid w:val="00CF4340"/>
    <w:rsid w:val="00CF4394"/>
    <w:rsid w:val="00CF48B4"/>
    <w:rsid w:val="00CF5C12"/>
    <w:rsid w:val="00CF7B72"/>
    <w:rsid w:val="00D000A9"/>
    <w:rsid w:val="00D00384"/>
    <w:rsid w:val="00D005DB"/>
    <w:rsid w:val="00D0064E"/>
    <w:rsid w:val="00D00981"/>
    <w:rsid w:val="00D02596"/>
    <w:rsid w:val="00D0280D"/>
    <w:rsid w:val="00D02AEF"/>
    <w:rsid w:val="00D03EC9"/>
    <w:rsid w:val="00D05669"/>
    <w:rsid w:val="00D061EB"/>
    <w:rsid w:val="00D06952"/>
    <w:rsid w:val="00D07A72"/>
    <w:rsid w:val="00D10577"/>
    <w:rsid w:val="00D12405"/>
    <w:rsid w:val="00D12A4E"/>
    <w:rsid w:val="00D1323B"/>
    <w:rsid w:val="00D14BAE"/>
    <w:rsid w:val="00D15107"/>
    <w:rsid w:val="00D1648B"/>
    <w:rsid w:val="00D16819"/>
    <w:rsid w:val="00D17DD9"/>
    <w:rsid w:val="00D20AC0"/>
    <w:rsid w:val="00D229E7"/>
    <w:rsid w:val="00D2321B"/>
    <w:rsid w:val="00D23350"/>
    <w:rsid w:val="00D237E7"/>
    <w:rsid w:val="00D23DE4"/>
    <w:rsid w:val="00D25A5C"/>
    <w:rsid w:val="00D26873"/>
    <w:rsid w:val="00D27C99"/>
    <w:rsid w:val="00D31683"/>
    <w:rsid w:val="00D31FF7"/>
    <w:rsid w:val="00D33452"/>
    <w:rsid w:val="00D336C8"/>
    <w:rsid w:val="00D339E8"/>
    <w:rsid w:val="00D33FDD"/>
    <w:rsid w:val="00D3654A"/>
    <w:rsid w:val="00D3662E"/>
    <w:rsid w:val="00D373F1"/>
    <w:rsid w:val="00D37567"/>
    <w:rsid w:val="00D40B1F"/>
    <w:rsid w:val="00D40D75"/>
    <w:rsid w:val="00D41DDC"/>
    <w:rsid w:val="00D43978"/>
    <w:rsid w:val="00D43CBD"/>
    <w:rsid w:val="00D449F0"/>
    <w:rsid w:val="00D462D7"/>
    <w:rsid w:val="00D46A33"/>
    <w:rsid w:val="00D5062C"/>
    <w:rsid w:val="00D50C8C"/>
    <w:rsid w:val="00D52393"/>
    <w:rsid w:val="00D523E4"/>
    <w:rsid w:val="00D5279D"/>
    <w:rsid w:val="00D52A1B"/>
    <w:rsid w:val="00D52AA7"/>
    <w:rsid w:val="00D52FCC"/>
    <w:rsid w:val="00D53F14"/>
    <w:rsid w:val="00D54BE4"/>
    <w:rsid w:val="00D54DDB"/>
    <w:rsid w:val="00D554BC"/>
    <w:rsid w:val="00D560DC"/>
    <w:rsid w:val="00D56602"/>
    <w:rsid w:val="00D60483"/>
    <w:rsid w:val="00D61ABB"/>
    <w:rsid w:val="00D62D5C"/>
    <w:rsid w:val="00D63577"/>
    <w:rsid w:val="00D67FD7"/>
    <w:rsid w:val="00D704E4"/>
    <w:rsid w:val="00D72410"/>
    <w:rsid w:val="00D73D53"/>
    <w:rsid w:val="00D7402C"/>
    <w:rsid w:val="00D7408A"/>
    <w:rsid w:val="00D74261"/>
    <w:rsid w:val="00D7441B"/>
    <w:rsid w:val="00D75589"/>
    <w:rsid w:val="00D76AB2"/>
    <w:rsid w:val="00D80490"/>
    <w:rsid w:val="00D828F9"/>
    <w:rsid w:val="00D829AD"/>
    <w:rsid w:val="00D82EE2"/>
    <w:rsid w:val="00D83D1B"/>
    <w:rsid w:val="00D84133"/>
    <w:rsid w:val="00D84B8D"/>
    <w:rsid w:val="00D8545C"/>
    <w:rsid w:val="00D86AB5"/>
    <w:rsid w:val="00D86E57"/>
    <w:rsid w:val="00D876AD"/>
    <w:rsid w:val="00D87788"/>
    <w:rsid w:val="00D877C8"/>
    <w:rsid w:val="00D91040"/>
    <w:rsid w:val="00D910C2"/>
    <w:rsid w:val="00D9168C"/>
    <w:rsid w:val="00D9189B"/>
    <w:rsid w:val="00D91DA6"/>
    <w:rsid w:val="00D921A0"/>
    <w:rsid w:val="00D93A41"/>
    <w:rsid w:val="00D93B9A"/>
    <w:rsid w:val="00D95984"/>
    <w:rsid w:val="00D95C64"/>
    <w:rsid w:val="00D9706F"/>
    <w:rsid w:val="00D972D4"/>
    <w:rsid w:val="00DA0FE3"/>
    <w:rsid w:val="00DA195B"/>
    <w:rsid w:val="00DA27F3"/>
    <w:rsid w:val="00DA2D1E"/>
    <w:rsid w:val="00DA3EC8"/>
    <w:rsid w:val="00DA40C1"/>
    <w:rsid w:val="00DA5564"/>
    <w:rsid w:val="00DA6B55"/>
    <w:rsid w:val="00DA6B97"/>
    <w:rsid w:val="00DA6CEE"/>
    <w:rsid w:val="00DB0015"/>
    <w:rsid w:val="00DB0359"/>
    <w:rsid w:val="00DB0ABB"/>
    <w:rsid w:val="00DB2AAD"/>
    <w:rsid w:val="00DB44E2"/>
    <w:rsid w:val="00DB4A6D"/>
    <w:rsid w:val="00DB5941"/>
    <w:rsid w:val="00DB626D"/>
    <w:rsid w:val="00DB6365"/>
    <w:rsid w:val="00DB756C"/>
    <w:rsid w:val="00DC07B7"/>
    <w:rsid w:val="00DC0BF1"/>
    <w:rsid w:val="00DC17F2"/>
    <w:rsid w:val="00DC4001"/>
    <w:rsid w:val="00DC41C3"/>
    <w:rsid w:val="00DC4A3C"/>
    <w:rsid w:val="00DC4FA4"/>
    <w:rsid w:val="00DC5B37"/>
    <w:rsid w:val="00DD286D"/>
    <w:rsid w:val="00DD2CAF"/>
    <w:rsid w:val="00DD3593"/>
    <w:rsid w:val="00DD64E0"/>
    <w:rsid w:val="00DD775C"/>
    <w:rsid w:val="00DD7BE0"/>
    <w:rsid w:val="00DE0C67"/>
    <w:rsid w:val="00DE3AAD"/>
    <w:rsid w:val="00DE598A"/>
    <w:rsid w:val="00DE6952"/>
    <w:rsid w:val="00DE6FBE"/>
    <w:rsid w:val="00DE7A7D"/>
    <w:rsid w:val="00DE7E74"/>
    <w:rsid w:val="00DF071B"/>
    <w:rsid w:val="00DF5C84"/>
    <w:rsid w:val="00DF5EC0"/>
    <w:rsid w:val="00DF6EF8"/>
    <w:rsid w:val="00DF6EFE"/>
    <w:rsid w:val="00E00685"/>
    <w:rsid w:val="00E00A69"/>
    <w:rsid w:val="00E017BC"/>
    <w:rsid w:val="00E017F0"/>
    <w:rsid w:val="00E01A0E"/>
    <w:rsid w:val="00E025FE"/>
    <w:rsid w:val="00E0346A"/>
    <w:rsid w:val="00E041E4"/>
    <w:rsid w:val="00E04AEE"/>
    <w:rsid w:val="00E06BBD"/>
    <w:rsid w:val="00E100E3"/>
    <w:rsid w:val="00E1012B"/>
    <w:rsid w:val="00E103C8"/>
    <w:rsid w:val="00E1085B"/>
    <w:rsid w:val="00E1308B"/>
    <w:rsid w:val="00E14581"/>
    <w:rsid w:val="00E14623"/>
    <w:rsid w:val="00E15539"/>
    <w:rsid w:val="00E16541"/>
    <w:rsid w:val="00E17EC9"/>
    <w:rsid w:val="00E202F4"/>
    <w:rsid w:val="00E207C3"/>
    <w:rsid w:val="00E21386"/>
    <w:rsid w:val="00E2421B"/>
    <w:rsid w:val="00E242AF"/>
    <w:rsid w:val="00E24849"/>
    <w:rsid w:val="00E2536E"/>
    <w:rsid w:val="00E25A99"/>
    <w:rsid w:val="00E25B8A"/>
    <w:rsid w:val="00E25EF8"/>
    <w:rsid w:val="00E2632B"/>
    <w:rsid w:val="00E26F75"/>
    <w:rsid w:val="00E27423"/>
    <w:rsid w:val="00E3077F"/>
    <w:rsid w:val="00E322F7"/>
    <w:rsid w:val="00E3369B"/>
    <w:rsid w:val="00E362D2"/>
    <w:rsid w:val="00E36D76"/>
    <w:rsid w:val="00E40478"/>
    <w:rsid w:val="00E405EA"/>
    <w:rsid w:val="00E408B7"/>
    <w:rsid w:val="00E412EB"/>
    <w:rsid w:val="00E415D1"/>
    <w:rsid w:val="00E41637"/>
    <w:rsid w:val="00E42789"/>
    <w:rsid w:val="00E43F59"/>
    <w:rsid w:val="00E45916"/>
    <w:rsid w:val="00E464F0"/>
    <w:rsid w:val="00E46EF3"/>
    <w:rsid w:val="00E47370"/>
    <w:rsid w:val="00E473E9"/>
    <w:rsid w:val="00E47B47"/>
    <w:rsid w:val="00E50BEB"/>
    <w:rsid w:val="00E53460"/>
    <w:rsid w:val="00E536D1"/>
    <w:rsid w:val="00E548FA"/>
    <w:rsid w:val="00E55CD9"/>
    <w:rsid w:val="00E57703"/>
    <w:rsid w:val="00E57ED4"/>
    <w:rsid w:val="00E57FED"/>
    <w:rsid w:val="00E6092F"/>
    <w:rsid w:val="00E61EE9"/>
    <w:rsid w:val="00E62049"/>
    <w:rsid w:val="00E629DA"/>
    <w:rsid w:val="00E64374"/>
    <w:rsid w:val="00E6451F"/>
    <w:rsid w:val="00E6469F"/>
    <w:rsid w:val="00E6546A"/>
    <w:rsid w:val="00E65C05"/>
    <w:rsid w:val="00E65D39"/>
    <w:rsid w:val="00E670F8"/>
    <w:rsid w:val="00E6741B"/>
    <w:rsid w:val="00E67FAC"/>
    <w:rsid w:val="00E70164"/>
    <w:rsid w:val="00E71485"/>
    <w:rsid w:val="00E7200B"/>
    <w:rsid w:val="00E738CB"/>
    <w:rsid w:val="00E73C88"/>
    <w:rsid w:val="00E74437"/>
    <w:rsid w:val="00E7443D"/>
    <w:rsid w:val="00E75A08"/>
    <w:rsid w:val="00E75ACE"/>
    <w:rsid w:val="00E771AF"/>
    <w:rsid w:val="00E80386"/>
    <w:rsid w:val="00E809C3"/>
    <w:rsid w:val="00E814D4"/>
    <w:rsid w:val="00E81A1A"/>
    <w:rsid w:val="00E81C3E"/>
    <w:rsid w:val="00E82359"/>
    <w:rsid w:val="00E82B6D"/>
    <w:rsid w:val="00E83187"/>
    <w:rsid w:val="00E831E9"/>
    <w:rsid w:val="00E84DDA"/>
    <w:rsid w:val="00E8608F"/>
    <w:rsid w:val="00E86C1D"/>
    <w:rsid w:val="00E90703"/>
    <w:rsid w:val="00E90A62"/>
    <w:rsid w:val="00E9265E"/>
    <w:rsid w:val="00E956DB"/>
    <w:rsid w:val="00E9763D"/>
    <w:rsid w:val="00EA1177"/>
    <w:rsid w:val="00EA118B"/>
    <w:rsid w:val="00EA11B6"/>
    <w:rsid w:val="00EA2181"/>
    <w:rsid w:val="00EA2DD8"/>
    <w:rsid w:val="00EA30FC"/>
    <w:rsid w:val="00EA4475"/>
    <w:rsid w:val="00EA52FE"/>
    <w:rsid w:val="00EA681F"/>
    <w:rsid w:val="00EB04C6"/>
    <w:rsid w:val="00EB06A6"/>
    <w:rsid w:val="00EB29EA"/>
    <w:rsid w:val="00EB3307"/>
    <w:rsid w:val="00EB3823"/>
    <w:rsid w:val="00EB3CBB"/>
    <w:rsid w:val="00EB47D8"/>
    <w:rsid w:val="00EB57D3"/>
    <w:rsid w:val="00EB5EFD"/>
    <w:rsid w:val="00EB6565"/>
    <w:rsid w:val="00EB679F"/>
    <w:rsid w:val="00EB76E4"/>
    <w:rsid w:val="00EC0E65"/>
    <w:rsid w:val="00EC1251"/>
    <w:rsid w:val="00EC2938"/>
    <w:rsid w:val="00EC337D"/>
    <w:rsid w:val="00EC38EF"/>
    <w:rsid w:val="00EC50C9"/>
    <w:rsid w:val="00EC58B4"/>
    <w:rsid w:val="00EC5BB2"/>
    <w:rsid w:val="00EC75AF"/>
    <w:rsid w:val="00ED12F0"/>
    <w:rsid w:val="00ED2874"/>
    <w:rsid w:val="00ED290C"/>
    <w:rsid w:val="00ED2A6C"/>
    <w:rsid w:val="00ED4773"/>
    <w:rsid w:val="00ED5284"/>
    <w:rsid w:val="00ED664B"/>
    <w:rsid w:val="00ED6665"/>
    <w:rsid w:val="00ED6A61"/>
    <w:rsid w:val="00ED768E"/>
    <w:rsid w:val="00ED7DA4"/>
    <w:rsid w:val="00EE03BB"/>
    <w:rsid w:val="00EE0483"/>
    <w:rsid w:val="00EE0552"/>
    <w:rsid w:val="00EE0B44"/>
    <w:rsid w:val="00EE125D"/>
    <w:rsid w:val="00EE23DE"/>
    <w:rsid w:val="00EE3A92"/>
    <w:rsid w:val="00EE48BB"/>
    <w:rsid w:val="00EE6FE0"/>
    <w:rsid w:val="00EE704A"/>
    <w:rsid w:val="00EE7840"/>
    <w:rsid w:val="00EF2E75"/>
    <w:rsid w:val="00EF4C74"/>
    <w:rsid w:val="00EF5268"/>
    <w:rsid w:val="00EF608E"/>
    <w:rsid w:val="00EF6C4A"/>
    <w:rsid w:val="00F0044B"/>
    <w:rsid w:val="00F00E60"/>
    <w:rsid w:val="00F01693"/>
    <w:rsid w:val="00F02F9F"/>
    <w:rsid w:val="00F03525"/>
    <w:rsid w:val="00F039A8"/>
    <w:rsid w:val="00F0424D"/>
    <w:rsid w:val="00F04957"/>
    <w:rsid w:val="00F053F0"/>
    <w:rsid w:val="00F05807"/>
    <w:rsid w:val="00F06451"/>
    <w:rsid w:val="00F07052"/>
    <w:rsid w:val="00F0706C"/>
    <w:rsid w:val="00F11EBE"/>
    <w:rsid w:val="00F12293"/>
    <w:rsid w:val="00F12BA8"/>
    <w:rsid w:val="00F12D7A"/>
    <w:rsid w:val="00F130D0"/>
    <w:rsid w:val="00F13AC6"/>
    <w:rsid w:val="00F14933"/>
    <w:rsid w:val="00F14BE4"/>
    <w:rsid w:val="00F1516A"/>
    <w:rsid w:val="00F15EE5"/>
    <w:rsid w:val="00F171F9"/>
    <w:rsid w:val="00F1737C"/>
    <w:rsid w:val="00F173AA"/>
    <w:rsid w:val="00F2257A"/>
    <w:rsid w:val="00F22A26"/>
    <w:rsid w:val="00F24072"/>
    <w:rsid w:val="00F26432"/>
    <w:rsid w:val="00F3197A"/>
    <w:rsid w:val="00F32139"/>
    <w:rsid w:val="00F33CF0"/>
    <w:rsid w:val="00F33D56"/>
    <w:rsid w:val="00F34E08"/>
    <w:rsid w:val="00F41D91"/>
    <w:rsid w:val="00F41F52"/>
    <w:rsid w:val="00F41FA1"/>
    <w:rsid w:val="00F42363"/>
    <w:rsid w:val="00F427C4"/>
    <w:rsid w:val="00F43D6C"/>
    <w:rsid w:val="00F46964"/>
    <w:rsid w:val="00F46F9A"/>
    <w:rsid w:val="00F470FD"/>
    <w:rsid w:val="00F50F30"/>
    <w:rsid w:val="00F5126A"/>
    <w:rsid w:val="00F5126E"/>
    <w:rsid w:val="00F516EF"/>
    <w:rsid w:val="00F51755"/>
    <w:rsid w:val="00F531D9"/>
    <w:rsid w:val="00F54D8E"/>
    <w:rsid w:val="00F5580D"/>
    <w:rsid w:val="00F56EA1"/>
    <w:rsid w:val="00F606D5"/>
    <w:rsid w:val="00F611B3"/>
    <w:rsid w:val="00F6196E"/>
    <w:rsid w:val="00F61CCC"/>
    <w:rsid w:val="00F624DD"/>
    <w:rsid w:val="00F629C0"/>
    <w:rsid w:val="00F63FC7"/>
    <w:rsid w:val="00F65E1F"/>
    <w:rsid w:val="00F65ED5"/>
    <w:rsid w:val="00F6608B"/>
    <w:rsid w:val="00F6636A"/>
    <w:rsid w:val="00F667C5"/>
    <w:rsid w:val="00F67E31"/>
    <w:rsid w:val="00F70B44"/>
    <w:rsid w:val="00F71436"/>
    <w:rsid w:val="00F718A8"/>
    <w:rsid w:val="00F7207E"/>
    <w:rsid w:val="00F72183"/>
    <w:rsid w:val="00F75C12"/>
    <w:rsid w:val="00F76D01"/>
    <w:rsid w:val="00F80B43"/>
    <w:rsid w:val="00F80C97"/>
    <w:rsid w:val="00F81C35"/>
    <w:rsid w:val="00F82981"/>
    <w:rsid w:val="00F8311F"/>
    <w:rsid w:val="00F83248"/>
    <w:rsid w:val="00F83376"/>
    <w:rsid w:val="00F853AE"/>
    <w:rsid w:val="00F908D5"/>
    <w:rsid w:val="00F913B9"/>
    <w:rsid w:val="00F93C74"/>
    <w:rsid w:val="00F93DCC"/>
    <w:rsid w:val="00F9435D"/>
    <w:rsid w:val="00F966F9"/>
    <w:rsid w:val="00F96F61"/>
    <w:rsid w:val="00F97740"/>
    <w:rsid w:val="00FA0C8F"/>
    <w:rsid w:val="00FA2DEF"/>
    <w:rsid w:val="00FA2F7B"/>
    <w:rsid w:val="00FA3C90"/>
    <w:rsid w:val="00FA3C97"/>
    <w:rsid w:val="00FA3D30"/>
    <w:rsid w:val="00FA4B49"/>
    <w:rsid w:val="00FA54F8"/>
    <w:rsid w:val="00FA78C8"/>
    <w:rsid w:val="00FA7A2F"/>
    <w:rsid w:val="00FB09FE"/>
    <w:rsid w:val="00FB0E80"/>
    <w:rsid w:val="00FB101D"/>
    <w:rsid w:val="00FB1725"/>
    <w:rsid w:val="00FB2493"/>
    <w:rsid w:val="00FB2BA1"/>
    <w:rsid w:val="00FB42B7"/>
    <w:rsid w:val="00FB4484"/>
    <w:rsid w:val="00FB593A"/>
    <w:rsid w:val="00FB6410"/>
    <w:rsid w:val="00FB6596"/>
    <w:rsid w:val="00FB6E82"/>
    <w:rsid w:val="00FB792E"/>
    <w:rsid w:val="00FB7CF0"/>
    <w:rsid w:val="00FC0042"/>
    <w:rsid w:val="00FC1E67"/>
    <w:rsid w:val="00FC2A13"/>
    <w:rsid w:val="00FC2FB2"/>
    <w:rsid w:val="00FC4284"/>
    <w:rsid w:val="00FC4576"/>
    <w:rsid w:val="00FC5FF5"/>
    <w:rsid w:val="00FC6285"/>
    <w:rsid w:val="00FC78FB"/>
    <w:rsid w:val="00FC7DBC"/>
    <w:rsid w:val="00FD076A"/>
    <w:rsid w:val="00FD0AA0"/>
    <w:rsid w:val="00FD1D5A"/>
    <w:rsid w:val="00FD5059"/>
    <w:rsid w:val="00FD554D"/>
    <w:rsid w:val="00FD5BCC"/>
    <w:rsid w:val="00FD7B23"/>
    <w:rsid w:val="00FE2A48"/>
    <w:rsid w:val="00FE2DEF"/>
    <w:rsid w:val="00FE323C"/>
    <w:rsid w:val="00FE3A27"/>
    <w:rsid w:val="00FE5D0A"/>
    <w:rsid w:val="00FE6469"/>
    <w:rsid w:val="00FE7C6D"/>
    <w:rsid w:val="00FF05D0"/>
    <w:rsid w:val="00FF06CE"/>
    <w:rsid w:val="00FF0DC2"/>
    <w:rsid w:val="00FF0FF7"/>
    <w:rsid w:val="00FF1022"/>
    <w:rsid w:val="00FF10A2"/>
    <w:rsid w:val="00FF1438"/>
    <w:rsid w:val="00FF3A38"/>
    <w:rsid w:val="00FF3C25"/>
    <w:rsid w:val="00FF4129"/>
    <w:rsid w:val="00FF44F7"/>
    <w:rsid w:val="00FF4C90"/>
    <w:rsid w:val="00FF5806"/>
    <w:rsid w:val="00FF6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heme="minorHAnsi"/>
        <w:color w:val="000000" w:themeColor="text1"/>
        <w:sz w:val="24"/>
        <w:lang w:val="en-US" w:eastAsia="en-US" w:bidi="ar-SA"/>
      </w:rPr>
    </w:rPrDefault>
    <w:pPrDefault>
      <w:pPr>
        <w:spacing w:line="240" w:lineRule="exact"/>
        <w:jc w:val="center"/>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C90"/>
    <w:rPr>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436C2"/>
    <w:pPr>
      <w:tabs>
        <w:tab w:val="center" w:pos="4320"/>
        <w:tab w:val="right" w:pos="8640"/>
      </w:tabs>
    </w:pPr>
  </w:style>
  <w:style w:type="character" w:styleId="PageNumber">
    <w:name w:val="page number"/>
    <w:basedOn w:val="DefaultParagraphFont"/>
    <w:rsid w:val="005436C2"/>
  </w:style>
  <w:style w:type="paragraph" w:styleId="Header">
    <w:name w:val="header"/>
    <w:basedOn w:val="Normal"/>
    <w:rsid w:val="005436C2"/>
    <w:pPr>
      <w:tabs>
        <w:tab w:val="center" w:pos="4320"/>
        <w:tab w:val="right" w:pos="8640"/>
      </w:tabs>
    </w:pPr>
  </w:style>
  <w:style w:type="paragraph" w:styleId="BodyText">
    <w:name w:val="Body Text"/>
    <w:basedOn w:val="Normal"/>
    <w:rsid w:val="005436C2"/>
    <w:pPr>
      <w:tabs>
        <w:tab w:val="left" w:pos="720"/>
      </w:tabs>
      <w:ind w:right="-360"/>
    </w:pPr>
    <w:rPr>
      <w:rFonts w:ascii="Times New Roman" w:hAnsi="Times New Roman"/>
      <w:color w:val="000080"/>
    </w:rPr>
  </w:style>
  <w:style w:type="paragraph" w:styleId="BodyText3">
    <w:name w:val="Body Text 3"/>
    <w:basedOn w:val="Normal"/>
    <w:rsid w:val="005436C2"/>
    <w:pPr>
      <w:tabs>
        <w:tab w:val="left" w:pos="288"/>
        <w:tab w:val="left" w:pos="4752"/>
      </w:tabs>
      <w:ind w:right="-360"/>
      <w:jc w:val="both"/>
    </w:pPr>
    <w:rPr>
      <w:color w:val="000080"/>
    </w:rPr>
  </w:style>
  <w:style w:type="paragraph" w:styleId="PlainText">
    <w:name w:val="Plain Text"/>
    <w:basedOn w:val="Normal"/>
    <w:link w:val="PlainTextChar"/>
    <w:uiPriority w:val="99"/>
    <w:unhideWhenUsed/>
    <w:rsid w:val="00D91DA6"/>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D91DA6"/>
    <w:rPr>
      <w:rFonts w:ascii="Consolas" w:eastAsia="Calibri" w:hAnsi="Consolas" w:cs="Times New Roman"/>
      <w:sz w:val="21"/>
      <w:szCs w:val="21"/>
    </w:rPr>
  </w:style>
  <w:style w:type="character" w:customStyle="1" w:styleId="FooterChar">
    <w:name w:val="Footer Char"/>
    <w:basedOn w:val="DefaultParagraphFont"/>
    <w:link w:val="Footer"/>
    <w:uiPriority w:val="99"/>
    <w:rsid w:val="000379D0"/>
    <w:rPr>
      <w:color w:val="008080"/>
      <w:sz w:val="24"/>
    </w:rPr>
  </w:style>
  <w:style w:type="paragraph" w:styleId="BalloonText">
    <w:name w:val="Balloon Text"/>
    <w:basedOn w:val="Normal"/>
    <w:link w:val="BalloonTextChar"/>
    <w:rsid w:val="000379D0"/>
    <w:rPr>
      <w:rFonts w:ascii="Tahoma" w:hAnsi="Tahoma" w:cs="Tahoma"/>
      <w:sz w:val="16"/>
      <w:szCs w:val="16"/>
    </w:rPr>
  </w:style>
  <w:style w:type="character" w:customStyle="1" w:styleId="BalloonTextChar">
    <w:name w:val="Balloon Text Char"/>
    <w:basedOn w:val="DefaultParagraphFont"/>
    <w:link w:val="BalloonText"/>
    <w:rsid w:val="000379D0"/>
    <w:rPr>
      <w:rFonts w:ascii="Tahoma" w:hAnsi="Tahoma" w:cs="Tahoma"/>
      <w:color w:val="008080"/>
      <w:sz w:val="16"/>
      <w:szCs w:val="16"/>
    </w:rPr>
  </w:style>
  <w:style w:type="table" w:styleId="TableGrid">
    <w:name w:val="Table Grid"/>
    <w:basedOn w:val="TableNormal"/>
    <w:uiPriority w:val="59"/>
    <w:rsid w:val="006F1A46"/>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26591"/>
    <w:pPr>
      <w:spacing w:after="200" w:line="276" w:lineRule="auto"/>
      <w:ind w:left="720"/>
      <w:contextualSpacing/>
    </w:pPr>
    <w:rPr>
      <w:rFonts w:asciiTheme="minorHAnsi" w:eastAsiaTheme="minorHAnsi" w:hAnsiTheme="minorHAnsi" w:cstheme="minorBidi"/>
      <w:color w:val="auto"/>
      <w:sz w:val="22"/>
      <w:szCs w:val="22"/>
    </w:rPr>
  </w:style>
  <w:style w:type="character" w:styleId="LineNumber">
    <w:name w:val="line number"/>
    <w:basedOn w:val="DefaultParagraphFont"/>
    <w:rsid w:val="004766C9"/>
  </w:style>
  <w:style w:type="character" w:styleId="CommentReference">
    <w:name w:val="annotation reference"/>
    <w:basedOn w:val="DefaultParagraphFont"/>
    <w:rsid w:val="0046111A"/>
    <w:rPr>
      <w:sz w:val="16"/>
      <w:szCs w:val="16"/>
    </w:rPr>
  </w:style>
  <w:style w:type="paragraph" w:styleId="CommentText">
    <w:name w:val="annotation text"/>
    <w:basedOn w:val="Normal"/>
    <w:link w:val="CommentTextChar"/>
    <w:rsid w:val="0046111A"/>
    <w:rPr>
      <w:sz w:val="20"/>
    </w:rPr>
  </w:style>
  <w:style w:type="character" w:customStyle="1" w:styleId="CommentTextChar">
    <w:name w:val="Comment Text Char"/>
    <w:basedOn w:val="DefaultParagraphFont"/>
    <w:link w:val="CommentText"/>
    <w:rsid w:val="0046111A"/>
    <w:rPr>
      <w:color w:val="008080"/>
      <w:sz w:val="20"/>
    </w:rPr>
  </w:style>
  <w:style w:type="paragraph" w:styleId="CommentSubject">
    <w:name w:val="annotation subject"/>
    <w:basedOn w:val="CommentText"/>
    <w:next w:val="CommentText"/>
    <w:link w:val="CommentSubjectChar"/>
    <w:rsid w:val="0046111A"/>
    <w:rPr>
      <w:b/>
      <w:bCs/>
    </w:rPr>
  </w:style>
  <w:style w:type="character" w:customStyle="1" w:styleId="CommentSubjectChar">
    <w:name w:val="Comment Subject Char"/>
    <w:basedOn w:val="CommentTextChar"/>
    <w:link w:val="CommentSubject"/>
    <w:rsid w:val="0046111A"/>
    <w:rPr>
      <w:b/>
      <w:bCs/>
      <w:color w:val="008080"/>
      <w:sz w:val="20"/>
    </w:rPr>
  </w:style>
  <w:style w:type="character" w:styleId="Hyperlink">
    <w:name w:val="Hyperlink"/>
    <w:basedOn w:val="DefaultParagraphFont"/>
    <w:rsid w:val="00750E3A"/>
    <w:rPr>
      <w:color w:val="0000FF" w:themeColor="hyperlink"/>
      <w:u w:val="single"/>
    </w:rPr>
  </w:style>
  <w:style w:type="character" w:styleId="FollowedHyperlink">
    <w:name w:val="FollowedHyperlink"/>
    <w:basedOn w:val="DefaultParagraphFont"/>
    <w:rsid w:val="00750E3A"/>
    <w:rPr>
      <w:color w:val="800080" w:themeColor="followedHyperlink"/>
      <w:u w:val="single"/>
    </w:rPr>
  </w:style>
  <w:style w:type="paragraph" w:customStyle="1" w:styleId="Default">
    <w:name w:val="Default"/>
    <w:rsid w:val="009F7822"/>
    <w:pPr>
      <w:autoSpaceDE w:val="0"/>
      <w:autoSpaceDN w:val="0"/>
      <w:adjustRightInd w:val="0"/>
      <w:spacing w:line="240" w:lineRule="auto"/>
      <w:jc w:val="left"/>
    </w:pPr>
    <w:rPr>
      <w:rFonts w:cs="Calibri"/>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779">
      <w:bodyDiv w:val="1"/>
      <w:marLeft w:val="0"/>
      <w:marRight w:val="0"/>
      <w:marTop w:val="0"/>
      <w:marBottom w:val="0"/>
      <w:divBdr>
        <w:top w:val="none" w:sz="0" w:space="0" w:color="auto"/>
        <w:left w:val="none" w:sz="0" w:space="0" w:color="auto"/>
        <w:bottom w:val="none" w:sz="0" w:space="0" w:color="auto"/>
        <w:right w:val="none" w:sz="0" w:space="0" w:color="auto"/>
      </w:divBdr>
    </w:div>
    <w:div w:id="144515318">
      <w:bodyDiv w:val="1"/>
      <w:marLeft w:val="0"/>
      <w:marRight w:val="0"/>
      <w:marTop w:val="0"/>
      <w:marBottom w:val="0"/>
      <w:divBdr>
        <w:top w:val="none" w:sz="0" w:space="0" w:color="auto"/>
        <w:left w:val="none" w:sz="0" w:space="0" w:color="auto"/>
        <w:bottom w:val="none" w:sz="0" w:space="0" w:color="auto"/>
        <w:right w:val="none" w:sz="0" w:space="0" w:color="auto"/>
      </w:divBdr>
    </w:div>
    <w:div w:id="185489995">
      <w:bodyDiv w:val="1"/>
      <w:marLeft w:val="0"/>
      <w:marRight w:val="0"/>
      <w:marTop w:val="0"/>
      <w:marBottom w:val="0"/>
      <w:divBdr>
        <w:top w:val="none" w:sz="0" w:space="0" w:color="auto"/>
        <w:left w:val="none" w:sz="0" w:space="0" w:color="auto"/>
        <w:bottom w:val="none" w:sz="0" w:space="0" w:color="auto"/>
        <w:right w:val="none" w:sz="0" w:space="0" w:color="auto"/>
      </w:divBdr>
    </w:div>
    <w:div w:id="257175439">
      <w:bodyDiv w:val="1"/>
      <w:marLeft w:val="0"/>
      <w:marRight w:val="0"/>
      <w:marTop w:val="0"/>
      <w:marBottom w:val="0"/>
      <w:divBdr>
        <w:top w:val="none" w:sz="0" w:space="0" w:color="auto"/>
        <w:left w:val="none" w:sz="0" w:space="0" w:color="auto"/>
        <w:bottom w:val="none" w:sz="0" w:space="0" w:color="auto"/>
        <w:right w:val="none" w:sz="0" w:space="0" w:color="auto"/>
      </w:divBdr>
    </w:div>
    <w:div w:id="278297590">
      <w:bodyDiv w:val="1"/>
      <w:marLeft w:val="0"/>
      <w:marRight w:val="0"/>
      <w:marTop w:val="0"/>
      <w:marBottom w:val="0"/>
      <w:divBdr>
        <w:top w:val="none" w:sz="0" w:space="0" w:color="auto"/>
        <w:left w:val="none" w:sz="0" w:space="0" w:color="auto"/>
        <w:bottom w:val="none" w:sz="0" w:space="0" w:color="auto"/>
        <w:right w:val="none" w:sz="0" w:space="0" w:color="auto"/>
      </w:divBdr>
    </w:div>
    <w:div w:id="539513790">
      <w:bodyDiv w:val="1"/>
      <w:marLeft w:val="0"/>
      <w:marRight w:val="0"/>
      <w:marTop w:val="0"/>
      <w:marBottom w:val="0"/>
      <w:divBdr>
        <w:top w:val="none" w:sz="0" w:space="0" w:color="auto"/>
        <w:left w:val="none" w:sz="0" w:space="0" w:color="auto"/>
        <w:bottom w:val="none" w:sz="0" w:space="0" w:color="auto"/>
        <w:right w:val="none" w:sz="0" w:space="0" w:color="auto"/>
      </w:divBdr>
    </w:div>
    <w:div w:id="543686778">
      <w:bodyDiv w:val="1"/>
      <w:marLeft w:val="0"/>
      <w:marRight w:val="0"/>
      <w:marTop w:val="0"/>
      <w:marBottom w:val="0"/>
      <w:divBdr>
        <w:top w:val="none" w:sz="0" w:space="0" w:color="auto"/>
        <w:left w:val="none" w:sz="0" w:space="0" w:color="auto"/>
        <w:bottom w:val="none" w:sz="0" w:space="0" w:color="auto"/>
        <w:right w:val="none" w:sz="0" w:space="0" w:color="auto"/>
      </w:divBdr>
    </w:div>
    <w:div w:id="905802082">
      <w:bodyDiv w:val="1"/>
      <w:marLeft w:val="0"/>
      <w:marRight w:val="0"/>
      <w:marTop w:val="0"/>
      <w:marBottom w:val="0"/>
      <w:divBdr>
        <w:top w:val="none" w:sz="0" w:space="0" w:color="auto"/>
        <w:left w:val="none" w:sz="0" w:space="0" w:color="auto"/>
        <w:bottom w:val="none" w:sz="0" w:space="0" w:color="auto"/>
        <w:right w:val="none" w:sz="0" w:space="0" w:color="auto"/>
      </w:divBdr>
    </w:div>
    <w:div w:id="910502918">
      <w:bodyDiv w:val="1"/>
      <w:marLeft w:val="0"/>
      <w:marRight w:val="0"/>
      <w:marTop w:val="0"/>
      <w:marBottom w:val="0"/>
      <w:divBdr>
        <w:top w:val="none" w:sz="0" w:space="0" w:color="auto"/>
        <w:left w:val="none" w:sz="0" w:space="0" w:color="auto"/>
        <w:bottom w:val="none" w:sz="0" w:space="0" w:color="auto"/>
        <w:right w:val="none" w:sz="0" w:space="0" w:color="auto"/>
      </w:divBdr>
    </w:div>
    <w:div w:id="1016004975">
      <w:bodyDiv w:val="1"/>
      <w:marLeft w:val="0"/>
      <w:marRight w:val="0"/>
      <w:marTop w:val="0"/>
      <w:marBottom w:val="0"/>
      <w:divBdr>
        <w:top w:val="none" w:sz="0" w:space="0" w:color="auto"/>
        <w:left w:val="none" w:sz="0" w:space="0" w:color="auto"/>
        <w:bottom w:val="none" w:sz="0" w:space="0" w:color="auto"/>
        <w:right w:val="none" w:sz="0" w:space="0" w:color="auto"/>
      </w:divBdr>
    </w:div>
    <w:div w:id="1157644594">
      <w:bodyDiv w:val="1"/>
      <w:marLeft w:val="0"/>
      <w:marRight w:val="0"/>
      <w:marTop w:val="0"/>
      <w:marBottom w:val="0"/>
      <w:divBdr>
        <w:top w:val="none" w:sz="0" w:space="0" w:color="auto"/>
        <w:left w:val="none" w:sz="0" w:space="0" w:color="auto"/>
        <w:bottom w:val="none" w:sz="0" w:space="0" w:color="auto"/>
        <w:right w:val="none" w:sz="0" w:space="0" w:color="auto"/>
      </w:divBdr>
    </w:div>
    <w:div w:id="1175340299">
      <w:bodyDiv w:val="1"/>
      <w:marLeft w:val="0"/>
      <w:marRight w:val="0"/>
      <w:marTop w:val="0"/>
      <w:marBottom w:val="0"/>
      <w:divBdr>
        <w:top w:val="none" w:sz="0" w:space="0" w:color="auto"/>
        <w:left w:val="none" w:sz="0" w:space="0" w:color="auto"/>
        <w:bottom w:val="none" w:sz="0" w:space="0" w:color="auto"/>
        <w:right w:val="none" w:sz="0" w:space="0" w:color="auto"/>
      </w:divBdr>
    </w:div>
    <w:div w:id="1198202320">
      <w:bodyDiv w:val="1"/>
      <w:marLeft w:val="0"/>
      <w:marRight w:val="0"/>
      <w:marTop w:val="0"/>
      <w:marBottom w:val="0"/>
      <w:divBdr>
        <w:top w:val="none" w:sz="0" w:space="0" w:color="auto"/>
        <w:left w:val="none" w:sz="0" w:space="0" w:color="auto"/>
        <w:bottom w:val="none" w:sz="0" w:space="0" w:color="auto"/>
        <w:right w:val="none" w:sz="0" w:space="0" w:color="auto"/>
      </w:divBdr>
    </w:div>
    <w:div w:id="1291279704">
      <w:bodyDiv w:val="1"/>
      <w:marLeft w:val="0"/>
      <w:marRight w:val="0"/>
      <w:marTop w:val="0"/>
      <w:marBottom w:val="0"/>
      <w:divBdr>
        <w:top w:val="none" w:sz="0" w:space="0" w:color="auto"/>
        <w:left w:val="none" w:sz="0" w:space="0" w:color="auto"/>
        <w:bottom w:val="none" w:sz="0" w:space="0" w:color="auto"/>
        <w:right w:val="none" w:sz="0" w:space="0" w:color="auto"/>
      </w:divBdr>
    </w:div>
    <w:div w:id="1343750320">
      <w:bodyDiv w:val="1"/>
      <w:marLeft w:val="0"/>
      <w:marRight w:val="0"/>
      <w:marTop w:val="0"/>
      <w:marBottom w:val="0"/>
      <w:divBdr>
        <w:top w:val="none" w:sz="0" w:space="0" w:color="auto"/>
        <w:left w:val="none" w:sz="0" w:space="0" w:color="auto"/>
        <w:bottom w:val="none" w:sz="0" w:space="0" w:color="auto"/>
        <w:right w:val="none" w:sz="0" w:space="0" w:color="auto"/>
      </w:divBdr>
    </w:div>
    <w:div w:id="1451363989">
      <w:bodyDiv w:val="1"/>
      <w:marLeft w:val="0"/>
      <w:marRight w:val="0"/>
      <w:marTop w:val="0"/>
      <w:marBottom w:val="0"/>
      <w:divBdr>
        <w:top w:val="none" w:sz="0" w:space="0" w:color="auto"/>
        <w:left w:val="none" w:sz="0" w:space="0" w:color="auto"/>
        <w:bottom w:val="none" w:sz="0" w:space="0" w:color="auto"/>
        <w:right w:val="none" w:sz="0" w:space="0" w:color="auto"/>
      </w:divBdr>
    </w:div>
    <w:div w:id="1462067866">
      <w:bodyDiv w:val="1"/>
      <w:marLeft w:val="0"/>
      <w:marRight w:val="0"/>
      <w:marTop w:val="0"/>
      <w:marBottom w:val="0"/>
      <w:divBdr>
        <w:top w:val="none" w:sz="0" w:space="0" w:color="auto"/>
        <w:left w:val="none" w:sz="0" w:space="0" w:color="auto"/>
        <w:bottom w:val="none" w:sz="0" w:space="0" w:color="auto"/>
        <w:right w:val="none" w:sz="0" w:space="0" w:color="auto"/>
      </w:divBdr>
    </w:div>
    <w:div w:id="1468742721">
      <w:bodyDiv w:val="1"/>
      <w:marLeft w:val="0"/>
      <w:marRight w:val="0"/>
      <w:marTop w:val="0"/>
      <w:marBottom w:val="0"/>
      <w:divBdr>
        <w:top w:val="none" w:sz="0" w:space="0" w:color="auto"/>
        <w:left w:val="none" w:sz="0" w:space="0" w:color="auto"/>
        <w:bottom w:val="none" w:sz="0" w:space="0" w:color="auto"/>
        <w:right w:val="none" w:sz="0" w:space="0" w:color="auto"/>
      </w:divBdr>
    </w:div>
    <w:div w:id="1542017003">
      <w:bodyDiv w:val="1"/>
      <w:marLeft w:val="0"/>
      <w:marRight w:val="0"/>
      <w:marTop w:val="0"/>
      <w:marBottom w:val="0"/>
      <w:divBdr>
        <w:top w:val="none" w:sz="0" w:space="0" w:color="auto"/>
        <w:left w:val="none" w:sz="0" w:space="0" w:color="auto"/>
        <w:bottom w:val="none" w:sz="0" w:space="0" w:color="auto"/>
        <w:right w:val="none" w:sz="0" w:space="0" w:color="auto"/>
      </w:divBdr>
    </w:div>
    <w:div w:id="1551305034">
      <w:bodyDiv w:val="1"/>
      <w:marLeft w:val="0"/>
      <w:marRight w:val="0"/>
      <w:marTop w:val="0"/>
      <w:marBottom w:val="0"/>
      <w:divBdr>
        <w:top w:val="none" w:sz="0" w:space="0" w:color="auto"/>
        <w:left w:val="none" w:sz="0" w:space="0" w:color="auto"/>
        <w:bottom w:val="none" w:sz="0" w:space="0" w:color="auto"/>
        <w:right w:val="none" w:sz="0" w:space="0" w:color="auto"/>
      </w:divBdr>
    </w:div>
    <w:div w:id="1568031727">
      <w:bodyDiv w:val="1"/>
      <w:marLeft w:val="0"/>
      <w:marRight w:val="0"/>
      <w:marTop w:val="0"/>
      <w:marBottom w:val="0"/>
      <w:divBdr>
        <w:top w:val="none" w:sz="0" w:space="0" w:color="auto"/>
        <w:left w:val="none" w:sz="0" w:space="0" w:color="auto"/>
        <w:bottom w:val="none" w:sz="0" w:space="0" w:color="auto"/>
        <w:right w:val="none" w:sz="0" w:space="0" w:color="auto"/>
      </w:divBdr>
    </w:div>
    <w:div w:id="1575894432">
      <w:bodyDiv w:val="1"/>
      <w:marLeft w:val="0"/>
      <w:marRight w:val="0"/>
      <w:marTop w:val="0"/>
      <w:marBottom w:val="0"/>
      <w:divBdr>
        <w:top w:val="none" w:sz="0" w:space="0" w:color="auto"/>
        <w:left w:val="none" w:sz="0" w:space="0" w:color="auto"/>
        <w:bottom w:val="none" w:sz="0" w:space="0" w:color="auto"/>
        <w:right w:val="none" w:sz="0" w:space="0" w:color="auto"/>
      </w:divBdr>
    </w:div>
    <w:div w:id="1657488341">
      <w:bodyDiv w:val="1"/>
      <w:marLeft w:val="0"/>
      <w:marRight w:val="0"/>
      <w:marTop w:val="0"/>
      <w:marBottom w:val="0"/>
      <w:divBdr>
        <w:top w:val="none" w:sz="0" w:space="0" w:color="auto"/>
        <w:left w:val="none" w:sz="0" w:space="0" w:color="auto"/>
        <w:bottom w:val="none" w:sz="0" w:space="0" w:color="auto"/>
        <w:right w:val="none" w:sz="0" w:space="0" w:color="auto"/>
      </w:divBdr>
    </w:div>
    <w:div w:id="1756508288">
      <w:bodyDiv w:val="1"/>
      <w:marLeft w:val="0"/>
      <w:marRight w:val="0"/>
      <w:marTop w:val="0"/>
      <w:marBottom w:val="0"/>
      <w:divBdr>
        <w:top w:val="none" w:sz="0" w:space="0" w:color="auto"/>
        <w:left w:val="none" w:sz="0" w:space="0" w:color="auto"/>
        <w:bottom w:val="none" w:sz="0" w:space="0" w:color="auto"/>
        <w:right w:val="none" w:sz="0" w:space="0" w:color="auto"/>
      </w:divBdr>
    </w:div>
    <w:div w:id="1779445607">
      <w:bodyDiv w:val="1"/>
      <w:marLeft w:val="0"/>
      <w:marRight w:val="0"/>
      <w:marTop w:val="0"/>
      <w:marBottom w:val="0"/>
      <w:divBdr>
        <w:top w:val="none" w:sz="0" w:space="0" w:color="auto"/>
        <w:left w:val="none" w:sz="0" w:space="0" w:color="auto"/>
        <w:bottom w:val="none" w:sz="0" w:space="0" w:color="auto"/>
        <w:right w:val="none" w:sz="0" w:space="0" w:color="auto"/>
      </w:divBdr>
    </w:div>
    <w:div w:id="1865513787">
      <w:bodyDiv w:val="1"/>
      <w:marLeft w:val="0"/>
      <w:marRight w:val="0"/>
      <w:marTop w:val="0"/>
      <w:marBottom w:val="0"/>
      <w:divBdr>
        <w:top w:val="none" w:sz="0" w:space="0" w:color="auto"/>
        <w:left w:val="none" w:sz="0" w:space="0" w:color="auto"/>
        <w:bottom w:val="none" w:sz="0" w:space="0" w:color="auto"/>
        <w:right w:val="none" w:sz="0" w:space="0" w:color="auto"/>
      </w:divBdr>
    </w:div>
    <w:div w:id="1881044624">
      <w:bodyDiv w:val="1"/>
      <w:marLeft w:val="0"/>
      <w:marRight w:val="0"/>
      <w:marTop w:val="0"/>
      <w:marBottom w:val="0"/>
      <w:divBdr>
        <w:top w:val="none" w:sz="0" w:space="0" w:color="auto"/>
        <w:left w:val="none" w:sz="0" w:space="0" w:color="auto"/>
        <w:bottom w:val="none" w:sz="0" w:space="0" w:color="auto"/>
        <w:right w:val="none" w:sz="0" w:space="0" w:color="auto"/>
      </w:divBdr>
    </w:div>
    <w:div w:id="189045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47C5D-8F20-4740-923A-661C9EC4A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5</Pages>
  <Words>1944</Words>
  <Characters>11082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RECORD OF PROCEEDINGS</vt:lpstr>
    </vt:vector>
  </TitlesOfParts>
  <Company>Pre-installed Company</Company>
  <LinksUpToDate>false</LinksUpToDate>
  <CharactersWithSpaces>13001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PROCEEDINGS</dc:title>
  <dc:creator>JOHN J. D'ORAZIO</dc:creator>
  <cp:lastModifiedBy>julie.raveau</cp:lastModifiedBy>
  <cp:revision>9</cp:revision>
  <cp:lastPrinted>2012-09-05T15:31:00Z</cp:lastPrinted>
  <dcterms:created xsi:type="dcterms:W3CDTF">2012-08-08T16:44:00Z</dcterms:created>
  <dcterms:modified xsi:type="dcterms:W3CDTF">2012-11-01T14:55:00Z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-1105890195</vt:i4>
  </property>
</Properties>
</file>