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7855D9" w:rsidRPr="008E3DB1" w:rsidRDefault="007855D9" w:rsidP="007855D9">
      <w:pPr>
        <w:tabs>
          <w:tab w:val="left" w:pos="288"/>
          <w:tab w:val="left" w:pos="4752"/>
          <w:tab w:val="left" w:pos="5130"/>
          <w:tab w:val="left" w:pos="9270"/>
        </w:tabs>
        <w:jc w:val="both"/>
        <w:rPr>
          <w:caps/>
          <w:color w:val="000000" w:themeColor="text1"/>
        </w:rPr>
      </w:pPr>
      <w:r w:rsidRPr="008E3DB1">
        <w:rPr>
          <w:caps/>
          <w:color w:val="000000" w:themeColor="text1"/>
        </w:rPr>
        <w:t xml:space="preserve">NAME:  </w:t>
      </w:r>
      <w:r w:rsidR="00001C4F">
        <w:rPr>
          <w:caps/>
          <w:color w:val="000000" w:themeColor="text1"/>
        </w:rPr>
        <w:t>XXXXXXXXXXXXXX</w:t>
      </w:r>
      <w:r w:rsidRPr="008E3DB1">
        <w:rPr>
          <w:caps/>
          <w:color w:val="000000" w:themeColor="text1"/>
        </w:rPr>
        <w:t xml:space="preserve">                                       </w:t>
      </w:r>
      <w:r w:rsidR="00BE0773">
        <w:rPr>
          <w:caps/>
          <w:color w:val="000000" w:themeColor="text1"/>
        </w:rPr>
        <w:t xml:space="preserve">                            </w:t>
      </w:r>
      <w:r w:rsidRPr="008E3DB1">
        <w:rPr>
          <w:caps/>
          <w:color w:val="000000" w:themeColor="text1"/>
        </w:rPr>
        <w:t xml:space="preserve">BRANCH OF SERVICE:  </w:t>
      </w:r>
      <w:r>
        <w:rPr>
          <w:caps/>
          <w:color w:val="000000" w:themeColor="text1"/>
        </w:rPr>
        <w:t>Army</w:t>
      </w:r>
    </w:p>
    <w:p w:rsidR="007855D9" w:rsidRPr="008E3DB1" w:rsidRDefault="007855D9" w:rsidP="007855D9">
      <w:pPr>
        <w:tabs>
          <w:tab w:val="left" w:pos="288"/>
          <w:tab w:val="left" w:pos="4166"/>
          <w:tab w:val="left" w:pos="4752"/>
          <w:tab w:val="left" w:pos="5130"/>
          <w:tab w:val="left" w:pos="9270"/>
        </w:tabs>
        <w:jc w:val="both"/>
        <w:rPr>
          <w:caps/>
          <w:color w:val="000000" w:themeColor="text1"/>
        </w:rPr>
      </w:pPr>
      <w:r w:rsidRPr="008E3DB1">
        <w:rPr>
          <w:caps/>
          <w:color w:val="000000" w:themeColor="text1"/>
        </w:rPr>
        <w:t>CASE NUMBER:  PD1100649</w:t>
      </w:r>
      <w:r w:rsidR="009D6CAD">
        <w:rPr>
          <w:color w:val="000000" w:themeColor="text1"/>
        </w:rPr>
        <w:t xml:space="preserve"> </w:t>
      </w:r>
      <w:r w:rsidR="009D6CAD">
        <w:rPr>
          <w:color w:val="000000" w:themeColor="text1"/>
        </w:rPr>
        <w:tab/>
      </w:r>
      <w:r w:rsidR="009D6CAD">
        <w:rPr>
          <w:color w:val="000000" w:themeColor="text1"/>
        </w:rPr>
        <w:tab/>
        <w:t xml:space="preserve">                         </w:t>
      </w:r>
      <w:r w:rsidRPr="008E3DB1">
        <w:rPr>
          <w:color w:val="000000" w:themeColor="text1"/>
        </w:rPr>
        <w:t>SEPARATION DATE:  20050501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F078E1">
        <w:rPr>
          <w:caps/>
          <w:color w:val="auto"/>
        </w:rPr>
        <w:t>0531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7D262A" w:rsidP="007E5C91">
      <w:pPr>
        <w:tabs>
          <w:tab w:val="left" w:pos="288"/>
          <w:tab w:val="left" w:pos="4752"/>
        </w:tabs>
        <w:jc w:val="both"/>
        <w:rPr>
          <w:color w:val="auto"/>
        </w:rPr>
      </w:pPr>
      <w:r w:rsidRPr="008E3DB1">
        <w:rPr>
          <w:color w:val="000000" w:themeColor="text1"/>
          <w:u w:val="single"/>
        </w:rPr>
        <w:t>SUMMARY OF CASE</w:t>
      </w:r>
      <w:r w:rsidRPr="008E3DB1">
        <w:rPr>
          <w:color w:val="000000" w:themeColor="text1"/>
        </w:rPr>
        <w:t xml:space="preserve">:  Data extracted from the available evidence of record reflects that this covered individual (CI) </w:t>
      </w:r>
      <w:r w:rsidRPr="008E3DB1">
        <w:rPr>
          <w:color w:val="000000" w:themeColor="text1"/>
          <w:szCs w:val="24"/>
        </w:rPr>
        <w:t xml:space="preserve">was an active </w:t>
      </w:r>
      <w:r w:rsidR="009150CC">
        <w:rPr>
          <w:color w:val="000000" w:themeColor="text1"/>
          <w:szCs w:val="24"/>
        </w:rPr>
        <w:t xml:space="preserve">duty </w:t>
      </w:r>
      <w:r w:rsidR="00F078E1">
        <w:rPr>
          <w:color w:val="000000" w:themeColor="text1"/>
          <w:szCs w:val="24"/>
        </w:rPr>
        <w:t>SPC/E-4 (65J/Mechanic)</w:t>
      </w:r>
      <w:r w:rsidRPr="008E3DB1">
        <w:rPr>
          <w:color w:val="000000" w:themeColor="text1"/>
          <w:szCs w:val="24"/>
        </w:rPr>
        <w:t xml:space="preserve"> medically separated for </w:t>
      </w:r>
      <w:r w:rsidR="000A1B02">
        <w:rPr>
          <w:color w:val="000000" w:themeColor="text1"/>
          <w:szCs w:val="24"/>
        </w:rPr>
        <w:t>lumbar spine</w:t>
      </w:r>
      <w:r w:rsidRPr="008E3DB1">
        <w:rPr>
          <w:color w:val="000000" w:themeColor="text1"/>
          <w:szCs w:val="24"/>
        </w:rPr>
        <w:t xml:space="preserve">, left ankle, obstructive sleep apnea </w:t>
      </w:r>
      <w:r w:rsidR="00233E4E">
        <w:rPr>
          <w:color w:val="000000" w:themeColor="text1"/>
          <w:szCs w:val="24"/>
        </w:rPr>
        <w:t xml:space="preserve">(OSA) </w:t>
      </w:r>
      <w:r w:rsidRPr="008E3DB1">
        <w:rPr>
          <w:color w:val="000000" w:themeColor="text1"/>
          <w:szCs w:val="24"/>
        </w:rPr>
        <w:t>and pes planus</w:t>
      </w:r>
      <w:r w:rsidR="000A1B02">
        <w:rPr>
          <w:color w:val="000000" w:themeColor="text1"/>
          <w:szCs w:val="24"/>
        </w:rPr>
        <w:t xml:space="preserve"> conditions</w:t>
      </w:r>
      <w:r w:rsidRPr="008E3DB1">
        <w:rPr>
          <w:color w:val="000000" w:themeColor="text1"/>
          <w:szCs w:val="24"/>
        </w:rPr>
        <w:t>.</w:t>
      </w:r>
      <w:r w:rsidR="000A1B02">
        <w:rPr>
          <w:color w:val="000000" w:themeColor="text1"/>
          <w:szCs w:val="24"/>
        </w:rPr>
        <w:t xml:space="preserve">  The lumbar spine condition </w:t>
      </w:r>
      <w:r w:rsidR="007E5C91">
        <w:rPr>
          <w:color w:val="000000" w:themeColor="text1"/>
          <w:szCs w:val="24"/>
        </w:rPr>
        <w:t>developed during</w:t>
      </w:r>
      <w:r w:rsidR="000A1B02">
        <w:rPr>
          <w:color w:val="000000" w:themeColor="text1"/>
          <w:szCs w:val="24"/>
        </w:rPr>
        <w:t xml:space="preserve"> a 2004 deployment to Kuwait, and was diagnosed as non-surgical degenerative disc disease</w:t>
      </w:r>
      <w:r w:rsidR="00324507">
        <w:rPr>
          <w:color w:val="000000" w:themeColor="text1"/>
          <w:szCs w:val="24"/>
        </w:rPr>
        <w:t xml:space="preserve"> (DDD)</w:t>
      </w:r>
      <w:r w:rsidR="000A1B02">
        <w:rPr>
          <w:color w:val="000000" w:themeColor="text1"/>
          <w:szCs w:val="24"/>
        </w:rPr>
        <w:t xml:space="preserve">.  The ankle condition was due to a ligamental injury during the same deployment.  OSA was diagnosed in 2005 during MEB proceedings.  </w:t>
      </w:r>
      <w:r w:rsidR="00DA4B7A">
        <w:rPr>
          <w:color w:val="000000" w:themeColor="text1"/>
          <w:szCs w:val="24"/>
        </w:rPr>
        <w:t>Pes planus was identi</w:t>
      </w:r>
      <w:r w:rsidR="00F232C8">
        <w:rPr>
          <w:color w:val="000000" w:themeColor="text1"/>
          <w:szCs w:val="24"/>
        </w:rPr>
        <w:t xml:space="preserve">fied during the MEB evaluation </w:t>
      </w:r>
      <w:r w:rsidR="00F232C8" w:rsidRPr="007E5C91">
        <w:rPr>
          <w:color w:val="000000" w:themeColor="text1"/>
          <w:szCs w:val="24"/>
        </w:rPr>
        <w:t xml:space="preserve">and was </w:t>
      </w:r>
      <w:r w:rsidR="007E5C91">
        <w:rPr>
          <w:color w:val="000000" w:themeColor="text1"/>
          <w:szCs w:val="24"/>
        </w:rPr>
        <w:t>noted</w:t>
      </w:r>
      <w:r w:rsidR="00F232C8" w:rsidRPr="007E5C91">
        <w:rPr>
          <w:color w:val="000000" w:themeColor="text1"/>
          <w:szCs w:val="24"/>
        </w:rPr>
        <w:t xml:space="preserve"> on the enlistment examination, </w:t>
      </w:r>
      <w:r w:rsidR="00DA4B7A" w:rsidRPr="007E5C91">
        <w:rPr>
          <w:color w:val="000000" w:themeColor="text1"/>
          <w:szCs w:val="24"/>
        </w:rPr>
        <w:t xml:space="preserve">but no </w:t>
      </w:r>
      <w:r w:rsidR="007E5C91">
        <w:rPr>
          <w:color w:val="000000" w:themeColor="text1"/>
          <w:szCs w:val="24"/>
        </w:rPr>
        <w:t xml:space="preserve">further </w:t>
      </w:r>
      <w:r w:rsidR="00DA4B7A" w:rsidRPr="007E5C91">
        <w:rPr>
          <w:color w:val="000000" w:themeColor="text1"/>
          <w:szCs w:val="24"/>
        </w:rPr>
        <w:t xml:space="preserve">historical details are in evidence.  </w:t>
      </w:r>
      <w:r w:rsidR="00DA4B7A" w:rsidRPr="007E5C91">
        <w:rPr>
          <w:color w:val="000000"/>
        </w:rPr>
        <w:t xml:space="preserve">None of these conditions could be adequately rehabilitated to meet the physical requirements of </w:t>
      </w:r>
      <w:r w:rsidR="007E5C91">
        <w:rPr>
          <w:color w:val="000000"/>
        </w:rPr>
        <w:t>the CI’s</w:t>
      </w:r>
      <w:r w:rsidR="00DA4B7A" w:rsidRPr="007E5C91">
        <w:rPr>
          <w:color w:val="000000"/>
        </w:rPr>
        <w:t xml:space="preserve"> Military Occupational Specialty (MOS) or satisfy physical fitness standards.  </w:t>
      </w:r>
      <w:r w:rsidR="00F078E1">
        <w:rPr>
          <w:color w:val="000000"/>
        </w:rPr>
        <w:t>The CI</w:t>
      </w:r>
      <w:r w:rsidR="00DA4B7A" w:rsidRPr="007E5C91">
        <w:rPr>
          <w:color w:val="000000"/>
        </w:rPr>
        <w:t xml:space="preserve"> was consequently issued a </w:t>
      </w:r>
      <w:r w:rsidR="00DA4B7A" w:rsidRPr="007E5C91">
        <w:rPr>
          <w:color w:val="auto"/>
        </w:rPr>
        <w:t>permanent P3/L3 profile</w:t>
      </w:r>
      <w:r w:rsidR="00DA4B7A" w:rsidRPr="007E5C91">
        <w:rPr>
          <w:color w:val="000000"/>
        </w:rPr>
        <w:t xml:space="preserve"> and referred for a Medical Evaluation Board (MEB).  </w:t>
      </w:r>
      <w:r w:rsidR="00F232C8" w:rsidRPr="007E5C91">
        <w:rPr>
          <w:color w:val="000000"/>
        </w:rPr>
        <w:t xml:space="preserve">All four of the above conditions were </w:t>
      </w:r>
      <w:r w:rsidR="00DA4B7A" w:rsidRPr="007E5C91">
        <w:rPr>
          <w:color w:val="000000"/>
        </w:rPr>
        <w:t xml:space="preserve">forwarded to the Physical Evaluation Board (PEB) as </w:t>
      </w:r>
      <w:r w:rsidR="00F232C8" w:rsidRPr="007E5C91">
        <w:rPr>
          <w:color w:val="000000"/>
        </w:rPr>
        <w:t>failing</w:t>
      </w:r>
      <w:r w:rsidR="00DA4B7A" w:rsidRPr="007E5C91">
        <w:rPr>
          <w:color w:val="000000"/>
        </w:rPr>
        <w:t xml:space="preserve"> AR 40-501</w:t>
      </w:r>
      <w:r w:rsidR="00F232C8" w:rsidRPr="007E5C91">
        <w:rPr>
          <w:color w:val="000000"/>
        </w:rPr>
        <w:t xml:space="preserve"> retention standards</w:t>
      </w:r>
      <w:r w:rsidR="00DA4B7A" w:rsidRPr="007E5C91">
        <w:rPr>
          <w:color w:val="000000"/>
        </w:rPr>
        <w:t>.  A psychiatric condition</w:t>
      </w:r>
      <w:r w:rsidR="007E5C91">
        <w:rPr>
          <w:color w:val="000000"/>
        </w:rPr>
        <w:t xml:space="preserve"> (</w:t>
      </w:r>
      <w:r w:rsidR="00DA4B7A" w:rsidRPr="007E5C91">
        <w:rPr>
          <w:color w:val="000000"/>
        </w:rPr>
        <w:t xml:space="preserve">adjustment </w:t>
      </w:r>
      <w:r w:rsidR="007E5C91">
        <w:rPr>
          <w:color w:val="000000"/>
        </w:rPr>
        <w:t>disorder)</w:t>
      </w:r>
      <w:r w:rsidR="00DA4B7A" w:rsidRPr="007E5C91">
        <w:rPr>
          <w:color w:val="000000"/>
        </w:rPr>
        <w:t xml:space="preserve"> was also addressed by the MEB</w:t>
      </w:r>
      <w:r w:rsidR="007E5C91">
        <w:rPr>
          <w:color w:val="000000"/>
        </w:rPr>
        <w:t>,</w:t>
      </w:r>
      <w:r w:rsidR="00DA4B7A" w:rsidRPr="007E5C91">
        <w:rPr>
          <w:color w:val="000000"/>
        </w:rPr>
        <w:t xml:space="preserve"> and forwarded as meeting retention standards.  </w:t>
      </w:r>
      <w:r w:rsidR="00F232C8" w:rsidRPr="007E5C91">
        <w:rPr>
          <w:color w:val="000000"/>
        </w:rPr>
        <w:t xml:space="preserve">The PEB adjudicated the lumbar spine condition as unfitting, rated 10%, citing criteria of the </w:t>
      </w:r>
      <w:r w:rsidR="00F232C8" w:rsidRPr="007E5C91">
        <w:rPr>
          <w:color w:val="000000" w:themeColor="text1"/>
          <w:szCs w:val="24"/>
        </w:rPr>
        <w:t xml:space="preserve">US Army Physical Disability Agency (USAPDA) pain policy; </w:t>
      </w:r>
      <w:r w:rsidR="00F232C8" w:rsidRPr="007E5C91">
        <w:rPr>
          <w:color w:val="000000"/>
        </w:rPr>
        <w:t>the left ankle condition as unfitting, rated 0%, citing criteria of the Veterans Administration Schedule for Rating Disabilities (VASRD)</w:t>
      </w:r>
      <w:r w:rsidR="00F232C8" w:rsidRPr="007E5C91">
        <w:rPr>
          <w:color w:val="000000" w:themeColor="text1"/>
          <w:szCs w:val="24"/>
        </w:rPr>
        <w:t xml:space="preserve">; </w:t>
      </w:r>
      <w:r w:rsidR="00F232C8" w:rsidRPr="007E5C91">
        <w:rPr>
          <w:color w:val="000000"/>
        </w:rPr>
        <w:t>the OSA condition as unfitting, rated 0%, citing criteria of</w:t>
      </w:r>
      <w:r w:rsidR="007E5C91" w:rsidRPr="007E5C91">
        <w:rPr>
          <w:color w:val="000000"/>
        </w:rPr>
        <w:t xml:space="preserve"> </w:t>
      </w:r>
      <w:r w:rsidR="00F232C8" w:rsidRPr="007E5C91">
        <w:rPr>
          <w:color w:val="000000"/>
        </w:rPr>
        <w:t>Department of Defense Instruction (DoDI) 1332.39</w:t>
      </w:r>
      <w:r w:rsidR="007E5C91" w:rsidRPr="007E5C91">
        <w:rPr>
          <w:color w:val="000000"/>
        </w:rPr>
        <w:t xml:space="preserve">; and, the pes planus condition as unfitting, rated 0%, citing criteria of the </w:t>
      </w:r>
      <w:r w:rsidR="00F078E1">
        <w:rPr>
          <w:color w:val="000000" w:themeColor="text1"/>
          <w:szCs w:val="24"/>
        </w:rPr>
        <w:t>USAPDA</w:t>
      </w:r>
      <w:r w:rsidR="007E5C91" w:rsidRPr="007E5C91">
        <w:rPr>
          <w:color w:val="000000" w:themeColor="text1"/>
          <w:szCs w:val="24"/>
        </w:rPr>
        <w:t xml:space="preserve"> pain policy.</w:t>
      </w:r>
      <w:r w:rsidR="00F232C8" w:rsidRPr="007E5C91">
        <w:rPr>
          <w:color w:val="000000"/>
        </w:rPr>
        <w:t xml:space="preserve">  The </w:t>
      </w:r>
      <w:r w:rsidR="007E5C91" w:rsidRPr="007E5C91">
        <w:rPr>
          <w:color w:val="000000"/>
        </w:rPr>
        <w:t>psychiatric condition was</w:t>
      </w:r>
      <w:r w:rsidR="00F232C8" w:rsidRPr="007E5C91">
        <w:rPr>
          <w:color w:val="000000"/>
        </w:rPr>
        <w:t xml:space="preserve"> determined to be not unfitting.</w:t>
      </w:r>
      <w:r w:rsidR="007E5C91" w:rsidRPr="007E5C91">
        <w:rPr>
          <w:color w:val="auto"/>
        </w:rPr>
        <w:t xml:space="preserve">  The CI made no appeals, and was medically</w:t>
      </w:r>
      <w:r w:rsidR="0068348B">
        <w:rPr>
          <w:color w:val="auto"/>
        </w:rPr>
        <w:t xml:space="preserve"> separated with a 10% combined s</w:t>
      </w:r>
      <w:r w:rsidR="007E5C91" w:rsidRPr="007E5C91">
        <w:rPr>
          <w:color w:val="auto"/>
        </w:rPr>
        <w:t>ervice disability rating.</w:t>
      </w:r>
      <w:r w:rsidR="007E5C91"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306E0" w:rsidRDefault="00AD2379" w:rsidP="007D262A">
      <w:pPr>
        <w:tabs>
          <w:tab w:val="left" w:pos="288"/>
          <w:tab w:val="left" w:pos="4752"/>
        </w:tabs>
        <w:jc w:val="both"/>
        <w:rPr>
          <w:color w:val="000000" w:themeColor="text1"/>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7D262A" w:rsidRPr="008E3DB1">
        <w:rPr>
          <w:color w:val="000000" w:themeColor="text1"/>
        </w:rPr>
        <w:t xml:space="preserve">“I was rated by the VA at 90%. </w:t>
      </w:r>
      <w:r w:rsidR="007D262A">
        <w:rPr>
          <w:color w:val="000000" w:themeColor="text1"/>
        </w:rPr>
        <w:t xml:space="preserve"> </w:t>
      </w:r>
      <w:r w:rsidR="007D262A" w:rsidRPr="008E3DB1">
        <w:rPr>
          <w:color w:val="000000" w:themeColor="text1"/>
        </w:rPr>
        <w:t xml:space="preserve">I </w:t>
      </w:r>
      <w:r w:rsidR="007D262A">
        <w:rPr>
          <w:color w:val="000000" w:themeColor="text1"/>
        </w:rPr>
        <w:t>know that a rating of 10% by t</w:t>
      </w:r>
      <w:r w:rsidR="007D262A" w:rsidRPr="008E3DB1">
        <w:rPr>
          <w:color w:val="000000" w:themeColor="text1"/>
        </w:rPr>
        <w:t xml:space="preserve">he Army cannot be correct. </w:t>
      </w:r>
      <w:r w:rsidR="007D262A">
        <w:rPr>
          <w:color w:val="000000" w:themeColor="text1"/>
        </w:rPr>
        <w:t xml:space="preserve"> </w:t>
      </w:r>
      <w:r w:rsidR="007D262A" w:rsidRPr="008E3DB1">
        <w:rPr>
          <w:color w:val="000000" w:themeColor="text1"/>
        </w:rPr>
        <w:t xml:space="preserve">The conditions that lead to my medical discharge have effected </w:t>
      </w:r>
      <w:r w:rsidR="007E5C91">
        <w:rPr>
          <w:color w:val="000000" w:themeColor="text1"/>
        </w:rPr>
        <w:t>[</w:t>
      </w:r>
      <w:r w:rsidR="007E5C91" w:rsidRPr="007E5C91">
        <w:rPr>
          <w:i/>
          <w:color w:val="000000" w:themeColor="text1"/>
        </w:rPr>
        <w:t>sic</w:t>
      </w:r>
      <w:r w:rsidR="007E5C91">
        <w:rPr>
          <w:color w:val="000000" w:themeColor="text1"/>
        </w:rPr>
        <w:t xml:space="preserve">] </w:t>
      </w:r>
      <w:r w:rsidR="007D262A" w:rsidRPr="008E3DB1">
        <w:rPr>
          <w:color w:val="000000" w:themeColor="text1"/>
        </w:rPr>
        <w:t>my life outside of the Mili</w:t>
      </w:r>
      <w:r w:rsidR="007D262A">
        <w:rPr>
          <w:color w:val="000000" w:themeColor="text1"/>
        </w:rPr>
        <w:t xml:space="preserve">tary.  I suffer from migraines, </w:t>
      </w:r>
      <w:r w:rsidR="007D262A" w:rsidRPr="008E3DB1">
        <w:rPr>
          <w:color w:val="000000" w:themeColor="text1"/>
        </w:rPr>
        <w:t>OSA, PT</w:t>
      </w:r>
      <w:r w:rsidR="007D262A">
        <w:rPr>
          <w:color w:val="000000" w:themeColor="text1"/>
        </w:rPr>
        <w:t>SD, bone spurs, arthritis, and h</w:t>
      </w:r>
      <w:r w:rsidR="007D262A" w:rsidRPr="008E3DB1">
        <w:rPr>
          <w:color w:val="000000" w:themeColor="text1"/>
        </w:rPr>
        <w:t>erniated disc, and many other ailments.”</w:t>
      </w:r>
    </w:p>
    <w:p w:rsidR="007D262A" w:rsidRPr="008E3DB1" w:rsidRDefault="007D262A" w:rsidP="007D262A">
      <w:pPr>
        <w:pBdr>
          <w:bottom w:val="single" w:sz="12" w:space="1" w:color="auto"/>
        </w:pBdr>
        <w:tabs>
          <w:tab w:val="left" w:pos="288"/>
          <w:tab w:val="left" w:pos="4752"/>
        </w:tabs>
        <w:jc w:val="both"/>
        <w:rPr>
          <w:color w:val="000000" w:themeColor="text1"/>
        </w:rPr>
      </w:pPr>
    </w:p>
    <w:p w:rsidR="007D262A" w:rsidRPr="008E3DB1" w:rsidRDefault="007D262A" w:rsidP="007D262A">
      <w:pPr>
        <w:tabs>
          <w:tab w:val="left" w:pos="288"/>
          <w:tab w:val="left" w:pos="4752"/>
        </w:tabs>
        <w:jc w:val="both"/>
        <w:rPr>
          <w:color w:val="000000" w:themeColor="text1"/>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w:t>
      </w:r>
      <w:r w:rsidR="00EC00CC">
        <w:rPr>
          <w:color w:val="auto"/>
        </w:rPr>
        <w:t xml:space="preserve">iew as defined in DoDI 6040.44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24507">
        <w:rPr>
          <w:color w:val="auto"/>
        </w:rPr>
        <w:t>.</w:t>
      </w:r>
      <w:r w:rsidRPr="00C566C9">
        <w:rPr>
          <w:color w:val="auto"/>
        </w:rPr>
        <w:t>”</w:t>
      </w:r>
      <w:r>
        <w:rPr>
          <w:color w:val="auto"/>
        </w:rPr>
        <w:t xml:space="preserve">  </w:t>
      </w:r>
      <w:r w:rsidRPr="009239C0">
        <w:rPr>
          <w:color w:val="auto"/>
        </w:rPr>
        <w:t xml:space="preserve">The ratings for </w:t>
      </w:r>
      <w:r w:rsidR="00EC00CC">
        <w:rPr>
          <w:color w:val="auto"/>
        </w:rPr>
        <w:t xml:space="preserve">all four </w:t>
      </w:r>
      <w:r w:rsidR="007E5C91">
        <w:rPr>
          <w:color w:val="auto"/>
        </w:rPr>
        <w:t xml:space="preserve">of the </w:t>
      </w:r>
      <w:r w:rsidRPr="009239C0">
        <w:rPr>
          <w:color w:val="auto"/>
        </w:rPr>
        <w:t xml:space="preserve">unfitting conditions </w:t>
      </w:r>
      <w:r w:rsidR="00A6727E">
        <w:rPr>
          <w:color w:val="auto"/>
        </w:rPr>
        <w:t>are addressed below</w:t>
      </w:r>
      <w:r w:rsidR="007E5C91">
        <w:rPr>
          <w:color w:val="auto"/>
        </w:rPr>
        <w:t>.  The</w:t>
      </w:r>
      <w:r w:rsidR="00A6727E">
        <w:rPr>
          <w:color w:val="auto"/>
        </w:rPr>
        <w:t xml:space="preserve"> adjustment disorder adjudicated </w:t>
      </w:r>
      <w:r w:rsidR="007E5C91">
        <w:rPr>
          <w:color w:val="auto"/>
        </w:rPr>
        <w:t xml:space="preserve">as not unfitting by the </w:t>
      </w:r>
      <w:r w:rsidR="00324507">
        <w:rPr>
          <w:color w:val="auto"/>
        </w:rPr>
        <w:t>s</w:t>
      </w:r>
      <w:r w:rsidR="007E5C91">
        <w:rPr>
          <w:color w:val="auto"/>
        </w:rPr>
        <w:t>ervice is also within the defined scope, since</w:t>
      </w:r>
      <w:r w:rsidR="00A6727E">
        <w:rPr>
          <w:color w:val="auto"/>
        </w:rPr>
        <w:t xml:space="preserve"> the r</w:t>
      </w:r>
      <w:r w:rsidR="00324507">
        <w:rPr>
          <w:color w:val="auto"/>
        </w:rPr>
        <w:t>equested consideration for post</w:t>
      </w:r>
      <w:r w:rsidR="00A6727E">
        <w:rPr>
          <w:color w:val="auto"/>
        </w:rPr>
        <w:t>traumatic stress disorder (PTSD) is attached to the same condition</w:t>
      </w:r>
      <w:r w:rsidRPr="009239C0">
        <w:rPr>
          <w:color w:val="auto"/>
        </w:rPr>
        <w:t>.</w:t>
      </w:r>
      <w:r w:rsidR="002E1D52">
        <w:rPr>
          <w:color w:val="auto"/>
        </w:rPr>
        <w:t xml:space="preserve">  </w:t>
      </w:r>
      <w:r w:rsidR="00A6727E">
        <w:rPr>
          <w:color w:val="auto"/>
        </w:rPr>
        <w:t>The other conditions listed by the CI,</w:t>
      </w:r>
      <w:r w:rsidRPr="00C566C9">
        <w:rPr>
          <w:color w:val="auto"/>
        </w:rPr>
        <w:t xml:space="preserve"> </w:t>
      </w:r>
      <w:r w:rsidR="00A6727E">
        <w:rPr>
          <w:color w:val="auto"/>
        </w:rPr>
        <w:t>or any</w:t>
      </w:r>
      <w:r w:rsidRPr="00C566C9">
        <w:rPr>
          <w:color w:val="auto"/>
        </w:rPr>
        <w:t xml:space="preserve"> contention not requested in this application</w:t>
      </w:r>
      <w:r>
        <w:rPr>
          <w:color w:val="auto"/>
        </w:rPr>
        <w:t>, remain</w:t>
      </w:r>
      <w:r w:rsidRPr="00C566C9">
        <w:rPr>
          <w:color w:val="auto"/>
        </w:rPr>
        <w:t xml:space="preserve"> eligible for future consideration b</w:t>
      </w:r>
      <w:r w:rsidRPr="002E1D52">
        <w:rPr>
          <w:color w:val="auto"/>
        </w:rPr>
        <w:t>y the Army Board for the Correction of Military Records (</w:t>
      </w:r>
      <w:r w:rsidR="004008DE">
        <w:rPr>
          <w:color w:val="auto"/>
        </w:rPr>
        <w:t>A</w:t>
      </w:r>
      <w:r w:rsidRPr="002E1D52">
        <w:rPr>
          <w:color w:val="auto"/>
        </w:rPr>
        <w:t>BCMR).</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C71EAD" w:rsidRDefault="00C71EAD">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00AF60DA">
        <w:rPr>
          <w:color w:val="auto"/>
        </w:rPr>
        <w:t>:</w:t>
      </w:r>
    </w:p>
    <w:p w:rsidR="00F90376" w:rsidRDefault="00F90376" w:rsidP="00AF60DA">
      <w:pPr>
        <w:tabs>
          <w:tab w:val="left" w:pos="288"/>
          <w:tab w:val="left" w:pos="4752"/>
        </w:tabs>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AF60DA" w:rsidRPr="008E3DB1" w:rsidTr="00EC00CC">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AF60DA" w:rsidRPr="008E3DB1" w:rsidRDefault="00EC00CC" w:rsidP="00EC00CC">
            <w:pPr>
              <w:contextualSpacing/>
              <w:rPr>
                <w:rFonts w:cs="Calibri"/>
                <w:b/>
                <w:color w:val="000000" w:themeColor="text1"/>
                <w:sz w:val="18"/>
                <w:szCs w:val="18"/>
              </w:rPr>
            </w:pPr>
            <w:r>
              <w:rPr>
                <w:rFonts w:cs="Calibri"/>
                <w:b/>
                <w:color w:val="000000" w:themeColor="text1"/>
                <w:sz w:val="18"/>
                <w:szCs w:val="18"/>
              </w:rPr>
              <w:t xml:space="preserve">Service </w:t>
            </w:r>
            <w:r w:rsidR="00AF60DA" w:rsidRPr="008E3DB1">
              <w:rPr>
                <w:rFonts w:cs="Calibri"/>
                <w:b/>
                <w:color w:val="000000" w:themeColor="text1"/>
                <w:sz w:val="18"/>
                <w:szCs w:val="18"/>
              </w:rPr>
              <w:t>PEB – Dated 20050405</w:t>
            </w:r>
          </w:p>
        </w:tc>
        <w:tc>
          <w:tcPr>
            <w:tcW w:w="5220" w:type="dxa"/>
            <w:gridSpan w:val="4"/>
            <w:tcBorders>
              <w:left w:val="thinThickThinSmallGap" w:sz="24" w:space="0" w:color="auto"/>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VA (4 Mo. After Separation) – All Effective Date 20050502</w:t>
            </w:r>
          </w:p>
        </w:tc>
      </w:tr>
      <w:tr w:rsidR="00AF60DA" w:rsidRPr="008E3DB1" w:rsidTr="00EC00CC">
        <w:trPr>
          <w:trHeight w:val="100"/>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Exam</w:t>
            </w:r>
          </w:p>
        </w:tc>
      </w:tr>
      <w:tr w:rsidR="00AF60DA" w:rsidRPr="008E3DB1" w:rsidTr="00EC00CC">
        <w:trPr>
          <w:trHeight w:val="118"/>
          <w:jc w:val="center"/>
        </w:trPr>
        <w:tc>
          <w:tcPr>
            <w:tcW w:w="2178" w:type="dxa"/>
            <w:tcBorders>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theme="minorHAnsi"/>
                <w:color w:val="auto"/>
                <w:sz w:val="18"/>
                <w:szCs w:val="18"/>
              </w:rPr>
            </w:pPr>
            <w:r w:rsidRPr="008E3DB1">
              <w:rPr>
                <w:rFonts w:cstheme="minorHAnsi"/>
                <w:color w:val="auto"/>
                <w:sz w:val="18"/>
                <w:szCs w:val="18"/>
              </w:rPr>
              <w:t>5237</w:t>
            </w:r>
          </w:p>
        </w:tc>
        <w:tc>
          <w:tcPr>
            <w:tcW w:w="900" w:type="dxa"/>
            <w:tcBorders>
              <w:right w:val="thinThickThinSmallGap" w:sz="24" w:space="0" w:color="auto"/>
            </w:tcBorders>
            <w:shd w:val="clear" w:color="auto" w:fill="FFFFFF" w:themeFill="background1"/>
            <w:vAlign w:val="center"/>
          </w:tcPr>
          <w:p w:rsidR="00AF60DA" w:rsidRPr="008E3DB1" w:rsidRDefault="00AF60DA" w:rsidP="00EC00CC">
            <w:pPr>
              <w:spacing w:line="220" w:lineRule="exact"/>
              <w:rPr>
                <w:rFonts w:cstheme="minorHAnsi"/>
                <w:color w:val="auto"/>
                <w:sz w:val="18"/>
                <w:szCs w:val="18"/>
              </w:rPr>
            </w:pPr>
            <w:r w:rsidRPr="008E3DB1">
              <w:rPr>
                <w:rFonts w:cstheme="minorHAnsi"/>
                <w:color w:val="auto"/>
                <w:sz w:val="18"/>
                <w:szCs w:val="18"/>
              </w:rPr>
              <w:t>10%</w:t>
            </w:r>
          </w:p>
        </w:tc>
        <w:tc>
          <w:tcPr>
            <w:tcW w:w="2322" w:type="dxa"/>
            <w:tcBorders>
              <w:left w:val="thinThickThinSmallGap" w:sz="2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Lumbar Strain</w:t>
            </w:r>
          </w:p>
        </w:tc>
        <w:tc>
          <w:tcPr>
            <w:tcW w:w="108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5010-5243</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20050829</w:t>
            </w:r>
          </w:p>
        </w:tc>
      </w:tr>
      <w:tr w:rsidR="00AF60DA" w:rsidRPr="008E3DB1" w:rsidTr="00EC00CC">
        <w:trPr>
          <w:trHeight w:val="66"/>
          <w:jc w:val="center"/>
        </w:trPr>
        <w:tc>
          <w:tcPr>
            <w:tcW w:w="2178" w:type="dxa"/>
            <w:tcBorders>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Chronic Left Ankle Pain</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theme="minorHAnsi"/>
                <w:color w:val="auto"/>
                <w:sz w:val="18"/>
                <w:szCs w:val="18"/>
              </w:rPr>
            </w:pPr>
            <w:r w:rsidRPr="008E3DB1">
              <w:rPr>
                <w:rFonts w:cstheme="minorHAnsi"/>
                <w:color w:val="auto"/>
                <w:sz w:val="18"/>
                <w:szCs w:val="18"/>
              </w:rPr>
              <w:t>5003</w:t>
            </w:r>
          </w:p>
        </w:tc>
        <w:tc>
          <w:tcPr>
            <w:tcW w:w="900" w:type="dxa"/>
            <w:tcBorders>
              <w:right w:val="thinThickThinSmallGap" w:sz="24" w:space="0" w:color="auto"/>
            </w:tcBorders>
            <w:shd w:val="clear" w:color="auto" w:fill="FFFFFF" w:themeFill="background1"/>
            <w:vAlign w:val="center"/>
          </w:tcPr>
          <w:p w:rsidR="00AF60DA" w:rsidRPr="008E3DB1" w:rsidRDefault="00AF60DA" w:rsidP="00EC00CC">
            <w:pPr>
              <w:spacing w:line="220" w:lineRule="exact"/>
              <w:rPr>
                <w:rFonts w:cstheme="minorHAnsi"/>
                <w:color w:val="auto"/>
                <w:sz w:val="18"/>
                <w:szCs w:val="18"/>
              </w:rPr>
            </w:pPr>
            <w:r w:rsidRPr="008E3DB1">
              <w:rPr>
                <w:rFonts w:cstheme="minorHAnsi"/>
                <w:color w:val="auto"/>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Left Ankle DJD</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5010-5271</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20050829</w:t>
            </w:r>
          </w:p>
        </w:tc>
      </w:tr>
      <w:tr w:rsidR="00AF60DA" w:rsidRPr="008E3DB1" w:rsidTr="00EC00CC">
        <w:trPr>
          <w:trHeight w:val="66"/>
          <w:jc w:val="center"/>
        </w:trPr>
        <w:tc>
          <w:tcPr>
            <w:tcW w:w="2178" w:type="dxa"/>
            <w:tcBorders>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Obstructive Sleep Apnea</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theme="minorHAnsi"/>
                <w:color w:val="auto"/>
                <w:sz w:val="18"/>
                <w:szCs w:val="18"/>
              </w:rPr>
            </w:pPr>
            <w:r w:rsidRPr="008E3DB1">
              <w:rPr>
                <w:rFonts w:cstheme="minorHAnsi"/>
                <w:color w:val="auto"/>
                <w:sz w:val="18"/>
                <w:szCs w:val="18"/>
              </w:rPr>
              <w:t>6847</w:t>
            </w:r>
          </w:p>
        </w:tc>
        <w:tc>
          <w:tcPr>
            <w:tcW w:w="900" w:type="dxa"/>
            <w:tcBorders>
              <w:right w:val="thinThickThinSmallGap" w:sz="24" w:space="0" w:color="auto"/>
            </w:tcBorders>
            <w:shd w:val="clear" w:color="auto" w:fill="FFFFFF" w:themeFill="background1"/>
            <w:vAlign w:val="center"/>
          </w:tcPr>
          <w:p w:rsidR="00AF60DA" w:rsidRPr="008E3DB1" w:rsidRDefault="00AF60DA" w:rsidP="00EC00CC">
            <w:pPr>
              <w:spacing w:line="220" w:lineRule="exact"/>
              <w:contextualSpacing/>
              <w:rPr>
                <w:rFonts w:cstheme="minorHAnsi"/>
                <w:color w:val="auto"/>
                <w:sz w:val="18"/>
                <w:szCs w:val="18"/>
              </w:rPr>
            </w:pPr>
            <w:r w:rsidRPr="008E3DB1">
              <w:rPr>
                <w:rFonts w:cstheme="minorHAnsi"/>
                <w:color w:val="auto"/>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OSA</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6847</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50%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20050829</w:t>
            </w:r>
          </w:p>
        </w:tc>
      </w:tr>
      <w:tr w:rsidR="00AF60DA" w:rsidRPr="008E3DB1" w:rsidTr="00EC00CC">
        <w:trPr>
          <w:trHeight w:val="66"/>
          <w:jc w:val="center"/>
        </w:trPr>
        <w:tc>
          <w:tcPr>
            <w:tcW w:w="2178" w:type="dxa"/>
            <w:tcBorders>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Pes Planus</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theme="minorHAnsi"/>
                <w:color w:val="auto"/>
                <w:sz w:val="18"/>
                <w:szCs w:val="18"/>
              </w:rPr>
            </w:pPr>
            <w:r w:rsidRPr="008E3DB1">
              <w:rPr>
                <w:rFonts w:cstheme="minorHAnsi"/>
                <w:color w:val="auto"/>
                <w:sz w:val="18"/>
                <w:szCs w:val="18"/>
              </w:rPr>
              <w:t>5099-5003</w:t>
            </w:r>
          </w:p>
        </w:tc>
        <w:tc>
          <w:tcPr>
            <w:tcW w:w="900" w:type="dxa"/>
            <w:tcBorders>
              <w:right w:val="thinThickThinSmallGap" w:sz="24" w:space="0" w:color="auto"/>
            </w:tcBorders>
            <w:shd w:val="clear" w:color="auto" w:fill="FFFFFF" w:themeFill="background1"/>
            <w:vAlign w:val="center"/>
          </w:tcPr>
          <w:p w:rsidR="00AF60DA" w:rsidRPr="008E3DB1" w:rsidRDefault="00AF60DA" w:rsidP="00EC00CC">
            <w:pPr>
              <w:spacing w:line="220" w:lineRule="exact"/>
              <w:contextualSpacing/>
              <w:rPr>
                <w:rFonts w:cstheme="minorHAnsi"/>
                <w:color w:val="auto"/>
                <w:sz w:val="18"/>
                <w:szCs w:val="18"/>
              </w:rPr>
            </w:pPr>
            <w:r w:rsidRPr="008E3DB1">
              <w:rPr>
                <w:rFonts w:cstheme="minorHAnsi"/>
                <w:color w:val="auto"/>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Bilateral Pes Planus</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5276</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10%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20050829</w:t>
            </w:r>
          </w:p>
        </w:tc>
      </w:tr>
      <w:tr w:rsidR="00AF60DA" w:rsidRPr="008E3DB1" w:rsidTr="00EC00CC">
        <w:trPr>
          <w:trHeight w:val="66"/>
          <w:jc w:val="center"/>
        </w:trPr>
        <w:tc>
          <w:tcPr>
            <w:tcW w:w="2178" w:type="dxa"/>
            <w:tcBorders>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Adjustment Disorder</w:t>
            </w:r>
          </w:p>
        </w:tc>
        <w:tc>
          <w:tcPr>
            <w:tcW w:w="1980" w:type="dxa"/>
            <w:gridSpan w:val="2"/>
            <w:tcBorders>
              <w:left w:val="single" w:sz="4" w:space="0" w:color="auto"/>
              <w:right w:val="thinThickThinSmallGap" w:sz="24" w:space="0" w:color="auto"/>
            </w:tcBorders>
            <w:shd w:val="clear" w:color="auto" w:fill="FFFFFF" w:themeFill="background1"/>
            <w:vAlign w:val="center"/>
          </w:tcPr>
          <w:p w:rsidR="00AF60DA" w:rsidRPr="008E3DB1" w:rsidRDefault="00AF60DA" w:rsidP="00EC00CC">
            <w:pPr>
              <w:spacing w:line="220" w:lineRule="exact"/>
              <w:contextualSpacing/>
              <w:rPr>
                <w:color w:val="auto"/>
                <w:sz w:val="18"/>
                <w:szCs w:val="18"/>
              </w:rPr>
            </w:pPr>
            <w:r w:rsidRPr="008E3DB1">
              <w:rPr>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Adjustment Disorder</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9440</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30%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20050809</w:t>
            </w:r>
          </w:p>
        </w:tc>
      </w:tr>
      <w:tr w:rsidR="00AF60DA" w:rsidRPr="008E3DB1" w:rsidTr="00EC00CC">
        <w:trPr>
          <w:trHeight w:val="66"/>
          <w:jc w:val="center"/>
        </w:trPr>
        <w:tc>
          <w:tcPr>
            <w:tcW w:w="4158" w:type="dxa"/>
            <w:gridSpan w:val="3"/>
            <w:vMerge w:val="restart"/>
            <w:tcBorders>
              <w:right w:val="thinThickThinSmallGap" w:sz="24" w:space="0" w:color="auto"/>
            </w:tcBorders>
            <w:shd w:val="clear" w:color="auto" w:fill="FFFFFF" w:themeFill="background1"/>
            <w:vAlign w:val="center"/>
          </w:tcPr>
          <w:p w:rsidR="00AF60DA" w:rsidRPr="008E3DB1" w:rsidRDefault="00AF60DA" w:rsidP="00EC00CC">
            <w:pPr>
              <w:spacing w:line="220" w:lineRule="exact"/>
              <w:contextualSpacing/>
              <w:rPr>
                <w:color w:val="auto"/>
                <w:sz w:val="18"/>
                <w:szCs w:val="18"/>
              </w:rPr>
            </w:pPr>
            <w:r w:rsidRPr="008E3DB1">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Cervical Strain</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5243</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20050829</w:t>
            </w:r>
          </w:p>
        </w:tc>
      </w:tr>
      <w:tr w:rsidR="00AF60DA" w:rsidRPr="008E3DB1" w:rsidTr="00EC00CC">
        <w:trPr>
          <w:trHeight w:val="66"/>
          <w:jc w:val="center"/>
        </w:trPr>
        <w:tc>
          <w:tcPr>
            <w:tcW w:w="4158" w:type="dxa"/>
            <w:gridSpan w:val="3"/>
            <w:vMerge/>
            <w:tcBorders>
              <w:right w:val="thinThickThinSmallGap" w:sz="24" w:space="0" w:color="auto"/>
            </w:tcBorders>
            <w:shd w:val="clear" w:color="auto" w:fill="FFFFFF" w:themeFill="background1"/>
            <w:vAlign w:val="center"/>
          </w:tcPr>
          <w:p w:rsidR="00AF60DA" w:rsidRPr="008E3DB1" w:rsidRDefault="00AF60DA" w:rsidP="00EC00CC">
            <w:pPr>
              <w:spacing w:line="220" w:lineRule="exact"/>
              <w:contextualSpacing/>
              <w:rPr>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6260</w:t>
            </w:r>
          </w:p>
        </w:tc>
        <w:tc>
          <w:tcPr>
            <w:tcW w:w="828"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10%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20050802</w:t>
            </w:r>
          </w:p>
        </w:tc>
      </w:tr>
      <w:tr w:rsidR="00AF60DA" w:rsidRPr="008E3DB1" w:rsidTr="00EC00CC">
        <w:trPr>
          <w:trHeight w:val="66"/>
          <w:jc w:val="center"/>
        </w:trPr>
        <w:tc>
          <w:tcPr>
            <w:tcW w:w="4158" w:type="dxa"/>
            <w:gridSpan w:val="3"/>
            <w:vMerge/>
            <w:tcBorders>
              <w:right w:val="thinThickThinSmallGap" w:sz="2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F60DA" w:rsidRPr="008E3DB1" w:rsidRDefault="00AF60DA" w:rsidP="00F078E1">
            <w:pPr>
              <w:spacing w:line="220" w:lineRule="exact"/>
              <w:contextualSpacing/>
              <w:jc w:val="left"/>
              <w:rPr>
                <w:rFonts w:cs="Calibri"/>
                <w:color w:val="000000" w:themeColor="text1"/>
                <w:sz w:val="18"/>
                <w:szCs w:val="18"/>
              </w:rPr>
            </w:pPr>
            <w:r w:rsidRPr="008E3DB1">
              <w:rPr>
                <w:rFonts w:cs="Calibri"/>
                <w:color w:val="000000" w:themeColor="text1"/>
                <w:sz w:val="18"/>
                <w:szCs w:val="18"/>
              </w:rPr>
              <w:t>Migraine</w:t>
            </w:r>
          </w:p>
        </w:tc>
        <w:tc>
          <w:tcPr>
            <w:tcW w:w="1080" w:type="dxa"/>
            <w:tcBorders>
              <w:left w:val="single" w:sz="4" w:space="0" w:color="auto"/>
              <w:righ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8100</w:t>
            </w:r>
          </w:p>
        </w:tc>
        <w:tc>
          <w:tcPr>
            <w:tcW w:w="828" w:type="dxa"/>
            <w:tcBorders>
              <w:left w:val="single" w:sz="4" w:space="0" w:color="auto"/>
            </w:tcBorders>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10%</w:t>
            </w:r>
          </w:p>
        </w:tc>
        <w:tc>
          <w:tcPr>
            <w:tcW w:w="990" w:type="dxa"/>
            <w:shd w:val="clear" w:color="auto" w:fill="FFFFFF" w:themeFill="background1"/>
            <w:vAlign w:val="center"/>
          </w:tcPr>
          <w:p w:rsidR="00AF60DA" w:rsidRPr="008E3DB1" w:rsidRDefault="00AF60DA" w:rsidP="00EC00CC">
            <w:pPr>
              <w:spacing w:line="220" w:lineRule="exact"/>
              <w:contextualSpacing/>
              <w:rPr>
                <w:rFonts w:cs="Calibri"/>
                <w:color w:val="000000" w:themeColor="text1"/>
                <w:sz w:val="18"/>
                <w:szCs w:val="18"/>
              </w:rPr>
            </w:pPr>
            <w:r w:rsidRPr="008E3DB1">
              <w:rPr>
                <w:rFonts w:cs="Calibri"/>
                <w:color w:val="000000" w:themeColor="text1"/>
                <w:sz w:val="18"/>
                <w:szCs w:val="18"/>
              </w:rPr>
              <w:t>20050829</w:t>
            </w:r>
          </w:p>
        </w:tc>
      </w:tr>
      <w:tr w:rsidR="00AF60DA" w:rsidRPr="001F29F9" w:rsidTr="00EC00CC">
        <w:trPr>
          <w:trHeight w:val="242"/>
          <w:jc w:val="center"/>
        </w:trPr>
        <w:tc>
          <w:tcPr>
            <w:tcW w:w="4158" w:type="dxa"/>
            <w:gridSpan w:val="3"/>
            <w:tcBorders>
              <w:right w:val="thinThickThinSmallGap" w:sz="24" w:space="0" w:color="auto"/>
            </w:tcBorders>
            <w:shd w:val="clear" w:color="auto" w:fill="D9D9D9" w:themeFill="background1" w:themeFillShade="D9"/>
          </w:tcPr>
          <w:p w:rsidR="00AF60DA" w:rsidRPr="008E3DB1" w:rsidRDefault="00AF60DA" w:rsidP="00EC00CC">
            <w:pPr>
              <w:contextualSpacing/>
              <w:rPr>
                <w:rFonts w:cs="Calibri"/>
                <w:b/>
                <w:color w:val="000000" w:themeColor="text1"/>
                <w:sz w:val="18"/>
                <w:szCs w:val="18"/>
              </w:rPr>
            </w:pPr>
            <w:r w:rsidRPr="008E3DB1">
              <w:rPr>
                <w:rFonts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tcPr>
          <w:p w:rsidR="00AF60DA" w:rsidRPr="001F29F9" w:rsidRDefault="00AF60DA" w:rsidP="00EC00CC">
            <w:pPr>
              <w:contextualSpacing/>
              <w:rPr>
                <w:rFonts w:cs="Calibri"/>
                <w:b/>
                <w:color w:val="000000" w:themeColor="text1"/>
                <w:sz w:val="18"/>
                <w:szCs w:val="18"/>
              </w:rPr>
            </w:pPr>
            <w:r w:rsidRPr="008E3DB1">
              <w:rPr>
                <w:rFonts w:cs="Calibri"/>
                <w:b/>
                <w:color w:val="000000" w:themeColor="text1"/>
                <w:sz w:val="18"/>
                <w:szCs w:val="18"/>
              </w:rPr>
              <w:t>Combined:  90%</w:t>
            </w:r>
          </w:p>
        </w:tc>
      </w:tr>
    </w:tbl>
    <w:p w:rsidR="007D262A" w:rsidRPr="00F64312" w:rsidRDefault="007D262A"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Pr="00DF1F51" w:rsidRDefault="009150CC" w:rsidP="0069687C">
      <w:pPr>
        <w:jc w:val="both"/>
        <w:rPr>
          <w:color w:val="auto"/>
        </w:rPr>
      </w:pPr>
      <w:r w:rsidRPr="009150CC">
        <w:rPr>
          <w:color w:val="auto"/>
          <w:u w:val="single"/>
        </w:rPr>
        <w:t>Lumbar Spine</w:t>
      </w:r>
      <w:r w:rsidR="00AD2379" w:rsidRPr="009150CC">
        <w:rPr>
          <w:color w:val="auto"/>
          <w:u w:val="single"/>
        </w:rPr>
        <w:t xml:space="preserve"> Condition</w:t>
      </w:r>
      <w:r w:rsidR="00AD2379" w:rsidRPr="009150CC">
        <w:rPr>
          <w:color w:val="auto"/>
        </w:rPr>
        <w:t xml:space="preserve">. </w:t>
      </w:r>
      <w:r w:rsidR="00385708" w:rsidRPr="009150CC">
        <w:rPr>
          <w:color w:val="auto"/>
        </w:rPr>
        <w:t xml:space="preserve"> </w:t>
      </w:r>
      <w:r w:rsidR="00490D6A">
        <w:rPr>
          <w:color w:val="auto"/>
        </w:rPr>
        <w:t xml:space="preserve">The onset of back pain was possibly associated with a fall during the Kuwait deployment, although no distinct incident is cited.  Imaging after redeployment </w:t>
      </w:r>
      <w:r w:rsidR="00E03686">
        <w:rPr>
          <w:color w:val="auto"/>
        </w:rPr>
        <w:t xml:space="preserve">demonstrated degenerative changes and a small disc protrusion at L5/S1.  There were some symptoms suggestive of a left sciatic radiculopathy, but </w:t>
      </w:r>
      <w:r w:rsidR="00F078E1">
        <w:rPr>
          <w:color w:val="auto"/>
        </w:rPr>
        <w:t xml:space="preserve">there were </w:t>
      </w:r>
      <w:r w:rsidR="00E03686">
        <w:rPr>
          <w:color w:val="auto"/>
        </w:rPr>
        <w:t xml:space="preserve">no abnormal neurologic findings on numerous examinations; and, electrodiagnostic testing revealed only equivocal findings confined to the great toe extensor.  </w:t>
      </w:r>
      <w:r w:rsidR="00DF1F51">
        <w:rPr>
          <w:color w:val="auto"/>
        </w:rPr>
        <w:t xml:space="preserve">There were no surgical indications; and, </w:t>
      </w:r>
      <w:r w:rsidR="00F078E1">
        <w:rPr>
          <w:color w:val="auto"/>
        </w:rPr>
        <w:t>a failed trial</w:t>
      </w:r>
      <w:r w:rsidR="00DF1F51">
        <w:rPr>
          <w:color w:val="auto"/>
        </w:rPr>
        <w:t xml:space="preserve"> </w:t>
      </w:r>
      <w:r w:rsidR="00F078E1">
        <w:rPr>
          <w:color w:val="auto"/>
        </w:rPr>
        <w:t xml:space="preserve">of </w:t>
      </w:r>
      <w:r w:rsidR="00DF1F51">
        <w:rPr>
          <w:color w:val="auto"/>
        </w:rPr>
        <w:t xml:space="preserve">physical therapy </w:t>
      </w:r>
      <w:r w:rsidR="00AC0986">
        <w:rPr>
          <w:color w:val="auto"/>
        </w:rPr>
        <w:t xml:space="preserve">(PT) </w:t>
      </w:r>
      <w:r w:rsidR="00F078E1">
        <w:rPr>
          <w:color w:val="auto"/>
        </w:rPr>
        <w:t>and</w:t>
      </w:r>
      <w:r w:rsidR="00DF1F51">
        <w:rPr>
          <w:color w:val="auto"/>
        </w:rPr>
        <w:t xml:space="preserve"> standard conservative measures.  </w:t>
      </w:r>
      <w:r w:rsidR="0069687C" w:rsidRPr="00F64312">
        <w:rPr>
          <w:color w:val="auto"/>
          <w:szCs w:val="24"/>
        </w:rPr>
        <w:t xml:space="preserve">There were </w:t>
      </w:r>
      <w:r w:rsidR="00DF1F51">
        <w:rPr>
          <w:color w:val="auto"/>
          <w:szCs w:val="24"/>
        </w:rPr>
        <w:t>two formal</w:t>
      </w:r>
      <w:r w:rsidR="00324507">
        <w:rPr>
          <w:color w:val="auto"/>
          <w:szCs w:val="24"/>
        </w:rPr>
        <w:t xml:space="preserve"> 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p>
    <w:p w:rsidR="00A6727E" w:rsidRDefault="00A6727E" w:rsidP="0069687C">
      <w:pPr>
        <w:jc w:val="both"/>
        <w:rPr>
          <w:color w:val="auto"/>
          <w:szCs w:val="24"/>
        </w:rPr>
      </w:pPr>
    </w:p>
    <w:tbl>
      <w:tblPr>
        <w:tblW w:w="8367"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96"/>
        <w:gridCol w:w="2371"/>
        <w:gridCol w:w="3600"/>
      </w:tblGrid>
      <w:tr w:rsidR="00567422" w:rsidRPr="00567422" w:rsidTr="00AC0986">
        <w:trPr>
          <w:jc w:val="center"/>
        </w:trPr>
        <w:tc>
          <w:tcPr>
            <w:tcW w:w="2396" w:type="dxa"/>
            <w:shd w:val="clear" w:color="auto" w:fill="D9D9D9"/>
            <w:vAlign w:val="center"/>
          </w:tcPr>
          <w:p w:rsidR="00567422" w:rsidRPr="00567422" w:rsidRDefault="00567422" w:rsidP="00567422">
            <w:pPr>
              <w:contextualSpacing/>
              <w:rPr>
                <w:rFonts w:cs="Times New Roman"/>
                <w:color w:val="auto"/>
                <w:sz w:val="22"/>
              </w:rPr>
            </w:pPr>
            <w:r w:rsidRPr="00567422">
              <w:rPr>
                <w:rFonts w:cs="Times New Roman"/>
                <w:color w:val="auto"/>
                <w:sz w:val="22"/>
              </w:rPr>
              <w:t>Thoracolumbar ROM</w:t>
            </w:r>
          </w:p>
        </w:tc>
        <w:tc>
          <w:tcPr>
            <w:tcW w:w="2371" w:type="dxa"/>
            <w:shd w:val="clear" w:color="auto" w:fill="D9D9D9"/>
            <w:vAlign w:val="center"/>
          </w:tcPr>
          <w:p w:rsidR="00567422" w:rsidRPr="00567422" w:rsidRDefault="00567422" w:rsidP="00567422">
            <w:pPr>
              <w:contextualSpacing/>
              <w:rPr>
                <w:rFonts w:cs="Times New Roman"/>
                <w:color w:val="auto"/>
                <w:sz w:val="22"/>
              </w:rPr>
            </w:pPr>
            <w:r>
              <w:rPr>
                <w:rFonts w:cs="Times New Roman"/>
                <w:color w:val="auto"/>
                <w:sz w:val="22"/>
              </w:rPr>
              <w:t xml:space="preserve">MEB </w:t>
            </w:r>
            <w:r w:rsidR="00AC0986">
              <w:rPr>
                <w:rFonts w:cs="Times New Roman"/>
                <w:color w:val="auto"/>
                <w:sz w:val="22"/>
              </w:rPr>
              <w:t xml:space="preserve">PT </w:t>
            </w:r>
            <w:r>
              <w:rPr>
                <w:rFonts w:cs="Times New Roman"/>
                <w:color w:val="auto"/>
                <w:sz w:val="22"/>
              </w:rPr>
              <w:t>~5</w:t>
            </w:r>
            <w:r w:rsidRPr="00567422">
              <w:rPr>
                <w:rFonts w:cs="Times New Roman"/>
                <w:color w:val="auto"/>
                <w:sz w:val="22"/>
              </w:rPr>
              <w:t xml:space="preserve"> Mo. Pre-Sep</w:t>
            </w:r>
          </w:p>
        </w:tc>
        <w:tc>
          <w:tcPr>
            <w:tcW w:w="3600" w:type="dxa"/>
            <w:shd w:val="clear" w:color="auto" w:fill="D9D9D9"/>
            <w:vAlign w:val="center"/>
          </w:tcPr>
          <w:p w:rsidR="00567422" w:rsidRPr="00567422" w:rsidRDefault="00567422" w:rsidP="00567422">
            <w:pPr>
              <w:contextualSpacing/>
              <w:rPr>
                <w:rFonts w:cs="Times New Roman"/>
                <w:color w:val="auto"/>
                <w:sz w:val="22"/>
              </w:rPr>
            </w:pPr>
            <w:r w:rsidRPr="00567422">
              <w:rPr>
                <w:rFonts w:cs="Times New Roman"/>
                <w:color w:val="auto"/>
                <w:sz w:val="22"/>
              </w:rPr>
              <w:t xml:space="preserve">VA C&amp;P </w:t>
            </w:r>
            <w:r>
              <w:rPr>
                <w:rFonts w:cs="Times New Roman"/>
                <w:color w:val="auto"/>
                <w:sz w:val="22"/>
              </w:rPr>
              <w:t>~4 Mo. Post</w:t>
            </w:r>
            <w:r w:rsidRPr="00567422">
              <w:rPr>
                <w:rFonts w:cs="Times New Roman"/>
                <w:color w:val="auto"/>
                <w:sz w:val="22"/>
              </w:rPr>
              <w:t>-Sep</w:t>
            </w:r>
          </w:p>
        </w:tc>
      </w:tr>
      <w:tr w:rsidR="00567422" w:rsidRPr="00567422" w:rsidTr="00AC0986">
        <w:trPr>
          <w:jc w:val="center"/>
        </w:trPr>
        <w:tc>
          <w:tcPr>
            <w:tcW w:w="2396" w:type="dxa"/>
            <w:vAlign w:val="center"/>
          </w:tcPr>
          <w:p w:rsidR="00567422" w:rsidRPr="00567422" w:rsidRDefault="00567422" w:rsidP="00567422">
            <w:pPr>
              <w:contextualSpacing/>
              <w:rPr>
                <w:rFonts w:cs="Times New Roman"/>
                <w:color w:val="auto"/>
                <w:sz w:val="22"/>
              </w:rPr>
            </w:pPr>
            <w:r w:rsidRPr="00567422">
              <w:rPr>
                <w:rFonts w:cs="Times New Roman"/>
                <w:color w:val="auto"/>
                <w:sz w:val="22"/>
              </w:rPr>
              <w:t>Flexion (90⁰ Normal)</w:t>
            </w:r>
          </w:p>
        </w:tc>
        <w:tc>
          <w:tcPr>
            <w:tcW w:w="2371" w:type="dxa"/>
            <w:vAlign w:val="center"/>
          </w:tcPr>
          <w:p w:rsidR="00567422" w:rsidRPr="00567422" w:rsidRDefault="00567422" w:rsidP="00567422">
            <w:pPr>
              <w:contextualSpacing/>
              <w:rPr>
                <w:rFonts w:cs="Times New Roman"/>
                <w:color w:val="auto"/>
                <w:sz w:val="22"/>
              </w:rPr>
            </w:pPr>
            <w:r w:rsidRPr="00567422">
              <w:rPr>
                <w:rFonts w:cs="Times New Roman"/>
                <w:color w:val="auto"/>
                <w:sz w:val="22"/>
              </w:rPr>
              <w:t>40⁰</w:t>
            </w:r>
          </w:p>
        </w:tc>
        <w:tc>
          <w:tcPr>
            <w:tcW w:w="3600" w:type="dxa"/>
            <w:vAlign w:val="center"/>
          </w:tcPr>
          <w:p w:rsidR="00567422" w:rsidRPr="00567422" w:rsidRDefault="009150CC" w:rsidP="00567422">
            <w:pPr>
              <w:contextualSpacing/>
              <w:rPr>
                <w:rFonts w:cs="Times New Roman"/>
                <w:color w:val="auto"/>
                <w:sz w:val="22"/>
              </w:rPr>
            </w:pPr>
            <w:r w:rsidRPr="00567422">
              <w:rPr>
                <w:rFonts w:cs="Times New Roman"/>
                <w:color w:val="auto"/>
                <w:sz w:val="22"/>
              </w:rPr>
              <w:t>40⁰</w:t>
            </w:r>
          </w:p>
        </w:tc>
      </w:tr>
      <w:tr w:rsidR="00567422" w:rsidRPr="00567422" w:rsidTr="00AC0986">
        <w:trPr>
          <w:jc w:val="center"/>
        </w:trPr>
        <w:tc>
          <w:tcPr>
            <w:tcW w:w="2396" w:type="dxa"/>
            <w:vAlign w:val="center"/>
          </w:tcPr>
          <w:p w:rsidR="00567422" w:rsidRPr="00567422" w:rsidRDefault="00567422" w:rsidP="00567422">
            <w:pPr>
              <w:contextualSpacing/>
              <w:rPr>
                <w:rFonts w:cs="Times New Roman"/>
                <w:color w:val="auto"/>
                <w:sz w:val="22"/>
              </w:rPr>
            </w:pPr>
            <w:r w:rsidRPr="00567422">
              <w:rPr>
                <w:rFonts w:cs="Times New Roman"/>
                <w:color w:val="auto"/>
                <w:sz w:val="22"/>
              </w:rPr>
              <w:t>Combined (240⁰)</w:t>
            </w:r>
          </w:p>
        </w:tc>
        <w:tc>
          <w:tcPr>
            <w:tcW w:w="2371" w:type="dxa"/>
            <w:vAlign w:val="center"/>
          </w:tcPr>
          <w:p w:rsidR="00567422" w:rsidRPr="00567422" w:rsidRDefault="00567422" w:rsidP="00567422">
            <w:pPr>
              <w:contextualSpacing/>
              <w:rPr>
                <w:rFonts w:cs="Times New Roman"/>
                <w:color w:val="auto"/>
                <w:sz w:val="22"/>
              </w:rPr>
            </w:pPr>
            <w:r>
              <w:rPr>
                <w:rFonts w:cs="Times New Roman"/>
                <w:color w:val="auto"/>
                <w:sz w:val="22"/>
              </w:rPr>
              <w:t>170</w:t>
            </w:r>
            <w:r w:rsidRPr="00567422">
              <w:rPr>
                <w:rFonts w:cs="Times New Roman"/>
                <w:color w:val="auto"/>
                <w:sz w:val="22"/>
              </w:rPr>
              <w:t>⁰</w:t>
            </w:r>
          </w:p>
        </w:tc>
        <w:tc>
          <w:tcPr>
            <w:tcW w:w="3600" w:type="dxa"/>
            <w:vAlign w:val="center"/>
          </w:tcPr>
          <w:p w:rsidR="00567422" w:rsidRPr="00567422" w:rsidRDefault="009150CC" w:rsidP="00567422">
            <w:pPr>
              <w:contextualSpacing/>
              <w:rPr>
                <w:rFonts w:cs="Times New Roman"/>
                <w:color w:val="auto"/>
                <w:sz w:val="22"/>
              </w:rPr>
            </w:pPr>
            <w:r>
              <w:rPr>
                <w:rFonts w:cs="Times New Roman"/>
                <w:color w:val="auto"/>
                <w:sz w:val="22"/>
              </w:rPr>
              <w:t>18</w:t>
            </w:r>
            <w:r w:rsidR="00567422" w:rsidRPr="00567422">
              <w:rPr>
                <w:rFonts w:cs="Times New Roman"/>
                <w:color w:val="auto"/>
                <w:sz w:val="22"/>
              </w:rPr>
              <w:t>0⁰</w:t>
            </w:r>
          </w:p>
        </w:tc>
      </w:tr>
      <w:tr w:rsidR="00567422" w:rsidRPr="00567422" w:rsidTr="00AC0986">
        <w:trPr>
          <w:trHeight w:val="58"/>
          <w:jc w:val="center"/>
        </w:trPr>
        <w:tc>
          <w:tcPr>
            <w:tcW w:w="2396" w:type="dxa"/>
            <w:vAlign w:val="center"/>
          </w:tcPr>
          <w:p w:rsidR="00567422" w:rsidRPr="00567422" w:rsidRDefault="00567422" w:rsidP="00567422">
            <w:pPr>
              <w:tabs>
                <w:tab w:val="left" w:pos="288"/>
                <w:tab w:val="left" w:pos="4752"/>
              </w:tabs>
              <w:rPr>
                <w:rFonts w:cs="Times New Roman"/>
                <w:color w:val="auto"/>
                <w:sz w:val="22"/>
              </w:rPr>
            </w:pPr>
            <w:r w:rsidRPr="00567422">
              <w:rPr>
                <w:rFonts w:cs="Times New Roman"/>
                <w:color w:val="auto"/>
                <w:sz w:val="22"/>
              </w:rPr>
              <w:t>Comments</w:t>
            </w:r>
          </w:p>
        </w:tc>
        <w:tc>
          <w:tcPr>
            <w:tcW w:w="2371" w:type="dxa"/>
            <w:vAlign w:val="center"/>
          </w:tcPr>
          <w:p w:rsidR="00567422" w:rsidRPr="00567422" w:rsidRDefault="00567422" w:rsidP="00567422">
            <w:pPr>
              <w:tabs>
                <w:tab w:val="left" w:pos="288"/>
                <w:tab w:val="left" w:pos="4752"/>
              </w:tabs>
              <w:rPr>
                <w:rFonts w:cs="Times New Roman"/>
                <w:color w:val="auto"/>
                <w:sz w:val="22"/>
              </w:rPr>
            </w:pPr>
            <w:r>
              <w:rPr>
                <w:rFonts w:cs="Times New Roman"/>
                <w:color w:val="auto"/>
                <w:sz w:val="22"/>
              </w:rPr>
              <w:t>Gait abnormality.</w:t>
            </w:r>
          </w:p>
        </w:tc>
        <w:tc>
          <w:tcPr>
            <w:tcW w:w="3600" w:type="dxa"/>
            <w:vAlign w:val="center"/>
          </w:tcPr>
          <w:p w:rsidR="00567422" w:rsidRPr="00567422" w:rsidRDefault="00864F6D" w:rsidP="009150CC">
            <w:pPr>
              <w:tabs>
                <w:tab w:val="left" w:pos="288"/>
                <w:tab w:val="left" w:pos="4752"/>
              </w:tabs>
              <w:rPr>
                <w:rFonts w:cs="Times New Roman"/>
                <w:color w:val="auto"/>
                <w:sz w:val="22"/>
              </w:rPr>
            </w:pPr>
            <w:r>
              <w:rPr>
                <w:color w:val="auto"/>
                <w:sz w:val="22"/>
              </w:rPr>
              <w:t>Slight lordosis; no</w:t>
            </w:r>
            <w:r w:rsidR="009150CC">
              <w:rPr>
                <w:color w:val="auto"/>
                <w:sz w:val="22"/>
              </w:rPr>
              <w:t xml:space="preserve"> DeLuca</w:t>
            </w:r>
            <w:r>
              <w:rPr>
                <w:color w:val="auto"/>
                <w:sz w:val="22"/>
              </w:rPr>
              <w:t xml:space="preserve"> reduction</w:t>
            </w:r>
            <w:r w:rsidR="009150CC">
              <w:rPr>
                <w:color w:val="auto"/>
                <w:sz w:val="22"/>
              </w:rPr>
              <w:t>.</w:t>
            </w:r>
          </w:p>
        </w:tc>
      </w:tr>
      <w:tr w:rsidR="00567422" w:rsidRPr="00567422" w:rsidTr="00AC0986">
        <w:trPr>
          <w:trHeight w:val="70"/>
          <w:jc w:val="center"/>
        </w:trPr>
        <w:tc>
          <w:tcPr>
            <w:tcW w:w="2396" w:type="dxa"/>
            <w:vAlign w:val="center"/>
          </w:tcPr>
          <w:p w:rsidR="00567422" w:rsidRPr="00567422" w:rsidRDefault="00567422" w:rsidP="00567422">
            <w:pPr>
              <w:tabs>
                <w:tab w:val="left" w:pos="288"/>
                <w:tab w:val="left" w:pos="4752"/>
              </w:tabs>
              <w:rPr>
                <w:rFonts w:cs="Times New Roman"/>
                <w:color w:val="auto"/>
                <w:sz w:val="22"/>
              </w:rPr>
            </w:pPr>
            <w:r w:rsidRPr="00567422">
              <w:rPr>
                <w:rFonts w:cs="Times New Roman"/>
                <w:color w:val="auto"/>
                <w:sz w:val="22"/>
              </w:rPr>
              <w:t>§4.71a Rating</w:t>
            </w:r>
          </w:p>
        </w:tc>
        <w:tc>
          <w:tcPr>
            <w:tcW w:w="2371" w:type="dxa"/>
            <w:vAlign w:val="center"/>
          </w:tcPr>
          <w:p w:rsidR="00567422" w:rsidRPr="00567422" w:rsidRDefault="00567422" w:rsidP="00567422">
            <w:pPr>
              <w:tabs>
                <w:tab w:val="left" w:pos="288"/>
                <w:tab w:val="left" w:pos="4752"/>
              </w:tabs>
              <w:rPr>
                <w:rFonts w:cs="Times New Roman"/>
                <w:color w:val="auto"/>
                <w:sz w:val="22"/>
              </w:rPr>
            </w:pPr>
            <w:r w:rsidRPr="00567422">
              <w:rPr>
                <w:rFonts w:cs="Times New Roman"/>
                <w:color w:val="auto"/>
                <w:sz w:val="22"/>
              </w:rPr>
              <w:t>20%</w:t>
            </w:r>
          </w:p>
        </w:tc>
        <w:tc>
          <w:tcPr>
            <w:tcW w:w="3600" w:type="dxa"/>
            <w:vAlign w:val="center"/>
          </w:tcPr>
          <w:p w:rsidR="00567422" w:rsidRPr="00567422" w:rsidRDefault="00567422" w:rsidP="00567422">
            <w:pPr>
              <w:tabs>
                <w:tab w:val="left" w:pos="288"/>
                <w:tab w:val="left" w:pos="4752"/>
              </w:tabs>
              <w:rPr>
                <w:rFonts w:cs="Times New Roman"/>
                <w:color w:val="auto"/>
                <w:sz w:val="22"/>
              </w:rPr>
            </w:pPr>
            <w:r w:rsidRPr="00567422">
              <w:rPr>
                <w:rFonts w:cs="Times New Roman"/>
                <w:color w:val="auto"/>
                <w:sz w:val="22"/>
              </w:rPr>
              <w:t>20%</w:t>
            </w:r>
          </w:p>
        </w:tc>
      </w:tr>
    </w:tbl>
    <w:p w:rsidR="00A6727E" w:rsidRDefault="00A6727E" w:rsidP="0069687C">
      <w:pPr>
        <w:jc w:val="both"/>
        <w:rPr>
          <w:color w:val="auto"/>
          <w:szCs w:val="24"/>
        </w:rPr>
      </w:pPr>
    </w:p>
    <w:p w:rsidR="00AC0986" w:rsidRDefault="00CF0280" w:rsidP="0069687C">
      <w:pPr>
        <w:jc w:val="both"/>
        <w:rPr>
          <w:color w:val="auto"/>
          <w:szCs w:val="24"/>
        </w:rPr>
      </w:pPr>
      <w:r w:rsidRPr="00F64312">
        <w:rPr>
          <w:color w:val="auto"/>
          <w:szCs w:val="24"/>
        </w:rPr>
        <w:t xml:space="preserve">At the MEB exam, the CI </w:t>
      </w:r>
      <w:r w:rsidR="00DF1F51">
        <w:rPr>
          <w:color w:val="auto"/>
          <w:szCs w:val="24"/>
        </w:rPr>
        <w:t xml:space="preserve">was </w:t>
      </w:r>
      <w:r w:rsidRPr="00F64312">
        <w:rPr>
          <w:color w:val="auto"/>
          <w:szCs w:val="24"/>
        </w:rPr>
        <w:t>reported</w:t>
      </w:r>
      <w:r w:rsidR="00DF1F51">
        <w:rPr>
          <w:color w:val="auto"/>
          <w:szCs w:val="24"/>
        </w:rPr>
        <w:t xml:space="preserve"> to be walking in a stooped posture with a cane.  </w:t>
      </w:r>
      <w:r w:rsidR="00AC0986">
        <w:rPr>
          <w:color w:val="auto"/>
          <w:szCs w:val="24"/>
        </w:rPr>
        <w:t xml:space="preserve">The </w:t>
      </w:r>
      <w:r w:rsidR="00324507">
        <w:rPr>
          <w:color w:val="auto"/>
          <w:szCs w:val="24"/>
        </w:rPr>
        <w:t>Department of Veterans’ Affairs (D</w:t>
      </w:r>
      <w:r w:rsidR="00AC0986">
        <w:rPr>
          <w:color w:val="auto"/>
          <w:szCs w:val="24"/>
        </w:rPr>
        <w:t>VA</w:t>
      </w:r>
      <w:r w:rsidR="00324507">
        <w:rPr>
          <w:color w:val="auto"/>
          <w:szCs w:val="24"/>
        </w:rPr>
        <w:t>)</w:t>
      </w:r>
      <w:r w:rsidR="00AC0986">
        <w:rPr>
          <w:color w:val="auto"/>
          <w:szCs w:val="24"/>
        </w:rPr>
        <w:t xml:space="preserve"> </w:t>
      </w:r>
      <w:r w:rsidR="00AC0986" w:rsidRPr="00F64312">
        <w:rPr>
          <w:color w:val="auto"/>
          <w:szCs w:val="24"/>
        </w:rPr>
        <w:t>Compensation and Pension (C&amp;P) exam</w:t>
      </w:r>
      <w:r w:rsidR="00324507">
        <w:rPr>
          <w:color w:val="auto"/>
          <w:szCs w:val="24"/>
        </w:rPr>
        <w:t>,</w:t>
      </w:r>
      <w:r w:rsidR="00AC0986">
        <w:rPr>
          <w:color w:val="auto"/>
          <w:szCs w:val="24"/>
        </w:rPr>
        <w:t xml:space="preserve"> </w:t>
      </w:r>
      <w:r w:rsidR="00324507">
        <w:rPr>
          <w:color w:val="auto"/>
          <w:szCs w:val="24"/>
        </w:rPr>
        <w:t xml:space="preserve">after separation, </w:t>
      </w:r>
      <w:r w:rsidR="00AC0986">
        <w:rPr>
          <w:color w:val="auto"/>
          <w:szCs w:val="24"/>
        </w:rPr>
        <w:t>reported that the back condition forced bed rest “once or twice a week</w:t>
      </w:r>
      <w:r w:rsidR="00324507">
        <w:rPr>
          <w:color w:val="auto"/>
          <w:szCs w:val="24"/>
        </w:rPr>
        <w:t>,</w:t>
      </w:r>
      <w:r w:rsidR="00AC0986">
        <w:rPr>
          <w:color w:val="auto"/>
          <w:szCs w:val="24"/>
        </w:rPr>
        <w:t xml:space="preserve">” but that this “has not interfered with his present work” (auto sales trainee).  The </w:t>
      </w:r>
      <w:r w:rsidR="00BB4DBA">
        <w:rPr>
          <w:color w:val="auto"/>
          <w:szCs w:val="24"/>
        </w:rPr>
        <w:t xml:space="preserve">ROM measurements and ratable physical signs from these evaluations are charted above.  The narrative summary (NARSUM) and a MEB </w:t>
      </w:r>
      <w:r w:rsidR="00324507">
        <w:rPr>
          <w:color w:val="auto"/>
          <w:szCs w:val="24"/>
        </w:rPr>
        <w:t>p</w:t>
      </w:r>
      <w:r w:rsidR="007719B7">
        <w:rPr>
          <w:color w:val="auto"/>
          <w:szCs w:val="24"/>
        </w:rPr>
        <w:t xml:space="preserve">hysical </w:t>
      </w:r>
      <w:r w:rsidR="00324507">
        <w:rPr>
          <w:color w:val="auto"/>
          <w:szCs w:val="24"/>
        </w:rPr>
        <w:t>m</w:t>
      </w:r>
      <w:r w:rsidR="007719B7">
        <w:rPr>
          <w:color w:val="auto"/>
          <w:szCs w:val="24"/>
        </w:rPr>
        <w:t>edicine consultant documented several physical signs of misleading exam findings; and, the latter opined that this was “consistent with non-organic pain” which “requires further evaluation</w:t>
      </w:r>
      <w:r w:rsidR="00324507">
        <w:rPr>
          <w:color w:val="auto"/>
          <w:szCs w:val="24"/>
        </w:rPr>
        <w:t>.</w:t>
      </w:r>
      <w:r w:rsidR="007719B7">
        <w:rPr>
          <w:color w:val="auto"/>
          <w:szCs w:val="24"/>
        </w:rPr>
        <w:t xml:space="preserve">”  </w:t>
      </w:r>
    </w:p>
    <w:p w:rsidR="00CF0280" w:rsidRPr="00F64312" w:rsidRDefault="00CF0280" w:rsidP="0069687C">
      <w:pPr>
        <w:jc w:val="both"/>
        <w:rPr>
          <w:color w:val="auto"/>
          <w:szCs w:val="24"/>
        </w:rPr>
      </w:pPr>
    </w:p>
    <w:p w:rsidR="001C32E4" w:rsidRPr="00CF2D2A" w:rsidRDefault="00AD2379" w:rsidP="001C32E4">
      <w:pPr>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9B6D9D" w:rsidRPr="00C50329">
        <w:rPr>
          <w:color w:val="000000"/>
          <w:szCs w:val="24"/>
        </w:rPr>
        <w:t>The PEB’s 10% rating was supported by the USAPDA pain policy, but was not consistent with the VASRD §4.71a general rating formula for the spine.</w:t>
      </w:r>
      <w:r w:rsidR="009B6D9D">
        <w:rPr>
          <w:color w:val="000000"/>
          <w:szCs w:val="24"/>
        </w:rPr>
        <w:t xml:space="preserve">  </w:t>
      </w:r>
      <w:r w:rsidR="00C87035">
        <w:rPr>
          <w:color w:val="000000"/>
          <w:szCs w:val="24"/>
        </w:rPr>
        <w:t xml:space="preserve">Both </w:t>
      </w:r>
      <w:r w:rsidR="009B6D9D">
        <w:rPr>
          <w:color w:val="000000"/>
          <w:szCs w:val="24"/>
        </w:rPr>
        <w:t xml:space="preserve">of the </w:t>
      </w:r>
      <w:r w:rsidR="00C87035">
        <w:rPr>
          <w:color w:val="000000"/>
          <w:szCs w:val="24"/>
        </w:rPr>
        <w:t>ROM evaluations in evidence</w:t>
      </w:r>
      <w:r w:rsidR="00F078E1">
        <w:rPr>
          <w:color w:val="000000"/>
          <w:szCs w:val="24"/>
        </w:rPr>
        <w:t>, which are</w:t>
      </w:r>
      <w:r w:rsidR="00C87035">
        <w:rPr>
          <w:color w:val="000000"/>
          <w:szCs w:val="24"/>
        </w:rPr>
        <w:t xml:space="preserve"> </w:t>
      </w:r>
      <w:r w:rsidR="00F078E1">
        <w:rPr>
          <w:color w:val="000000"/>
          <w:szCs w:val="24"/>
        </w:rPr>
        <w:t xml:space="preserve">compliant with VASRD §4.46 </w:t>
      </w:r>
      <w:r w:rsidR="00F078E1" w:rsidRPr="00C87035">
        <w:rPr>
          <w:color w:val="000000"/>
          <w:szCs w:val="24"/>
        </w:rPr>
        <w:t>(accurate measurement)</w:t>
      </w:r>
      <w:r w:rsidR="00F078E1">
        <w:rPr>
          <w:color w:val="000000"/>
          <w:szCs w:val="24"/>
        </w:rPr>
        <w:t xml:space="preserve">, </w:t>
      </w:r>
      <w:r w:rsidR="00C87035">
        <w:rPr>
          <w:color w:val="000000"/>
          <w:szCs w:val="24"/>
        </w:rPr>
        <w:t xml:space="preserve">achieve a 20% rating IAW §4.71a.  </w:t>
      </w:r>
      <w:r w:rsidR="00F941BD" w:rsidRPr="00491733">
        <w:rPr>
          <w:color w:val="000000"/>
          <w:szCs w:val="24"/>
        </w:rPr>
        <w:t>There was no evidence of ratable peripheral nerve impairment or documentation of incapacitating episodes in this case which would provide for additional or higher rating.</w:t>
      </w:r>
      <w:r w:rsidR="001C32E4">
        <w:rPr>
          <w:color w:val="000000"/>
          <w:szCs w:val="24"/>
        </w:rPr>
        <w:t xml:space="preserve">  </w:t>
      </w:r>
      <w:r w:rsidR="00CF2D2A" w:rsidRPr="00241B01">
        <w:rPr>
          <w:rFonts w:eastAsia="Calibri" w:cs="Times New Roman"/>
          <w:color w:val="auto"/>
          <w:szCs w:val="24"/>
        </w:rPr>
        <w:t xml:space="preserve">After due deliberation, considering all of the evidence and mindful of VASRD §4.3 (reasonable doubt), </w:t>
      </w:r>
      <w:r w:rsidR="00CF2D2A" w:rsidRPr="00241B01">
        <w:rPr>
          <w:rFonts w:eastAsia="Calibri" w:cs="Times New Roman"/>
          <w:color w:val="auto"/>
          <w:szCs w:val="24"/>
        </w:rPr>
        <w:lastRenderedPageBreak/>
        <w:t xml:space="preserve">the Board recommends a </w:t>
      </w:r>
      <w:r w:rsidR="00324507">
        <w:rPr>
          <w:rFonts w:eastAsia="Calibri" w:cs="Times New Roman"/>
          <w:color w:val="auto"/>
          <w:szCs w:val="24"/>
        </w:rPr>
        <w:t>s</w:t>
      </w:r>
      <w:r w:rsidR="00CF2D2A" w:rsidRPr="00241B01">
        <w:rPr>
          <w:rFonts w:eastAsia="Calibri" w:cs="Times New Roman"/>
          <w:color w:val="auto"/>
          <w:szCs w:val="24"/>
        </w:rPr>
        <w:t xml:space="preserve">ervice disability rating of </w:t>
      </w:r>
      <w:r w:rsidR="00CF2D2A">
        <w:rPr>
          <w:rFonts w:eastAsia="Calibri" w:cs="Times New Roman"/>
          <w:color w:val="auto"/>
          <w:szCs w:val="24"/>
        </w:rPr>
        <w:t>2</w:t>
      </w:r>
      <w:r w:rsidR="00CF2D2A" w:rsidRPr="00241B01">
        <w:rPr>
          <w:rFonts w:eastAsia="Calibri" w:cs="Times New Roman"/>
          <w:color w:val="auto"/>
          <w:szCs w:val="24"/>
        </w:rPr>
        <w:t xml:space="preserve">0% for the </w:t>
      </w:r>
      <w:r w:rsidR="00CF2D2A">
        <w:rPr>
          <w:rFonts w:eastAsia="Calibri" w:cs="Times New Roman"/>
          <w:color w:val="auto"/>
          <w:szCs w:val="24"/>
        </w:rPr>
        <w:t>lumbar spine</w:t>
      </w:r>
      <w:r w:rsidR="00CF2D2A" w:rsidRPr="00241B01">
        <w:rPr>
          <w:rFonts w:eastAsia="Calibri" w:cs="Times New Roman"/>
          <w:color w:val="auto"/>
          <w:szCs w:val="24"/>
        </w:rPr>
        <w:t xml:space="preserve"> condition.</w:t>
      </w:r>
      <w:r w:rsidR="00CF2D2A">
        <w:rPr>
          <w:rFonts w:eastAsia="Calibri" w:cs="Times New Roman"/>
          <w:color w:val="auto"/>
          <w:szCs w:val="24"/>
        </w:rPr>
        <w:t xml:space="preserve">  </w:t>
      </w:r>
      <w:r w:rsidR="001C32E4" w:rsidRPr="001C32E4">
        <w:rPr>
          <w:color w:val="000000"/>
          <w:szCs w:val="24"/>
        </w:rPr>
        <w:t xml:space="preserve">The </w:t>
      </w:r>
      <w:r w:rsidR="00324507">
        <w:rPr>
          <w:color w:val="000000"/>
          <w:szCs w:val="24"/>
        </w:rPr>
        <w:t>a</w:t>
      </w:r>
      <w:r w:rsidR="001C32E4" w:rsidRPr="001C32E4">
        <w:rPr>
          <w:color w:val="000000"/>
          <w:szCs w:val="24"/>
        </w:rPr>
        <w:t xml:space="preserve">ction </w:t>
      </w:r>
      <w:r w:rsidR="00324507">
        <w:rPr>
          <w:color w:val="000000"/>
          <w:szCs w:val="24"/>
        </w:rPr>
        <w:t>o</w:t>
      </w:r>
      <w:r w:rsidR="001C32E4" w:rsidRPr="001C32E4">
        <w:rPr>
          <w:color w:val="000000"/>
          <w:szCs w:val="24"/>
        </w:rPr>
        <w:t>fficer recommended, and the Board concurred with, the code 5242 (degenerative arthritis of the spine) for its clinical compatibility.</w:t>
      </w:r>
    </w:p>
    <w:p w:rsidR="00F941BD" w:rsidRDefault="00F941BD" w:rsidP="00F941BD">
      <w:pPr>
        <w:jc w:val="both"/>
        <w:rPr>
          <w:color w:val="000000"/>
          <w:szCs w:val="24"/>
        </w:rPr>
      </w:pPr>
    </w:p>
    <w:p w:rsidR="009150CC" w:rsidRPr="009150CC" w:rsidRDefault="000D35B2" w:rsidP="000D35B2">
      <w:pPr>
        <w:jc w:val="both"/>
        <w:rPr>
          <w:color w:val="auto"/>
        </w:rPr>
      </w:pPr>
      <w:r w:rsidRPr="009150CC">
        <w:rPr>
          <w:color w:val="auto"/>
          <w:u w:val="single"/>
        </w:rPr>
        <w:t>Left Ankle Condition</w:t>
      </w:r>
      <w:r w:rsidRPr="009150CC">
        <w:rPr>
          <w:color w:val="auto"/>
        </w:rPr>
        <w:t xml:space="preserve">.  </w:t>
      </w:r>
      <w:r w:rsidR="001C32E4">
        <w:rPr>
          <w:color w:val="auto"/>
        </w:rPr>
        <w:t xml:space="preserve">The CI suffered a hyperextension injury to his ankle during operations in Kuwait, and radiographs revealed no fractures.  He was treated conservatively with activity restrictions in theater, and continued to suffer </w:t>
      </w:r>
      <w:r w:rsidR="007239F0">
        <w:rPr>
          <w:color w:val="auto"/>
        </w:rPr>
        <w:t>ankle</w:t>
      </w:r>
      <w:r w:rsidR="001C32E4">
        <w:rPr>
          <w:color w:val="auto"/>
        </w:rPr>
        <w:t xml:space="preserve"> pain after redeployment.  </w:t>
      </w:r>
      <w:r w:rsidR="000A5BD5">
        <w:rPr>
          <w:color w:val="auto"/>
        </w:rPr>
        <w:t xml:space="preserve">He did not improve with profile restrictions, analgesics and an ankle brace.  </w:t>
      </w:r>
      <w:r w:rsidR="001C32E4">
        <w:rPr>
          <w:color w:val="auto"/>
        </w:rPr>
        <w:t xml:space="preserve">A podiatry addendum to the NARSUM quoted </w:t>
      </w:r>
      <w:r w:rsidR="007239F0">
        <w:rPr>
          <w:color w:val="auto"/>
        </w:rPr>
        <w:t>the CI’s</w:t>
      </w:r>
      <w:r w:rsidR="001C32E4">
        <w:rPr>
          <w:color w:val="auto"/>
        </w:rPr>
        <w:t xml:space="preserve"> report that he was “barely able to carry own body weight</w:t>
      </w:r>
      <w:r w:rsidR="000C10B9">
        <w:rPr>
          <w:color w:val="auto"/>
        </w:rPr>
        <w:t>,</w:t>
      </w:r>
      <w:r w:rsidR="001C32E4">
        <w:rPr>
          <w:color w:val="auto"/>
        </w:rPr>
        <w:t>”</w:t>
      </w:r>
      <w:r w:rsidR="000A5BD5">
        <w:rPr>
          <w:color w:val="auto"/>
        </w:rPr>
        <w:t xml:space="preserve"> and he stated that he was unable to carry any additional weight or accomplish essential MOS tasks.  </w:t>
      </w:r>
      <w:r w:rsidR="007239F0">
        <w:rPr>
          <w:color w:val="auto"/>
        </w:rPr>
        <w:t>The</w:t>
      </w:r>
      <w:r w:rsidR="000A47C8">
        <w:rPr>
          <w:color w:val="auto"/>
        </w:rPr>
        <w:t xml:space="preserve"> </w:t>
      </w:r>
      <w:r w:rsidR="007239F0">
        <w:rPr>
          <w:color w:val="auto"/>
        </w:rPr>
        <w:t xml:space="preserve">physical </w:t>
      </w:r>
      <w:r w:rsidR="000A47C8">
        <w:rPr>
          <w:color w:val="auto"/>
        </w:rPr>
        <w:t xml:space="preserve">exam documented tenderness, but no edema, with </w:t>
      </w:r>
      <w:r w:rsidR="00F54F59">
        <w:rPr>
          <w:color w:val="auto"/>
        </w:rPr>
        <w:t>“</w:t>
      </w:r>
      <w:r w:rsidR="000A47C8">
        <w:rPr>
          <w:color w:val="auto"/>
        </w:rPr>
        <w:t>full</w:t>
      </w:r>
      <w:r w:rsidR="00F54F59">
        <w:rPr>
          <w:color w:val="auto"/>
        </w:rPr>
        <w:t>”</w:t>
      </w:r>
      <w:r w:rsidR="000A47C8">
        <w:rPr>
          <w:color w:val="auto"/>
        </w:rPr>
        <w:t xml:space="preserve"> ROM and no joint laxity.  The VA C&amp;P examiner</w:t>
      </w:r>
      <w:r w:rsidR="00324507">
        <w:rPr>
          <w:color w:val="auto"/>
        </w:rPr>
        <w:t>,</w:t>
      </w:r>
      <w:r w:rsidR="000A47C8">
        <w:rPr>
          <w:color w:val="auto"/>
        </w:rPr>
        <w:t xml:space="preserve"> </w:t>
      </w:r>
      <w:r w:rsidR="00324507">
        <w:rPr>
          <w:color w:val="auto"/>
        </w:rPr>
        <w:t xml:space="preserve">after separation, </w:t>
      </w:r>
      <w:r w:rsidR="000A47C8">
        <w:rPr>
          <w:color w:val="auto"/>
        </w:rPr>
        <w:t xml:space="preserve">noted that the ankle was “slightly puffy” </w:t>
      </w:r>
      <w:r w:rsidR="00F54F59">
        <w:rPr>
          <w:color w:val="auto"/>
        </w:rPr>
        <w:t>with localized tenderness</w:t>
      </w:r>
      <w:r w:rsidR="000A47C8">
        <w:rPr>
          <w:color w:val="auto"/>
        </w:rPr>
        <w:t xml:space="preserve">.  </w:t>
      </w:r>
      <w:r w:rsidR="007239F0">
        <w:rPr>
          <w:color w:val="auto"/>
        </w:rPr>
        <w:t>The</w:t>
      </w:r>
      <w:r w:rsidR="00F54F59">
        <w:rPr>
          <w:color w:val="auto"/>
        </w:rPr>
        <w:t xml:space="preserve"> ROM exam documented 20⁰ of plantar flexion (normal 45⁰) and 10⁰ of dorsiflexion (normal 20⁰).  The joint was stable and there was no DeLuca degradation.  </w:t>
      </w:r>
    </w:p>
    <w:p w:rsidR="009150CC" w:rsidRPr="009150CC" w:rsidRDefault="009150CC" w:rsidP="000D35B2">
      <w:pPr>
        <w:jc w:val="both"/>
        <w:rPr>
          <w:color w:val="auto"/>
        </w:rPr>
      </w:pPr>
    </w:p>
    <w:p w:rsidR="0001371D" w:rsidRDefault="006E3868" w:rsidP="0001371D">
      <w:pPr>
        <w:jc w:val="both"/>
        <w:rPr>
          <w:rFonts w:eastAsia="Calibri" w:cs="Times New Roman"/>
          <w:color w:val="auto"/>
          <w:szCs w:val="24"/>
        </w:rPr>
      </w:pPr>
      <w:r w:rsidRPr="00CF2D2A">
        <w:rPr>
          <w:color w:val="auto"/>
        </w:rPr>
        <w:t xml:space="preserve">The Board directs attention to its rating recommendation based on the above evidence.  The PEB’s 0% rating under code 5003 (degenerative arthritis) cited </w:t>
      </w:r>
      <w:r w:rsidR="000C10B9">
        <w:rPr>
          <w:color w:val="auto"/>
        </w:rPr>
        <w:t>X</w:t>
      </w:r>
      <w:r w:rsidRPr="00CF2D2A">
        <w:rPr>
          <w:color w:val="auto"/>
        </w:rPr>
        <w:t>-ray findings of degenerative arthritis without significant loss of ROM.  This is consistent with §4.</w:t>
      </w:r>
      <w:r w:rsidR="00CF2D2A" w:rsidRPr="00CF2D2A">
        <w:rPr>
          <w:color w:val="auto"/>
        </w:rPr>
        <w:t>4.71a criteria for 5003;</w:t>
      </w:r>
      <w:r w:rsidRPr="00CF2D2A">
        <w:rPr>
          <w:color w:val="auto"/>
        </w:rPr>
        <w:t xml:space="preserve"> but</w:t>
      </w:r>
      <w:r w:rsidR="00CF2D2A" w:rsidRPr="00CF2D2A">
        <w:rPr>
          <w:color w:val="auto"/>
        </w:rPr>
        <w:t>,</w:t>
      </w:r>
      <w:r w:rsidRPr="00CF2D2A">
        <w:rPr>
          <w:color w:val="auto"/>
        </w:rPr>
        <w:t xml:space="preserve"> does not account for VASRD §4.40 (functional loss)</w:t>
      </w:r>
      <w:r w:rsidR="00CF2D2A" w:rsidRPr="00CF2D2A">
        <w:rPr>
          <w:color w:val="auto"/>
        </w:rPr>
        <w:t>,</w:t>
      </w:r>
      <w:r w:rsidRPr="00CF2D2A">
        <w:rPr>
          <w:color w:val="auto"/>
        </w:rPr>
        <w:t xml:space="preserve"> which states that “a part which becomes painful on use must be regarded as seriously disabled” and provides for the minimum compensable rating.</w:t>
      </w:r>
      <w:r w:rsidR="00CF2D2A" w:rsidRPr="00CF2D2A">
        <w:rPr>
          <w:color w:val="auto"/>
        </w:rPr>
        <w:t xml:space="preserve">  The ROM limitations documented by the VA examiner also support a 10% rating </w:t>
      </w:r>
      <w:r w:rsidR="00324507">
        <w:rPr>
          <w:color w:val="auto"/>
        </w:rPr>
        <w:t>for “moderate”</w:t>
      </w:r>
      <w:r w:rsidR="00CF2D2A">
        <w:rPr>
          <w:color w:val="auto"/>
        </w:rPr>
        <w:t xml:space="preserve"> limitation of</w:t>
      </w:r>
      <w:r w:rsidR="00CF2D2A" w:rsidRPr="00CF2D2A">
        <w:rPr>
          <w:color w:val="auto"/>
        </w:rPr>
        <w:t xml:space="preserve"> motion under </w:t>
      </w:r>
      <w:r w:rsidR="00CF2D2A">
        <w:rPr>
          <w:color w:val="auto"/>
        </w:rPr>
        <w:t xml:space="preserve">code 5271.  </w:t>
      </w:r>
      <w:r w:rsidR="0001371D" w:rsidRPr="00241B01">
        <w:rPr>
          <w:rFonts w:eastAsia="Calibri" w:cs="Times New Roman"/>
          <w:color w:val="auto"/>
          <w:szCs w:val="24"/>
        </w:rPr>
        <w:t xml:space="preserve">After due deliberation, considering all of the evidence and mindful of VASRD §4.3 (reasonable </w:t>
      </w:r>
      <w:r w:rsidR="0068348B">
        <w:rPr>
          <w:rFonts w:eastAsia="Calibri" w:cs="Times New Roman"/>
          <w:color w:val="auto"/>
          <w:szCs w:val="24"/>
        </w:rPr>
        <w:t xml:space="preserve">doubt), the Board recommends a </w:t>
      </w:r>
      <w:r w:rsidR="0001371D" w:rsidRPr="00241B01">
        <w:rPr>
          <w:rFonts w:eastAsia="Calibri" w:cs="Times New Roman"/>
          <w:color w:val="auto"/>
          <w:szCs w:val="24"/>
        </w:rPr>
        <w:t xml:space="preserve">disability rating of </w:t>
      </w:r>
      <w:r w:rsidR="0001371D">
        <w:rPr>
          <w:rFonts w:eastAsia="Calibri" w:cs="Times New Roman"/>
          <w:color w:val="auto"/>
          <w:szCs w:val="24"/>
        </w:rPr>
        <w:t>1</w:t>
      </w:r>
      <w:r w:rsidR="0001371D" w:rsidRPr="00241B01">
        <w:rPr>
          <w:rFonts w:eastAsia="Calibri" w:cs="Times New Roman"/>
          <w:color w:val="auto"/>
          <w:szCs w:val="24"/>
        </w:rPr>
        <w:t xml:space="preserve">0% for the </w:t>
      </w:r>
      <w:r w:rsidR="0001371D">
        <w:rPr>
          <w:rFonts w:eastAsia="Calibri" w:cs="Times New Roman"/>
          <w:color w:val="auto"/>
          <w:szCs w:val="24"/>
        </w:rPr>
        <w:t>left ankle</w:t>
      </w:r>
      <w:r w:rsidR="0001371D" w:rsidRPr="00241B01">
        <w:rPr>
          <w:rFonts w:eastAsia="Calibri" w:cs="Times New Roman"/>
          <w:color w:val="auto"/>
          <w:szCs w:val="24"/>
        </w:rPr>
        <w:t xml:space="preserve"> condition</w:t>
      </w:r>
      <w:r w:rsidR="007239F0">
        <w:rPr>
          <w:rFonts w:eastAsia="Calibri" w:cs="Times New Roman"/>
          <w:color w:val="auto"/>
          <w:szCs w:val="24"/>
        </w:rPr>
        <w:t xml:space="preserve"> under 5271</w:t>
      </w:r>
      <w:r w:rsidR="0001371D" w:rsidRPr="00241B01">
        <w:rPr>
          <w:rFonts w:eastAsia="Calibri" w:cs="Times New Roman"/>
          <w:color w:val="auto"/>
          <w:szCs w:val="24"/>
        </w:rPr>
        <w:t>.</w:t>
      </w:r>
    </w:p>
    <w:p w:rsidR="001B6A1C" w:rsidRPr="00F64312" w:rsidRDefault="001B6A1C" w:rsidP="00FB00AD">
      <w:pPr>
        <w:tabs>
          <w:tab w:val="left" w:pos="288"/>
          <w:tab w:val="left" w:pos="4752"/>
        </w:tabs>
        <w:jc w:val="both"/>
        <w:rPr>
          <w:rFonts w:cs="Times New Roman"/>
          <w:color w:val="auto"/>
        </w:rPr>
      </w:pPr>
    </w:p>
    <w:p w:rsidR="009808E2" w:rsidRDefault="000D35B2" w:rsidP="009808E2">
      <w:pPr>
        <w:jc w:val="both"/>
        <w:rPr>
          <w:color w:val="auto"/>
        </w:rPr>
      </w:pPr>
      <w:r w:rsidRPr="009150CC">
        <w:rPr>
          <w:color w:val="auto"/>
          <w:u w:val="single"/>
        </w:rPr>
        <w:t>Obstructive Sleep Apnea</w:t>
      </w:r>
      <w:r w:rsidRPr="009150CC">
        <w:rPr>
          <w:color w:val="auto"/>
        </w:rPr>
        <w:t xml:space="preserve">.  </w:t>
      </w:r>
      <w:r w:rsidR="00240ABE">
        <w:rPr>
          <w:color w:val="auto"/>
        </w:rPr>
        <w:t>The CI was first evaluated for a history of snoring and witnessed nocturnal apneic episodes in November 2004</w:t>
      </w:r>
      <w:r w:rsidR="001353D4">
        <w:rPr>
          <w:color w:val="auto"/>
        </w:rPr>
        <w:t xml:space="preserve"> (6 months pr</w:t>
      </w:r>
      <w:r w:rsidR="00324507">
        <w:rPr>
          <w:color w:val="auto"/>
        </w:rPr>
        <w:t xml:space="preserve">ior to </w:t>
      </w:r>
      <w:r w:rsidR="001353D4">
        <w:rPr>
          <w:color w:val="auto"/>
        </w:rPr>
        <w:t>separation)</w:t>
      </w:r>
      <w:r w:rsidR="00240ABE">
        <w:rPr>
          <w:color w:val="auto"/>
        </w:rPr>
        <w:t xml:space="preserve">; and, a sleep study confirmed the diagnosis of OSA soon afterwards. </w:t>
      </w:r>
      <w:r w:rsidR="001353D4">
        <w:rPr>
          <w:color w:val="auto"/>
        </w:rPr>
        <w:t>The CI was recommended weight reduction</w:t>
      </w:r>
      <w:r w:rsidR="007239F0">
        <w:rPr>
          <w:color w:val="auto"/>
        </w:rPr>
        <w:t>;</w:t>
      </w:r>
      <w:r w:rsidR="001353D4">
        <w:rPr>
          <w:color w:val="auto"/>
        </w:rPr>
        <w:t xml:space="preserve"> and a </w:t>
      </w:r>
      <w:r w:rsidR="001353D4" w:rsidRPr="001353D4">
        <w:rPr>
          <w:color w:val="auto"/>
        </w:rPr>
        <w:t>continuous positive airway pressure (CPAP) device</w:t>
      </w:r>
      <w:r w:rsidR="001353D4">
        <w:rPr>
          <w:color w:val="auto"/>
        </w:rPr>
        <w:t xml:space="preserve"> was prescribed.  </w:t>
      </w:r>
      <w:r w:rsidR="0001371D">
        <w:rPr>
          <w:color w:val="auto"/>
        </w:rPr>
        <w:t xml:space="preserve">A specialty addendum to the NARSUM </w:t>
      </w:r>
      <w:r w:rsidR="001353D4">
        <w:rPr>
          <w:color w:val="auto"/>
        </w:rPr>
        <w:t>noted that the CI had been using CPAP “with some improvement</w:t>
      </w:r>
      <w:r w:rsidR="00324507">
        <w:rPr>
          <w:color w:val="auto"/>
        </w:rPr>
        <w:t>;</w:t>
      </w:r>
      <w:r w:rsidR="001353D4">
        <w:rPr>
          <w:color w:val="auto"/>
        </w:rPr>
        <w:t xml:space="preserve">” but, </w:t>
      </w:r>
      <w:proofErr w:type="spellStart"/>
      <w:r w:rsidR="001353D4">
        <w:rPr>
          <w:color w:val="auto"/>
        </w:rPr>
        <w:t>caveated</w:t>
      </w:r>
      <w:proofErr w:type="spellEnd"/>
      <w:r w:rsidR="001353D4">
        <w:rPr>
          <w:color w:val="auto"/>
        </w:rPr>
        <w:t xml:space="preserve"> that “he reports he is still taking it off at night</w:t>
      </w:r>
      <w:r w:rsidR="0068348B">
        <w:rPr>
          <w:color w:val="auto"/>
        </w:rPr>
        <w:t>.”</w:t>
      </w:r>
      <w:r w:rsidR="001353D4">
        <w:rPr>
          <w:color w:val="auto"/>
        </w:rPr>
        <w:t xml:space="preserve">  The</w:t>
      </w:r>
      <w:r w:rsidR="00A165B5" w:rsidRPr="00A165B5">
        <w:rPr>
          <w:color w:val="auto"/>
        </w:rPr>
        <w:t xml:space="preserve"> </w:t>
      </w:r>
      <w:r w:rsidR="001353D4">
        <w:rPr>
          <w:color w:val="auto"/>
        </w:rPr>
        <w:t>VA C&amp;P examiner</w:t>
      </w:r>
      <w:r w:rsidR="00324507">
        <w:rPr>
          <w:color w:val="auto"/>
        </w:rPr>
        <w:t>, after separation,</w:t>
      </w:r>
      <w:r w:rsidR="001353D4">
        <w:rPr>
          <w:color w:val="auto"/>
        </w:rPr>
        <w:t xml:space="preserve"> noted a history of CPAP use since 2003, in conflict wi</w:t>
      </w:r>
      <w:r w:rsidR="007239F0">
        <w:rPr>
          <w:color w:val="auto"/>
        </w:rPr>
        <w:t xml:space="preserve">th the </w:t>
      </w:r>
      <w:r w:rsidR="00324507">
        <w:rPr>
          <w:color w:val="auto"/>
        </w:rPr>
        <w:t>s</w:t>
      </w:r>
      <w:r w:rsidR="007239F0">
        <w:rPr>
          <w:color w:val="auto"/>
        </w:rPr>
        <w:t>ervice evidence.  The</w:t>
      </w:r>
      <w:r w:rsidR="001353D4">
        <w:rPr>
          <w:color w:val="auto"/>
        </w:rPr>
        <w:t xml:space="preserve"> exam</w:t>
      </w:r>
      <w:r w:rsidR="007239F0">
        <w:rPr>
          <w:color w:val="auto"/>
        </w:rPr>
        <w:t>iner</w:t>
      </w:r>
      <w:r w:rsidR="001353D4">
        <w:rPr>
          <w:color w:val="auto"/>
        </w:rPr>
        <w:t xml:space="preserve"> also stated that, “</w:t>
      </w:r>
      <w:r w:rsidR="00324507">
        <w:rPr>
          <w:color w:val="auto"/>
        </w:rPr>
        <w:t>h</w:t>
      </w:r>
      <w:r w:rsidR="001353D4" w:rsidRPr="001353D4">
        <w:rPr>
          <w:color w:val="auto"/>
        </w:rPr>
        <w:t>e has now lost weight down</w:t>
      </w:r>
      <w:r w:rsidR="001353D4">
        <w:rPr>
          <w:color w:val="auto"/>
        </w:rPr>
        <w:t xml:space="preserve"> </w:t>
      </w:r>
      <w:r w:rsidR="001353D4" w:rsidRPr="001353D4">
        <w:rPr>
          <w:color w:val="auto"/>
        </w:rPr>
        <w:t>to 195 and he does not suffer from the listlessness that he had previously</w:t>
      </w:r>
      <w:r w:rsidR="001353D4">
        <w:rPr>
          <w:color w:val="auto"/>
        </w:rPr>
        <w:t xml:space="preserve"> </w:t>
      </w:r>
      <w:r w:rsidR="001353D4" w:rsidRPr="001353D4">
        <w:rPr>
          <w:color w:val="auto"/>
        </w:rPr>
        <w:t>described.</w:t>
      </w:r>
      <w:r w:rsidR="001353D4">
        <w:rPr>
          <w:color w:val="auto"/>
        </w:rPr>
        <w:t>”</w:t>
      </w:r>
      <w:r w:rsidR="00D6516E">
        <w:rPr>
          <w:color w:val="auto"/>
        </w:rPr>
        <w:t xml:space="preserve">  There is no evidence in the VA file for adjustment of CPAP</w:t>
      </w:r>
      <w:r w:rsidR="00324507">
        <w:rPr>
          <w:color w:val="auto"/>
        </w:rPr>
        <w:t xml:space="preserve"> after separation</w:t>
      </w:r>
      <w:r w:rsidR="00D6516E">
        <w:rPr>
          <w:color w:val="auto"/>
        </w:rPr>
        <w:t>, continuing medical supervision</w:t>
      </w:r>
      <w:r w:rsidR="00203807">
        <w:rPr>
          <w:color w:val="auto"/>
        </w:rPr>
        <w:t xml:space="preserve"> for treatment of OSA</w:t>
      </w:r>
      <w:r w:rsidR="00D6516E">
        <w:rPr>
          <w:color w:val="auto"/>
        </w:rPr>
        <w:t xml:space="preserve">, or </w:t>
      </w:r>
      <w:r w:rsidR="00203807">
        <w:rPr>
          <w:color w:val="auto"/>
        </w:rPr>
        <w:t>any</w:t>
      </w:r>
      <w:r w:rsidR="00D6516E">
        <w:rPr>
          <w:color w:val="auto"/>
        </w:rPr>
        <w:t xml:space="preserve"> revaluation </w:t>
      </w:r>
      <w:r w:rsidR="00203807">
        <w:rPr>
          <w:color w:val="auto"/>
        </w:rPr>
        <w:t>of the condition</w:t>
      </w:r>
      <w:r w:rsidR="00D6516E">
        <w:rPr>
          <w:color w:val="auto"/>
        </w:rPr>
        <w:t xml:space="preserve">.  </w:t>
      </w:r>
    </w:p>
    <w:p w:rsidR="009808E2" w:rsidRDefault="009808E2" w:rsidP="009808E2">
      <w:pPr>
        <w:jc w:val="both"/>
        <w:rPr>
          <w:color w:val="auto"/>
        </w:rPr>
      </w:pPr>
    </w:p>
    <w:p w:rsidR="00D6516E" w:rsidRPr="00D6516E" w:rsidRDefault="00E811D7" w:rsidP="00D6516E">
      <w:pPr>
        <w:jc w:val="both"/>
        <w:rPr>
          <w:color w:val="auto"/>
        </w:rPr>
      </w:pPr>
      <w:r w:rsidRPr="00CF2D2A">
        <w:rPr>
          <w:color w:val="auto"/>
        </w:rPr>
        <w:t xml:space="preserve">The Board directs attention to its rating recommendation based on the above evidence.  </w:t>
      </w:r>
      <w:r w:rsidR="00D6516E" w:rsidRPr="00D6516E">
        <w:rPr>
          <w:color w:val="auto"/>
        </w:rPr>
        <w:t xml:space="preserve">The PEB’s DA Form 199 assigned a 0% rating under DODI 1332.39 (E2.A1.2.21), and based the fitness adjudication solely on field impediments to the use of CPAP.  Contemporary PEBs across all of the </w:t>
      </w:r>
      <w:r w:rsidR="00324507">
        <w:rPr>
          <w:color w:val="auto"/>
        </w:rPr>
        <w:t>s</w:t>
      </w:r>
      <w:r w:rsidR="00D6516E" w:rsidRPr="00D6516E">
        <w:rPr>
          <w:color w:val="auto"/>
        </w:rPr>
        <w:t xml:space="preserve">ervices no longer consider sleep apnea syndromes to be unfitting solely on this basis; but, the Board, by legal opinion and firm precedent, </w:t>
      </w:r>
      <w:r w:rsidR="001C44CA" w:rsidRPr="00D6516E">
        <w:rPr>
          <w:color w:val="auto"/>
        </w:rPr>
        <w:t xml:space="preserve">does not make </w:t>
      </w:r>
      <w:r w:rsidR="001C44CA">
        <w:rPr>
          <w:color w:val="auto"/>
        </w:rPr>
        <w:t>unfavorable</w:t>
      </w:r>
      <w:r w:rsidR="001C44CA" w:rsidRPr="00D6516E">
        <w:rPr>
          <w:color w:val="auto"/>
        </w:rPr>
        <w:t xml:space="preserve"> recommendations </w:t>
      </w:r>
      <w:r w:rsidR="001C44CA">
        <w:rPr>
          <w:color w:val="auto"/>
        </w:rPr>
        <w:t xml:space="preserve">contrary </w:t>
      </w:r>
      <w:r w:rsidR="001C44CA" w:rsidRPr="00D6516E">
        <w:rPr>
          <w:color w:val="auto"/>
        </w:rPr>
        <w:t xml:space="preserve">to PEB </w:t>
      </w:r>
      <w:r w:rsidR="001C44CA">
        <w:rPr>
          <w:color w:val="auto"/>
        </w:rPr>
        <w:t>fitness rulings</w:t>
      </w:r>
      <w:r w:rsidR="00D6516E" w:rsidRPr="00D6516E">
        <w:rPr>
          <w:color w:val="auto"/>
        </w:rPr>
        <w:t xml:space="preserve">.  VASRD §4.100 mandates a minimum rating of 50% under 6847 for sleep apnea syndromes requiring a breathing assistance device.  </w:t>
      </w:r>
      <w:r w:rsidR="004D6545">
        <w:rPr>
          <w:color w:val="auto"/>
        </w:rPr>
        <w:t xml:space="preserve">Although compliance with CPAP and its continued requirement </w:t>
      </w:r>
      <w:r w:rsidR="009808E2">
        <w:rPr>
          <w:color w:val="auto"/>
        </w:rPr>
        <w:t xml:space="preserve">was in </w:t>
      </w:r>
      <w:r w:rsidR="00615A9A">
        <w:rPr>
          <w:color w:val="auto"/>
        </w:rPr>
        <w:t>dispute, member consensus was</w:t>
      </w:r>
      <w:r w:rsidR="009808E2">
        <w:rPr>
          <w:color w:val="auto"/>
        </w:rPr>
        <w:t xml:space="preserve"> that reasonable doubt favored the CI in conceding that this criterion was met.  </w:t>
      </w:r>
      <w:r w:rsidR="00D6516E" w:rsidRPr="00D6516E">
        <w:rPr>
          <w:color w:val="auto"/>
        </w:rPr>
        <w:t xml:space="preserve">In consideration of </w:t>
      </w:r>
      <w:r w:rsidR="009808E2">
        <w:rPr>
          <w:color w:val="auto"/>
        </w:rPr>
        <w:t>that conclusion</w:t>
      </w:r>
      <w:r w:rsidR="00D6516E" w:rsidRPr="00D6516E">
        <w:rPr>
          <w:color w:val="auto"/>
        </w:rPr>
        <w:t>, and IAW DoDI 6040.44, the Board recommend</w:t>
      </w:r>
      <w:r w:rsidR="009808E2">
        <w:rPr>
          <w:color w:val="auto"/>
        </w:rPr>
        <w:t>s</w:t>
      </w:r>
      <w:r w:rsidR="00D6516E" w:rsidRPr="00D6516E">
        <w:rPr>
          <w:color w:val="auto"/>
        </w:rPr>
        <w:t xml:space="preserve"> a </w:t>
      </w:r>
      <w:r w:rsidR="009808E2">
        <w:rPr>
          <w:color w:val="auto"/>
        </w:rPr>
        <w:t>disability</w:t>
      </w:r>
      <w:r w:rsidR="00D6516E" w:rsidRPr="00D6516E">
        <w:rPr>
          <w:color w:val="auto"/>
        </w:rPr>
        <w:t xml:space="preserve"> rating of 50% for the OSA condition.</w:t>
      </w:r>
    </w:p>
    <w:p w:rsidR="001B6A1C" w:rsidRDefault="001B6A1C" w:rsidP="000D35B2">
      <w:pPr>
        <w:tabs>
          <w:tab w:val="left" w:pos="288"/>
          <w:tab w:val="left" w:pos="4752"/>
        </w:tabs>
        <w:jc w:val="both"/>
        <w:rPr>
          <w:rFonts w:cs="Times New Roman"/>
          <w:color w:val="auto"/>
        </w:rPr>
      </w:pPr>
    </w:p>
    <w:p w:rsidR="009150CC" w:rsidRDefault="000D35B2" w:rsidP="000D35B2">
      <w:pPr>
        <w:jc w:val="both"/>
        <w:rPr>
          <w:color w:val="auto"/>
        </w:rPr>
      </w:pPr>
      <w:r w:rsidRPr="009150CC">
        <w:rPr>
          <w:color w:val="auto"/>
          <w:u w:val="single"/>
        </w:rPr>
        <w:t>Pes Planus</w:t>
      </w:r>
      <w:r w:rsidRPr="009150CC">
        <w:rPr>
          <w:color w:val="auto"/>
        </w:rPr>
        <w:t xml:space="preserve">.  </w:t>
      </w:r>
      <w:r w:rsidR="00261404">
        <w:rPr>
          <w:color w:val="auto"/>
        </w:rPr>
        <w:t>The entry physical documented “</w:t>
      </w:r>
      <w:proofErr w:type="spellStart"/>
      <w:r w:rsidR="00261404">
        <w:rPr>
          <w:color w:val="auto"/>
        </w:rPr>
        <w:t>pes</w:t>
      </w:r>
      <w:proofErr w:type="spellEnd"/>
      <w:r w:rsidR="00261404">
        <w:rPr>
          <w:color w:val="auto"/>
        </w:rPr>
        <w:t xml:space="preserve"> </w:t>
      </w:r>
      <w:proofErr w:type="spellStart"/>
      <w:r w:rsidR="00261404">
        <w:rPr>
          <w:color w:val="auto"/>
        </w:rPr>
        <w:t>planus</w:t>
      </w:r>
      <w:proofErr w:type="spellEnd"/>
      <w:r w:rsidR="00261404">
        <w:rPr>
          <w:color w:val="auto"/>
        </w:rPr>
        <w:t>, mild, asymptomatic</w:t>
      </w:r>
      <w:r w:rsidR="00324507">
        <w:rPr>
          <w:color w:val="auto"/>
        </w:rPr>
        <w:t>.</w:t>
      </w:r>
      <w:r w:rsidR="00261404">
        <w:rPr>
          <w:color w:val="auto"/>
        </w:rPr>
        <w:t xml:space="preserve">”  The </w:t>
      </w:r>
      <w:r w:rsidR="00324507">
        <w:rPr>
          <w:color w:val="auto"/>
        </w:rPr>
        <w:t>s</w:t>
      </w:r>
      <w:r w:rsidR="00261404">
        <w:rPr>
          <w:color w:val="auto"/>
        </w:rPr>
        <w:t xml:space="preserve">ervice medical record does not </w:t>
      </w:r>
      <w:r w:rsidR="000C10B9">
        <w:rPr>
          <w:color w:val="auto"/>
        </w:rPr>
        <w:t xml:space="preserve">contain </w:t>
      </w:r>
      <w:r w:rsidR="00261404">
        <w:rPr>
          <w:color w:val="auto"/>
        </w:rPr>
        <w:t xml:space="preserve">evidence </w:t>
      </w:r>
      <w:r w:rsidR="000C10B9">
        <w:rPr>
          <w:color w:val="auto"/>
        </w:rPr>
        <w:t xml:space="preserve">of </w:t>
      </w:r>
      <w:r w:rsidR="00261404">
        <w:rPr>
          <w:color w:val="auto"/>
        </w:rPr>
        <w:t xml:space="preserve">any associated clinical issues or treatment until </w:t>
      </w:r>
      <w:r w:rsidR="00261404">
        <w:rPr>
          <w:color w:val="auto"/>
        </w:rPr>
        <w:lastRenderedPageBreak/>
        <w:t xml:space="preserve">the MEB podiatry evaluation for the ankle condition.  It was first profiled 2 months prior to separation.  </w:t>
      </w:r>
      <w:r w:rsidR="00E811D7">
        <w:rPr>
          <w:color w:val="auto"/>
        </w:rPr>
        <w:t xml:space="preserve">The podiatry addendum to the NARSUM (directed to the ankle condition) yielded no ratable information, providing only the entry “flexible </w:t>
      </w:r>
      <w:proofErr w:type="spellStart"/>
      <w:r w:rsidR="00E811D7">
        <w:rPr>
          <w:color w:val="auto"/>
        </w:rPr>
        <w:t>pes</w:t>
      </w:r>
      <w:proofErr w:type="spellEnd"/>
      <w:r w:rsidR="00E811D7">
        <w:rPr>
          <w:color w:val="auto"/>
        </w:rPr>
        <w:t xml:space="preserve"> </w:t>
      </w:r>
      <w:proofErr w:type="spellStart"/>
      <w:r w:rsidR="00E811D7">
        <w:rPr>
          <w:color w:val="auto"/>
        </w:rPr>
        <w:t>planus</w:t>
      </w:r>
      <w:proofErr w:type="spellEnd"/>
      <w:r w:rsidR="00E811D7">
        <w:rPr>
          <w:color w:val="auto"/>
        </w:rPr>
        <w:t>, bilateral feet</w:t>
      </w:r>
      <w:r w:rsidR="00324507">
        <w:rPr>
          <w:color w:val="auto"/>
        </w:rPr>
        <w:t>.”</w:t>
      </w:r>
      <w:r w:rsidR="00E811D7">
        <w:rPr>
          <w:color w:val="auto"/>
        </w:rPr>
        <w:t xml:space="preserve">  The podiatrist’s analysis </w:t>
      </w:r>
      <w:r w:rsidR="00A165B5">
        <w:rPr>
          <w:color w:val="auto"/>
        </w:rPr>
        <w:t xml:space="preserve">of functional status and </w:t>
      </w:r>
      <w:r w:rsidR="001A2B5D">
        <w:rPr>
          <w:color w:val="auto"/>
        </w:rPr>
        <w:t>link to</w:t>
      </w:r>
      <w:r w:rsidR="00A165B5">
        <w:rPr>
          <w:color w:val="auto"/>
        </w:rPr>
        <w:t xml:space="preserve"> AR 40-501 criteria addressed only the ankle condition.  </w:t>
      </w:r>
      <w:r w:rsidR="00E811D7">
        <w:rPr>
          <w:color w:val="auto"/>
        </w:rPr>
        <w:t xml:space="preserve">The NARSUM referred only to the addendum, and offered no explanation for the decision that the </w:t>
      </w:r>
      <w:r w:rsidR="00A165B5">
        <w:rPr>
          <w:color w:val="auto"/>
        </w:rPr>
        <w:t xml:space="preserve">pes planus </w:t>
      </w:r>
      <w:r w:rsidR="00E811D7">
        <w:rPr>
          <w:color w:val="auto"/>
        </w:rPr>
        <w:t xml:space="preserve">condition failed retention standards.  The PEB’s DA Form 199 provided no rationale for its fitness determination.  </w:t>
      </w:r>
      <w:r w:rsidR="00A165B5">
        <w:rPr>
          <w:color w:val="auto"/>
        </w:rPr>
        <w:t xml:space="preserve">The VA C&amp;P </w:t>
      </w:r>
      <w:proofErr w:type="gramStart"/>
      <w:r w:rsidR="00A165B5">
        <w:rPr>
          <w:color w:val="auto"/>
        </w:rPr>
        <w:t>examiner</w:t>
      </w:r>
      <w:r w:rsidR="00324507">
        <w:rPr>
          <w:color w:val="auto"/>
        </w:rPr>
        <w:t>,</w:t>
      </w:r>
      <w:proofErr w:type="gramEnd"/>
      <w:r w:rsidR="00324507">
        <w:rPr>
          <w:color w:val="auto"/>
        </w:rPr>
        <w:t xml:space="preserve"> </w:t>
      </w:r>
      <w:r w:rsidR="00A165B5">
        <w:rPr>
          <w:color w:val="auto"/>
        </w:rPr>
        <w:t>noted a history that the CI had worn orthotics in the past, but was not doing so currently.  The exam documented “mild bilateral pes planus” with “minimal varus deformity of his left foot and none on the right</w:t>
      </w:r>
      <w:r w:rsidR="00324507">
        <w:rPr>
          <w:color w:val="auto"/>
        </w:rPr>
        <w:t>,</w:t>
      </w:r>
      <w:r w:rsidR="00A165B5">
        <w:rPr>
          <w:color w:val="auto"/>
        </w:rPr>
        <w:t>”</w:t>
      </w:r>
      <w:r w:rsidR="00E6162A">
        <w:rPr>
          <w:color w:val="auto"/>
        </w:rPr>
        <w:t xml:space="preserve"> and “tenderness over the metatarsal anterior arch and anterior portion of the heel</w:t>
      </w:r>
      <w:r w:rsidR="0068348B">
        <w:rPr>
          <w:color w:val="auto"/>
        </w:rPr>
        <w:t>.”</w:t>
      </w:r>
      <w:r w:rsidR="00E6162A">
        <w:rPr>
          <w:color w:val="auto"/>
        </w:rPr>
        <w:t xml:space="preserve">  Morning pain on arising and pain associated with standing all day at work was also documented.</w:t>
      </w:r>
    </w:p>
    <w:p w:rsidR="00E6162A" w:rsidRDefault="00E6162A" w:rsidP="000D35B2">
      <w:pPr>
        <w:jc w:val="both"/>
        <w:rPr>
          <w:color w:val="auto"/>
        </w:rPr>
      </w:pPr>
    </w:p>
    <w:p w:rsidR="00350EB5" w:rsidRPr="00615A9A" w:rsidRDefault="00E6162A" w:rsidP="00B37EE2">
      <w:pPr>
        <w:jc w:val="both"/>
        <w:rPr>
          <w:color w:val="auto"/>
        </w:rPr>
      </w:pPr>
      <w:r w:rsidRPr="00CF2D2A">
        <w:rPr>
          <w:color w:val="auto"/>
        </w:rPr>
        <w:t xml:space="preserve">The Board directs attention to its rating recommendation based on the above evidence.  </w:t>
      </w:r>
      <w:r w:rsidR="001F7EF5">
        <w:rPr>
          <w:color w:val="auto"/>
        </w:rPr>
        <w:t xml:space="preserve">The PEB’s 0% rating </w:t>
      </w:r>
      <w:r w:rsidR="003C6ABC">
        <w:rPr>
          <w:color w:val="auto"/>
        </w:rPr>
        <w:t xml:space="preserve">(conceding service aggravation) </w:t>
      </w:r>
      <w:r w:rsidR="001F7EF5">
        <w:rPr>
          <w:color w:val="auto"/>
        </w:rPr>
        <w:t>was supported by the USAPDA policy</w:t>
      </w:r>
      <w:r w:rsidR="003C6ABC">
        <w:rPr>
          <w:color w:val="auto"/>
        </w:rPr>
        <w:t xml:space="preserve">, although a compensable rating IAW VASRD §4.71a would not have been supported by the </w:t>
      </w:r>
      <w:r w:rsidR="00324507">
        <w:rPr>
          <w:color w:val="auto"/>
        </w:rPr>
        <w:t>s</w:t>
      </w:r>
      <w:r w:rsidR="003C6ABC">
        <w:rPr>
          <w:color w:val="auto"/>
        </w:rPr>
        <w:t xml:space="preserve">ervice evidence (or lack thereof).  </w:t>
      </w:r>
      <w:r w:rsidR="00471112">
        <w:rPr>
          <w:color w:val="auto"/>
        </w:rPr>
        <w:t>All members agreed that the PEB’s fitness determination was questionable for the circumstances of this case;</w:t>
      </w:r>
      <w:r w:rsidR="00471112" w:rsidRPr="00471112">
        <w:rPr>
          <w:color w:val="auto"/>
        </w:rPr>
        <w:t xml:space="preserve"> </w:t>
      </w:r>
      <w:r w:rsidR="00471112" w:rsidRPr="00D6516E">
        <w:rPr>
          <w:color w:val="auto"/>
        </w:rPr>
        <w:t xml:space="preserve">but, </w:t>
      </w:r>
      <w:r w:rsidR="00615A9A">
        <w:rPr>
          <w:color w:val="auto"/>
        </w:rPr>
        <w:t xml:space="preserve">as previously elaborated the Board may not take latitude with that determination by the PEB.  </w:t>
      </w:r>
      <w:r w:rsidR="003C6ABC">
        <w:rPr>
          <w:color w:val="auto"/>
        </w:rPr>
        <w:t xml:space="preserve">The VA’s rating under </w:t>
      </w:r>
      <w:r w:rsidR="003C6ABC" w:rsidRPr="003C6ABC">
        <w:rPr>
          <w:color w:val="auto"/>
        </w:rPr>
        <w:t>5276 (flatfoot, acquired)</w:t>
      </w:r>
      <w:r w:rsidR="003C6ABC">
        <w:rPr>
          <w:color w:val="auto"/>
        </w:rPr>
        <w:t xml:space="preserve"> was not supported by evidence for the anatomic abnormalities cited in the 10% criteria, although “pain on manipulation and use </w:t>
      </w:r>
      <w:r w:rsidR="00471112">
        <w:rPr>
          <w:color w:val="auto"/>
        </w:rPr>
        <w:t xml:space="preserve">of the feet” is included in the rating description.  The criteria elaborated in VASRD </w:t>
      </w:r>
      <w:r w:rsidR="00471112" w:rsidRPr="00471112">
        <w:rPr>
          <w:color w:val="auto"/>
        </w:rPr>
        <w:t>§4.57 (static foot deformities)</w:t>
      </w:r>
      <w:r w:rsidR="00471112">
        <w:rPr>
          <w:color w:val="auto"/>
        </w:rPr>
        <w:t xml:space="preserve">, however, would not support </w:t>
      </w:r>
      <w:r w:rsidR="001C44CA">
        <w:rPr>
          <w:color w:val="auto"/>
        </w:rPr>
        <w:t>rating under</w:t>
      </w:r>
      <w:r w:rsidR="00471112">
        <w:rPr>
          <w:color w:val="auto"/>
        </w:rPr>
        <w:t xml:space="preserve"> the 5276 code for pes planus as an </w:t>
      </w:r>
      <w:r w:rsidR="00471112" w:rsidRPr="00B37EE2">
        <w:rPr>
          <w:color w:val="auto"/>
        </w:rPr>
        <w:t>acquired</w:t>
      </w:r>
      <w:r w:rsidR="00471112">
        <w:rPr>
          <w:color w:val="auto"/>
        </w:rPr>
        <w:t xml:space="preserve"> condition.  </w:t>
      </w:r>
      <w:r w:rsidR="001C44CA">
        <w:rPr>
          <w:color w:val="auto"/>
        </w:rPr>
        <w:t>The Board considered a</w:t>
      </w:r>
      <w:r w:rsidR="001A2B5D">
        <w:rPr>
          <w:color w:val="auto"/>
        </w:rPr>
        <w:t>n</w:t>
      </w:r>
      <w:r w:rsidR="001C44CA">
        <w:rPr>
          <w:color w:val="auto"/>
        </w:rPr>
        <w:t xml:space="preserve"> </w:t>
      </w:r>
      <w:r w:rsidR="001A2B5D" w:rsidRPr="00B37EE2">
        <w:rPr>
          <w:color w:val="auto"/>
        </w:rPr>
        <w:t>analogous</w:t>
      </w:r>
      <w:r w:rsidR="001A2B5D">
        <w:rPr>
          <w:color w:val="auto"/>
        </w:rPr>
        <w:t xml:space="preserve"> </w:t>
      </w:r>
      <w:r w:rsidR="001C44CA">
        <w:rPr>
          <w:color w:val="auto"/>
        </w:rPr>
        <w:t xml:space="preserve">rating under </w:t>
      </w:r>
      <w:r w:rsidR="00B37EE2">
        <w:rPr>
          <w:color w:val="auto"/>
        </w:rPr>
        <w:t>5299-</w:t>
      </w:r>
      <w:r w:rsidR="001C44CA">
        <w:rPr>
          <w:color w:val="auto"/>
        </w:rPr>
        <w:t>5276</w:t>
      </w:r>
      <w:r w:rsidR="00B37EE2">
        <w:rPr>
          <w:color w:val="auto"/>
        </w:rPr>
        <w:t>; analogous application of 5299-5284 (foot injuries, other); or analogous application of 5099-</w:t>
      </w:r>
      <w:r w:rsidR="00B37EE2" w:rsidRPr="00B37EE2">
        <w:rPr>
          <w:color w:val="auto"/>
        </w:rPr>
        <w:t>5024 (tenosynovitis)</w:t>
      </w:r>
      <w:r w:rsidR="00B37EE2">
        <w:rPr>
          <w:color w:val="auto"/>
        </w:rPr>
        <w:t xml:space="preserve">.  Any of these would achieve a minimal compensable rating of 10% if </w:t>
      </w:r>
      <w:r w:rsidR="00B976FE">
        <w:rPr>
          <w:color w:val="auto"/>
        </w:rPr>
        <w:t>§4.40 (functional loss, as with the ankle discussion) were applied; but, this would be</w:t>
      </w:r>
      <w:r w:rsidR="00B37EE2">
        <w:rPr>
          <w:color w:val="auto"/>
        </w:rPr>
        <w:t xml:space="preserve"> premised solely on the symptoms documented in the VA evaluation</w:t>
      </w:r>
      <w:r w:rsidR="00B976FE">
        <w:rPr>
          <w:color w:val="auto"/>
        </w:rPr>
        <w:t xml:space="preserve">.  </w:t>
      </w:r>
      <w:r w:rsidR="00350EB5">
        <w:rPr>
          <w:color w:val="auto"/>
        </w:rPr>
        <w:t>Members agreed</w:t>
      </w:r>
      <w:r w:rsidR="00B976FE">
        <w:rPr>
          <w:color w:val="auto"/>
        </w:rPr>
        <w:t xml:space="preserve"> however, that this would require undue speculation for a condition that was clinically silent throughout the </w:t>
      </w:r>
      <w:r w:rsidR="00324507">
        <w:rPr>
          <w:color w:val="auto"/>
        </w:rPr>
        <w:t>s</w:t>
      </w:r>
      <w:r w:rsidR="00B976FE">
        <w:rPr>
          <w:color w:val="auto"/>
        </w:rPr>
        <w:t xml:space="preserve">ervice career (at least as reflected by the available evidence). </w:t>
      </w:r>
      <w:r w:rsidR="00350EB5">
        <w:rPr>
          <w:color w:val="auto"/>
        </w:rPr>
        <w:t xml:space="preserve"> </w:t>
      </w:r>
      <w:r w:rsidR="00350EB5" w:rsidRPr="00626902">
        <w:rPr>
          <w:rFonts w:eastAsia="Calibri" w:cs="Times New Roman"/>
          <w:color w:val="auto"/>
          <w:szCs w:val="24"/>
        </w:rPr>
        <w:t xml:space="preserve">After due deliberation, considering all of the evidence and mindful of </w:t>
      </w:r>
      <w:r w:rsidR="00615A9A">
        <w:rPr>
          <w:rFonts w:eastAsia="Calibri" w:cs="Times New Roman"/>
          <w:color w:val="auto"/>
          <w:szCs w:val="24"/>
        </w:rPr>
        <w:t>the reasonable doubt standard</w:t>
      </w:r>
      <w:r w:rsidR="00350EB5" w:rsidRPr="00626902">
        <w:rPr>
          <w:rFonts w:eastAsia="Calibri" w:cs="Times New Roman"/>
          <w:color w:val="auto"/>
          <w:szCs w:val="24"/>
        </w:rPr>
        <w:t xml:space="preserve">, the Board concluded that there was insufficient cause to recommend a change in the PEB adjudication for the </w:t>
      </w:r>
      <w:r w:rsidR="00350EB5">
        <w:rPr>
          <w:rFonts w:eastAsia="Calibri" w:cs="Times New Roman"/>
          <w:color w:val="auto"/>
          <w:szCs w:val="24"/>
        </w:rPr>
        <w:t xml:space="preserve">pes planus condition; although, the Board premises its 0% recommendation on VASRD §4.71a </w:t>
      </w:r>
      <w:r w:rsidR="00350EB5">
        <w:rPr>
          <w:color w:val="auto"/>
        </w:rPr>
        <w:t>criteria.</w:t>
      </w:r>
      <w:r w:rsidR="00350EB5">
        <w:rPr>
          <w:rFonts w:eastAsia="Calibri" w:cs="Times New Roman"/>
          <w:color w:val="auto"/>
          <w:szCs w:val="24"/>
        </w:rPr>
        <w:t xml:space="preserve"> </w:t>
      </w:r>
    </w:p>
    <w:p w:rsidR="00350EB5" w:rsidRPr="00D6516E" w:rsidRDefault="00350EB5" w:rsidP="00350EB5">
      <w:pPr>
        <w:jc w:val="both"/>
        <w:rPr>
          <w:color w:val="auto"/>
        </w:rPr>
      </w:pPr>
    </w:p>
    <w:p w:rsidR="004B3442" w:rsidRPr="004B3442" w:rsidRDefault="009150CC" w:rsidP="004B3442">
      <w:pPr>
        <w:jc w:val="both"/>
        <w:rPr>
          <w:color w:val="000000"/>
        </w:rPr>
      </w:pPr>
      <w:r w:rsidRPr="009150CC">
        <w:rPr>
          <w:rFonts w:eastAsia="Calibri" w:cs="Times New Roman"/>
          <w:color w:val="auto"/>
          <w:szCs w:val="24"/>
          <w:u w:val="single"/>
        </w:rPr>
        <w:t>Adjustment Disorder</w:t>
      </w:r>
      <w:r w:rsidRPr="009150CC">
        <w:rPr>
          <w:rFonts w:eastAsia="HiddenHorzOCR"/>
          <w:color w:val="auto"/>
          <w:u w:val="single"/>
        </w:rPr>
        <w:t xml:space="preserve"> (</w:t>
      </w:r>
      <w:r w:rsidR="006B690F" w:rsidRPr="009150CC">
        <w:rPr>
          <w:rFonts w:eastAsia="HiddenHorzOCR"/>
          <w:color w:val="auto"/>
          <w:u w:val="single"/>
        </w:rPr>
        <w:t xml:space="preserve">Contended </w:t>
      </w:r>
      <w:r w:rsidRPr="009150CC">
        <w:rPr>
          <w:rFonts w:eastAsia="HiddenHorzOCR"/>
          <w:color w:val="auto"/>
          <w:u w:val="single"/>
        </w:rPr>
        <w:t>as PTSD)</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Board’s </w:t>
      </w:r>
      <w:r w:rsidR="00187CA3">
        <w:rPr>
          <w:rFonts w:eastAsia="Calibri" w:cs="Times New Roman"/>
          <w:color w:val="auto"/>
          <w:szCs w:val="24"/>
        </w:rPr>
        <w:t>main</w:t>
      </w:r>
      <w:r w:rsidR="00824643">
        <w:rPr>
          <w:rFonts w:eastAsia="Calibri" w:cs="Times New Roman"/>
          <w:color w:val="auto"/>
          <w:szCs w:val="24"/>
        </w:rPr>
        <w:t xml:space="preserve"> charge with respect to this condition</w:t>
      </w:r>
      <w:r w:rsidR="003863E9" w:rsidRPr="00792790">
        <w:rPr>
          <w:rFonts w:eastAsia="Calibri" w:cs="Times New Roman"/>
          <w:color w:val="auto"/>
          <w:szCs w:val="24"/>
        </w:rPr>
        <w:t xml:space="preserve"> is an assessment of the appropriateness of</w:t>
      </w:r>
      <w:r w:rsidR="00187CA3">
        <w:rPr>
          <w:rFonts w:eastAsia="Calibri" w:cs="Times New Roman"/>
          <w:color w:val="auto"/>
          <w:szCs w:val="24"/>
        </w:rPr>
        <w:t xml:space="preserve"> the PEB’s fitness adjudication</w:t>
      </w:r>
      <w:r w:rsidR="003863E9" w:rsidRPr="00792790">
        <w:rPr>
          <w:rFonts w:eastAsia="Calibri" w:cs="Times New Roman"/>
          <w:color w:val="auto"/>
          <w:szCs w:val="24"/>
        </w:rPr>
        <w:t>.  The Board’s threshold for countering fitness determinations is higher than the VASRD §4.3 (reasonable doubt) standard used for its rating recommendations, but remains adherent to the DoDI 6040.44</w:t>
      </w:r>
      <w:r w:rsidR="00421EB3">
        <w:rPr>
          <w:rFonts w:eastAsia="Calibri" w:cs="Times New Roman"/>
          <w:color w:val="auto"/>
          <w:szCs w:val="24"/>
        </w:rPr>
        <w:t xml:space="preserve"> “fair and equitable” standard.</w:t>
      </w:r>
      <w:r w:rsidR="00187CA3">
        <w:rPr>
          <w:rFonts w:eastAsia="Calibri" w:cs="Times New Roman"/>
          <w:color w:val="auto"/>
          <w:szCs w:val="24"/>
        </w:rPr>
        <w:t xml:space="preserve">  A psychiatric addendum to the NARSUM documented that the CI first sought behavioral health evaluation in October 2004 (7 months pr</w:t>
      </w:r>
      <w:r w:rsidR="00324507">
        <w:rPr>
          <w:rFonts w:eastAsia="Calibri" w:cs="Times New Roman"/>
          <w:color w:val="auto"/>
          <w:szCs w:val="24"/>
        </w:rPr>
        <w:t xml:space="preserve">ior to </w:t>
      </w:r>
      <w:r w:rsidR="00187CA3">
        <w:rPr>
          <w:rFonts w:eastAsia="Calibri" w:cs="Times New Roman"/>
          <w:color w:val="auto"/>
          <w:szCs w:val="24"/>
        </w:rPr>
        <w:t>separation) for “complaints of depression and worries about his family</w:t>
      </w:r>
      <w:r w:rsidR="00324507">
        <w:rPr>
          <w:rFonts w:eastAsia="Calibri" w:cs="Times New Roman"/>
          <w:color w:val="auto"/>
          <w:szCs w:val="24"/>
        </w:rPr>
        <w:t>.</w:t>
      </w:r>
      <w:r w:rsidR="00187CA3">
        <w:rPr>
          <w:rFonts w:eastAsia="Calibri" w:cs="Times New Roman"/>
          <w:color w:val="auto"/>
          <w:szCs w:val="24"/>
        </w:rPr>
        <w:t xml:space="preserve">”  </w:t>
      </w:r>
      <w:r w:rsidR="004B3442">
        <w:rPr>
          <w:rFonts w:eastAsia="Calibri" w:cs="Times New Roman"/>
          <w:color w:val="auto"/>
          <w:szCs w:val="24"/>
        </w:rPr>
        <w:t xml:space="preserve">No </w:t>
      </w:r>
      <w:r w:rsidR="00324507">
        <w:rPr>
          <w:rFonts w:eastAsia="Calibri" w:cs="Times New Roman"/>
          <w:color w:val="auto"/>
          <w:szCs w:val="24"/>
        </w:rPr>
        <w:t>c</w:t>
      </w:r>
      <w:r w:rsidR="004B3442">
        <w:rPr>
          <w:rFonts w:eastAsia="Calibri" w:cs="Times New Roman"/>
          <w:color w:val="auto"/>
          <w:szCs w:val="24"/>
        </w:rPr>
        <w:t xml:space="preserve">riterion </w:t>
      </w:r>
      <w:proofErr w:type="gramStart"/>
      <w:r w:rsidR="004B3442">
        <w:rPr>
          <w:rFonts w:eastAsia="Calibri" w:cs="Times New Roman"/>
          <w:color w:val="auto"/>
          <w:szCs w:val="24"/>
        </w:rPr>
        <w:t>A</w:t>
      </w:r>
      <w:proofErr w:type="gramEnd"/>
      <w:r w:rsidR="004B3442">
        <w:rPr>
          <w:rFonts w:eastAsia="Calibri" w:cs="Times New Roman"/>
          <w:color w:val="auto"/>
          <w:szCs w:val="24"/>
        </w:rPr>
        <w:t xml:space="preserve"> stressors or diagnostic criteria for PTSD were cited in the history.  He was given an Axis I diagnosis of “adjustment disorder with depressed mood</w:t>
      </w:r>
      <w:r w:rsidR="00324507">
        <w:rPr>
          <w:rFonts w:eastAsia="Calibri" w:cs="Times New Roman"/>
          <w:color w:val="auto"/>
          <w:szCs w:val="24"/>
        </w:rPr>
        <w:t>,</w:t>
      </w:r>
      <w:r w:rsidR="004B3442">
        <w:rPr>
          <w:rFonts w:eastAsia="Calibri" w:cs="Times New Roman"/>
          <w:color w:val="auto"/>
          <w:szCs w:val="24"/>
        </w:rPr>
        <w:t xml:space="preserve">” and was assigned a Global Assessment of Functioning (GAF) score of 75 (connoting minimal if any psychiatric impairment).  It was judged that the condition met retention standards.  The VA </w:t>
      </w:r>
      <w:r w:rsidR="001A2B5D">
        <w:rPr>
          <w:rFonts w:eastAsia="Calibri" w:cs="Times New Roman"/>
          <w:color w:val="auto"/>
          <w:szCs w:val="24"/>
        </w:rPr>
        <w:t>psychiatrist arrived at the same diagnosis;</w:t>
      </w:r>
      <w:r w:rsidR="004B3442">
        <w:rPr>
          <w:rFonts w:eastAsia="Calibri" w:cs="Times New Roman"/>
          <w:color w:val="auto"/>
          <w:szCs w:val="24"/>
        </w:rPr>
        <w:t xml:space="preserve"> although th</w:t>
      </w:r>
      <w:r w:rsidR="001A2B5D">
        <w:rPr>
          <w:rFonts w:eastAsia="Calibri" w:cs="Times New Roman"/>
          <w:color w:val="auto"/>
          <w:szCs w:val="24"/>
        </w:rPr>
        <w:t>e condition was claimed as PTSD,</w:t>
      </w:r>
      <w:r w:rsidR="004B3442">
        <w:rPr>
          <w:rFonts w:eastAsia="Calibri" w:cs="Times New Roman"/>
          <w:color w:val="auto"/>
          <w:szCs w:val="24"/>
        </w:rPr>
        <w:t xml:space="preserve"> citing the death of friends in Iraq as stressors.  The commander’s statement referenced only physical impediments to MOS performance</w:t>
      </w:r>
      <w:r w:rsidR="004136CB">
        <w:rPr>
          <w:rFonts w:eastAsia="Calibri" w:cs="Times New Roman"/>
          <w:color w:val="auto"/>
          <w:szCs w:val="24"/>
        </w:rPr>
        <w:t>, and the profile was S1</w:t>
      </w:r>
      <w:r w:rsidR="004B3442">
        <w:rPr>
          <w:rFonts w:eastAsia="Calibri" w:cs="Times New Roman"/>
          <w:color w:val="auto"/>
          <w:szCs w:val="24"/>
        </w:rPr>
        <w:t xml:space="preserve">.  </w:t>
      </w:r>
      <w:r w:rsidR="004B3442">
        <w:rPr>
          <w:color w:val="000000"/>
        </w:rPr>
        <w:t>The psychiatric condition was</w:t>
      </w:r>
      <w:r w:rsidR="004B3442" w:rsidRPr="001F29F9">
        <w:rPr>
          <w:color w:val="000000"/>
        </w:rPr>
        <w:t xml:space="preserve"> reviewed by the </w:t>
      </w:r>
      <w:r w:rsidR="00324507">
        <w:rPr>
          <w:color w:val="000000"/>
        </w:rPr>
        <w:t>a</w:t>
      </w:r>
      <w:r w:rsidR="004B3442" w:rsidRPr="001F29F9">
        <w:rPr>
          <w:color w:val="000000"/>
        </w:rPr>
        <w:t xml:space="preserve">ction </w:t>
      </w:r>
      <w:r w:rsidR="00324507">
        <w:rPr>
          <w:color w:val="000000"/>
        </w:rPr>
        <w:t>o</w:t>
      </w:r>
      <w:r w:rsidR="004B3442" w:rsidRPr="001F29F9">
        <w:rPr>
          <w:color w:val="000000"/>
        </w:rPr>
        <w:t xml:space="preserve">fficer and considered by the Board. </w:t>
      </w:r>
      <w:r w:rsidR="004B3442">
        <w:rPr>
          <w:color w:val="000000"/>
        </w:rPr>
        <w:t xml:space="preserve"> </w:t>
      </w:r>
      <w:r w:rsidR="004B3442" w:rsidRPr="001F29F9">
        <w:rPr>
          <w:color w:val="000000"/>
        </w:rPr>
        <w:t xml:space="preserve">There was no indication from the record that </w:t>
      </w:r>
      <w:r w:rsidR="004B3442">
        <w:rPr>
          <w:color w:val="000000"/>
        </w:rPr>
        <w:t>it</w:t>
      </w:r>
      <w:r w:rsidR="004B3442" w:rsidRPr="001F29F9">
        <w:rPr>
          <w:color w:val="000000"/>
        </w:rPr>
        <w:t xml:space="preserve"> significantly interfered with satisfactory duty performance.  </w:t>
      </w:r>
      <w:r w:rsidR="004B3442" w:rsidRPr="00792790">
        <w:rPr>
          <w:rFonts w:eastAsia="Calibri" w:cs="Times New Roman"/>
          <w:color w:val="auto"/>
          <w:szCs w:val="24"/>
        </w:rPr>
        <w:t xml:space="preserve">After due deliberation in consideration of the preponderance of the evidence, the Board concluded that there was </w:t>
      </w:r>
      <w:r w:rsidR="004B3442" w:rsidRPr="00792790">
        <w:rPr>
          <w:rFonts w:eastAsia="Calibri" w:cs="Times New Roman"/>
          <w:color w:val="auto"/>
          <w:szCs w:val="24"/>
        </w:rPr>
        <w:lastRenderedPageBreak/>
        <w:t xml:space="preserve">insufficient cause to recommend a change in the PEB fitness determination for </w:t>
      </w:r>
      <w:r w:rsidR="004B3442">
        <w:rPr>
          <w:rFonts w:eastAsia="Calibri" w:cs="Times New Roman"/>
          <w:color w:val="auto"/>
          <w:szCs w:val="24"/>
        </w:rPr>
        <w:t>adjustment disorder</w:t>
      </w:r>
      <w:r w:rsidR="004B3442" w:rsidRPr="00792790">
        <w:rPr>
          <w:rFonts w:eastAsia="Calibri" w:cs="Times New Roman"/>
          <w:color w:val="auto"/>
          <w:szCs w:val="24"/>
        </w:rPr>
        <w:t>; and, therefore, no addit</w:t>
      </w:r>
      <w:r w:rsidR="0068348B">
        <w:rPr>
          <w:rFonts w:eastAsia="Calibri" w:cs="Times New Roman"/>
          <w:color w:val="auto"/>
          <w:szCs w:val="24"/>
        </w:rPr>
        <w:t>ional s</w:t>
      </w:r>
      <w:r w:rsidR="004B3442">
        <w:rPr>
          <w:rFonts w:eastAsia="Calibri" w:cs="Times New Roman"/>
          <w:color w:val="auto"/>
          <w:szCs w:val="24"/>
        </w:rPr>
        <w:t>ervice disability rating</w:t>
      </w:r>
      <w:r w:rsidR="004B3442" w:rsidRPr="00792790">
        <w:rPr>
          <w:rFonts w:eastAsia="Calibri" w:cs="Times New Roman"/>
          <w:color w:val="auto"/>
          <w:szCs w:val="24"/>
        </w:rPr>
        <w:t xml:space="preserve">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D611D4" w:rsidRPr="00D611D4">
        <w:rPr>
          <w:rFonts w:cs="Times New Roman"/>
          <w:color w:val="auto"/>
        </w:rPr>
        <w:t xml:space="preserve">PEB reliance on the USAPDA pain policy for rating </w:t>
      </w:r>
      <w:r w:rsidR="00D611D4" w:rsidRPr="00180F53">
        <w:rPr>
          <w:rFonts w:cs="Times New Roman"/>
          <w:color w:val="auto"/>
        </w:rPr>
        <w:t xml:space="preserve">the </w:t>
      </w:r>
      <w:r w:rsidR="00D611D4" w:rsidRPr="00341691">
        <w:rPr>
          <w:rFonts w:cs="Times New Roman"/>
          <w:color w:val="auto"/>
        </w:rPr>
        <w:t>lumbar spine and pes planus conditions</w:t>
      </w:r>
      <w:r w:rsidR="006E2A32" w:rsidRPr="00341691">
        <w:rPr>
          <w:rFonts w:cs="Times New Roman"/>
          <w:color w:val="auto"/>
        </w:rPr>
        <w:t>, and</w:t>
      </w:r>
      <w:r w:rsidR="00D611D4" w:rsidRPr="00341691">
        <w:rPr>
          <w:rFonts w:cs="Times New Roman"/>
          <w:color w:val="auto"/>
        </w:rPr>
        <w:t xml:space="preserve"> on DoDI 1332.39 for rating </w:t>
      </w:r>
      <w:r w:rsidR="006E2A32" w:rsidRPr="00341691">
        <w:rPr>
          <w:rFonts w:cs="Times New Roman"/>
          <w:color w:val="auto"/>
        </w:rPr>
        <w:t xml:space="preserve">sleep apnea, </w:t>
      </w:r>
      <w:r w:rsidR="00D611D4" w:rsidRPr="00341691">
        <w:rPr>
          <w:rFonts w:cs="Times New Roman"/>
          <w:color w:val="auto"/>
        </w:rPr>
        <w:t>was operant in this case</w:t>
      </w:r>
      <w:r w:rsidR="006E2A32" w:rsidRPr="00341691">
        <w:rPr>
          <w:rFonts w:cs="Times New Roman"/>
          <w:color w:val="auto"/>
        </w:rPr>
        <w:t>;</w:t>
      </w:r>
      <w:r w:rsidR="00D611D4" w:rsidRPr="00341691">
        <w:rPr>
          <w:rFonts w:cs="Times New Roman"/>
          <w:color w:val="auto"/>
        </w:rPr>
        <w:t xml:space="preserve"> and</w:t>
      </w:r>
      <w:r w:rsidR="006E2A32" w:rsidRPr="00341691">
        <w:rPr>
          <w:rFonts w:cs="Times New Roman"/>
          <w:color w:val="auto"/>
        </w:rPr>
        <w:t>, those</w:t>
      </w:r>
      <w:r w:rsidR="00D611D4" w:rsidRPr="00341691">
        <w:rPr>
          <w:rFonts w:cs="Times New Roman"/>
          <w:color w:val="auto"/>
        </w:rPr>
        <w:t xml:space="preserve"> conditions were adjudicated independently of that </w:t>
      </w:r>
      <w:r w:rsidR="006E2A32" w:rsidRPr="00341691">
        <w:rPr>
          <w:rFonts w:cs="Times New Roman"/>
          <w:color w:val="auto"/>
        </w:rPr>
        <w:t xml:space="preserve">policy and </w:t>
      </w:r>
      <w:r w:rsidR="00D611D4" w:rsidRPr="00341691">
        <w:rPr>
          <w:rFonts w:cs="Times New Roman"/>
          <w:color w:val="auto"/>
        </w:rPr>
        <w:t xml:space="preserve">instruction by the Board.  </w:t>
      </w:r>
      <w:r w:rsidR="00241B01" w:rsidRPr="00341691">
        <w:rPr>
          <w:rFonts w:eastAsia="Calibri" w:cs="Times New Roman"/>
          <w:color w:val="auto"/>
          <w:szCs w:val="24"/>
        </w:rPr>
        <w:t xml:space="preserve">In the matter of the </w:t>
      </w:r>
      <w:r w:rsidR="00180F53" w:rsidRPr="00341691">
        <w:rPr>
          <w:rFonts w:eastAsia="Calibri" w:cs="Times New Roman"/>
          <w:color w:val="auto"/>
          <w:szCs w:val="24"/>
        </w:rPr>
        <w:t>lumbar spine</w:t>
      </w:r>
      <w:r w:rsidR="00241B01" w:rsidRPr="00341691">
        <w:rPr>
          <w:rFonts w:eastAsia="Calibri" w:cs="Times New Roman"/>
          <w:color w:val="auto"/>
          <w:szCs w:val="24"/>
        </w:rPr>
        <w:t xml:space="preserve"> condition, the Board unanimously recommends a disability rating of </w:t>
      </w:r>
      <w:r w:rsidR="00180F53" w:rsidRPr="00341691">
        <w:rPr>
          <w:rFonts w:eastAsia="Calibri" w:cs="Times New Roman"/>
          <w:color w:val="auto"/>
          <w:szCs w:val="24"/>
        </w:rPr>
        <w:t>20</w:t>
      </w:r>
      <w:r w:rsidR="00241B01" w:rsidRPr="00341691">
        <w:rPr>
          <w:rFonts w:eastAsia="Calibri" w:cs="Times New Roman"/>
          <w:color w:val="auto"/>
          <w:szCs w:val="24"/>
        </w:rPr>
        <w:t xml:space="preserve">%, coded </w:t>
      </w:r>
      <w:r w:rsidR="00180F53" w:rsidRPr="00341691">
        <w:rPr>
          <w:rFonts w:eastAsia="Calibri" w:cs="Times New Roman"/>
          <w:color w:val="auto"/>
          <w:szCs w:val="24"/>
        </w:rPr>
        <w:t>5242</w:t>
      </w:r>
      <w:r w:rsidR="00241B01" w:rsidRPr="00341691">
        <w:rPr>
          <w:rFonts w:eastAsia="Calibri" w:cs="Times New Roman"/>
          <w:color w:val="auto"/>
          <w:szCs w:val="24"/>
        </w:rPr>
        <w:t xml:space="preserve"> IAW VASRD §4.71a.</w:t>
      </w:r>
      <w:r w:rsidR="006B690F" w:rsidRPr="00341691">
        <w:rPr>
          <w:rFonts w:eastAsia="Calibri" w:cs="Times New Roman"/>
          <w:color w:val="auto"/>
          <w:szCs w:val="24"/>
        </w:rPr>
        <w:t xml:space="preserve">  </w:t>
      </w:r>
      <w:r w:rsidR="00180F53" w:rsidRPr="00341691">
        <w:rPr>
          <w:rFonts w:eastAsia="Calibri" w:cs="Times New Roman"/>
          <w:color w:val="auto"/>
          <w:szCs w:val="24"/>
        </w:rPr>
        <w:t>In the matter of the left ankle condition, the Board unanimously recommends</w:t>
      </w:r>
      <w:r w:rsidR="00180F53" w:rsidRPr="00180F53">
        <w:rPr>
          <w:rFonts w:eastAsia="Calibri" w:cs="Times New Roman"/>
          <w:color w:val="auto"/>
          <w:szCs w:val="24"/>
        </w:rPr>
        <w:t xml:space="preserve"> a disability rating of </w:t>
      </w:r>
      <w:r w:rsidR="00180F53">
        <w:rPr>
          <w:rFonts w:eastAsia="Calibri" w:cs="Times New Roman"/>
          <w:color w:val="auto"/>
          <w:szCs w:val="24"/>
        </w:rPr>
        <w:t>10</w:t>
      </w:r>
      <w:r w:rsidR="00180F53" w:rsidRPr="00180F53">
        <w:rPr>
          <w:rFonts w:eastAsia="Calibri" w:cs="Times New Roman"/>
          <w:color w:val="auto"/>
          <w:szCs w:val="24"/>
        </w:rPr>
        <w:t xml:space="preserve">%, coded </w:t>
      </w:r>
      <w:r w:rsidR="00180F53">
        <w:rPr>
          <w:rFonts w:eastAsia="Calibri" w:cs="Times New Roman"/>
          <w:color w:val="auto"/>
          <w:szCs w:val="24"/>
        </w:rPr>
        <w:t>5271</w:t>
      </w:r>
      <w:r w:rsidR="00180F53" w:rsidRPr="00180F53">
        <w:rPr>
          <w:rFonts w:eastAsia="Calibri" w:cs="Times New Roman"/>
          <w:color w:val="auto"/>
          <w:szCs w:val="24"/>
        </w:rPr>
        <w:t xml:space="preserve"> IAW VASRD §4.71a.  </w:t>
      </w:r>
      <w:r w:rsidR="00615A9A" w:rsidRPr="00341691">
        <w:rPr>
          <w:rFonts w:eastAsia="Calibri" w:cs="Times New Roman"/>
          <w:color w:val="auto"/>
          <w:szCs w:val="24"/>
        </w:rPr>
        <w:t xml:space="preserve">In the matter of the </w:t>
      </w:r>
      <w:r w:rsidR="00324507">
        <w:rPr>
          <w:rFonts w:eastAsia="Calibri" w:cs="Times New Roman"/>
          <w:color w:val="auto"/>
          <w:szCs w:val="24"/>
        </w:rPr>
        <w:t xml:space="preserve">OSA </w:t>
      </w:r>
      <w:r w:rsidR="00615A9A" w:rsidRPr="00341691">
        <w:rPr>
          <w:rFonts w:eastAsia="Calibri" w:cs="Times New Roman"/>
          <w:color w:val="auto"/>
          <w:szCs w:val="24"/>
        </w:rPr>
        <w:t xml:space="preserve">condition, the Board </w:t>
      </w:r>
      <w:r w:rsidR="00615A9A" w:rsidRPr="00615A9A">
        <w:rPr>
          <w:rFonts w:eastAsia="Calibri" w:cs="Times New Roman"/>
          <w:color w:val="auto"/>
          <w:szCs w:val="24"/>
        </w:rPr>
        <w:t xml:space="preserve">by a vote of 2:1 </w:t>
      </w:r>
      <w:r w:rsidR="00615A9A" w:rsidRPr="00341691">
        <w:rPr>
          <w:rFonts w:eastAsia="Calibri" w:cs="Times New Roman"/>
          <w:color w:val="auto"/>
          <w:szCs w:val="24"/>
        </w:rPr>
        <w:t>recommends</w:t>
      </w:r>
      <w:r w:rsidR="00615A9A" w:rsidRPr="00180F53">
        <w:rPr>
          <w:rFonts w:eastAsia="Calibri" w:cs="Times New Roman"/>
          <w:color w:val="auto"/>
          <w:szCs w:val="24"/>
        </w:rPr>
        <w:t xml:space="preserve"> a disability rating of </w:t>
      </w:r>
      <w:r w:rsidR="00615A9A">
        <w:rPr>
          <w:rFonts w:eastAsia="Calibri" w:cs="Times New Roman"/>
          <w:color w:val="auto"/>
          <w:szCs w:val="24"/>
        </w:rPr>
        <w:t>50</w:t>
      </w:r>
      <w:r w:rsidR="00615A9A" w:rsidRPr="00180F53">
        <w:rPr>
          <w:rFonts w:eastAsia="Calibri" w:cs="Times New Roman"/>
          <w:color w:val="auto"/>
          <w:szCs w:val="24"/>
        </w:rPr>
        <w:t xml:space="preserve">%, coded </w:t>
      </w:r>
      <w:r w:rsidR="00615A9A">
        <w:rPr>
          <w:rFonts w:eastAsia="Calibri" w:cs="Times New Roman"/>
          <w:color w:val="auto"/>
          <w:szCs w:val="24"/>
        </w:rPr>
        <w:t xml:space="preserve">6847 </w:t>
      </w:r>
      <w:r w:rsidR="00311B6D">
        <w:rPr>
          <w:rFonts w:eastAsia="Calibri" w:cs="Times New Roman"/>
          <w:color w:val="auto"/>
          <w:szCs w:val="24"/>
        </w:rPr>
        <w:t>IAW VASRD §4.100</w:t>
      </w:r>
      <w:r w:rsidR="00615A9A" w:rsidRPr="00180F53">
        <w:rPr>
          <w:rFonts w:eastAsia="Calibri" w:cs="Times New Roman"/>
          <w:color w:val="auto"/>
          <w:szCs w:val="24"/>
        </w:rPr>
        <w:t xml:space="preserve">.  </w:t>
      </w:r>
      <w:r w:rsidR="00311B6D" w:rsidRPr="00311B6D">
        <w:rPr>
          <w:rFonts w:eastAsia="Calibri" w:cs="Times New Roman"/>
          <w:color w:val="auto"/>
          <w:szCs w:val="24"/>
        </w:rPr>
        <w:t xml:space="preserve">The single voter for dissent (who recommended </w:t>
      </w:r>
      <w:r w:rsidR="00311B6D">
        <w:rPr>
          <w:rFonts w:eastAsia="Calibri" w:cs="Times New Roman"/>
          <w:color w:val="auto"/>
          <w:szCs w:val="24"/>
        </w:rPr>
        <w:t>a disability rating of 0%</w:t>
      </w:r>
      <w:r w:rsidR="00311B6D" w:rsidRPr="00311B6D">
        <w:rPr>
          <w:rFonts w:eastAsia="Calibri" w:cs="Times New Roman"/>
          <w:color w:val="auto"/>
          <w:szCs w:val="24"/>
        </w:rPr>
        <w:t>) submitted the addended minority opinion.</w:t>
      </w:r>
      <w:r w:rsidR="00311B6D">
        <w:rPr>
          <w:rFonts w:eastAsia="Calibri" w:cs="Times New Roman"/>
          <w:color w:val="auto"/>
          <w:szCs w:val="24"/>
        </w:rPr>
        <w:t xml:space="preserve"> </w:t>
      </w:r>
      <w:r w:rsidR="00311B6D" w:rsidRPr="00311B6D">
        <w:rPr>
          <w:rFonts w:eastAsia="Calibri" w:cs="Times New Roman"/>
          <w:color w:val="auto"/>
          <w:szCs w:val="24"/>
        </w:rPr>
        <w:t xml:space="preserve"> </w:t>
      </w:r>
      <w:r w:rsidR="00311B6D">
        <w:rPr>
          <w:rFonts w:eastAsia="Calibri" w:cs="Times New Roman"/>
          <w:color w:val="auto"/>
          <w:szCs w:val="24"/>
        </w:rPr>
        <w:t xml:space="preserve"> </w:t>
      </w:r>
      <w:r w:rsidR="00560F12" w:rsidRPr="00180F53">
        <w:rPr>
          <w:rFonts w:eastAsia="Calibri" w:cs="Times New Roman"/>
          <w:color w:val="auto"/>
          <w:szCs w:val="24"/>
        </w:rPr>
        <w:t xml:space="preserve">In the matter of the </w:t>
      </w:r>
      <w:r w:rsidR="00311B6D">
        <w:rPr>
          <w:rFonts w:eastAsia="Calibri" w:cs="Times New Roman"/>
          <w:color w:val="auto"/>
          <w:szCs w:val="24"/>
        </w:rPr>
        <w:t>pes planus</w:t>
      </w:r>
      <w:r w:rsidR="00560F12" w:rsidRPr="00180F53">
        <w:rPr>
          <w:rFonts w:eastAsia="Calibri" w:cs="Times New Roman"/>
          <w:color w:val="auto"/>
          <w:szCs w:val="24"/>
        </w:rPr>
        <w:t xml:space="preserve"> condition and IAW VASRD §4.71a, the Board unanimously recommends no change in the PEB adjudication.</w:t>
      </w:r>
      <w:r w:rsidR="006B690F" w:rsidRPr="00180F53">
        <w:rPr>
          <w:rFonts w:eastAsia="Calibri" w:cs="Times New Roman"/>
          <w:color w:val="auto"/>
          <w:szCs w:val="24"/>
        </w:rPr>
        <w:t xml:space="preserve">  </w:t>
      </w:r>
      <w:r w:rsidR="00311B6D" w:rsidRPr="00560F12">
        <w:rPr>
          <w:rFonts w:eastAsia="Calibri" w:cs="Times New Roman"/>
          <w:color w:val="auto"/>
          <w:szCs w:val="24"/>
        </w:rPr>
        <w:t xml:space="preserve">In the matter of the </w:t>
      </w:r>
      <w:r w:rsidR="00311B6D">
        <w:rPr>
          <w:rFonts w:eastAsia="Calibri" w:cs="Times New Roman"/>
          <w:color w:val="auto"/>
          <w:szCs w:val="24"/>
        </w:rPr>
        <w:t>contended psychiatric condition</w:t>
      </w:r>
      <w:r w:rsidR="00311B6D" w:rsidRPr="00560F12">
        <w:rPr>
          <w:rFonts w:eastAsia="Calibri" w:cs="Times New Roman"/>
          <w:color w:val="auto"/>
          <w:szCs w:val="24"/>
        </w:rPr>
        <w:t xml:space="preserve">, the </w:t>
      </w:r>
      <w:r w:rsidR="00311B6D" w:rsidRPr="00311B6D">
        <w:rPr>
          <w:rFonts w:eastAsia="Calibri" w:cs="Times New Roman"/>
          <w:color w:val="auto"/>
          <w:szCs w:val="24"/>
        </w:rPr>
        <w:t>Board unanimously recommends no change from the PEB determination as not unfitting.</w:t>
      </w:r>
      <w:r w:rsidR="00311B6D">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6E2A32" w:rsidRDefault="00AD2379" w:rsidP="000C10B9">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6E2A32" w:rsidRPr="00F64312" w:rsidRDefault="006E2A32" w:rsidP="00180F53">
      <w:pPr>
        <w:spacing w:line="240" w:lineRule="auto"/>
        <w:jc w:val="left"/>
        <w:rPr>
          <w:rFonts w:eastAsia="Calibri" w:cs="Times New Roman"/>
          <w:color w:val="auto"/>
          <w:szCs w:val="24"/>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1530"/>
        <w:gridCol w:w="1260"/>
      </w:tblGrid>
      <w:tr w:rsidR="00615464" w:rsidRPr="001F29F9" w:rsidTr="00180F53">
        <w:trPr>
          <w:trHeight w:val="233"/>
        </w:trPr>
        <w:tc>
          <w:tcPr>
            <w:tcW w:w="6588" w:type="dxa"/>
            <w:tcBorders>
              <w:right w:val="single" w:sz="4" w:space="0" w:color="auto"/>
            </w:tcBorders>
            <w:shd w:val="clear" w:color="auto" w:fill="D9D9D9"/>
            <w:vAlign w:val="center"/>
          </w:tcPr>
          <w:p w:rsidR="00615464" w:rsidRPr="00615464" w:rsidRDefault="00615464" w:rsidP="00D6516E">
            <w:pPr>
              <w:tabs>
                <w:tab w:val="left" w:pos="288"/>
                <w:tab w:val="left" w:pos="4752"/>
              </w:tabs>
              <w:rPr>
                <w:rFonts w:asciiTheme="majorHAnsi" w:hAnsiTheme="majorHAnsi" w:cstheme="majorHAnsi"/>
                <w:b/>
                <w:color w:val="000000" w:themeColor="text1"/>
                <w:szCs w:val="24"/>
              </w:rPr>
            </w:pPr>
            <w:r w:rsidRPr="00615464">
              <w:rPr>
                <w:rFonts w:asciiTheme="majorHAnsi" w:hAnsiTheme="majorHAnsi" w:cstheme="majorHAnsi"/>
                <w:b/>
                <w:color w:val="000000" w:themeColor="text1"/>
                <w:szCs w:val="24"/>
              </w:rPr>
              <w:t>UNFITTING CONDITION</w:t>
            </w:r>
          </w:p>
        </w:tc>
        <w:tc>
          <w:tcPr>
            <w:tcW w:w="1530" w:type="dxa"/>
            <w:tcBorders>
              <w:left w:val="single" w:sz="4" w:space="0" w:color="auto"/>
            </w:tcBorders>
            <w:shd w:val="clear" w:color="auto" w:fill="D9D9D9"/>
            <w:vAlign w:val="center"/>
          </w:tcPr>
          <w:p w:rsidR="00615464" w:rsidRPr="00615464" w:rsidRDefault="00615464" w:rsidP="00D6516E">
            <w:pPr>
              <w:tabs>
                <w:tab w:val="left" w:pos="288"/>
                <w:tab w:val="left" w:pos="4752"/>
              </w:tabs>
              <w:rPr>
                <w:rFonts w:asciiTheme="majorHAnsi" w:hAnsiTheme="majorHAnsi" w:cstheme="majorHAnsi"/>
                <w:b/>
                <w:color w:val="000000" w:themeColor="text1"/>
                <w:szCs w:val="24"/>
              </w:rPr>
            </w:pPr>
            <w:r w:rsidRPr="00615464">
              <w:rPr>
                <w:rFonts w:asciiTheme="majorHAnsi" w:hAnsiTheme="majorHAnsi" w:cstheme="majorHAnsi"/>
                <w:b/>
                <w:color w:val="000000" w:themeColor="text1"/>
                <w:szCs w:val="24"/>
              </w:rPr>
              <w:t>VASRD CODE</w:t>
            </w:r>
          </w:p>
        </w:tc>
        <w:tc>
          <w:tcPr>
            <w:tcW w:w="1260" w:type="dxa"/>
            <w:shd w:val="clear" w:color="auto" w:fill="D9D9D9"/>
            <w:vAlign w:val="center"/>
          </w:tcPr>
          <w:p w:rsidR="00615464" w:rsidRPr="00615464" w:rsidRDefault="00615464" w:rsidP="00D6516E">
            <w:pPr>
              <w:tabs>
                <w:tab w:val="left" w:pos="288"/>
                <w:tab w:val="left" w:pos="4752"/>
              </w:tabs>
              <w:rPr>
                <w:rFonts w:asciiTheme="majorHAnsi" w:hAnsiTheme="majorHAnsi" w:cstheme="majorHAnsi"/>
                <w:b/>
                <w:color w:val="000000" w:themeColor="text1"/>
                <w:szCs w:val="24"/>
              </w:rPr>
            </w:pPr>
            <w:r w:rsidRPr="00615464">
              <w:rPr>
                <w:rFonts w:asciiTheme="majorHAnsi" w:hAnsiTheme="majorHAnsi" w:cstheme="majorHAnsi"/>
                <w:b/>
                <w:color w:val="000000" w:themeColor="text1"/>
                <w:szCs w:val="24"/>
              </w:rPr>
              <w:t>RATING</w:t>
            </w:r>
          </w:p>
        </w:tc>
      </w:tr>
      <w:tr w:rsidR="00615464" w:rsidRPr="001F29F9" w:rsidTr="00180F53">
        <w:tc>
          <w:tcPr>
            <w:tcW w:w="6588" w:type="dxa"/>
            <w:tcBorders>
              <w:right w:val="single" w:sz="4" w:space="0" w:color="auto"/>
            </w:tcBorders>
            <w:vAlign w:val="center"/>
          </w:tcPr>
          <w:p w:rsidR="00615464" w:rsidRPr="00615464" w:rsidRDefault="006E2A32" w:rsidP="00D6516E">
            <w:pPr>
              <w:contextualSpacing/>
              <w:jc w:val="left"/>
              <w:rPr>
                <w:rFonts w:asciiTheme="majorHAnsi" w:hAnsiTheme="majorHAnsi" w:cstheme="majorHAnsi"/>
                <w:color w:val="auto"/>
                <w:szCs w:val="24"/>
              </w:rPr>
            </w:pPr>
            <w:r>
              <w:rPr>
                <w:rFonts w:asciiTheme="majorHAnsi" w:hAnsiTheme="majorHAnsi" w:cstheme="majorHAnsi"/>
                <w:color w:val="000000" w:themeColor="text1"/>
                <w:szCs w:val="24"/>
              </w:rPr>
              <w:t>Degenerative Disc Disease, Lumbar Spine</w:t>
            </w:r>
          </w:p>
        </w:tc>
        <w:tc>
          <w:tcPr>
            <w:tcW w:w="1530" w:type="dxa"/>
            <w:tcBorders>
              <w:left w:val="single" w:sz="4" w:space="0" w:color="auto"/>
            </w:tcBorders>
            <w:vAlign w:val="center"/>
          </w:tcPr>
          <w:p w:rsidR="00615464" w:rsidRPr="00FC756E" w:rsidRDefault="00615464" w:rsidP="006E2A32">
            <w:pPr>
              <w:contextualSpacing/>
              <w:rPr>
                <w:rFonts w:asciiTheme="majorHAnsi" w:hAnsiTheme="majorHAnsi" w:cstheme="majorHAnsi"/>
                <w:color w:val="auto"/>
                <w:szCs w:val="24"/>
              </w:rPr>
            </w:pPr>
            <w:r w:rsidRPr="00FC756E">
              <w:rPr>
                <w:rFonts w:asciiTheme="majorHAnsi" w:hAnsiTheme="majorHAnsi" w:cstheme="majorHAnsi"/>
                <w:color w:val="auto"/>
                <w:szCs w:val="24"/>
              </w:rPr>
              <w:t>52</w:t>
            </w:r>
            <w:r w:rsidR="006E2A32" w:rsidRPr="00FC756E">
              <w:rPr>
                <w:rFonts w:asciiTheme="majorHAnsi" w:hAnsiTheme="majorHAnsi" w:cstheme="majorHAnsi"/>
                <w:color w:val="auto"/>
                <w:szCs w:val="24"/>
              </w:rPr>
              <w:t>42</w:t>
            </w:r>
          </w:p>
        </w:tc>
        <w:tc>
          <w:tcPr>
            <w:tcW w:w="1260" w:type="dxa"/>
            <w:vAlign w:val="center"/>
          </w:tcPr>
          <w:p w:rsidR="00615464" w:rsidRPr="00FC756E" w:rsidRDefault="00E229DC" w:rsidP="00D6516E">
            <w:pPr>
              <w:rPr>
                <w:rFonts w:asciiTheme="majorHAnsi" w:hAnsiTheme="majorHAnsi" w:cstheme="majorHAnsi"/>
                <w:color w:val="auto"/>
                <w:szCs w:val="24"/>
              </w:rPr>
            </w:pPr>
            <w:r w:rsidRPr="00FC756E">
              <w:rPr>
                <w:rFonts w:asciiTheme="majorHAnsi" w:hAnsiTheme="majorHAnsi" w:cstheme="majorHAnsi"/>
                <w:color w:val="auto"/>
                <w:szCs w:val="24"/>
              </w:rPr>
              <w:t>20%</w:t>
            </w:r>
          </w:p>
        </w:tc>
      </w:tr>
      <w:tr w:rsidR="00615464" w:rsidRPr="001F29F9" w:rsidTr="00180F53">
        <w:tc>
          <w:tcPr>
            <w:tcW w:w="6588" w:type="dxa"/>
            <w:tcBorders>
              <w:right w:val="single" w:sz="4" w:space="0" w:color="auto"/>
            </w:tcBorders>
            <w:vAlign w:val="center"/>
          </w:tcPr>
          <w:p w:rsidR="00615464" w:rsidRPr="00615464" w:rsidRDefault="00615464" w:rsidP="00D6516E">
            <w:pPr>
              <w:contextualSpacing/>
              <w:jc w:val="left"/>
              <w:rPr>
                <w:rFonts w:asciiTheme="majorHAnsi" w:hAnsiTheme="majorHAnsi" w:cstheme="majorHAnsi"/>
                <w:color w:val="auto"/>
                <w:szCs w:val="24"/>
              </w:rPr>
            </w:pPr>
            <w:r w:rsidRPr="00615464">
              <w:rPr>
                <w:rFonts w:asciiTheme="majorHAnsi" w:hAnsiTheme="majorHAnsi" w:cstheme="majorHAnsi"/>
                <w:color w:val="000000" w:themeColor="text1"/>
                <w:szCs w:val="24"/>
              </w:rPr>
              <w:t>Chronic Left Ankle Pain</w:t>
            </w:r>
          </w:p>
        </w:tc>
        <w:tc>
          <w:tcPr>
            <w:tcW w:w="1530" w:type="dxa"/>
            <w:tcBorders>
              <w:left w:val="single" w:sz="4" w:space="0" w:color="auto"/>
            </w:tcBorders>
            <w:vAlign w:val="center"/>
          </w:tcPr>
          <w:p w:rsidR="00615464" w:rsidRPr="00FC756E" w:rsidRDefault="006E2A32" w:rsidP="00D6516E">
            <w:pPr>
              <w:contextualSpacing/>
              <w:rPr>
                <w:rFonts w:asciiTheme="majorHAnsi" w:hAnsiTheme="majorHAnsi" w:cstheme="majorHAnsi"/>
                <w:color w:val="auto"/>
                <w:szCs w:val="24"/>
              </w:rPr>
            </w:pPr>
            <w:r w:rsidRPr="00FC756E">
              <w:rPr>
                <w:rFonts w:asciiTheme="majorHAnsi" w:hAnsiTheme="majorHAnsi" w:cstheme="majorHAnsi"/>
                <w:color w:val="auto"/>
                <w:szCs w:val="24"/>
              </w:rPr>
              <w:t>5271</w:t>
            </w:r>
          </w:p>
        </w:tc>
        <w:tc>
          <w:tcPr>
            <w:tcW w:w="1260" w:type="dxa"/>
            <w:vAlign w:val="center"/>
          </w:tcPr>
          <w:p w:rsidR="00615464" w:rsidRPr="00FC756E" w:rsidRDefault="00096774" w:rsidP="00D6516E">
            <w:pPr>
              <w:rPr>
                <w:rFonts w:asciiTheme="majorHAnsi" w:hAnsiTheme="majorHAnsi" w:cstheme="majorHAnsi"/>
                <w:color w:val="auto"/>
                <w:szCs w:val="24"/>
              </w:rPr>
            </w:pPr>
            <w:r w:rsidRPr="00FC756E">
              <w:rPr>
                <w:rFonts w:asciiTheme="majorHAnsi" w:hAnsiTheme="majorHAnsi" w:cstheme="majorHAnsi"/>
                <w:color w:val="auto"/>
                <w:szCs w:val="24"/>
              </w:rPr>
              <w:t>1</w:t>
            </w:r>
            <w:r w:rsidR="00615464" w:rsidRPr="00FC756E">
              <w:rPr>
                <w:rFonts w:asciiTheme="majorHAnsi" w:hAnsiTheme="majorHAnsi" w:cstheme="majorHAnsi"/>
                <w:color w:val="auto"/>
                <w:szCs w:val="24"/>
              </w:rPr>
              <w:t>0%</w:t>
            </w:r>
          </w:p>
        </w:tc>
      </w:tr>
      <w:tr w:rsidR="00615464" w:rsidRPr="001F29F9" w:rsidTr="00180F53">
        <w:tc>
          <w:tcPr>
            <w:tcW w:w="6588" w:type="dxa"/>
            <w:tcBorders>
              <w:right w:val="single" w:sz="4" w:space="0" w:color="auto"/>
            </w:tcBorders>
            <w:vAlign w:val="center"/>
          </w:tcPr>
          <w:p w:rsidR="00615464" w:rsidRPr="00615464" w:rsidRDefault="00615464" w:rsidP="00D6516E">
            <w:pPr>
              <w:contextualSpacing/>
              <w:jc w:val="left"/>
              <w:rPr>
                <w:rFonts w:asciiTheme="majorHAnsi" w:hAnsiTheme="majorHAnsi" w:cstheme="majorHAnsi"/>
                <w:color w:val="auto"/>
                <w:szCs w:val="24"/>
              </w:rPr>
            </w:pPr>
            <w:r w:rsidRPr="00615464">
              <w:rPr>
                <w:rFonts w:asciiTheme="majorHAnsi" w:hAnsiTheme="majorHAnsi" w:cstheme="majorHAnsi"/>
                <w:color w:val="000000" w:themeColor="text1"/>
                <w:szCs w:val="24"/>
              </w:rPr>
              <w:t>Obstructive Sleep Apnea</w:t>
            </w:r>
          </w:p>
        </w:tc>
        <w:tc>
          <w:tcPr>
            <w:tcW w:w="1530" w:type="dxa"/>
            <w:tcBorders>
              <w:left w:val="single" w:sz="4" w:space="0" w:color="auto"/>
            </w:tcBorders>
            <w:vAlign w:val="center"/>
          </w:tcPr>
          <w:p w:rsidR="00615464" w:rsidRPr="00FC756E" w:rsidRDefault="00615464" w:rsidP="00D6516E">
            <w:pPr>
              <w:contextualSpacing/>
              <w:rPr>
                <w:rFonts w:asciiTheme="majorHAnsi" w:hAnsiTheme="majorHAnsi" w:cstheme="majorHAnsi"/>
                <w:color w:val="auto"/>
                <w:szCs w:val="24"/>
              </w:rPr>
            </w:pPr>
            <w:r w:rsidRPr="00FC756E">
              <w:rPr>
                <w:rFonts w:asciiTheme="majorHAnsi" w:hAnsiTheme="majorHAnsi" w:cstheme="majorHAnsi"/>
                <w:color w:val="auto"/>
                <w:szCs w:val="24"/>
              </w:rPr>
              <w:t>6847</w:t>
            </w:r>
          </w:p>
        </w:tc>
        <w:tc>
          <w:tcPr>
            <w:tcW w:w="1260" w:type="dxa"/>
            <w:vAlign w:val="center"/>
          </w:tcPr>
          <w:p w:rsidR="00615464" w:rsidRPr="00FC756E" w:rsidRDefault="00096774" w:rsidP="00D6516E">
            <w:pPr>
              <w:contextualSpacing/>
              <w:rPr>
                <w:rFonts w:asciiTheme="majorHAnsi" w:hAnsiTheme="majorHAnsi" w:cstheme="majorHAnsi"/>
                <w:color w:val="auto"/>
                <w:szCs w:val="24"/>
              </w:rPr>
            </w:pPr>
            <w:r w:rsidRPr="00FC756E">
              <w:rPr>
                <w:rFonts w:asciiTheme="majorHAnsi" w:hAnsiTheme="majorHAnsi" w:cstheme="majorHAnsi"/>
                <w:color w:val="auto"/>
                <w:szCs w:val="24"/>
              </w:rPr>
              <w:t>50</w:t>
            </w:r>
            <w:r w:rsidR="00615464" w:rsidRPr="00FC756E">
              <w:rPr>
                <w:rFonts w:asciiTheme="majorHAnsi" w:hAnsiTheme="majorHAnsi" w:cstheme="majorHAnsi"/>
                <w:color w:val="auto"/>
                <w:szCs w:val="24"/>
              </w:rPr>
              <w:t>%</w:t>
            </w:r>
            <w:r w:rsidRPr="00FC756E">
              <w:rPr>
                <w:rFonts w:asciiTheme="majorHAnsi" w:hAnsiTheme="majorHAnsi" w:cstheme="majorHAnsi"/>
                <w:color w:val="auto"/>
                <w:szCs w:val="24"/>
              </w:rPr>
              <w:t xml:space="preserve"> </w:t>
            </w:r>
          </w:p>
        </w:tc>
      </w:tr>
      <w:tr w:rsidR="00615464" w:rsidRPr="001F29F9" w:rsidTr="00180F53">
        <w:tc>
          <w:tcPr>
            <w:tcW w:w="6588" w:type="dxa"/>
            <w:tcBorders>
              <w:right w:val="single" w:sz="4" w:space="0" w:color="auto"/>
            </w:tcBorders>
            <w:vAlign w:val="center"/>
          </w:tcPr>
          <w:p w:rsidR="00615464" w:rsidRPr="00615464" w:rsidRDefault="00615464" w:rsidP="00D6516E">
            <w:pPr>
              <w:contextualSpacing/>
              <w:jc w:val="left"/>
              <w:rPr>
                <w:rFonts w:asciiTheme="majorHAnsi" w:hAnsiTheme="majorHAnsi" w:cstheme="majorHAnsi"/>
                <w:color w:val="auto"/>
                <w:szCs w:val="24"/>
              </w:rPr>
            </w:pPr>
            <w:r w:rsidRPr="00615464">
              <w:rPr>
                <w:rFonts w:asciiTheme="majorHAnsi" w:hAnsiTheme="majorHAnsi" w:cstheme="majorHAnsi"/>
                <w:color w:val="000000" w:themeColor="text1"/>
                <w:szCs w:val="24"/>
              </w:rPr>
              <w:t>Pes Planus</w:t>
            </w:r>
          </w:p>
        </w:tc>
        <w:tc>
          <w:tcPr>
            <w:tcW w:w="1530" w:type="dxa"/>
            <w:tcBorders>
              <w:left w:val="single" w:sz="4" w:space="0" w:color="auto"/>
            </w:tcBorders>
            <w:vAlign w:val="center"/>
          </w:tcPr>
          <w:p w:rsidR="00615464" w:rsidRPr="00FC756E" w:rsidRDefault="00615464" w:rsidP="00D6516E">
            <w:pPr>
              <w:contextualSpacing/>
              <w:rPr>
                <w:rFonts w:asciiTheme="majorHAnsi" w:hAnsiTheme="majorHAnsi" w:cstheme="majorHAnsi"/>
                <w:color w:val="auto"/>
                <w:szCs w:val="24"/>
              </w:rPr>
            </w:pPr>
            <w:r w:rsidRPr="00FC756E">
              <w:rPr>
                <w:rFonts w:asciiTheme="majorHAnsi" w:hAnsiTheme="majorHAnsi" w:cstheme="majorHAnsi"/>
                <w:color w:val="auto"/>
                <w:szCs w:val="24"/>
              </w:rPr>
              <w:t>5099-5003</w:t>
            </w:r>
          </w:p>
        </w:tc>
        <w:tc>
          <w:tcPr>
            <w:tcW w:w="1260" w:type="dxa"/>
            <w:vAlign w:val="center"/>
          </w:tcPr>
          <w:p w:rsidR="00615464" w:rsidRPr="00FC756E" w:rsidRDefault="00096774" w:rsidP="00FC756E">
            <w:pPr>
              <w:contextualSpacing/>
              <w:rPr>
                <w:rFonts w:asciiTheme="majorHAnsi" w:hAnsiTheme="majorHAnsi" w:cstheme="majorHAnsi"/>
                <w:color w:val="auto"/>
                <w:szCs w:val="24"/>
              </w:rPr>
            </w:pPr>
            <w:r w:rsidRPr="00FC756E">
              <w:rPr>
                <w:rFonts w:asciiTheme="majorHAnsi" w:hAnsiTheme="majorHAnsi" w:cstheme="majorHAnsi"/>
                <w:color w:val="auto"/>
                <w:szCs w:val="24"/>
              </w:rPr>
              <w:t>0</w:t>
            </w:r>
            <w:r w:rsidR="00FC756E">
              <w:rPr>
                <w:rFonts w:asciiTheme="majorHAnsi" w:hAnsiTheme="majorHAnsi" w:cstheme="majorHAnsi"/>
                <w:color w:val="auto"/>
                <w:szCs w:val="24"/>
              </w:rPr>
              <w:t>%</w:t>
            </w:r>
          </w:p>
        </w:tc>
      </w:tr>
      <w:tr w:rsidR="00615464" w:rsidRPr="001F29F9" w:rsidTr="00180F53">
        <w:tblPrEx>
          <w:tblLook w:val="0000"/>
        </w:tblPrEx>
        <w:trPr>
          <w:gridBefore w:val="1"/>
          <w:wBefore w:w="6588" w:type="dxa"/>
          <w:trHeight w:val="152"/>
        </w:trPr>
        <w:tc>
          <w:tcPr>
            <w:tcW w:w="1530" w:type="dxa"/>
            <w:tcBorders>
              <w:left w:val="single" w:sz="4" w:space="0" w:color="auto"/>
              <w:bottom w:val="single" w:sz="4" w:space="0" w:color="000000"/>
            </w:tcBorders>
            <w:shd w:val="clear" w:color="auto" w:fill="D9D9D9" w:themeFill="background1" w:themeFillShade="D9"/>
            <w:vAlign w:val="center"/>
          </w:tcPr>
          <w:p w:rsidR="00615464" w:rsidRPr="00FC756E" w:rsidRDefault="00615464" w:rsidP="006E2A32">
            <w:pPr>
              <w:tabs>
                <w:tab w:val="left" w:pos="288"/>
                <w:tab w:val="left" w:pos="4752"/>
              </w:tabs>
              <w:rPr>
                <w:rFonts w:asciiTheme="majorHAnsi" w:hAnsiTheme="majorHAnsi" w:cstheme="majorHAnsi"/>
                <w:b/>
                <w:color w:val="000000" w:themeColor="text1"/>
                <w:szCs w:val="24"/>
              </w:rPr>
            </w:pPr>
            <w:r w:rsidRPr="00FC756E">
              <w:rPr>
                <w:rFonts w:asciiTheme="majorHAnsi" w:hAnsiTheme="majorHAnsi" w:cstheme="majorHAnsi"/>
                <w:b/>
                <w:color w:val="000000" w:themeColor="text1"/>
                <w:szCs w:val="24"/>
              </w:rPr>
              <w:t>COMBINED</w:t>
            </w:r>
          </w:p>
        </w:tc>
        <w:tc>
          <w:tcPr>
            <w:tcW w:w="1260" w:type="dxa"/>
            <w:tcBorders>
              <w:bottom w:val="single" w:sz="4" w:space="0" w:color="000000"/>
            </w:tcBorders>
            <w:shd w:val="clear" w:color="auto" w:fill="D9D9D9" w:themeFill="background1" w:themeFillShade="D9"/>
            <w:vAlign w:val="center"/>
          </w:tcPr>
          <w:p w:rsidR="00615464" w:rsidRPr="00FC756E" w:rsidRDefault="00FC756E" w:rsidP="00D6516E">
            <w:pPr>
              <w:tabs>
                <w:tab w:val="left" w:pos="288"/>
                <w:tab w:val="left" w:pos="4752"/>
              </w:tabs>
              <w:rPr>
                <w:rFonts w:asciiTheme="majorHAnsi" w:hAnsiTheme="majorHAnsi" w:cstheme="majorHAnsi"/>
                <w:b/>
                <w:color w:val="000000" w:themeColor="text1"/>
                <w:szCs w:val="24"/>
              </w:rPr>
            </w:pPr>
            <w:r>
              <w:rPr>
                <w:rFonts w:asciiTheme="majorHAnsi" w:hAnsiTheme="majorHAnsi" w:cstheme="majorHAnsi"/>
                <w:b/>
                <w:color w:val="000000" w:themeColor="text1"/>
                <w:szCs w:val="24"/>
              </w:rPr>
              <w:t>6</w:t>
            </w:r>
            <w:r w:rsidR="00180F53" w:rsidRPr="00FC756E">
              <w:rPr>
                <w:rFonts w:asciiTheme="majorHAnsi" w:hAnsiTheme="majorHAnsi" w:cstheme="majorHAnsi"/>
                <w:b/>
                <w:color w:val="000000" w:themeColor="text1"/>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113043" w:rsidRPr="001F29F9">
        <w:rPr>
          <w:color w:val="000000" w:themeColor="text1"/>
          <w:szCs w:val="24"/>
        </w:rPr>
        <w:t>20</w:t>
      </w:r>
      <w:r w:rsidR="00113043">
        <w:rPr>
          <w:color w:val="000000" w:themeColor="text1"/>
          <w:szCs w:val="24"/>
        </w:rPr>
        <w:t>110727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0C10B9" w:rsidRDefault="00AD2379" w:rsidP="000C10B9">
      <w:pPr>
        <w:tabs>
          <w:tab w:val="left" w:pos="0"/>
          <w:tab w:val="left" w:pos="4320"/>
        </w:tabs>
        <w:jc w:val="both"/>
        <w:rPr>
          <w:color w:val="auto"/>
          <w:szCs w:val="24"/>
        </w:rPr>
      </w:pPr>
      <w:r w:rsidRPr="00F64312">
        <w:rPr>
          <w:color w:val="auto"/>
        </w:rPr>
        <w:tab/>
      </w:r>
      <w:r w:rsidR="000C10B9">
        <w:rPr>
          <w:color w:val="auto"/>
        </w:rPr>
        <w:t xml:space="preserve">           </w:t>
      </w:r>
      <w:r w:rsidR="00001C4F">
        <w:rPr>
          <w:color w:val="auto"/>
          <w:szCs w:val="24"/>
        </w:rPr>
        <w:t>XXXXXXXXXXXXXXXXXX</w:t>
      </w:r>
    </w:p>
    <w:p w:rsidR="000C10B9" w:rsidRDefault="000C10B9" w:rsidP="000C10B9">
      <w:pPr>
        <w:tabs>
          <w:tab w:val="left" w:pos="0"/>
          <w:tab w:val="left" w:pos="4320"/>
        </w:tabs>
        <w:jc w:val="both"/>
        <w:rPr>
          <w:color w:val="auto"/>
          <w:szCs w:val="24"/>
        </w:rPr>
      </w:pPr>
      <w:r>
        <w:rPr>
          <w:color w:val="auto"/>
          <w:szCs w:val="24"/>
        </w:rPr>
        <w:tab/>
        <w:t xml:space="preserve">           Director of Operations</w:t>
      </w:r>
    </w:p>
    <w:p w:rsidR="00E6162A" w:rsidRPr="00E6162A" w:rsidRDefault="00AD2379" w:rsidP="000C10B9">
      <w:pPr>
        <w:tabs>
          <w:tab w:val="left" w:pos="0"/>
          <w:tab w:val="left" w:pos="4320"/>
        </w:tabs>
        <w:jc w:val="both"/>
        <w:rPr>
          <w:rFonts w:ascii="Janson Text" w:hAnsi="Janson Text" w:cs="Times New Roman"/>
          <w:color w:val="auto"/>
          <w:szCs w:val="24"/>
        </w:rPr>
      </w:pPr>
      <w:r w:rsidRPr="00F64312">
        <w:rPr>
          <w:color w:val="auto"/>
        </w:rPr>
        <w:tab/>
        <w:t xml:space="preserve">           Physical Disability Board of Review</w:t>
      </w:r>
    </w:p>
    <w:p w:rsidR="00FC756E" w:rsidRDefault="00FC756E">
      <w:pPr>
        <w:spacing w:line="240" w:lineRule="auto"/>
        <w:jc w:val="left"/>
        <w:rPr>
          <w:rFonts w:cs="Times New Roman"/>
          <w:color w:val="auto"/>
        </w:rPr>
      </w:pPr>
      <w:r>
        <w:rPr>
          <w:rFonts w:cs="Times New Roman"/>
          <w:color w:val="auto"/>
        </w:rPr>
        <w:br w:type="page"/>
      </w:r>
    </w:p>
    <w:p w:rsidR="00375B0D" w:rsidRDefault="00FC756E" w:rsidP="00E15F14">
      <w:pPr>
        <w:jc w:val="both"/>
        <w:rPr>
          <w:rFonts w:eastAsia="Calibri" w:cs="Times New Roman"/>
          <w:color w:val="auto"/>
          <w:szCs w:val="24"/>
        </w:rPr>
      </w:pPr>
      <w:r w:rsidRPr="00E15F14">
        <w:rPr>
          <w:rFonts w:eastAsia="Calibri" w:cs="Times New Roman"/>
          <w:color w:val="auto"/>
          <w:szCs w:val="24"/>
          <w:u w:val="single"/>
        </w:rPr>
        <w:lastRenderedPageBreak/>
        <w:t>MINORITY OPINION</w:t>
      </w:r>
      <w:r w:rsidRPr="00E15F14">
        <w:rPr>
          <w:rFonts w:eastAsia="Calibri" w:cs="Times New Roman"/>
          <w:color w:val="auto"/>
          <w:szCs w:val="24"/>
        </w:rPr>
        <w:t>:</w:t>
      </w:r>
      <w:r w:rsidR="00E15F14" w:rsidRPr="00E15F14">
        <w:rPr>
          <w:rFonts w:eastAsia="Calibri" w:cs="Times New Roman"/>
          <w:color w:val="auto"/>
          <w:szCs w:val="24"/>
        </w:rPr>
        <w:t xml:space="preserve">  </w:t>
      </w:r>
    </w:p>
    <w:p w:rsidR="00375B0D" w:rsidRDefault="00375B0D" w:rsidP="00E15F14">
      <w:pPr>
        <w:jc w:val="both"/>
        <w:rPr>
          <w:rFonts w:eastAsia="Calibri" w:cs="Times New Roman"/>
          <w:color w:val="auto"/>
          <w:szCs w:val="24"/>
        </w:rPr>
      </w:pPr>
    </w:p>
    <w:p w:rsidR="00375B0D" w:rsidRDefault="00C33F78" w:rsidP="00E15F14">
      <w:pPr>
        <w:jc w:val="both"/>
        <w:rPr>
          <w:rFonts w:eastAsia="Calibri" w:cs="Times New Roman"/>
          <w:color w:val="auto"/>
          <w:szCs w:val="24"/>
        </w:rPr>
      </w:pPr>
      <w:r w:rsidRPr="00E15F14">
        <w:rPr>
          <w:rFonts w:eastAsia="Calibri" w:cs="Times New Roman"/>
          <w:color w:val="auto"/>
          <w:szCs w:val="24"/>
        </w:rPr>
        <w:t xml:space="preserve">Notwithstanding my dissent to the majority recommendation for the </w:t>
      </w:r>
      <w:r w:rsidR="009D479C" w:rsidRPr="00E15F14">
        <w:rPr>
          <w:rFonts w:eastAsia="Calibri" w:cs="Times New Roman"/>
          <w:color w:val="auto"/>
          <w:szCs w:val="24"/>
        </w:rPr>
        <w:t xml:space="preserve">OSA condition, I was </w:t>
      </w:r>
      <w:r w:rsidR="00311B6D" w:rsidRPr="00E15F14">
        <w:rPr>
          <w:rFonts w:eastAsia="Calibri" w:cs="Times New Roman"/>
          <w:color w:val="auto"/>
          <w:szCs w:val="24"/>
        </w:rPr>
        <w:t xml:space="preserve"> concerned </w:t>
      </w:r>
      <w:r w:rsidR="009D479C" w:rsidRPr="00E15F14">
        <w:rPr>
          <w:rFonts w:eastAsia="Calibri" w:cs="Times New Roman"/>
          <w:color w:val="auto"/>
          <w:szCs w:val="24"/>
        </w:rPr>
        <w:t xml:space="preserve">in this case </w:t>
      </w:r>
      <w:r w:rsidR="00311B6D" w:rsidRPr="00E15F14">
        <w:rPr>
          <w:rFonts w:eastAsia="Calibri" w:cs="Times New Roman"/>
          <w:color w:val="auto"/>
          <w:szCs w:val="24"/>
        </w:rPr>
        <w:t>about the clear evidence that there was a significant non-organic component of the lumbar spine condition; and, that a compensable rating for the left ankle condition (IAW VASRD §4.71a)</w:t>
      </w:r>
      <w:r w:rsidRPr="00E15F14">
        <w:rPr>
          <w:rFonts w:eastAsia="Calibri" w:cs="Times New Roman"/>
          <w:color w:val="auto"/>
          <w:szCs w:val="24"/>
        </w:rPr>
        <w:t xml:space="preserve"> could not be supported by the NARSUM alone</w:t>
      </w:r>
      <w:r w:rsidR="009D479C" w:rsidRPr="00E15F14">
        <w:rPr>
          <w:rFonts w:eastAsia="Calibri" w:cs="Times New Roman"/>
          <w:color w:val="auto"/>
          <w:szCs w:val="24"/>
        </w:rPr>
        <w:t xml:space="preserve">.  Furthermore the clinical history and objective data for both of these conditions is not </w:t>
      </w:r>
      <w:r w:rsidRPr="00E15F14">
        <w:rPr>
          <w:rFonts w:eastAsia="Calibri" w:cs="Times New Roman"/>
          <w:color w:val="auto"/>
          <w:szCs w:val="24"/>
        </w:rPr>
        <w:t xml:space="preserve">consistent with </w:t>
      </w:r>
      <w:r w:rsidR="009D479C" w:rsidRPr="00E15F14">
        <w:rPr>
          <w:rFonts w:eastAsia="Calibri" w:cs="Times New Roman"/>
          <w:color w:val="auto"/>
          <w:szCs w:val="24"/>
        </w:rPr>
        <w:t xml:space="preserve">an expectation that they should be associated with </w:t>
      </w:r>
      <w:r w:rsidR="002D6F13" w:rsidRPr="00E15F14">
        <w:rPr>
          <w:rFonts w:eastAsia="Calibri" w:cs="Times New Roman"/>
          <w:color w:val="auto"/>
          <w:szCs w:val="24"/>
        </w:rPr>
        <w:t xml:space="preserve">substantially severe </w:t>
      </w:r>
      <w:r w:rsidR="009D479C" w:rsidRPr="00E15F14">
        <w:rPr>
          <w:rFonts w:eastAsia="Calibri" w:cs="Times New Roman"/>
          <w:color w:val="auto"/>
          <w:szCs w:val="24"/>
        </w:rPr>
        <w:t>disability.</w:t>
      </w:r>
      <w:r w:rsidRPr="00E15F14">
        <w:rPr>
          <w:rFonts w:eastAsia="Calibri" w:cs="Times New Roman"/>
          <w:color w:val="auto"/>
          <w:szCs w:val="24"/>
        </w:rPr>
        <w:t xml:space="preserve"> </w:t>
      </w:r>
      <w:r w:rsidR="002D6F13" w:rsidRPr="00E15F14">
        <w:rPr>
          <w:rFonts w:eastAsia="Calibri" w:cs="Times New Roman"/>
          <w:color w:val="auto"/>
          <w:szCs w:val="24"/>
        </w:rPr>
        <w:t xml:space="preserve"> Although I and my fellow Board members appropriately </w:t>
      </w:r>
      <w:r w:rsidRPr="00E15F14">
        <w:rPr>
          <w:rFonts w:eastAsia="Calibri" w:cs="Times New Roman"/>
          <w:color w:val="auto"/>
          <w:szCs w:val="24"/>
        </w:rPr>
        <w:t xml:space="preserve">conceded reasonable doubt in support of the </w:t>
      </w:r>
      <w:r w:rsidR="002D6F13" w:rsidRPr="00E15F14">
        <w:rPr>
          <w:rFonts w:eastAsia="Calibri" w:cs="Times New Roman"/>
          <w:color w:val="auto"/>
          <w:szCs w:val="24"/>
        </w:rPr>
        <w:t xml:space="preserve">recommended ratings for the lumbar and ankle conditions; </w:t>
      </w:r>
      <w:r w:rsidRPr="00E15F14">
        <w:rPr>
          <w:rFonts w:eastAsia="Calibri" w:cs="Times New Roman"/>
          <w:color w:val="auto"/>
          <w:szCs w:val="24"/>
        </w:rPr>
        <w:t xml:space="preserve">I </w:t>
      </w:r>
      <w:r w:rsidR="002D6F13" w:rsidRPr="00E15F14">
        <w:rPr>
          <w:rFonts w:eastAsia="Calibri" w:cs="Times New Roman"/>
          <w:color w:val="auto"/>
          <w:szCs w:val="24"/>
        </w:rPr>
        <w:t xml:space="preserve">could not </w:t>
      </w:r>
      <w:r w:rsidR="00EF58C1" w:rsidRPr="00E15F14">
        <w:rPr>
          <w:rFonts w:eastAsia="Calibri" w:cs="Times New Roman"/>
          <w:color w:val="auto"/>
          <w:szCs w:val="24"/>
        </w:rPr>
        <w:t xml:space="preserve">extract from the </w:t>
      </w:r>
      <w:r w:rsidR="00EF58C1" w:rsidRPr="00324507">
        <w:rPr>
          <w:rFonts w:eastAsia="Calibri" w:cs="Times New Roman"/>
          <w:color w:val="auto"/>
          <w:szCs w:val="24"/>
        </w:rPr>
        <w:t xml:space="preserve">evidence a reasonable </w:t>
      </w:r>
      <w:r w:rsidRPr="00324507">
        <w:rPr>
          <w:rFonts w:eastAsia="Calibri" w:cs="Times New Roman"/>
          <w:color w:val="auto"/>
          <w:szCs w:val="24"/>
        </w:rPr>
        <w:t>doubt</w:t>
      </w:r>
      <w:r w:rsidRPr="00E15F14">
        <w:rPr>
          <w:rFonts w:eastAsia="Calibri" w:cs="Times New Roman"/>
          <w:color w:val="auto"/>
          <w:szCs w:val="24"/>
        </w:rPr>
        <w:t xml:space="preserve"> in support of the majority OSA recommendatio</w:t>
      </w:r>
      <w:r w:rsidR="00EF58C1" w:rsidRPr="00E15F14">
        <w:rPr>
          <w:rFonts w:eastAsia="Calibri" w:cs="Times New Roman"/>
          <w:color w:val="auto"/>
          <w:szCs w:val="24"/>
        </w:rPr>
        <w:t xml:space="preserve">n.  </w:t>
      </w:r>
    </w:p>
    <w:p w:rsidR="00375B0D" w:rsidRDefault="00375B0D" w:rsidP="00E15F14">
      <w:pPr>
        <w:jc w:val="both"/>
        <w:rPr>
          <w:rFonts w:eastAsia="Calibri" w:cs="Times New Roman"/>
          <w:color w:val="auto"/>
          <w:szCs w:val="24"/>
        </w:rPr>
      </w:pPr>
    </w:p>
    <w:p w:rsidR="00375B0D" w:rsidRPr="00324507" w:rsidRDefault="00EF58C1" w:rsidP="00E15F14">
      <w:pPr>
        <w:jc w:val="both"/>
        <w:rPr>
          <w:rFonts w:eastAsia="Calibri" w:cs="Times New Roman"/>
          <w:color w:val="auto"/>
          <w:szCs w:val="24"/>
        </w:rPr>
      </w:pPr>
      <w:r w:rsidRPr="00324507">
        <w:rPr>
          <w:rFonts w:eastAsia="Calibri" w:cs="Times New Roman"/>
          <w:color w:val="auto"/>
          <w:szCs w:val="24"/>
        </w:rPr>
        <w:t>T</w:t>
      </w:r>
      <w:r w:rsidR="00FC756E" w:rsidRPr="00324507">
        <w:rPr>
          <w:rFonts w:eastAsia="Calibri" w:cs="Times New Roman"/>
          <w:color w:val="auto"/>
          <w:szCs w:val="24"/>
        </w:rPr>
        <w:t xml:space="preserve">he VASRD §4.100 criterion for code 6847 assigns a 50% rating if OSA “requires </w:t>
      </w:r>
      <w:r w:rsidRPr="00324507">
        <w:rPr>
          <w:rFonts w:eastAsia="Calibri" w:cs="Times New Roman"/>
          <w:color w:val="auto"/>
          <w:szCs w:val="24"/>
        </w:rPr>
        <w:t xml:space="preserve">[emphasis mine] </w:t>
      </w:r>
      <w:r w:rsidR="00FC756E" w:rsidRPr="00324507">
        <w:rPr>
          <w:rFonts w:eastAsia="Calibri" w:cs="Times New Roman"/>
          <w:color w:val="auto"/>
          <w:szCs w:val="24"/>
        </w:rPr>
        <w:t>use of a breathing assistance device</w:t>
      </w:r>
      <w:r w:rsidR="00324507">
        <w:rPr>
          <w:rFonts w:eastAsia="Calibri" w:cs="Times New Roman"/>
          <w:color w:val="auto"/>
          <w:szCs w:val="24"/>
        </w:rPr>
        <w:t>.</w:t>
      </w:r>
      <w:r w:rsidR="00FC756E" w:rsidRPr="00324507">
        <w:rPr>
          <w:rFonts w:eastAsia="Calibri" w:cs="Times New Roman"/>
          <w:color w:val="auto"/>
          <w:szCs w:val="24"/>
        </w:rPr>
        <w:t xml:space="preserve">”  </w:t>
      </w:r>
      <w:r w:rsidR="00E15F14" w:rsidRPr="00324507">
        <w:rPr>
          <w:rFonts w:eastAsia="Calibri" w:cs="Times New Roman"/>
          <w:color w:val="auto"/>
          <w:szCs w:val="24"/>
        </w:rPr>
        <w:t>Clearly t</w:t>
      </w:r>
      <w:r w:rsidR="00FC756E" w:rsidRPr="00324507">
        <w:rPr>
          <w:rFonts w:eastAsia="Calibri" w:cs="Times New Roman"/>
          <w:color w:val="auto"/>
          <w:szCs w:val="24"/>
        </w:rPr>
        <w:t>he most probative evaluation for this condition was the NARSUM addendum which documented</w:t>
      </w:r>
      <w:r w:rsidR="00E15F14" w:rsidRPr="00324507">
        <w:rPr>
          <w:rFonts w:eastAsia="Calibri" w:cs="Times New Roman"/>
          <w:color w:val="auto"/>
          <w:szCs w:val="24"/>
        </w:rPr>
        <w:t xml:space="preserve"> marginal compliance with CPAP.  </w:t>
      </w:r>
      <w:r w:rsidR="00E8675F" w:rsidRPr="00324507">
        <w:rPr>
          <w:rFonts w:eastAsia="Calibri" w:cs="Times New Roman"/>
          <w:color w:val="auto"/>
          <w:szCs w:val="24"/>
        </w:rPr>
        <w:t xml:space="preserve">The history recorded by the VA examiner was inconsistent with the preponderance of the evidence regarding key chronology, </w:t>
      </w:r>
      <w:r w:rsidR="00B45B11" w:rsidRPr="00324507">
        <w:rPr>
          <w:rFonts w:eastAsia="Calibri" w:cs="Times New Roman"/>
          <w:color w:val="auto"/>
          <w:szCs w:val="24"/>
        </w:rPr>
        <w:t xml:space="preserve">therefore unlikely to have been supported by a review of the record; </w:t>
      </w:r>
      <w:r w:rsidR="00E8675F" w:rsidRPr="00324507">
        <w:rPr>
          <w:rFonts w:eastAsia="Calibri" w:cs="Times New Roman"/>
          <w:color w:val="auto"/>
          <w:szCs w:val="24"/>
        </w:rPr>
        <w:t>and</w:t>
      </w:r>
      <w:r w:rsidR="00B45B11" w:rsidRPr="00324507">
        <w:rPr>
          <w:rFonts w:eastAsia="Calibri" w:cs="Times New Roman"/>
          <w:color w:val="auto"/>
          <w:szCs w:val="24"/>
        </w:rPr>
        <w:t>, did not address compliance with</w:t>
      </w:r>
      <w:r w:rsidR="00E15F14" w:rsidRPr="00324507">
        <w:rPr>
          <w:rFonts w:eastAsia="Calibri" w:cs="Times New Roman"/>
          <w:color w:val="auto"/>
          <w:szCs w:val="24"/>
        </w:rPr>
        <w:t>,</w:t>
      </w:r>
      <w:r w:rsidR="00B45B11" w:rsidRPr="00324507">
        <w:rPr>
          <w:rFonts w:eastAsia="Calibri" w:cs="Times New Roman"/>
          <w:color w:val="auto"/>
          <w:szCs w:val="24"/>
        </w:rPr>
        <w:t xml:space="preserve"> or response to</w:t>
      </w:r>
      <w:r w:rsidR="00E15F14" w:rsidRPr="00324507">
        <w:rPr>
          <w:rFonts w:eastAsia="Calibri" w:cs="Times New Roman"/>
          <w:color w:val="auto"/>
          <w:szCs w:val="24"/>
        </w:rPr>
        <w:t>,</w:t>
      </w:r>
      <w:r w:rsidR="00B45B11" w:rsidRPr="00324507">
        <w:rPr>
          <w:rFonts w:eastAsia="Calibri" w:cs="Times New Roman"/>
          <w:color w:val="auto"/>
          <w:szCs w:val="24"/>
        </w:rPr>
        <w:t xml:space="preserve"> CPAP.  It is thus not reasonable to rely on it as evidence of real time treatment with, and ongoing requirement for, CPAP. </w:t>
      </w:r>
      <w:r w:rsidR="00FC756E" w:rsidRPr="00324507">
        <w:rPr>
          <w:rFonts w:eastAsia="Calibri" w:cs="Times New Roman"/>
          <w:color w:val="auto"/>
          <w:szCs w:val="24"/>
        </w:rPr>
        <w:t xml:space="preserve"> </w:t>
      </w:r>
      <w:r w:rsidR="00B45B11" w:rsidRPr="00324507">
        <w:rPr>
          <w:rFonts w:eastAsia="Calibri" w:cs="Times New Roman"/>
          <w:color w:val="auto"/>
          <w:szCs w:val="24"/>
        </w:rPr>
        <w:t xml:space="preserve">As noted in the proceedings, the VA </w:t>
      </w:r>
      <w:r w:rsidR="00324507">
        <w:rPr>
          <w:rFonts w:eastAsia="Calibri" w:cs="Times New Roman"/>
          <w:color w:val="auto"/>
          <w:szCs w:val="24"/>
        </w:rPr>
        <w:t xml:space="preserve">file after separation </w:t>
      </w:r>
      <w:r w:rsidR="00B45B11" w:rsidRPr="00324507">
        <w:rPr>
          <w:rFonts w:eastAsia="Calibri" w:cs="Times New Roman"/>
          <w:color w:val="auto"/>
          <w:szCs w:val="24"/>
        </w:rPr>
        <w:t xml:space="preserve">is devoid of any evidence for dependence on CPAP; and, no civilian treatment records were submitted.  </w:t>
      </w:r>
      <w:r w:rsidR="00FC756E" w:rsidRPr="00324507">
        <w:rPr>
          <w:rFonts w:eastAsia="Calibri" w:cs="Times New Roman"/>
          <w:color w:val="auto"/>
          <w:szCs w:val="24"/>
        </w:rPr>
        <w:t xml:space="preserve">Since 6847 specifies </w:t>
      </w:r>
      <w:r w:rsidR="00E8675F" w:rsidRPr="00324507">
        <w:rPr>
          <w:rFonts w:eastAsia="Calibri" w:cs="Times New Roman"/>
          <w:color w:val="auto"/>
          <w:szCs w:val="24"/>
        </w:rPr>
        <w:t xml:space="preserve">a requirement for (not a prescription for) the device; I cannot see how the criterion was met.  </w:t>
      </w:r>
      <w:r w:rsidR="00FC756E" w:rsidRPr="00324507">
        <w:rPr>
          <w:rFonts w:eastAsia="Calibri" w:cs="Times New Roman"/>
          <w:color w:val="auto"/>
          <w:szCs w:val="24"/>
        </w:rPr>
        <w:t xml:space="preserve">6847 assigns a 30% rating for “persistent day-time </w:t>
      </w:r>
      <w:proofErr w:type="spellStart"/>
      <w:r w:rsidR="00FC756E" w:rsidRPr="00324507">
        <w:rPr>
          <w:rFonts w:eastAsia="Calibri" w:cs="Times New Roman"/>
          <w:color w:val="auto"/>
          <w:szCs w:val="24"/>
        </w:rPr>
        <w:t>hypersomnolence</w:t>
      </w:r>
      <w:proofErr w:type="spellEnd"/>
      <w:r w:rsidR="00324507" w:rsidRPr="00324507">
        <w:rPr>
          <w:rFonts w:eastAsia="Calibri" w:cs="Times New Roman"/>
          <w:color w:val="auto"/>
          <w:szCs w:val="24"/>
        </w:rPr>
        <w:t>,</w:t>
      </w:r>
      <w:r w:rsidR="00FC756E" w:rsidRPr="00324507">
        <w:rPr>
          <w:rFonts w:eastAsia="Calibri" w:cs="Times New Roman"/>
          <w:color w:val="auto"/>
          <w:szCs w:val="24"/>
        </w:rPr>
        <w:t xml:space="preserve">” but the evidence also suggests that this feature was not present to a significant degree.  There was </w:t>
      </w:r>
      <w:r w:rsidR="0068348B">
        <w:rPr>
          <w:rFonts w:eastAsia="Calibri" w:cs="Times New Roman"/>
          <w:color w:val="auto"/>
          <w:szCs w:val="24"/>
        </w:rPr>
        <w:t>s</w:t>
      </w:r>
      <w:r w:rsidR="00FC756E" w:rsidRPr="00324507">
        <w:rPr>
          <w:rFonts w:eastAsia="Calibri" w:cs="Times New Roman"/>
          <w:color w:val="auto"/>
          <w:szCs w:val="24"/>
        </w:rPr>
        <w:t xml:space="preserve">ervice documentation of daytime fatigue, but no indication that this was manifested by drowsiness; and, this complaint was also intertwined with concurrent depression and sleep disturbance secondary to pain.  Barring support for the 30% rating, 6847 leaves only a 0% alternative.  </w:t>
      </w:r>
    </w:p>
    <w:p w:rsidR="00375B0D" w:rsidRPr="00324507" w:rsidRDefault="00375B0D" w:rsidP="00E15F14">
      <w:pPr>
        <w:jc w:val="both"/>
        <w:rPr>
          <w:rFonts w:eastAsia="Calibri" w:cs="Times New Roman"/>
          <w:color w:val="auto"/>
          <w:szCs w:val="24"/>
        </w:rPr>
      </w:pPr>
    </w:p>
    <w:p w:rsidR="00FC756E" w:rsidRPr="00324507" w:rsidRDefault="00E15F14" w:rsidP="00E15F14">
      <w:pPr>
        <w:jc w:val="both"/>
        <w:rPr>
          <w:rFonts w:eastAsia="Calibri" w:cs="Times New Roman"/>
          <w:color w:val="auto"/>
          <w:szCs w:val="24"/>
        </w:rPr>
      </w:pPr>
      <w:r w:rsidRPr="00324507">
        <w:rPr>
          <w:rFonts w:eastAsia="Calibri" w:cs="Times New Roman"/>
          <w:color w:val="auto"/>
          <w:szCs w:val="24"/>
        </w:rPr>
        <w:t xml:space="preserve">I respectfully submit that the Secretary </w:t>
      </w:r>
      <w:proofErr w:type="gramStart"/>
      <w:r w:rsidRPr="00324507">
        <w:rPr>
          <w:rFonts w:eastAsia="Calibri" w:cs="Times New Roman"/>
          <w:color w:val="auto"/>
          <w:szCs w:val="24"/>
        </w:rPr>
        <w:t>consider</w:t>
      </w:r>
      <w:proofErr w:type="gramEnd"/>
      <w:r w:rsidRPr="00324507">
        <w:rPr>
          <w:rFonts w:eastAsia="Calibri" w:cs="Times New Roman"/>
          <w:color w:val="auto"/>
          <w:szCs w:val="24"/>
        </w:rPr>
        <w:t xml:space="preserve"> this minority recommendation of a 0% rating for </w:t>
      </w:r>
      <w:r w:rsidR="0068348B">
        <w:rPr>
          <w:rFonts w:eastAsia="Calibri" w:cs="Times New Roman"/>
          <w:color w:val="auto"/>
          <w:szCs w:val="24"/>
        </w:rPr>
        <w:t>OSA</w:t>
      </w:r>
      <w:r w:rsidRPr="00324507">
        <w:rPr>
          <w:rFonts w:eastAsia="Calibri" w:cs="Times New Roman"/>
          <w:color w:val="auto"/>
          <w:szCs w:val="24"/>
        </w:rPr>
        <w:t xml:space="preserve"> based on the criteria of </w:t>
      </w:r>
      <w:r w:rsidR="00375B0D" w:rsidRPr="00324507">
        <w:rPr>
          <w:rFonts w:eastAsia="Calibri" w:cs="Times New Roman"/>
          <w:color w:val="auto"/>
          <w:szCs w:val="24"/>
        </w:rPr>
        <w:t xml:space="preserve">VASRD §4.100; and, that the </w:t>
      </w:r>
      <w:r w:rsidR="0068348B">
        <w:rPr>
          <w:rFonts w:eastAsia="Calibri" w:cs="Times New Roman"/>
          <w:color w:val="auto"/>
          <w:szCs w:val="24"/>
        </w:rPr>
        <w:t>s</w:t>
      </w:r>
      <w:r w:rsidR="00375B0D" w:rsidRPr="00324507">
        <w:rPr>
          <w:rFonts w:eastAsia="Calibri" w:cs="Times New Roman"/>
          <w:color w:val="auto"/>
          <w:szCs w:val="24"/>
        </w:rPr>
        <w:t>ervice disability determination be amended as follows:</w:t>
      </w:r>
    </w:p>
    <w:p w:rsidR="00375B0D" w:rsidRDefault="00375B0D" w:rsidP="00E15F14">
      <w:pPr>
        <w:jc w:val="both"/>
        <w:rPr>
          <w:rFonts w:eastAsia="Calibri" w:cs="Times New Roman"/>
          <w:color w:val="auto"/>
          <w:szCs w:val="24"/>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1530"/>
        <w:gridCol w:w="1260"/>
      </w:tblGrid>
      <w:tr w:rsidR="00375B0D" w:rsidRPr="001F29F9" w:rsidTr="00E056AF">
        <w:trPr>
          <w:trHeight w:val="233"/>
        </w:trPr>
        <w:tc>
          <w:tcPr>
            <w:tcW w:w="6588" w:type="dxa"/>
            <w:tcBorders>
              <w:right w:val="single" w:sz="4" w:space="0" w:color="auto"/>
            </w:tcBorders>
            <w:shd w:val="clear" w:color="auto" w:fill="D9D9D9"/>
            <w:vAlign w:val="center"/>
          </w:tcPr>
          <w:p w:rsidR="00375B0D" w:rsidRPr="00615464" w:rsidRDefault="00375B0D" w:rsidP="00E056AF">
            <w:pPr>
              <w:tabs>
                <w:tab w:val="left" w:pos="288"/>
                <w:tab w:val="left" w:pos="4752"/>
              </w:tabs>
              <w:rPr>
                <w:rFonts w:asciiTheme="majorHAnsi" w:hAnsiTheme="majorHAnsi" w:cstheme="majorHAnsi"/>
                <w:b/>
                <w:color w:val="000000" w:themeColor="text1"/>
                <w:szCs w:val="24"/>
              </w:rPr>
            </w:pPr>
            <w:r w:rsidRPr="00615464">
              <w:rPr>
                <w:rFonts w:asciiTheme="majorHAnsi" w:hAnsiTheme="majorHAnsi" w:cstheme="majorHAnsi"/>
                <w:b/>
                <w:color w:val="000000" w:themeColor="text1"/>
                <w:szCs w:val="24"/>
              </w:rPr>
              <w:t>UNFITTING CONDITION</w:t>
            </w:r>
          </w:p>
        </w:tc>
        <w:tc>
          <w:tcPr>
            <w:tcW w:w="1530" w:type="dxa"/>
            <w:tcBorders>
              <w:left w:val="single" w:sz="4" w:space="0" w:color="auto"/>
            </w:tcBorders>
            <w:shd w:val="clear" w:color="auto" w:fill="D9D9D9"/>
            <w:vAlign w:val="center"/>
          </w:tcPr>
          <w:p w:rsidR="00375B0D" w:rsidRPr="00615464" w:rsidRDefault="00375B0D" w:rsidP="00E056AF">
            <w:pPr>
              <w:tabs>
                <w:tab w:val="left" w:pos="288"/>
                <w:tab w:val="left" w:pos="4752"/>
              </w:tabs>
              <w:rPr>
                <w:rFonts w:asciiTheme="majorHAnsi" w:hAnsiTheme="majorHAnsi" w:cstheme="majorHAnsi"/>
                <w:b/>
                <w:color w:val="000000" w:themeColor="text1"/>
                <w:szCs w:val="24"/>
              </w:rPr>
            </w:pPr>
            <w:r w:rsidRPr="00615464">
              <w:rPr>
                <w:rFonts w:asciiTheme="majorHAnsi" w:hAnsiTheme="majorHAnsi" w:cstheme="majorHAnsi"/>
                <w:b/>
                <w:color w:val="000000" w:themeColor="text1"/>
                <w:szCs w:val="24"/>
              </w:rPr>
              <w:t>VASRD CODE</w:t>
            </w:r>
          </w:p>
        </w:tc>
        <w:tc>
          <w:tcPr>
            <w:tcW w:w="1260" w:type="dxa"/>
            <w:shd w:val="clear" w:color="auto" w:fill="D9D9D9"/>
            <w:vAlign w:val="center"/>
          </w:tcPr>
          <w:p w:rsidR="00375B0D" w:rsidRPr="00615464" w:rsidRDefault="00375B0D" w:rsidP="00E056AF">
            <w:pPr>
              <w:tabs>
                <w:tab w:val="left" w:pos="288"/>
                <w:tab w:val="left" w:pos="4752"/>
              </w:tabs>
              <w:rPr>
                <w:rFonts w:asciiTheme="majorHAnsi" w:hAnsiTheme="majorHAnsi" w:cstheme="majorHAnsi"/>
                <w:b/>
                <w:color w:val="000000" w:themeColor="text1"/>
                <w:szCs w:val="24"/>
              </w:rPr>
            </w:pPr>
            <w:r w:rsidRPr="00615464">
              <w:rPr>
                <w:rFonts w:asciiTheme="majorHAnsi" w:hAnsiTheme="majorHAnsi" w:cstheme="majorHAnsi"/>
                <w:b/>
                <w:color w:val="000000" w:themeColor="text1"/>
                <w:szCs w:val="24"/>
              </w:rPr>
              <w:t>RATING</w:t>
            </w:r>
          </w:p>
        </w:tc>
      </w:tr>
      <w:tr w:rsidR="00375B0D" w:rsidRPr="001F29F9" w:rsidTr="00E056AF">
        <w:tc>
          <w:tcPr>
            <w:tcW w:w="6588" w:type="dxa"/>
            <w:tcBorders>
              <w:right w:val="single" w:sz="4" w:space="0" w:color="auto"/>
            </w:tcBorders>
            <w:vAlign w:val="center"/>
          </w:tcPr>
          <w:p w:rsidR="00375B0D" w:rsidRPr="00615464" w:rsidRDefault="00375B0D" w:rsidP="00E056AF">
            <w:pPr>
              <w:contextualSpacing/>
              <w:jc w:val="left"/>
              <w:rPr>
                <w:rFonts w:asciiTheme="majorHAnsi" w:hAnsiTheme="majorHAnsi" w:cstheme="majorHAnsi"/>
                <w:color w:val="auto"/>
                <w:szCs w:val="24"/>
              </w:rPr>
            </w:pPr>
            <w:r>
              <w:rPr>
                <w:rFonts w:asciiTheme="majorHAnsi" w:hAnsiTheme="majorHAnsi" w:cstheme="majorHAnsi"/>
                <w:color w:val="000000" w:themeColor="text1"/>
                <w:szCs w:val="24"/>
              </w:rPr>
              <w:t>Degenerative Disc Disease, Lumbar Spine</w:t>
            </w:r>
          </w:p>
        </w:tc>
        <w:tc>
          <w:tcPr>
            <w:tcW w:w="1530" w:type="dxa"/>
            <w:tcBorders>
              <w:left w:val="single" w:sz="4" w:space="0" w:color="auto"/>
            </w:tcBorders>
            <w:vAlign w:val="center"/>
          </w:tcPr>
          <w:p w:rsidR="00375B0D" w:rsidRPr="00FC756E" w:rsidRDefault="00375B0D" w:rsidP="00E056AF">
            <w:pPr>
              <w:contextualSpacing/>
              <w:rPr>
                <w:rFonts w:asciiTheme="majorHAnsi" w:hAnsiTheme="majorHAnsi" w:cstheme="majorHAnsi"/>
                <w:color w:val="auto"/>
                <w:szCs w:val="24"/>
              </w:rPr>
            </w:pPr>
            <w:r w:rsidRPr="00FC756E">
              <w:rPr>
                <w:rFonts w:asciiTheme="majorHAnsi" w:hAnsiTheme="majorHAnsi" w:cstheme="majorHAnsi"/>
                <w:color w:val="auto"/>
                <w:szCs w:val="24"/>
              </w:rPr>
              <w:t>5242</w:t>
            </w:r>
          </w:p>
        </w:tc>
        <w:tc>
          <w:tcPr>
            <w:tcW w:w="1260" w:type="dxa"/>
            <w:vAlign w:val="center"/>
          </w:tcPr>
          <w:p w:rsidR="00375B0D" w:rsidRPr="00FC756E" w:rsidRDefault="00375B0D" w:rsidP="00E056AF">
            <w:pPr>
              <w:rPr>
                <w:rFonts w:asciiTheme="majorHAnsi" w:hAnsiTheme="majorHAnsi" w:cstheme="majorHAnsi"/>
                <w:color w:val="auto"/>
                <w:szCs w:val="24"/>
              </w:rPr>
            </w:pPr>
            <w:r w:rsidRPr="00FC756E">
              <w:rPr>
                <w:rFonts w:asciiTheme="majorHAnsi" w:hAnsiTheme="majorHAnsi" w:cstheme="majorHAnsi"/>
                <w:color w:val="auto"/>
                <w:szCs w:val="24"/>
              </w:rPr>
              <w:t>20%</w:t>
            </w:r>
          </w:p>
        </w:tc>
      </w:tr>
      <w:tr w:rsidR="00375B0D" w:rsidRPr="001F29F9" w:rsidTr="00E056AF">
        <w:tc>
          <w:tcPr>
            <w:tcW w:w="6588" w:type="dxa"/>
            <w:tcBorders>
              <w:right w:val="single" w:sz="4" w:space="0" w:color="auto"/>
            </w:tcBorders>
            <w:vAlign w:val="center"/>
          </w:tcPr>
          <w:p w:rsidR="00375B0D" w:rsidRPr="00615464" w:rsidRDefault="00375B0D" w:rsidP="00E056AF">
            <w:pPr>
              <w:contextualSpacing/>
              <w:jc w:val="left"/>
              <w:rPr>
                <w:rFonts w:asciiTheme="majorHAnsi" w:hAnsiTheme="majorHAnsi" w:cstheme="majorHAnsi"/>
                <w:color w:val="auto"/>
                <w:szCs w:val="24"/>
              </w:rPr>
            </w:pPr>
            <w:r w:rsidRPr="00615464">
              <w:rPr>
                <w:rFonts w:asciiTheme="majorHAnsi" w:hAnsiTheme="majorHAnsi" w:cstheme="majorHAnsi"/>
                <w:color w:val="000000" w:themeColor="text1"/>
                <w:szCs w:val="24"/>
              </w:rPr>
              <w:t>Chronic Left Ankle Pain</w:t>
            </w:r>
          </w:p>
        </w:tc>
        <w:tc>
          <w:tcPr>
            <w:tcW w:w="1530" w:type="dxa"/>
            <w:tcBorders>
              <w:left w:val="single" w:sz="4" w:space="0" w:color="auto"/>
            </w:tcBorders>
            <w:vAlign w:val="center"/>
          </w:tcPr>
          <w:p w:rsidR="00375B0D" w:rsidRPr="00FC756E" w:rsidRDefault="00375B0D" w:rsidP="00E056AF">
            <w:pPr>
              <w:contextualSpacing/>
              <w:rPr>
                <w:rFonts w:asciiTheme="majorHAnsi" w:hAnsiTheme="majorHAnsi" w:cstheme="majorHAnsi"/>
                <w:color w:val="auto"/>
                <w:szCs w:val="24"/>
              </w:rPr>
            </w:pPr>
            <w:r w:rsidRPr="00FC756E">
              <w:rPr>
                <w:rFonts w:asciiTheme="majorHAnsi" w:hAnsiTheme="majorHAnsi" w:cstheme="majorHAnsi"/>
                <w:color w:val="auto"/>
                <w:szCs w:val="24"/>
              </w:rPr>
              <w:t>5271</w:t>
            </w:r>
          </w:p>
        </w:tc>
        <w:tc>
          <w:tcPr>
            <w:tcW w:w="1260" w:type="dxa"/>
            <w:vAlign w:val="center"/>
          </w:tcPr>
          <w:p w:rsidR="00375B0D" w:rsidRPr="00FC756E" w:rsidRDefault="00375B0D" w:rsidP="00E056AF">
            <w:pPr>
              <w:rPr>
                <w:rFonts w:asciiTheme="majorHAnsi" w:hAnsiTheme="majorHAnsi" w:cstheme="majorHAnsi"/>
                <w:color w:val="auto"/>
                <w:szCs w:val="24"/>
              </w:rPr>
            </w:pPr>
            <w:r w:rsidRPr="00FC756E">
              <w:rPr>
                <w:rFonts w:asciiTheme="majorHAnsi" w:hAnsiTheme="majorHAnsi" w:cstheme="majorHAnsi"/>
                <w:color w:val="auto"/>
                <w:szCs w:val="24"/>
              </w:rPr>
              <w:t>10%</w:t>
            </w:r>
          </w:p>
        </w:tc>
      </w:tr>
      <w:tr w:rsidR="00375B0D" w:rsidRPr="001F29F9" w:rsidTr="00E056AF">
        <w:tc>
          <w:tcPr>
            <w:tcW w:w="6588" w:type="dxa"/>
            <w:tcBorders>
              <w:right w:val="single" w:sz="4" w:space="0" w:color="auto"/>
            </w:tcBorders>
            <w:vAlign w:val="center"/>
          </w:tcPr>
          <w:p w:rsidR="00375B0D" w:rsidRPr="00615464" w:rsidRDefault="00375B0D" w:rsidP="00E056AF">
            <w:pPr>
              <w:contextualSpacing/>
              <w:jc w:val="left"/>
              <w:rPr>
                <w:rFonts w:asciiTheme="majorHAnsi" w:hAnsiTheme="majorHAnsi" w:cstheme="majorHAnsi"/>
                <w:color w:val="auto"/>
                <w:szCs w:val="24"/>
              </w:rPr>
            </w:pPr>
            <w:r w:rsidRPr="00615464">
              <w:rPr>
                <w:rFonts w:asciiTheme="majorHAnsi" w:hAnsiTheme="majorHAnsi" w:cstheme="majorHAnsi"/>
                <w:color w:val="000000" w:themeColor="text1"/>
                <w:szCs w:val="24"/>
              </w:rPr>
              <w:t>Obstructive Sleep Apnea</w:t>
            </w:r>
          </w:p>
        </w:tc>
        <w:tc>
          <w:tcPr>
            <w:tcW w:w="1530" w:type="dxa"/>
            <w:tcBorders>
              <w:left w:val="single" w:sz="4" w:space="0" w:color="auto"/>
            </w:tcBorders>
            <w:vAlign w:val="center"/>
          </w:tcPr>
          <w:p w:rsidR="00375B0D" w:rsidRPr="00FC756E" w:rsidRDefault="00375B0D" w:rsidP="00E056AF">
            <w:pPr>
              <w:contextualSpacing/>
              <w:rPr>
                <w:rFonts w:asciiTheme="majorHAnsi" w:hAnsiTheme="majorHAnsi" w:cstheme="majorHAnsi"/>
                <w:color w:val="auto"/>
                <w:szCs w:val="24"/>
              </w:rPr>
            </w:pPr>
            <w:r w:rsidRPr="00FC756E">
              <w:rPr>
                <w:rFonts w:asciiTheme="majorHAnsi" w:hAnsiTheme="majorHAnsi" w:cstheme="majorHAnsi"/>
                <w:color w:val="auto"/>
                <w:szCs w:val="24"/>
              </w:rPr>
              <w:t>6847</w:t>
            </w:r>
          </w:p>
        </w:tc>
        <w:tc>
          <w:tcPr>
            <w:tcW w:w="1260" w:type="dxa"/>
            <w:vAlign w:val="center"/>
          </w:tcPr>
          <w:p w:rsidR="00375B0D" w:rsidRPr="00FC756E" w:rsidRDefault="00375B0D" w:rsidP="00E056AF">
            <w:pPr>
              <w:contextualSpacing/>
              <w:rPr>
                <w:rFonts w:asciiTheme="majorHAnsi" w:hAnsiTheme="majorHAnsi" w:cstheme="majorHAnsi"/>
                <w:color w:val="auto"/>
                <w:szCs w:val="24"/>
              </w:rPr>
            </w:pPr>
            <w:r w:rsidRPr="00FC756E">
              <w:rPr>
                <w:rFonts w:asciiTheme="majorHAnsi" w:hAnsiTheme="majorHAnsi" w:cstheme="majorHAnsi"/>
                <w:color w:val="auto"/>
                <w:szCs w:val="24"/>
              </w:rPr>
              <w:t xml:space="preserve">0% </w:t>
            </w:r>
          </w:p>
        </w:tc>
      </w:tr>
      <w:tr w:rsidR="00375B0D" w:rsidRPr="001F29F9" w:rsidTr="00E056AF">
        <w:tc>
          <w:tcPr>
            <w:tcW w:w="6588" w:type="dxa"/>
            <w:tcBorders>
              <w:right w:val="single" w:sz="4" w:space="0" w:color="auto"/>
            </w:tcBorders>
            <w:vAlign w:val="center"/>
          </w:tcPr>
          <w:p w:rsidR="00375B0D" w:rsidRPr="00615464" w:rsidRDefault="00375B0D" w:rsidP="00E056AF">
            <w:pPr>
              <w:contextualSpacing/>
              <w:jc w:val="left"/>
              <w:rPr>
                <w:rFonts w:asciiTheme="majorHAnsi" w:hAnsiTheme="majorHAnsi" w:cstheme="majorHAnsi"/>
                <w:color w:val="auto"/>
                <w:szCs w:val="24"/>
              </w:rPr>
            </w:pPr>
            <w:r w:rsidRPr="00615464">
              <w:rPr>
                <w:rFonts w:asciiTheme="majorHAnsi" w:hAnsiTheme="majorHAnsi" w:cstheme="majorHAnsi"/>
                <w:color w:val="000000" w:themeColor="text1"/>
                <w:szCs w:val="24"/>
              </w:rPr>
              <w:t>Pes Planus</w:t>
            </w:r>
          </w:p>
        </w:tc>
        <w:tc>
          <w:tcPr>
            <w:tcW w:w="1530" w:type="dxa"/>
            <w:tcBorders>
              <w:left w:val="single" w:sz="4" w:space="0" w:color="auto"/>
            </w:tcBorders>
            <w:vAlign w:val="center"/>
          </w:tcPr>
          <w:p w:rsidR="00375B0D" w:rsidRPr="00FC756E" w:rsidRDefault="00375B0D" w:rsidP="00E056AF">
            <w:pPr>
              <w:contextualSpacing/>
              <w:rPr>
                <w:rFonts w:asciiTheme="majorHAnsi" w:hAnsiTheme="majorHAnsi" w:cstheme="majorHAnsi"/>
                <w:color w:val="auto"/>
                <w:szCs w:val="24"/>
              </w:rPr>
            </w:pPr>
            <w:r w:rsidRPr="00FC756E">
              <w:rPr>
                <w:rFonts w:asciiTheme="majorHAnsi" w:hAnsiTheme="majorHAnsi" w:cstheme="majorHAnsi"/>
                <w:color w:val="auto"/>
                <w:szCs w:val="24"/>
              </w:rPr>
              <w:t>5099-5003</w:t>
            </w:r>
          </w:p>
        </w:tc>
        <w:tc>
          <w:tcPr>
            <w:tcW w:w="1260" w:type="dxa"/>
            <w:vAlign w:val="center"/>
          </w:tcPr>
          <w:p w:rsidR="00375B0D" w:rsidRPr="00FC756E" w:rsidRDefault="00375B0D" w:rsidP="00E056AF">
            <w:pPr>
              <w:contextualSpacing/>
              <w:rPr>
                <w:rFonts w:asciiTheme="majorHAnsi" w:hAnsiTheme="majorHAnsi" w:cstheme="majorHAnsi"/>
                <w:color w:val="auto"/>
                <w:szCs w:val="24"/>
              </w:rPr>
            </w:pPr>
            <w:r w:rsidRPr="00FC756E">
              <w:rPr>
                <w:rFonts w:asciiTheme="majorHAnsi" w:hAnsiTheme="majorHAnsi" w:cstheme="majorHAnsi"/>
                <w:color w:val="auto"/>
                <w:szCs w:val="24"/>
              </w:rPr>
              <w:t>0</w:t>
            </w:r>
            <w:r>
              <w:rPr>
                <w:rFonts w:asciiTheme="majorHAnsi" w:hAnsiTheme="majorHAnsi" w:cstheme="majorHAnsi"/>
                <w:color w:val="auto"/>
                <w:szCs w:val="24"/>
              </w:rPr>
              <w:t>%</w:t>
            </w:r>
          </w:p>
        </w:tc>
      </w:tr>
      <w:tr w:rsidR="00375B0D" w:rsidRPr="001F29F9" w:rsidTr="00E056AF">
        <w:tblPrEx>
          <w:tblLook w:val="0000"/>
        </w:tblPrEx>
        <w:trPr>
          <w:gridBefore w:val="1"/>
          <w:wBefore w:w="6588" w:type="dxa"/>
          <w:trHeight w:val="152"/>
        </w:trPr>
        <w:tc>
          <w:tcPr>
            <w:tcW w:w="1530" w:type="dxa"/>
            <w:tcBorders>
              <w:left w:val="single" w:sz="4" w:space="0" w:color="auto"/>
              <w:bottom w:val="single" w:sz="4" w:space="0" w:color="000000"/>
            </w:tcBorders>
            <w:shd w:val="clear" w:color="auto" w:fill="D9D9D9" w:themeFill="background1" w:themeFillShade="D9"/>
            <w:vAlign w:val="center"/>
          </w:tcPr>
          <w:p w:rsidR="00375B0D" w:rsidRPr="00FC756E" w:rsidRDefault="00375B0D" w:rsidP="00E056AF">
            <w:pPr>
              <w:tabs>
                <w:tab w:val="left" w:pos="288"/>
                <w:tab w:val="left" w:pos="4752"/>
              </w:tabs>
              <w:rPr>
                <w:rFonts w:asciiTheme="majorHAnsi" w:hAnsiTheme="majorHAnsi" w:cstheme="majorHAnsi"/>
                <w:b/>
                <w:color w:val="000000" w:themeColor="text1"/>
                <w:szCs w:val="24"/>
              </w:rPr>
            </w:pPr>
            <w:r w:rsidRPr="00FC756E">
              <w:rPr>
                <w:rFonts w:asciiTheme="majorHAnsi" w:hAnsiTheme="majorHAnsi" w:cstheme="majorHAnsi"/>
                <w:b/>
                <w:color w:val="000000" w:themeColor="text1"/>
                <w:szCs w:val="24"/>
              </w:rPr>
              <w:t>COMBINED</w:t>
            </w:r>
          </w:p>
        </w:tc>
        <w:tc>
          <w:tcPr>
            <w:tcW w:w="1260" w:type="dxa"/>
            <w:tcBorders>
              <w:bottom w:val="single" w:sz="4" w:space="0" w:color="000000"/>
            </w:tcBorders>
            <w:shd w:val="clear" w:color="auto" w:fill="D9D9D9" w:themeFill="background1" w:themeFillShade="D9"/>
            <w:vAlign w:val="center"/>
          </w:tcPr>
          <w:p w:rsidR="00375B0D" w:rsidRPr="00FC756E" w:rsidRDefault="00375B0D" w:rsidP="00E056AF">
            <w:pPr>
              <w:tabs>
                <w:tab w:val="left" w:pos="288"/>
                <w:tab w:val="left" w:pos="4752"/>
              </w:tabs>
              <w:rPr>
                <w:rFonts w:asciiTheme="majorHAnsi" w:hAnsiTheme="majorHAnsi" w:cstheme="majorHAnsi"/>
                <w:b/>
                <w:color w:val="000000" w:themeColor="text1"/>
                <w:szCs w:val="24"/>
              </w:rPr>
            </w:pPr>
            <w:r>
              <w:rPr>
                <w:rFonts w:asciiTheme="majorHAnsi" w:hAnsiTheme="majorHAnsi" w:cstheme="majorHAnsi"/>
                <w:b/>
                <w:color w:val="000000" w:themeColor="text1"/>
                <w:szCs w:val="24"/>
              </w:rPr>
              <w:t>3</w:t>
            </w:r>
            <w:r w:rsidRPr="00FC756E">
              <w:rPr>
                <w:rFonts w:asciiTheme="majorHAnsi" w:hAnsiTheme="majorHAnsi" w:cstheme="majorHAnsi"/>
                <w:b/>
                <w:color w:val="000000" w:themeColor="text1"/>
                <w:szCs w:val="24"/>
              </w:rPr>
              <w:t>0%</w:t>
            </w:r>
          </w:p>
        </w:tc>
      </w:tr>
    </w:tbl>
    <w:p w:rsidR="00001C4F" w:rsidRDefault="00001C4F">
      <w:pPr>
        <w:spacing w:line="240" w:lineRule="auto"/>
        <w:jc w:val="left"/>
        <w:rPr>
          <w:rFonts w:cs="Times New Roman"/>
          <w:color w:val="auto"/>
        </w:rPr>
      </w:pPr>
    </w:p>
    <w:p w:rsidR="00001C4F" w:rsidRDefault="00001C4F">
      <w:pPr>
        <w:spacing w:line="240" w:lineRule="auto"/>
        <w:jc w:val="left"/>
        <w:rPr>
          <w:rFonts w:cs="Times New Roman"/>
          <w:color w:val="auto"/>
        </w:rPr>
      </w:pPr>
      <w:r>
        <w:rPr>
          <w:rFonts w:cs="Times New Roman"/>
          <w:color w:val="auto"/>
        </w:rPr>
        <w:br w:type="page"/>
      </w:r>
    </w:p>
    <w:p w:rsidR="00001C4F" w:rsidRDefault="00001C4F" w:rsidP="00001C4F">
      <w:pPr>
        <w:sectPr w:rsidR="00001C4F">
          <w:pgSz w:w="12240" w:h="15840"/>
          <w:pgMar w:top="2160" w:right="1440" w:bottom="1440" w:left="1440" w:header="720" w:footer="720" w:gutter="0"/>
          <w:cols w:space="720"/>
        </w:sectPr>
      </w:pPr>
    </w:p>
    <w:p w:rsidR="00001C4F" w:rsidRDefault="00001C4F" w:rsidP="00001C4F">
      <w:pPr>
        <w:pStyle w:val="Header"/>
        <w:tabs>
          <w:tab w:val="left" w:pos="720"/>
        </w:tabs>
        <w:jc w:val="left"/>
        <w:rPr>
          <w:sz w:val="23"/>
          <w:szCs w:val="23"/>
        </w:rPr>
      </w:pPr>
      <w:r>
        <w:rPr>
          <w:sz w:val="23"/>
          <w:szCs w:val="23"/>
        </w:rPr>
        <w:lastRenderedPageBreak/>
        <w:t>SFMR-RB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01C4F" w:rsidRDefault="00001C4F" w:rsidP="00001C4F">
      <w:pPr>
        <w:pStyle w:val="Header"/>
        <w:tabs>
          <w:tab w:val="left" w:pos="720"/>
        </w:tabs>
        <w:jc w:val="left"/>
        <w:rPr>
          <w:sz w:val="23"/>
          <w:szCs w:val="23"/>
        </w:rPr>
      </w:pPr>
    </w:p>
    <w:p w:rsidR="00001C4F" w:rsidRDefault="00001C4F" w:rsidP="00001C4F">
      <w:pPr>
        <w:jc w:val="left"/>
        <w:rPr>
          <w:sz w:val="23"/>
          <w:szCs w:val="23"/>
        </w:rPr>
      </w:pPr>
    </w:p>
    <w:p w:rsidR="00001C4F" w:rsidRDefault="00001C4F" w:rsidP="00001C4F">
      <w:pPr>
        <w:jc w:val="left"/>
        <w:rPr>
          <w:sz w:val="23"/>
          <w:szCs w:val="23"/>
        </w:rPr>
      </w:pPr>
      <w:r>
        <w:rPr>
          <w:sz w:val="23"/>
          <w:szCs w:val="23"/>
        </w:rPr>
        <w:t xml:space="preserve">MEMORANDUM FOR Commander, US Army Physical Disability Agency </w:t>
      </w:r>
    </w:p>
    <w:p w:rsidR="00001C4F" w:rsidRDefault="00001C4F" w:rsidP="00001C4F">
      <w:pPr>
        <w:jc w:val="left"/>
        <w:rPr>
          <w:sz w:val="23"/>
          <w:szCs w:val="23"/>
        </w:rPr>
      </w:pPr>
      <w:r>
        <w:rPr>
          <w:sz w:val="23"/>
          <w:szCs w:val="23"/>
        </w:rPr>
        <w:t xml:space="preserve">(TAPD-ZB </w:t>
      </w:r>
      <w:proofErr w:type="gramStart"/>
      <w:r>
        <w:rPr>
          <w:sz w:val="23"/>
          <w:szCs w:val="23"/>
        </w:rPr>
        <w:t>/  )</w:t>
      </w:r>
      <w:proofErr w:type="gramEnd"/>
      <w:r>
        <w:rPr>
          <w:sz w:val="23"/>
          <w:szCs w:val="23"/>
        </w:rPr>
        <w:t>, 2900 Crystal Drive, Suite 300, Arlington, VA  22202</w:t>
      </w:r>
    </w:p>
    <w:p w:rsidR="00001C4F" w:rsidRDefault="00001C4F" w:rsidP="00001C4F">
      <w:pPr>
        <w:jc w:val="left"/>
        <w:rPr>
          <w:sz w:val="23"/>
          <w:szCs w:val="23"/>
        </w:rPr>
      </w:pPr>
    </w:p>
    <w:p w:rsidR="00001C4F" w:rsidRDefault="00001C4F" w:rsidP="00001C4F">
      <w:pPr>
        <w:ind w:right="-180"/>
        <w:jc w:val="left"/>
        <w:rPr>
          <w:sz w:val="23"/>
          <w:szCs w:val="23"/>
        </w:rPr>
      </w:pPr>
      <w:r>
        <w:rPr>
          <w:sz w:val="23"/>
          <w:szCs w:val="23"/>
        </w:rPr>
        <w:t>SUBJECT:  Department of Defense Physical Disability Board of Review Recommendation for XXXXXXXXXXXXXXXXXXXXXX, AR20120011910 (PD201100649)</w:t>
      </w:r>
    </w:p>
    <w:p w:rsidR="00001C4F" w:rsidRDefault="00001C4F" w:rsidP="00001C4F">
      <w:pPr>
        <w:pStyle w:val="Header"/>
        <w:tabs>
          <w:tab w:val="left" w:pos="720"/>
        </w:tabs>
        <w:jc w:val="left"/>
        <w:rPr>
          <w:sz w:val="23"/>
          <w:szCs w:val="23"/>
        </w:rPr>
      </w:pPr>
    </w:p>
    <w:p w:rsidR="00001C4F" w:rsidRDefault="00001C4F" w:rsidP="00001C4F">
      <w:pPr>
        <w:jc w:val="left"/>
        <w:rPr>
          <w:sz w:val="23"/>
          <w:szCs w:val="23"/>
        </w:rPr>
      </w:pPr>
    </w:p>
    <w:p w:rsidR="00001C4F" w:rsidRDefault="00001C4F" w:rsidP="00001C4F">
      <w:pPr>
        <w:jc w:val="left"/>
        <w:rPr>
          <w:sz w:val="23"/>
          <w:szCs w:val="23"/>
        </w:rPr>
      </w:pPr>
      <w:r>
        <w:rPr>
          <w:sz w:val="23"/>
          <w:szCs w:val="23"/>
        </w:rPr>
        <w:t>1.  I have reviewed the enclosed Department of Defense Physical Disability Board of Review (</w:t>
      </w:r>
      <w:proofErr w:type="spellStart"/>
      <w:r>
        <w:rPr>
          <w:sz w:val="23"/>
          <w:szCs w:val="23"/>
        </w:rPr>
        <w:t>DoD</w:t>
      </w:r>
      <w:proofErr w:type="spellEnd"/>
      <w:r>
        <w:rPr>
          <w:sz w:val="23"/>
          <w:szCs w:val="23"/>
        </w:rPr>
        <w:t xml:space="preserve"> PDBR) recommendation and record of proceedings pertaining to the subject individual.  Under the authority of Title 10, United States Code, section 1554a, I reject the Board’s recommendation and hereby deny the individual’s application.  There is insufficient justification to support the Board’s recommendation in accordance with Army and Department of Defense regulations.  </w:t>
      </w:r>
    </w:p>
    <w:p w:rsidR="00001C4F" w:rsidRDefault="00001C4F" w:rsidP="00001C4F">
      <w:pPr>
        <w:jc w:val="left"/>
        <w:rPr>
          <w:sz w:val="23"/>
          <w:szCs w:val="23"/>
        </w:rPr>
      </w:pPr>
    </w:p>
    <w:p w:rsidR="00001C4F" w:rsidRDefault="00001C4F" w:rsidP="00001C4F">
      <w:pPr>
        <w:jc w:val="left"/>
        <w:rPr>
          <w:sz w:val="23"/>
          <w:szCs w:val="23"/>
        </w:rPr>
      </w:pPr>
      <w:r>
        <w:rPr>
          <w:sz w:val="23"/>
          <w:szCs w:val="23"/>
        </w:rPr>
        <w:t xml:space="preserve">2.  Due to a change in law after the separation the individual was entitled to an increase in his back rating from 10% to 20%.  The record, however, does not support a change in the rating for his ankle or Obstructive Sleep Apnea (OSA).  I accept, therefore, the </w:t>
      </w:r>
      <w:proofErr w:type="spellStart"/>
      <w:r>
        <w:rPr>
          <w:sz w:val="23"/>
          <w:szCs w:val="23"/>
        </w:rPr>
        <w:t>DoD</w:t>
      </w:r>
      <w:proofErr w:type="spellEnd"/>
      <w:r>
        <w:rPr>
          <w:sz w:val="23"/>
          <w:szCs w:val="23"/>
        </w:rPr>
        <w:t xml:space="preserve"> PDBR recommendation to increase his rating for back pain to 20%.  I also accept the recommendation of the minority member to keep the OSA rating at 0% as assigned by the Physical Evaluation Board (PEB).  I reject the recommendation to increase the individual’s ankle rating.  The record supports the 0% rating as assigned by the PEB.   </w:t>
      </w:r>
    </w:p>
    <w:p w:rsidR="00001C4F" w:rsidRDefault="00001C4F" w:rsidP="00001C4F">
      <w:pPr>
        <w:jc w:val="left"/>
        <w:rPr>
          <w:sz w:val="23"/>
          <w:szCs w:val="23"/>
        </w:rPr>
      </w:pPr>
    </w:p>
    <w:p w:rsidR="00001C4F" w:rsidRDefault="00001C4F" w:rsidP="00001C4F">
      <w:pPr>
        <w:jc w:val="left"/>
        <w:rPr>
          <w:sz w:val="23"/>
          <w:szCs w:val="23"/>
        </w:rPr>
      </w:pPr>
      <w:r>
        <w:rPr>
          <w:sz w:val="23"/>
          <w:szCs w:val="23"/>
        </w:rPr>
        <w:t>3.  I direct that all the Department of the Army records of the individual concerned be corrected no later 120 days from the date of this memorandum.</w:t>
      </w:r>
    </w:p>
    <w:p w:rsidR="00001C4F" w:rsidRDefault="00001C4F" w:rsidP="00001C4F">
      <w:pPr>
        <w:jc w:val="left"/>
        <w:rPr>
          <w:sz w:val="23"/>
          <w:szCs w:val="23"/>
        </w:rPr>
      </w:pPr>
    </w:p>
    <w:p w:rsidR="00001C4F" w:rsidRDefault="00001C4F" w:rsidP="00001C4F">
      <w:pPr>
        <w:jc w:val="left"/>
        <w:rPr>
          <w:sz w:val="23"/>
          <w:szCs w:val="23"/>
        </w:rPr>
      </w:pPr>
      <w:r>
        <w:rPr>
          <w:sz w:val="23"/>
          <w:szCs w:val="23"/>
        </w:rPr>
        <w:t>4.  This decision is final.  The individual concerned, counsel (if any), and any Members of Congress who have shown interest in this application have been notified of this decision by mail.</w:t>
      </w:r>
    </w:p>
    <w:p w:rsidR="00001C4F" w:rsidRDefault="00001C4F" w:rsidP="00001C4F">
      <w:pPr>
        <w:jc w:val="left"/>
        <w:rPr>
          <w:sz w:val="23"/>
          <w:szCs w:val="23"/>
        </w:rPr>
      </w:pPr>
    </w:p>
    <w:p w:rsidR="00001C4F" w:rsidRDefault="00001C4F" w:rsidP="00001C4F">
      <w:pPr>
        <w:jc w:val="left"/>
        <w:rPr>
          <w:sz w:val="23"/>
          <w:szCs w:val="23"/>
        </w:rPr>
      </w:pPr>
      <w:r>
        <w:rPr>
          <w:sz w:val="23"/>
          <w:szCs w:val="23"/>
        </w:rPr>
        <w:t>BY ORDER OF THE SECRETARY OF THE ARMY:</w:t>
      </w:r>
    </w:p>
    <w:p w:rsidR="00001C4F" w:rsidRDefault="00001C4F" w:rsidP="00001C4F">
      <w:pPr>
        <w:jc w:val="left"/>
        <w:rPr>
          <w:sz w:val="23"/>
          <w:szCs w:val="23"/>
        </w:rPr>
      </w:pPr>
    </w:p>
    <w:p w:rsidR="00001C4F" w:rsidRDefault="00001C4F" w:rsidP="00001C4F">
      <w:pPr>
        <w:jc w:val="left"/>
        <w:rPr>
          <w:sz w:val="23"/>
          <w:szCs w:val="23"/>
        </w:rPr>
      </w:pPr>
    </w:p>
    <w:p w:rsidR="00001C4F" w:rsidRDefault="00001C4F" w:rsidP="00001C4F">
      <w:pPr>
        <w:pStyle w:val="Header"/>
        <w:tabs>
          <w:tab w:val="left" w:pos="720"/>
        </w:tabs>
        <w:jc w:val="left"/>
        <w:rPr>
          <w:sz w:val="23"/>
          <w:szCs w:val="23"/>
        </w:rPr>
      </w:pPr>
    </w:p>
    <w:p w:rsidR="00001C4F" w:rsidRDefault="00001C4F" w:rsidP="00001C4F">
      <w:pPr>
        <w:jc w:val="left"/>
        <w:rPr>
          <w:sz w:val="23"/>
          <w:szCs w:val="23"/>
        </w:rPr>
      </w:pPr>
    </w:p>
    <w:p w:rsidR="00001C4F" w:rsidRDefault="00001C4F" w:rsidP="00001C4F">
      <w:pPr>
        <w:jc w:val="left"/>
        <w:rPr>
          <w:sz w:val="23"/>
          <w:szCs w:val="23"/>
        </w:rPr>
      </w:pPr>
      <w:bookmarkStart w:id="0" w:name="OLE_LINK4"/>
      <w:bookmarkStart w:id="1" w:name="OLE_LINK3"/>
      <w:r>
        <w:rPr>
          <w:sz w:val="23"/>
          <w:szCs w:val="23"/>
        </w:rPr>
        <w:t>Encl</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XXXXXXXXXXXXXXXXXXXXXX</w:t>
      </w:r>
    </w:p>
    <w:p w:rsidR="00001C4F" w:rsidRDefault="00001C4F" w:rsidP="00001C4F">
      <w:pPr>
        <w:jc w:val="lef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Deputy Assistant Secretary</w:t>
      </w:r>
    </w:p>
    <w:p w:rsidR="00001C4F" w:rsidRDefault="00001C4F" w:rsidP="00001C4F">
      <w:pPr>
        <w:jc w:val="lef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(Army Review Boards)</w:t>
      </w:r>
      <w:bookmarkEnd w:id="0"/>
      <w:bookmarkEnd w:id="1"/>
    </w:p>
    <w:p w:rsidR="00001C4F" w:rsidRDefault="00001C4F" w:rsidP="00001C4F">
      <w:pPr>
        <w:jc w:val="left"/>
        <w:rPr>
          <w:sz w:val="23"/>
          <w:szCs w:val="23"/>
        </w:rPr>
      </w:pPr>
    </w:p>
    <w:p w:rsidR="00001C4F" w:rsidRDefault="00001C4F" w:rsidP="00001C4F">
      <w:pPr>
        <w:jc w:val="left"/>
        <w:rPr>
          <w:sz w:val="23"/>
          <w:szCs w:val="23"/>
        </w:rPr>
      </w:pPr>
      <w:r>
        <w:rPr>
          <w:sz w:val="23"/>
          <w:szCs w:val="23"/>
        </w:rPr>
        <w:t xml:space="preserve">CF: </w:t>
      </w:r>
    </w:p>
    <w:p w:rsidR="00001C4F" w:rsidRDefault="00001C4F" w:rsidP="00001C4F">
      <w:pPr>
        <w:jc w:val="left"/>
        <w:rPr>
          <w:sz w:val="23"/>
          <w:szCs w:val="23"/>
        </w:rPr>
      </w:pPr>
      <w:r>
        <w:rPr>
          <w:sz w:val="23"/>
          <w:szCs w:val="23"/>
        </w:rPr>
        <w:t xml:space="preserve">(  ) </w:t>
      </w:r>
      <w:proofErr w:type="spellStart"/>
      <w:proofErr w:type="gramStart"/>
      <w:r>
        <w:rPr>
          <w:sz w:val="23"/>
          <w:szCs w:val="23"/>
        </w:rPr>
        <w:t>DoD</w:t>
      </w:r>
      <w:proofErr w:type="spellEnd"/>
      <w:proofErr w:type="gramEnd"/>
      <w:r>
        <w:rPr>
          <w:sz w:val="23"/>
          <w:szCs w:val="23"/>
        </w:rPr>
        <w:t xml:space="preserve"> PDBR</w:t>
      </w:r>
    </w:p>
    <w:p w:rsidR="00001C4F" w:rsidRDefault="00001C4F" w:rsidP="00001C4F">
      <w:pPr>
        <w:jc w:val="left"/>
        <w:rPr>
          <w:sz w:val="23"/>
          <w:szCs w:val="23"/>
        </w:rPr>
      </w:pPr>
      <w:r>
        <w:rPr>
          <w:sz w:val="23"/>
          <w:szCs w:val="23"/>
        </w:rPr>
        <w:t>(  ) DVA</w:t>
      </w:r>
    </w:p>
    <w:p w:rsidR="00FC756E" w:rsidRPr="00F64312" w:rsidRDefault="00FC756E" w:rsidP="00001C4F">
      <w:pPr>
        <w:spacing w:line="240" w:lineRule="auto"/>
        <w:jc w:val="left"/>
        <w:rPr>
          <w:rFonts w:cs="Times New Roman"/>
          <w:color w:val="auto"/>
        </w:rPr>
      </w:pPr>
    </w:p>
    <w:sectPr w:rsidR="00FC756E" w:rsidRPr="00F6431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F5" w:rsidRDefault="005951F5">
      <w:r>
        <w:separator/>
      </w:r>
    </w:p>
  </w:endnote>
  <w:endnote w:type="continuationSeparator" w:id="0">
    <w:p w:rsidR="005951F5" w:rsidRDefault="00595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E" w:rsidRPr="00374247" w:rsidRDefault="00D6516E" w:rsidP="00726F84">
    <w:pPr>
      <w:pStyle w:val="Footer"/>
      <w:ind w:firstLine="4320"/>
      <w:rPr>
        <w:color w:val="auto"/>
      </w:rPr>
    </w:pPr>
    <w:r w:rsidRPr="00374247">
      <w:rPr>
        <w:color w:val="auto"/>
      </w:rPr>
      <w:t xml:space="preserve">   </w:t>
    </w:r>
    <w:fldSimple w:instr=" PAGE   \* MERGEFORMAT ">
      <w:r w:rsidR="00001C4F" w:rsidRPr="00001C4F">
        <w:rPr>
          <w:noProof/>
          <w:color w:val="auto"/>
        </w:rPr>
        <w:t>7</w:t>
      </w:r>
    </w:fldSimple>
    <w:r w:rsidRPr="00374247">
      <w:rPr>
        <w:color w:val="auto"/>
      </w:rPr>
      <w:t xml:space="preserve">                                                           </w:t>
    </w:r>
    <w:r w:rsidRPr="008E3DB1">
      <w:rPr>
        <w:color w:val="auto"/>
        <w:szCs w:val="24"/>
      </w:rPr>
      <w:t>PD1100649</w:t>
    </w:r>
  </w:p>
  <w:p w:rsidR="00D6516E" w:rsidRPr="00684CE6" w:rsidRDefault="00D6516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F5" w:rsidRDefault="005951F5">
      <w:r>
        <w:separator/>
      </w:r>
    </w:p>
  </w:footnote>
  <w:footnote w:type="continuationSeparator" w:id="0">
    <w:p w:rsidR="005951F5" w:rsidRDefault="00595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013"/>
    <w:rsid w:val="00001667"/>
    <w:rsid w:val="00001C4F"/>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371D"/>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6774"/>
    <w:rsid w:val="000A1B02"/>
    <w:rsid w:val="000A2BCE"/>
    <w:rsid w:val="000A31E2"/>
    <w:rsid w:val="000A33C8"/>
    <w:rsid w:val="000A41E3"/>
    <w:rsid w:val="000A47C8"/>
    <w:rsid w:val="000A4AB4"/>
    <w:rsid w:val="000A4BBA"/>
    <w:rsid w:val="000A5071"/>
    <w:rsid w:val="000A5BD5"/>
    <w:rsid w:val="000B0AD2"/>
    <w:rsid w:val="000B1022"/>
    <w:rsid w:val="000B1C9E"/>
    <w:rsid w:val="000B1DD1"/>
    <w:rsid w:val="000B2FB8"/>
    <w:rsid w:val="000B3927"/>
    <w:rsid w:val="000B471C"/>
    <w:rsid w:val="000B4C99"/>
    <w:rsid w:val="000B63CF"/>
    <w:rsid w:val="000C06F6"/>
    <w:rsid w:val="000C10B9"/>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B2"/>
    <w:rsid w:val="000D35D8"/>
    <w:rsid w:val="000D43F9"/>
    <w:rsid w:val="000D4717"/>
    <w:rsid w:val="000D4AF7"/>
    <w:rsid w:val="000D5DBE"/>
    <w:rsid w:val="000D6457"/>
    <w:rsid w:val="000D6528"/>
    <w:rsid w:val="000D7D55"/>
    <w:rsid w:val="000E0993"/>
    <w:rsid w:val="000E16A9"/>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043"/>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53D4"/>
    <w:rsid w:val="00136204"/>
    <w:rsid w:val="001364D1"/>
    <w:rsid w:val="001374C7"/>
    <w:rsid w:val="00140C03"/>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4EF"/>
    <w:rsid w:val="00176D63"/>
    <w:rsid w:val="00177659"/>
    <w:rsid w:val="001779E5"/>
    <w:rsid w:val="00180826"/>
    <w:rsid w:val="00180F53"/>
    <w:rsid w:val="00181240"/>
    <w:rsid w:val="0018208F"/>
    <w:rsid w:val="00182A4C"/>
    <w:rsid w:val="00183F77"/>
    <w:rsid w:val="00183FB3"/>
    <w:rsid w:val="001844D8"/>
    <w:rsid w:val="00185DA8"/>
    <w:rsid w:val="00185ECB"/>
    <w:rsid w:val="001865E0"/>
    <w:rsid w:val="001870F0"/>
    <w:rsid w:val="00187CA3"/>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195"/>
    <w:rsid w:val="001A2182"/>
    <w:rsid w:val="001A2B5D"/>
    <w:rsid w:val="001A323E"/>
    <w:rsid w:val="001A5320"/>
    <w:rsid w:val="001A5E62"/>
    <w:rsid w:val="001A6848"/>
    <w:rsid w:val="001A7538"/>
    <w:rsid w:val="001B06FB"/>
    <w:rsid w:val="001B0B1A"/>
    <w:rsid w:val="001B20E6"/>
    <w:rsid w:val="001B4C0B"/>
    <w:rsid w:val="001B4D12"/>
    <w:rsid w:val="001B4EC2"/>
    <w:rsid w:val="001B5B59"/>
    <w:rsid w:val="001B60E0"/>
    <w:rsid w:val="001B6A1C"/>
    <w:rsid w:val="001B755A"/>
    <w:rsid w:val="001B7C8C"/>
    <w:rsid w:val="001C051D"/>
    <w:rsid w:val="001C0688"/>
    <w:rsid w:val="001C181A"/>
    <w:rsid w:val="001C1877"/>
    <w:rsid w:val="001C2053"/>
    <w:rsid w:val="001C252F"/>
    <w:rsid w:val="001C28D1"/>
    <w:rsid w:val="001C32E4"/>
    <w:rsid w:val="001C3473"/>
    <w:rsid w:val="001C44CA"/>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55B"/>
    <w:rsid w:val="001F0297"/>
    <w:rsid w:val="001F29F9"/>
    <w:rsid w:val="001F6E0B"/>
    <w:rsid w:val="001F78FF"/>
    <w:rsid w:val="001F7EF5"/>
    <w:rsid w:val="00200AA0"/>
    <w:rsid w:val="00200F21"/>
    <w:rsid w:val="00202325"/>
    <w:rsid w:val="00202736"/>
    <w:rsid w:val="00203652"/>
    <w:rsid w:val="00203807"/>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7CB"/>
    <w:rsid w:val="00225080"/>
    <w:rsid w:val="00225196"/>
    <w:rsid w:val="00225CB4"/>
    <w:rsid w:val="00226B1A"/>
    <w:rsid w:val="00227F0B"/>
    <w:rsid w:val="0023049F"/>
    <w:rsid w:val="002310C3"/>
    <w:rsid w:val="002316F6"/>
    <w:rsid w:val="00232C9B"/>
    <w:rsid w:val="00232CC3"/>
    <w:rsid w:val="00232E73"/>
    <w:rsid w:val="00232F09"/>
    <w:rsid w:val="002335D5"/>
    <w:rsid w:val="002338CA"/>
    <w:rsid w:val="00233E4E"/>
    <w:rsid w:val="00233FE5"/>
    <w:rsid w:val="00234B3B"/>
    <w:rsid w:val="00234D98"/>
    <w:rsid w:val="00235AD0"/>
    <w:rsid w:val="00236018"/>
    <w:rsid w:val="002374C9"/>
    <w:rsid w:val="00240ABE"/>
    <w:rsid w:val="0024162D"/>
    <w:rsid w:val="0024174E"/>
    <w:rsid w:val="00241B01"/>
    <w:rsid w:val="00241ECD"/>
    <w:rsid w:val="00242238"/>
    <w:rsid w:val="0024227D"/>
    <w:rsid w:val="00242C03"/>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404"/>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29"/>
    <w:rsid w:val="00276C86"/>
    <w:rsid w:val="00276FD0"/>
    <w:rsid w:val="00277217"/>
    <w:rsid w:val="002810A4"/>
    <w:rsid w:val="0028261C"/>
    <w:rsid w:val="00282DB6"/>
    <w:rsid w:val="0028388D"/>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0B3"/>
    <w:rsid w:val="002C5D9D"/>
    <w:rsid w:val="002C5F10"/>
    <w:rsid w:val="002C6E5B"/>
    <w:rsid w:val="002C7108"/>
    <w:rsid w:val="002D08F3"/>
    <w:rsid w:val="002D18B4"/>
    <w:rsid w:val="002D2058"/>
    <w:rsid w:val="002D231A"/>
    <w:rsid w:val="002D5330"/>
    <w:rsid w:val="002D54E5"/>
    <w:rsid w:val="002D5F57"/>
    <w:rsid w:val="002D6DB2"/>
    <w:rsid w:val="002D6F13"/>
    <w:rsid w:val="002D73D4"/>
    <w:rsid w:val="002D7787"/>
    <w:rsid w:val="002E058C"/>
    <w:rsid w:val="002E1877"/>
    <w:rsid w:val="002E1C31"/>
    <w:rsid w:val="002E1D52"/>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6B85"/>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B6D"/>
    <w:rsid w:val="00313C3A"/>
    <w:rsid w:val="00313D7A"/>
    <w:rsid w:val="00314517"/>
    <w:rsid w:val="003155FB"/>
    <w:rsid w:val="0032136A"/>
    <w:rsid w:val="003219E5"/>
    <w:rsid w:val="003224D8"/>
    <w:rsid w:val="00323A90"/>
    <w:rsid w:val="00323E70"/>
    <w:rsid w:val="00324507"/>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A50"/>
    <w:rsid w:val="00335443"/>
    <w:rsid w:val="0033555E"/>
    <w:rsid w:val="0033601F"/>
    <w:rsid w:val="00336805"/>
    <w:rsid w:val="00337351"/>
    <w:rsid w:val="00341691"/>
    <w:rsid w:val="00341A54"/>
    <w:rsid w:val="00344A4F"/>
    <w:rsid w:val="00344D17"/>
    <w:rsid w:val="0034669F"/>
    <w:rsid w:val="003470C4"/>
    <w:rsid w:val="0034757C"/>
    <w:rsid w:val="00347D0D"/>
    <w:rsid w:val="003509A9"/>
    <w:rsid w:val="00350EB5"/>
    <w:rsid w:val="00351498"/>
    <w:rsid w:val="00352B22"/>
    <w:rsid w:val="00352CBF"/>
    <w:rsid w:val="003534DC"/>
    <w:rsid w:val="003544BE"/>
    <w:rsid w:val="00354547"/>
    <w:rsid w:val="003549F5"/>
    <w:rsid w:val="00355ACB"/>
    <w:rsid w:val="003567DE"/>
    <w:rsid w:val="003574F3"/>
    <w:rsid w:val="00357831"/>
    <w:rsid w:val="0036047D"/>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D8A"/>
    <w:rsid w:val="00370EF5"/>
    <w:rsid w:val="0037135B"/>
    <w:rsid w:val="003718CD"/>
    <w:rsid w:val="00372251"/>
    <w:rsid w:val="00373F64"/>
    <w:rsid w:val="00374247"/>
    <w:rsid w:val="00374EA1"/>
    <w:rsid w:val="0037520D"/>
    <w:rsid w:val="00375724"/>
    <w:rsid w:val="00375809"/>
    <w:rsid w:val="00375B0D"/>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404"/>
    <w:rsid w:val="00393651"/>
    <w:rsid w:val="00393D7D"/>
    <w:rsid w:val="00394926"/>
    <w:rsid w:val="00394FF9"/>
    <w:rsid w:val="00395651"/>
    <w:rsid w:val="00395E12"/>
    <w:rsid w:val="003962A8"/>
    <w:rsid w:val="00396779"/>
    <w:rsid w:val="00397DB7"/>
    <w:rsid w:val="003A27B2"/>
    <w:rsid w:val="003A3F3D"/>
    <w:rsid w:val="003A40B4"/>
    <w:rsid w:val="003A41BA"/>
    <w:rsid w:val="003A4632"/>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1AD"/>
    <w:rsid w:val="003C34DF"/>
    <w:rsid w:val="003C5046"/>
    <w:rsid w:val="003C53E8"/>
    <w:rsid w:val="003C5B54"/>
    <w:rsid w:val="003C6068"/>
    <w:rsid w:val="003C6ABC"/>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40"/>
    <w:rsid w:val="004007E9"/>
    <w:rsid w:val="00400810"/>
    <w:rsid w:val="004008DE"/>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6CB"/>
    <w:rsid w:val="00415EA4"/>
    <w:rsid w:val="0041604B"/>
    <w:rsid w:val="004172DB"/>
    <w:rsid w:val="004174F0"/>
    <w:rsid w:val="00417999"/>
    <w:rsid w:val="00417BED"/>
    <w:rsid w:val="00420A1D"/>
    <w:rsid w:val="00420B1E"/>
    <w:rsid w:val="004211FD"/>
    <w:rsid w:val="00421485"/>
    <w:rsid w:val="004216DA"/>
    <w:rsid w:val="00421DEA"/>
    <w:rsid w:val="00421EB3"/>
    <w:rsid w:val="00422B75"/>
    <w:rsid w:val="00424458"/>
    <w:rsid w:val="00424612"/>
    <w:rsid w:val="0042528C"/>
    <w:rsid w:val="00425672"/>
    <w:rsid w:val="00425A6A"/>
    <w:rsid w:val="00426A23"/>
    <w:rsid w:val="00427B0F"/>
    <w:rsid w:val="00427C7F"/>
    <w:rsid w:val="00427F54"/>
    <w:rsid w:val="004306E0"/>
    <w:rsid w:val="004316FD"/>
    <w:rsid w:val="00433F36"/>
    <w:rsid w:val="00434694"/>
    <w:rsid w:val="00434860"/>
    <w:rsid w:val="00434BBD"/>
    <w:rsid w:val="0043503A"/>
    <w:rsid w:val="00437251"/>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112"/>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87B60"/>
    <w:rsid w:val="00490D6A"/>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3442"/>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31D"/>
    <w:rsid w:val="004C6CDA"/>
    <w:rsid w:val="004C79F5"/>
    <w:rsid w:val="004D10D4"/>
    <w:rsid w:val="004D16BD"/>
    <w:rsid w:val="004D2AAB"/>
    <w:rsid w:val="004D362B"/>
    <w:rsid w:val="004D3C7F"/>
    <w:rsid w:val="004D42CB"/>
    <w:rsid w:val="004D4A0C"/>
    <w:rsid w:val="004D6545"/>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4"/>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6DD9"/>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422"/>
    <w:rsid w:val="0056777B"/>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47E"/>
    <w:rsid w:val="00593043"/>
    <w:rsid w:val="005951F5"/>
    <w:rsid w:val="00595B60"/>
    <w:rsid w:val="00595B63"/>
    <w:rsid w:val="00595BF0"/>
    <w:rsid w:val="00597E16"/>
    <w:rsid w:val="005A0B1D"/>
    <w:rsid w:val="005A1846"/>
    <w:rsid w:val="005A258C"/>
    <w:rsid w:val="005A3560"/>
    <w:rsid w:val="005A3E54"/>
    <w:rsid w:val="005A464E"/>
    <w:rsid w:val="005A532C"/>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806"/>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464"/>
    <w:rsid w:val="00615641"/>
    <w:rsid w:val="00615A66"/>
    <w:rsid w:val="00615A9A"/>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FC4"/>
    <w:rsid w:val="006502A8"/>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348B"/>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61F0"/>
    <w:rsid w:val="006A75FA"/>
    <w:rsid w:val="006B07D5"/>
    <w:rsid w:val="006B1309"/>
    <w:rsid w:val="006B31E6"/>
    <w:rsid w:val="006B3923"/>
    <w:rsid w:val="006B3F3E"/>
    <w:rsid w:val="006B4AA2"/>
    <w:rsid w:val="006B4C4D"/>
    <w:rsid w:val="006B53C4"/>
    <w:rsid w:val="006B551A"/>
    <w:rsid w:val="006B586B"/>
    <w:rsid w:val="006B5923"/>
    <w:rsid w:val="006B67D9"/>
    <w:rsid w:val="006B690F"/>
    <w:rsid w:val="006B6C14"/>
    <w:rsid w:val="006B7159"/>
    <w:rsid w:val="006B715E"/>
    <w:rsid w:val="006B7BE0"/>
    <w:rsid w:val="006B7E68"/>
    <w:rsid w:val="006C1D6E"/>
    <w:rsid w:val="006C2EF6"/>
    <w:rsid w:val="006C3A68"/>
    <w:rsid w:val="006C3B08"/>
    <w:rsid w:val="006C6AB1"/>
    <w:rsid w:val="006C6E6B"/>
    <w:rsid w:val="006C714C"/>
    <w:rsid w:val="006C73D4"/>
    <w:rsid w:val="006D145F"/>
    <w:rsid w:val="006D2000"/>
    <w:rsid w:val="006D2233"/>
    <w:rsid w:val="006D2D39"/>
    <w:rsid w:val="006D2F31"/>
    <w:rsid w:val="006D4250"/>
    <w:rsid w:val="006D4E0E"/>
    <w:rsid w:val="006D5861"/>
    <w:rsid w:val="006D5CE2"/>
    <w:rsid w:val="006D5E1E"/>
    <w:rsid w:val="006D7854"/>
    <w:rsid w:val="006E06D1"/>
    <w:rsid w:val="006E122E"/>
    <w:rsid w:val="006E1313"/>
    <w:rsid w:val="006E154E"/>
    <w:rsid w:val="006E25A9"/>
    <w:rsid w:val="006E2A32"/>
    <w:rsid w:val="006E2DC8"/>
    <w:rsid w:val="006E386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2F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39F0"/>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19B7"/>
    <w:rsid w:val="0077272B"/>
    <w:rsid w:val="0077340B"/>
    <w:rsid w:val="00773AF7"/>
    <w:rsid w:val="00773C45"/>
    <w:rsid w:val="00774FFD"/>
    <w:rsid w:val="00775E8D"/>
    <w:rsid w:val="00780378"/>
    <w:rsid w:val="0078085E"/>
    <w:rsid w:val="00781BD4"/>
    <w:rsid w:val="00782562"/>
    <w:rsid w:val="007828B4"/>
    <w:rsid w:val="00782CC1"/>
    <w:rsid w:val="00784832"/>
    <w:rsid w:val="00784EA0"/>
    <w:rsid w:val="007855D9"/>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2FD5"/>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62A"/>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C91"/>
    <w:rsid w:val="007E5E39"/>
    <w:rsid w:val="007E71B1"/>
    <w:rsid w:val="007E7B4E"/>
    <w:rsid w:val="007E7F02"/>
    <w:rsid w:val="007F0292"/>
    <w:rsid w:val="007F0722"/>
    <w:rsid w:val="007F0AB7"/>
    <w:rsid w:val="007F0CE2"/>
    <w:rsid w:val="007F0EFF"/>
    <w:rsid w:val="007F1375"/>
    <w:rsid w:val="007F1AFD"/>
    <w:rsid w:val="007F30E4"/>
    <w:rsid w:val="0080064F"/>
    <w:rsid w:val="00800844"/>
    <w:rsid w:val="00801B85"/>
    <w:rsid w:val="00803850"/>
    <w:rsid w:val="008039E8"/>
    <w:rsid w:val="00804385"/>
    <w:rsid w:val="00804E0E"/>
    <w:rsid w:val="008051EB"/>
    <w:rsid w:val="0080588E"/>
    <w:rsid w:val="00805AFD"/>
    <w:rsid w:val="00806397"/>
    <w:rsid w:val="008078D8"/>
    <w:rsid w:val="0080798E"/>
    <w:rsid w:val="00811BD9"/>
    <w:rsid w:val="00811D5B"/>
    <w:rsid w:val="008129E0"/>
    <w:rsid w:val="00813C51"/>
    <w:rsid w:val="00816CCB"/>
    <w:rsid w:val="00816E35"/>
    <w:rsid w:val="00817572"/>
    <w:rsid w:val="00817713"/>
    <w:rsid w:val="00817A75"/>
    <w:rsid w:val="008208C3"/>
    <w:rsid w:val="008218FF"/>
    <w:rsid w:val="008220F1"/>
    <w:rsid w:val="0082340B"/>
    <w:rsid w:val="00823D6A"/>
    <w:rsid w:val="0082464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5C6F"/>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F1F"/>
    <w:rsid w:val="0086429C"/>
    <w:rsid w:val="00864F6D"/>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193"/>
    <w:rsid w:val="00896535"/>
    <w:rsid w:val="00896683"/>
    <w:rsid w:val="00896C01"/>
    <w:rsid w:val="00896E71"/>
    <w:rsid w:val="0089750B"/>
    <w:rsid w:val="00897589"/>
    <w:rsid w:val="008A0C99"/>
    <w:rsid w:val="008A0D4F"/>
    <w:rsid w:val="008A1CC3"/>
    <w:rsid w:val="008A35B0"/>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1B0"/>
    <w:rsid w:val="008B5D31"/>
    <w:rsid w:val="008B6705"/>
    <w:rsid w:val="008C22F3"/>
    <w:rsid w:val="008C3223"/>
    <w:rsid w:val="008C3FD0"/>
    <w:rsid w:val="008C4F01"/>
    <w:rsid w:val="008C5152"/>
    <w:rsid w:val="008C697B"/>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C99"/>
    <w:rsid w:val="009020ED"/>
    <w:rsid w:val="009026E8"/>
    <w:rsid w:val="00902FDD"/>
    <w:rsid w:val="00905EA6"/>
    <w:rsid w:val="00905EEF"/>
    <w:rsid w:val="00906919"/>
    <w:rsid w:val="00906EB7"/>
    <w:rsid w:val="00907FE6"/>
    <w:rsid w:val="009102BF"/>
    <w:rsid w:val="00911490"/>
    <w:rsid w:val="009115F2"/>
    <w:rsid w:val="00911B11"/>
    <w:rsid w:val="00914ADB"/>
    <w:rsid w:val="009150CC"/>
    <w:rsid w:val="00915196"/>
    <w:rsid w:val="00917182"/>
    <w:rsid w:val="00920251"/>
    <w:rsid w:val="00920259"/>
    <w:rsid w:val="00920436"/>
    <w:rsid w:val="00921043"/>
    <w:rsid w:val="00921CFD"/>
    <w:rsid w:val="00921F7F"/>
    <w:rsid w:val="009239C0"/>
    <w:rsid w:val="00923B25"/>
    <w:rsid w:val="00923B6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DCF"/>
    <w:rsid w:val="00950A3A"/>
    <w:rsid w:val="00950BF2"/>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8E2"/>
    <w:rsid w:val="009809B8"/>
    <w:rsid w:val="00981086"/>
    <w:rsid w:val="009818AF"/>
    <w:rsid w:val="00981B1C"/>
    <w:rsid w:val="0098222D"/>
    <w:rsid w:val="009842F3"/>
    <w:rsid w:val="00984B1A"/>
    <w:rsid w:val="00984EBF"/>
    <w:rsid w:val="00985099"/>
    <w:rsid w:val="00985D32"/>
    <w:rsid w:val="00986108"/>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6D9D"/>
    <w:rsid w:val="009B721E"/>
    <w:rsid w:val="009B7BA7"/>
    <w:rsid w:val="009B7C01"/>
    <w:rsid w:val="009B7FDA"/>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79C"/>
    <w:rsid w:val="009D5DE9"/>
    <w:rsid w:val="009D68A5"/>
    <w:rsid w:val="009D6CAD"/>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AE8"/>
    <w:rsid w:val="00A06F66"/>
    <w:rsid w:val="00A0798C"/>
    <w:rsid w:val="00A07BDD"/>
    <w:rsid w:val="00A07F12"/>
    <w:rsid w:val="00A1105B"/>
    <w:rsid w:val="00A1213C"/>
    <w:rsid w:val="00A130E8"/>
    <w:rsid w:val="00A15B6B"/>
    <w:rsid w:val="00A15EB4"/>
    <w:rsid w:val="00A16172"/>
    <w:rsid w:val="00A165B5"/>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1E74"/>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27E"/>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77858"/>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986"/>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534"/>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0DA"/>
    <w:rsid w:val="00AF69FE"/>
    <w:rsid w:val="00AF6ECC"/>
    <w:rsid w:val="00B02145"/>
    <w:rsid w:val="00B022DC"/>
    <w:rsid w:val="00B0252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EE2"/>
    <w:rsid w:val="00B37F53"/>
    <w:rsid w:val="00B40A05"/>
    <w:rsid w:val="00B40A3E"/>
    <w:rsid w:val="00B412DB"/>
    <w:rsid w:val="00B427BB"/>
    <w:rsid w:val="00B43BA2"/>
    <w:rsid w:val="00B449EE"/>
    <w:rsid w:val="00B454AE"/>
    <w:rsid w:val="00B45B11"/>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763"/>
    <w:rsid w:val="00B80EDD"/>
    <w:rsid w:val="00B812BD"/>
    <w:rsid w:val="00B816F9"/>
    <w:rsid w:val="00B81964"/>
    <w:rsid w:val="00B82277"/>
    <w:rsid w:val="00B83F87"/>
    <w:rsid w:val="00B843DD"/>
    <w:rsid w:val="00B8478F"/>
    <w:rsid w:val="00B84F93"/>
    <w:rsid w:val="00B91676"/>
    <w:rsid w:val="00B9322B"/>
    <w:rsid w:val="00B93640"/>
    <w:rsid w:val="00B94023"/>
    <w:rsid w:val="00B95451"/>
    <w:rsid w:val="00B955D5"/>
    <w:rsid w:val="00B95833"/>
    <w:rsid w:val="00B976FE"/>
    <w:rsid w:val="00BA0ED2"/>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BA"/>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773"/>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F78"/>
    <w:rsid w:val="00C34168"/>
    <w:rsid w:val="00C34247"/>
    <w:rsid w:val="00C34326"/>
    <w:rsid w:val="00C34CEB"/>
    <w:rsid w:val="00C36201"/>
    <w:rsid w:val="00C368E8"/>
    <w:rsid w:val="00C36C3D"/>
    <w:rsid w:val="00C372C7"/>
    <w:rsid w:val="00C376A7"/>
    <w:rsid w:val="00C41851"/>
    <w:rsid w:val="00C41DAC"/>
    <w:rsid w:val="00C42443"/>
    <w:rsid w:val="00C42AED"/>
    <w:rsid w:val="00C42CBA"/>
    <w:rsid w:val="00C4338C"/>
    <w:rsid w:val="00C43C2B"/>
    <w:rsid w:val="00C45B27"/>
    <w:rsid w:val="00C4652E"/>
    <w:rsid w:val="00C472C7"/>
    <w:rsid w:val="00C5019E"/>
    <w:rsid w:val="00C50C8C"/>
    <w:rsid w:val="00C51962"/>
    <w:rsid w:val="00C53166"/>
    <w:rsid w:val="00C5377C"/>
    <w:rsid w:val="00C53E8A"/>
    <w:rsid w:val="00C54DF3"/>
    <w:rsid w:val="00C560A7"/>
    <w:rsid w:val="00C566C9"/>
    <w:rsid w:val="00C56FC8"/>
    <w:rsid w:val="00C60F23"/>
    <w:rsid w:val="00C6170B"/>
    <w:rsid w:val="00C62D4D"/>
    <w:rsid w:val="00C62EB2"/>
    <w:rsid w:val="00C63431"/>
    <w:rsid w:val="00C64C87"/>
    <w:rsid w:val="00C65414"/>
    <w:rsid w:val="00C6590A"/>
    <w:rsid w:val="00C65BE0"/>
    <w:rsid w:val="00C665FE"/>
    <w:rsid w:val="00C71BEC"/>
    <w:rsid w:val="00C71EAD"/>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03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EF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2D2A"/>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44"/>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555"/>
    <w:rsid w:val="00D26873"/>
    <w:rsid w:val="00D27C99"/>
    <w:rsid w:val="00D31683"/>
    <w:rsid w:val="00D33452"/>
    <w:rsid w:val="00D336C8"/>
    <w:rsid w:val="00D339E8"/>
    <w:rsid w:val="00D33B06"/>
    <w:rsid w:val="00D33FDD"/>
    <w:rsid w:val="00D3654A"/>
    <w:rsid w:val="00D3662E"/>
    <w:rsid w:val="00D366FF"/>
    <w:rsid w:val="00D373F1"/>
    <w:rsid w:val="00D37567"/>
    <w:rsid w:val="00D375E1"/>
    <w:rsid w:val="00D37D36"/>
    <w:rsid w:val="00D40B1F"/>
    <w:rsid w:val="00D40D75"/>
    <w:rsid w:val="00D43978"/>
    <w:rsid w:val="00D43CBD"/>
    <w:rsid w:val="00D441F1"/>
    <w:rsid w:val="00D449F0"/>
    <w:rsid w:val="00D45319"/>
    <w:rsid w:val="00D462D7"/>
    <w:rsid w:val="00D46A33"/>
    <w:rsid w:val="00D5036B"/>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1D4"/>
    <w:rsid w:val="00D61ABB"/>
    <w:rsid w:val="00D62D5C"/>
    <w:rsid w:val="00D63577"/>
    <w:rsid w:val="00D6516E"/>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4B7A"/>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EBE"/>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1F51"/>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686"/>
    <w:rsid w:val="00E041E4"/>
    <w:rsid w:val="00E04AEE"/>
    <w:rsid w:val="00E06BBD"/>
    <w:rsid w:val="00E100E3"/>
    <w:rsid w:val="00E1012B"/>
    <w:rsid w:val="00E103C8"/>
    <w:rsid w:val="00E1085B"/>
    <w:rsid w:val="00E10FA5"/>
    <w:rsid w:val="00E1308B"/>
    <w:rsid w:val="00E14581"/>
    <w:rsid w:val="00E14623"/>
    <w:rsid w:val="00E15539"/>
    <w:rsid w:val="00E15F14"/>
    <w:rsid w:val="00E16541"/>
    <w:rsid w:val="00E17EC9"/>
    <w:rsid w:val="00E202F4"/>
    <w:rsid w:val="00E207C3"/>
    <w:rsid w:val="00E20C7C"/>
    <w:rsid w:val="00E212DF"/>
    <w:rsid w:val="00E21386"/>
    <w:rsid w:val="00E229DC"/>
    <w:rsid w:val="00E2421B"/>
    <w:rsid w:val="00E242AF"/>
    <w:rsid w:val="00E24849"/>
    <w:rsid w:val="00E2536E"/>
    <w:rsid w:val="00E25A99"/>
    <w:rsid w:val="00E25B8A"/>
    <w:rsid w:val="00E25C52"/>
    <w:rsid w:val="00E25EF8"/>
    <w:rsid w:val="00E2632B"/>
    <w:rsid w:val="00E26F75"/>
    <w:rsid w:val="00E27423"/>
    <w:rsid w:val="00E3077F"/>
    <w:rsid w:val="00E322F7"/>
    <w:rsid w:val="00E3369B"/>
    <w:rsid w:val="00E35A96"/>
    <w:rsid w:val="00E362D2"/>
    <w:rsid w:val="00E36D76"/>
    <w:rsid w:val="00E40478"/>
    <w:rsid w:val="00E405EA"/>
    <w:rsid w:val="00E408B7"/>
    <w:rsid w:val="00E412EB"/>
    <w:rsid w:val="00E41637"/>
    <w:rsid w:val="00E4232F"/>
    <w:rsid w:val="00E42789"/>
    <w:rsid w:val="00E43001"/>
    <w:rsid w:val="00E438A4"/>
    <w:rsid w:val="00E43F59"/>
    <w:rsid w:val="00E44B45"/>
    <w:rsid w:val="00E45400"/>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62A"/>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5E8"/>
    <w:rsid w:val="00E80386"/>
    <w:rsid w:val="00E807F1"/>
    <w:rsid w:val="00E809C3"/>
    <w:rsid w:val="00E811D7"/>
    <w:rsid w:val="00E814D4"/>
    <w:rsid w:val="00E81A1A"/>
    <w:rsid w:val="00E81C3E"/>
    <w:rsid w:val="00E82359"/>
    <w:rsid w:val="00E823F9"/>
    <w:rsid w:val="00E82B6D"/>
    <w:rsid w:val="00E83187"/>
    <w:rsid w:val="00E831E9"/>
    <w:rsid w:val="00E84DDA"/>
    <w:rsid w:val="00E8608F"/>
    <w:rsid w:val="00E8675F"/>
    <w:rsid w:val="00E86C1D"/>
    <w:rsid w:val="00E90703"/>
    <w:rsid w:val="00E90A62"/>
    <w:rsid w:val="00E9265E"/>
    <w:rsid w:val="00E956DB"/>
    <w:rsid w:val="00E957D7"/>
    <w:rsid w:val="00E9763D"/>
    <w:rsid w:val="00EA00A4"/>
    <w:rsid w:val="00EA1177"/>
    <w:rsid w:val="00EA118B"/>
    <w:rsid w:val="00EA11B6"/>
    <w:rsid w:val="00EA176B"/>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0CC"/>
    <w:rsid w:val="00EC0E65"/>
    <w:rsid w:val="00EC1251"/>
    <w:rsid w:val="00EC1E0A"/>
    <w:rsid w:val="00EC2938"/>
    <w:rsid w:val="00EC337D"/>
    <w:rsid w:val="00EC38EF"/>
    <w:rsid w:val="00EC4354"/>
    <w:rsid w:val="00EC4849"/>
    <w:rsid w:val="00EC50C9"/>
    <w:rsid w:val="00EC58B4"/>
    <w:rsid w:val="00EC5BB2"/>
    <w:rsid w:val="00EC73B7"/>
    <w:rsid w:val="00EC75AF"/>
    <w:rsid w:val="00ED05B1"/>
    <w:rsid w:val="00ED12F0"/>
    <w:rsid w:val="00ED2874"/>
    <w:rsid w:val="00ED290C"/>
    <w:rsid w:val="00ED2A6C"/>
    <w:rsid w:val="00ED38F0"/>
    <w:rsid w:val="00ED4773"/>
    <w:rsid w:val="00ED4FF0"/>
    <w:rsid w:val="00ED5284"/>
    <w:rsid w:val="00ED664B"/>
    <w:rsid w:val="00ED6A61"/>
    <w:rsid w:val="00ED768E"/>
    <w:rsid w:val="00ED7820"/>
    <w:rsid w:val="00ED7A6F"/>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8C1"/>
    <w:rsid w:val="00EF608E"/>
    <w:rsid w:val="00EF6C4A"/>
    <w:rsid w:val="00F0044B"/>
    <w:rsid w:val="00F00E60"/>
    <w:rsid w:val="00F020E5"/>
    <w:rsid w:val="00F0227A"/>
    <w:rsid w:val="00F02F9F"/>
    <w:rsid w:val="00F03525"/>
    <w:rsid w:val="00F039A8"/>
    <w:rsid w:val="00F0424D"/>
    <w:rsid w:val="00F04957"/>
    <w:rsid w:val="00F053F0"/>
    <w:rsid w:val="00F05807"/>
    <w:rsid w:val="00F06451"/>
    <w:rsid w:val="00F07052"/>
    <w:rsid w:val="00F0706C"/>
    <w:rsid w:val="00F078E1"/>
    <w:rsid w:val="00F111B6"/>
    <w:rsid w:val="00F11EBE"/>
    <w:rsid w:val="00F12293"/>
    <w:rsid w:val="00F12BA8"/>
    <w:rsid w:val="00F12D7A"/>
    <w:rsid w:val="00F130D0"/>
    <w:rsid w:val="00F13AC6"/>
    <w:rsid w:val="00F14933"/>
    <w:rsid w:val="00F1516A"/>
    <w:rsid w:val="00F15483"/>
    <w:rsid w:val="00F15EE5"/>
    <w:rsid w:val="00F16CD1"/>
    <w:rsid w:val="00F171F9"/>
    <w:rsid w:val="00F1737C"/>
    <w:rsid w:val="00F173AA"/>
    <w:rsid w:val="00F20DA4"/>
    <w:rsid w:val="00F22A26"/>
    <w:rsid w:val="00F232C8"/>
    <w:rsid w:val="00F2361E"/>
    <w:rsid w:val="00F24072"/>
    <w:rsid w:val="00F26432"/>
    <w:rsid w:val="00F3197A"/>
    <w:rsid w:val="00F32139"/>
    <w:rsid w:val="00F33CF0"/>
    <w:rsid w:val="00F33D56"/>
    <w:rsid w:val="00F34973"/>
    <w:rsid w:val="00F34E08"/>
    <w:rsid w:val="00F41D6D"/>
    <w:rsid w:val="00F41D91"/>
    <w:rsid w:val="00F41F52"/>
    <w:rsid w:val="00F41FA1"/>
    <w:rsid w:val="00F42363"/>
    <w:rsid w:val="00F427C4"/>
    <w:rsid w:val="00F43AD6"/>
    <w:rsid w:val="00F43D6C"/>
    <w:rsid w:val="00F46964"/>
    <w:rsid w:val="00F46F9A"/>
    <w:rsid w:val="00F470FD"/>
    <w:rsid w:val="00F504ED"/>
    <w:rsid w:val="00F50F30"/>
    <w:rsid w:val="00F5126A"/>
    <w:rsid w:val="00F5126E"/>
    <w:rsid w:val="00F516EF"/>
    <w:rsid w:val="00F51755"/>
    <w:rsid w:val="00F531D9"/>
    <w:rsid w:val="00F54D8E"/>
    <w:rsid w:val="00F54F59"/>
    <w:rsid w:val="00F5580D"/>
    <w:rsid w:val="00F566B7"/>
    <w:rsid w:val="00F56EA1"/>
    <w:rsid w:val="00F606D5"/>
    <w:rsid w:val="00F611B3"/>
    <w:rsid w:val="00F6196E"/>
    <w:rsid w:val="00F61CCC"/>
    <w:rsid w:val="00F624DD"/>
    <w:rsid w:val="00F629C0"/>
    <w:rsid w:val="00F63FC7"/>
    <w:rsid w:val="00F64312"/>
    <w:rsid w:val="00F64503"/>
    <w:rsid w:val="00F65E1F"/>
    <w:rsid w:val="00F65ED5"/>
    <w:rsid w:val="00F6608B"/>
    <w:rsid w:val="00F6636A"/>
    <w:rsid w:val="00F667C5"/>
    <w:rsid w:val="00F67E31"/>
    <w:rsid w:val="00F7040D"/>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1BD"/>
    <w:rsid w:val="00F9435D"/>
    <w:rsid w:val="00F966F9"/>
    <w:rsid w:val="00F96F61"/>
    <w:rsid w:val="00F97740"/>
    <w:rsid w:val="00F97ACF"/>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56E"/>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3F01"/>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1F4B"/>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22087815">
      <w:bodyDiv w:val="1"/>
      <w:marLeft w:val="0"/>
      <w:marRight w:val="0"/>
      <w:marTop w:val="0"/>
      <w:marBottom w:val="0"/>
      <w:divBdr>
        <w:top w:val="none" w:sz="0" w:space="0" w:color="auto"/>
        <w:left w:val="none" w:sz="0" w:space="0" w:color="auto"/>
        <w:bottom w:val="none" w:sz="0" w:space="0" w:color="auto"/>
        <w:right w:val="none" w:sz="0" w:space="0" w:color="auto"/>
      </w:divBdr>
    </w:div>
    <w:div w:id="1635332621">
      <w:bodyDiv w:val="1"/>
      <w:marLeft w:val="0"/>
      <w:marRight w:val="0"/>
      <w:marTop w:val="0"/>
      <w:marBottom w:val="0"/>
      <w:divBdr>
        <w:top w:val="none" w:sz="0" w:space="0" w:color="auto"/>
        <w:left w:val="none" w:sz="0" w:space="0" w:color="auto"/>
        <w:bottom w:val="none" w:sz="0" w:space="0" w:color="auto"/>
        <w:right w:val="none" w:sz="0" w:space="0" w:color="auto"/>
      </w:divBdr>
    </w:div>
    <w:div w:id="210144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2012-09-05T15:13:00Z</dcterms:created>
  <dcterms:modified xsi:type="dcterms:W3CDTF">2012-09-05T15:13:00Z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