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A5" w:rsidRPr="001F29F9" w:rsidRDefault="001016A5" w:rsidP="00BF0E94">
      <w:pPr>
        <w:tabs>
          <w:tab w:val="left" w:pos="288"/>
          <w:tab w:val="left" w:pos="4752"/>
        </w:tabs>
        <w:rPr>
          <w:color w:val="000000"/>
        </w:rPr>
      </w:pPr>
      <w:r w:rsidRPr="001F29F9">
        <w:rPr>
          <w:color w:val="000000"/>
        </w:rPr>
        <w:t>RECORD OF PROCEEDINGS</w:t>
      </w:r>
    </w:p>
    <w:p w:rsidR="001016A5" w:rsidRPr="001F29F9" w:rsidRDefault="001016A5" w:rsidP="00BF0E94">
      <w:pPr>
        <w:tabs>
          <w:tab w:val="left" w:pos="288"/>
          <w:tab w:val="left" w:pos="4752"/>
        </w:tabs>
        <w:rPr>
          <w:color w:val="000000"/>
        </w:rPr>
      </w:pPr>
      <w:r w:rsidRPr="001F29F9">
        <w:rPr>
          <w:color w:val="000000"/>
        </w:rPr>
        <w:t>PHYSICAL DISABILITY BOARD OF REVIEW</w:t>
      </w:r>
    </w:p>
    <w:p w:rsidR="001016A5" w:rsidRPr="001F29F9" w:rsidRDefault="001016A5" w:rsidP="00BF0E94">
      <w:pPr>
        <w:tabs>
          <w:tab w:val="left" w:pos="288"/>
          <w:tab w:val="left" w:pos="4752"/>
        </w:tabs>
        <w:jc w:val="both"/>
        <w:rPr>
          <w:caps/>
          <w:color w:val="000000"/>
        </w:rPr>
      </w:pPr>
    </w:p>
    <w:p w:rsidR="001016A5" w:rsidRPr="001F29F9" w:rsidRDefault="001016A5" w:rsidP="003C53E8">
      <w:pPr>
        <w:tabs>
          <w:tab w:val="left" w:pos="288"/>
          <w:tab w:val="left" w:pos="4752"/>
          <w:tab w:val="left" w:pos="6390"/>
          <w:tab w:val="left" w:pos="9270"/>
        </w:tabs>
        <w:jc w:val="both"/>
        <w:rPr>
          <w:caps/>
          <w:color w:val="000000"/>
        </w:rPr>
      </w:pPr>
      <w:r w:rsidRPr="001F29F9">
        <w:rPr>
          <w:caps/>
          <w:color w:val="000000"/>
        </w:rPr>
        <w:t xml:space="preserve">NAME: </w:t>
      </w:r>
      <w:r w:rsidR="002A3F9C">
        <w:rPr>
          <w:caps/>
          <w:color w:val="000000"/>
        </w:rPr>
        <w:t xml:space="preserve"> </w:t>
      </w:r>
      <w:r w:rsidRPr="001F29F9">
        <w:rPr>
          <w:caps/>
          <w:color w:val="000000"/>
        </w:rPr>
        <w:t xml:space="preserve">               </w:t>
      </w:r>
      <w:r>
        <w:rPr>
          <w:caps/>
          <w:color w:val="000000"/>
        </w:rPr>
        <w:tab/>
        <w:t xml:space="preserve">                       </w:t>
      </w:r>
      <w:r w:rsidRPr="001F29F9">
        <w:rPr>
          <w:caps/>
          <w:color w:val="000000"/>
        </w:rPr>
        <w:t xml:space="preserve">BRANCH OF </w:t>
      </w:r>
      <w:r w:rsidRPr="00B337B1">
        <w:rPr>
          <w:caps/>
          <w:color w:val="000000"/>
        </w:rPr>
        <w:t xml:space="preserve">SERVICE:  Army </w:t>
      </w:r>
    </w:p>
    <w:p w:rsidR="001016A5" w:rsidRPr="001F29F9" w:rsidRDefault="001016A5" w:rsidP="0068098E">
      <w:pPr>
        <w:tabs>
          <w:tab w:val="left" w:pos="288"/>
          <w:tab w:val="left" w:pos="4166"/>
          <w:tab w:val="left" w:pos="4752"/>
          <w:tab w:val="left" w:pos="5130"/>
          <w:tab w:val="left" w:pos="9270"/>
        </w:tabs>
        <w:jc w:val="both"/>
        <w:rPr>
          <w:caps/>
          <w:color w:val="000000"/>
        </w:rPr>
      </w:pPr>
      <w:r w:rsidRPr="001F29F9">
        <w:rPr>
          <w:caps/>
          <w:color w:val="000000"/>
        </w:rPr>
        <w:t>CASE NUMBER:  PD1100645</w:t>
      </w:r>
      <w:r w:rsidRPr="001F29F9">
        <w:rPr>
          <w:color w:val="000000"/>
        </w:rPr>
        <w:t xml:space="preserve"> </w:t>
      </w:r>
      <w:r w:rsidRPr="001F29F9">
        <w:rPr>
          <w:color w:val="000000"/>
        </w:rPr>
        <w:tab/>
      </w:r>
      <w:r w:rsidRPr="001F29F9">
        <w:rPr>
          <w:color w:val="000000"/>
        </w:rPr>
        <w:tab/>
        <w:t xml:space="preserve">                       SEPARATION DATE:  20080925</w:t>
      </w:r>
    </w:p>
    <w:p w:rsidR="001016A5" w:rsidRPr="001F29F9" w:rsidRDefault="00E961F9" w:rsidP="00B83A5B">
      <w:pPr>
        <w:tabs>
          <w:tab w:val="left" w:pos="288"/>
          <w:tab w:val="left" w:pos="5130"/>
        </w:tabs>
        <w:jc w:val="both"/>
        <w:rPr>
          <w:color w:val="000000"/>
        </w:rPr>
      </w:pPr>
      <w:r>
        <w:rPr>
          <w:caps/>
          <w:color w:val="000000"/>
        </w:rPr>
        <w:t>BOARD DATE:  2012</w:t>
      </w:r>
      <w:r w:rsidR="00731AB6">
        <w:rPr>
          <w:caps/>
          <w:color w:val="000000"/>
        </w:rPr>
        <w:t>0322</w:t>
      </w:r>
      <w:r w:rsidR="001016A5">
        <w:rPr>
          <w:rFonts w:cs="Times New Roman"/>
          <w:caps/>
          <w:color w:val="000000"/>
        </w:rPr>
        <w:tab/>
      </w:r>
    </w:p>
    <w:p w:rsidR="001016A5" w:rsidRPr="001F29F9" w:rsidRDefault="001016A5" w:rsidP="003C53E8">
      <w:pPr>
        <w:pBdr>
          <w:bottom w:val="single" w:sz="12" w:space="1" w:color="auto"/>
        </w:pBd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p>
    <w:p w:rsidR="001016A5" w:rsidRPr="001F29F9" w:rsidRDefault="001016A5" w:rsidP="002A53F0">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individual (CI) was an active du</w:t>
      </w:r>
      <w:r w:rsidR="003F1B0F">
        <w:rPr>
          <w:color w:val="000000"/>
        </w:rPr>
        <w:t>ty SGT/E-5 (19D, Cavalry Scout)</w:t>
      </w:r>
      <w:r w:rsidRPr="001F29F9">
        <w:rPr>
          <w:color w:val="000000"/>
        </w:rPr>
        <w:t xml:space="preserve"> medically separated for </w:t>
      </w:r>
      <w:r w:rsidR="003F1B0F">
        <w:rPr>
          <w:color w:val="000000"/>
        </w:rPr>
        <w:t>a</w:t>
      </w:r>
      <w:r w:rsidRPr="001F29F9">
        <w:rPr>
          <w:color w:val="000000"/>
        </w:rPr>
        <w:t xml:space="preserve"> right knee </w:t>
      </w:r>
      <w:r w:rsidR="003F1B0F">
        <w:rPr>
          <w:color w:val="000000"/>
        </w:rPr>
        <w:t xml:space="preserve">condition.  </w:t>
      </w:r>
      <w:r w:rsidRPr="001F29F9">
        <w:rPr>
          <w:color w:val="000000"/>
        </w:rPr>
        <w:t xml:space="preserve">The CI began experiencing right knee pain </w:t>
      </w:r>
      <w:r w:rsidR="002A53F0">
        <w:rPr>
          <w:color w:val="000000"/>
        </w:rPr>
        <w:t xml:space="preserve">during a </w:t>
      </w:r>
      <w:r w:rsidR="002A53F0" w:rsidRPr="001F29F9">
        <w:rPr>
          <w:color w:val="000000"/>
        </w:rPr>
        <w:t>2005</w:t>
      </w:r>
      <w:r w:rsidR="002A53F0">
        <w:rPr>
          <w:color w:val="000000"/>
        </w:rPr>
        <w:t xml:space="preserve"> deployment to </w:t>
      </w:r>
      <w:r w:rsidRPr="001F29F9">
        <w:rPr>
          <w:color w:val="000000"/>
        </w:rPr>
        <w:t>Iraq</w:t>
      </w:r>
      <w:r w:rsidR="00731AB6">
        <w:rPr>
          <w:color w:val="000000"/>
        </w:rPr>
        <w:t xml:space="preserve"> without discreet injury</w:t>
      </w:r>
      <w:r w:rsidRPr="001F29F9">
        <w:rPr>
          <w:color w:val="000000"/>
        </w:rPr>
        <w:t xml:space="preserve">. </w:t>
      </w:r>
      <w:r w:rsidR="002A53F0">
        <w:rPr>
          <w:color w:val="000000"/>
        </w:rPr>
        <w:t xml:space="preserve"> He</w:t>
      </w:r>
      <w:r w:rsidRPr="001F29F9">
        <w:rPr>
          <w:color w:val="000000"/>
        </w:rPr>
        <w:t xml:space="preserve"> was eventually diagnosed with </w:t>
      </w:r>
      <w:proofErr w:type="spellStart"/>
      <w:r w:rsidRPr="001F29F9">
        <w:rPr>
          <w:color w:val="000000"/>
        </w:rPr>
        <w:t>patellofemoral</w:t>
      </w:r>
      <w:proofErr w:type="spellEnd"/>
      <w:r w:rsidRPr="001F29F9">
        <w:rPr>
          <w:color w:val="000000"/>
        </w:rPr>
        <w:t xml:space="preserve"> syndrome</w:t>
      </w:r>
      <w:r w:rsidR="002A53F0">
        <w:rPr>
          <w:color w:val="000000"/>
        </w:rPr>
        <w:t>, and managed conservatively</w:t>
      </w:r>
      <w:r w:rsidRPr="001F29F9">
        <w:rPr>
          <w:color w:val="000000"/>
        </w:rPr>
        <w:t xml:space="preserve">. </w:t>
      </w:r>
      <w:r w:rsidR="002A53F0">
        <w:rPr>
          <w:color w:val="000000"/>
        </w:rPr>
        <w:t xml:space="preserve"> The knee could not be adequately rehabilitated </w:t>
      </w:r>
      <w:r w:rsidR="002A53F0" w:rsidRPr="002A53F0">
        <w:rPr>
          <w:color w:val="000000"/>
        </w:rPr>
        <w:t>to meet the physical requirements of his Military Occupational Specialty (MOS) or sati</w:t>
      </w:r>
      <w:r w:rsidR="002A53F0">
        <w:rPr>
          <w:color w:val="000000"/>
        </w:rPr>
        <w:t>sfy physical fitness standards; and, h</w:t>
      </w:r>
      <w:r w:rsidR="002A53F0" w:rsidRPr="002A53F0">
        <w:rPr>
          <w:color w:val="000000"/>
        </w:rPr>
        <w:t xml:space="preserve">e was issued a permanent L3 profile and referred for a Medical Evaluation Board (MEB).  </w:t>
      </w:r>
      <w:r w:rsidR="002A53F0">
        <w:rPr>
          <w:color w:val="000000"/>
        </w:rPr>
        <w:t>Chronic</w:t>
      </w:r>
      <w:r w:rsidR="002A53F0" w:rsidRPr="002A53F0">
        <w:rPr>
          <w:color w:val="000000"/>
        </w:rPr>
        <w:t xml:space="preserve"> </w:t>
      </w:r>
      <w:r w:rsidR="002A53F0">
        <w:rPr>
          <w:color w:val="000000"/>
        </w:rPr>
        <w:t>right knee</w:t>
      </w:r>
      <w:r w:rsidR="002A53F0" w:rsidRPr="002A53F0">
        <w:rPr>
          <w:color w:val="000000"/>
        </w:rPr>
        <w:t xml:space="preserve"> </w:t>
      </w:r>
      <w:r w:rsidR="002A53F0">
        <w:rPr>
          <w:color w:val="000000"/>
        </w:rPr>
        <w:t>pain</w:t>
      </w:r>
      <w:r w:rsidR="002A53F0" w:rsidRPr="002A53F0">
        <w:rPr>
          <w:color w:val="000000"/>
        </w:rPr>
        <w:t xml:space="preserve"> was forwarded to the Physical Evaluation Board (PEB) as medically unacceptable IAW AR 40-501.  No other conditions were submitted by the MEB; but, other conditions evidenced in the Disability Evaluation System (DES) file</w:t>
      </w:r>
      <w:r w:rsidR="002A53F0">
        <w:rPr>
          <w:color w:val="000000"/>
        </w:rPr>
        <w:t xml:space="preserve"> </w:t>
      </w:r>
      <w:r w:rsidR="002A53F0" w:rsidRPr="002A53F0">
        <w:rPr>
          <w:color w:val="000000"/>
        </w:rPr>
        <w:t xml:space="preserve">are addressed below. </w:t>
      </w:r>
      <w:r w:rsidR="002A53F0">
        <w:rPr>
          <w:color w:val="000000"/>
        </w:rPr>
        <w:t xml:space="preserve"> The </w:t>
      </w:r>
      <w:r w:rsidR="002A53F0" w:rsidRPr="00B83A5B">
        <w:rPr>
          <w:color w:val="000000"/>
        </w:rPr>
        <w:t xml:space="preserve">PEB adjudicated the right knee condition as unfitting, rated 10%, </w:t>
      </w:r>
      <w:r w:rsidR="002A53F0">
        <w:rPr>
          <w:color w:val="000000"/>
        </w:rPr>
        <w:t>citing criteria</w:t>
      </w:r>
      <w:r w:rsidR="002A53F0" w:rsidRPr="00B83A5B">
        <w:rPr>
          <w:color w:val="000000"/>
        </w:rPr>
        <w:t xml:space="preserve"> of the </w:t>
      </w:r>
      <w:r w:rsidR="002A53F0" w:rsidRPr="006920A3">
        <w:rPr>
          <w:color w:val="000000"/>
        </w:rPr>
        <w:t>Veterans Administration Schedule for Rating Disabilities (VASRD)</w:t>
      </w:r>
      <w:r w:rsidR="002A53F0" w:rsidRPr="00B83A5B">
        <w:rPr>
          <w:color w:val="000000"/>
        </w:rPr>
        <w:t xml:space="preserve">. </w:t>
      </w:r>
      <w:r w:rsidR="002A53F0">
        <w:rPr>
          <w:color w:val="000000"/>
        </w:rPr>
        <w:t xml:space="preserve"> </w:t>
      </w:r>
      <w:r w:rsidR="002A53F0" w:rsidRPr="00B83A5B">
        <w:rPr>
          <w:color w:val="000000"/>
        </w:rPr>
        <w:t>The CI made no appeals, and was medically separated with a 10% disability rating.</w:t>
      </w:r>
      <w:r w:rsidR="00E961F9">
        <w:rPr>
          <w:color w:val="000000"/>
        </w:rPr>
        <w:t xml:space="preserve"> </w:t>
      </w:r>
    </w:p>
    <w:p w:rsidR="001016A5" w:rsidRPr="001F29F9" w:rsidRDefault="001016A5" w:rsidP="00BF0E94">
      <w:pPr>
        <w:pBdr>
          <w:bottom w:val="single" w:sz="12" w:space="1" w:color="auto"/>
        </w:pBd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r w:rsidRPr="001F29F9">
        <w:rPr>
          <w:color w:val="000000"/>
          <w:u w:val="single"/>
        </w:rPr>
        <w:t>CI CONTENTION</w:t>
      </w:r>
      <w:r w:rsidRPr="001F29F9">
        <w:rPr>
          <w:color w:val="000000"/>
        </w:rPr>
        <w:t>:</w:t>
      </w:r>
      <w:r w:rsidRPr="00B83A5B">
        <w:rPr>
          <w:color w:val="000000"/>
        </w:rPr>
        <w:t xml:space="preserve"> </w:t>
      </w:r>
      <w:r>
        <w:rPr>
          <w:color w:val="000000"/>
        </w:rPr>
        <w:t>“Condition was deemed to be temporary but pain continues and worsens on a daily basis, sometimes hindering me from any activity involving my knee</w:t>
      </w:r>
    </w:p>
    <w:p w:rsidR="001016A5" w:rsidRPr="001F29F9" w:rsidRDefault="001016A5" w:rsidP="00BF0E94">
      <w:pPr>
        <w:pBdr>
          <w:bottom w:val="single" w:sz="12" w:space="1" w:color="auto"/>
        </w:pBd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p>
    <w:p w:rsidR="001016A5" w:rsidRPr="006920A3" w:rsidRDefault="001016A5" w:rsidP="00FE7C22">
      <w:pPr>
        <w:jc w:val="both"/>
        <w:rPr>
          <w:color w:val="000000"/>
        </w:rPr>
      </w:pPr>
      <w:r w:rsidRPr="001F29F9">
        <w:rPr>
          <w:color w:val="000000"/>
          <w:u w:val="single"/>
        </w:rPr>
        <w:t>RATING COMPARISON</w:t>
      </w:r>
      <w:r w:rsidRPr="001F29F9">
        <w:rPr>
          <w:color w:val="000000"/>
        </w:rPr>
        <w:t>:</w:t>
      </w:r>
      <w:r w:rsidRPr="006920A3">
        <w:rPr>
          <w:color w:val="000000"/>
        </w:rPr>
        <w:t xml:space="preserve"> </w:t>
      </w:r>
    </w:p>
    <w:p w:rsidR="001016A5" w:rsidRPr="001F29F9" w:rsidRDefault="001016A5" w:rsidP="00FE7C22">
      <w:pPr>
        <w:jc w:val="both"/>
        <w:rPr>
          <w:color w:val="000000"/>
        </w:rPr>
      </w:pPr>
    </w:p>
    <w:tbl>
      <w:tblPr>
        <w:tblStyle w:val="TableGrid"/>
        <w:tblpPr w:leftFromText="187" w:rightFromText="187" w:vertAnchor="text" w:tblpXSpec="center" w:tblpY="1"/>
        <w:tblOverlap w:val="never"/>
        <w:tblW w:w="9303" w:type="dxa"/>
        <w:jc w:val="center"/>
        <w:tblLayout w:type="fixed"/>
        <w:tblLook w:val="00A0"/>
      </w:tblPr>
      <w:tblGrid>
        <w:gridCol w:w="2322"/>
        <w:gridCol w:w="1041"/>
        <w:gridCol w:w="720"/>
        <w:gridCol w:w="2430"/>
        <w:gridCol w:w="1080"/>
        <w:gridCol w:w="720"/>
        <w:gridCol w:w="990"/>
      </w:tblGrid>
      <w:tr w:rsidR="001016A5" w:rsidRPr="00296FFF" w:rsidTr="00E961F9">
        <w:trPr>
          <w:trHeight w:val="170"/>
          <w:jc w:val="center"/>
        </w:trPr>
        <w:tc>
          <w:tcPr>
            <w:tcW w:w="4083" w:type="dxa"/>
            <w:gridSpan w:val="3"/>
            <w:tcBorders>
              <w:right w:val="thinThickThinSmallGap" w:sz="24" w:space="0" w:color="auto"/>
            </w:tcBorders>
            <w:shd w:val="clear" w:color="auto" w:fill="D9D9D9"/>
            <w:vAlign w:val="center"/>
          </w:tcPr>
          <w:p w:rsidR="001016A5" w:rsidRPr="00296FFF" w:rsidRDefault="00E961F9" w:rsidP="00E961F9">
            <w:pPr>
              <w:contextualSpacing/>
              <w:rPr>
                <w:rFonts w:cs="Calibri"/>
                <w:b/>
                <w:color w:val="000000"/>
                <w:sz w:val="18"/>
              </w:rPr>
            </w:pPr>
            <w:r>
              <w:rPr>
                <w:b/>
                <w:color w:val="000000"/>
                <w:sz w:val="18"/>
              </w:rPr>
              <w:t xml:space="preserve">Service </w:t>
            </w:r>
            <w:r w:rsidR="001016A5" w:rsidRPr="00296FFF">
              <w:rPr>
                <w:b/>
                <w:color w:val="000000"/>
                <w:sz w:val="18"/>
              </w:rPr>
              <w:t>PEB – Dated 20080716</w:t>
            </w:r>
          </w:p>
        </w:tc>
        <w:tc>
          <w:tcPr>
            <w:tcW w:w="5220" w:type="dxa"/>
            <w:gridSpan w:val="4"/>
            <w:tcBorders>
              <w:left w:val="thinThickThinSmallGap" w:sz="24" w:space="0" w:color="auto"/>
            </w:tcBorders>
            <w:shd w:val="clear" w:color="auto" w:fill="D9D9D9"/>
            <w:vAlign w:val="center"/>
          </w:tcPr>
          <w:p w:rsidR="001016A5" w:rsidRPr="00296FFF" w:rsidRDefault="001016A5" w:rsidP="003F1B0F">
            <w:pPr>
              <w:contextualSpacing/>
              <w:rPr>
                <w:rFonts w:cs="Calibri"/>
                <w:b/>
                <w:color w:val="000000"/>
                <w:sz w:val="18"/>
              </w:rPr>
            </w:pPr>
            <w:r w:rsidRPr="00296FFF">
              <w:rPr>
                <w:b/>
                <w:color w:val="000000"/>
                <w:sz w:val="18"/>
              </w:rPr>
              <w:t xml:space="preserve">VA (5 Mo. </w:t>
            </w:r>
            <w:r w:rsidR="003F1B0F">
              <w:rPr>
                <w:b/>
                <w:color w:val="000000"/>
                <w:sz w:val="18"/>
              </w:rPr>
              <w:t>Post-</w:t>
            </w:r>
            <w:r w:rsidRPr="00296FFF">
              <w:rPr>
                <w:b/>
                <w:color w:val="000000"/>
                <w:sz w:val="18"/>
              </w:rPr>
              <w:t>Separation) – All Effective 20080926</w:t>
            </w:r>
          </w:p>
        </w:tc>
      </w:tr>
      <w:tr w:rsidR="00E961F9" w:rsidRPr="00296FFF" w:rsidTr="00E961F9">
        <w:trPr>
          <w:trHeight w:val="97"/>
          <w:jc w:val="center"/>
        </w:trPr>
        <w:tc>
          <w:tcPr>
            <w:tcW w:w="2322" w:type="dxa"/>
            <w:tcBorders>
              <w:right w:val="single" w:sz="4" w:space="0" w:color="auto"/>
            </w:tcBorders>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Condition</w:t>
            </w:r>
          </w:p>
        </w:tc>
        <w:tc>
          <w:tcPr>
            <w:tcW w:w="1041" w:type="dxa"/>
            <w:tcBorders>
              <w:left w:val="single" w:sz="4" w:space="0" w:color="auto"/>
            </w:tcBorders>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Code</w:t>
            </w:r>
          </w:p>
        </w:tc>
        <w:tc>
          <w:tcPr>
            <w:tcW w:w="720" w:type="dxa"/>
            <w:tcBorders>
              <w:right w:val="thinThickThinSmallGap" w:sz="24" w:space="0" w:color="auto"/>
            </w:tcBorders>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Rating</w:t>
            </w:r>
          </w:p>
        </w:tc>
        <w:tc>
          <w:tcPr>
            <w:tcW w:w="2430" w:type="dxa"/>
            <w:tcBorders>
              <w:left w:val="thinThickThinSmallGap" w:sz="24" w:space="0" w:color="auto"/>
            </w:tcBorders>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Condition</w:t>
            </w:r>
          </w:p>
        </w:tc>
        <w:tc>
          <w:tcPr>
            <w:tcW w:w="1080" w:type="dxa"/>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Code</w:t>
            </w:r>
          </w:p>
        </w:tc>
        <w:tc>
          <w:tcPr>
            <w:tcW w:w="720" w:type="dxa"/>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Rating</w:t>
            </w:r>
          </w:p>
        </w:tc>
        <w:tc>
          <w:tcPr>
            <w:tcW w:w="990" w:type="dxa"/>
            <w:shd w:val="clear" w:color="auto" w:fill="D9D9D9"/>
            <w:vAlign w:val="center"/>
          </w:tcPr>
          <w:p w:rsidR="001016A5" w:rsidRPr="00296FFF" w:rsidRDefault="001016A5" w:rsidP="00E961F9">
            <w:pPr>
              <w:contextualSpacing/>
              <w:rPr>
                <w:rFonts w:cs="Calibri"/>
                <w:b/>
                <w:color w:val="000000"/>
                <w:sz w:val="18"/>
              </w:rPr>
            </w:pPr>
            <w:r w:rsidRPr="00296FFF">
              <w:rPr>
                <w:b/>
                <w:color w:val="000000"/>
                <w:sz w:val="18"/>
              </w:rPr>
              <w:t>Exam</w:t>
            </w:r>
          </w:p>
        </w:tc>
      </w:tr>
      <w:tr w:rsidR="00E961F9" w:rsidRPr="00296FFF" w:rsidTr="00E961F9">
        <w:trPr>
          <w:trHeight w:val="115"/>
          <w:jc w:val="center"/>
        </w:trPr>
        <w:tc>
          <w:tcPr>
            <w:tcW w:w="2322" w:type="dxa"/>
            <w:tcBorders>
              <w:right w:val="single" w:sz="4" w:space="0" w:color="auto"/>
            </w:tcBorders>
            <w:shd w:val="clear" w:color="auto" w:fill="FFFFFF"/>
            <w:vAlign w:val="center"/>
          </w:tcPr>
          <w:p w:rsidR="001016A5" w:rsidRPr="001F29F9" w:rsidRDefault="001016A5" w:rsidP="00E961F9">
            <w:pPr>
              <w:spacing w:line="220" w:lineRule="exact"/>
              <w:contextualSpacing/>
              <w:jc w:val="left"/>
              <w:rPr>
                <w:rFonts w:cs="Calibri"/>
                <w:color w:val="000000"/>
                <w:sz w:val="18"/>
              </w:rPr>
            </w:pPr>
            <w:r w:rsidRPr="00296FFF">
              <w:rPr>
                <w:color w:val="000000"/>
                <w:sz w:val="18"/>
              </w:rPr>
              <w:t>Chronic Right Knee Pain</w:t>
            </w:r>
          </w:p>
        </w:tc>
        <w:tc>
          <w:tcPr>
            <w:tcW w:w="1041" w:type="dxa"/>
            <w:tcBorders>
              <w:left w:val="single" w:sz="4" w:space="0" w:color="auto"/>
            </w:tcBorders>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5099-5003</w:t>
            </w:r>
          </w:p>
        </w:tc>
        <w:tc>
          <w:tcPr>
            <w:tcW w:w="720" w:type="dxa"/>
            <w:tcBorders>
              <w:right w:val="thinThickThinSmallGap" w:sz="24" w:space="0" w:color="auto"/>
            </w:tcBorders>
            <w:shd w:val="clear" w:color="auto" w:fill="FFFFFF"/>
            <w:vAlign w:val="center"/>
          </w:tcPr>
          <w:p w:rsidR="001016A5" w:rsidRPr="001F29F9" w:rsidRDefault="001016A5" w:rsidP="00E961F9">
            <w:pPr>
              <w:spacing w:line="220" w:lineRule="exact"/>
              <w:rPr>
                <w:rFonts w:cs="Calibri"/>
                <w:color w:val="000000"/>
                <w:sz w:val="18"/>
              </w:rPr>
            </w:pPr>
            <w:r w:rsidRPr="00296FFF">
              <w:rPr>
                <w:color w:val="000000"/>
                <w:sz w:val="18"/>
              </w:rPr>
              <w:t>10%</w:t>
            </w:r>
          </w:p>
        </w:tc>
        <w:tc>
          <w:tcPr>
            <w:tcW w:w="2430" w:type="dxa"/>
            <w:tcBorders>
              <w:left w:val="thinThickThinSmallGap" w:sz="24" w:space="0" w:color="auto"/>
            </w:tcBorders>
            <w:shd w:val="clear" w:color="auto" w:fill="FFFFFF"/>
            <w:vAlign w:val="center"/>
          </w:tcPr>
          <w:p w:rsidR="001016A5" w:rsidRPr="001F29F9" w:rsidRDefault="00E961F9" w:rsidP="00E961F9">
            <w:pPr>
              <w:spacing w:line="220" w:lineRule="exact"/>
              <w:contextualSpacing/>
              <w:jc w:val="left"/>
              <w:rPr>
                <w:rFonts w:cs="Calibri"/>
                <w:color w:val="000000"/>
                <w:sz w:val="18"/>
              </w:rPr>
            </w:pPr>
            <w:r>
              <w:rPr>
                <w:color w:val="000000"/>
                <w:sz w:val="18"/>
              </w:rPr>
              <w:t>R</w:t>
            </w:r>
            <w:r w:rsidR="001016A5" w:rsidRPr="00296FFF">
              <w:rPr>
                <w:color w:val="000000"/>
                <w:sz w:val="18"/>
              </w:rPr>
              <w:t xml:space="preserve"> Knee Strain</w:t>
            </w:r>
            <w:r>
              <w:rPr>
                <w:color w:val="000000"/>
                <w:sz w:val="18"/>
              </w:rPr>
              <w:t xml:space="preserve"> … </w:t>
            </w:r>
            <w:proofErr w:type="spellStart"/>
            <w:r>
              <w:rPr>
                <w:color w:val="000000"/>
                <w:sz w:val="18"/>
              </w:rPr>
              <w:t>Meniscal</w:t>
            </w:r>
            <w:proofErr w:type="spellEnd"/>
            <w:r>
              <w:rPr>
                <w:color w:val="000000"/>
                <w:sz w:val="18"/>
              </w:rPr>
              <w:t xml:space="preserve"> Tear</w:t>
            </w:r>
          </w:p>
        </w:tc>
        <w:tc>
          <w:tcPr>
            <w:tcW w:w="1080" w:type="dxa"/>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5099-5014</w:t>
            </w:r>
          </w:p>
        </w:tc>
        <w:tc>
          <w:tcPr>
            <w:tcW w:w="720" w:type="dxa"/>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0%</w:t>
            </w:r>
          </w:p>
        </w:tc>
        <w:tc>
          <w:tcPr>
            <w:tcW w:w="990" w:type="dxa"/>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20090121</w:t>
            </w:r>
          </w:p>
        </w:tc>
      </w:tr>
      <w:tr w:rsidR="001016A5" w:rsidRPr="00296FFF" w:rsidTr="00E961F9">
        <w:trPr>
          <w:trHeight w:val="133"/>
          <w:jc w:val="center"/>
        </w:trPr>
        <w:tc>
          <w:tcPr>
            <w:tcW w:w="4083" w:type="dxa"/>
            <w:gridSpan w:val="3"/>
            <w:tcBorders>
              <w:right w:val="thinThickThinSmallGap" w:sz="24" w:space="0" w:color="auto"/>
            </w:tcBorders>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No Additional MEB/PEB Entries</w:t>
            </w:r>
          </w:p>
        </w:tc>
        <w:tc>
          <w:tcPr>
            <w:tcW w:w="4230" w:type="dxa"/>
            <w:gridSpan w:val="3"/>
            <w:tcBorders>
              <w:left w:val="thinThickThinSmallGap" w:sz="24" w:space="0" w:color="auto"/>
            </w:tcBorders>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0% x 1</w:t>
            </w:r>
            <w:r w:rsidR="00E961F9">
              <w:rPr>
                <w:color w:val="000000"/>
                <w:sz w:val="18"/>
              </w:rPr>
              <w:t xml:space="preserve"> </w:t>
            </w:r>
            <w:r w:rsidRPr="00296FFF">
              <w:rPr>
                <w:color w:val="000000"/>
                <w:sz w:val="18"/>
              </w:rPr>
              <w:t>/</w:t>
            </w:r>
            <w:r w:rsidR="00E961F9">
              <w:rPr>
                <w:color w:val="000000"/>
                <w:sz w:val="18"/>
              </w:rPr>
              <w:t xml:space="preserve"> </w:t>
            </w:r>
            <w:r w:rsidRPr="00296FFF">
              <w:rPr>
                <w:color w:val="000000"/>
                <w:sz w:val="18"/>
              </w:rPr>
              <w:t>Not Service Connected x 1</w:t>
            </w:r>
          </w:p>
        </w:tc>
        <w:tc>
          <w:tcPr>
            <w:tcW w:w="990" w:type="dxa"/>
            <w:shd w:val="clear" w:color="auto" w:fill="FFFFFF"/>
            <w:vAlign w:val="center"/>
          </w:tcPr>
          <w:p w:rsidR="001016A5" w:rsidRPr="001F29F9" w:rsidRDefault="001016A5" w:rsidP="00E961F9">
            <w:pPr>
              <w:spacing w:line="220" w:lineRule="exact"/>
              <w:contextualSpacing/>
              <w:rPr>
                <w:rFonts w:cs="Calibri"/>
                <w:color w:val="000000"/>
                <w:sz w:val="18"/>
              </w:rPr>
            </w:pPr>
            <w:r w:rsidRPr="00296FFF">
              <w:rPr>
                <w:color w:val="000000"/>
                <w:sz w:val="18"/>
              </w:rPr>
              <w:t>20090121</w:t>
            </w:r>
          </w:p>
        </w:tc>
      </w:tr>
      <w:tr w:rsidR="001016A5" w:rsidRPr="00296FFF" w:rsidTr="00E961F9">
        <w:trPr>
          <w:trHeight w:val="124"/>
          <w:jc w:val="center"/>
        </w:trPr>
        <w:tc>
          <w:tcPr>
            <w:tcW w:w="4083" w:type="dxa"/>
            <w:gridSpan w:val="3"/>
            <w:tcBorders>
              <w:right w:val="thinThickThinSmallGap" w:sz="24" w:space="0" w:color="auto"/>
            </w:tcBorders>
            <w:shd w:val="clear" w:color="auto" w:fill="D9D9D9"/>
          </w:tcPr>
          <w:p w:rsidR="001016A5" w:rsidRPr="00296FFF" w:rsidRDefault="001016A5" w:rsidP="00E961F9">
            <w:pPr>
              <w:contextualSpacing/>
              <w:rPr>
                <w:rFonts w:cs="Calibri"/>
                <w:b/>
                <w:color w:val="000000"/>
                <w:sz w:val="18"/>
              </w:rPr>
            </w:pPr>
            <w:r w:rsidRPr="00296FFF">
              <w:rPr>
                <w:b/>
                <w:color w:val="000000"/>
                <w:sz w:val="18"/>
              </w:rPr>
              <w:t>Combined:  10%</w:t>
            </w:r>
          </w:p>
        </w:tc>
        <w:tc>
          <w:tcPr>
            <w:tcW w:w="5220" w:type="dxa"/>
            <w:gridSpan w:val="4"/>
            <w:tcBorders>
              <w:left w:val="thinThickThinSmallGap" w:sz="24" w:space="0" w:color="auto"/>
            </w:tcBorders>
            <w:shd w:val="clear" w:color="auto" w:fill="D9D9D9"/>
          </w:tcPr>
          <w:p w:rsidR="001016A5" w:rsidRPr="00296FFF" w:rsidRDefault="001016A5" w:rsidP="00E961F9">
            <w:pPr>
              <w:contextualSpacing/>
              <w:rPr>
                <w:rFonts w:cs="Calibri"/>
                <w:b/>
                <w:color w:val="000000"/>
                <w:sz w:val="18"/>
              </w:rPr>
            </w:pPr>
            <w:r w:rsidRPr="00296FFF">
              <w:rPr>
                <w:b/>
                <w:color w:val="000000"/>
                <w:sz w:val="18"/>
              </w:rPr>
              <w:t>Combined:  0%</w:t>
            </w:r>
          </w:p>
        </w:tc>
      </w:tr>
    </w:tbl>
    <w:p w:rsidR="001016A5" w:rsidRPr="001F29F9" w:rsidRDefault="001016A5" w:rsidP="00A97CD9">
      <w:pPr>
        <w:pBdr>
          <w:bottom w:val="single" w:sz="12" w:space="1" w:color="auto"/>
        </w:pBdr>
        <w:tabs>
          <w:tab w:val="left" w:pos="288"/>
          <w:tab w:val="left" w:pos="4752"/>
        </w:tabs>
        <w:jc w:val="both"/>
        <w:rPr>
          <w:color w:val="000000"/>
        </w:rPr>
      </w:pPr>
    </w:p>
    <w:p w:rsidR="001016A5" w:rsidRPr="001F29F9" w:rsidRDefault="001016A5" w:rsidP="00B83A5B">
      <w:pPr>
        <w:jc w:val="both"/>
        <w:rPr>
          <w:color w:val="000000"/>
          <w:u w:val="single"/>
        </w:rPr>
      </w:pPr>
    </w:p>
    <w:p w:rsidR="002A53F0" w:rsidRDefault="001016A5" w:rsidP="00264EFD">
      <w:pPr>
        <w:jc w:val="both"/>
        <w:rPr>
          <w:color w:val="000000"/>
        </w:rPr>
      </w:pPr>
      <w:r w:rsidRPr="001F29F9">
        <w:rPr>
          <w:color w:val="000000"/>
          <w:u w:val="single"/>
        </w:rPr>
        <w:t>ANALYSIS SUMMARY</w:t>
      </w:r>
      <w:r w:rsidRPr="001F29F9">
        <w:rPr>
          <w:color w:val="000000"/>
        </w:rPr>
        <w:t>:</w:t>
      </w:r>
      <w:r>
        <w:rPr>
          <w:color w:val="000000"/>
        </w:rPr>
        <w:t xml:space="preserve"> </w:t>
      </w:r>
      <w:r w:rsidRPr="00B505E9">
        <w:rPr>
          <w:color w:val="000000"/>
        </w:rPr>
        <w:t>The Board acknowledges the sentiment expressed in the CI’s application regarding the significant impairment with which his service-connected condition continues to burden him.</w:t>
      </w:r>
      <w:r w:rsidR="000E5DE7">
        <w:rPr>
          <w:color w:val="000000"/>
        </w:rPr>
        <w:t xml:space="preserve"> </w:t>
      </w:r>
      <w:r w:rsidRPr="00B505E9">
        <w:rPr>
          <w:color w:val="000000"/>
        </w:rPr>
        <w:t xml:space="preserve">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831B0F">
        <w:rPr>
          <w:color w:val="000000"/>
        </w:rPr>
        <w:t>s’</w:t>
      </w:r>
      <w:r w:rsidRPr="00B505E9">
        <w:rPr>
          <w:color w:val="000000"/>
        </w:rPr>
        <w:t xml:space="preserve"> Affairs (DVA).</w:t>
      </w:r>
      <w:r w:rsidR="003F1B0F">
        <w:rPr>
          <w:color w:val="000000"/>
        </w:rPr>
        <w:t xml:space="preserve"> </w:t>
      </w:r>
      <w:r w:rsidRPr="00B505E9">
        <w:rPr>
          <w:color w:val="000000"/>
        </w:rPr>
        <w:t xml:space="preserve"> The DVA, operating under a different set of laws (Title 38, United States Code), is </w:t>
      </w:r>
      <w:r w:rsidR="00831B0F">
        <w:rPr>
          <w:color w:val="000000"/>
        </w:rPr>
        <w:t>empowered to compensate service-</w:t>
      </w:r>
      <w:r w:rsidRPr="00B505E9">
        <w:rPr>
          <w:color w:val="000000"/>
        </w:rPr>
        <w:t xml:space="preserve">connected conditions and to periodically re-evaluate said conditions for the purpose of adjusting the </w:t>
      </w:r>
      <w:r w:rsidR="00831B0F">
        <w:rPr>
          <w:color w:val="000000"/>
        </w:rPr>
        <w:t>V</w:t>
      </w:r>
      <w:r w:rsidRPr="00B505E9">
        <w:rPr>
          <w:color w:val="000000"/>
        </w:rPr>
        <w:t xml:space="preserve">eteran’s disability rating should </w:t>
      </w:r>
      <w:r w:rsidR="00831B0F">
        <w:rPr>
          <w:color w:val="000000"/>
        </w:rPr>
        <w:t>the</w:t>
      </w:r>
      <w:r w:rsidRPr="00B505E9">
        <w:rPr>
          <w:color w:val="000000"/>
        </w:rPr>
        <w:t xml:space="preserve"> degree of impairment vary over time.  The Board utilizes VA evidence proximal to separation in arriving at its recommendations; and, </w:t>
      </w:r>
      <w:proofErr w:type="spellStart"/>
      <w:r w:rsidRPr="00B505E9">
        <w:rPr>
          <w:color w:val="000000"/>
        </w:rPr>
        <w:t>DoDI</w:t>
      </w:r>
      <w:proofErr w:type="spellEnd"/>
      <w:r w:rsidRPr="00B505E9">
        <w:rPr>
          <w:color w:val="000000"/>
        </w:rPr>
        <w:t xml:space="preserve"> 6040.44 defines a 12-month interval for special consideration to post-separation evidence. </w:t>
      </w:r>
      <w:r w:rsidR="003F1B0F">
        <w:rPr>
          <w:color w:val="000000"/>
        </w:rPr>
        <w:t xml:space="preserve"> </w:t>
      </w:r>
      <w:r w:rsidRPr="00B505E9">
        <w:rPr>
          <w:color w:val="000000"/>
        </w:rPr>
        <w:t xml:space="preserve">The Board’s authority as defined in </w:t>
      </w:r>
      <w:proofErr w:type="spellStart"/>
      <w:r w:rsidRPr="00B505E9">
        <w:rPr>
          <w:color w:val="000000"/>
        </w:rPr>
        <w:t>DoDI</w:t>
      </w:r>
      <w:proofErr w:type="spellEnd"/>
      <w:r w:rsidRPr="00B505E9">
        <w:rPr>
          <w:color w:val="000000"/>
        </w:rPr>
        <w:t xml:space="preserve"> 6044.40, however, resides in evaluating the fairness of DES fitness determinations and rating decisions for disability at the time of separation. </w:t>
      </w:r>
      <w:r w:rsidR="003F1B0F">
        <w:rPr>
          <w:color w:val="000000"/>
        </w:rPr>
        <w:t xml:space="preserve"> </w:t>
      </w:r>
      <w:r w:rsidRPr="00B505E9">
        <w:rPr>
          <w:color w:val="000000"/>
        </w:rPr>
        <w:t>Post-separation evidence therefore is probative only to the extent that it reasonably reflects the disability and fitness implications at the time of separation.</w:t>
      </w:r>
    </w:p>
    <w:p w:rsidR="001016A5" w:rsidRDefault="002A53F0" w:rsidP="002A53F0">
      <w:pPr>
        <w:tabs>
          <w:tab w:val="left" w:pos="288"/>
          <w:tab w:val="left" w:pos="4752"/>
        </w:tabs>
        <w:jc w:val="both"/>
        <w:rPr>
          <w:rFonts w:cs="Times New Roman"/>
          <w:color w:val="auto"/>
        </w:rPr>
      </w:pPr>
      <w:r>
        <w:rPr>
          <w:color w:val="000000"/>
        </w:rPr>
        <w:br w:type="page"/>
      </w:r>
      <w:proofErr w:type="gramStart"/>
      <w:r w:rsidR="001016A5" w:rsidRPr="002A53F0">
        <w:rPr>
          <w:rFonts w:cs="Times New Roman"/>
          <w:color w:val="auto"/>
          <w:u w:val="single"/>
        </w:rPr>
        <w:lastRenderedPageBreak/>
        <w:t>Right Knee Condition</w:t>
      </w:r>
      <w:r w:rsidR="001016A5" w:rsidRPr="002A53F0">
        <w:rPr>
          <w:rFonts w:cs="Times New Roman"/>
          <w:color w:val="auto"/>
        </w:rPr>
        <w:t>.</w:t>
      </w:r>
      <w:proofErr w:type="gramEnd"/>
      <w:r w:rsidR="001016A5" w:rsidRPr="002A53F0">
        <w:rPr>
          <w:rFonts w:cs="Times New Roman"/>
          <w:color w:val="auto"/>
        </w:rPr>
        <w:t xml:space="preserve"> </w:t>
      </w:r>
      <w:r w:rsidR="00731AB6">
        <w:rPr>
          <w:rFonts w:cs="Times New Roman"/>
          <w:color w:val="auto"/>
        </w:rPr>
        <w:t>T</w:t>
      </w:r>
      <w:r w:rsidR="00731AB6" w:rsidRPr="002A53F0">
        <w:rPr>
          <w:rFonts w:cs="Times New Roman"/>
          <w:color w:val="auto"/>
        </w:rPr>
        <w:t xml:space="preserve">he CI </w:t>
      </w:r>
      <w:r w:rsidR="00731AB6">
        <w:rPr>
          <w:rFonts w:cs="Times New Roman"/>
          <w:color w:val="auto"/>
        </w:rPr>
        <w:t xml:space="preserve">developed </w:t>
      </w:r>
      <w:r w:rsidR="00731AB6" w:rsidRPr="002A53F0">
        <w:rPr>
          <w:rFonts w:cs="Times New Roman"/>
          <w:color w:val="auto"/>
        </w:rPr>
        <w:t>right knee pain</w:t>
      </w:r>
      <w:r w:rsidR="00731AB6">
        <w:rPr>
          <w:rFonts w:cs="Times New Roman"/>
          <w:color w:val="auto"/>
        </w:rPr>
        <w:t xml:space="preserve"> w</w:t>
      </w:r>
      <w:r w:rsidR="001016A5" w:rsidRPr="002A53F0">
        <w:rPr>
          <w:rFonts w:cs="Times New Roman"/>
          <w:color w:val="auto"/>
        </w:rPr>
        <w:t>hile depl</w:t>
      </w:r>
      <w:r w:rsidR="00731AB6">
        <w:rPr>
          <w:rFonts w:cs="Times New Roman"/>
          <w:color w:val="auto"/>
        </w:rPr>
        <w:t>oyed to Iraq as a scout in 2005</w:t>
      </w:r>
      <w:r w:rsidR="001016A5" w:rsidRPr="002A53F0">
        <w:rPr>
          <w:rFonts w:cs="Times New Roman"/>
          <w:color w:val="auto"/>
        </w:rPr>
        <w:t xml:space="preserve">. </w:t>
      </w:r>
      <w:r w:rsidR="00AC06DD">
        <w:rPr>
          <w:rFonts w:cs="Times New Roman"/>
          <w:color w:val="auto"/>
        </w:rPr>
        <w:t xml:space="preserve"> The pain</w:t>
      </w:r>
      <w:r w:rsidR="00AC06DD" w:rsidRPr="002A53F0">
        <w:rPr>
          <w:rFonts w:cs="Times New Roman"/>
          <w:color w:val="auto"/>
        </w:rPr>
        <w:t xml:space="preserve"> would resolve with rest</w:t>
      </w:r>
      <w:r w:rsidR="00AC06DD">
        <w:rPr>
          <w:rFonts w:cs="Times New Roman"/>
          <w:color w:val="auto"/>
        </w:rPr>
        <w:t>, and</w:t>
      </w:r>
      <w:r w:rsidR="00AC06DD" w:rsidRPr="002A53F0">
        <w:rPr>
          <w:rFonts w:cs="Times New Roman"/>
          <w:color w:val="auto"/>
        </w:rPr>
        <w:t xml:space="preserve"> </w:t>
      </w:r>
      <w:r w:rsidR="00AC06DD">
        <w:rPr>
          <w:rFonts w:cs="Times New Roman"/>
          <w:color w:val="auto"/>
        </w:rPr>
        <w:t>h</w:t>
      </w:r>
      <w:r w:rsidR="001016A5" w:rsidRPr="002A53F0">
        <w:rPr>
          <w:rFonts w:cs="Times New Roman"/>
          <w:color w:val="auto"/>
        </w:rPr>
        <w:t xml:space="preserve">e did not seek medical </w:t>
      </w:r>
      <w:r w:rsidR="00AC06DD">
        <w:rPr>
          <w:rFonts w:cs="Times New Roman"/>
          <w:color w:val="auto"/>
        </w:rPr>
        <w:t>attention</w:t>
      </w:r>
      <w:r w:rsidR="001016A5" w:rsidRPr="002A53F0">
        <w:rPr>
          <w:rFonts w:cs="Times New Roman"/>
          <w:color w:val="auto"/>
        </w:rPr>
        <w:t xml:space="preserve">. </w:t>
      </w:r>
      <w:r w:rsidR="00AC06DD">
        <w:rPr>
          <w:rFonts w:cs="Times New Roman"/>
          <w:color w:val="auto"/>
        </w:rPr>
        <w:t xml:space="preserve"> </w:t>
      </w:r>
      <w:r w:rsidR="001016A5" w:rsidRPr="002A53F0">
        <w:rPr>
          <w:rFonts w:cs="Times New Roman"/>
          <w:color w:val="auto"/>
        </w:rPr>
        <w:t>Over the next few years, he e</w:t>
      </w:r>
      <w:r w:rsidR="00AC06DD">
        <w:rPr>
          <w:rFonts w:cs="Times New Roman"/>
          <w:color w:val="auto"/>
        </w:rPr>
        <w:t>xperienced occasional flare-ups</w:t>
      </w:r>
      <w:r w:rsidR="001016A5" w:rsidRPr="002A53F0">
        <w:rPr>
          <w:rFonts w:cs="Times New Roman"/>
          <w:color w:val="auto"/>
        </w:rPr>
        <w:t xml:space="preserve"> which would also resolve with rest. </w:t>
      </w:r>
      <w:r w:rsidR="00AC06DD">
        <w:rPr>
          <w:rFonts w:cs="Times New Roman"/>
          <w:color w:val="auto"/>
        </w:rPr>
        <w:t xml:space="preserve"> </w:t>
      </w:r>
      <w:r w:rsidR="001016A5" w:rsidRPr="002A53F0">
        <w:rPr>
          <w:rFonts w:cs="Times New Roman"/>
          <w:color w:val="auto"/>
        </w:rPr>
        <w:t xml:space="preserve">In 2007, the CI experienced </w:t>
      </w:r>
      <w:r w:rsidR="00AC06DD">
        <w:rPr>
          <w:rFonts w:cs="Times New Roman"/>
          <w:color w:val="auto"/>
        </w:rPr>
        <w:t xml:space="preserve">an exacerbation </w:t>
      </w:r>
      <w:r w:rsidR="001016A5" w:rsidRPr="002A53F0">
        <w:rPr>
          <w:rFonts w:cs="Times New Roman"/>
          <w:color w:val="auto"/>
        </w:rPr>
        <w:t xml:space="preserve">during </w:t>
      </w:r>
      <w:r w:rsidR="00EA221C">
        <w:rPr>
          <w:rFonts w:cs="Times New Roman"/>
          <w:color w:val="auto"/>
        </w:rPr>
        <w:t>Special Forces</w:t>
      </w:r>
      <w:r w:rsidR="00AC06DD" w:rsidRPr="002A53F0">
        <w:rPr>
          <w:rFonts w:cs="Times New Roman"/>
          <w:color w:val="auto"/>
        </w:rPr>
        <w:t xml:space="preserve"> </w:t>
      </w:r>
      <w:r w:rsidR="001016A5" w:rsidRPr="002A53F0">
        <w:rPr>
          <w:rFonts w:cs="Times New Roman"/>
          <w:color w:val="auto"/>
        </w:rPr>
        <w:t xml:space="preserve">training </w:t>
      </w:r>
      <w:r w:rsidR="00AC06DD">
        <w:rPr>
          <w:rFonts w:cs="Times New Roman"/>
          <w:color w:val="auto"/>
        </w:rPr>
        <w:t xml:space="preserve">which </w:t>
      </w:r>
      <w:r w:rsidR="00731AB6">
        <w:rPr>
          <w:rFonts w:cs="Times New Roman"/>
          <w:color w:val="auto"/>
        </w:rPr>
        <w:t>did not permit him to complete the qualification</w:t>
      </w:r>
      <w:r w:rsidR="001016A5" w:rsidRPr="002A53F0">
        <w:rPr>
          <w:rFonts w:cs="Times New Roman"/>
          <w:color w:val="auto"/>
        </w:rPr>
        <w:t xml:space="preserve">.  Medical intervention included activity restriction, physical therapy and </w:t>
      </w:r>
      <w:r w:rsidR="00AC06DD">
        <w:rPr>
          <w:rFonts w:cs="Times New Roman"/>
          <w:color w:val="auto"/>
        </w:rPr>
        <w:t>medication without significant improvement.</w:t>
      </w:r>
      <w:r w:rsidR="000E5DE7">
        <w:rPr>
          <w:rFonts w:cs="Times New Roman"/>
          <w:color w:val="auto"/>
        </w:rPr>
        <w:t xml:space="preserve"> </w:t>
      </w:r>
      <w:r w:rsidR="001016A5" w:rsidRPr="002A53F0">
        <w:rPr>
          <w:rFonts w:cs="Times New Roman"/>
          <w:color w:val="auto"/>
        </w:rPr>
        <w:t xml:space="preserve"> </w:t>
      </w:r>
      <w:r w:rsidR="00417D4F">
        <w:rPr>
          <w:rFonts w:cs="Times New Roman"/>
          <w:color w:val="auto"/>
        </w:rPr>
        <w:t>A</w:t>
      </w:r>
      <w:r w:rsidR="001016A5" w:rsidRPr="002A53F0">
        <w:rPr>
          <w:rFonts w:cs="Times New Roman"/>
          <w:color w:val="auto"/>
        </w:rPr>
        <w:t xml:space="preserve"> bone scan in February 2008 reveal</w:t>
      </w:r>
      <w:r w:rsidR="00417D4F">
        <w:rPr>
          <w:rFonts w:cs="Times New Roman"/>
          <w:color w:val="auto"/>
        </w:rPr>
        <w:t>ed</w:t>
      </w:r>
      <w:r w:rsidR="001016A5" w:rsidRPr="002A53F0">
        <w:rPr>
          <w:rFonts w:cs="Times New Roman"/>
          <w:color w:val="auto"/>
        </w:rPr>
        <w:t xml:space="preserve"> </w:t>
      </w:r>
      <w:r w:rsidR="00417D4F">
        <w:rPr>
          <w:rFonts w:cs="Times New Roman"/>
          <w:color w:val="auto"/>
        </w:rPr>
        <w:t xml:space="preserve">only </w:t>
      </w:r>
      <w:proofErr w:type="spellStart"/>
      <w:r w:rsidR="00417D4F">
        <w:rPr>
          <w:rFonts w:cs="Times New Roman"/>
          <w:color w:val="auto"/>
        </w:rPr>
        <w:t>patellofemoral</w:t>
      </w:r>
      <w:proofErr w:type="spellEnd"/>
      <w:r w:rsidR="00417D4F">
        <w:rPr>
          <w:rFonts w:cs="Times New Roman"/>
          <w:color w:val="auto"/>
        </w:rPr>
        <w:t xml:space="preserve"> inflammation; and, magnetic resonance imaging shortly afterwards </w:t>
      </w:r>
      <w:r w:rsidR="001016A5" w:rsidRPr="002A53F0">
        <w:rPr>
          <w:rFonts w:cs="Times New Roman"/>
          <w:color w:val="auto"/>
        </w:rPr>
        <w:t xml:space="preserve">revealed a possible tear of the medial meniscus. </w:t>
      </w:r>
      <w:r w:rsidR="00417D4F">
        <w:rPr>
          <w:rFonts w:cs="Times New Roman"/>
          <w:color w:val="auto"/>
        </w:rPr>
        <w:t xml:space="preserve"> The </w:t>
      </w:r>
      <w:r w:rsidR="00417D4F" w:rsidRPr="002A53F0">
        <w:rPr>
          <w:rFonts w:cs="Times New Roman"/>
          <w:color w:val="auto"/>
        </w:rPr>
        <w:t xml:space="preserve">orthopedic </w:t>
      </w:r>
      <w:r w:rsidR="00417D4F">
        <w:rPr>
          <w:rFonts w:cs="Times New Roman"/>
          <w:color w:val="auto"/>
        </w:rPr>
        <w:t xml:space="preserve">consultant </w:t>
      </w:r>
      <w:r w:rsidR="00417D4F" w:rsidRPr="002A53F0">
        <w:rPr>
          <w:rFonts w:cs="Times New Roman"/>
          <w:color w:val="auto"/>
        </w:rPr>
        <w:t xml:space="preserve">diagnosed </w:t>
      </w:r>
      <w:proofErr w:type="spellStart"/>
      <w:r w:rsidR="00731AB6">
        <w:rPr>
          <w:rFonts w:cs="Times New Roman"/>
          <w:color w:val="auto"/>
        </w:rPr>
        <w:t>patellofemoral</w:t>
      </w:r>
      <w:proofErr w:type="spellEnd"/>
      <w:r w:rsidR="00731AB6">
        <w:rPr>
          <w:rFonts w:cs="Times New Roman"/>
          <w:color w:val="auto"/>
        </w:rPr>
        <w:t xml:space="preserve"> syndrome,</w:t>
      </w:r>
      <w:r w:rsidR="00417D4F">
        <w:rPr>
          <w:rFonts w:cs="Times New Roman"/>
          <w:color w:val="auto"/>
        </w:rPr>
        <w:t xml:space="preserve"> </w:t>
      </w:r>
      <w:r w:rsidR="00731AB6">
        <w:rPr>
          <w:rFonts w:cs="Times New Roman"/>
          <w:color w:val="auto"/>
        </w:rPr>
        <w:t>opining</w:t>
      </w:r>
      <w:r w:rsidR="001016A5" w:rsidRPr="002A53F0">
        <w:rPr>
          <w:rFonts w:cs="Times New Roman"/>
          <w:color w:val="auto"/>
        </w:rPr>
        <w:t xml:space="preserve"> that </w:t>
      </w:r>
      <w:r w:rsidR="00AC57BC" w:rsidRPr="002A53F0">
        <w:rPr>
          <w:rFonts w:cs="Times New Roman"/>
          <w:color w:val="auto"/>
        </w:rPr>
        <w:t>surgery was not indicated</w:t>
      </w:r>
      <w:r w:rsidR="00417D4F">
        <w:rPr>
          <w:rFonts w:cs="Times New Roman"/>
          <w:color w:val="auto"/>
        </w:rPr>
        <w:t xml:space="preserve">; </w:t>
      </w:r>
      <w:r w:rsidR="00731AB6">
        <w:rPr>
          <w:rFonts w:cs="Times New Roman"/>
          <w:color w:val="auto"/>
        </w:rPr>
        <w:t xml:space="preserve">and, </w:t>
      </w:r>
      <w:r w:rsidR="00417D4F">
        <w:rPr>
          <w:rFonts w:cs="Times New Roman"/>
          <w:color w:val="auto"/>
        </w:rPr>
        <w:t>further conservative measures were not fruitful</w:t>
      </w:r>
      <w:r w:rsidR="001016A5" w:rsidRPr="002A53F0">
        <w:rPr>
          <w:rFonts w:cs="Times New Roman"/>
          <w:color w:val="auto"/>
        </w:rPr>
        <w:t xml:space="preserve">.  There were </w:t>
      </w:r>
      <w:r w:rsidR="00EA221C">
        <w:rPr>
          <w:rFonts w:cs="Times New Roman"/>
          <w:color w:val="auto"/>
        </w:rPr>
        <w:t>two goniometric range-of-</w:t>
      </w:r>
      <w:r w:rsidR="001016A5" w:rsidRPr="002A53F0">
        <w:rPr>
          <w:rFonts w:cs="Times New Roman"/>
          <w:color w:val="auto"/>
        </w:rPr>
        <w:t>motion (ROM) evaluations in evidence, with documentation of additional ratable criteria, which the Board weighed in arriving at its rating recommendation.</w:t>
      </w:r>
    </w:p>
    <w:p w:rsidR="002A53F0" w:rsidRDefault="002A53F0" w:rsidP="002A53F0">
      <w:pPr>
        <w:tabs>
          <w:tab w:val="left" w:pos="288"/>
          <w:tab w:val="left" w:pos="4752"/>
        </w:tabs>
        <w:jc w:val="both"/>
        <w:rPr>
          <w:rFonts w:cs="Times New Roman"/>
          <w:color w:val="auto"/>
        </w:rPr>
      </w:pPr>
    </w:p>
    <w:tbl>
      <w:tblPr>
        <w:tblW w:w="7664" w:type="dxa"/>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8"/>
        <w:gridCol w:w="2276"/>
        <w:gridCol w:w="3200"/>
      </w:tblGrid>
      <w:tr w:rsidR="002A53F0" w:rsidRPr="002A53F0" w:rsidTr="00E762AC">
        <w:trPr>
          <w:jc w:val="center"/>
        </w:trPr>
        <w:tc>
          <w:tcPr>
            <w:tcW w:w="2188" w:type="dxa"/>
            <w:shd w:val="clear" w:color="auto" w:fill="D9D9D9"/>
            <w:vAlign w:val="center"/>
          </w:tcPr>
          <w:p w:rsidR="002A53F0" w:rsidRPr="002A53F0" w:rsidRDefault="002A53F0" w:rsidP="00E762AC">
            <w:pPr>
              <w:contextualSpacing/>
              <w:rPr>
                <w:rFonts w:eastAsia="Calibri"/>
                <w:color w:val="auto"/>
                <w:sz w:val="22"/>
                <w:szCs w:val="22"/>
              </w:rPr>
            </w:pPr>
            <w:r w:rsidRPr="002A53F0">
              <w:rPr>
                <w:rFonts w:eastAsia="Calibri"/>
                <w:color w:val="auto"/>
                <w:sz w:val="22"/>
                <w:szCs w:val="22"/>
              </w:rPr>
              <w:t xml:space="preserve">Right </w:t>
            </w:r>
            <w:r>
              <w:rPr>
                <w:rFonts w:eastAsia="Calibri"/>
                <w:color w:val="auto"/>
                <w:sz w:val="22"/>
                <w:szCs w:val="22"/>
              </w:rPr>
              <w:t>Knee</w:t>
            </w:r>
            <w:r w:rsidRPr="002A53F0">
              <w:rPr>
                <w:rFonts w:eastAsia="Calibri"/>
                <w:color w:val="auto"/>
                <w:sz w:val="22"/>
                <w:szCs w:val="22"/>
              </w:rPr>
              <w:t xml:space="preserve"> ROM</w:t>
            </w:r>
          </w:p>
        </w:tc>
        <w:tc>
          <w:tcPr>
            <w:tcW w:w="2276" w:type="dxa"/>
            <w:shd w:val="clear" w:color="auto" w:fill="D9D9D9"/>
            <w:vAlign w:val="center"/>
          </w:tcPr>
          <w:p w:rsidR="002A53F0" w:rsidRPr="002A53F0" w:rsidRDefault="00E762AC" w:rsidP="00E762AC">
            <w:pPr>
              <w:contextualSpacing/>
              <w:rPr>
                <w:rFonts w:eastAsia="Calibri"/>
                <w:color w:val="auto"/>
                <w:sz w:val="22"/>
                <w:szCs w:val="22"/>
              </w:rPr>
            </w:pPr>
            <w:r>
              <w:rPr>
                <w:rFonts w:eastAsia="Calibri"/>
                <w:color w:val="auto"/>
                <w:sz w:val="22"/>
                <w:szCs w:val="22"/>
              </w:rPr>
              <w:t>MEB ~3</w:t>
            </w:r>
            <w:r w:rsidR="002A53F0" w:rsidRPr="002A53F0">
              <w:rPr>
                <w:rFonts w:eastAsia="Calibri"/>
                <w:color w:val="auto"/>
                <w:sz w:val="22"/>
                <w:szCs w:val="22"/>
              </w:rPr>
              <w:t xml:space="preserve"> Mo. Pre-Sep</w:t>
            </w:r>
          </w:p>
        </w:tc>
        <w:tc>
          <w:tcPr>
            <w:tcW w:w="3200" w:type="dxa"/>
            <w:shd w:val="clear" w:color="auto" w:fill="D9D9D9"/>
            <w:vAlign w:val="center"/>
          </w:tcPr>
          <w:p w:rsidR="002A53F0" w:rsidRPr="002A53F0" w:rsidRDefault="002A53F0" w:rsidP="00E762AC">
            <w:pPr>
              <w:contextualSpacing/>
              <w:rPr>
                <w:rFonts w:eastAsia="Cambria"/>
                <w:color w:val="auto"/>
                <w:sz w:val="22"/>
                <w:szCs w:val="22"/>
              </w:rPr>
            </w:pPr>
            <w:r w:rsidRPr="002A53F0">
              <w:rPr>
                <w:rFonts w:eastAsia="Calibri"/>
                <w:color w:val="auto"/>
                <w:sz w:val="22"/>
                <w:szCs w:val="22"/>
              </w:rPr>
              <w:t>VA</w:t>
            </w:r>
            <w:r w:rsidR="00E762AC">
              <w:rPr>
                <w:rFonts w:eastAsia="Cambria"/>
                <w:color w:val="auto"/>
                <w:sz w:val="22"/>
                <w:szCs w:val="22"/>
              </w:rPr>
              <w:t xml:space="preserve"> C&amp;P ~4</w:t>
            </w:r>
            <w:r w:rsidRPr="002A53F0">
              <w:rPr>
                <w:rFonts w:eastAsia="Cambria"/>
                <w:color w:val="auto"/>
                <w:sz w:val="22"/>
                <w:szCs w:val="22"/>
              </w:rPr>
              <w:t xml:space="preserve"> Mo. Post-Sep</w:t>
            </w:r>
          </w:p>
        </w:tc>
      </w:tr>
      <w:tr w:rsidR="00E762AC" w:rsidRPr="002A53F0" w:rsidTr="00E762AC">
        <w:trPr>
          <w:jc w:val="center"/>
        </w:trPr>
        <w:tc>
          <w:tcPr>
            <w:tcW w:w="2188" w:type="dxa"/>
            <w:vAlign w:val="center"/>
          </w:tcPr>
          <w:p w:rsidR="00E762AC" w:rsidRPr="002A53F0" w:rsidRDefault="00E762AC" w:rsidP="00E762AC">
            <w:pPr>
              <w:contextualSpacing/>
              <w:rPr>
                <w:color w:val="000000"/>
                <w:sz w:val="22"/>
                <w:szCs w:val="22"/>
              </w:rPr>
            </w:pPr>
            <w:r w:rsidRPr="002A53F0">
              <w:rPr>
                <w:color w:val="000000"/>
                <w:sz w:val="22"/>
                <w:szCs w:val="22"/>
              </w:rPr>
              <w:t>Flexion (140⁰ Normal)</w:t>
            </w:r>
          </w:p>
        </w:tc>
        <w:tc>
          <w:tcPr>
            <w:tcW w:w="2276" w:type="dxa"/>
            <w:vAlign w:val="center"/>
          </w:tcPr>
          <w:p w:rsidR="00E762AC" w:rsidRPr="002A53F0" w:rsidRDefault="00E762AC" w:rsidP="00E762AC">
            <w:pPr>
              <w:contextualSpacing/>
              <w:rPr>
                <w:rFonts w:eastAsia="Calibri"/>
                <w:color w:val="auto"/>
                <w:sz w:val="22"/>
                <w:szCs w:val="22"/>
              </w:rPr>
            </w:pPr>
            <w:r>
              <w:rPr>
                <w:rFonts w:eastAsia="Calibri"/>
                <w:color w:val="auto"/>
                <w:sz w:val="22"/>
                <w:szCs w:val="22"/>
              </w:rPr>
              <w:t>135</w:t>
            </w:r>
            <w:r w:rsidRPr="002A53F0">
              <w:rPr>
                <w:rFonts w:eastAsia="Calibri"/>
                <w:color w:val="auto"/>
                <w:sz w:val="22"/>
                <w:szCs w:val="22"/>
              </w:rPr>
              <w:t>⁰</w:t>
            </w:r>
          </w:p>
        </w:tc>
        <w:tc>
          <w:tcPr>
            <w:tcW w:w="3200" w:type="dxa"/>
            <w:vAlign w:val="center"/>
          </w:tcPr>
          <w:p w:rsidR="00E762AC" w:rsidRPr="002A53F0" w:rsidRDefault="00E762AC" w:rsidP="00E762AC">
            <w:pPr>
              <w:contextualSpacing/>
              <w:rPr>
                <w:rFonts w:eastAsia="Calibri"/>
                <w:color w:val="auto"/>
                <w:sz w:val="22"/>
                <w:szCs w:val="22"/>
              </w:rPr>
            </w:pPr>
            <w:r>
              <w:rPr>
                <w:rFonts w:eastAsia="Calibri"/>
                <w:color w:val="auto"/>
                <w:sz w:val="22"/>
                <w:szCs w:val="22"/>
              </w:rPr>
              <w:t>135</w:t>
            </w:r>
            <w:r w:rsidRPr="002A53F0">
              <w:rPr>
                <w:rFonts w:eastAsia="Calibri"/>
                <w:color w:val="auto"/>
                <w:sz w:val="22"/>
                <w:szCs w:val="22"/>
              </w:rPr>
              <w:t>⁰</w:t>
            </w:r>
          </w:p>
        </w:tc>
      </w:tr>
      <w:tr w:rsidR="00E762AC" w:rsidRPr="002A53F0" w:rsidTr="00E762AC">
        <w:trPr>
          <w:trHeight w:val="65"/>
          <w:jc w:val="center"/>
        </w:trPr>
        <w:tc>
          <w:tcPr>
            <w:tcW w:w="2188" w:type="dxa"/>
            <w:vAlign w:val="center"/>
          </w:tcPr>
          <w:p w:rsidR="00E762AC" w:rsidRPr="002A53F0" w:rsidRDefault="00E762AC" w:rsidP="00E762AC">
            <w:pPr>
              <w:contextualSpacing/>
              <w:rPr>
                <w:color w:val="000000"/>
                <w:sz w:val="22"/>
                <w:szCs w:val="22"/>
              </w:rPr>
            </w:pPr>
            <w:r w:rsidRPr="002A53F0">
              <w:rPr>
                <w:color w:val="000000"/>
                <w:sz w:val="22"/>
                <w:szCs w:val="22"/>
              </w:rPr>
              <w:t>Extension (0⁰ Normal)</w:t>
            </w:r>
          </w:p>
        </w:tc>
        <w:tc>
          <w:tcPr>
            <w:tcW w:w="2276" w:type="dxa"/>
            <w:vAlign w:val="center"/>
          </w:tcPr>
          <w:p w:rsidR="00E762AC" w:rsidRPr="002A53F0" w:rsidRDefault="00E762AC" w:rsidP="00E762AC">
            <w:pPr>
              <w:contextualSpacing/>
              <w:rPr>
                <w:rFonts w:eastAsia="Calibri"/>
                <w:color w:val="auto"/>
                <w:sz w:val="22"/>
                <w:szCs w:val="22"/>
              </w:rPr>
            </w:pPr>
            <w:r w:rsidRPr="002A53F0">
              <w:rPr>
                <w:rFonts w:eastAsia="Calibri"/>
                <w:color w:val="auto"/>
                <w:sz w:val="22"/>
                <w:szCs w:val="22"/>
              </w:rPr>
              <w:t>0⁰</w:t>
            </w:r>
          </w:p>
        </w:tc>
        <w:tc>
          <w:tcPr>
            <w:tcW w:w="3200" w:type="dxa"/>
            <w:vAlign w:val="center"/>
          </w:tcPr>
          <w:p w:rsidR="00E762AC" w:rsidRPr="002A53F0" w:rsidRDefault="00E762AC" w:rsidP="00E762AC">
            <w:pPr>
              <w:contextualSpacing/>
              <w:rPr>
                <w:rFonts w:eastAsia="Calibri"/>
                <w:color w:val="auto"/>
                <w:sz w:val="22"/>
                <w:szCs w:val="22"/>
              </w:rPr>
            </w:pPr>
            <w:r w:rsidRPr="002A53F0">
              <w:rPr>
                <w:rFonts w:eastAsia="Calibri"/>
                <w:color w:val="auto"/>
                <w:sz w:val="22"/>
                <w:szCs w:val="22"/>
              </w:rPr>
              <w:t>0⁰</w:t>
            </w:r>
          </w:p>
        </w:tc>
      </w:tr>
      <w:tr w:rsidR="002A53F0" w:rsidRPr="002A53F0" w:rsidTr="00E762AC">
        <w:trPr>
          <w:trHeight w:val="179"/>
          <w:jc w:val="center"/>
        </w:trPr>
        <w:tc>
          <w:tcPr>
            <w:tcW w:w="2188" w:type="dxa"/>
            <w:vAlign w:val="center"/>
          </w:tcPr>
          <w:p w:rsidR="002A53F0" w:rsidRPr="002A53F0" w:rsidRDefault="002A53F0" w:rsidP="00E762AC">
            <w:pPr>
              <w:tabs>
                <w:tab w:val="left" w:pos="288"/>
                <w:tab w:val="left" w:pos="4752"/>
              </w:tabs>
              <w:rPr>
                <w:rFonts w:eastAsia="Cambria"/>
                <w:color w:val="auto"/>
                <w:sz w:val="22"/>
                <w:szCs w:val="22"/>
              </w:rPr>
            </w:pPr>
            <w:r w:rsidRPr="002A53F0">
              <w:rPr>
                <w:rFonts w:eastAsia="Cambria"/>
                <w:color w:val="auto"/>
                <w:sz w:val="22"/>
                <w:szCs w:val="22"/>
              </w:rPr>
              <w:t>Comments</w:t>
            </w:r>
          </w:p>
        </w:tc>
        <w:tc>
          <w:tcPr>
            <w:tcW w:w="2276" w:type="dxa"/>
            <w:vAlign w:val="center"/>
          </w:tcPr>
          <w:p w:rsidR="002A53F0" w:rsidRPr="002A53F0" w:rsidRDefault="00E762AC" w:rsidP="00E762AC">
            <w:pPr>
              <w:tabs>
                <w:tab w:val="left" w:pos="288"/>
                <w:tab w:val="left" w:pos="4752"/>
              </w:tabs>
              <w:rPr>
                <w:rFonts w:eastAsia="Cambria"/>
                <w:color w:val="auto"/>
                <w:sz w:val="22"/>
                <w:szCs w:val="22"/>
              </w:rPr>
            </w:pPr>
            <w:r>
              <w:rPr>
                <w:rFonts w:eastAsia="Cambria"/>
                <w:color w:val="auto"/>
                <w:sz w:val="22"/>
                <w:szCs w:val="22"/>
              </w:rPr>
              <w:t>Pain at extreme ROM.</w:t>
            </w:r>
          </w:p>
        </w:tc>
        <w:tc>
          <w:tcPr>
            <w:tcW w:w="3200" w:type="dxa"/>
            <w:vAlign w:val="center"/>
          </w:tcPr>
          <w:p w:rsidR="002A53F0" w:rsidRPr="002A53F0" w:rsidRDefault="00FE2C96" w:rsidP="00E762AC">
            <w:pPr>
              <w:tabs>
                <w:tab w:val="left" w:pos="288"/>
                <w:tab w:val="left" w:pos="4752"/>
              </w:tabs>
              <w:rPr>
                <w:rFonts w:eastAsia="Cambria"/>
                <w:color w:val="auto"/>
                <w:sz w:val="22"/>
                <w:szCs w:val="22"/>
              </w:rPr>
            </w:pPr>
            <w:r>
              <w:rPr>
                <w:rFonts w:eastAsia="Cambria"/>
                <w:color w:val="auto"/>
                <w:sz w:val="22"/>
                <w:szCs w:val="22"/>
              </w:rPr>
              <w:t>No painful motion; N</w:t>
            </w:r>
            <w:r w:rsidR="00E762AC">
              <w:rPr>
                <w:rFonts w:eastAsia="Cambria"/>
                <w:color w:val="auto"/>
                <w:sz w:val="22"/>
                <w:szCs w:val="22"/>
              </w:rPr>
              <w:t xml:space="preserve">eg. </w:t>
            </w:r>
            <w:proofErr w:type="spellStart"/>
            <w:r w:rsidR="00E762AC">
              <w:rPr>
                <w:rFonts w:eastAsia="Cambria"/>
                <w:color w:val="auto"/>
                <w:sz w:val="22"/>
                <w:szCs w:val="22"/>
              </w:rPr>
              <w:t>DeLuca</w:t>
            </w:r>
            <w:proofErr w:type="spellEnd"/>
            <w:r w:rsidR="00E762AC">
              <w:rPr>
                <w:rFonts w:eastAsia="Cambria"/>
                <w:color w:val="auto"/>
                <w:sz w:val="22"/>
                <w:szCs w:val="22"/>
              </w:rPr>
              <w:t>.</w:t>
            </w:r>
          </w:p>
        </w:tc>
      </w:tr>
      <w:tr w:rsidR="002A53F0" w:rsidRPr="002A53F0" w:rsidTr="00E762AC">
        <w:trPr>
          <w:trHeight w:val="70"/>
          <w:jc w:val="center"/>
        </w:trPr>
        <w:tc>
          <w:tcPr>
            <w:tcW w:w="2188" w:type="dxa"/>
            <w:vAlign w:val="center"/>
          </w:tcPr>
          <w:p w:rsidR="002A53F0" w:rsidRPr="002A53F0" w:rsidRDefault="002A53F0" w:rsidP="00E762AC">
            <w:pPr>
              <w:tabs>
                <w:tab w:val="left" w:pos="288"/>
                <w:tab w:val="left" w:pos="4752"/>
              </w:tabs>
              <w:rPr>
                <w:rFonts w:eastAsia="Cambria"/>
                <w:color w:val="auto"/>
                <w:sz w:val="22"/>
                <w:szCs w:val="22"/>
              </w:rPr>
            </w:pPr>
            <w:r w:rsidRPr="002A53F0">
              <w:rPr>
                <w:rFonts w:eastAsia="Cambria"/>
                <w:color w:val="auto"/>
                <w:sz w:val="22"/>
                <w:szCs w:val="22"/>
              </w:rPr>
              <w:t>§4.71a Rating</w:t>
            </w:r>
          </w:p>
        </w:tc>
        <w:tc>
          <w:tcPr>
            <w:tcW w:w="2276" w:type="dxa"/>
            <w:vAlign w:val="center"/>
          </w:tcPr>
          <w:p w:rsidR="002A53F0" w:rsidRPr="002A53F0" w:rsidRDefault="00E762AC" w:rsidP="00E762AC">
            <w:pPr>
              <w:tabs>
                <w:tab w:val="left" w:pos="288"/>
                <w:tab w:val="left" w:pos="4752"/>
              </w:tabs>
              <w:rPr>
                <w:rFonts w:eastAsia="Cambria"/>
                <w:color w:val="auto"/>
                <w:sz w:val="22"/>
                <w:szCs w:val="22"/>
              </w:rPr>
            </w:pPr>
            <w:r>
              <w:rPr>
                <w:rFonts w:eastAsia="Cambria"/>
                <w:color w:val="auto"/>
                <w:sz w:val="22"/>
                <w:szCs w:val="22"/>
              </w:rPr>
              <w:t>1</w:t>
            </w:r>
            <w:r w:rsidR="002A53F0" w:rsidRPr="002A53F0">
              <w:rPr>
                <w:rFonts w:eastAsia="Cambria"/>
                <w:color w:val="auto"/>
                <w:sz w:val="22"/>
                <w:szCs w:val="22"/>
              </w:rPr>
              <w:t>0%</w:t>
            </w:r>
            <w:r>
              <w:rPr>
                <w:rFonts w:eastAsia="Cambria"/>
                <w:color w:val="auto"/>
                <w:sz w:val="22"/>
                <w:szCs w:val="22"/>
              </w:rPr>
              <w:t>*</w:t>
            </w:r>
          </w:p>
        </w:tc>
        <w:tc>
          <w:tcPr>
            <w:tcW w:w="3200" w:type="dxa"/>
            <w:vAlign w:val="center"/>
          </w:tcPr>
          <w:p w:rsidR="002A53F0" w:rsidRPr="002A53F0" w:rsidRDefault="002A53F0" w:rsidP="00E762AC">
            <w:pPr>
              <w:tabs>
                <w:tab w:val="left" w:pos="288"/>
                <w:tab w:val="left" w:pos="4752"/>
              </w:tabs>
              <w:rPr>
                <w:rFonts w:eastAsia="Cambria"/>
                <w:color w:val="auto"/>
                <w:sz w:val="22"/>
                <w:szCs w:val="22"/>
              </w:rPr>
            </w:pPr>
            <w:r w:rsidRPr="002A53F0">
              <w:rPr>
                <w:rFonts w:eastAsia="Cambria"/>
                <w:color w:val="auto"/>
                <w:sz w:val="22"/>
                <w:szCs w:val="22"/>
              </w:rPr>
              <w:t>0%</w:t>
            </w:r>
          </w:p>
        </w:tc>
      </w:tr>
    </w:tbl>
    <w:p w:rsidR="002A53F0" w:rsidRPr="002A53F0" w:rsidRDefault="00E762AC" w:rsidP="002A53F0">
      <w:pPr>
        <w:tabs>
          <w:tab w:val="left" w:pos="288"/>
          <w:tab w:val="left" w:pos="4752"/>
        </w:tabs>
        <w:jc w:val="both"/>
        <w:rPr>
          <w:rFonts w:cs="Times New Roman"/>
          <w:color w:val="auto"/>
        </w:rPr>
      </w:pPr>
      <w:r w:rsidRPr="00E762AC">
        <w:rPr>
          <w:rFonts w:eastAsia="Calibri" w:cs="Times New Roman"/>
          <w:color w:val="auto"/>
          <w:sz w:val="22"/>
          <w:szCs w:val="22"/>
        </w:rPr>
        <w:t xml:space="preserve">                            </w:t>
      </w:r>
      <w:r w:rsidR="00731AB6">
        <w:rPr>
          <w:rFonts w:eastAsia="Calibri" w:cs="Times New Roman"/>
          <w:color w:val="auto"/>
          <w:sz w:val="22"/>
          <w:szCs w:val="22"/>
        </w:rPr>
        <w:t xml:space="preserve">                    </w:t>
      </w:r>
      <w:r w:rsidRPr="00E762AC">
        <w:rPr>
          <w:rFonts w:eastAsia="Calibri" w:cs="Times New Roman"/>
          <w:color w:val="auto"/>
          <w:sz w:val="22"/>
          <w:szCs w:val="22"/>
        </w:rPr>
        <w:t xml:space="preserve"> *Conceding §4.59 (painful motion).</w:t>
      </w:r>
    </w:p>
    <w:p w:rsidR="001016A5" w:rsidRPr="003C53E8" w:rsidRDefault="00E762AC" w:rsidP="00E762AC">
      <w:pPr>
        <w:tabs>
          <w:tab w:val="left" w:pos="3378"/>
        </w:tabs>
        <w:jc w:val="left"/>
        <w:rPr>
          <w:rFonts w:cs="Times New Roman"/>
          <w:color w:val="auto"/>
          <w:sz w:val="18"/>
        </w:rPr>
      </w:pPr>
      <w:r>
        <w:rPr>
          <w:rFonts w:cs="Times New Roman"/>
          <w:color w:val="auto"/>
          <w:sz w:val="18"/>
        </w:rPr>
        <w:tab/>
      </w:r>
    </w:p>
    <w:p w:rsidR="001016A5" w:rsidRPr="006920A3" w:rsidRDefault="001016A5" w:rsidP="00264EFD">
      <w:pPr>
        <w:tabs>
          <w:tab w:val="left" w:pos="288"/>
          <w:tab w:val="left" w:pos="4752"/>
        </w:tabs>
        <w:jc w:val="both"/>
        <w:rPr>
          <w:rFonts w:cs="Times New Roman"/>
          <w:color w:val="auto"/>
        </w:rPr>
      </w:pPr>
      <w:r w:rsidRPr="003C53E8">
        <w:rPr>
          <w:rFonts w:cs="Times New Roman"/>
          <w:color w:val="auto"/>
        </w:rPr>
        <w:t>At the MEB exam, the CI reported baseline pain rated 2</w:t>
      </w:r>
      <w:r w:rsidR="00EA221C">
        <w:rPr>
          <w:rFonts w:cs="Times New Roman"/>
          <w:color w:val="auto"/>
        </w:rPr>
        <w:t>/</w:t>
      </w:r>
      <w:r w:rsidRPr="003C53E8">
        <w:rPr>
          <w:rFonts w:cs="Times New Roman"/>
          <w:color w:val="auto"/>
        </w:rPr>
        <w:t>10</w:t>
      </w:r>
      <w:r w:rsidR="00EA221C">
        <w:rPr>
          <w:rFonts w:cs="Times New Roman"/>
          <w:color w:val="auto"/>
        </w:rPr>
        <w:t>; with exacerbations to 6/</w:t>
      </w:r>
      <w:r w:rsidR="00417D4F">
        <w:rPr>
          <w:rFonts w:cs="Times New Roman"/>
          <w:color w:val="auto"/>
        </w:rPr>
        <w:t>10</w:t>
      </w:r>
      <w:r w:rsidRPr="003C53E8">
        <w:rPr>
          <w:rFonts w:cs="Times New Roman"/>
          <w:color w:val="auto"/>
        </w:rPr>
        <w:t xml:space="preserve">. </w:t>
      </w:r>
      <w:r w:rsidR="00417D4F">
        <w:rPr>
          <w:rFonts w:cs="Times New Roman"/>
          <w:color w:val="auto"/>
        </w:rPr>
        <w:t xml:space="preserve"> He </w:t>
      </w:r>
      <w:r w:rsidRPr="003C53E8">
        <w:rPr>
          <w:rFonts w:cs="Times New Roman"/>
          <w:color w:val="auto"/>
        </w:rPr>
        <w:t xml:space="preserve">could not </w:t>
      </w:r>
      <w:r w:rsidR="00417D4F">
        <w:rPr>
          <w:rFonts w:cs="Times New Roman"/>
          <w:color w:val="auto"/>
        </w:rPr>
        <w:t>easily dismount</w:t>
      </w:r>
      <w:r w:rsidRPr="003C53E8">
        <w:rPr>
          <w:rFonts w:cs="Times New Roman"/>
          <w:color w:val="auto"/>
        </w:rPr>
        <w:t xml:space="preserve"> vehicles, keep up with </w:t>
      </w:r>
      <w:r w:rsidR="00417D4F">
        <w:rPr>
          <w:rFonts w:cs="Times New Roman"/>
          <w:color w:val="auto"/>
        </w:rPr>
        <w:t>his team members</w:t>
      </w:r>
      <w:r w:rsidRPr="003C53E8">
        <w:rPr>
          <w:rFonts w:cs="Times New Roman"/>
          <w:color w:val="auto"/>
        </w:rPr>
        <w:t xml:space="preserve">, </w:t>
      </w:r>
      <w:proofErr w:type="gramStart"/>
      <w:r w:rsidRPr="003C53E8">
        <w:rPr>
          <w:rFonts w:cs="Times New Roman"/>
          <w:color w:val="auto"/>
        </w:rPr>
        <w:t>march</w:t>
      </w:r>
      <w:proofErr w:type="gramEnd"/>
      <w:r w:rsidRPr="003C53E8">
        <w:rPr>
          <w:rFonts w:cs="Times New Roman"/>
          <w:color w:val="auto"/>
        </w:rPr>
        <w:t xml:space="preserve">, handle heavy equipment, or run long distances. </w:t>
      </w:r>
      <w:r w:rsidR="00417D4F">
        <w:rPr>
          <w:rFonts w:cs="Times New Roman"/>
          <w:color w:val="auto"/>
        </w:rPr>
        <w:t xml:space="preserve"> The physical exam</w:t>
      </w:r>
      <w:r w:rsidRPr="003C53E8">
        <w:rPr>
          <w:rFonts w:cs="Times New Roman"/>
          <w:color w:val="auto"/>
        </w:rPr>
        <w:t xml:space="preserve"> noted a slightly limited ROM with pain </w:t>
      </w:r>
      <w:r w:rsidR="00417D4F">
        <w:rPr>
          <w:rFonts w:cs="Times New Roman"/>
          <w:color w:val="auto"/>
        </w:rPr>
        <w:t>at the mechanical l</w:t>
      </w:r>
      <w:r w:rsidR="0096566D">
        <w:rPr>
          <w:rFonts w:cs="Times New Roman"/>
          <w:color w:val="auto"/>
        </w:rPr>
        <w:t>imit</w:t>
      </w:r>
      <w:r w:rsidRPr="003C53E8">
        <w:rPr>
          <w:rFonts w:cs="Times New Roman"/>
          <w:color w:val="auto"/>
        </w:rPr>
        <w:t xml:space="preserve">. </w:t>
      </w:r>
      <w:r w:rsidR="00417D4F">
        <w:rPr>
          <w:rFonts w:cs="Times New Roman"/>
          <w:color w:val="auto"/>
        </w:rPr>
        <w:t xml:space="preserve"> </w:t>
      </w:r>
      <w:r w:rsidR="0096566D">
        <w:rPr>
          <w:rFonts w:cs="Times New Roman"/>
          <w:color w:val="auto"/>
        </w:rPr>
        <w:t>A “</w:t>
      </w:r>
      <w:proofErr w:type="spellStart"/>
      <w:r w:rsidR="0096566D">
        <w:rPr>
          <w:rFonts w:cs="Times New Roman"/>
          <w:color w:val="auto"/>
        </w:rPr>
        <w:t>DeLuca</w:t>
      </w:r>
      <w:proofErr w:type="spellEnd"/>
      <w:r w:rsidR="0096566D">
        <w:rPr>
          <w:rFonts w:cs="Times New Roman"/>
          <w:color w:val="auto"/>
        </w:rPr>
        <w:t xml:space="preserve"> assessment” documented increased pain, but not decreased ROM, with repetition.  Contemporary MEB orthopedic notes further documented the absence of laxity to stress maneuvers or signs of cartilaginous impingement.  </w:t>
      </w:r>
      <w:r w:rsidRPr="006920A3">
        <w:rPr>
          <w:rFonts w:cs="Times New Roman"/>
          <w:color w:val="auto"/>
        </w:rPr>
        <w:t xml:space="preserve">At the VA Compensation </w:t>
      </w:r>
      <w:r w:rsidR="00EA221C">
        <w:rPr>
          <w:rFonts w:cs="Times New Roman"/>
          <w:color w:val="auto"/>
        </w:rPr>
        <w:t>and</w:t>
      </w:r>
      <w:r w:rsidRPr="006920A3">
        <w:rPr>
          <w:rFonts w:cs="Times New Roman"/>
          <w:color w:val="auto"/>
        </w:rPr>
        <w:t xml:space="preserve"> Pension (C&amp;P)</w:t>
      </w:r>
      <w:r w:rsidR="00EA221C">
        <w:rPr>
          <w:rFonts w:cs="Times New Roman"/>
          <w:color w:val="auto"/>
        </w:rPr>
        <w:t xml:space="preserve"> </w:t>
      </w:r>
      <w:r w:rsidR="000E5DE7">
        <w:rPr>
          <w:rFonts w:cs="Times New Roman"/>
          <w:color w:val="auto"/>
        </w:rPr>
        <w:t>examination</w:t>
      </w:r>
      <w:r w:rsidRPr="006920A3">
        <w:rPr>
          <w:rFonts w:cs="Times New Roman"/>
          <w:color w:val="auto"/>
        </w:rPr>
        <w:t xml:space="preserve">, the CI reported </w:t>
      </w:r>
      <w:r w:rsidR="0096566D" w:rsidRPr="006920A3">
        <w:rPr>
          <w:rFonts w:cs="Times New Roman"/>
          <w:color w:val="auto"/>
        </w:rPr>
        <w:t xml:space="preserve">improved </w:t>
      </w:r>
      <w:r w:rsidRPr="006920A3">
        <w:rPr>
          <w:rFonts w:cs="Times New Roman"/>
          <w:color w:val="auto"/>
        </w:rPr>
        <w:t>symptoms</w:t>
      </w:r>
      <w:r w:rsidR="0096566D">
        <w:rPr>
          <w:rFonts w:cs="Times New Roman"/>
          <w:color w:val="auto"/>
        </w:rPr>
        <w:t>;</w:t>
      </w:r>
      <w:r w:rsidRPr="006920A3">
        <w:rPr>
          <w:rFonts w:cs="Times New Roman"/>
          <w:color w:val="auto"/>
        </w:rPr>
        <w:t xml:space="preserve"> but</w:t>
      </w:r>
      <w:r w:rsidR="0096566D">
        <w:rPr>
          <w:rFonts w:cs="Times New Roman"/>
          <w:color w:val="auto"/>
        </w:rPr>
        <w:t>,</w:t>
      </w:r>
      <w:r w:rsidRPr="006920A3">
        <w:rPr>
          <w:rFonts w:cs="Times New Roman"/>
          <w:color w:val="auto"/>
        </w:rPr>
        <w:t xml:space="preserve"> he still experienced daily pain that would worsen with increased activity. </w:t>
      </w:r>
      <w:r w:rsidR="0096566D">
        <w:rPr>
          <w:rFonts w:cs="Times New Roman"/>
          <w:color w:val="auto"/>
        </w:rPr>
        <w:t xml:space="preserve"> </w:t>
      </w:r>
      <w:r w:rsidRPr="006920A3">
        <w:rPr>
          <w:rFonts w:cs="Times New Roman"/>
          <w:color w:val="auto"/>
        </w:rPr>
        <w:t xml:space="preserve">He could walk for an unlimited period, run for 30 minutes, and perform all daily activities without any problems. </w:t>
      </w:r>
      <w:r w:rsidR="0096566D">
        <w:rPr>
          <w:rFonts w:cs="Times New Roman"/>
          <w:color w:val="auto"/>
        </w:rPr>
        <w:t xml:space="preserve"> The physical exam</w:t>
      </w:r>
      <w:r w:rsidR="0096566D" w:rsidRPr="003C53E8">
        <w:rPr>
          <w:rFonts w:cs="Times New Roman"/>
          <w:color w:val="auto"/>
        </w:rPr>
        <w:t xml:space="preserve"> noted</w:t>
      </w:r>
      <w:r w:rsidR="0096566D">
        <w:rPr>
          <w:rFonts w:cs="Times New Roman"/>
          <w:color w:val="auto"/>
        </w:rPr>
        <w:t xml:space="preserve"> </w:t>
      </w:r>
      <w:r w:rsidR="000836EB">
        <w:rPr>
          <w:rFonts w:cs="Times New Roman"/>
          <w:color w:val="auto"/>
        </w:rPr>
        <w:t xml:space="preserve">a </w:t>
      </w:r>
      <w:r w:rsidR="0096566D">
        <w:rPr>
          <w:rFonts w:cs="Times New Roman"/>
          <w:color w:val="auto"/>
        </w:rPr>
        <w:t xml:space="preserve">normal gait; no joint effusion, </w:t>
      </w:r>
      <w:proofErr w:type="spellStart"/>
      <w:r w:rsidR="0096566D">
        <w:rPr>
          <w:rFonts w:cs="Times New Roman"/>
          <w:color w:val="auto"/>
        </w:rPr>
        <w:t>crepitus</w:t>
      </w:r>
      <w:proofErr w:type="spellEnd"/>
      <w:r w:rsidR="0096566D">
        <w:rPr>
          <w:rFonts w:cs="Times New Roman"/>
          <w:color w:val="auto"/>
        </w:rPr>
        <w:t>, or</w:t>
      </w:r>
      <w:r w:rsidRPr="006920A3">
        <w:rPr>
          <w:rFonts w:cs="Times New Roman"/>
          <w:color w:val="auto"/>
        </w:rPr>
        <w:t xml:space="preserve"> tenderness</w:t>
      </w:r>
      <w:r w:rsidR="0096566D">
        <w:rPr>
          <w:rFonts w:cs="Times New Roman"/>
          <w:color w:val="auto"/>
        </w:rPr>
        <w:t>; and no</w:t>
      </w:r>
      <w:r w:rsidRPr="006920A3">
        <w:rPr>
          <w:rFonts w:cs="Times New Roman"/>
          <w:color w:val="auto"/>
        </w:rPr>
        <w:t xml:space="preserve"> instability. </w:t>
      </w:r>
      <w:r w:rsidR="008F7A6E">
        <w:rPr>
          <w:rFonts w:cs="Times New Roman"/>
          <w:color w:val="auto"/>
        </w:rPr>
        <w:t xml:space="preserve"> </w:t>
      </w:r>
      <w:r w:rsidRPr="006920A3">
        <w:rPr>
          <w:rFonts w:cs="Times New Roman"/>
          <w:color w:val="auto"/>
        </w:rPr>
        <w:t xml:space="preserve">A </w:t>
      </w:r>
      <w:r w:rsidR="008F7A6E">
        <w:rPr>
          <w:rFonts w:cs="Times New Roman"/>
          <w:color w:val="auto"/>
        </w:rPr>
        <w:t>normal</w:t>
      </w:r>
      <w:r w:rsidRPr="006920A3">
        <w:rPr>
          <w:rFonts w:cs="Times New Roman"/>
          <w:color w:val="auto"/>
        </w:rPr>
        <w:t xml:space="preserve"> ROM was </w:t>
      </w:r>
      <w:r w:rsidR="008F7A6E">
        <w:rPr>
          <w:rFonts w:cs="Times New Roman"/>
          <w:color w:val="auto"/>
        </w:rPr>
        <w:t xml:space="preserve">measured; with specific annotation of no painful motion or </w:t>
      </w:r>
      <w:proofErr w:type="spellStart"/>
      <w:r w:rsidR="008F7A6E">
        <w:rPr>
          <w:rFonts w:cs="Times New Roman"/>
          <w:color w:val="auto"/>
        </w:rPr>
        <w:t>DeLuca</w:t>
      </w:r>
      <w:proofErr w:type="spellEnd"/>
      <w:r w:rsidR="008F7A6E">
        <w:rPr>
          <w:rFonts w:cs="Times New Roman"/>
          <w:color w:val="auto"/>
        </w:rPr>
        <w:t xml:space="preserve"> degradation.</w:t>
      </w:r>
      <w:r w:rsidRPr="006920A3">
        <w:rPr>
          <w:rFonts w:cs="Times New Roman"/>
          <w:color w:val="auto"/>
        </w:rPr>
        <w:t xml:space="preserve"> </w:t>
      </w:r>
      <w:r w:rsidR="008F7A6E">
        <w:rPr>
          <w:rFonts w:cs="Times New Roman"/>
          <w:color w:val="auto"/>
        </w:rPr>
        <w:t xml:space="preserve"> </w:t>
      </w:r>
    </w:p>
    <w:p w:rsidR="001016A5" w:rsidRPr="006920A3" w:rsidRDefault="001016A5" w:rsidP="003C53E8">
      <w:pPr>
        <w:jc w:val="left"/>
        <w:rPr>
          <w:rFonts w:cs="Times New Roman"/>
          <w:color w:val="auto"/>
          <w:highlight w:val="yellow"/>
        </w:rPr>
      </w:pPr>
    </w:p>
    <w:p w:rsidR="001016A5" w:rsidRPr="000836EB" w:rsidRDefault="008F7A6E" w:rsidP="00264EFD">
      <w:pPr>
        <w:jc w:val="both"/>
        <w:rPr>
          <w:color w:val="auto"/>
        </w:rPr>
      </w:pPr>
      <w:r w:rsidRPr="008F7A6E">
        <w:rPr>
          <w:rFonts w:cs="Times New Roman"/>
          <w:color w:val="auto"/>
        </w:rPr>
        <w:t>The Board directs attention to its rating recommendation based on the above evidence.</w:t>
      </w:r>
      <w:r>
        <w:rPr>
          <w:rFonts w:cs="Times New Roman"/>
          <w:color w:val="auto"/>
        </w:rPr>
        <w:t xml:space="preserve">  All members</w:t>
      </w:r>
      <w:r w:rsidRPr="006920A3">
        <w:rPr>
          <w:rFonts w:cs="Times New Roman"/>
          <w:color w:val="auto"/>
        </w:rPr>
        <w:t xml:space="preserve"> agreed that the MEB </w:t>
      </w:r>
      <w:r>
        <w:rPr>
          <w:rFonts w:cs="Times New Roman"/>
          <w:color w:val="auto"/>
        </w:rPr>
        <w:t>evidence was more proximate to separation and more probative.</w:t>
      </w:r>
      <w:r w:rsidRPr="006920A3">
        <w:rPr>
          <w:rFonts w:cs="Times New Roman"/>
          <w:color w:val="auto"/>
        </w:rPr>
        <w:t xml:space="preserve"> </w:t>
      </w:r>
      <w:r>
        <w:rPr>
          <w:rFonts w:cs="Times New Roman"/>
          <w:color w:val="auto"/>
        </w:rPr>
        <w:t xml:space="preserve"> </w:t>
      </w:r>
      <w:r w:rsidR="001016A5" w:rsidRPr="006920A3">
        <w:rPr>
          <w:color w:val="auto"/>
        </w:rPr>
        <w:t xml:space="preserve">The Board first </w:t>
      </w:r>
      <w:r w:rsidR="001016A5" w:rsidRPr="008F7A6E">
        <w:rPr>
          <w:rFonts w:cs="Times New Roman"/>
          <w:color w:val="auto"/>
        </w:rPr>
        <w:t>considered the VA’s rating of 0% under code 5099-5014 (</w:t>
      </w:r>
      <w:proofErr w:type="spellStart"/>
      <w:r w:rsidR="001016A5" w:rsidRPr="008F7A6E">
        <w:rPr>
          <w:rFonts w:cs="Times New Roman"/>
          <w:color w:val="auto"/>
        </w:rPr>
        <w:t>osteomalacia</w:t>
      </w:r>
      <w:proofErr w:type="spellEnd"/>
      <w:r w:rsidR="001016A5" w:rsidRPr="008F7A6E">
        <w:rPr>
          <w:rFonts w:cs="Times New Roman"/>
          <w:color w:val="auto"/>
        </w:rPr>
        <w:t xml:space="preserve">). </w:t>
      </w:r>
      <w:r w:rsidRPr="008F7A6E">
        <w:rPr>
          <w:rFonts w:cs="Times New Roman"/>
          <w:color w:val="auto"/>
        </w:rPr>
        <w:t xml:space="preserve"> Since VASRD §4.59 (painful motion) </w:t>
      </w:r>
      <w:r w:rsidR="005B2EFD">
        <w:rPr>
          <w:rFonts w:cs="Times New Roman"/>
          <w:color w:val="auto"/>
        </w:rPr>
        <w:t>did not attach (per the C&amp;P)</w:t>
      </w:r>
      <w:r>
        <w:rPr>
          <w:rFonts w:cs="Times New Roman"/>
          <w:color w:val="auto"/>
        </w:rPr>
        <w:t xml:space="preserve"> to achieve the minimal compensable </w:t>
      </w:r>
      <w:r w:rsidR="001016A5" w:rsidRPr="008F7A6E">
        <w:rPr>
          <w:rFonts w:cs="Times New Roman"/>
          <w:color w:val="auto"/>
        </w:rPr>
        <w:t>rating</w:t>
      </w:r>
      <w:r>
        <w:rPr>
          <w:rFonts w:cs="Times New Roman"/>
          <w:color w:val="auto"/>
        </w:rPr>
        <w:t xml:space="preserve">; the </w:t>
      </w:r>
      <w:r w:rsidR="005B2EFD">
        <w:rPr>
          <w:rFonts w:cs="Times New Roman"/>
          <w:color w:val="auto"/>
        </w:rPr>
        <w:t xml:space="preserve">VA’s </w:t>
      </w:r>
      <w:r>
        <w:rPr>
          <w:rFonts w:cs="Times New Roman"/>
          <w:color w:val="auto"/>
        </w:rPr>
        <w:t>0% rating was appropriate</w:t>
      </w:r>
      <w:r w:rsidR="005B2EFD">
        <w:rPr>
          <w:rFonts w:cs="Times New Roman"/>
          <w:color w:val="auto"/>
        </w:rPr>
        <w:t xml:space="preserve"> for the VA exam</w:t>
      </w:r>
      <w:r>
        <w:rPr>
          <w:rFonts w:cs="Times New Roman"/>
          <w:color w:val="auto"/>
        </w:rPr>
        <w:t xml:space="preserve">.  </w:t>
      </w:r>
      <w:r w:rsidR="001016A5" w:rsidRPr="006920A3">
        <w:rPr>
          <w:color w:val="auto"/>
        </w:rPr>
        <w:t>The MEB exam</w:t>
      </w:r>
      <w:r w:rsidR="00EA221C">
        <w:rPr>
          <w:color w:val="auto"/>
        </w:rPr>
        <w:t>;</w:t>
      </w:r>
      <w:r w:rsidR="001016A5" w:rsidRPr="006920A3">
        <w:rPr>
          <w:color w:val="auto"/>
        </w:rPr>
        <w:t xml:space="preserve"> however, did record pain with motion. </w:t>
      </w:r>
      <w:r>
        <w:rPr>
          <w:color w:val="auto"/>
        </w:rPr>
        <w:t xml:space="preserve"> </w:t>
      </w:r>
      <w:r w:rsidR="001016A5" w:rsidRPr="006920A3">
        <w:rPr>
          <w:color w:val="auto"/>
        </w:rPr>
        <w:t xml:space="preserve">The </w:t>
      </w:r>
      <w:r w:rsidR="00315C8D">
        <w:rPr>
          <w:color w:val="auto"/>
        </w:rPr>
        <w:t>PEB’s code,</w:t>
      </w:r>
      <w:r w:rsidR="00315C8D" w:rsidRPr="00315C8D">
        <w:rPr>
          <w:color w:val="auto"/>
        </w:rPr>
        <w:t xml:space="preserve"> </w:t>
      </w:r>
      <w:r w:rsidR="00315C8D" w:rsidRPr="006920A3">
        <w:rPr>
          <w:color w:val="auto"/>
        </w:rPr>
        <w:t>5099-5003 (</w:t>
      </w:r>
      <w:proofErr w:type="spellStart"/>
      <w:r w:rsidR="00315C8D" w:rsidRPr="006920A3">
        <w:rPr>
          <w:iCs/>
          <w:color w:val="auto"/>
        </w:rPr>
        <w:t>patellofemoral</w:t>
      </w:r>
      <w:proofErr w:type="spellEnd"/>
      <w:r w:rsidR="00315C8D" w:rsidRPr="006920A3">
        <w:rPr>
          <w:iCs/>
          <w:color w:val="auto"/>
        </w:rPr>
        <w:t xml:space="preserve"> pain syndrome analogous to </w:t>
      </w:r>
      <w:r w:rsidR="00315C8D">
        <w:rPr>
          <w:iCs/>
          <w:color w:val="auto"/>
        </w:rPr>
        <w:t>de</w:t>
      </w:r>
      <w:r w:rsidR="00315C8D" w:rsidRPr="006920A3">
        <w:rPr>
          <w:iCs/>
          <w:color w:val="auto"/>
        </w:rPr>
        <w:t>generative arthritis</w:t>
      </w:r>
      <w:r w:rsidR="00315C8D" w:rsidRPr="006920A3">
        <w:rPr>
          <w:color w:val="auto"/>
        </w:rPr>
        <w:t>)</w:t>
      </w:r>
      <w:r w:rsidR="00315C8D">
        <w:rPr>
          <w:color w:val="auto"/>
        </w:rPr>
        <w:t xml:space="preserve">, was appropriate to the clinical features.  </w:t>
      </w:r>
      <w:r w:rsidR="000836EB" w:rsidRPr="000836EB">
        <w:rPr>
          <w:color w:val="auto"/>
        </w:rPr>
        <w:t>There was no mechanical instability, locking or frequent effusions which would allow a rating higher than 10% under an alternate joint code; or, which would permit separately ratable codes.</w:t>
      </w:r>
      <w:r w:rsidR="000836EB">
        <w:rPr>
          <w:color w:val="auto"/>
        </w:rPr>
        <w:t xml:space="preserve">  </w:t>
      </w:r>
      <w:r w:rsidR="001016A5" w:rsidRPr="006920A3">
        <w:rPr>
          <w:rFonts w:cs="Times New Roman"/>
          <w:color w:val="auto"/>
        </w:rPr>
        <w:t>All evidence considered</w:t>
      </w:r>
      <w:proofErr w:type="gramStart"/>
      <w:r w:rsidR="001016A5" w:rsidRPr="006920A3">
        <w:rPr>
          <w:rFonts w:cs="Times New Roman"/>
          <w:color w:val="auto"/>
        </w:rPr>
        <w:t>,</w:t>
      </w:r>
      <w:proofErr w:type="gramEnd"/>
      <w:r w:rsidR="001016A5" w:rsidRPr="006920A3">
        <w:rPr>
          <w:rFonts w:cs="Times New Roman"/>
          <w:color w:val="auto"/>
        </w:rPr>
        <w:t xml:space="preserve"> there is not reasonable doubt in the CI’s favor supporting a change from the PEB’s </w:t>
      </w:r>
      <w:r w:rsidR="000836EB">
        <w:rPr>
          <w:rFonts w:cs="Times New Roman"/>
          <w:color w:val="auto"/>
        </w:rPr>
        <w:t>adjudication of</w:t>
      </w:r>
      <w:r w:rsidR="001016A5" w:rsidRPr="006920A3">
        <w:rPr>
          <w:rFonts w:cs="Times New Roman"/>
          <w:color w:val="auto"/>
        </w:rPr>
        <w:t xml:space="preserve"> the right knee condition.</w:t>
      </w:r>
    </w:p>
    <w:p w:rsidR="001016A5" w:rsidRPr="001F29F9" w:rsidRDefault="001016A5" w:rsidP="00A02AA8">
      <w:pPr>
        <w:jc w:val="both"/>
        <w:rPr>
          <w:color w:val="000000"/>
        </w:rPr>
      </w:pPr>
    </w:p>
    <w:p w:rsidR="001016A5" w:rsidRPr="001F29F9" w:rsidRDefault="001016A5" w:rsidP="00A02AA8">
      <w:pPr>
        <w:jc w:val="both"/>
        <w:rPr>
          <w:color w:val="000000"/>
        </w:rPr>
      </w:pPr>
      <w:proofErr w:type="gramStart"/>
      <w:r w:rsidRPr="00150C27">
        <w:rPr>
          <w:color w:val="000000"/>
          <w:u w:val="single"/>
        </w:rPr>
        <w:t>Remaining Conditions.</w:t>
      </w:r>
      <w:proofErr w:type="gramEnd"/>
      <w:r w:rsidRPr="00150C27">
        <w:rPr>
          <w:color w:val="000000"/>
        </w:rPr>
        <w:t xml:space="preserve"> Other conditions identified in the DES file were hearing loss, a concussion, and panic attacks. </w:t>
      </w:r>
      <w:r w:rsidR="000836EB">
        <w:rPr>
          <w:color w:val="000000"/>
        </w:rPr>
        <w:t xml:space="preserve"> </w:t>
      </w:r>
      <w:r w:rsidRPr="00150C27">
        <w:rPr>
          <w:color w:val="000000"/>
        </w:rPr>
        <w:t xml:space="preserve">Several additional non-acute conditions or medical complaints were also documented. </w:t>
      </w:r>
      <w:r w:rsidR="000836EB">
        <w:rPr>
          <w:color w:val="000000"/>
        </w:rPr>
        <w:t xml:space="preserve"> </w:t>
      </w:r>
      <w:r w:rsidRPr="00150C27">
        <w:rPr>
          <w:color w:val="000000"/>
        </w:rPr>
        <w:t>None of these conditions were significantly clinically or occupationally ac</w:t>
      </w:r>
      <w:r w:rsidR="000836EB">
        <w:rPr>
          <w:color w:val="000000"/>
        </w:rPr>
        <w:t>tive during the MEB period; none carried attached profiles;</w:t>
      </w:r>
      <w:r w:rsidRPr="00150C27">
        <w:rPr>
          <w:color w:val="000000"/>
        </w:rPr>
        <w:t xml:space="preserve"> and</w:t>
      </w:r>
      <w:r w:rsidR="000836EB">
        <w:rPr>
          <w:color w:val="000000"/>
        </w:rPr>
        <w:t>,</w:t>
      </w:r>
      <w:r w:rsidRPr="00150C27">
        <w:rPr>
          <w:color w:val="000000"/>
        </w:rPr>
        <w:t xml:space="preserve"> none were implicated in the commander’s statement. </w:t>
      </w:r>
      <w:r w:rsidR="000836EB">
        <w:rPr>
          <w:color w:val="000000"/>
        </w:rPr>
        <w:t xml:space="preserve"> </w:t>
      </w:r>
      <w:r w:rsidRPr="00150C27">
        <w:rPr>
          <w:color w:val="000000"/>
        </w:rPr>
        <w:t xml:space="preserve">These conditions were reviewed by the </w:t>
      </w:r>
      <w:r w:rsidR="00EA221C">
        <w:rPr>
          <w:color w:val="000000"/>
        </w:rPr>
        <w:t>a</w:t>
      </w:r>
      <w:r w:rsidR="000836EB" w:rsidRPr="00150C27">
        <w:rPr>
          <w:color w:val="000000"/>
        </w:rPr>
        <w:t xml:space="preserve">ction </w:t>
      </w:r>
      <w:r w:rsidR="00EA221C">
        <w:rPr>
          <w:color w:val="000000"/>
        </w:rPr>
        <w:t>o</w:t>
      </w:r>
      <w:r w:rsidR="000836EB" w:rsidRPr="00150C27">
        <w:rPr>
          <w:color w:val="000000"/>
        </w:rPr>
        <w:t xml:space="preserve">fficer </w:t>
      </w:r>
      <w:r w:rsidRPr="00150C27">
        <w:rPr>
          <w:color w:val="000000"/>
        </w:rPr>
        <w:t xml:space="preserve">and considered by the Board. </w:t>
      </w:r>
      <w:r w:rsidR="000836EB">
        <w:rPr>
          <w:color w:val="000000"/>
        </w:rPr>
        <w:t xml:space="preserve"> </w:t>
      </w:r>
      <w:r w:rsidRPr="00150C27">
        <w:rPr>
          <w:color w:val="000000"/>
        </w:rPr>
        <w:t xml:space="preserve">It was determined that none could be argued as unfitting and subject to separation rating. </w:t>
      </w:r>
      <w:r w:rsidR="000836EB">
        <w:rPr>
          <w:color w:val="000000"/>
        </w:rPr>
        <w:t xml:space="preserve"> </w:t>
      </w:r>
      <w:r w:rsidRPr="00150C27">
        <w:rPr>
          <w:color w:val="000000"/>
        </w:rPr>
        <w:t>The Board therefore has no reasonable basis for recommending any additional unfitting conditions for separation rating.</w:t>
      </w:r>
    </w:p>
    <w:p w:rsidR="001016A5" w:rsidRPr="001F29F9" w:rsidRDefault="001016A5" w:rsidP="00BF0E94">
      <w:pPr>
        <w:pBdr>
          <w:bottom w:val="single" w:sz="12" w:space="1" w:color="auto"/>
        </w:pBdr>
        <w:tabs>
          <w:tab w:val="left" w:pos="288"/>
          <w:tab w:val="left" w:pos="4752"/>
        </w:tabs>
        <w:jc w:val="both"/>
        <w:rPr>
          <w:color w:val="000000"/>
        </w:rPr>
      </w:pPr>
    </w:p>
    <w:p w:rsidR="001016A5" w:rsidRPr="003C53E8" w:rsidRDefault="001016A5" w:rsidP="006920A3">
      <w:pPr>
        <w:jc w:val="both"/>
        <w:rPr>
          <w:rFonts w:cs="Times New Roman"/>
          <w:color w:val="auto"/>
        </w:rPr>
      </w:pPr>
      <w:r w:rsidRPr="001F29F9">
        <w:rPr>
          <w:color w:val="000000"/>
          <w:u w:val="single"/>
        </w:rPr>
        <w:lastRenderedPageBreak/>
        <w:t>BOARD FINDINGS</w:t>
      </w:r>
      <w:r w:rsidRPr="001F29F9">
        <w:rPr>
          <w:color w:val="000000"/>
        </w:rPr>
        <w:t xml:space="preserve">:  IAW </w:t>
      </w:r>
      <w:proofErr w:type="spellStart"/>
      <w:r w:rsidRPr="001F29F9">
        <w:rPr>
          <w:color w:val="000000"/>
        </w:rPr>
        <w:t>DoDI</w:t>
      </w:r>
      <w:proofErr w:type="spellEnd"/>
      <w:r w:rsidRPr="001F29F9">
        <w:rPr>
          <w:color w:val="000000"/>
        </w:rPr>
        <w:t xml:space="preserve"> 6040.44, provisions of </w:t>
      </w:r>
      <w:proofErr w:type="spellStart"/>
      <w:r w:rsidRPr="001F29F9">
        <w:rPr>
          <w:color w:val="000000"/>
        </w:rPr>
        <w:t>DoD</w:t>
      </w:r>
      <w:proofErr w:type="spellEnd"/>
      <w:r w:rsidRPr="001F29F9">
        <w:rPr>
          <w:color w:val="000000"/>
        </w:rPr>
        <w:t xml:space="preserve">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 xml:space="preserve">. </w:t>
      </w:r>
      <w:r w:rsidR="000836EB">
        <w:rPr>
          <w:rFonts w:cs="Times New Roman"/>
          <w:color w:val="auto"/>
        </w:rPr>
        <w:t xml:space="preserve"> </w:t>
      </w:r>
      <w:r w:rsidRPr="003C53E8">
        <w:rPr>
          <w:rFonts w:cs="Times New Roman"/>
          <w:color w:val="auto"/>
        </w:rPr>
        <w:t xml:space="preserve">The Board did not surmise from the record or </w:t>
      </w:r>
      <w:r w:rsidRPr="00150C27">
        <w:rPr>
          <w:rFonts w:cs="Times New Roman"/>
          <w:color w:val="auto"/>
        </w:rPr>
        <w:t>PEB ruling in this case that any prerogatives outside the VASRD were exercised.</w:t>
      </w:r>
      <w:r w:rsidR="000836EB">
        <w:rPr>
          <w:rFonts w:cs="Times New Roman"/>
          <w:color w:val="auto"/>
        </w:rPr>
        <w:t xml:space="preserve"> </w:t>
      </w:r>
      <w:r w:rsidRPr="00150C27">
        <w:rPr>
          <w:rFonts w:cs="Times New Roman"/>
          <w:color w:val="auto"/>
        </w:rPr>
        <w:t xml:space="preserve"> In the matter of the right knee condition and IAW VASRD §4.71a, the Board unanimously recommends no change in the PEB adjudication.</w:t>
      </w:r>
      <w:r w:rsidR="000836EB">
        <w:rPr>
          <w:rFonts w:cs="Times New Roman"/>
          <w:color w:val="auto"/>
        </w:rPr>
        <w:t xml:space="preserve"> </w:t>
      </w:r>
      <w:r w:rsidRPr="00150C27">
        <w:rPr>
          <w:rFonts w:cs="Times New Roman"/>
          <w:color w:val="auto"/>
        </w:rPr>
        <w:t xml:space="preserve"> The Board unanimously agrees that there were no other conditions eligible for Board consideration, which could be recommended as additionally unfitting for rating at separation.</w:t>
      </w:r>
    </w:p>
    <w:p w:rsidR="001016A5" w:rsidRPr="001F29F9" w:rsidRDefault="001016A5" w:rsidP="00BF0E94">
      <w:pPr>
        <w:pBdr>
          <w:bottom w:val="single" w:sz="12" w:space="1" w:color="auto"/>
        </w:pBdr>
        <w:tabs>
          <w:tab w:val="left" w:pos="288"/>
          <w:tab w:val="left" w:pos="4752"/>
        </w:tabs>
        <w:jc w:val="both"/>
        <w:rPr>
          <w:color w:val="000000"/>
        </w:rPr>
      </w:pPr>
    </w:p>
    <w:p w:rsidR="001016A5" w:rsidRPr="001F29F9" w:rsidRDefault="001016A5" w:rsidP="006364ED">
      <w:pPr>
        <w:jc w:val="left"/>
        <w:rPr>
          <w:color w:val="000000"/>
        </w:rPr>
      </w:pPr>
    </w:p>
    <w:p w:rsidR="001016A5" w:rsidRPr="001F29F9" w:rsidRDefault="001016A5" w:rsidP="00BF0E94">
      <w:pPr>
        <w:jc w:val="both"/>
        <w:rPr>
          <w:color w:val="000000"/>
        </w:rPr>
      </w:pPr>
      <w:r w:rsidRPr="001F29F9">
        <w:rPr>
          <w:color w:val="000000"/>
          <w:u w:val="single"/>
        </w:rPr>
        <w:t>RECOMMENDATION</w:t>
      </w:r>
      <w:r w:rsidRPr="001F29F9">
        <w:rPr>
          <w:color w:val="000000"/>
        </w:rPr>
        <w:t>: The Board, therefore, recommends that there be no re</w:t>
      </w:r>
      <w:r w:rsidR="000E5DE7">
        <w:rPr>
          <w:color w:val="000000"/>
        </w:rPr>
        <w:t>-</w:t>
      </w:r>
      <w:r w:rsidRPr="001F29F9">
        <w:rPr>
          <w:color w:val="000000"/>
        </w:rPr>
        <w:t>characterization of the CI’s disability and separation determination</w:t>
      </w:r>
      <w:r w:rsidR="00F40185">
        <w:rPr>
          <w:color w:val="000000"/>
        </w:rPr>
        <w:t>.</w:t>
      </w:r>
    </w:p>
    <w:p w:rsidR="001016A5" w:rsidRPr="001F29F9" w:rsidRDefault="001016A5"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8"/>
        <w:gridCol w:w="1620"/>
        <w:gridCol w:w="1008"/>
      </w:tblGrid>
      <w:tr w:rsidR="001016A5" w:rsidRPr="000D5DBE" w:rsidTr="000836EB">
        <w:trPr>
          <w:trHeight w:val="233"/>
          <w:jc w:val="center"/>
        </w:trPr>
        <w:tc>
          <w:tcPr>
            <w:tcW w:w="6678" w:type="dxa"/>
            <w:shd w:val="clear" w:color="auto" w:fill="D9D9D9"/>
            <w:vAlign w:val="center"/>
          </w:tcPr>
          <w:p w:rsidR="001016A5" w:rsidRPr="000D5DBE" w:rsidRDefault="001016A5" w:rsidP="00BF0E94">
            <w:pPr>
              <w:tabs>
                <w:tab w:val="left" w:pos="288"/>
                <w:tab w:val="left" w:pos="4752"/>
              </w:tabs>
              <w:rPr>
                <w:b/>
                <w:color w:val="000000"/>
              </w:rPr>
            </w:pPr>
            <w:r w:rsidRPr="000D5DBE">
              <w:rPr>
                <w:b/>
                <w:color w:val="000000"/>
              </w:rPr>
              <w:t>UNFITTING CONDITION</w:t>
            </w:r>
          </w:p>
        </w:tc>
        <w:tc>
          <w:tcPr>
            <w:tcW w:w="1620" w:type="dxa"/>
            <w:shd w:val="clear" w:color="auto" w:fill="D9D9D9"/>
            <w:vAlign w:val="center"/>
          </w:tcPr>
          <w:p w:rsidR="001016A5" w:rsidRPr="000D5DBE" w:rsidRDefault="001016A5" w:rsidP="00BF0E94">
            <w:pPr>
              <w:tabs>
                <w:tab w:val="left" w:pos="288"/>
                <w:tab w:val="left" w:pos="4752"/>
              </w:tabs>
              <w:rPr>
                <w:b/>
                <w:color w:val="000000"/>
              </w:rPr>
            </w:pPr>
            <w:r w:rsidRPr="000D5DBE">
              <w:rPr>
                <w:b/>
                <w:color w:val="000000"/>
              </w:rPr>
              <w:t>VASRD CODE</w:t>
            </w:r>
          </w:p>
        </w:tc>
        <w:tc>
          <w:tcPr>
            <w:tcW w:w="1008" w:type="dxa"/>
            <w:shd w:val="clear" w:color="auto" w:fill="D9D9D9"/>
            <w:vAlign w:val="center"/>
          </w:tcPr>
          <w:p w:rsidR="001016A5" w:rsidRPr="000D5DBE" w:rsidRDefault="001016A5" w:rsidP="00BF0E94">
            <w:pPr>
              <w:tabs>
                <w:tab w:val="left" w:pos="288"/>
                <w:tab w:val="left" w:pos="4752"/>
              </w:tabs>
              <w:rPr>
                <w:b/>
                <w:color w:val="000000"/>
              </w:rPr>
            </w:pPr>
            <w:r w:rsidRPr="000D5DBE">
              <w:rPr>
                <w:b/>
                <w:color w:val="000000"/>
              </w:rPr>
              <w:t>RATING</w:t>
            </w:r>
          </w:p>
        </w:tc>
      </w:tr>
      <w:tr w:rsidR="001016A5" w:rsidRPr="000D5DBE" w:rsidTr="000836EB">
        <w:trPr>
          <w:jc w:val="center"/>
        </w:trPr>
        <w:tc>
          <w:tcPr>
            <w:tcW w:w="6678" w:type="dxa"/>
            <w:vAlign w:val="center"/>
          </w:tcPr>
          <w:p w:rsidR="001016A5" w:rsidRPr="000D5DBE" w:rsidRDefault="001016A5" w:rsidP="00BF0E94">
            <w:pPr>
              <w:tabs>
                <w:tab w:val="left" w:pos="288"/>
                <w:tab w:val="left" w:pos="4752"/>
              </w:tabs>
              <w:jc w:val="left"/>
              <w:rPr>
                <w:color w:val="000000"/>
              </w:rPr>
            </w:pPr>
            <w:r w:rsidRPr="000D5DBE">
              <w:rPr>
                <w:color w:val="000000"/>
              </w:rPr>
              <w:t>Chronic Right Knee Pain</w:t>
            </w:r>
          </w:p>
        </w:tc>
        <w:tc>
          <w:tcPr>
            <w:tcW w:w="1620" w:type="dxa"/>
            <w:vAlign w:val="center"/>
          </w:tcPr>
          <w:p w:rsidR="001016A5" w:rsidRPr="000D5DBE" w:rsidRDefault="001016A5" w:rsidP="00BF0E94">
            <w:pPr>
              <w:tabs>
                <w:tab w:val="left" w:pos="288"/>
                <w:tab w:val="left" w:pos="4752"/>
              </w:tabs>
              <w:rPr>
                <w:color w:val="000000"/>
              </w:rPr>
            </w:pPr>
            <w:r w:rsidRPr="000D5DBE">
              <w:rPr>
                <w:color w:val="000000"/>
              </w:rPr>
              <w:t>5099-5003</w:t>
            </w:r>
          </w:p>
        </w:tc>
        <w:tc>
          <w:tcPr>
            <w:tcW w:w="1008" w:type="dxa"/>
            <w:vAlign w:val="center"/>
          </w:tcPr>
          <w:p w:rsidR="001016A5" w:rsidRPr="000D5DBE" w:rsidRDefault="001016A5" w:rsidP="00BF0E94">
            <w:pPr>
              <w:tabs>
                <w:tab w:val="left" w:pos="288"/>
                <w:tab w:val="left" w:pos="4752"/>
              </w:tabs>
              <w:rPr>
                <w:color w:val="000000"/>
              </w:rPr>
            </w:pPr>
            <w:r w:rsidRPr="000D5DBE">
              <w:rPr>
                <w:color w:val="000000"/>
              </w:rPr>
              <w:t>10%</w:t>
            </w:r>
          </w:p>
        </w:tc>
      </w:tr>
      <w:tr w:rsidR="001016A5" w:rsidRPr="000D5DBE" w:rsidTr="000836EB">
        <w:tblPrEx>
          <w:tblLook w:val="0000"/>
        </w:tblPrEx>
        <w:trPr>
          <w:gridBefore w:val="1"/>
          <w:wBefore w:w="6678" w:type="dxa"/>
          <w:trHeight w:val="152"/>
          <w:jc w:val="center"/>
        </w:trPr>
        <w:tc>
          <w:tcPr>
            <w:tcW w:w="1620" w:type="dxa"/>
            <w:tcBorders>
              <w:left w:val="single" w:sz="4" w:space="0" w:color="auto"/>
            </w:tcBorders>
            <w:shd w:val="clear" w:color="auto" w:fill="D9D9D9"/>
            <w:vAlign w:val="center"/>
          </w:tcPr>
          <w:p w:rsidR="001016A5" w:rsidRPr="000D5DBE" w:rsidRDefault="001016A5" w:rsidP="00BF0E94">
            <w:pPr>
              <w:tabs>
                <w:tab w:val="left" w:pos="288"/>
                <w:tab w:val="left" w:pos="4752"/>
              </w:tabs>
              <w:rPr>
                <w:b/>
                <w:color w:val="000000"/>
              </w:rPr>
            </w:pPr>
            <w:r w:rsidRPr="000D5DBE">
              <w:rPr>
                <w:b/>
                <w:color w:val="000000"/>
              </w:rPr>
              <w:t>COMBINED</w:t>
            </w:r>
          </w:p>
        </w:tc>
        <w:tc>
          <w:tcPr>
            <w:tcW w:w="1008" w:type="dxa"/>
            <w:shd w:val="clear" w:color="auto" w:fill="D9D9D9"/>
            <w:vAlign w:val="center"/>
          </w:tcPr>
          <w:p w:rsidR="001016A5" w:rsidRPr="000D5DBE" w:rsidRDefault="001016A5" w:rsidP="00BF0E94">
            <w:pPr>
              <w:tabs>
                <w:tab w:val="left" w:pos="288"/>
                <w:tab w:val="left" w:pos="4752"/>
              </w:tabs>
              <w:rPr>
                <w:b/>
                <w:color w:val="000000"/>
              </w:rPr>
            </w:pPr>
            <w:r w:rsidRPr="000D5DBE">
              <w:rPr>
                <w:b/>
                <w:color w:val="000000"/>
              </w:rPr>
              <w:t>10%</w:t>
            </w:r>
          </w:p>
        </w:tc>
      </w:tr>
    </w:tbl>
    <w:p w:rsidR="001016A5" w:rsidRPr="001F29F9" w:rsidRDefault="001016A5" w:rsidP="00BF0E94">
      <w:pPr>
        <w:pBdr>
          <w:bottom w:val="single" w:sz="12" w:space="1" w:color="auto"/>
        </w:pBdr>
        <w:tabs>
          <w:tab w:val="left" w:pos="288"/>
          <w:tab w:val="left" w:pos="4752"/>
        </w:tabs>
        <w:jc w:val="both"/>
        <w:rPr>
          <w:color w:val="000000"/>
        </w:rPr>
      </w:pPr>
    </w:p>
    <w:p w:rsidR="001016A5" w:rsidRPr="001F29F9" w:rsidRDefault="001016A5" w:rsidP="00BF0E94">
      <w:pPr>
        <w:rPr>
          <w:color w:val="000000"/>
        </w:rPr>
      </w:pPr>
    </w:p>
    <w:p w:rsidR="001016A5" w:rsidRPr="001F29F9" w:rsidRDefault="001016A5" w:rsidP="00BF0E94">
      <w:pPr>
        <w:tabs>
          <w:tab w:val="left" w:pos="288"/>
          <w:tab w:val="left" w:pos="4752"/>
        </w:tabs>
        <w:jc w:val="both"/>
        <w:rPr>
          <w:color w:val="000000"/>
        </w:rPr>
      </w:pPr>
      <w:r w:rsidRPr="001F29F9">
        <w:rPr>
          <w:color w:val="000000"/>
        </w:rPr>
        <w:t>The following documentary evidence was considered:</w:t>
      </w:r>
    </w:p>
    <w:p w:rsidR="001016A5" w:rsidRPr="001F29F9" w:rsidRDefault="001016A5" w:rsidP="00B3575C">
      <w:pPr>
        <w:tabs>
          <w:tab w:val="left" w:pos="288"/>
          <w:tab w:val="left" w:pos="4752"/>
        </w:tabs>
        <w:spacing w:line="440" w:lineRule="exact"/>
        <w:jc w:val="both"/>
        <w:rPr>
          <w:color w:val="000000"/>
        </w:rPr>
      </w:pPr>
      <w:r w:rsidRPr="001F29F9">
        <w:rPr>
          <w:color w:val="000000"/>
        </w:rPr>
        <w:t>Exhibit A.  DD F</w:t>
      </w:r>
      <w:r w:rsidR="00EA221C">
        <w:rPr>
          <w:color w:val="000000"/>
        </w:rPr>
        <w:t>orm 294, dated 20110815 w/</w:t>
      </w:r>
      <w:proofErr w:type="spellStart"/>
      <w:r w:rsidR="00EA221C">
        <w:rPr>
          <w:color w:val="000000"/>
        </w:rPr>
        <w:t>atchs</w:t>
      </w:r>
      <w:proofErr w:type="spellEnd"/>
    </w:p>
    <w:p w:rsidR="001016A5" w:rsidRPr="001F29F9" w:rsidRDefault="001016A5" w:rsidP="00BF0E94">
      <w:pPr>
        <w:tabs>
          <w:tab w:val="left" w:pos="288"/>
          <w:tab w:val="left" w:pos="4752"/>
        </w:tabs>
        <w:jc w:val="both"/>
        <w:rPr>
          <w:color w:val="000000"/>
        </w:rPr>
      </w:pPr>
      <w:r w:rsidRPr="001F29F9">
        <w:rPr>
          <w:color w:val="000000"/>
        </w:rPr>
        <w:t>Exhib</w:t>
      </w:r>
      <w:r w:rsidR="00EA221C">
        <w:rPr>
          <w:color w:val="000000"/>
        </w:rPr>
        <w:t>it B.  Service Treatment Record</w:t>
      </w:r>
    </w:p>
    <w:p w:rsidR="001016A5" w:rsidRPr="001F29F9" w:rsidRDefault="001016A5" w:rsidP="00BF0E94">
      <w:pPr>
        <w:tabs>
          <w:tab w:val="left" w:pos="288"/>
          <w:tab w:val="left" w:pos="4752"/>
        </w:tabs>
        <w:jc w:val="both"/>
        <w:rPr>
          <w:color w:val="000000"/>
        </w:rPr>
      </w:pPr>
      <w:r w:rsidRPr="001F29F9">
        <w:rPr>
          <w:color w:val="000000"/>
        </w:rPr>
        <w:t>Exhibit C.  Department of Ve</w:t>
      </w:r>
      <w:r w:rsidR="00EA221C">
        <w:rPr>
          <w:color w:val="000000"/>
        </w:rPr>
        <w:t>terans Affairs Treatment Record</w:t>
      </w:r>
    </w:p>
    <w:p w:rsidR="001016A5" w:rsidRPr="001F29F9" w:rsidRDefault="001016A5" w:rsidP="00BF0E94">
      <w:pP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p>
    <w:p w:rsidR="001016A5" w:rsidRPr="001F29F9" w:rsidRDefault="001016A5" w:rsidP="00BF0E94">
      <w:pPr>
        <w:tabs>
          <w:tab w:val="left" w:pos="288"/>
          <w:tab w:val="left" w:pos="4752"/>
        </w:tabs>
        <w:jc w:val="both"/>
        <w:rPr>
          <w:color w:val="000000"/>
        </w:rPr>
      </w:pPr>
    </w:p>
    <w:p w:rsidR="001016A5" w:rsidRPr="001F29F9" w:rsidRDefault="001016A5" w:rsidP="00BF0E94">
      <w:pPr>
        <w:tabs>
          <w:tab w:val="left" w:pos="0"/>
          <w:tab w:val="left" w:pos="4320"/>
        </w:tabs>
        <w:jc w:val="both"/>
        <w:rPr>
          <w:color w:val="000000"/>
        </w:rPr>
      </w:pPr>
      <w:r w:rsidRPr="001F29F9">
        <w:rPr>
          <w:color w:val="000000"/>
        </w:rPr>
        <w:tab/>
        <w:t xml:space="preserve">           President</w:t>
      </w:r>
    </w:p>
    <w:p w:rsidR="002A3F9C" w:rsidRDefault="001016A5" w:rsidP="00BF0E94">
      <w:pPr>
        <w:tabs>
          <w:tab w:val="left" w:pos="0"/>
          <w:tab w:val="left" w:pos="4320"/>
        </w:tabs>
        <w:jc w:val="both"/>
        <w:rPr>
          <w:color w:val="000000"/>
        </w:rPr>
      </w:pPr>
      <w:r w:rsidRPr="001F29F9">
        <w:rPr>
          <w:color w:val="000000"/>
        </w:rPr>
        <w:tab/>
        <w:t xml:space="preserve">           Physical Disability Board of Review</w:t>
      </w:r>
    </w:p>
    <w:p w:rsidR="002A3F9C" w:rsidRDefault="002A3F9C">
      <w:pPr>
        <w:spacing w:line="240" w:lineRule="auto"/>
        <w:jc w:val="left"/>
        <w:rPr>
          <w:color w:val="000000"/>
        </w:rPr>
      </w:pPr>
      <w:r>
        <w:rPr>
          <w:color w:val="000000"/>
        </w:rPr>
        <w:br w:type="page"/>
      </w:r>
    </w:p>
    <w:p w:rsidR="002A3F9C" w:rsidRDefault="002A3F9C" w:rsidP="002A3F9C">
      <w:pPr>
        <w:pStyle w:val="Header"/>
        <w:tabs>
          <w:tab w:val="clear" w:pos="4320"/>
          <w:tab w:val="clear" w:pos="8640"/>
        </w:tabs>
        <w:jc w:val="left"/>
      </w:pPr>
      <w:r>
        <w:lastRenderedPageBreak/>
        <w:t>SFMR-RB</w:t>
      </w:r>
      <w:r>
        <w:tab/>
      </w:r>
      <w:r>
        <w:tab/>
      </w:r>
      <w:r>
        <w:tab/>
      </w:r>
      <w:r>
        <w:tab/>
      </w:r>
      <w:r>
        <w:tab/>
      </w:r>
      <w:r>
        <w:tab/>
      </w:r>
      <w:r>
        <w:tab/>
      </w:r>
      <w:r>
        <w:tab/>
      </w:r>
      <w:r>
        <w:tab/>
      </w:r>
    </w:p>
    <w:p w:rsidR="002A3F9C" w:rsidRDefault="002A3F9C" w:rsidP="002A3F9C">
      <w:pPr>
        <w:pStyle w:val="Header"/>
        <w:tabs>
          <w:tab w:val="clear" w:pos="4320"/>
          <w:tab w:val="clear" w:pos="8640"/>
        </w:tabs>
        <w:jc w:val="left"/>
      </w:pPr>
    </w:p>
    <w:p w:rsidR="002A3F9C" w:rsidRDefault="002A3F9C" w:rsidP="002A3F9C">
      <w:pPr>
        <w:jc w:val="left"/>
      </w:pPr>
    </w:p>
    <w:p w:rsidR="002A3F9C" w:rsidRDefault="002A3F9C" w:rsidP="002A3F9C">
      <w:pPr>
        <w:jc w:val="left"/>
      </w:pPr>
      <w:r>
        <w:t xml:space="preserve">MEMORANDUM FOR Commander, US Army Physical Disability Agency </w:t>
      </w:r>
    </w:p>
    <w:p w:rsidR="002A3F9C" w:rsidRDefault="002A3F9C" w:rsidP="002A3F9C">
      <w:pPr>
        <w:jc w:val="left"/>
      </w:pPr>
      <w:r>
        <w:t xml:space="preserve"> </w:t>
      </w:r>
    </w:p>
    <w:p w:rsidR="002A3F9C" w:rsidRDefault="002A3F9C" w:rsidP="002A3F9C">
      <w:pPr>
        <w:jc w:val="left"/>
      </w:pPr>
    </w:p>
    <w:p w:rsidR="002A3F9C" w:rsidRDefault="002A3F9C" w:rsidP="002A3F9C">
      <w:pPr>
        <w:ind w:right="-180"/>
        <w:jc w:val="left"/>
      </w:pPr>
      <w:r>
        <w:t xml:space="preserve">SUBJECT:  Department of Defense Physical Disability Board of Review Recommendation  </w:t>
      </w:r>
    </w:p>
    <w:p w:rsidR="002A3F9C" w:rsidRDefault="002A3F9C" w:rsidP="002A3F9C">
      <w:pPr>
        <w:pStyle w:val="Header"/>
        <w:tabs>
          <w:tab w:val="clear" w:pos="4320"/>
          <w:tab w:val="clear" w:pos="8640"/>
        </w:tabs>
        <w:jc w:val="left"/>
      </w:pPr>
    </w:p>
    <w:p w:rsidR="002A3F9C" w:rsidRDefault="002A3F9C" w:rsidP="002A3F9C">
      <w:pPr>
        <w:jc w:val="left"/>
      </w:pPr>
    </w:p>
    <w:p w:rsidR="002A3F9C" w:rsidRDefault="002A3F9C" w:rsidP="002A3F9C">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A3F9C" w:rsidRDefault="002A3F9C" w:rsidP="002A3F9C">
      <w:pPr>
        <w:jc w:val="left"/>
      </w:pPr>
    </w:p>
    <w:p w:rsidR="002A3F9C" w:rsidRDefault="002A3F9C" w:rsidP="002A3F9C">
      <w:pPr>
        <w:jc w:val="left"/>
      </w:pPr>
      <w:r>
        <w:t>This decision is final.  The individual concerned, counsel (if any), and any Members of Congress who have shown interest in this application have been notified of this decision by mail.</w:t>
      </w:r>
    </w:p>
    <w:p w:rsidR="002A3F9C" w:rsidRDefault="002A3F9C" w:rsidP="002A3F9C">
      <w:pPr>
        <w:jc w:val="left"/>
      </w:pPr>
    </w:p>
    <w:p w:rsidR="002A3F9C" w:rsidRDefault="002A3F9C" w:rsidP="002A3F9C">
      <w:pPr>
        <w:jc w:val="left"/>
      </w:pPr>
      <w:r>
        <w:t xml:space="preserve"> BY ORDER OF THE SECRETARY OF THE ARMY:</w:t>
      </w:r>
    </w:p>
    <w:p w:rsidR="002A3F9C" w:rsidRDefault="002A3F9C" w:rsidP="002A3F9C">
      <w:pPr>
        <w:jc w:val="left"/>
      </w:pPr>
    </w:p>
    <w:p w:rsidR="002A3F9C" w:rsidRDefault="002A3F9C" w:rsidP="002A3F9C">
      <w:pPr>
        <w:jc w:val="left"/>
      </w:pPr>
    </w:p>
    <w:p w:rsidR="002A3F9C" w:rsidRDefault="002A3F9C" w:rsidP="002A3F9C">
      <w:pPr>
        <w:pStyle w:val="Header"/>
        <w:tabs>
          <w:tab w:val="clear" w:pos="4320"/>
          <w:tab w:val="clear" w:pos="8640"/>
        </w:tabs>
        <w:jc w:val="left"/>
      </w:pPr>
    </w:p>
    <w:p w:rsidR="002A3F9C" w:rsidRDefault="002A3F9C" w:rsidP="002A3F9C">
      <w:pPr>
        <w:jc w:val="left"/>
      </w:pPr>
    </w:p>
    <w:p w:rsidR="002A3F9C" w:rsidRDefault="002A3F9C" w:rsidP="002A3F9C">
      <w:pPr>
        <w:jc w:val="left"/>
      </w:pPr>
      <w:bookmarkStart w:id="0" w:name="OLE_LINK3"/>
      <w:bookmarkStart w:id="1" w:name="OLE_LINK4"/>
      <w:r>
        <w:t>Encl</w:t>
      </w:r>
      <w:r>
        <w:tab/>
      </w:r>
      <w:r>
        <w:tab/>
      </w:r>
      <w:r>
        <w:tab/>
      </w:r>
      <w:r>
        <w:tab/>
      </w:r>
      <w:r>
        <w:tab/>
      </w:r>
      <w:r>
        <w:tab/>
        <w:t xml:space="preserve">   </w:t>
      </w:r>
    </w:p>
    <w:p w:rsidR="002A3F9C" w:rsidRDefault="002A3F9C" w:rsidP="002A3F9C">
      <w:pPr>
        <w:jc w:val="left"/>
      </w:pPr>
      <w:r>
        <w:tab/>
      </w:r>
      <w:r>
        <w:tab/>
      </w:r>
      <w:r>
        <w:tab/>
      </w:r>
      <w:r>
        <w:tab/>
      </w:r>
      <w:r>
        <w:tab/>
      </w:r>
      <w:r>
        <w:tab/>
        <w:t xml:space="preserve">     Deputy Assistant Secretary</w:t>
      </w:r>
    </w:p>
    <w:p w:rsidR="002A3F9C" w:rsidRDefault="002A3F9C" w:rsidP="002A3F9C">
      <w:pPr>
        <w:jc w:val="left"/>
      </w:pPr>
      <w:r>
        <w:tab/>
      </w:r>
      <w:r>
        <w:tab/>
      </w:r>
      <w:r>
        <w:tab/>
      </w:r>
      <w:r>
        <w:tab/>
      </w:r>
      <w:r>
        <w:tab/>
      </w:r>
      <w:r>
        <w:tab/>
        <w:t xml:space="preserve">         (Army Review Boards)</w:t>
      </w:r>
      <w:bookmarkEnd w:id="0"/>
      <w:bookmarkEnd w:id="1"/>
    </w:p>
    <w:p w:rsidR="001016A5" w:rsidRPr="001F29F9" w:rsidRDefault="001016A5" w:rsidP="00BF0E94">
      <w:pPr>
        <w:tabs>
          <w:tab w:val="left" w:pos="0"/>
          <w:tab w:val="left" w:pos="4320"/>
        </w:tabs>
        <w:jc w:val="both"/>
        <w:rPr>
          <w:color w:val="000000"/>
        </w:rPr>
      </w:pPr>
    </w:p>
    <w:p w:rsidR="001016A5" w:rsidRDefault="001016A5" w:rsidP="00BF0E94">
      <w:pPr>
        <w:rPr>
          <w:color w:val="000000"/>
          <w:u w:val="single"/>
        </w:rPr>
      </w:pPr>
    </w:p>
    <w:p w:rsidR="001779D4" w:rsidRPr="000836EB" w:rsidRDefault="001779D4">
      <w:pPr>
        <w:jc w:val="both"/>
        <w:rPr>
          <w:b/>
          <w:color w:val="000000"/>
        </w:rPr>
      </w:pPr>
    </w:p>
    <w:sectPr w:rsidR="001779D4" w:rsidRPr="000836EB"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A8" w:rsidRDefault="009616A8">
      <w:r>
        <w:separator/>
      </w:r>
    </w:p>
  </w:endnote>
  <w:endnote w:type="continuationSeparator" w:id="0">
    <w:p w:rsidR="009616A8" w:rsidRDefault="00961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A5" w:rsidRPr="00374247" w:rsidRDefault="001016A5" w:rsidP="00374247">
    <w:pPr>
      <w:pStyle w:val="Footer"/>
      <w:ind w:firstLine="4320"/>
      <w:rPr>
        <w:color w:val="auto"/>
      </w:rPr>
    </w:pPr>
    <w:r w:rsidRPr="00374247">
      <w:rPr>
        <w:color w:val="auto"/>
      </w:rPr>
      <w:t xml:space="preserve">   </w:t>
    </w:r>
    <w:fldSimple w:instr=" PAGE   \* MERGEFORMAT ">
      <w:r w:rsidR="002A3F9C" w:rsidRPr="002A3F9C">
        <w:rPr>
          <w:noProof/>
          <w:color w:val="auto"/>
        </w:rPr>
        <w:t>3</w:t>
      </w:r>
    </w:fldSimple>
    <w:r w:rsidRPr="00374247">
      <w:rPr>
        <w:color w:val="auto"/>
      </w:rPr>
      <w:t xml:space="preserve">                                                           </w:t>
    </w:r>
    <w:r w:rsidRPr="001D64F3">
      <w:rPr>
        <w:color w:val="auto"/>
      </w:rPr>
      <w:t>PD</w:t>
    </w:r>
    <w:r w:rsidRPr="00B83A5B">
      <w:rPr>
        <w:color w:val="auto"/>
      </w:rPr>
      <w:t>1100645</w:t>
    </w:r>
  </w:p>
  <w:p w:rsidR="001016A5" w:rsidRPr="00684CE6" w:rsidRDefault="001016A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A8" w:rsidRDefault="009616A8">
      <w:r>
        <w:separator/>
      </w:r>
    </w:p>
  </w:footnote>
  <w:footnote w:type="continuationSeparator" w:id="0">
    <w:p w:rsidR="009616A8" w:rsidRDefault="0096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372D"/>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36EB"/>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5DE7"/>
    <w:rsid w:val="000E7034"/>
    <w:rsid w:val="000F02BE"/>
    <w:rsid w:val="000F0928"/>
    <w:rsid w:val="000F0B3D"/>
    <w:rsid w:val="000F1E65"/>
    <w:rsid w:val="000F427B"/>
    <w:rsid w:val="000F43D0"/>
    <w:rsid w:val="000F4B6B"/>
    <w:rsid w:val="000F4F18"/>
    <w:rsid w:val="000F688E"/>
    <w:rsid w:val="000F7181"/>
    <w:rsid w:val="000F7581"/>
    <w:rsid w:val="001007CE"/>
    <w:rsid w:val="001008C1"/>
    <w:rsid w:val="001016A5"/>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C27"/>
    <w:rsid w:val="00150DCB"/>
    <w:rsid w:val="00151912"/>
    <w:rsid w:val="00153740"/>
    <w:rsid w:val="001537D8"/>
    <w:rsid w:val="00153D00"/>
    <w:rsid w:val="00153D88"/>
    <w:rsid w:val="001541C5"/>
    <w:rsid w:val="0015623F"/>
    <w:rsid w:val="00156585"/>
    <w:rsid w:val="00156BA9"/>
    <w:rsid w:val="00160202"/>
    <w:rsid w:val="00161642"/>
    <w:rsid w:val="00161761"/>
    <w:rsid w:val="00166182"/>
    <w:rsid w:val="0017038B"/>
    <w:rsid w:val="00170C94"/>
    <w:rsid w:val="00170FB4"/>
    <w:rsid w:val="0017139A"/>
    <w:rsid w:val="001724C8"/>
    <w:rsid w:val="001732C4"/>
    <w:rsid w:val="001745DD"/>
    <w:rsid w:val="00174FDE"/>
    <w:rsid w:val="00174FE3"/>
    <w:rsid w:val="00176D63"/>
    <w:rsid w:val="00177319"/>
    <w:rsid w:val="00177659"/>
    <w:rsid w:val="001779D4"/>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B21"/>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5F5C"/>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08B"/>
    <w:rsid w:val="00257538"/>
    <w:rsid w:val="00257AFF"/>
    <w:rsid w:val="00257DE5"/>
    <w:rsid w:val="00260531"/>
    <w:rsid w:val="00260B9A"/>
    <w:rsid w:val="00262EA5"/>
    <w:rsid w:val="0026318D"/>
    <w:rsid w:val="00264148"/>
    <w:rsid w:val="00264EFD"/>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59E"/>
    <w:rsid w:val="00293DB6"/>
    <w:rsid w:val="00293FE8"/>
    <w:rsid w:val="00294437"/>
    <w:rsid w:val="00296686"/>
    <w:rsid w:val="00296FFF"/>
    <w:rsid w:val="00297A00"/>
    <w:rsid w:val="00297A45"/>
    <w:rsid w:val="00297E20"/>
    <w:rsid w:val="002A233F"/>
    <w:rsid w:val="002A3237"/>
    <w:rsid w:val="002A3F9C"/>
    <w:rsid w:val="002A4119"/>
    <w:rsid w:val="002A53F0"/>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9BC"/>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72E"/>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15C8D"/>
    <w:rsid w:val="00316BF8"/>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6E7"/>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B0F"/>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D4F"/>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0E9"/>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09AE"/>
    <w:rsid w:val="004E21A3"/>
    <w:rsid w:val="004E32EA"/>
    <w:rsid w:val="004E3517"/>
    <w:rsid w:val="004E45EE"/>
    <w:rsid w:val="004E6866"/>
    <w:rsid w:val="004F0C58"/>
    <w:rsid w:val="004F3222"/>
    <w:rsid w:val="004F3639"/>
    <w:rsid w:val="004F3BFA"/>
    <w:rsid w:val="004F4E3C"/>
    <w:rsid w:val="004F5A1A"/>
    <w:rsid w:val="004F77A3"/>
    <w:rsid w:val="005000AB"/>
    <w:rsid w:val="00500D37"/>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EFD"/>
    <w:rsid w:val="005B5B3D"/>
    <w:rsid w:val="005B5E8F"/>
    <w:rsid w:val="005B64CF"/>
    <w:rsid w:val="005B72DA"/>
    <w:rsid w:val="005B747E"/>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AE6"/>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0A3"/>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0996"/>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28C"/>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AB6"/>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1D1"/>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42B"/>
    <w:rsid w:val="007D4ADA"/>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D7A"/>
    <w:rsid w:val="00813C51"/>
    <w:rsid w:val="00815F6D"/>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1B0F"/>
    <w:rsid w:val="008324D9"/>
    <w:rsid w:val="00833418"/>
    <w:rsid w:val="0083387F"/>
    <w:rsid w:val="00834458"/>
    <w:rsid w:val="00834AEA"/>
    <w:rsid w:val="00835841"/>
    <w:rsid w:val="00835BF8"/>
    <w:rsid w:val="00835FB7"/>
    <w:rsid w:val="00837465"/>
    <w:rsid w:val="0084002E"/>
    <w:rsid w:val="00840159"/>
    <w:rsid w:val="00840621"/>
    <w:rsid w:val="00841002"/>
    <w:rsid w:val="00841243"/>
    <w:rsid w:val="00841457"/>
    <w:rsid w:val="00842BAA"/>
    <w:rsid w:val="00842D8F"/>
    <w:rsid w:val="008432E8"/>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199"/>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A6E"/>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61E6"/>
    <w:rsid w:val="00950A3A"/>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6A8"/>
    <w:rsid w:val="00961840"/>
    <w:rsid w:val="009625E3"/>
    <w:rsid w:val="00962F2D"/>
    <w:rsid w:val="00963A7A"/>
    <w:rsid w:val="0096566D"/>
    <w:rsid w:val="009672CD"/>
    <w:rsid w:val="00971810"/>
    <w:rsid w:val="00972996"/>
    <w:rsid w:val="009730B4"/>
    <w:rsid w:val="009731D7"/>
    <w:rsid w:val="0097320E"/>
    <w:rsid w:val="009732B8"/>
    <w:rsid w:val="00974647"/>
    <w:rsid w:val="0097514A"/>
    <w:rsid w:val="009759C2"/>
    <w:rsid w:val="00975C72"/>
    <w:rsid w:val="00976869"/>
    <w:rsid w:val="00977740"/>
    <w:rsid w:val="00977CB4"/>
    <w:rsid w:val="009807BD"/>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6DD"/>
    <w:rsid w:val="00AC0C1C"/>
    <w:rsid w:val="00AC1305"/>
    <w:rsid w:val="00AC37BE"/>
    <w:rsid w:val="00AC439D"/>
    <w:rsid w:val="00AC57BC"/>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082D"/>
    <w:rsid w:val="00B1176B"/>
    <w:rsid w:val="00B140B8"/>
    <w:rsid w:val="00B14FAA"/>
    <w:rsid w:val="00B15BED"/>
    <w:rsid w:val="00B15D30"/>
    <w:rsid w:val="00B15DC6"/>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7B1"/>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717"/>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A5B"/>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32DB"/>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6F1"/>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2AC"/>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1F9"/>
    <w:rsid w:val="00E9763D"/>
    <w:rsid w:val="00EA1177"/>
    <w:rsid w:val="00EA118B"/>
    <w:rsid w:val="00EA11B6"/>
    <w:rsid w:val="00EA2181"/>
    <w:rsid w:val="00EA221C"/>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185"/>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C96"/>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dcterms:created xsi:type="dcterms:W3CDTF">2012-03-21T15:53:00Z</dcterms:created>
  <dcterms:modified xsi:type="dcterms:W3CDTF">2012-04-09T17:11:00Z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