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6E5F8C"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A00ED8">
        <w:rPr>
          <w:caps/>
          <w:color w:val="000000" w:themeColor="text1"/>
        </w:rPr>
        <w:t>XXXXXXXXXXXX</w:t>
      </w:r>
      <w:r>
        <w:rPr>
          <w:caps/>
          <w:color w:val="000000" w:themeColor="text1"/>
        </w:rPr>
        <w:tab/>
        <w:t xml:space="preserve">                             </w:t>
      </w:r>
      <w:r w:rsidR="00BF4925">
        <w:rPr>
          <w:caps/>
          <w:color w:val="000000" w:themeColor="text1"/>
        </w:rPr>
        <w:t xml:space="preserve">   </w:t>
      </w:r>
      <w:r w:rsidRPr="001F29F9">
        <w:rPr>
          <w:caps/>
          <w:color w:val="000000" w:themeColor="text1"/>
        </w:rPr>
        <w:t xml:space="preserve">BRANCH OF </w:t>
      </w:r>
      <w:r w:rsidRPr="006E5F8C">
        <w:rPr>
          <w:caps/>
          <w:color w:val="000000" w:themeColor="text1"/>
        </w:rPr>
        <w:t xml:space="preserve">SERVICE:  Army </w:t>
      </w:r>
    </w:p>
    <w:p w:rsidR="0095270D" w:rsidRDefault="0095270D" w:rsidP="0095270D">
      <w:pPr>
        <w:tabs>
          <w:tab w:val="left" w:pos="288"/>
          <w:tab w:val="left" w:pos="5130"/>
        </w:tabs>
        <w:jc w:val="both"/>
        <w:rPr>
          <w:color w:val="000000" w:themeColor="text1"/>
        </w:rPr>
      </w:pPr>
      <w:r w:rsidRPr="006E5F8C">
        <w:rPr>
          <w:caps/>
          <w:color w:val="000000" w:themeColor="text1"/>
        </w:rPr>
        <w:t>CASE NUMBER:  PD1100</w:t>
      </w:r>
      <w:r w:rsidR="006E5F8C">
        <w:rPr>
          <w:caps/>
          <w:color w:val="000000" w:themeColor="text1"/>
        </w:rPr>
        <w:t>641</w:t>
      </w:r>
      <w:r w:rsidRPr="006E5F8C">
        <w:rPr>
          <w:color w:val="000000" w:themeColor="text1"/>
        </w:rPr>
        <w:t xml:space="preserve">                            </w:t>
      </w:r>
      <w:r w:rsidRPr="006E5F8C">
        <w:rPr>
          <w:color w:val="000000" w:themeColor="text1"/>
        </w:rPr>
        <w:tab/>
      </w:r>
      <w:r w:rsidRPr="006E5F8C">
        <w:rPr>
          <w:color w:val="000000" w:themeColor="text1"/>
        </w:rPr>
        <w:tab/>
        <w:t xml:space="preserve">           SEPARATION DATE:  </w:t>
      </w:r>
      <w:r w:rsidR="006E5F8C" w:rsidRPr="001F29F9">
        <w:rPr>
          <w:color w:val="000000" w:themeColor="text1"/>
        </w:rPr>
        <w:t>200</w:t>
      </w:r>
      <w:r w:rsidR="006E5F8C">
        <w:rPr>
          <w:color w:val="000000" w:themeColor="text1"/>
        </w:rPr>
        <w:t>71205</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02756A">
        <w:rPr>
          <w:caps/>
          <w:color w:val="000000"/>
        </w:rPr>
        <w:t>0516</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w:t>
      </w:r>
      <w:r w:rsidR="006E53BF" w:rsidRPr="001F29F9">
        <w:rPr>
          <w:color w:val="000000" w:themeColor="text1"/>
          <w:szCs w:val="24"/>
        </w:rPr>
        <w:t>active duty SGT/E-5 (</w:t>
      </w:r>
      <w:r w:rsidR="006E53BF">
        <w:rPr>
          <w:color w:val="000000" w:themeColor="text1"/>
          <w:szCs w:val="24"/>
        </w:rPr>
        <w:t>11B</w:t>
      </w:r>
      <w:r w:rsidR="006E53BF" w:rsidRPr="001F29F9">
        <w:rPr>
          <w:color w:val="000000" w:themeColor="text1"/>
          <w:szCs w:val="24"/>
        </w:rPr>
        <w:t xml:space="preserve">, </w:t>
      </w:r>
      <w:r w:rsidR="006E53BF">
        <w:rPr>
          <w:color w:val="000000" w:themeColor="text1"/>
          <w:szCs w:val="24"/>
        </w:rPr>
        <w:t>Infantry</w:t>
      </w:r>
      <w:r w:rsidR="006E53BF" w:rsidRPr="001F29F9">
        <w:rPr>
          <w:color w:val="000000" w:themeColor="text1"/>
          <w:szCs w:val="24"/>
        </w:rPr>
        <w:t>)</w:t>
      </w:r>
      <w:r w:rsidR="006E53BF">
        <w:rPr>
          <w:color w:val="000000" w:themeColor="text1"/>
          <w:szCs w:val="24"/>
        </w:rPr>
        <w:t xml:space="preserve"> </w:t>
      </w:r>
      <w:r w:rsidRPr="001F29F9">
        <w:rPr>
          <w:color w:val="000000"/>
        </w:rPr>
        <w:t xml:space="preserve">medically separated for </w:t>
      </w:r>
      <w:r w:rsidR="006E53BF">
        <w:rPr>
          <w:color w:val="000000"/>
        </w:rPr>
        <w:t>bilateral knee and chest wall</w:t>
      </w:r>
      <w:r w:rsidRPr="001F29F9">
        <w:rPr>
          <w:color w:val="000000"/>
        </w:rPr>
        <w:t xml:space="preserve"> </w:t>
      </w:r>
      <w:r w:rsidR="00261B7E">
        <w:rPr>
          <w:color w:val="000000"/>
        </w:rPr>
        <w:t>condition</w:t>
      </w:r>
      <w:r w:rsidR="006E53BF">
        <w:rPr>
          <w:color w:val="000000"/>
        </w:rPr>
        <w:t>s</w:t>
      </w:r>
      <w:r w:rsidRPr="001F29F9">
        <w:rPr>
          <w:color w:val="000000"/>
        </w:rPr>
        <w:t xml:space="preserve">. </w:t>
      </w:r>
      <w:r w:rsidR="00261B7E">
        <w:rPr>
          <w:color w:val="000000"/>
        </w:rPr>
        <w:t xml:space="preserve"> </w:t>
      </w:r>
      <w:r w:rsidR="00F11A8D">
        <w:rPr>
          <w:color w:val="000000"/>
        </w:rPr>
        <w:t>All</w:t>
      </w:r>
      <w:r w:rsidR="006E53BF">
        <w:rPr>
          <w:color w:val="000000"/>
        </w:rPr>
        <w:t xml:space="preserve"> conditions were secondary to multiple shrapnel injuries </w:t>
      </w:r>
      <w:r w:rsidR="00F11A8D">
        <w:rPr>
          <w:color w:val="000000"/>
        </w:rPr>
        <w:t>incurred</w:t>
      </w:r>
      <w:r w:rsidR="006E53BF">
        <w:rPr>
          <w:color w:val="000000"/>
        </w:rPr>
        <w:t xml:space="preserve"> from</w:t>
      </w:r>
      <w:r w:rsidR="006E53BF">
        <w:rPr>
          <w:color w:val="000000" w:themeColor="text1"/>
          <w:szCs w:val="24"/>
        </w:rPr>
        <w:t xml:space="preserve"> a rocket propelled grenade </w:t>
      </w:r>
      <w:r w:rsidR="00F11A8D">
        <w:rPr>
          <w:color w:val="000000" w:themeColor="text1"/>
          <w:szCs w:val="24"/>
        </w:rPr>
        <w:t>in 2006</w:t>
      </w:r>
      <w:r w:rsidR="006E53BF">
        <w:rPr>
          <w:color w:val="000000" w:themeColor="text1"/>
          <w:szCs w:val="24"/>
        </w:rPr>
        <w:t xml:space="preserve"> while deployed to Afghanistan</w:t>
      </w:r>
      <w:r w:rsidR="00F11A8D">
        <w:rPr>
          <w:color w:val="000000" w:themeColor="text1"/>
          <w:szCs w:val="24"/>
        </w:rPr>
        <w:t xml:space="preserve">; and, which </w:t>
      </w:r>
      <w:r w:rsidR="006E53BF">
        <w:rPr>
          <w:color w:val="000000" w:themeColor="text1"/>
          <w:szCs w:val="24"/>
        </w:rPr>
        <w:t xml:space="preserve">resulted in medical evacuation and multiple surgical interventions.  </w:t>
      </w:r>
      <w:r w:rsidR="00E8088C" w:rsidRPr="00356F18">
        <w:rPr>
          <w:color w:val="000000" w:themeColor="text1"/>
          <w:szCs w:val="24"/>
        </w:rPr>
        <w:t>The CI suffered persistent pain in b</w:t>
      </w:r>
      <w:r w:rsidR="00E32B4A" w:rsidRPr="00356F18">
        <w:rPr>
          <w:color w:val="000000" w:themeColor="text1"/>
          <w:szCs w:val="24"/>
        </w:rPr>
        <w:t xml:space="preserve">oth knees </w:t>
      </w:r>
      <w:r w:rsidR="00E8088C" w:rsidRPr="00356F18">
        <w:rPr>
          <w:color w:val="000000" w:themeColor="text1"/>
          <w:szCs w:val="24"/>
        </w:rPr>
        <w:t>associated with</w:t>
      </w:r>
      <w:r w:rsidR="00E32B4A" w:rsidRPr="00356F18">
        <w:rPr>
          <w:color w:val="000000" w:themeColor="text1"/>
          <w:szCs w:val="24"/>
        </w:rPr>
        <w:t xml:space="preserve"> retained shrapnel; and, persistent chest wall pain </w:t>
      </w:r>
      <w:r w:rsidR="00E8088C" w:rsidRPr="00356F18">
        <w:rPr>
          <w:color w:val="000000" w:themeColor="text1"/>
          <w:szCs w:val="24"/>
        </w:rPr>
        <w:t xml:space="preserve">complicating </w:t>
      </w:r>
      <w:r w:rsidR="00E32B4A" w:rsidRPr="00356F18">
        <w:rPr>
          <w:color w:val="000000" w:themeColor="text1"/>
          <w:szCs w:val="24"/>
        </w:rPr>
        <w:t>tube</w:t>
      </w:r>
      <w:r w:rsidR="00E8088C" w:rsidRPr="00356F18">
        <w:rPr>
          <w:color w:val="000000" w:themeColor="text1"/>
          <w:szCs w:val="24"/>
        </w:rPr>
        <w:t xml:space="preserve"> thoracostomies</w:t>
      </w:r>
      <w:r w:rsidR="00E32B4A" w:rsidRPr="00356F18">
        <w:rPr>
          <w:color w:val="000000" w:themeColor="text1"/>
          <w:szCs w:val="24"/>
        </w:rPr>
        <w:t xml:space="preserve">.  </w:t>
      </w:r>
      <w:r w:rsidR="00E8088C" w:rsidRPr="00356F18">
        <w:rPr>
          <w:color w:val="000000"/>
        </w:rPr>
        <w:t>The knee and chest wall conditions</w:t>
      </w:r>
      <w:r w:rsidR="00F566B7" w:rsidRPr="00356F18">
        <w:rPr>
          <w:color w:val="000000"/>
        </w:rPr>
        <w:t xml:space="preserve"> could not be adequately rehabilitated to meet the physical requirements of his Military Occupational Specialty (MOS) or satis</w:t>
      </w:r>
      <w:r w:rsidR="009C12A1" w:rsidRPr="00356F18">
        <w:rPr>
          <w:color w:val="000000"/>
        </w:rPr>
        <w:t>fy physical fitness standards.</w:t>
      </w:r>
      <w:r w:rsidR="00F566B7" w:rsidRPr="00356F18">
        <w:rPr>
          <w:color w:val="000000"/>
        </w:rPr>
        <w:t xml:space="preserve"> </w:t>
      </w:r>
      <w:r w:rsidR="009C12A1" w:rsidRPr="00356F18">
        <w:rPr>
          <w:color w:val="000000"/>
        </w:rPr>
        <w:t xml:space="preserve"> He </w:t>
      </w:r>
      <w:r w:rsidR="00F566B7" w:rsidRPr="00356F18">
        <w:rPr>
          <w:color w:val="000000"/>
        </w:rPr>
        <w:t>was issued a permanent L3 profile and</w:t>
      </w:r>
      <w:r w:rsidR="009C12A1" w:rsidRPr="00356F18">
        <w:rPr>
          <w:color w:val="000000"/>
        </w:rPr>
        <w:t xml:space="preserve"> </w:t>
      </w:r>
      <w:r w:rsidR="00F566B7" w:rsidRPr="00356F18">
        <w:rPr>
          <w:color w:val="000000"/>
        </w:rPr>
        <w:t xml:space="preserve">referred for a Medical Evaluation Board (MEB).  </w:t>
      </w:r>
      <w:r w:rsidR="00E8088C" w:rsidRPr="00356F18">
        <w:rPr>
          <w:color w:val="000000"/>
        </w:rPr>
        <w:t xml:space="preserve">Left </w:t>
      </w:r>
      <w:r w:rsidR="00F11A8D" w:rsidRPr="00356F18">
        <w:rPr>
          <w:color w:val="000000"/>
        </w:rPr>
        <w:t>knee</w:t>
      </w:r>
      <w:r w:rsidR="00F11A8D">
        <w:rPr>
          <w:color w:val="000000"/>
        </w:rPr>
        <w:t>,</w:t>
      </w:r>
      <w:r w:rsidR="00F11A8D" w:rsidRPr="00356F18">
        <w:rPr>
          <w:color w:val="000000"/>
        </w:rPr>
        <w:t xml:space="preserve"> </w:t>
      </w:r>
      <w:r w:rsidR="00E8088C" w:rsidRPr="00356F18">
        <w:rPr>
          <w:color w:val="000000"/>
        </w:rPr>
        <w:t>right knee</w:t>
      </w:r>
      <w:r w:rsidR="00F11A8D">
        <w:rPr>
          <w:color w:val="000000"/>
        </w:rPr>
        <w:t>,</w:t>
      </w:r>
      <w:r w:rsidR="00E8088C" w:rsidRPr="00356F18">
        <w:rPr>
          <w:color w:val="000000"/>
        </w:rPr>
        <w:t xml:space="preserve"> </w:t>
      </w:r>
      <w:r w:rsidR="00F11A8D" w:rsidRPr="00356F18">
        <w:rPr>
          <w:color w:val="000000"/>
        </w:rPr>
        <w:t xml:space="preserve">and chest wall </w:t>
      </w:r>
      <w:r w:rsidR="00E8088C" w:rsidRPr="00356F18">
        <w:rPr>
          <w:color w:val="000000"/>
        </w:rPr>
        <w:t xml:space="preserve">conditions were </w:t>
      </w:r>
      <w:r w:rsidR="00F566B7" w:rsidRPr="00356F18">
        <w:rPr>
          <w:color w:val="000000"/>
        </w:rPr>
        <w:t xml:space="preserve">forwarded to the Physical Evaluation Board (PEB) as medically unacceptable IAW AR 40-501.  </w:t>
      </w:r>
      <w:r w:rsidR="00F11A8D">
        <w:rPr>
          <w:color w:val="000000" w:themeColor="text1"/>
        </w:rPr>
        <w:t>Additionally p</w:t>
      </w:r>
      <w:r w:rsidR="00004B6B">
        <w:rPr>
          <w:color w:val="000000" w:themeColor="text1"/>
        </w:rPr>
        <w:t>ost</w:t>
      </w:r>
      <w:r w:rsidR="00E8088C" w:rsidRPr="00356F18">
        <w:rPr>
          <w:color w:val="000000" w:themeColor="text1"/>
        </w:rPr>
        <w:t>traumatic stress disorder (PTSD) was evaluated by the MEB</w:t>
      </w:r>
      <w:r w:rsidR="00F11A8D">
        <w:rPr>
          <w:color w:val="000000" w:themeColor="text1"/>
        </w:rPr>
        <w:t>,</w:t>
      </w:r>
      <w:r w:rsidR="00E8088C" w:rsidRPr="00356F18">
        <w:rPr>
          <w:color w:val="000000" w:themeColor="text1"/>
        </w:rPr>
        <w:t xml:space="preserve"> </w:t>
      </w:r>
      <w:r w:rsidR="00F11A8D">
        <w:rPr>
          <w:color w:val="000000" w:themeColor="text1"/>
        </w:rPr>
        <w:t>but</w:t>
      </w:r>
      <w:r w:rsidR="00E8088C" w:rsidRPr="00356F18">
        <w:rPr>
          <w:color w:val="000000" w:themeColor="text1"/>
        </w:rPr>
        <w:t xml:space="preserve"> </w:t>
      </w:r>
      <w:r w:rsidR="00F566B7" w:rsidRPr="00356F18">
        <w:rPr>
          <w:color w:val="000000"/>
        </w:rPr>
        <w:t xml:space="preserve">forwarded as </w:t>
      </w:r>
      <w:r w:rsidR="00E8088C" w:rsidRPr="00356F18">
        <w:rPr>
          <w:color w:val="000000"/>
        </w:rPr>
        <w:t>a medically acceptable condition</w:t>
      </w:r>
      <w:r w:rsidR="00F566B7" w:rsidRPr="00356F18">
        <w:rPr>
          <w:color w:val="000000"/>
        </w:rPr>
        <w:t xml:space="preserve">.  </w:t>
      </w:r>
      <w:r w:rsidRPr="00356F18">
        <w:rPr>
          <w:color w:val="000000"/>
        </w:rPr>
        <w:t xml:space="preserve">The PEB adjudicated the </w:t>
      </w:r>
      <w:r w:rsidR="00356F18" w:rsidRPr="00356F18">
        <w:rPr>
          <w:color w:val="000000"/>
        </w:rPr>
        <w:t>knee submissions as a single unfitting condition</w:t>
      </w:r>
      <w:r w:rsidR="008530E3" w:rsidRPr="00356F18">
        <w:rPr>
          <w:color w:val="000000"/>
        </w:rPr>
        <w:t xml:space="preserve">, rated </w:t>
      </w:r>
      <w:r w:rsidRPr="00356F18">
        <w:rPr>
          <w:color w:val="000000"/>
        </w:rPr>
        <w:t xml:space="preserve">0%, </w:t>
      </w:r>
      <w:r w:rsidR="00261B7E" w:rsidRPr="00356F18">
        <w:rPr>
          <w:color w:val="000000"/>
        </w:rPr>
        <w:t>citing criteria of</w:t>
      </w:r>
      <w:r w:rsidRPr="00356F18">
        <w:rPr>
          <w:color w:val="000000"/>
        </w:rPr>
        <w:t xml:space="preserve"> the </w:t>
      </w:r>
      <w:r w:rsidR="00356F18" w:rsidRPr="00356F18">
        <w:rPr>
          <w:color w:val="000000" w:themeColor="text1"/>
          <w:szCs w:val="24"/>
        </w:rPr>
        <w:t>US Army Physical Disability Agency (USAPDA) pain policy; and, the chest wall condition as unfitting, rated 0%, citing criteria of the</w:t>
      </w:r>
      <w:r w:rsidR="00356F18" w:rsidRPr="00356F18">
        <w:rPr>
          <w:color w:val="000000"/>
        </w:rPr>
        <w:t xml:space="preserve"> </w:t>
      </w:r>
      <w:r w:rsidRPr="00356F18">
        <w:rPr>
          <w:color w:val="000000"/>
        </w:rPr>
        <w:t xml:space="preserve">Veterans Administration Schedule for Rating Disabilities (VASRD). </w:t>
      </w:r>
      <w:r w:rsidR="00261B7E" w:rsidRPr="00356F18">
        <w:rPr>
          <w:color w:val="000000"/>
        </w:rPr>
        <w:t xml:space="preserve"> </w:t>
      </w:r>
      <w:r w:rsidR="00380601" w:rsidRPr="00356F18">
        <w:rPr>
          <w:color w:val="000000"/>
        </w:rPr>
        <w:t xml:space="preserve">The </w:t>
      </w:r>
      <w:r w:rsidR="00356F18" w:rsidRPr="00356F18">
        <w:rPr>
          <w:color w:val="000000"/>
        </w:rPr>
        <w:t>PTSD condition was</w:t>
      </w:r>
      <w:r w:rsidR="00380601" w:rsidRPr="00356F18">
        <w:rPr>
          <w:color w:val="000000"/>
        </w:rPr>
        <w:t xml:space="preserve"> determined to be not unfitting.  </w:t>
      </w:r>
      <w:r w:rsidRPr="00356F18">
        <w:rPr>
          <w:color w:val="000000"/>
        </w:rPr>
        <w:t xml:space="preserve">The CI made no appeals, and was medically separated with </w:t>
      </w:r>
      <w:r w:rsidR="00356F18" w:rsidRPr="00356F18">
        <w:rPr>
          <w:color w:val="000000"/>
        </w:rPr>
        <w:t>a 0% combined</w:t>
      </w:r>
      <w:r w:rsidRPr="00356F18">
        <w:rPr>
          <w:color w:val="000000"/>
        </w:rPr>
        <w:t xml:space="preserve"> disability rating.</w:t>
      </w:r>
      <w:r w:rsidR="00E438A4">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42522F" w:rsidRPr="0042522F">
        <w:rPr>
          <w:color w:val="000000" w:themeColor="text1"/>
        </w:rPr>
        <w:t xml:space="preserve">Request review lAW DoDI 6040.44. </w:t>
      </w:r>
      <w:r w:rsidR="0042522F">
        <w:rPr>
          <w:color w:val="000000" w:themeColor="text1"/>
        </w:rPr>
        <w:t xml:space="preserve"> </w:t>
      </w:r>
      <w:r w:rsidR="0042522F" w:rsidRPr="0042522F">
        <w:rPr>
          <w:color w:val="000000" w:themeColor="text1"/>
        </w:rPr>
        <w:t xml:space="preserve">Ratings do not reflect conditions at the time of separation and seem contradictory to narratives provided by Doctors. </w:t>
      </w:r>
      <w:r w:rsidR="0042522F">
        <w:rPr>
          <w:color w:val="000000" w:themeColor="text1"/>
        </w:rPr>
        <w:t xml:space="preserve"> </w:t>
      </w:r>
      <w:r w:rsidR="0042522F" w:rsidRPr="0042522F">
        <w:rPr>
          <w:color w:val="000000" w:themeColor="text1"/>
        </w:rPr>
        <w:t>Ratings do not reflect long term issues for wounds received in combat.</w:t>
      </w:r>
      <w:r w:rsidR="0042522F">
        <w:rPr>
          <w:color w:val="000000" w:themeColor="text1"/>
        </w:rPr>
        <w:t xml:space="preserve"> </w:t>
      </w:r>
      <w:r w:rsidR="0042522F" w:rsidRPr="0042522F">
        <w:rPr>
          <w:color w:val="000000" w:themeColor="text1"/>
        </w:rPr>
        <w:t xml:space="preserve"> PTSD not evaluated for rating at time of separation.</w:t>
      </w:r>
      <w:r w:rsidR="00773C45">
        <w:rPr>
          <w:color w:val="000000"/>
        </w:rPr>
        <w:t>”</w:t>
      </w:r>
      <w:r w:rsidR="004A2728">
        <w:rPr>
          <w:color w:val="000000"/>
        </w:rPr>
        <w:t xml:space="preserve"> </w:t>
      </w:r>
      <w:r w:rsidR="00CE745E">
        <w:rPr>
          <w:color w:val="000000"/>
        </w:rPr>
        <w:t xml:space="preserve"> The application additionally refers to current VA ratings, to include 30% for PTSD </w:t>
      </w:r>
      <w:r w:rsidR="002C22EB">
        <w:rPr>
          <w:color w:val="000000"/>
        </w:rPr>
        <w:t xml:space="preserve">(effective 20100701) and an additional 10% rating referable to his right knee (effective 20100408).  Attached and reviewed were separate letters from treating clinical psychologists dated 20080211 and 20110810.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C566C9" w:rsidRDefault="006A714F" w:rsidP="004F61A0">
      <w:pPr>
        <w:jc w:val="both"/>
        <w:rPr>
          <w:color w:val="auto"/>
        </w:rPr>
      </w:pPr>
      <w:r w:rsidRPr="006A714F">
        <w:rPr>
          <w:color w:val="auto"/>
          <w:u w:val="single"/>
        </w:rPr>
        <w:t>SCOPE OF REVIEW</w:t>
      </w:r>
      <w:r>
        <w:rPr>
          <w:color w:val="auto"/>
        </w:rPr>
        <w:t xml:space="preserve">: </w:t>
      </w:r>
      <w:r w:rsidR="00DA0EE2" w:rsidRPr="00C566C9">
        <w:rPr>
          <w:color w:val="auto"/>
        </w:rPr>
        <w:t xml:space="preserve">The Board wishes to clarify that the scope of its review as defined in DoDI 6040.44 is limited to those conditions which were determined by the PEB to be specifically unfitting for continued military service; or, when </w:t>
      </w:r>
      <w:r w:rsidR="00DA0EE2" w:rsidRPr="002A3A66">
        <w:rPr>
          <w:color w:val="auto"/>
        </w:rPr>
        <w:t>requested by the CI, those condition(s) “identified but not determined to be unfitting by the PEB</w:t>
      </w:r>
      <w:r w:rsidR="00004B6B">
        <w:rPr>
          <w:color w:val="auto"/>
        </w:rPr>
        <w:t>.</w:t>
      </w:r>
      <w:r w:rsidR="00DA0EE2" w:rsidRPr="002A3A66">
        <w:rPr>
          <w:color w:val="auto"/>
        </w:rPr>
        <w:t xml:space="preserve">”  The </w:t>
      </w:r>
      <w:r w:rsidR="002A3A66">
        <w:rPr>
          <w:color w:val="auto"/>
        </w:rPr>
        <w:t>PTSD condition</w:t>
      </w:r>
      <w:r w:rsidR="00F11A8D">
        <w:rPr>
          <w:color w:val="auto"/>
        </w:rPr>
        <w:t>,</w:t>
      </w:r>
      <w:r w:rsidR="00DA0EE2" w:rsidRPr="002A3A66">
        <w:rPr>
          <w:color w:val="auto"/>
        </w:rPr>
        <w:t xml:space="preserve"> </w:t>
      </w:r>
      <w:r w:rsidR="00F11A8D">
        <w:rPr>
          <w:color w:val="auto"/>
        </w:rPr>
        <w:t xml:space="preserve">as </w:t>
      </w:r>
      <w:r w:rsidR="00DA0EE2" w:rsidRPr="002A3A66">
        <w:rPr>
          <w:color w:val="auto"/>
        </w:rPr>
        <w:t>requested for consideration</w:t>
      </w:r>
      <w:r w:rsidR="00F11A8D">
        <w:rPr>
          <w:color w:val="auto"/>
        </w:rPr>
        <w:t>,</w:t>
      </w:r>
      <w:r w:rsidR="00DA0EE2" w:rsidRPr="002A3A66">
        <w:rPr>
          <w:color w:val="auto"/>
        </w:rPr>
        <w:t xml:space="preserve"> </w:t>
      </w:r>
      <w:r w:rsidR="002A3A66">
        <w:rPr>
          <w:color w:val="auto"/>
        </w:rPr>
        <w:t xml:space="preserve">and the unfitting knee and chest conditions </w:t>
      </w:r>
      <w:r w:rsidR="00DA0EE2" w:rsidRPr="002A3A66">
        <w:rPr>
          <w:color w:val="auto"/>
        </w:rPr>
        <w:t xml:space="preserve">meet the criteria prescribed in DoDI 6040.44 </w:t>
      </w:r>
      <w:r w:rsidR="002A3A66">
        <w:rPr>
          <w:color w:val="auto"/>
        </w:rPr>
        <w:t>for Board</w:t>
      </w:r>
      <w:r w:rsidR="00F11A8D">
        <w:rPr>
          <w:color w:val="auto"/>
        </w:rPr>
        <w:t xml:space="preserve"> purview;</w:t>
      </w:r>
      <w:r w:rsidR="00DA0EE2" w:rsidRPr="002A3A66">
        <w:rPr>
          <w:color w:val="auto"/>
        </w:rPr>
        <w:t xml:space="preserve"> and </w:t>
      </w:r>
      <w:r w:rsidR="002A3A66">
        <w:rPr>
          <w:color w:val="auto"/>
        </w:rPr>
        <w:t>are</w:t>
      </w:r>
      <w:r w:rsidR="00DA0EE2" w:rsidRPr="002A3A66">
        <w:rPr>
          <w:color w:val="auto"/>
        </w:rPr>
        <w:t xml:space="preserve"> </w:t>
      </w:r>
      <w:r w:rsidR="002A3A66">
        <w:rPr>
          <w:color w:val="auto"/>
        </w:rPr>
        <w:t xml:space="preserve">accordingly </w:t>
      </w:r>
      <w:r w:rsidR="00DA0EE2" w:rsidRPr="002A3A66">
        <w:rPr>
          <w:color w:val="auto"/>
        </w:rPr>
        <w:t xml:space="preserve">addressed below.  The </w:t>
      </w:r>
      <w:r w:rsidR="00C82F3C">
        <w:rPr>
          <w:color w:val="auto"/>
        </w:rPr>
        <w:t>remaining</w:t>
      </w:r>
      <w:r w:rsidR="00C82F3C" w:rsidRPr="002A3A66">
        <w:rPr>
          <w:color w:val="auto"/>
        </w:rPr>
        <w:t xml:space="preserve"> </w:t>
      </w:r>
      <w:r w:rsidR="002A3A66">
        <w:rPr>
          <w:color w:val="auto"/>
        </w:rPr>
        <w:t>conditions rated by the VA at separation</w:t>
      </w:r>
      <w:r w:rsidR="00F11A8D">
        <w:rPr>
          <w:color w:val="auto"/>
        </w:rPr>
        <w:t>,</w:t>
      </w:r>
      <w:r w:rsidR="002A3A66">
        <w:rPr>
          <w:color w:val="auto"/>
        </w:rPr>
        <w:t xml:space="preserve"> </w:t>
      </w:r>
      <w:r w:rsidR="00C82F3C">
        <w:rPr>
          <w:color w:val="auto"/>
        </w:rPr>
        <w:t>and listed on the DA Form 294 application</w:t>
      </w:r>
      <w:r w:rsidR="00F11A8D">
        <w:rPr>
          <w:color w:val="auto"/>
        </w:rPr>
        <w:t>,</w:t>
      </w:r>
      <w:r w:rsidR="00C82F3C">
        <w:rPr>
          <w:color w:val="auto"/>
        </w:rPr>
        <w:t xml:space="preserve"> </w:t>
      </w:r>
      <w:r w:rsidR="00DA0EE2" w:rsidRPr="002A3A66">
        <w:rPr>
          <w:color w:val="auto"/>
        </w:rPr>
        <w:t>are not within the Board’s purview.  Any conditions or contention not requested in this application, or otherwise outside the Board’s defined scope of review, remain eligible for future consideration by the Army Board for the Correction of Military Records (BCMR).</w:t>
      </w:r>
      <w:r w:rsidR="00DA0EE2">
        <w:rPr>
          <w:color w:val="auto"/>
        </w:rPr>
        <w:t xml:space="preserve">  </w:t>
      </w:r>
      <w:r w:rsidR="00440698">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356F18" w:rsidRDefault="00356F18">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536"/>
        <w:gridCol w:w="720"/>
        <w:gridCol w:w="725"/>
        <w:gridCol w:w="2608"/>
        <w:gridCol w:w="1079"/>
        <w:gridCol w:w="720"/>
        <w:gridCol w:w="960"/>
      </w:tblGrid>
      <w:tr w:rsidR="00926C0A" w:rsidRPr="000D5DBE" w:rsidTr="000C3E39">
        <w:trPr>
          <w:trHeight w:val="170"/>
        </w:trPr>
        <w:tc>
          <w:tcPr>
            <w:tcW w:w="3981" w:type="dxa"/>
            <w:gridSpan w:val="3"/>
            <w:tcBorders>
              <w:right w:val="thinThickThinSmallGap" w:sz="24" w:space="0" w:color="auto"/>
            </w:tcBorders>
            <w:shd w:val="clear" w:color="auto" w:fill="D9D9D9"/>
            <w:vAlign w:val="center"/>
          </w:tcPr>
          <w:p w:rsidR="00926C0A" w:rsidRPr="00947728" w:rsidRDefault="00004B6B" w:rsidP="000C3E39">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006E5F8C" w:rsidRPr="001F29F9">
              <w:rPr>
                <w:rFonts w:cs="Calibri"/>
                <w:b/>
                <w:color w:val="000000" w:themeColor="text1"/>
                <w:sz w:val="18"/>
                <w:szCs w:val="18"/>
              </w:rPr>
              <w:t>200</w:t>
            </w:r>
            <w:r w:rsidR="006E5F8C">
              <w:rPr>
                <w:rFonts w:cs="Calibri"/>
                <w:b/>
                <w:color w:val="000000" w:themeColor="text1"/>
                <w:sz w:val="18"/>
                <w:szCs w:val="18"/>
              </w:rPr>
              <w:t>70820</w:t>
            </w:r>
          </w:p>
        </w:tc>
        <w:tc>
          <w:tcPr>
            <w:tcW w:w="5367" w:type="dxa"/>
            <w:gridSpan w:val="4"/>
            <w:tcBorders>
              <w:left w:val="thinThickThinSmallGap" w:sz="24" w:space="0" w:color="auto"/>
            </w:tcBorders>
            <w:shd w:val="clear" w:color="auto" w:fill="D9D9D9"/>
            <w:vAlign w:val="center"/>
          </w:tcPr>
          <w:p w:rsidR="00926C0A" w:rsidRPr="00947728" w:rsidRDefault="006E5F8C" w:rsidP="000C3E39">
            <w:pPr>
              <w:contextualSpacing/>
              <w:rPr>
                <w:rFonts w:cs="Calibri"/>
                <w:b/>
                <w:color w:val="auto"/>
                <w:sz w:val="18"/>
              </w:rPr>
            </w:pPr>
            <w:r>
              <w:rPr>
                <w:b/>
                <w:color w:val="auto"/>
                <w:sz w:val="18"/>
              </w:rPr>
              <w:t>VA (1 Wk</w:t>
            </w:r>
            <w:r w:rsidR="00926C0A" w:rsidRPr="00947728">
              <w:rPr>
                <w:b/>
                <w:color w:val="auto"/>
                <w:sz w:val="18"/>
              </w:rPr>
              <w:t xml:space="preserve">. Post-Separation) – All Effective Date </w:t>
            </w:r>
            <w:r w:rsidRPr="001F29F9">
              <w:rPr>
                <w:rFonts w:cs="Calibri"/>
                <w:b/>
                <w:color w:val="000000" w:themeColor="text1"/>
                <w:sz w:val="18"/>
                <w:szCs w:val="18"/>
              </w:rPr>
              <w:t>200</w:t>
            </w:r>
            <w:r>
              <w:rPr>
                <w:rFonts w:cs="Calibri"/>
                <w:b/>
                <w:color w:val="000000" w:themeColor="text1"/>
                <w:sz w:val="18"/>
                <w:szCs w:val="18"/>
              </w:rPr>
              <w:t>71206</w:t>
            </w:r>
          </w:p>
        </w:tc>
      </w:tr>
      <w:tr w:rsidR="00261B7E" w:rsidRPr="000D5DBE" w:rsidTr="000C3E39">
        <w:trPr>
          <w:trHeight w:val="97"/>
        </w:trPr>
        <w:tc>
          <w:tcPr>
            <w:tcW w:w="2536" w:type="dxa"/>
            <w:tcBorders>
              <w:right w:val="single" w:sz="4" w:space="0" w:color="auto"/>
            </w:tcBorders>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Condition</w:t>
            </w:r>
          </w:p>
        </w:tc>
        <w:tc>
          <w:tcPr>
            <w:tcW w:w="720" w:type="dxa"/>
            <w:tcBorders>
              <w:left w:val="single" w:sz="4" w:space="0" w:color="auto"/>
            </w:tcBorders>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Code</w:t>
            </w:r>
          </w:p>
        </w:tc>
        <w:tc>
          <w:tcPr>
            <w:tcW w:w="725" w:type="dxa"/>
            <w:tcBorders>
              <w:right w:val="thinThickThinSmallGap" w:sz="24" w:space="0" w:color="auto"/>
            </w:tcBorders>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Rating</w:t>
            </w:r>
          </w:p>
        </w:tc>
        <w:tc>
          <w:tcPr>
            <w:tcW w:w="2608" w:type="dxa"/>
            <w:tcBorders>
              <w:left w:val="thinThickThinSmallGap" w:sz="24" w:space="0" w:color="auto"/>
            </w:tcBorders>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Condition</w:t>
            </w:r>
          </w:p>
        </w:tc>
        <w:tc>
          <w:tcPr>
            <w:tcW w:w="1079" w:type="dxa"/>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0C3E39">
            <w:pPr>
              <w:contextualSpacing/>
              <w:rPr>
                <w:rFonts w:cs="Calibri"/>
                <w:b/>
                <w:color w:val="000000"/>
                <w:sz w:val="18"/>
              </w:rPr>
            </w:pPr>
            <w:r w:rsidRPr="000D5DBE">
              <w:rPr>
                <w:b/>
                <w:color w:val="000000"/>
                <w:sz w:val="18"/>
              </w:rPr>
              <w:t>Exam</w:t>
            </w:r>
          </w:p>
        </w:tc>
      </w:tr>
      <w:tr w:rsidR="006E5F8C" w:rsidRPr="000D5DBE" w:rsidTr="000C3E39">
        <w:trPr>
          <w:trHeight w:val="227"/>
        </w:trPr>
        <w:tc>
          <w:tcPr>
            <w:tcW w:w="2536" w:type="dxa"/>
            <w:vMerge w:val="restart"/>
            <w:tcBorders>
              <w:right w:val="single" w:sz="4" w:space="0" w:color="auto"/>
            </w:tcBorders>
            <w:shd w:val="clear" w:color="auto" w:fill="FFFFFF"/>
            <w:vAlign w:val="center"/>
          </w:tcPr>
          <w:p w:rsidR="006E5F8C" w:rsidRPr="001F29F9" w:rsidRDefault="006E5F8C" w:rsidP="000C3E39">
            <w:pPr>
              <w:spacing w:line="180" w:lineRule="exact"/>
              <w:contextualSpacing/>
              <w:jc w:val="left"/>
              <w:rPr>
                <w:rFonts w:cs="Calibri"/>
                <w:color w:val="000000" w:themeColor="text1"/>
                <w:sz w:val="18"/>
                <w:szCs w:val="18"/>
              </w:rPr>
            </w:pPr>
            <w:r>
              <w:rPr>
                <w:rFonts w:cs="Calibri"/>
                <w:color w:val="000000" w:themeColor="text1"/>
                <w:sz w:val="18"/>
                <w:szCs w:val="18"/>
              </w:rPr>
              <w:t>Chronic Bilateral Knee Pain</w:t>
            </w:r>
          </w:p>
        </w:tc>
        <w:tc>
          <w:tcPr>
            <w:tcW w:w="720" w:type="dxa"/>
            <w:vMerge w:val="restart"/>
            <w:tcBorders>
              <w:left w:val="single" w:sz="4" w:space="0" w:color="auto"/>
              <w:right w:val="single" w:sz="4" w:space="0" w:color="auto"/>
            </w:tcBorders>
            <w:shd w:val="clear" w:color="auto" w:fill="FFFFFF"/>
            <w:vAlign w:val="center"/>
          </w:tcPr>
          <w:p w:rsidR="006E5F8C" w:rsidRPr="001F29F9" w:rsidRDefault="006E5F8C" w:rsidP="000C3E39">
            <w:pPr>
              <w:spacing w:line="180" w:lineRule="exact"/>
              <w:contextualSpacing/>
              <w:rPr>
                <w:rFonts w:cs="Calibri"/>
                <w:color w:val="000000" w:themeColor="text1"/>
                <w:sz w:val="18"/>
                <w:szCs w:val="18"/>
              </w:rPr>
            </w:pPr>
            <w:r>
              <w:rPr>
                <w:rFonts w:cs="Calibri"/>
                <w:color w:val="000000" w:themeColor="text1"/>
                <w:sz w:val="18"/>
                <w:szCs w:val="18"/>
              </w:rPr>
              <w:t>5099-5003</w:t>
            </w:r>
          </w:p>
        </w:tc>
        <w:tc>
          <w:tcPr>
            <w:tcW w:w="725" w:type="dxa"/>
            <w:vMerge w:val="restart"/>
            <w:tcBorders>
              <w:left w:val="single" w:sz="4" w:space="0" w:color="auto"/>
              <w:right w:val="thinThickThinSmallGap" w:sz="24" w:space="0" w:color="auto"/>
            </w:tcBorders>
            <w:shd w:val="clear" w:color="auto" w:fill="FFFFFF"/>
            <w:vAlign w:val="center"/>
          </w:tcPr>
          <w:p w:rsidR="006E5F8C" w:rsidRPr="001F29F9" w:rsidRDefault="006E5F8C" w:rsidP="000C3E39">
            <w:pPr>
              <w:spacing w:line="22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608" w:type="dxa"/>
            <w:tcBorders>
              <w:left w:val="thinThickThinSmallGap" w:sz="24" w:space="0" w:color="auto"/>
              <w:bottom w:val="single" w:sz="4" w:space="0" w:color="auto"/>
            </w:tcBorders>
            <w:shd w:val="clear" w:color="auto" w:fill="FFFFFF"/>
            <w:vAlign w:val="center"/>
          </w:tcPr>
          <w:p w:rsidR="006E5F8C" w:rsidRPr="001F29F9" w:rsidRDefault="006E5F8C" w:rsidP="000C3E39">
            <w:pPr>
              <w:spacing w:line="220" w:lineRule="exact"/>
              <w:contextualSpacing/>
              <w:jc w:val="left"/>
              <w:rPr>
                <w:rFonts w:cs="Calibri"/>
                <w:color w:val="000000" w:themeColor="text1"/>
                <w:sz w:val="18"/>
                <w:szCs w:val="18"/>
              </w:rPr>
            </w:pPr>
            <w:r>
              <w:rPr>
                <w:rFonts w:cs="Calibri"/>
                <w:color w:val="000000" w:themeColor="text1"/>
                <w:sz w:val="18"/>
                <w:szCs w:val="18"/>
              </w:rPr>
              <w:t>Right Knee Condition</w:t>
            </w:r>
          </w:p>
        </w:tc>
        <w:tc>
          <w:tcPr>
            <w:tcW w:w="1079" w:type="dxa"/>
            <w:tcBorders>
              <w:bottom w:val="single" w:sz="4" w:space="0" w:color="auto"/>
            </w:tcBorders>
            <w:shd w:val="clear" w:color="auto" w:fill="FFFFFF"/>
            <w:vAlign w:val="center"/>
          </w:tcPr>
          <w:p w:rsidR="006E5F8C" w:rsidRPr="001F29F9"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5257</w:t>
            </w:r>
          </w:p>
        </w:tc>
        <w:tc>
          <w:tcPr>
            <w:tcW w:w="720" w:type="dxa"/>
            <w:tcBorders>
              <w:bottom w:val="single" w:sz="4" w:space="0" w:color="auto"/>
            </w:tcBorders>
            <w:shd w:val="clear" w:color="auto" w:fill="FFFFFF"/>
            <w:vAlign w:val="center"/>
          </w:tcPr>
          <w:p w:rsidR="006E5F8C" w:rsidRPr="001F29F9"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960" w:type="dxa"/>
            <w:tcBorders>
              <w:bottom w:val="single" w:sz="4" w:space="0" w:color="auto"/>
            </w:tcBorders>
            <w:shd w:val="clear" w:color="auto" w:fill="FFFFFF"/>
            <w:vAlign w:val="center"/>
          </w:tcPr>
          <w:p w:rsidR="006E5F8C" w:rsidRPr="001F29F9" w:rsidRDefault="006E5F8C" w:rsidP="000C3E39">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71212</w:t>
            </w:r>
          </w:p>
        </w:tc>
      </w:tr>
      <w:tr w:rsidR="006E5F8C" w:rsidRPr="000D5DBE" w:rsidTr="000C3E39">
        <w:trPr>
          <w:trHeight w:val="154"/>
        </w:trPr>
        <w:tc>
          <w:tcPr>
            <w:tcW w:w="2536" w:type="dxa"/>
            <w:vMerge/>
            <w:tcBorders>
              <w:right w:val="single" w:sz="4" w:space="0" w:color="auto"/>
            </w:tcBorders>
            <w:shd w:val="clear" w:color="auto" w:fill="FFFFFF"/>
            <w:vAlign w:val="center"/>
          </w:tcPr>
          <w:p w:rsidR="006E5F8C" w:rsidRPr="001F29F9" w:rsidRDefault="006E5F8C" w:rsidP="000C3E39">
            <w:pPr>
              <w:spacing w:line="180" w:lineRule="exact"/>
              <w:contextualSpacing/>
              <w:jc w:val="left"/>
              <w:rPr>
                <w:color w:val="000000"/>
                <w:sz w:val="18"/>
              </w:rPr>
            </w:pPr>
          </w:p>
        </w:tc>
        <w:tc>
          <w:tcPr>
            <w:tcW w:w="720" w:type="dxa"/>
            <w:vMerge/>
            <w:tcBorders>
              <w:left w:val="single" w:sz="4" w:space="0" w:color="auto"/>
              <w:right w:val="single" w:sz="4" w:space="0" w:color="auto"/>
            </w:tcBorders>
            <w:shd w:val="clear" w:color="auto" w:fill="FFFFFF"/>
            <w:vAlign w:val="center"/>
          </w:tcPr>
          <w:p w:rsidR="006E5F8C" w:rsidRPr="001F29F9" w:rsidRDefault="006E5F8C" w:rsidP="000C3E39">
            <w:pPr>
              <w:spacing w:line="180" w:lineRule="exact"/>
              <w:contextualSpacing/>
              <w:rPr>
                <w:color w:val="000000"/>
                <w:sz w:val="18"/>
              </w:rPr>
            </w:pPr>
          </w:p>
        </w:tc>
        <w:tc>
          <w:tcPr>
            <w:tcW w:w="725" w:type="dxa"/>
            <w:vMerge/>
            <w:tcBorders>
              <w:left w:val="single" w:sz="4" w:space="0" w:color="auto"/>
              <w:right w:val="thinThickThinSmallGap" w:sz="24" w:space="0" w:color="auto"/>
            </w:tcBorders>
            <w:shd w:val="clear" w:color="auto" w:fill="FFFFFF"/>
            <w:vAlign w:val="center"/>
          </w:tcPr>
          <w:p w:rsidR="006E5F8C" w:rsidRPr="001F29F9" w:rsidRDefault="006E5F8C" w:rsidP="000C3E39">
            <w:pPr>
              <w:spacing w:line="220" w:lineRule="exact"/>
              <w:rPr>
                <w:color w:val="000000"/>
                <w:sz w:val="18"/>
              </w:rPr>
            </w:pPr>
          </w:p>
        </w:tc>
        <w:tc>
          <w:tcPr>
            <w:tcW w:w="2608" w:type="dxa"/>
            <w:tcBorders>
              <w:top w:val="single" w:sz="4" w:space="0" w:color="auto"/>
              <w:left w:val="thinThickThinSmallGap" w:sz="24" w:space="0" w:color="auto"/>
              <w:bottom w:val="single" w:sz="4" w:space="0" w:color="auto"/>
            </w:tcBorders>
            <w:shd w:val="clear" w:color="auto" w:fill="FFFFFF"/>
            <w:vAlign w:val="center"/>
          </w:tcPr>
          <w:p w:rsidR="006E5F8C" w:rsidRDefault="006E5F8C" w:rsidP="000C3E39">
            <w:pPr>
              <w:spacing w:line="220" w:lineRule="exact"/>
              <w:contextualSpacing/>
              <w:jc w:val="left"/>
              <w:rPr>
                <w:rFonts w:cs="Calibri"/>
                <w:color w:val="000000" w:themeColor="text1"/>
                <w:sz w:val="18"/>
                <w:szCs w:val="18"/>
              </w:rPr>
            </w:pPr>
            <w:r>
              <w:rPr>
                <w:rFonts w:cs="Calibri"/>
                <w:color w:val="000000" w:themeColor="text1"/>
                <w:sz w:val="18"/>
                <w:szCs w:val="18"/>
              </w:rPr>
              <w:t>Left Knee Condition</w:t>
            </w:r>
          </w:p>
        </w:tc>
        <w:tc>
          <w:tcPr>
            <w:tcW w:w="1079" w:type="dxa"/>
            <w:tcBorders>
              <w:top w:val="single" w:sz="4" w:space="0" w:color="auto"/>
              <w:bottom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5257</w:t>
            </w:r>
          </w:p>
        </w:tc>
        <w:tc>
          <w:tcPr>
            <w:tcW w:w="720" w:type="dxa"/>
            <w:tcBorders>
              <w:top w:val="single" w:sz="4" w:space="0" w:color="auto"/>
              <w:bottom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tcBorders>
              <w:top w:val="single" w:sz="4" w:space="0" w:color="auto"/>
              <w:bottom w:val="single" w:sz="4" w:space="0" w:color="auto"/>
            </w:tcBorders>
            <w:shd w:val="clear" w:color="auto" w:fill="FFFFFF"/>
            <w:vAlign w:val="center"/>
          </w:tcPr>
          <w:p w:rsidR="006E5F8C" w:rsidRPr="001F29F9"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20071212</w:t>
            </w:r>
          </w:p>
        </w:tc>
      </w:tr>
      <w:tr w:rsidR="006E5F8C" w:rsidRPr="000D5DBE" w:rsidTr="000C3E39">
        <w:trPr>
          <w:trHeight w:val="187"/>
        </w:trPr>
        <w:tc>
          <w:tcPr>
            <w:tcW w:w="2536" w:type="dxa"/>
            <w:vMerge/>
            <w:tcBorders>
              <w:right w:val="single" w:sz="4" w:space="0" w:color="auto"/>
            </w:tcBorders>
            <w:shd w:val="clear" w:color="auto" w:fill="FFFFFF"/>
            <w:vAlign w:val="center"/>
          </w:tcPr>
          <w:p w:rsidR="006E5F8C" w:rsidRPr="001F29F9" w:rsidRDefault="006E5F8C" w:rsidP="000C3E39">
            <w:pPr>
              <w:spacing w:line="180" w:lineRule="exact"/>
              <w:contextualSpacing/>
              <w:jc w:val="left"/>
              <w:rPr>
                <w:color w:val="000000"/>
                <w:sz w:val="18"/>
              </w:rPr>
            </w:pPr>
          </w:p>
        </w:tc>
        <w:tc>
          <w:tcPr>
            <w:tcW w:w="720" w:type="dxa"/>
            <w:vMerge/>
            <w:tcBorders>
              <w:left w:val="single" w:sz="4" w:space="0" w:color="auto"/>
              <w:right w:val="single" w:sz="4" w:space="0" w:color="auto"/>
            </w:tcBorders>
            <w:shd w:val="clear" w:color="auto" w:fill="FFFFFF"/>
            <w:vAlign w:val="center"/>
          </w:tcPr>
          <w:p w:rsidR="006E5F8C" w:rsidRPr="001F29F9" w:rsidRDefault="006E5F8C" w:rsidP="000C3E39">
            <w:pPr>
              <w:spacing w:line="180" w:lineRule="exact"/>
              <w:contextualSpacing/>
              <w:rPr>
                <w:color w:val="000000"/>
                <w:sz w:val="18"/>
              </w:rPr>
            </w:pPr>
          </w:p>
        </w:tc>
        <w:tc>
          <w:tcPr>
            <w:tcW w:w="725" w:type="dxa"/>
            <w:vMerge/>
            <w:tcBorders>
              <w:left w:val="single" w:sz="4" w:space="0" w:color="auto"/>
              <w:right w:val="thinThickThinSmallGap" w:sz="24" w:space="0" w:color="auto"/>
            </w:tcBorders>
            <w:shd w:val="clear" w:color="auto" w:fill="FFFFFF"/>
            <w:vAlign w:val="center"/>
          </w:tcPr>
          <w:p w:rsidR="006E5F8C" w:rsidRPr="001F29F9" w:rsidRDefault="006E5F8C" w:rsidP="000C3E39">
            <w:pPr>
              <w:spacing w:line="220" w:lineRule="exact"/>
              <w:rPr>
                <w:color w:val="000000"/>
                <w:sz w:val="18"/>
              </w:rPr>
            </w:pPr>
          </w:p>
        </w:tc>
        <w:tc>
          <w:tcPr>
            <w:tcW w:w="2608" w:type="dxa"/>
            <w:tcBorders>
              <w:top w:val="single" w:sz="4" w:space="0" w:color="auto"/>
              <w:left w:val="thinThickThinSmallGap" w:sz="24" w:space="0" w:color="auto"/>
              <w:bottom w:val="single" w:sz="4" w:space="0" w:color="auto"/>
            </w:tcBorders>
            <w:shd w:val="clear" w:color="auto" w:fill="FFFFFF"/>
            <w:vAlign w:val="center"/>
          </w:tcPr>
          <w:p w:rsidR="006E5F8C" w:rsidRDefault="006E5F8C" w:rsidP="000C3E39">
            <w:pPr>
              <w:spacing w:line="220" w:lineRule="exact"/>
              <w:contextualSpacing/>
              <w:jc w:val="left"/>
              <w:rPr>
                <w:rFonts w:cs="Calibri"/>
                <w:color w:val="000000" w:themeColor="text1"/>
                <w:sz w:val="18"/>
                <w:szCs w:val="18"/>
              </w:rPr>
            </w:pPr>
            <w:r>
              <w:rPr>
                <w:rFonts w:cs="Calibri"/>
                <w:color w:val="000000" w:themeColor="text1"/>
                <w:sz w:val="18"/>
                <w:szCs w:val="18"/>
              </w:rPr>
              <w:t xml:space="preserve">Scar, Left Knee </w:t>
            </w:r>
          </w:p>
        </w:tc>
        <w:tc>
          <w:tcPr>
            <w:tcW w:w="1079" w:type="dxa"/>
            <w:tcBorders>
              <w:top w:val="single" w:sz="4" w:space="0" w:color="auto"/>
              <w:bottom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7802</w:t>
            </w:r>
          </w:p>
        </w:tc>
        <w:tc>
          <w:tcPr>
            <w:tcW w:w="720" w:type="dxa"/>
            <w:tcBorders>
              <w:top w:val="single" w:sz="4" w:space="0" w:color="auto"/>
              <w:bottom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tcBorders>
              <w:top w:val="single" w:sz="4" w:space="0" w:color="auto"/>
              <w:bottom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20071212</w:t>
            </w:r>
          </w:p>
        </w:tc>
      </w:tr>
      <w:tr w:rsidR="006E5F8C" w:rsidRPr="000D5DBE" w:rsidTr="000C3E39">
        <w:trPr>
          <w:trHeight w:val="141"/>
        </w:trPr>
        <w:tc>
          <w:tcPr>
            <w:tcW w:w="2536" w:type="dxa"/>
            <w:vMerge/>
            <w:tcBorders>
              <w:right w:val="single" w:sz="4" w:space="0" w:color="auto"/>
            </w:tcBorders>
            <w:shd w:val="clear" w:color="auto" w:fill="FFFFFF"/>
            <w:vAlign w:val="center"/>
          </w:tcPr>
          <w:p w:rsidR="006E5F8C" w:rsidRPr="001F29F9" w:rsidRDefault="006E5F8C" w:rsidP="000C3E39">
            <w:pPr>
              <w:spacing w:line="180" w:lineRule="exact"/>
              <w:contextualSpacing/>
              <w:jc w:val="left"/>
              <w:rPr>
                <w:color w:val="000000"/>
                <w:sz w:val="18"/>
              </w:rPr>
            </w:pPr>
          </w:p>
        </w:tc>
        <w:tc>
          <w:tcPr>
            <w:tcW w:w="720" w:type="dxa"/>
            <w:vMerge/>
            <w:tcBorders>
              <w:left w:val="single" w:sz="4" w:space="0" w:color="auto"/>
              <w:right w:val="single" w:sz="4" w:space="0" w:color="auto"/>
            </w:tcBorders>
            <w:shd w:val="clear" w:color="auto" w:fill="FFFFFF"/>
            <w:vAlign w:val="center"/>
          </w:tcPr>
          <w:p w:rsidR="006E5F8C" w:rsidRPr="001F29F9" w:rsidRDefault="006E5F8C" w:rsidP="000C3E39">
            <w:pPr>
              <w:spacing w:line="180" w:lineRule="exact"/>
              <w:contextualSpacing/>
              <w:rPr>
                <w:color w:val="000000"/>
                <w:sz w:val="18"/>
              </w:rPr>
            </w:pPr>
          </w:p>
        </w:tc>
        <w:tc>
          <w:tcPr>
            <w:tcW w:w="725" w:type="dxa"/>
            <w:vMerge/>
            <w:tcBorders>
              <w:left w:val="single" w:sz="4" w:space="0" w:color="auto"/>
              <w:right w:val="thinThickThinSmallGap" w:sz="24" w:space="0" w:color="auto"/>
            </w:tcBorders>
            <w:shd w:val="clear" w:color="auto" w:fill="FFFFFF"/>
            <w:vAlign w:val="center"/>
          </w:tcPr>
          <w:p w:rsidR="006E5F8C" w:rsidRPr="001F29F9" w:rsidRDefault="006E5F8C" w:rsidP="000C3E39">
            <w:pPr>
              <w:spacing w:line="220" w:lineRule="exact"/>
              <w:rPr>
                <w:color w:val="000000"/>
                <w:sz w:val="18"/>
              </w:rPr>
            </w:pPr>
          </w:p>
        </w:tc>
        <w:tc>
          <w:tcPr>
            <w:tcW w:w="2608" w:type="dxa"/>
            <w:tcBorders>
              <w:top w:val="single" w:sz="4" w:space="0" w:color="auto"/>
              <w:left w:val="thinThickThinSmallGap" w:sz="24" w:space="0" w:color="auto"/>
            </w:tcBorders>
            <w:shd w:val="clear" w:color="auto" w:fill="FFFFFF"/>
            <w:vAlign w:val="center"/>
          </w:tcPr>
          <w:p w:rsidR="006E5F8C" w:rsidRDefault="006E5F8C" w:rsidP="000C3E39">
            <w:pPr>
              <w:spacing w:line="220" w:lineRule="exact"/>
              <w:contextualSpacing/>
              <w:jc w:val="left"/>
              <w:rPr>
                <w:rFonts w:cs="Calibri"/>
                <w:color w:val="000000" w:themeColor="text1"/>
                <w:sz w:val="18"/>
                <w:szCs w:val="18"/>
              </w:rPr>
            </w:pPr>
            <w:r>
              <w:rPr>
                <w:rFonts w:cs="Calibri"/>
                <w:color w:val="000000" w:themeColor="text1"/>
                <w:sz w:val="18"/>
                <w:szCs w:val="18"/>
              </w:rPr>
              <w:t>Scar, Right Knee</w:t>
            </w:r>
          </w:p>
        </w:tc>
        <w:tc>
          <w:tcPr>
            <w:tcW w:w="1079" w:type="dxa"/>
            <w:tcBorders>
              <w:top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7802</w:t>
            </w:r>
          </w:p>
        </w:tc>
        <w:tc>
          <w:tcPr>
            <w:tcW w:w="720" w:type="dxa"/>
            <w:tcBorders>
              <w:top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tcBorders>
              <w:top w:val="single" w:sz="4" w:space="0" w:color="auto"/>
            </w:tcBorders>
            <w:shd w:val="clear" w:color="auto" w:fill="FFFFFF"/>
            <w:vAlign w:val="center"/>
          </w:tcPr>
          <w:p w:rsidR="006E5F8C" w:rsidRDefault="006E5F8C" w:rsidP="000C3E39">
            <w:pPr>
              <w:spacing w:line="220" w:lineRule="exact"/>
              <w:contextualSpacing/>
              <w:rPr>
                <w:rFonts w:cs="Calibri"/>
                <w:color w:val="000000" w:themeColor="text1"/>
                <w:sz w:val="18"/>
                <w:szCs w:val="18"/>
              </w:rPr>
            </w:pPr>
            <w:r>
              <w:rPr>
                <w:rFonts w:cs="Calibri"/>
                <w:color w:val="000000" w:themeColor="text1"/>
                <w:sz w:val="18"/>
                <w:szCs w:val="18"/>
              </w:rPr>
              <w:t>20071212</w:t>
            </w:r>
          </w:p>
        </w:tc>
      </w:tr>
      <w:tr w:rsidR="000C3E39" w:rsidRPr="000D5DBE" w:rsidTr="000C3E39">
        <w:trPr>
          <w:trHeight w:val="187"/>
        </w:trPr>
        <w:tc>
          <w:tcPr>
            <w:tcW w:w="2536" w:type="dxa"/>
            <w:vMerge w:val="restart"/>
            <w:tcBorders>
              <w:right w:val="single" w:sz="4" w:space="0" w:color="auto"/>
            </w:tcBorders>
            <w:shd w:val="clear" w:color="auto" w:fill="FFFFFF"/>
            <w:vAlign w:val="center"/>
          </w:tcPr>
          <w:p w:rsidR="000C3E39" w:rsidRPr="001F29F9" w:rsidRDefault="000C3E39" w:rsidP="000C3E39">
            <w:pPr>
              <w:spacing w:line="180" w:lineRule="exact"/>
              <w:contextualSpacing/>
              <w:jc w:val="left"/>
              <w:rPr>
                <w:rFonts w:cs="Calibri"/>
                <w:color w:val="000000" w:themeColor="text1"/>
                <w:sz w:val="18"/>
                <w:szCs w:val="18"/>
              </w:rPr>
            </w:pPr>
            <w:r>
              <w:rPr>
                <w:rFonts w:cs="Calibri"/>
                <w:color w:val="000000" w:themeColor="text1"/>
                <w:sz w:val="18"/>
                <w:szCs w:val="18"/>
              </w:rPr>
              <w:t>Group XXI Muscle And Nerve Injury</w:t>
            </w:r>
          </w:p>
        </w:tc>
        <w:tc>
          <w:tcPr>
            <w:tcW w:w="720" w:type="dxa"/>
            <w:vMerge w:val="restart"/>
            <w:tcBorders>
              <w:left w:val="single" w:sz="4" w:space="0" w:color="auto"/>
              <w:right w:val="single" w:sz="4" w:space="0" w:color="auto"/>
            </w:tcBorders>
            <w:shd w:val="clear" w:color="auto" w:fill="FFFFFF"/>
            <w:vAlign w:val="center"/>
          </w:tcPr>
          <w:p w:rsidR="000C3E39" w:rsidRPr="001F29F9" w:rsidRDefault="000C3E39" w:rsidP="000C3E39">
            <w:pPr>
              <w:spacing w:line="180" w:lineRule="exact"/>
              <w:contextualSpacing/>
              <w:rPr>
                <w:rFonts w:cs="Calibri"/>
                <w:color w:val="000000" w:themeColor="text1"/>
                <w:sz w:val="18"/>
                <w:szCs w:val="18"/>
              </w:rPr>
            </w:pPr>
            <w:r>
              <w:rPr>
                <w:rFonts w:cs="Calibri"/>
                <w:color w:val="000000" w:themeColor="text1"/>
                <w:sz w:val="18"/>
                <w:szCs w:val="18"/>
              </w:rPr>
              <w:t>5321</w:t>
            </w:r>
          </w:p>
        </w:tc>
        <w:tc>
          <w:tcPr>
            <w:tcW w:w="725" w:type="dxa"/>
            <w:vMerge w:val="restart"/>
            <w:tcBorders>
              <w:left w:val="single" w:sz="4" w:space="0" w:color="auto"/>
              <w:right w:val="thinThickThinSmallGap" w:sz="24" w:space="0" w:color="auto"/>
            </w:tcBorders>
            <w:shd w:val="clear" w:color="auto" w:fill="FFFFFF"/>
            <w:vAlign w:val="center"/>
          </w:tcPr>
          <w:p w:rsidR="000C3E39" w:rsidRPr="001F29F9" w:rsidRDefault="000C3E39" w:rsidP="000C3E39">
            <w:pPr>
              <w:spacing w:line="22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608" w:type="dxa"/>
            <w:tcBorders>
              <w:left w:val="thinThickThinSmallGap" w:sz="24" w:space="0" w:color="auto"/>
              <w:bottom w:val="single" w:sz="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 xml:space="preserve">Residual Rib Fracture </w:t>
            </w:r>
          </w:p>
        </w:tc>
        <w:tc>
          <w:tcPr>
            <w:tcW w:w="1079" w:type="dxa"/>
            <w:tcBorders>
              <w:left w:val="single" w:sz="4" w:space="0" w:color="auto"/>
              <w:bottom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5299-5297</w:t>
            </w:r>
          </w:p>
        </w:tc>
        <w:tc>
          <w:tcPr>
            <w:tcW w:w="720" w:type="dxa"/>
            <w:tcBorders>
              <w:bottom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tcBorders>
              <w:bottom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20071212</w:t>
            </w:r>
          </w:p>
        </w:tc>
      </w:tr>
      <w:tr w:rsidR="000C3E39" w:rsidRPr="000D5DBE" w:rsidTr="000C3E39">
        <w:trPr>
          <w:trHeight w:val="132"/>
        </w:trPr>
        <w:tc>
          <w:tcPr>
            <w:tcW w:w="2536" w:type="dxa"/>
            <w:vMerge/>
            <w:tcBorders>
              <w:right w:val="single" w:sz="4" w:space="0" w:color="auto"/>
            </w:tcBorders>
            <w:shd w:val="clear" w:color="auto" w:fill="FFFFFF"/>
            <w:vAlign w:val="center"/>
          </w:tcPr>
          <w:p w:rsidR="000C3E39" w:rsidRPr="001F29F9" w:rsidRDefault="000C3E39" w:rsidP="000C3E39">
            <w:pPr>
              <w:spacing w:line="220" w:lineRule="exact"/>
              <w:contextualSpacing/>
              <w:jc w:val="left"/>
              <w:rPr>
                <w:color w:val="000000"/>
                <w:sz w:val="18"/>
              </w:rPr>
            </w:pPr>
          </w:p>
        </w:tc>
        <w:tc>
          <w:tcPr>
            <w:tcW w:w="720" w:type="dxa"/>
            <w:vMerge/>
            <w:tcBorders>
              <w:left w:val="single" w:sz="4" w:space="0" w:color="auto"/>
              <w:right w:val="single" w:sz="4" w:space="0" w:color="auto"/>
            </w:tcBorders>
            <w:shd w:val="clear" w:color="auto" w:fill="FFFFFF"/>
            <w:vAlign w:val="center"/>
          </w:tcPr>
          <w:p w:rsidR="000C3E39" w:rsidRPr="00D8352E" w:rsidRDefault="000C3E39" w:rsidP="000C3E39">
            <w:pPr>
              <w:spacing w:line="220" w:lineRule="exact"/>
              <w:contextualSpacing/>
              <w:rPr>
                <w:color w:val="000000"/>
                <w:sz w:val="18"/>
              </w:rPr>
            </w:pPr>
          </w:p>
        </w:tc>
        <w:tc>
          <w:tcPr>
            <w:tcW w:w="725" w:type="dxa"/>
            <w:vMerge/>
            <w:tcBorders>
              <w:left w:val="single" w:sz="4" w:space="0" w:color="auto"/>
              <w:right w:val="thinThickThinSmallGap" w:sz="24" w:space="0" w:color="auto"/>
            </w:tcBorders>
            <w:shd w:val="clear" w:color="auto" w:fill="FFFFFF"/>
            <w:vAlign w:val="center"/>
          </w:tcPr>
          <w:p w:rsidR="000C3E39" w:rsidRPr="00D8352E" w:rsidRDefault="000C3E39" w:rsidP="000C3E39">
            <w:pPr>
              <w:spacing w:line="220" w:lineRule="exact"/>
              <w:contextualSpacing/>
              <w:rPr>
                <w:color w:val="000000"/>
                <w:sz w:val="18"/>
              </w:rPr>
            </w:pP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Residual Scar, Chest</w:t>
            </w:r>
          </w:p>
        </w:tc>
        <w:tc>
          <w:tcPr>
            <w:tcW w:w="1079" w:type="dxa"/>
            <w:tcBorders>
              <w:top w:val="single" w:sz="4" w:space="0" w:color="auto"/>
              <w:left w:val="single" w:sz="4" w:space="0" w:color="auto"/>
            </w:tcBorders>
            <w:shd w:val="clear" w:color="auto" w:fill="FFFFFF"/>
            <w:vAlign w:val="center"/>
          </w:tcPr>
          <w:p w:rsidR="000C3E3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7802</w:t>
            </w:r>
          </w:p>
        </w:tc>
        <w:tc>
          <w:tcPr>
            <w:tcW w:w="720" w:type="dxa"/>
            <w:tcBorders>
              <w:top w:val="single" w:sz="4" w:space="0" w:color="auto"/>
            </w:tcBorders>
            <w:shd w:val="clear" w:color="auto" w:fill="FFFFFF"/>
            <w:vAlign w:val="center"/>
          </w:tcPr>
          <w:p w:rsidR="000C3E3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0%</w:t>
            </w:r>
          </w:p>
        </w:tc>
        <w:tc>
          <w:tcPr>
            <w:tcW w:w="960" w:type="dxa"/>
            <w:tcBorders>
              <w:top w:val="single" w:sz="4" w:space="0" w:color="auto"/>
            </w:tcBorders>
            <w:shd w:val="clear" w:color="auto" w:fill="FFFFFF"/>
            <w:vAlign w:val="center"/>
          </w:tcPr>
          <w:p w:rsidR="000C3E3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20071212</w:t>
            </w:r>
          </w:p>
        </w:tc>
      </w:tr>
      <w:tr w:rsidR="000C3E39" w:rsidRPr="000D5DBE" w:rsidTr="000C3E39">
        <w:trPr>
          <w:trHeight w:val="87"/>
        </w:trPr>
        <w:tc>
          <w:tcPr>
            <w:tcW w:w="2536" w:type="dxa"/>
            <w:tcBorders>
              <w:bottom w:val="single" w:sz="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Post-Traumatic Stress Disorder</w:t>
            </w:r>
          </w:p>
        </w:tc>
        <w:tc>
          <w:tcPr>
            <w:tcW w:w="1445" w:type="dxa"/>
            <w:gridSpan w:val="2"/>
            <w:tcBorders>
              <w:left w:val="single" w:sz="4" w:space="0" w:color="auto"/>
              <w:bottom w:val="single" w:sz="4" w:space="0" w:color="auto"/>
              <w:right w:val="thinThickThinSmallGap" w:sz="2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Pr>
                <w:rFonts w:cs="Calibri"/>
                <w:color w:val="000000" w:themeColor="text1"/>
                <w:sz w:val="18"/>
                <w:szCs w:val="18"/>
              </w:rPr>
              <w:t>Not Unfitting</w:t>
            </w: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Post-Traumatic Stress Disorder</w:t>
            </w:r>
          </w:p>
        </w:tc>
        <w:tc>
          <w:tcPr>
            <w:tcW w:w="1079" w:type="dxa"/>
            <w:tcBorders>
              <w:top w:val="single" w:sz="4" w:space="0" w:color="auto"/>
              <w:left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9411</w:t>
            </w:r>
          </w:p>
        </w:tc>
        <w:tc>
          <w:tcPr>
            <w:tcW w:w="72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10%</w:t>
            </w:r>
            <w:r w:rsidR="002C22EB">
              <w:rPr>
                <w:rFonts w:cs="Calibri"/>
                <w:color w:val="000000" w:themeColor="text1"/>
                <w:sz w:val="18"/>
                <w:szCs w:val="18"/>
              </w:rPr>
              <w:t>*</w:t>
            </w:r>
          </w:p>
        </w:tc>
        <w:tc>
          <w:tcPr>
            <w:tcW w:w="96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sidRPr="00D33FA2">
              <w:rPr>
                <w:rFonts w:cs="Calibri"/>
                <w:color w:val="000000" w:themeColor="text1"/>
                <w:sz w:val="18"/>
                <w:szCs w:val="18"/>
              </w:rPr>
              <w:t>20071126</w:t>
            </w:r>
          </w:p>
        </w:tc>
      </w:tr>
      <w:tr w:rsidR="000C3E39" w:rsidRPr="000D5DBE" w:rsidTr="000C3E39">
        <w:trPr>
          <w:trHeight w:val="240"/>
        </w:trPr>
        <w:tc>
          <w:tcPr>
            <w:tcW w:w="3981" w:type="dxa"/>
            <w:gridSpan w:val="3"/>
            <w:vMerge w:val="restart"/>
            <w:tcBorders>
              <w:top w:val="single" w:sz="4" w:space="0" w:color="auto"/>
              <w:right w:val="thinThickThinSmallGap" w:sz="24" w:space="0" w:color="auto"/>
            </w:tcBorders>
            <w:shd w:val="clear" w:color="auto" w:fill="FFFFFF"/>
            <w:vAlign w:val="center"/>
          </w:tcPr>
          <w:p w:rsidR="000C3E39" w:rsidRPr="000D5DBE" w:rsidRDefault="000C3E39" w:rsidP="000C3E39">
            <w:pPr>
              <w:spacing w:line="220" w:lineRule="exact"/>
              <w:contextualSpacing/>
              <w:rPr>
                <w:color w:val="000000"/>
                <w:sz w:val="18"/>
              </w:rPr>
            </w:pPr>
            <w:r w:rsidRPr="000D5DBE">
              <w:rPr>
                <w:color w:val="000000"/>
                <w:sz w:val="18"/>
              </w:rPr>
              <w:t>No Additional MEB/PEB Entries</w:t>
            </w: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Lumbar Spine Condition</w:t>
            </w:r>
          </w:p>
        </w:tc>
        <w:tc>
          <w:tcPr>
            <w:tcW w:w="1079" w:type="dxa"/>
            <w:tcBorders>
              <w:top w:val="single" w:sz="4" w:space="0" w:color="auto"/>
              <w:left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5237</w:t>
            </w:r>
          </w:p>
        </w:tc>
        <w:tc>
          <w:tcPr>
            <w:tcW w:w="72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sidRPr="00A4482E">
              <w:rPr>
                <w:rFonts w:cs="Calibri"/>
                <w:color w:val="000000" w:themeColor="text1"/>
                <w:sz w:val="18"/>
                <w:szCs w:val="18"/>
              </w:rPr>
              <w:t>20071212</w:t>
            </w:r>
          </w:p>
        </w:tc>
      </w:tr>
      <w:tr w:rsidR="000C3E39" w:rsidRPr="000D5DBE" w:rsidTr="000C3E39">
        <w:trPr>
          <w:trHeight w:val="150"/>
        </w:trPr>
        <w:tc>
          <w:tcPr>
            <w:tcW w:w="3981" w:type="dxa"/>
            <w:gridSpan w:val="3"/>
            <w:vMerge/>
            <w:tcBorders>
              <w:right w:val="thinThickThinSmallGap" w:sz="24" w:space="0" w:color="auto"/>
            </w:tcBorders>
            <w:shd w:val="clear" w:color="auto" w:fill="FFFFFF"/>
            <w:vAlign w:val="center"/>
          </w:tcPr>
          <w:p w:rsidR="000C3E39" w:rsidRPr="00D8352E" w:rsidRDefault="000C3E39" w:rsidP="000C3E39">
            <w:pPr>
              <w:spacing w:line="220" w:lineRule="exact"/>
              <w:contextualSpacing/>
              <w:rPr>
                <w:color w:val="000000"/>
                <w:sz w:val="18"/>
              </w:rPr>
            </w:pP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Right Ankle Condition</w:t>
            </w:r>
          </w:p>
        </w:tc>
        <w:tc>
          <w:tcPr>
            <w:tcW w:w="1079" w:type="dxa"/>
            <w:tcBorders>
              <w:top w:val="single" w:sz="4" w:space="0" w:color="auto"/>
              <w:left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sidRPr="00A4482E">
              <w:rPr>
                <w:rFonts w:cs="Calibri"/>
                <w:color w:val="000000" w:themeColor="text1"/>
                <w:sz w:val="18"/>
                <w:szCs w:val="18"/>
              </w:rPr>
              <w:t>20071212</w:t>
            </w:r>
          </w:p>
        </w:tc>
      </w:tr>
      <w:tr w:rsidR="000C3E39" w:rsidRPr="000D5DBE" w:rsidTr="000C3E39">
        <w:trPr>
          <w:trHeight w:val="150"/>
        </w:trPr>
        <w:tc>
          <w:tcPr>
            <w:tcW w:w="3981" w:type="dxa"/>
            <w:gridSpan w:val="3"/>
            <w:vMerge/>
            <w:tcBorders>
              <w:right w:val="thinThickThinSmallGap" w:sz="24" w:space="0" w:color="auto"/>
            </w:tcBorders>
            <w:shd w:val="clear" w:color="auto" w:fill="FFFFFF"/>
            <w:vAlign w:val="center"/>
          </w:tcPr>
          <w:p w:rsidR="000C3E39" w:rsidRPr="00D8352E" w:rsidRDefault="000C3E39" w:rsidP="000C3E39">
            <w:pPr>
              <w:spacing w:line="220" w:lineRule="exact"/>
              <w:contextualSpacing/>
              <w:rPr>
                <w:color w:val="000000"/>
                <w:sz w:val="18"/>
              </w:rPr>
            </w:pP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Left Ankle Condition</w:t>
            </w:r>
          </w:p>
        </w:tc>
        <w:tc>
          <w:tcPr>
            <w:tcW w:w="1079" w:type="dxa"/>
            <w:tcBorders>
              <w:top w:val="single" w:sz="4" w:space="0" w:color="auto"/>
              <w:left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5271</w:t>
            </w:r>
          </w:p>
        </w:tc>
        <w:tc>
          <w:tcPr>
            <w:tcW w:w="72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sidRPr="00A4482E">
              <w:rPr>
                <w:rFonts w:cs="Calibri"/>
                <w:color w:val="000000" w:themeColor="text1"/>
                <w:sz w:val="18"/>
                <w:szCs w:val="18"/>
              </w:rPr>
              <w:t>20071212</w:t>
            </w:r>
          </w:p>
        </w:tc>
      </w:tr>
      <w:tr w:rsidR="000C3E39" w:rsidRPr="000D5DBE" w:rsidTr="00CD7720">
        <w:trPr>
          <w:trHeight w:val="240"/>
        </w:trPr>
        <w:tc>
          <w:tcPr>
            <w:tcW w:w="3981" w:type="dxa"/>
            <w:gridSpan w:val="3"/>
            <w:vMerge/>
            <w:tcBorders>
              <w:right w:val="thinThickThinSmallGap" w:sz="24" w:space="0" w:color="auto"/>
            </w:tcBorders>
            <w:shd w:val="clear" w:color="auto" w:fill="FFFFFF"/>
            <w:vAlign w:val="center"/>
          </w:tcPr>
          <w:p w:rsidR="000C3E39" w:rsidRPr="00D8352E" w:rsidRDefault="000C3E39" w:rsidP="000C3E39">
            <w:pPr>
              <w:spacing w:line="220" w:lineRule="exact"/>
              <w:contextualSpacing/>
              <w:rPr>
                <w:color w:val="000000"/>
                <w:sz w:val="18"/>
              </w:rPr>
            </w:pPr>
          </w:p>
        </w:tc>
        <w:tc>
          <w:tcPr>
            <w:tcW w:w="2608" w:type="dxa"/>
            <w:tcBorders>
              <w:top w:val="single" w:sz="4" w:space="0" w:color="auto"/>
              <w:left w:val="thinThickThinSmallGap" w:sz="24" w:space="0" w:color="auto"/>
              <w:right w:val="single" w:sz="4" w:space="0" w:color="auto"/>
            </w:tcBorders>
            <w:shd w:val="clear" w:color="auto" w:fill="FFFFFF"/>
            <w:vAlign w:val="center"/>
          </w:tcPr>
          <w:p w:rsidR="000C3E39" w:rsidRPr="001F29F9" w:rsidRDefault="000C3E39" w:rsidP="000C3E39">
            <w:pPr>
              <w:spacing w:line="220" w:lineRule="exact"/>
              <w:contextualSpacing/>
              <w:jc w:val="left"/>
              <w:rPr>
                <w:rFonts w:cs="Calibri"/>
                <w:color w:val="000000" w:themeColor="text1"/>
                <w:sz w:val="18"/>
                <w:szCs w:val="18"/>
              </w:rPr>
            </w:pPr>
            <w:r>
              <w:rPr>
                <w:rFonts w:cs="Calibri"/>
                <w:color w:val="000000" w:themeColor="text1"/>
                <w:sz w:val="18"/>
                <w:szCs w:val="18"/>
              </w:rPr>
              <w:t>Tinnitus</w:t>
            </w:r>
          </w:p>
        </w:tc>
        <w:tc>
          <w:tcPr>
            <w:tcW w:w="1079" w:type="dxa"/>
            <w:tcBorders>
              <w:top w:val="single" w:sz="4" w:space="0" w:color="auto"/>
              <w:left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tcBorders>
              <w:top w:val="single" w:sz="4" w:space="0" w:color="auto"/>
            </w:tcBorders>
            <w:shd w:val="clear" w:color="auto" w:fill="FFFFFF"/>
            <w:vAlign w:val="center"/>
          </w:tcPr>
          <w:p w:rsidR="000C3E39" w:rsidRPr="001F29F9" w:rsidRDefault="000C3E39" w:rsidP="000C3E39">
            <w:pPr>
              <w:spacing w:line="220" w:lineRule="exact"/>
              <w:contextualSpacing/>
              <w:rPr>
                <w:rFonts w:cs="Calibri"/>
                <w:color w:val="000000" w:themeColor="text1"/>
                <w:sz w:val="18"/>
                <w:szCs w:val="18"/>
                <w:highlight w:val="yellow"/>
              </w:rPr>
            </w:pPr>
            <w:r w:rsidRPr="00A4482E">
              <w:rPr>
                <w:rFonts w:cs="Calibri"/>
                <w:color w:val="000000" w:themeColor="text1"/>
                <w:sz w:val="18"/>
                <w:szCs w:val="18"/>
              </w:rPr>
              <w:t>20071212</w:t>
            </w:r>
          </w:p>
        </w:tc>
      </w:tr>
      <w:tr w:rsidR="000C3E39" w:rsidRPr="000D5DBE" w:rsidTr="00CD7720">
        <w:trPr>
          <w:trHeight w:val="172"/>
        </w:trPr>
        <w:tc>
          <w:tcPr>
            <w:tcW w:w="3981" w:type="dxa"/>
            <w:gridSpan w:val="3"/>
            <w:vMerge/>
            <w:tcBorders>
              <w:right w:val="thinThickThinSmallGap" w:sz="24" w:space="0" w:color="auto"/>
            </w:tcBorders>
            <w:shd w:val="clear" w:color="auto" w:fill="FFFFFF"/>
            <w:vAlign w:val="center"/>
          </w:tcPr>
          <w:p w:rsidR="000C3E39" w:rsidRPr="001F29F9" w:rsidRDefault="000C3E39" w:rsidP="000C3E39">
            <w:pPr>
              <w:spacing w:line="220" w:lineRule="exact"/>
              <w:contextualSpacing/>
              <w:jc w:val="both"/>
              <w:rPr>
                <w:rFonts w:cs="Calibri"/>
                <w:color w:val="000000"/>
                <w:sz w:val="18"/>
              </w:rPr>
            </w:pPr>
          </w:p>
        </w:tc>
        <w:tc>
          <w:tcPr>
            <w:tcW w:w="4407" w:type="dxa"/>
            <w:gridSpan w:val="3"/>
            <w:tcBorders>
              <w:left w:val="thinThickThinSmallGap" w:sz="24" w:space="0" w:color="auto"/>
            </w:tcBorders>
            <w:shd w:val="clear" w:color="auto" w:fill="FFFFFF"/>
            <w:vAlign w:val="center"/>
          </w:tcPr>
          <w:p w:rsidR="000C3E39" w:rsidRPr="001F29F9" w:rsidRDefault="0042522F" w:rsidP="000C3E39">
            <w:pPr>
              <w:spacing w:line="220" w:lineRule="exact"/>
              <w:contextualSpacing/>
              <w:rPr>
                <w:rFonts w:cs="Calibri"/>
                <w:color w:val="000000"/>
                <w:sz w:val="18"/>
              </w:rPr>
            </w:pPr>
            <w:r>
              <w:rPr>
                <w:color w:val="000000"/>
                <w:sz w:val="18"/>
              </w:rPr>
              <w:t>0% X 3</w:t>
            </w:r>
            <w:r w:rsidR="000C3E39">
              <w:rPr>
                <w:color w:val="000000"/>
                <w:sz w:val="18"/>
              </w:rPr>
              <w:t xml:space="preserve"> </w:t>
            </w:r>
            <w:r w:rsidR="000C3E39" w:rsidRPr="000D5DBE">
              <w:rPr>
                <w:color w:val="000000"/>
                <w:sz w:val="18"/>
              </w:rPr>
              <w:t>/</w:t>
            </w:r>
            <w:r w:rsidR="000C3E39">
              <w:rPr>
                <w:color w:val="000000"/>
                <w:sz w:val="18"/>
              </w:rPr>
              <w:t xml:space="preserve"> </w:t>
            </w:r>
            <w:r w:rsidR="00004B6B">
              <w:rPr>
                <w:color w:val="000000"/>
                <w:sz w:val="18"/>
              </w:rPr>
              <w:t>Not Service-</w:t>
            </w:r>
            <w:r w:rsidR="000C3E39" w:rsidRPr="000D5DBE">
              <w:rPr>
                <w:color w:val="000000"/>
                <w:sz w:val="18"/>
              </w:rPr>
              <w:t xml:space="preserve">Connected x </w:t>
            </w:r>
            <w:r>
              <w:rPr>
                <w:color w:val="000000"/>
                <w:sz w:val="18"/>
              </w:rPr>
              <w:t>2</w:t>
            </w:r>
          </w:p>
        </w:tc>
        <w:tc>
          <w:tcPr>
            <w:tcW w:w="960" w:type="dxa"/>
            <w:shd w:val="clear" w:color="auto" w:fill="FFFFFF"/>
            <w:vAlign w:val="center"/>
          </w:tcPr>
          <w:p w:rsidR="000C3E39" w:rsidRPr="001F29F9" w:rsidRDefault="000C3E39" w:rsidP="000C3E39">
            <w:pPr>
              <w:spacing w:line="220" w:lineRule="exact"/>
              <w:contextualSpacing/>
              <w:rPr>
                <w:rFonts w:cs="Calibri"/>
                <w:color w:val="000000"/>
                <w:sz w:val="18"/>
              </w:rPr>
            </w:pPr>
            <w:r w:rsidRPr="00A4482E">
              <w:rPr>
                <w:rFonts w:cs="Calibri"/>
                <w:color w:val="000000" w:themeColor="text1"/>
                <w:sz w:val="18"/>
                <w:szCs w:val="18"/>
              </w:rPr>
              <w:t>20071212</w:t>
            </w:r>
          </w:p>
        </w:tc>
      </w:tr>
      <w:tr w:rsidR="00AD2379" w:rsidRPr="000D5DBE" w:rsidTr="000C3E39">
        <w:trPr>
          <w:trHeight w:val="124"/>
        </w:trPr>
        <w:tc>
          <w:tcPr>
            <w:tcW w:w="3981" w:type="dxa"/>
            <w:gridSpan w:val="3"/>
            <w:tcBorders>
              <w:right w:val="thinThickThinSmallGap" w:sz="24" w:space="0" w:color="auto"/>
            </w:tcBorders>
            <w:shd w:val="clear" w:color="auto" w:fill="D9D9D9"/>
          </w:tcPr>
          <w:p w:rsidR="00AD2379" w:rsidRPr="000D5DBE" w:rsidRDefault="006E5F8C" w:rsidP="000C3E39">
            <w:pPr>
              <w:contextualSpacing/>
              <w:rPr>
                <w:rFonts w:cs="Calibri"/>
                <w:b/>
                <w:color w:val="000000"/>
                <w:sz w:val="18"/>
              </w:rPr>
            </w:pPr>
            <w:r>
              <w:rPr>
                <w:b/>
                <w:color w:val="000000"/>
                <w:sz w:val="18"/>
              </w:rPr>
              <w:t xml:space="preserve">Combined:  </w:t>
            </w:r>
            <w:r w:rsidR="00AD2379" w:rsidRPr="000D5DBE">
              <w:rPr>
                <w:b/>
                <w:color w:val="000000"/>
                <w:sz w:val="18"/>
              </w:rPr>
              <w:t>0%</w:t>
            </w:r>
          </w:p>
        </w:tc>
        <w:tc>
          <w:tcPr>
            <w:tcW w:w="5367" w:type="dxa"/>
            <w:gridSpan w:val="4"/>
            <w:tcBorders>
              <w:left w:val="thinThickThinSmallGap" w:sz="24" w:space="0" w:color="auto"/>
            </w:tcBorders>
            <w:shd w:val="clear" w:color="auto" w:fill="D9D9D9"/>
          </w:tcPr>
          <w:p w:rsidR="00AD2379" w:rsidRPr="000D5DBE" w:rsidRDefault="006E5F8C" w:rsidP="000C3E39">
            <w:pPr>
              <w:contextualSpacing/>
              <w:rPr>
                <w:rFonts w:cs="Calibri"/>
                <w:b/>
                <w:color w:val="000000"/>
                <w:sz w:val="18"/>
              </w:rPr>
            </w:pPr>
            <w:r>
              <w:rPr>
                <w:b/>
                <w:color w:val="000000"/>
                <w:sz w:val="18"/>
              </w:rPr>
              <w:t>Combined:  4</w:t>
            </w:r>
            <w:r w:rsidR="00AD2379" w:rsidRPr="000D5DBE">
              <w:rPr>
                <w:b/>
                <w:color w:val="000000"/>
                <w:sz w:val="18"/>
              </w:rPr>
              <w:t>0%</w:t>
            </w:r>
          </w:p>
        </w:tc>
      </w:tr>
    </w:tbl>
    <w:p w:rsidR="00AD2379" w:rsidRPr="002C22EB" w:rsidRDefault="002C22EB" w:rsidP="00BF0E94">
      <w:pPr>
        <w:pBdr>
          <w:bottom w:val="single" w:sz="12" w:space="1" w:color="auto"/>
        </w:pBdr>
        <w:tabs>
          <w:tab w:val="left" w:pos="288"/>
          <w:tab w:val="left" w:pos="4752"/>
        </w:tabs>
        <w:jc w:val="both"/>
        <w:rPr>
          <w:color w:val="000000"/>
          <w:sz w:val="18"/>
          <w:szCs w:val="18"/>
        </w:rPr>
      </w:pPr>
      <w:r w:rsidRPr="002C22EB">
        <w:rPr>
          <w:color w:val="000000"/>
          <w:sz w:val="18"/>
          <w:szCs w:val="18"/>
        </w:rPr>
        <w:t xml:space="preserve">* Increased to </w:t>
      </w:r>
      <w:r>
        <w:rPr>
          <w:color w:val="000000"/>
          <w:sz w:val="18"/>
          <w:szCs w:val="18"/>
        </w:rPr>
        <w:t xml:space="preserve">50% effective 20071206 based on letter from clinical psychologist dated 20080211.  </w:t>
      </w:r>
    </w:p>
    <w:p w:rsidR="002C22EB" w:rsidRPr="001F29F9" w:rsidRDefault="002C22EB"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2E1C03" w:rsidRPr="002E1C03" w:rsidRDefault="00AD2379" w:rsidP="002E1C03">
      <w:pPr>
        <w:jc w:val="both"/>
        <w:rPr>
          <w:color w:val="000000"/>
        </w:rPr>
      </w:pPr>
      <w:r w:rsidRPr="001F29F9">
        <w:rPr>
          <w:color w:val="000000"/>
          <w:u w:val="single"/>
        </w:rPr>
        <w:t>ANALYSIS SUMMARY</w:t>
      </w:r>
      <w:r w:rsidRPr="001F29F9">
        <w:rPr>
          <w:color w:val="000000"/>
        </w:rPr>
        <w:t>:</w:t>
      </w:r>
      <w:r>
        <w:rPr>
          <w:color w:val="000000"/>
        </w:rPr>
        <w:t xml:space="preserve"> </w:t>
      </w:r>
      <w:r w:rsidR="002C22EB">
        <w:rPr>
          <w:color w:val="000000"/>
        </w:rPr>
        <w:t xml:space="preserve"> </w:t>
      </w:r>
      <w:r w:rsidR="002E1C03" w:rsidRPr="002E1C03">
        <w:rPr>
          <w:color w:val="000000"/>
        </w:rPr>
        <w:t xml:space="preserve">The Board notes the current VA ratings listed by the CI for his service connected </w:t>
      </w:r>
      <w:r w:rsidR="00BF4925" w:rsidRPr="002E1C03">
        <w:rPr>
          <w:color w:val="000000"/>
        </w:rPr>
        <w:t>conditions</w:t>
      </w:r>
      <w:r w:rsidR="00004B6B">
        <w:rPr>
          <w:color w:val="000000"/>
        </w:rPr>
        <w:t xml:space="preserve"> and his request for </w:t>
      </w:r>
      <w:r w:rsidR="00285283">
        <w:rPr>
          <w:color w:val="000000"/>
        </w:rPr>
        <w:t>a rating for</w:t>
      </w:r>
      <w:r w:rsidR="00B2761C">
        <w:rPr>
          <w:color w:val="000000"/>
        </w:rPr>
        <w:t xml:space="preserve"> PTSD; and,</w:t>
      </w:r>
      <w:r w:rsidR="00EA0EC3">
        <w:rPr>
          <w:color w:val="000000"/>
        </w:rPr>
        <w:t xml:space="preserve"> </w:t>
      </w:r>
      <w:r w:rsidR="00B2761C">
        <w:rPr>
          <w:color w:val="000000"/>
        </w:rPr>
        <w:t>wishes to</w:t>
      </w:r>
      <w:r w:rsidR="00EA0EC3">
        <w:rPr>
          <w:color w:val="000000"/>
        </w:rPr>
        <w:t xml:space="preserve"> clarify that it </w:t>
      </w:r>
      <w:r w:rsidR="002E1C03" w:rsidRPr="002E1C03">
        <w:rPr>
          <w:color w:val="000000"/>
        </w:rPr>
        <w:t xml:space="preserve">is subject to the same laws for </w:t>
      </w:r>
      <w:r w:rsidR="00004B6B">
        <w:rPr>
          <w:color w:val="000000"/>
        </w:rPr>
        <w:t>s</w:t>
      </w:r>
      <w:r w:rsidR="002E1C03" w:rsidRPr="002E1C03">
        <w:rPr>
          <w:color w:val="000000"/>
        </w:rPr>
        <w:t>ervice disability entitlements as those under which the Military</w:t>
      </w:r>
      <w:r w:rsidR="00004B6B">
        <w:rPr>
          <w:color w:val="000000"/>
        </w:rPr>
        <w:t xml:space="preserve"> Disability Evaluation System (DES) operates.  The </w:t>
      </w:r>
      <w:r w:rsidR="002E1C03" w:rsidRPr="002E1C03">
        <w:rPr>
          <w:color w:val="000000"/>
        </w:rPr>
        <w:t>DES has neither the role nor the authority to compensate service members for anticipated future severity or potential complications of conditions resulting in medical separation.  That role and authority is granted by Congress to the Department of Veteran</w:t>
      </w:r>
      <w:r w:rsidR="00004B6B">
        <w:rPr>
          <w:color w:val="000000"/>
        </w:rPr>
        <w:t>s’</w:t>
      </w:r>
      <w:r w:rsidR="002E1C03" w:rsidRPr="002E1C03">
        <w:rPr>
          <w:color w:val="000000"/>
        </w:rPr>
        <w:t xml:space="preserve"> Affairs (DVA), operating under a different set of laws (Title 38, United States Code).  The Boar</w:t>
      </w:r>
      <w:r w:rsidR="00B2761C">
        <w:rPr>
          <w:color w:val="000000"/>
        </w:rPr>
        <w:t xml:space="preserve">d evaluates </w:t>
      </w:r>
      <w:r w:rsidR="00004B6B">
        <w:rPr>
          <w:color w:val="000000"/>
        </w:rPr>
        <w:t>D</w:t>
      </w:r>
      <w:r w:rsidR="00B2761C">
        <w:rPr>
          <w:color w:val="000000"/>
        </w:rPr>
        <w:t>VA evidence proximate</w:t>
      </w:r>
      <w:r w:rsidR="002E1C03" w:rsidRPr="002E1C03">
        <w:rPr>
          <w:color w:val="000000"/>
        </w:rPr>
        <w:t xml:space="preserve"> to separation in arriving at its recommendations, but its authority resides in evaluating the fairness of rating determinations for disability at the </w:t>
      </w:r>
      <w:r w:rsidR="00004B6B">
        <w:rPr>
          <w:color w:val="000000"/>
        </w:rPr>
        <w:t xml:space="preserve">time of separation.  While the </w:t>
      </w:r>
      <w:r w:rsidR="002E1C03" w:rsidRPr="002E1C03">
        <w:rPr>
          <w:color w:val="000000"/>
        </w:rPr>
        <w:t>DES considers all of the service member's medical conditions, compensation can only be offered for tho</w:t>
      </w:r>
      <w:r w:rsidR="002E1C03">
        <w:rPr>
          <w:color w:val="000000"/>
        </w:rPr>
        <w:t xml:space="preserve">se medical conditions that cut </w:t>
      </w:r>
      <w:r w:rsidR="002E1C03" w:rsidRPr="002E1C03">
        <w:rPr>
          <w:color w:val="000000"/>
        </w:rPr>
        <w:t xml:space="preserve">short the member’s service career, and then only to the degree of severity present at the time of final disposition.  The DVA, however, is </w:t>
      </w:r>
      <w:r w:rsidR="00004B6B">
        <w:rPr>
          <w:color w:val="000000"/>
        </w:rPr>
        <w:t>empowered to compensate service-</w:t>
      </w:r>
      <w:r w:rsidR="002E1C03" w:rsidRPr="002E1C03">
        <w:rPr>
          <w:color w:val="000000"/>
        </w:rPr>
        <w:t>connected conditions and to periodically re-evaluate said conditions fo</w:t>
      </w:r>
      <w:r w:rsidR="00004B6B">
        <w:rPr>
          <w:color w:val="000000"/>
        </w:rPr>
        <w:t>r the purpose of adjusting the V</w:t>
      </w:r>
      <w:r w:rsidR="002E1C03" w:rsidRPr="002E1C03">
        <w:rPr>
          <w:color w:val="000000"/>
        </w:rPr>
        <w:t xml:space="preserve">eteran’s disability rating should </w:t>
      </w:r>
      <w:r w:rsidR="00004B6B">
        <w:rPr>
          <w:color w:val="000000"/>
        </w:rPr>
        <w:t>the</w:t>
      </w:r>
      <w:r w:rsidR="002E1C03" w:rsidRPr="002E1C03">
        <w:rPr>
          <w:color w:val="000000"/>
        </w:rPr>
        <w:t xml:space="preserve"> degree of impairment vary over time.</w:t>
      </w:r>
    </w:p>
    <w:p w:rsidR="00AD2379" w:rsidRPr="00726F84" w:rsidRDefault="00AD2379" w:rsidP="00726F84">
      <w:pPr>
        <w:jc w:val="both"/>
        <w:rPr>
          <w:color w:val="000000"/>
        </w:rPr>
      </w:pPr>
    </w:p>
    <w:p w:rsidR="00BE59D3" w:rsidRDefault="00BE59D3" w:rsidP="00B22D42">
      <w:pPr>
        <w:jc w:val="both"/>
        <w:rPr>
          <w:color w:val="000000"/>
        </w:rPr>
      </w:pPr>
      <w:r>
        <w:rPr>
          <w:color w:val="000000"/>
          <w:u w:val="single"/>
        </w:rPr>
        <w:t>Knee</w:t>
      </w:r>
      <w:r w:rsidR="00AD2379" w:rsidRPr="009A7578">
        <w:rPr>
          <w:color w:val="000000"/>
          <w:u w:val="single"/>
        </w:rPr>
        <w:t xml:space="preserve"> Condition</w:t>
      </w:r>
      <w:r w:rsidR="00B45C43">
        <w:rPr>
          <w:color w:val="000000"/>
          <w:u w:val="single"/>
        </w:rPr>
        <w:t>(s)</w:t>
      </w:r>
      <w:r w:rsidR="00AD2379" w:rsidRPr="009A7578">
        <w:rPr>
          <w:color w:val="000000"/>
        </w:rPr>
        <w:t xml:space="preserve">. </w:t>
      </w:r>
      <w:r w:rsidR="00385708">
        <w:rPr>
          <w:color w:val="000000"/>
        </w:rPr>
        <w:t xml:space="preserve"> </w:t>
      </w:r>
      <w:r w:rsidR="00B45C43">
        <w:rPr>
          <w:color w:val="000000"/>
        </w:rPr>
        <w:t xml:space="preserve">Both knees suffered multiple shrapnel penetrations and minor </w:t>
      </w:r>
      <w:r w:rsidR="000E4E65">
        <w:rPr>
          <w:color w:val="000000"/>
        </w:rPr>
        <w:t>bony injury</w:t>
      </w:r>
      <w:r w:rsidR="00B45C43">
        <w:rPr>
          <w:color w:val="000000"/>
        </w:rPr>
        <w:t xml:space="preserve">.  Both required open debridement, irrigation and delayed primary closure.  </w:t>
      </w:r>
      <w:r w:rsidR="00734278">
        <w:rPr>
          <w:color w:val="000000"/>
        </w:rPr>
        <w:t xml:space="preserve">There was no evidence of significant ligamental or </w:t>
      </w:r>
      <w:r w:rsidR="008A026C">
        <w:rPr>
          <w:color w:val="000000"/>
        </w:rPr>
        <w:t>meniscal</w:t>
      </w:r>
      <w:r w:rsidR="00734278">
        <w:rPr>
          <w:color w:val="000000"/>
        </w:rPr>
        <w:t xml:space="preserve"> damage</w:t>
      </w:r>
      <w:r w:rsidR="008A026C">
        <w:rPr>
          <w:color w:val="000000"/>
        </w:rPr>
        <w:t xml:space="preserve"> in either knee</w:t>
      </w:r>
      <w:r w:rsidR="00734278">
        <w:rPr>
          <w:color w:val="000000"/>
        </w:rPr>
        <w:t xml:space="preserve">, but there were indications of some soft tissue </w:t>
      </w:r>
      <w:r w:rsidR="00B2761C">
        <w:rPr>
          <w:color w:val="000000"/>
        </w:rPr>
        <w:t>and muscle damage</w:t>
      </w:r>
      <w:r w:rsidR="00734278">
        <w:rPr>
          <w:color w:val="000000"/>
        </w:rPr>
        <w:t xml:space="preserve">.  The MEB radiographic report for the left </w:t>
      </w:r>
      <w:r w:rsidR="000E4E65">
        <w:rPr>
          <w:color w:val="000000"/>
        </w:rPr>
        <w:t xml:space="preserve">knee </w:t>
      </w:r>
      <w:r w:rsidR="00734278">
        <w:rPr>
          <w:color w:val="000000"/>
        </w:rPr>
        <w:t>stated, “</w:t>
      </w:r>
      <w:proofErr w:type="gramStart"/>
      <w:r w:rsidR="00004B6B">
        <w:rPr>
          <w:color w:val="000000"/>
        </w:rPr>
        <w:t>s</w:t>
      </w:r>
      <w:r w:rsidR="00734278" w:rsidRPr="00734278">
        <w:rPr>
          <w:color w:val="000000"/>
        </w:rPr>
        <w:t>of</w:t>
      </w:r>
      <w:r w:rsidR="00734278">
        <w:rPr>
          <w:color w:val="000000"/>
        </w:rPr>
        <w:t>t</w:t>
      </w:r>
      <w:proofErr w:type="gramEnd"/>
      <w:r w:rsidR="00734278">
        <w:rPr>
          <w:color w:val="000000"/>
        </w:rPr>
        <w:t xml:space="preserve"> tissue defect in the lateral </w:t>
      </w:r>
      <w:r w:rsidR="00734278" w:rsidRPr="00734278">
        <w:rPr>
          <w:color w:val="000000"/>
        </w:rPr>
        <w:t>tibial region on the left with</w:t>
      </w:r>
      <w:r w:rsidR="00734278">
        <w:rPr>
          <w:color w:val="000000"/>
        </w:rPr>
        <w:t xml:space="preserve"> </w:t>
      </w:r>
      <w:r w:rsidR="00734278" w:rsidRPr="00734278">
        <w:rPr>
          <w:color w:val="000000"/>
        </w:rPr>
        <w:t xml:space="preserve">underlying shrapnel fragments. </w:t>
      </w:r>
      <w:r w:rsidR="00734278">
        <w:rPr>
          <w:color w:val="000000"/>
        </w:rPr>
        <w:t xml:space="preserve"> N</w:t>
      </w:r>
      <w:r w:rsidR="00734278" w:rsidRPr="00734278">
        <w:rPr>
          <w:color w:val="000000"/>
        </w:rPr>
        <w:t>o fracture.</w:t>
      </w:r>
      <w:r w:rsidR="00734278">
        <w:rPr>
          <w:color w:val="000000"/>
        </w:rPr>
        <w:t>”</w:t>
      </w:r>
      <w:r w:rsidR="000E4E65">
        <w:rPr>
          <w:color w:val="000000"/>
        </w:rPr>
        <w:t xml:space="preserve">  That for the right knee stated, “</w:t>
      </w:r>
      <w:proofErr w:type="gramStart"/>
      <w:r w:rsidR="00004B6B">
        <w:rPr>
          <w:color w:val="000000"/>
        </w:rPr>
        <w:t>s</w:t>
      </w:r>
      <w:r w:rsidR="000E4E65" w:rsidRPr="000E4E65">
        <w:rPr>
          <w:color w:val="000000"/>
        </w:rPr>
        <w:t>oft</w:t>
      </w:r>
      <w:proofErr w:type="gramEnd"/>
      <w:r w:rsidR="000E4E65" w:rsidRPr="000E4E65">
        <w:rPr>
          <w:color w:val="000000"/>
        </w:rPr>
        <w:t xml:space="preserve"> tissue defect in the medial tibial region with underlying shrapnel</w:t>
      </w:r>
      <w:r w:rsidR="000E4E65">
        <w:rPr>
          <w:color w:val="000000"/>
        </w:rPr>
        <w:t xml:space="preserve"> </w:t>
      </w:r>
      <w:r w:rsidR="000E4E65" w:rsidRPr="000E4E65">
        <w:rPr>
          <w:color w:val="000000"/>
        </w:rPr>
        <w:t>fragments and fracture of the medial tibial metaphysis.</w:t>
      </w:r>
      <w:r w:rsidR="000E4E65">
        <w:rPr>
          <w:color w:val="000000"/>
        </w:rPr>
        <w:t xml:space="preserve">”  </w:t>
      </w:r>
      <w:r w:rsidR="00BF2668">
        <w:rPr>
          <w:color w:val="000000"/>
        </w:rPr>
        <w:t>The right leg also suffered an associated ankle fracture</w:t>
      </w:r>
      <w:r w:rsidR="00BF2668" w:rsidRPr="00BF2668">
        <w:rPr>
          <w:color w:val="000000"/>
        </w:rPr>
        <w:t xml:space="preserve"> </w:t>
      </w:r>
      <w:r w:rsidR="00BF2668">
        <w:rPr>
          <w:color w:val="000000"/>
        </w:rPr>
        <w:t xml:space="preserve">(lateral malleolus), albeit not subject to Board </w:t>
      </w:r>
      <w:r w:rsidR="00B2761C">
        <w:rPr>
          <w:color w:val="000000"/>
        </w:rPr>
        <w:t xml:space="preserve">rating </w:t>
      </w:r>
      <w:r w:rsidR="00BF2668">
        <w:rPr>
          <w:color w:val="000000"/>
        </w:rPr>
        <w:t xml:space="preserve">consideration.  </w:t>
      </w:r>
      <w:r w:rsidR="000E4E65">
        <w:rPr>
          <w:color w:val="000000"/>
        </w:rPr>
        <w:t xml:space="preserve">The VA examinations also described modest </w:t>
      </w:r>
      <w:r w:rsidR="008A026C">
        <w:rPr>
          <w:color w:val="000000"/>
        </w:rPr>
        <w:t xml:space="preserve">scar </w:t>
      </w:r>
      <w:r w:rsidR="000E4E65">
        <w:rPr>
          <w:color w:val="000000"/>
        </w:rPr>
        <w:t xml:space="preserve">depressions.  </w:t>
      </w:r>
      <w:r w:rsidR="00285283">
        <w:rPr>
          <w:color w:val="000000"/>
        </w:rPr>
        <w:t>O</w:t>
      </w:r>
      <w:r w:rsidR="000E4E65">
        <w:rPr>
          <w:color w:val="000000"/>
        </w:rPr>
        <w:t>utpatient notes</w:t>
      </w:r>
      <w:r w:rsidR="0086473F">
        <w:rPr>
          <w:color w:val="000000"/>
        </w:rPr>
        <w:t xml:space="preserve"> </w:t>
      </w:r>
      <w:r w:rsidR="003D55BC">
        <w:rPr>
          <w:color w:val="000000"/>
        </w:rPr>
        <w:t>and</w:t>
      </w:r>
      <w:r w:rsidR="000E4E65">
        <w:rPr>
          <w:color w:val="000000"/>
        </w:rPr>
        <w:t xml:space="preserve"> </w:t>
      </w:r>
      <w:r w:rsidR="003D55BC">
        <w:rPr>
          <w:color w:val="000000"/>
        </w:rPr>
        <w:t>the narrative summary (NARSUM) both</w:t>
      </w:r>
      <w:r w:rsidR="0086473F">
        <w:rPr>
          <w:color w:val="000000"/>
        </w:rPr>
        <w:t xml:space="preserve"> document persistent pain in each knee prompted by routine activities.  </w:t>
      </w:r>
      <w:r w:rsidR="005E499E">
        <w:rPr>
          <w:color w:val="000000"/>
        </w:rPr>
        <w:t>The NARSUM noted “continued pain in the area</w:t>
      </w:r>
      <w:r w:rsidR="00004B6B">
        <w:rPr>
          <w:color w:val="000000"/>
        </w:rPr>
        <w:t>s of his bilateral blast wounds,</w:t>
      </w:r>
      <w:r w:rsidR="005E499E">
        <w:rPr>
          <w:color w:val="000000"/>
        </w:rPr>
        <w:t xml:space="preserve"> difficulties with prolonged standing, walking, running or load bearing activities</w:t>
      </w:r>
      <w:r w:rsidR="00004B6B">
        <w:rPr>
          <w:color w:val="000000"/>
        </w:rPr>
        <w:t>.</w:t>
      </w:r>
      <w:r w:rsidR="005E499E">
        <w:rPr>
          <w:color w:val="000000"/>
        </w:rPr>
        <w:t>”</w:t>
      </w:r>
      <w:r w:rsidR="00537682">
        <w:rPr>
          <w:color w:val="000000"/>
        </w:rPr>
        <w:t xml:space="preserve">  The </w:t>
      </w:r>
      <w:r w:rsidR="003D55BC">
        <w:rPr>
          <w:color w:val="000000"/>
        </w:rPr>
        <w:t xml:space="preserve">VA </w:t>
      </w:r>
      <w:r w:rsidR="003D55BC" w:rsidRPr="0086473F">
        <w:rPr>
          <w:color w:val="000000"/>
        </w:rPr>
        <w:t>Compensation and Pension (C&amp;P)</w:t>
      </w:r>
      <w:r w:rsidR="00004B6B">
        <w:rPr>
          <w:color w:val="000000"/>
        </w:rPr>
        <w:t xml:space="preserve"> </w:t>
      </w:r>
      <w:proofErr w:type="gramStart"/>
      <w:r w:rsidR="00004B6B">
        <w:rPr>
          <w:color w:val="000000"/>
        </w:rPr>
        <w:t>examination,</w:t>
      </w:r>
      <w:proofErr w:type="gramEnd"/>
      <w:r w:rsidR="00004B6B">
        <w:rPr>
          <w:color w:val="000000"/>
        </w:rPr>
        <w:t xml:space="preserve"> </w:t>
      </w:r>
      <w:r w:rsidR="00285283">
        <w:rPr>
          <w:color w:val="000000"/>
        </w:rPr>
        <w:t xml:space="preserve">performed </w:t>
      </w:r>
      <w:r w:rsidR="00004B6B">
        <w:rPr>
          <w:color w:val="000000"/>
        </w:rPr>
        <w:t>a week after separation,</w:t>
      </w:r>
      <w:r w:rsidR="003D55BC">
        <w:rPr>
          <w:color w:val="000000"/>
        </w:rPr>
        <w:t xml:space="preserve"> </w:t>
      </w:r>
      <w:r w:rsidR="00537682">
        <w:rPr>
          <w:color w:val="000000"/>
        </w:rPr>
        <w:t>documented “daily 8-9/10 bilateral mechanical kn</w:t>
      </w:r>
      <w:r w:rsidR="00B2761C">
        <w:rPr>
          <w:color w:val="000000"/>
        </w:rPr>
        <w:t>ee pain symptoms</w:t>
      </w:r>
      <w:r w:rsidR="00004B6B">
        <w:rPr>
          <w:color w:val="000000"/>
        </w:rPr>
        <w:t>.</w:t>
      </w:r>
      <w:r w:rsidR="00B2761C">
        <w:rPr>
          <w:color w:val="000000"/>
        </w:rPr>
        <w:t>”  Conversely, the</w:t>
      </w:r>
      <w:r w:rsidR="003D55BC">
        <w:rPr>
          <w:color w:val="000000"/>
        </w:rPr>
        <w:t xml:space="preserve"> </w:t>
      </w:r>
      <w:r w:rsidR="00537682">
        <w:rPr>
          <w:color w:val="000000"/>
        </w:rPr>
        <w:t>physical examinations were fairly benign.  The NARSUM noted stable joints with no</w:t>
      </w:r>
      <w:r w:rsidR="00B2761C">
        <w:rPr>
          <w:color w:val="000000"/>
        </w:rPr>
        <w:t xml:space="preserve"> signs of cartilage impingement,</w:t>
      </w:r>
      <w:r w:rsidR="00537682">
        <w:rPr>
          <w:color w:val="000000"/>
        </w:rPr>
        <w:t xml:space="preserve"> </w:t>
      </w:r>
      <w:r w:rsidR="00B2761C">
        <w:rPr>
          <w:color w:val="000000"/>
        </w:rPr>
        <w:t>and</w:t>
      </w:r>
      <w:r w:rsidR="003D55BC">
        <w:rPr>
          <w:color w:val="000000"/>
        </w:rPr>
        <w:t xml:space="preserve"> </w:t>
      </w:r>
      <w:r w:rsidR="00537682">
        <w:rPr>
          <w:color w:val="000000"/>
        </w:rPr>
        <w:t xml:space="preserve">tenderness </w:t>
      </w:r>
      <w:r w:rsidR="00B2761C">
        <w:rPr>
          <w:color w:val="000000"/>
        </w:rPr>
        <w:t>on the left</w:t>
      </w:r>
      <w:r w:rsidR="00537682">
        <w:rPr>
          <w:color w:val="000000"/>
        </w:rPr>
        <w:t xml:space="preserve"> but not the right.  The </w:t>
      </w:r>
      <w:r w:rsidR="008A026C">
        <w:rPr>
          <w:color w:val="000000"/>
        </w:rPr>
        <w:t xml:space="preserve">MEB </w:t>
      </w:r>
      <w:r w:rsidR="00537682">
        <w:rPr>
          <w:color w:val="000000"/>
        </w:rPr>
        <w:t xml:space="preserve">range-of-motion (ROM) evaluation deferred to physical therapy measurements.  The latter reported 130⁰ flexion </w:t>
      </w:r>
      <w:r w:rsidR="00537682">
        <w:rPr>
          <w:color w:val="000000"/>
        </w:rPr>
        <w:lastRenderedPageBreak/>
        <w:t xml:space="preserve">(normal 140⁰) on the right and 135⁰ on the left.  It was annotated </w:t>
      </w:r>
      <w:r w:rsidR="00F93527">
        <w:rPr>
          <w:color w:val="000000"/>
        </w:rPr>
        <w:t>“ROM limitations secondary to pain</w:t>
      </w:r>
      <w:r w:rsidR="00004B6B">
        <w:rPr>
          <w:color w:val="000000"/>
        </w:rPr>
        <w:t>.</w:t>
      </w:r>
      <w:r w:rsidR="00F93527">
        <w:rPr>
          <w:color w:val="000000"/>
        </w:rPr>
        <w:t>”  The VA examiner reported totally normal examinations, with no instability or tenderness; no painful motion (including with repetition, i.e., negative DeLuca findings); and, bilateral flexions of 140⁰.</w:t>
      </w:r>
    </w:p>
    <w:p w:rsidR="00F93527" w:rsidRDefault="00F93527" w:rsidP="00B22D42">
      <w:pPr>
        <w:jc w:val="both"/>
        <w:rPr>
          <w:color w:val="000000"/>
        </w:rPr>
      </w:pPr>
    </w:p>
    <w:p w:rsidR="00F93527" w:rsidRDefault="00F93527" w:rsidP="00F93527">
      <w:pPr>
        <w:tabs>
          <w:tab w:val="left" w:pos="288"/>
          <w:tab w:val="left" w:pos="4752"/>
        </w:tabs>
        <w:jc w:val="both"/>
        <w:rPr>
          <w:color w:val="000000" w:themeColor="text1"/>
          <w:szCs w:val="24"/>
        </w:rPr>
      </w:pPr>
      <w:r w:rsidRPr="009A7578">
        <w:rPr>
          <w:rFonts w:cs="Times New Roman"/>
          <w:color w:val="auto"/>
        </w:rPr>
        <w:t>The Board directs attenti</w:t>
      </w:r>
      <w:r>
        <w:rPr>
          <w:rFonts w:cs="Times New Roman"/>
          <w:color w:val="auto"/>
        </w:rPr>
        <w:t>on to its rating recommendation(s)</w:t>
      </w:r>
      <w:r w:rsidRPr="009A7578">
        <w:rPr>
          <w:rFonts w:cs="Times New Roman"/>
          <w:color w:val="auto"/>
        </w:rPr>
        <w:t xml:space="preserve"> </w:t>
      </w:r>
      <w:r>
        <w:rPr>
          <w:rFonts w:cs="Times New Roman"/>
          <w:color w:val="auto"/>
        </w:rPr>
        <w:t>based on the above evidence</w:t>
      </w:r>
      <w:r w:rsidR="008A026C">
        <w:rPr>
          <w:rFonts w:cs="Times New Roman"/>
          <w:color w:val="auto"/>
        </w:rPr>
        <w:t xml:space="preserve">; and, must first consider if separate ratings for each joint is indicated.  </w:t>
      </w:r>
      <w:r w:rsidR="008A026C" w:rsidRPr="00FF063A">
        <w:rPr>
          <w:color w:val="000000" w:themeColor="text1"/>
          <w:szCs w:val="24"/>
        </w:rPr>
        <w:t>The</w:t>
      </w:r>
      <w:r w:rsidR="008A026C" w:rsidRPr="00E65B97">
        <w:rPr>
          <w:color w:val="000000" w:themeColor="text1"/>
          <w:szCs w:val="24"/>
        </w:rPr>
        <w:t xml:space="preserve"> PEB combined </w:t>
      </w:r>
      <w:r w:rsidR="008A026C">
        <w:rPr>
          <w:color w:val="000000" w:themeColor="text1"/>
          <w:szCs w:val="24"/>
        </w:rPr>
        <w:t xml:space="preserve">the bilateral knee conditions </w:t>
      </w:r>
      <w:r w:rsidR="008A026C" w:rsidRPr="00E65B97">
        <w:rPr>
          <w:color w:val="000000" w:themeColor="text1"/>
          <w:szCs w:val="24"/>
        </w:rPr>
        <w:t>as a single unfitting condition, coded analogously to 5003 and rated 0%</w:t>
      </w:r>
      <w:r w:rsidR="008A026C">
        <w:rPr>
          <w:color w:val="000000" w:themeColor="text1"/>
          <w:szCs w:val="24"/>
        </w:rPr>
        <w:t xml:space="preserve">, relying on </w:t>
      </w:r>
      <w:r w:rsidR="008A026C" w:rsidRPr="00E65B97">
        <w:rPr>
          <w:color w:val="000000" w:themeColor="text1"/>
          <w:szCs w:val="24"/>
        </w:rPr>
        <w:t xml:space="preserve">the USAPDA pain policy for not applying separately compensable VASRD codes. </w:t>
      </w:r>
      <w:r w:rsidR="008A026C">
        <w:rPr>
          <w:color w:val="000000" w:themeColor="text1"/>
          <w:szCs w:val="24"/>
        </w:rPr>
        <w:t xml:space="preserve"> </w:t>
      </w:r>
      <w:r w:rsidR="008A026C" w:rsidRPr="00E65B97">
        <w:rPr>
          <w:color w:val="000000" w:themeColor="text1"/>
          <w:szCs w:val="24"/>
        </w:rPr>
        <w:t xml:space="preserve">The Board must apply separate codes and ratings in its recommendations if compensable ratings for each condition are achieved IAW VASRD §4.71a. </w:t>
      </w:r>
      <w:r w:rsidR="008A026C">
        <w:rPr>
          <w:color w:val="000000" w:themeColor="text1"/>
          <w:szCs w:val="24"/>
        </w:rPr>
        <w:t xml:space="preserve"> </w:t>
      </w:r>
      <w:r w:rsidR="000F5EA9">
        <w:rPr>
          <w:color w:val="000000" w:themeColor="text1"/>
          <w:szCs w:val="24"/>
        </w:rPr>
        <w:t xml:space="preserve">Board members ultimately agreed that, </w:t>
      </w:r>
      <w:r w:rsidR="00E1432B">
        <w:rPr>
          <w:color w:val="000000" w:themeColor="text1"/>
          <w:szCs w:val="24"/>
        </w:rPr>
        <w:t xml:space="preserve">whether or not compensable, the pathology and disability for each joint was separate.  Although subject to the same mechanism of injury, there was no link to a common disease process such as degenerative arthritis (for which 5003 is intended to rate) or </w:t>
      </w:r>
      <w:r w:rsidR="00E962BF">
        <w:rPr>
          <w:color w:val="000000" w:themeColor="text1"/>
          <w:szCs w:val="24"/>
        </w:rPr>
        <w:t xml:space="preserve">a </w:t>
      </w:r>
      <w:r w:rsidR="00E1432B">
        <w:rPr>
          <w:color w:val="000000" w:themeColor="text1"/>
          <w:szCs w:val="24"/>
        </w:rPr>
        <w:t>soft-tissue inflammatory condition affecting the knees.  Thus it was determined that each knee was subject to separate coding IAW VASRD §4.71a</w:t>
      </w:r>
      <w:r w:rsidR="00E962BF">
        <w:rPr>
          <w:color w:val="000000" w:themeColor="text1"/>
          <w:szCs w:val="24"/>
        </w:rPr>
        <w:t>,</w:t>
      </w:r>
      <w:r w:rsidR="00E1432B">
        <w:rPr>
          <w:color w:val="000000" w:themeColor="text1"/>
          <w:szCs w:val="24"/>
        </w:rPr>
        <w:t xml:space="preserve"> </w:t>
      </w:r>
      <w:r w:rsidR="00BF24A4">
        <w:rPr>
          <w:color w:val="000000" w:themeColor="text1"/>
          <w:szCs w:val="24"/>
        </w:rPr>
        <w:t xml:space="preserve">regardless of </w:t>
      </w:r>
      <w:r w:rsidR="00872B7E">
        <w:rPr>
          <w:color w:val="000000" w:themeColor="text1"/>
          <w:szCs w:val="24"/>
        </w:rPr>
        <w:t xml:space="preserve">the attendant ratings.  </w:t>
      </w:r>
      <w:r w:rsidR="008A026C">
        <w:rPr>
          <w:color w:val="000000" w:themeColor="text1"/>
          <w:szCs w:val="24"/>
        </w:rPr>
        <w:t>Having determined that</w:t>
      </w:r>
      <w:r w:rsidR="00004B6B">
        <w:rPr>
          <w:color w:val="000000" w:themeColor="text1"/>
          <w:szCs w:val="24"/>
        </w:rPr>
        <w:t xml:space="preserve"> separate ratings are warranted;</w:t>
      </w:r>
      <w:r w:rsidR="008A026C" w:rsidRPr="00E65B97">
        <w:rPr>
          <w:color w:val="000000" w:themeColor="text1"/>
          <w:szCs w:val="24"/>
        </w:rPr>
        <w:t xml:space="preserve"> however, </w:t>
      </w:r>
      <w:r w:rsidR="008A026C">
        <w:rPr>
          <w:color w:val="000000" w:themeColor="text1"/>
          <w:szCs w:val="24"/>
        </w:rPr>
        <w:t xml:space="preserve">the Board </w:t>
      </w:r>
      <w:r w:rsidR="008A026C" w:rsidRPr="00E65B97">
        <w:rPr>
          <w:color w:val="000000" w:themeColor="text1"/>
          <w:szCs w:val="24"/>
        </w:rPr>
        <w:t xml:space="preserve">must </w:t>
      </w:r>
      <w:r w:rsidR="008A026C">
        <w:rPr>
          <w:color w:val="000000" w:themeColor="text1"/>
          <w:szCs w:val="24"/>
        </w:rPr>
        <w:t xml:space="preserve">also </w:t>
      </w:r>
      <w:r w:rsidR="008A026C" w:rsidRPr="00E65B97">
        <w:rPr>
          <w:color w:val="000000" w:themeColor="text1"/>
          <w:szCs w:val="24"/>
        </w:rPr>
        <w:t xml:space="preserve">satisfy the requirement that each </w:t>
      </w:r>
      <w:r w:rsidR="00004B6B">
        <w:rPr>
          <w:color w:val="000000" w:themeColor="text1"/>
          <w:szCs w:val="24"/>
        </w:rPr>
        <w:t>“</w:t>
      </w:r>
      <w:r w:rsidR="008A026C" w:rsidRPr="00E65B97">
        <w:rPr>
          <w:color w:val="000000" w:themeColor="text1"/>
          <w:szCs w:val="24"/>
        </w:rPr>
        <w:t>unbundled</w:t>
      </w:r>
      <w:r w:rsidR="00004B6B">
        <w:rPr>
          <w:color w:val="000000" w:themeColor="text1"/>
          <w:szCs w:val="24"/>
        </w:rPr>
        <w:t>”</w:t>
      </w:r>
      <w:r w:rsidR="008A026C" w:rsidRPr="00E65B97">
        <w:rPr>
          <w:color w:val="000000" w:themeColor="text1"/>
          <w:szCs w:val="24"/>
        </w:rPr>
        <w:t xml:space="preserve"> condition was unfitting in and of itself. </w:t>
      </w:r>
      <w:r w:rsidR="008A026C">
        <w:rPr>
          <w:color w:val="000000" w:themeColor="text1"/>
          <w:szCs w:val="24"/>
        </w:rPr>
        <w:t xml:space="preserve"> </w:t>
      </w:r>
      <w:r w:rsidR="008A026C" w:rsidRPr="00E65B97">
        <w:rPr>
          <w:color w:val="000000" w:themeColor="text1"/>
          <w:szCs w:val="24"/>
        </w:rPr>
        <w:t>Not uncommonly</w:t>
      </w:r>
      <w:r w:rsidR="008A026C">
        <w:rPr>
          <w:color w:val="000000" w:themeColor="text1"/>
          <w:szCs w:val="24"/>
        </w:rPr>
        <w:t>,</w:t>
      </w:r>
      <w:r w:rsidR="008A026C" w:rsidRPr="00E65B97">
        <w:rPr>
          <w:color w:val="000000" w:themeColor="text1"/>
          <w:szCs w:val="24"/>
        </w:rPr>
        <w:t xml:space="preserve"> this approach by the PEB reflects its judgment that the constellation of conditions was unfitting</w:t>
      </w:r>
      <w:r w:rsidR="008A026C">
        <w:rPr>
          <w:color w:val="000000" w:themeColor="text1"/>
          <w:szCs w:val="24"/>
        </w:rPr>
        <w:t xml:space="preserve"> </w:t>
      </w:r>
      <w:r w:rsidR="008A026C" w:rsidRPr="00E65B97">
        <w:rPr>
          <w:color w:val="000000" w:themeColor="text1"/>
          <w:szCs w:val="24"/>
        </w:rPr>
        <w:t xml:space="preserve">and that there was no need for separate fitness adjudications, not a judgment that each condition was independently unfitting. </w:t>
      </w:r>
      <w:r w:rsidR="008A026C">
        <w:rPr>
          <w:color w:val="000000" w:themeColor="text1"/>
          <w:szCs w:val="24"/>
        </w:rPr>
        <w:t xml:space="preserve"> T</w:t>
      </w:r>
      <w:r w:rsidR="008A026C" w:rsidRPr="00E65B97">
        <w:rPr>
          <w:color w:val="000000" w:themeColor="text1"/>
          <w:szCs w:val="24"/>
        </w:rPr>
        <w:t xml:space="preserve">he Board </w:t>
      </w:r>
      <w:r w:rsidR="008A026C">
        <w:rPr>
          <w:color w:val="000000" w:themeColor="text1"/>
          <w:szCs w:val="24"/>
        </w:rPr>
        <w:t xml:space="preserve">therefore </w:t>
      </w:r>
      <w:r w:rsidR="008A026C" w:rsidRPr="00E65B97">
        <w:rPr>
          <w:color w:val="000000" w:themeColor="text1"/>
          <w:szCs w:val="24"/>
        </w:rPr>
        <w:t>exercise</w:t>
      </w:r>
      <w:r w:rsidR="008A026C">
        <w:rPr>
          <w:color w:val="000000" w:themeColor="text1"/>
          <w:szCs w:val="24"/>
        </w:rPr>
        <w:t>s</w:t>
      </w:r>
      <w:r w:rsidR="008A026C" w:rsidRPr="00E65B97">
        <w:rPr>
          <w:color w:val="000000" w:themeColor="text1"/>
          <w:szCs w:val="24"/>
        </w:rPr>
        <w:t xml:space="preserve"> the prerogative of separate fitness recom</w:t>
      </w:r>
      <w:r w:rsidR="00872B7E">
        <w:rPr>
          <w:color w:val="000000" w:themeColor="text1"/>
          <w:szCs w:val="24"/>
        </w:rPr>
        <w:t>mendations in this circumstance</w:t>
      </w:r>
      <w:r w:rsidR="008A026C" w:rsidRPr="00E65B97">
        <w:rPr>
          <w:color w:val="000000" w:themeColor="text1"/>
          <w:szCs w:val="24"/>
        </w:rPr>
        <w:t xml:space="preserve">. </w:t>
      </w:r>
      <w:r w:rsidR="008A026C">
        <w:rPr>
          <w:color w:val="000000" w:themeColor="text1"/>
          <w:szCs w:val="24"/>
        </w:rPr>
        <w:t xml:space="preserve"> </w:t>
      </w:r>
      <w:r w:rsidR="00872B7E">
        <w:rPr>
          <w:color w:val="000000" w:themeColor="text1"/>
          <w:szCs w:val="24"/>
        </w:rPr>
        <w:t>Although the commander’s statement alluded only to “physical limitations</w:t>
      </w:r>
      <w:r w:rsidR="00004B6B">
        <w:rPr>
          <w:color w:val="000000" w:themeColor="text1"/>
          <w:szCs w:val="24"/>
        </w:rPr>
        <w:t>,</w:t>
      </w:r>
      <w:r w:rsidR="00872B7E">
        <w:rPr>
          <w:color w:val="000000" w:themeColor="text1"/>
          <w:szCs w:val="24"/>
        </w:rPr>
        <w:t>” the L3 profile was for “bilateral knee shrapnel wounds</w:t>
      </w:r>
      <w:r w:rsidR="00004B6B">
        <w:rPr>
          <w:color w:val="000000" w:themeColor="text1"/>
          <w:szCs w:val="24"/>
        </w:rPr>
        <w:t>;”</w:t>
      </w:r>
      <w:r w:rsidR="00872B7E">
        <w:rPr>
          <w:color w:val="000000" w:themeColor="text1"/>
          <w:szCs w:val="24"/>
        </w:rPr>
        <w:t xml:space="preserve"> and, the MEB determined that each knee separately failed retention standards.  </w:t>
      </w:r>
      <w:r w:rsidR="00682314">
        <w:rPr>
          <w:color w:val="000000" w:themeColor="text1"/>
          <w:szCs w:val="24"/>
        </w:rPr>
        <w:t>There was also outpatient care directed at each individual knee.</w:t>
      </w:r>
      <w:r w:rsidR="00872B7E">
        <w:rPr>
          <w:color w:val="000000" w:themeColor="text1"/>
          <w:szCs w:val="24"/>
        </w:rPr>
        <w:t xml:space="preserve"> </w:t>
      </w:r>
      <w:r w:rsidR="00682314">
        <w:rPr>
          <w:color w:val="000000" w:themeColor="text1"/>
          <w:szCs w:val="24"/>
        </w:rPr>
        <w:t xml:space="preserve"> </w:t>
      </w:r>
      <w:r w:rsidR="008A026C">
        <w:rPr>
          <w:color w:val="000000" w:themeColor="text1"/>
          <w:szCs w:val="24"/>
        </w:rPr>
        <w:t xml:space="preserve">After deliberation, all members agreed that (more likely than not) each of the </w:t>
      </w:r>
      <w:r w:rsidR="00682314">
        <w:rPr>
          <w:color w:val="000000" w:themeColor="text1"/>
          <w:szCs w:val="24"/>
        </w:rPr>
        <w:t>knee</w:t>
      </w:r>
      <w:r w:rsidR="008A026C">
        <w:rPr>
          <w:color w:val="000000" w:themeColor="text1"/>
          <w:szCs w:val="24"/>
        </w:rPr>
        <w:t xml:space="preserve"> conditions, in isolation, would have rendered the CI incapable of continued service within his MOS and accordingly merit</w:t>
      </w:r>
      <w:r w:rsidR="00E962BF">
        <w:rPr>
          <w:color w:val="000000" w:themeColor="text1"/>
          <w:szCs w:val="24"/>
        </w:rPr>
        <w:t>s</w:t>
      </w:r>
      <w:r w:rsidR="008A026C">
        <w:rPr>
          <w:color w:val="000000" w:themeColor="text1"/>
          <w:szCs w:val="24"/>
        </w:rPr>
        <w:t xml:space="preserve"> a separate disability rating.  </w:t>
      </w:r>
    </w:p>
    <w:p w:rsidR="00682314" w:rsidRDefault="00682314" w:rsidP="00F93527">
      <w:pPr>
        <w:tabs>
          <w:tab w:val="left" w:pos="288"/>
          <w:tab w:val="left" w:pos="4752"/>
        </w:tabs>
        <w:jc w:val="both"/>
        <w:rPr>
          <w:color w:val="000000" w:themeColor="text1"/>
          <w:szCs w:val="24"/>
        </w:rPr>
      </w:pPr>
    </w:p>
    <w:p w:rsidR="00843C26" w:rsidRPr="00843C26" w:rsidRDefault="00682314" w:rsidP="00843C26">
      <w:pPr>
        <w:tabs>
          <w:tab w:val="left" w:pos="288"/>
          <w:tab w:val="left" w:pos="4752"/>
        </w:tabs>
        <w:jc w:val="both"/>
        <w:rPr>
          <w:color w:val="000000" w:themeColor="text1"/>
          <w:szCs w:val="24"/>
        </w:rPr>
      </w:pPr>
      <w:r>
        <w:rPr>
          <w:color w:val="000000" w:themeColor="text1"/>
          <w:szCs w:val="24"/>
        </w:rPr>
        <w:t xml:space="preserve">The Board then directed its attention to its separate rating recommendations for each knee.  It was readily agreed that the ratable parameters in evidence were functionally identical, and that the ratings should therefore be the same.  Deliberations </w:t>
      </w:r>
      <w:r w:rsidR="00843C26">
        <w:rPr>
          <w:color w:val="000000" w:themeColor="text1"/>
          <w:szCs w:val="24"/>
        </w:rPr>
        <w:t>settled on</w:t>
      </w:r>
      <w:r>
        <w:rPr>
          <w:color w:val="000000" w:themeColor="text1"/>
          <w:szCs w:val="24"/>
        </w:rPr>
        <w:t xml:space="preserve"> non-compensable ratings as conferred by the PEB and the VA</w:t>
      </w:r>
      <w:r w:rsidR="00843C26">
        <w:rPr>
          <w:color w:val="000000" w:themeColor="text1"/>
          <w:szCs w:val="24"/>
        </w:rPr>
        <w:t xml:space="preserve"> vs. </w:t>
      </w:r>
      <w:r w:rsidR="00E962BF">
        <w:rPr>
          <w:color w:val="000000" w:themeColor="text1"/>
          <w:szCs w:val="24"/>
        </w:rPr>
        <w:t>a minimal compensable rating</w:t>
      </w:r>
      <w:r w:rsidR="00843C26">
        <w:rPr>
          <w:color w:val="000000" w:themeColor="text1"/>
          <w:szCs w:val="24"/>
        </w:rPr>
        <w:t xml:space="preserve"> (10%)</w:t>
      </w:r>
      <w:r w:rsidR="00E962BF">
        <w:rPr>
          <w:color w:val="000000" w:themeColor="text1"/>
          <w:szCs w:val="24"/>
        </w:rPr>
        <w:t xml:space="preserve"> for each joint</w:t>
      </w:r>
      <w:r w:rsidR="00843C26">
        <w:rPr>
          <w:color w:val="000000" w:themeColor="text1"/>
          <w:szCs w:val="24"/>
        </w:rPr>
        <w:t xml:space="preserve">.  </w:t>
      </w:r>
      <w:r w:rsidR="00843C26" w:rsidRPr="00843C26">
        <w:rPr>
          <w:color w:val="000000" w:themeColor="text1"/>
          <w:szCs w:val="24"/>
        </w:rPr>
        <w:t>There was no compensable ROM limitation under any of the knee joint codes.   There was no mechanical instability, locking or frequent effusions which would allow a rating higher than 10</w:t>
      </w:r>
      <w:r w:rsidR="00843C26">
        <w:rPr>
          <w:color w:val="000000" w:themeColor="text1"/>
          <w:szCs w:val="24"/>
        </w:rPr>
        <w:t>% under an alternate joint code</w:t>
      </w:r>
      <w:r w:rsidR="00843C26" w:rsidRPr="00843C26">
        <w:rPr>
          <w:color w:val="000000" w:themeColor="text1"/>
          <w:szCs w:val="24"/>
        </w:rPr>
        <w:t>.</w:t>
      </w:r>
      <w:r w:rsidR="00843C26">
        <w:rPr>
          <w:color w:val="000000" w:themeColor="text1"/>
          <w:szCs w:val="24"/>
        </w:rPr>
        <w:t xml:space="preserve">  The Board considered</w:t>
      </w:r>
      <w:r w:rsidR="00004B6B">
        <w:rPr>
          <w:color w:val="000000" w:themeColor="text1"/>
          <w:szCs w:val="24"/>
        </w:rPr>
        <w:t>;</w:t>
      </w:r>
      <w:r w:rsidR="00843C26">
        <w:rPr>
          <w:color w:val="000000" w:themeColor="text1"/>
          <w:szCs w:val="24"/>
        </w:rPr>
        <w:t xml:space="preserve"> however, a recommendation for minimal compensable ratings as sanctioned by VASRD §4.59 (painful motion) or §4.40 (functional loss).  Although the VA C&amp;P examination clearly excluded painful motion (hence the VA’s 0% determinations), the MEB’s ROM exam distinctly verified that the minimally impaired flexions were nevertheless limited by pain.  Furthermore §4.40 specifies that </w:t>
      </w:r>
      <w:r w:rsidR="00843C26" w:rsidRPr="00843C26">
        <w:rPr>
          <w:color w:val="000000" w:themeColor="text1"/>
          <w:szCs w:val="24"/>
        </w:rPr>
        <w:t>“a part which becomes painful on use must be regarded as seriously disabled</w:t>
      </w:r>
      <w:r w:rsidR="00004B6B">
        <w:rPr>
          <w:color w:val="000000" w:themeColor="text1"/>
          <w:szCs w:val="24"/>
        </w:rPr>
        <w:t>;</w:t>
      </w:r>
      <w:r w:rsidR="00843C26" w:rsidRPr="00843C26">
        <w:rPr>
          <w:color w:val="000000" w:themeColor="text1"/>
          <w:szCs w:val="24"/>
        </w:rPr>
        <w:t>”</w:t>
      </w:r>
      <w:r w:rsidR="00843C26">
        <w:rPr>
          <w:color w:val="000000" w:themeColor="text1"/>
          <w:szCs w:val="24"/>
        </w:rPr>
        <w:t xml:space="preserve"> and, both the </w:t>
      </w:r>
      <w:r w:rsidR="00B27907">
        <w:rPr>
          <w:color w:val="000000" w:themeColor="text1"/>
          <w:szCs w:val="24"/>
        </w:rPr>
        <w:t xml:space="preserve">NARSUM and corroborating outpatient entries confirmed that this was the case. </w:t>
      </w:r>
      <w:r w:rsidR="00F20767">
        <w:rPr>
          <w:color w:val="000000" w:themeColor="text1"/>
          <w:szCs w:val="24"/>
        </w:rPr>
        <w:t xml:space="preserve"> </w:t>
      </w:r>
      <w:r w:rsidR="001201B1">
        <w:rPr>
          <w:color w:val="000000" w:themeColor="text1"/>
          <w:szCs w:val="24"/>
        </w:rPr>
        <w:t xml:space="preserve">The </w:t>
      </w:r>
      <w:r w:rsidR="00004B6B">
        <w:rPr>
          <w:color w:val="000000" w:themeColor="text1"/>
          <w:szCs w:val="24"/>
        </w:rPr>
        <w:t>a</w:t>
      </w:r>
      <w:r w:rsidR="001201B1">
        <w:rPr>
          <w:color w:val="000000" w:themeColor="text1"/>
          <w:szCs w:val="24"/>
        </w:rPr>
        <w:t xml:space="preserve">ction </w:t>
      </w:r>
      <w:r w:rsidR="00004B6B">
        <w:rPr>
          <w:color w:val="000000" w:themeColor="text1"/>
          <w:szCs w:val="24"/>
        </w:rPr>
        <w:t>o</w:t>
      </w:r>
      <w:r w:rsidR="001201B1">
        <w:rPr>
          <w:color w:val="000000" w:themeColor="text1"/>
          <w:szCs w:val="24"/>
        </w:rPr>
        <w:t>fficer opines that the nature of the pathology, with retained foreign bodies in each joint, is also consistent with an expectation that both painful motion and pain with us</w:t>
      </w:r>
      <w:r w:rsidR="003D55BC">
        <w:rPr>
          <w:color w:val="000000" w:themeColor="text1"/>
          <w:szCs w:val="24"/>
        </w:rPr>
        <w:t>e would be present; and, collateral evidence of record suggests that the CI was inclined to be stoic.</w:t>
      </w:r>
      <w:r w:rsidR="001201B1">
        <w:rPr>
          <w:color w:val="000000" w:themeColor="text1"/>
          <w:szCs w:val="24"/>
        </w:rPr>
        <w:t xml:space="preserve">  </w:t>
      </w:r>
      <w:r w:rsidR="00B27907">
        <w:rPr>
          <w:rFonts w:eastAsia="Calibri" w:cs="Times New Roman"/>
          <w:color w:val="auto"/>
          <w:szCs w:val="24"/>
        </w:rPr>
        <w:t>After due deliberation</w:t>
      </w:r>
      <w:r w:rsidR="00B27907" w:rsidRPr="00241B01">
        <w:rPr>
          <w:rFonts w:eastAsia="Calibri" w:cs="Times New Roman"/>
          <w:color w:val="auto"/>
          <w:szCs w:val="24"/>
        </w:rPr>
        <w:t xml:space="preserve"> </w:t>
      </w:r>
      <w:r w:rsidR="00B27907">
        <w:rPr>
          <w:rFonts w:eastAsia="Calibri" w:cs="Times New Roman"/>
          <w:color w:val="auto"/>
          <w:szCs w:val="24"/>
        </w:rPr>
        <w:t>in consideration of the preponderance</w:t>
      </w:r>
      <w:r w:rsidR="00B27907" w:rsidRPr="00241B01">
        <w:rPr>
          <w:rFonts w:eastAsia="Calibri" w:cs="Times New Roman"/>
          <w:color w:val="auto"/>
          <w:szCs w:val="24"/>
        </w:rPr>
        <w:t xml:space="preserve"> of the evidence</w:t>
      </w:r>
      <w:r w:rsidR="00B27907">
        <w:rPr>
          <w:rFonts w:eastAsia="Calibri" w:cs="Times New Roman"/>
          <w:color w:val="auto"/>
          <w:szCs w:val="24"/>
        </w:rPr>
        <w:t xml:space="preserve"> for its separate fitness determinations, and </w:t>
      </w:r>
      <w:r w:rsidR="00B27907" w:rsidRPr="00626902">
        <w:rPr>
          <w:rFonts w:eastAsia="Calibri" w:cs="Times New Roman"/>
          <w:color w:val="auto"/>
          <w:szCs w:val="24"/>
        </w:rPr>
        <w:t>mindful of VASRD §4.3 (reasonable doubt)</w:t>
      </w:r>
      <w:r w:rsidR="00B27907">
        <w:rPr>
          <w:rFonts w:eastAsia="Calibri" w:cs="Times New Roman"/>
          <w:color w:val="auto"/>
          <w:szCs w:val="24"/>
        </w:rPr>
        <w:t xml:space="preserve"> for its rating recommendations, the Board recommends separate disability ratings of 10% for each injured knee.  </w:t>
      </w:r>
      <w:r w:rsidR="001201B1">
        <w:rPr>
          <w:rFonts w:eastAsia="Calibri" w:cs="Times New Roman"/>
          <w:color w:val="auto"/>
          <w:szCs w:val="24"/>
        </w:rPr>
        <w:t xml:space="preserve">The </w:t>
      </w:r>
      <w:r w:rsidR="00004B6B">
        <w:rPr>
          <w:rFonts w:eastAsia="Calibri" w:cs="Times New Roman"/>
          <w:color w:val="auto"/>
          <w:szCs w:val="24"/>
        </w:rPr>
        <w:t>a</w:t>
      </w:r>
      <w:r w:rsidR="001201B1">
        <w:rPr>
          <w:rFonts w:eastAsia="Calibri" w:cs="Times New Roman"/>
          <w:color w:val="auto"/>
          <w:szCs w:val="24"/>
        </w:rPr>
        <w:t xml:space="preserve">ction </w:t>
      </w:r>
      <w:r w:rsidR="00004B6B">
        <w:rPr>
          <w:rFonts w:eastAsia="Calibri" w:cs="Times New Roman"/>
          <w:color w:val="auto"/>
          <w:szCs w:val="24"/>
        </w:rPr>
        <w:t>o</w:t>
      </w:r>
      <w:r w:rsidR="001201B1">
        <w:rPr>
          <w:rFonts w:eastAsia="Calibri" w:cs="Times New Roman"/>
          <w:color w:val="auto"/>
          <w:szCs w:val="24"/>
        </w:rPr>
        <w:t>fficer recommended, and the Board concurred with, application of the analogous code 5099-5010 (a</w:t>
      </w:r>
      <w:r w:rsidR="001201B1" w:rsidRPr="001201B1">
        <w:rPr>
          <w:rFonts w:eastAsia="Calibri" w:cs="Times New Roman"/>
          <w:color w:val="auto"/>
          <w:szCs w:val="24"/>
        </w:rPr>
        <w:t>rthritis, due to trauma</w:t>
      </w:r>
      <w:r w:rsidR="001201B1">
        <w:rPr>
          <w:rFonts w:eastAsia="Calibri" w:cs="Times New Roman"/>
          <w:color w:val="auto"/>
          <w:szCs w:val="24"/>
        </w:rPr>
        <w:t>) for both joints in alignment with the clinical pathology.</w:t>
      </w:r>
    </w:p>
    <w:p w:rsidR="00682314" w:rsidRPr="00872B7E" w:rsidRDefault="00682314" w:rsidP="00B250F9">
      <w:pPr>
        <w:tabs>
          <w:tab w:val="left" w:pos="288"/>
          <w:tab w:val="left" w:pos="4752"/>
        </w:tabs>
        <w:jc w:val="both"/>
        <w:rPr>
          <w:color w:val="000000" w:themeColor="text1"/>
          <w:szCs w:val="24"/>
        </w:rPr>
      </w:pPr>
    </w:p>
    <w:p w:rsidR="00F93527" w:rsidRDefault="001201B1" w:rsidP="00B22D42">
      <w:pPr>
        <w:jc w:val="both"/>
        <w:rPr>
          <w:color w:val="000000"/>
        </w:rPr>
      </w:pPr>
      <w:r w:rsidRPr="001201B1">
        <w:rPr>
          <w:color w:val="000000"/>
          <w:u w:val="single"/>
        </w:rPr>
        <w:t>Chest Wall Condition</w:t>
      </w:r>
      <w:r>
        <w:rPr>
          <w:color w:val="000000"/>
        </w:rPr>
        <w:t xml:space="preserve">.  </w:t>
      </w:r>
      <w:r w:rsidR="000502BC">
        <w:rPr>
          <w:color w:val="000000"/>
        </w:rPr>
        <w:t xml:space="preserve">The CI sustained a left hemopneumothorax from shrapnel penetration which necessitated multiple chest tube insertions during the clinical course.  He also suffered non-displaced rib fractures and was noted to harbor retained fragments in the left lung base by </w:t>
      </w:r>
      <w:r w:rsidR="000502BC">
        <w:rPr>
          <w:color w:val="000000"/>
        </w:rPr>
        <w:lastRenderedPageBreak/>
        <w:t>MEB x-</w:t>
      </w:r>
      <w:r w:rsidR="00E962BF">
        <w:rPr>
          <w:color w:val="000000"/>
        </w:rPr>
        <w:t>ray.</w:t>
      </w:r>
      <w:r w:rsidR="00332234">
        <w:rPr>
          <w:color w:val="000000"/>
        </w:rPr>
        <w:t xml:space="preserve"> </w:t>
      </w:r>
      <w:r w:rsidR="00E962BF">
        <w:rPr>
          <w:color w:val="000000"/>
        </w:rPr>
        <w:t xml:space="preserve"> The</w:t>
      </w:r>
      <w:r w:rsidR="000502BC">
        <w:rPr>
          <w:color w:val="000000"/>
        </w:rPr>
        <w:t xml:space="preserve"> persistent left chest wall pain</w:t>
      </w:r>
      <w:r w:rsidR="00E962BF">
        <w:rPr>
          <w:color w:val="000000"/>
        </w:rPr>
        <w:t>, however,</w:t>
      </w:r>
      <w:r w:rsidR="000502BC">
        <w:rPr>
          <w:color w:val="000000"/>
        </w:rPr>
        <w:t xml:space="preserve"> was thought likely to be a result of intercostal nerve injury from the chest tubes.  He suffered no me</w:t>
      </w:r>
      <w:r w:rsidR="00332234">
        <w:rPr>
          <w:color w:val="000000"/>
        </w:rPr>
        <w:t xml:space="preserve">asurable pulmonary compromise, and had no respiratory symptoms.  The NARSUM </w:t>
      </w:r>
      <w:r w:rsidR="00C539EF">
        <w:rPr>
          <w:color w:val="000000"/>
        </w:rPr>
        <w:t>documented “continued pain especially with deep inspiration, as well as, pain chronically on the left side of his chest</w:t>
      </w:r>
      <w:r w:rsidR="00004B6B">
        <w:rPr>
          <w:color w:val="000000"/>
        </w:rPr>
        <w:t>;</w:t>
      </w:r>
      <w:r w:rsidR="00C539EF">
        <w:rPr>
          <w:color w:val="000000"/>
        </w:rPr>
        <w:t>” and, an addendum documented, “He states he is unable to perform a deep enough inspiration during repeated and long duration activities to ruck or run.”  The VA C&amp;P examination</w:t>
      </w:r>
      <w:r w:rsidR="00004B6B">
        <w:rPr>
          <w:color w:val="000000"/>
        </w:rPr>
        <w:t>,</w:t>
      </w:r>
      <w:r w:rsidR="00C539EF">
        <w:rPr>
          <w:color w:val="000000"/>
        </w:rPr>
        <w:t xml:space="preserve"> </w:t>
      </w:r>
      <w:r w:rsidR="00004B6B">
        <w:rPr>
          <w:color w:val="000000"/>
        </w:rPr>
        <w:t xml:space="preserve">after separation </w:t>
      </w:r>
      <w:r w:rsidR="00C539EF">
        <w:rPr>
          <w:color w:val="000000"/>
        </w:rPr>
        <w:t>stated “he has been having pain when he takes a deep breath, yawns, or sneezes, which resolved on its own</w:t>
      </w:r>
      <w:r w:rsidR="00004B6B">
        <w:rPr>
          <w:color w:val="000000"/>
        </w:rPr>
        <w:t>.</w:t>
      </w:r>
      <w:r w:rsidR="00C539EF">
        <w:rPr>
          <w:color w:val="000000"/>
        </w:rPr>
        <w:t xml:space="preserve">”  The VA examiner attributed the pain to the rib fractures.  The VA rating decision referenced the healed rib fractures and quoted the above statement </w:t>
      </w:r>
      <w:r w:rsidR="00CD7720">
        <w:rPr>
          <w:color w:val="000000"/>
        </w:rPr>
        <w:t>as</w:t>
      </w:r>
      <w:r w:rsidR="00C539EF">
        <w:rPr>
          <w:color w:val="000000"/>
        </w:rPr>
        <w:t xml:space="preserve"> rationale for its 0% rating (under an analogous code for rib resections).  </w:t>
      </w:r>
      <w:r w:rsidR="00CD7720">
        <w:rPr>
          <w:color w:val="000000"/>
        </w:rPr>
        <w:t xml:space="preserve">Although </w:t>
      </w:r>
      <w:r w:rsidR="00E962BF">
        <w:rPr>
          <w:color w:val="000000"/>
        </w:rPr>
        <w:t xml:space="preserve">seemingly </w:t>
      </w:r>
      <w:r w:rsidR="00CD7720">
        <w:rPr>
          <w:color w:val="000000"/>
        </w:rPr>
        <w:t>interpreted as such</w:t>
      </w:r>
      <w:r w:rsidR="00E962BF">
        <w:rPr>
          <w:color w:val="000000"/>
        </w:rPr>
        <w:t xml:space="preserve"> by the rater</w:t>
      </w:r>
      <w:r w:rsidR="00CD7720">
        <w:rPr>
          <w:color w:val="000000"/>
        </w:rPr>
        <w:t xml:space="preserve">, it is unlikely that the VA examiner meant to state that all of the chest pain had resolved by the time of his exam.  </w:t>
      </w:r>
      <w:r w:rsidR="00E962BF">
        <w:rPr>
          <w:color w:val="000000"/>
        </w:rPr>
        <w:t xml:space="preserve">The examiner more likely intended to convey only that the pain associated with the stated activities had resolved.  </w:t>
      </w:r>
      <w:r w:rsidR="00CD7720">
        <w:rPr>
          <w:color w:val="000000"/>
        </w:rPr>
        <w:t xml:space="preserve">Indeed subsequent VA evidence confirms that </w:t>
      </w:r>
      <w:r w:rsidR="00E962BF">
        <w:rPr>
          <w:color w:val="000000"/>
        </w:rPr>
        <w:t xml:space="preserve">the chronic chest wall pain </w:t>
      </w:r>
      <w:r w:rsidR="00CD7720">
        <w:rPr>
          <w:color w:val="000000"/>
        </w:rPr>
        <w:t xml:space="preserve">was still present well after separation. </w:t>
      </w:r>
    </w:p>
    <w:p w:rsidR="00BE59D3" w:rsidRDefault="00BE59D3" w:rsidP="00B22D42">
      <w:pPr>
        <w:jc w:val="both"/>
        <w:rPr>
          <w:color w:val="000000"/>
        </w:rPr>
      </w:pPr>
    </w:p>
    <w:p w:rsidR="00734278" w:rsidRDefault="00CD7720" w:rsidP="000E4E65">
      <w:pPr>
        <w:jc w:val="both"/>
        <w:rPr>
          <w:color w:val="000000"/>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  The PEB coded the condition under the muscle disability code 5321 (Group XXI, muscles of respiration) characterizing the chest wall pain as “intermittent, worsened with deep inspiration</w:t>
      </w:r>
      <w:r w:rsidR="00004B6B">
        <w:rPr>
          <w:rFonts w:cs="Times New Roman"/>
          <w:color w:val="auto"/>
        </w:rPr>
        <w:t>.</w:t>
      </w:r>
      <w:r>
        <w:rPr>
          <w:rFonts w:cs="Times New Roman"/>
          <w:color w:val="auto"/>
        </w:rPr>
        <w:t>”</w:t>
      </w:r>
      <w:r w:rsidR="00AC5DE5">
        <w:rPr>
          <w:rFonts w:cs="Times New Roman"/>
          <w:color w:val="auto"/>
        </w:rPr>
        <w:t xml:space="preserve">  This was taken from an addendum which quoted the CI’s complaint to his primary care physician some months before the NARSUM description was composed.  </w:t>
      </w:r>
      <w:r w:rsidR="0080283A">
        <w:rPr>
          <w:rFonts w:cs="Times New Roman"/>
          <w:color w:val="auto"/>
        </w:rPr>
        <w:t xml:space="preserve">In considering the appropriate code for rating, the Board agreed that the PEB choice was the closest </w:t>
      </w:r>
      <w:r w:rsidR="0080283A" w:rsidRPr="00004B6B">
        <w:rPr>
          <w:rFonts w:cs="Times New Roman"/>
          <w:color w:val="auto"/>
        </w:rPr>
        <w:t>analogous fit</w:t>
      </w:r>
      <w:r w:rsidR="0080283A">
        <w:rPr>
          <w:rFonts w:cs="Times New Roman"/>
          <w:color w:val="auto"/>
        </w:rPr>
        <w:t xml:space="preserve"> in the VASRD.  Although the </w:t>
      </w:r>
      <w:r w:rsidR="00004B6B">
        <w:rPr>
          <w:rFonts w:cs="Times New Roman"/>
          <w:color w:val="auto"/>
        </w:rPr>
        <w:t>a</w:t>
      </w:r>
      <w:r w:rsidR="0080283A">
        <w:rPr>
          <w:rFonts w:cs="Times New Roman"/>
          <w:color w:val="auto"/>
        </w:rPr>
        <w:t xml:space="preserve">ction </w:t>
      </w:r>
      <w:r w:rsidR="00004B6B">
        <w:rPr>
          <w:rFonts w:cs="Times New Roman"/>
          <w:color w:val="auto"/>
        </w:rPr>
        <w:t>o</w:t>
      </w:r>
      <w:r w:rsidR="0080283A">
        <w:rPr>
          <w:rFonts w:cs="Times New Roman"/>
          <w:color w:val="auto"/>
        </w:rPr>
        <w:t xml:space="preserve">fficer agrees with the MEB opinion that the pain was most likely neurogenic, there are no available peripheral nerve codes in §4.124a for thoracic nerves.  </w:t>
      </w:r>
      <w:r w:rsidR="0002756A">
        <w:rPr>
          <w:rFonts w:cs="Times New Roman"/>
          <w:color w:val="auto"/>
        </w:rPr>
        <w:t xml:space="preserve">VA’s rib </w:t>
      </w:r>
      <w:r w:rsidR="00A43A8F">
        <w:rPr>
          <w:rFonts w:cs="Times New Roman"/>
          <w:color w:val="auto"/>
        </w:rPr>
        <w:t xml:space="preserve">code is not </w:t>
      </w:r>
      <w:r w:rsidR="0002756A">
        <w:rPr>
          <w:rFonts w:cs="Times New Roman"/>
          <w:color w:val="auto"/>
        </w:rPr>
        <w:t xml:space="preserve">clinically </w:t>
      </w:r>
      <w:r w:rsidR="00A43A8F">
        <w:rPr>
          <w:rFonts w:cs="Times New Roman"/>
          <w:color w:val="auto"/>
        </w:rPr>
        <w:t>applicable, nor are any available orthopedic codes in §4.71a.</w:t>
      </w:r>
      <w:r w:rsidR="00A43A8F" w:rsidRPr="00A43A8F">
        <w:rPr>
          <w:rFonts w:cs="Times New Roman"/>
          <w:color w:val="auto"/>
        </w:rPr>
        <w:t xml:space="preserve"> </w:t>
      </w:r>
      <w:r w:rsidR="00A43A8F">
        <w:rPr>
          <w:rFonts w:cs="Times New Roman"/>
          <w:color w:val="auto"/>
        </w:rPr>
        <w:t xml:space="preserve"> The 5321 </w:t>
      </w:r>
      <w:r w:rsidR="0002756A">
        <w:rPr>
          <w:rFonts w:cs="Times New Roman"/>
          <w:color w:val="auto"/>
        </w:rPr>
        <w:t xml:space="preserve">muscle </w:t>
      </w:r>
      <w:r w:rsidR="00A43A8F">
        <w:rPr>
          <w:rFonts w:cs="Times New Roman"/>
          <w:color w:val="auto"/>
        </w:rPr>
        <w:t xml:space="preserve">code is in common use for analogous rating of pleuritic and chest wall conditions.  </w:t>
      </w:r>
      <w:r w:rsidR="00DD4B64">
        <w:rPr>
          <w:rFonts w:cs="Times New Roman"/>
          <w:color w:val="auto"/>
        </w:rPr>
        <w:t xml:space="preserve">The PEB’s 0% rating </w:t>
      </w:r>
      <w:proofErr w:type="gramStart"/>
      <w:r w:rsidR="00DD4B64">
        <w:rPr>
          <w:rFonts w:cs="Times New Roman"/>
          <w:color w:val="auto"/>
        </w:rPr>
        <w:t>under</w:t>
      </w:r>
      <w:proofErr w:type="gramEnd"/>
      <w:r w:rsidR="00DD4B64">
        <w:rPr>
          <w:rFonts w:cs="Times New Roman"/>
          <w:color w:val="auto"/>
        </w:rPr>
        <w:t xml:space="preserve"> 5321 assesses the muscle disability as </w:t>
      </w:r>
      <w:r w:rsidR="00004B6B">
        <w:rPr>
          <w:rFonts w:cs="Times New Roman"/>
          <w:color w:val="auto"/>
        </w:rPr>
        <w:t>“</w:t>
      </w:r>
      <w:r w:rsidR="00DD4B64">
        <w:rPr>
          <w:rFonts w:cs="Times New Roman"/>
          <w:color w:val="auto"/>
        </w:rPr>
        <w:t>slight</w:t>
      </w:r>
      <w:r w:rsidR="00004B6B">
        <w:rPr>
          <w:rFonts w:cs="Times New Roman"/>
          <w:color w:val="auto"/>
        </w:rPr>
        <w:t>.”</w:t>
      </w:r>
      <w:r w:rsidR="00DD4B64">
        <w:rPr>
          <w:rFonts w:cs="Times New Roman"/>
          <w:color w:val="auto"/>
        </w:rPr>
        <w:t xml:space="preserve">  </w:t>
      </w:r>
      <w:r w:rsidR="0002756A">
        <w:rPr>
          <w:rFonts w:cs="Times New Roman"/>
          <w:color w:val="auto"/>
        </w:rPr>
        <w:t>C</w:t>
      </w:r>
      <w:r w:rsidR="00DD4B64">
        <w:rPr>
          <w:rFonts w:cs="Times New Roman"/>
          <w:color w:val="auto"/>
        </w:rPr>
        <w:t xml:space="preserve">ode </w:t>
      </w:r>
      <w:r w:rsidR="0002756A">
        <w:rPr>
          <w:rFonts w:cs="Times New Roman"/>
          <w:color w:val="auto"/>
        </w:rPr>
        <w:t xml:space="preserve">5321 </w:t>
      </w:r>
      <w:r w:rsidR="00DD4B64">
        <w:rPr>
          <w:rFonts w:cs="Times New Roman"/>
          <w:color w:val="auto"/>
        </w:rPr>
        <w:t xml:space="preserve">assigns </w:t>
      </w:r>
      <w:r w:rsidR="0002756A">
        <w:rPr>
          <w:rFonts w:cs="Times New Roman"/>
          <w:color w:val="auto"/>
        </w:rPr>
        <w:t xml:space="preserve">a </w:t>
      </w:r>
      <w:r w:rsidR="00DD4B64">
        <w:rPr>
          <w:rFonts w:cs="Times New Roman"/>
          <w:color w:val="auto"/>
        </w:rPr>
        <w:t xml:space="preserve">10% </w:t>
      </w:r>
      <w:r w:rsidR="0002756A">
        <w:rPr>
          <w:rFonts w:cs="Times New Roman"/>
          <w:color w:val="auto"/>
        </w:rPr>
        <w:t xml:space="preserve">rating </w:t>
      </w:r>
      <w:r w:rsidR="00DD4B64">
        <w:rPr>
          <w:rFonts w:cs="Times New Roman"/>
          <w:color w:val="auto"/>
        </w:rPr>
        <w:t xml:space="preserve">for </w:t>
      </w:r>
      <w:r w:rsidR="00004B6B">
        <w:rPr>
          <w:rFonts w:cs="Times New Roman"/>
          <w:color w:val="auto"/>
        </w:rPr>
        <w:t>“</w:t>
      </w:r>
      <w:r w:rsidR="00DD4B64">
        <w:rPr>
          <w:rFonts w:cs="Times New Roman"/>
          <w:color w:val="auto"/>
        </w:rPr>
        <w:t>moderate</w:t>
      </w:r>
      <w:r w:rsidR="00004B6B">
        <w:rPr>
          <w:rFonts w:cs="Times New Roman"/>
          <w:color w:val="auto"/>
        </w:rPr>
        <w:t>”</w:t>
      </w:r>
      <w:r w:rsidR="00DD4B64">
        <w:rPr>
          <w:rFonts w:cs="Times New Roman"/>
          <w:color w:val="auto"/>
        </w:rPr>
        <w:t xml:space="preserve"> </w:t>
      </w:r>
      <w:r w:rsidR="0002756A">
        <w:rPr>
          <w:rFonts w:cs="Times New Roman"/>
          <w:color w:val="auto"/>
        </w:rPr>
        <w:t xml:space="preserve">muscle disability, </w:t>
      </w:r>
      <w:r w:rsidR="00DD4B64">
        <w:rPr>
          <w:rFonts w:cs="Times New Roman"/>
          <w:color w:val="auto"/>
        </w:rPr>
        <w:t xml:space="preserve">and 20% for </w:t>
      </w:r>
      <w:r w:rsidR="00004B6B">
        <w:rPr>
          <w:rFonts w:cs="Times New Roman"/>
          <w:color w:val="auto"/>
        </w:rPr>
        <w:t>“</w:t>
      </w:r>
      <w:r w:rsidR="00DD4B64">
        <w:rPr>
          <w:rFonts w:cs="Times New Roman"/>
          <w:color w:val="auto"/>
        </w:rPr>
        <w:t>moderately severe</w:t>
      </w:r>
      <w:r w:rsidR="00004B6B">
        <w:rPr>
          <w:rFonts w:cs="Times New Roman"/>
          <w:color w:val="auto"/>
        </w:rPr>
        <w:t>”</w:t>
      </w:r>
      <w:r w:rsidR="00DD4B64">
        <w:rPr>
          <w:rFonts w:cs="Times New Roman"/>
          <w:color w:val="auto"/>
        </w:rPr>
        <w:t xml:space="preserve"> and </w:t>
      </w:r>
      <w:r w:rsidR="00004B6B">
        <w:rPr>
          <w:rFonts w:cs="Times New Roman"/>
          <w:color w:val="auto"/>
        </w:rPr>
        <w:t>“</w:t>
      </w:r>
      <w:r w:rsidR="00DD4B64">
        <w:rPr>
          <w:rFonts w:cs="Times New Roman"/>
          <w:color w:val="auto"/>
        </w:rPr>
        <w:t>severe</w:t>
      </w:r>
      <w:r w:rsidR="00004B6B">
        <w:rPr>
          <w:rFonts w:cs="Times New Roman"/>
          <w:color w:val="auto"/>
        </w:rPr>
        <w:t>”</w:t>
      </w:r>
      <w:r w:rsidR="0002756A">
        <w:rPr>
          <w:rFonts w:cs="Times New Roman"/>
          <w:color w:val="auto"/>
        </w:rPr>
        <w:t xml:space="preserve"> disabilities</w:t>
      </w:r>
      <w:r w:rsidR="00DD4B64">
        <w:rPr>
          <w:rFonts w:cs="Times New Roman"/>
          <w:color w:val="auto"/>
        </w:rPr>
        <w:t>.  The downside of rating under VASRD §4.56 (evaluation of muscle disabilities) is that the cardinal signs and other features of muscle injury do not readily transfer to cases such as this</w:t>
      </w:r>
      <w:r w:rsidR="0002756A">
        <w:rPr>
          <w:rFonts w:cs="Times New Roman"/>
          <w:color w:val="auto"/>
        </w:rPr>
        <w:t>,</w:t>
      </w:r>
      <w:r w:rsidR="00DD4B64">
        <w:rPr>
          <w:rFonts w:cs="Times New Roman"/>
          <w:color w:val="auto"/>
        </w:rPr>
        <w:t xml:space="preserve"> when </w:t>
      </w:r>
      <w:r w:rsidR="003D2B2E">
        <w:rPr>
          <w:rFonts w:cs="Times New Roman"/>
          <w:color w:val="auto"/>
        </w:rPr>
        <w:t xml:space="preserve">muscle </w:t>
      </w:r>
      <w:r w:rsidR="0002756A">
        <w:rPr>
          <w:rFonts w:cs="Times New Roman"/>
          <w:color w:val="auto"/>
        </w:rPr>
        <w:t>coding is</w:t>
      </w:r>
      <w:r w:rsidR="003D2B2E">
        <w:rPr>
          <w:rFonts w:cs="Times New Roman"/>
          <w:color w:val="auto"/>
        </w:rPr>
        <w:t xml:space="preserve"> applied analogously </w:t>
      </w:r>
      <w:r w:rsidR="00004B6B">
        <w:rPr>
          <w:rFonts w:cs="Times New Roman"/>
          <w:color w:val="auto"/>
        </w:rPr>
        <w:t>“</w:t>
      </w:r>
      <w:r w:rsidR="003D2B2E">
        <w:rPr>
          <w:rFonts w:cs="Times New Roman"/>
          <w:color w:val="auto"/>
        </w:rPr>
        <w:t>moderate</w:t>
      </w:r>
      <w:r w:rsidR="00004B6B">
        <w:rPr>
          <w:rFonts w:cs="Times New Roman"/>
          <w:color w:val="auto"/>
        </w:rPr>
        <w:t>”</w:t>
      </w:r>
      <w:r w:rsidR="003D2B2E">
        <w:rPr>
          <w:rFonts w:cs="Times New Roman"/>
          <w:color w:val="auto"/>
        </w:rPr>
        <w:t xml:space="preserve"> disability</w:t>
      </w:r>
      <w:r w:rsidR="002736B0">
        <w:rPr>
          <w:rFonts w:cs="Times New Roman"/>
          <w:color w:val="auto"/>
        </w:rPr>
        <w:t>,</w:t>
      </w:r>
      <w:r w:rsidR="003D2B2E">
        <w:rPr>
          <w:rFonts w:cs="Times New Roman"/>
          <w:color w:val="auto"/>
        </w:rPr>
        <w:t xml:space="preserve"> and the objective </w:t>
      </w:r>
      <w:r w:rsidR="0002756A">
        <w:rPr>
          <w:rFonts w:cs="Times New Roman"/>
          <w:color w:val="auto"/>
        </w:rPr>
        <w:t xml:space="preserve">physical </w:t>
      </w:r>
      <w:r w:rsidR="003D2B2E">
        <w:rPr>
          <w:rFonts w:cs="Times New Roman"/>
          <w:color w:val="auto"/>
        </w:rPr>
        <w:t>findings in this case are also simi</w:t>
      </w:r>
      <w:r w:rsidR="00004B6B">
        <w:rPr>
          <w:rFonts w:cs="Times New Roman"/>
          <w:color w:val="auto"/>
        </w:rPr>
        <w:t>lar to those described for the “</w:t>
      </w:r>
      <w:r w:rsidR="003D2B2E">
        <w:rPr>
          <w:rFonts w:cs="Times New Roman"/>
          <w:color w:val="auto"/>
        </w:rPr>
        <w:t>moderate</w:t>
      </w:r>
      <w:r w:rsidR="00004B6B">
        <w:rPr>
          <w:rFonts w:cs="Times New Roman"/>
          <w:color w:val="auto"/>
        </w:rPr>
        <w:t>”</w:t>
      </w:r>
      <w:r w:rsidR="003D2B2E">
        <w:rPr>
          <w:rFonts w:cs="Times New Roman"/>
          <w:color w:val="auto"/>
        </w:rPr>
        <w:t xml:space="preserve"> ra</w:t>
      </w:r>
      <w:r w:rsidR="002736B0">
        <w:rPr>
          <w:rFonts w:cs="Times New Roman"/>
          <w:color w:val="auto"/>
        </w:rPr>
        <w:t>ting.</w:t>
      </w:r>
      <w:r w:rsidR="003D2B2E">
        <w:rPr>
          <w:rFonts w:cs="Times New Roman"/>
          <w:color w:val="auto"/>
        </w:rPr>
        <w:t xml:space="preserve"> </w:t>
      </w:r>
      <w:r w:rsidR="002736B0">
        <w:rPr>
          <w:rFonts w:cs="Times New Roman"/>
          <w:color w:val="auto"/>
        </w:rPr>
        <w:t xml:space="preserve"> T</w:t>
      </w:r>
      <w:r w:rsidR="003D2B2E">
        <w:rPr>
          <w:rFonts w:cs="Times New Roman"/>
          <w:color w:val="auto"/>
        </w:rPr>
        <w:t>he ratable cardinal signs</w:t>
      </w:r>
      <w:r w:rsidR="00004B6B">
        <w:rPr>
          <w:rFonts w:cs="Times New Roman"/>
          <w:color w:val="auto"/>
        </w:rPr>
        <w:t>;</w:t>
      </w:r>
      <w:r w:rsidR="002736B0">
        <w:rPr>
          <w:rFonts w:cs="Times New Roman"/>
          <w:color w:val="auto"/>
        </w:rPr>
        <w:t xml:space="preserve"> however,</w:t>
      </w:r>
      <w:r w:rsidR="003D2B2E">
        <w:rPr>
          <w:rFonts w:cs="Times New Roman"/>
          <w:color w:val="auto"/>
        </w:rPr>
        <w:t xml:space="preserve"> are </w:t>
      </w:r>
      <w:r w:rsidR="002736B0">
        <w:rPr>
          <w:rFonts w:cs="Times New Roman"/>
          <w:color w:val="auto"/>
        </w:rPr>
        <w:t>“</w:t>
      </w:r>
      <w:r w:rsidR="002736B0" w:rsidRPr="002736B0">
        <w:rPr>
          <w:rFonts w:cs="Times New Roman"/>
          <w:color w:val="auto"/>
        </w:rPr>
        <w:t xml:space="preserve">loss of power, weakness, lowered threshold of fatigue, fatigue-pain, </w:t>
      </w:r>
      <w:proofErr w:type="gramStart"/>
      <w:r w:rsidR="002736B0" w:rsidRPr="002736B0">
        <w:rPr>
          <w:rFonts w:cs="Times New Roman"/>
          <w:color w:val="auto"/>
        </w:rPr>
        <w:t>impairment</w:t>
      </w:r>
      <w:proofErr w:type="gramEnd"/>
      <w:r w:rsidR="002736B0" w:rsidRPr="002736B0">
        <w:rPr>
          <w:rFonts w:cs="Times New Roman"/>
          <w:color w:val="auto"/>
        </w:rPr>
        <w:t xml:space="preserve"> of coordination and uncertainty of movement</w:t>
      </w:r>
      <w:r w:rsidR="00004B6B">
        <w:rPr>
          <w:rFonts w:cs="Times New Roman"/>
          <w:color w:val="auto"/>
        </w:rPr>
        <w:t>.</w:t>
      </w:r>
      <w:r w:rsidR="002736B0">
        <w:rPr>
          <w:rFonts w:cs="Times New Roman"/>
          <w:color w:val="auto"/>
        </w:rPr>
        <w:t xml:space="preserve">”  Such features are readily apparent for extremity and proximal trunk muscles, but </w:t>
      </w:r>
      <w:r w:rsidR="0002756A">
        <w:rPr>
          <w:rFonts w:cs="Times New Roman"/>
          <w:color w:val="auto"/>
        </w:rPr>
        <w:t xml:space="preserve">are </w:t>
      </w:r>
      <w:r w:rsidR="002736B0">
        <w:rPr>
          <w:rFonts w:cs="Times New Roman"/>
          <w:color w:val="auto"/>
        </w:rPr>
        <w:t xml:space="preserve">more subtle (if not inapplicable) for intercostal muscles.  Since the limitations elaborated above seem to have placed a limit on exertional activities, </w:t>
      </w:r>
      <w:r w:rsidR="004D5C0D">
        <w:rPr>
          <w:rFonts w:cs="Times New Roman"/>
          <w:color w:val="auto"/>
        </w:rPr>
        <w:t xml:space="preserve">this would </w:t>
      </w:r>
      <w:r w:rsidR="0002756A">
        <w:rPr>
          <w:rFonts w:cs="Times New Roman"/>
          <w:color w:val="auto"/>
        </w:rPr>
        <w:t>extrapolate</w:t>
      </w:r>
      <w:r w:rsidR="004D5C0D">
        <w:rPr>
          <w:rFonts w:cs="Times New Roman"/>
          <w:color w:val="auto"/>
        </w:rPr>
        <w:t xml:space="preserve"> to some of the cardinal signs just enumerated.  The members thus deliberated whether the rated disability was best aligned with ‘slight’ (0% in agreement with the PEB) or </w:t>
      </w:r>
      <w:r w:rsidR="00004B6B">
        <w:rPr>
          <w:rFonts w:cs="Times New Roman"/>
          <w:color w:val="auto"/>
        </w:rPr>
        <w:t>“</w:t>
      </w:r>
      <w:r w:rsidR="004D5C0D">
        <w:rPr>
          <w:rFonts w:cs="Times New Roman"/>
          <w:color w:val="auto"/>
        </w:rPr>
        <w:t>moderate</w:t>
      </w:r>
      <w:r w:rsidR="00004B6B">
        <w:rPr>
          <w:rFonts w:cs="Times New Roman"/>
          <w:color w:val="auto"/>
        </w:rPr>
        <w:t>”</w:t>
      </w:r>
      <w:r w:rsidR="004D5C0D">
        <w:rPr>
          <w:rFonts w:cs="Times New Roman"/>
          <w:color w:val="auto"/>
        </w:rPr>
        <w:t xml:space="preserve"> (10%) muscle impairment.  </w:t>
      </w:r>
      <w:r w:rsidR="004D5C0D" w:rsidRPr="00626902">
        <w:rPr>
          <w:rFonts w:eastAsia="Calibri" w:cs="Times New Roman"/>
          <w:color w:val="auto"/>
          <w:szCs w:val="24"/>
        </w:rPr>
        <w:t>After due deliberation, considering all of the evidence and mindful of VASRD §4.</w:t>
      </w:r>
      <w:r w:rsidR="004D5C0D" w:rsidRPr="00F20767">
        <w:rPr>
          <w:rFonts w:eastAsia="Calibri" w:cs="Times New Roman"/>
          <w:color w:val="auto"/>
          <w:szCs w:val="24"/>
        </w:rPr>
        <w:t>3 (reasonable doubt), the Board concluded that the evidence was more closely aligned with the 10% criteria.</w:t>
      </w:r>
      <w:r w:rsidR="004D5C0D">
        <w:rPr>
          <w:rFonts w:eastAsia="Calibri" w:cs="Times New Roman"/>
          <w:color w:val="auto"/>
          <w:szCs w:val="24"/>
        </w:rPr>
        <w:t xml:space="preserve"> </w:t>
      </w:r>
    </w:p>
    <w:p w:rsidR="00734278" w:rsidRDefault="00734278" w:rsidP="00B22D42">
      <w:pPr>
        <w:jc w:val="both"/>
        <w:rPr>
          <w:color w:val="000000"/>
        </w:rPr>
      </w:pPr>
    </w:p>
    <w:p w:rsidR="00941634" w:rsidRDefault="000266E3" w:rsidP="009C1430">
      <w:pPr>
        <w:jc w:val="both"/>
        <w:rPr>
          <w:rFonts w:eastAsia="Calibri" w:cs="Times New Roman"/>
          <w:color w:val="auto"/>
          <w:szCs w:val="24"/>
        </w:rPr>
      </w:pPr>
      <w:r>
        <w:rPr>
          <w:color w:val="000000"/>
          <w:u w:val="single"/>
        </w:rPr>
        <w:t>Contended PTSD Condition</w:t>
      </w:r>
      <w:r>
        <w:rPr>
          <w:color w:val="000000"/>
        </w:rPr>
        <w:t xml:space="preserve">.  </w:t>
      </w:r>
      <w:r w:rsidRPr="00792790">
        <w:rPr>
          <w:rFonts w:eastAsia="Calibri" w:cs="Times New Roman"/>
          <w:color w:val="auto"/>
          <w:szCs w:val="24"/>
        </w:rPr>
        <w:t>The Board’s fi</w:t>
      </w:r>
      <w:r>
        <w:rPr>
          <w:rFonts w:eastAsia="Calibri" w:cs="Times New Roman"/>
          <w:color w:val="auto"/>
          <w:szCs w:val="24"/>
        </w:rPr>
        <w:t>rst charge with respect to this condition</w:t>
      </w:r>
      <w:r w:rsidRPr="00792790">
        <w:rPr>
          <w:rFonts w:eastAsia="Calibri" w:cs="Times New Roman"/>
          <w:color w:val="auto"/>
          <w:szCs w:val="24"/>
        </w:rPr>
        <w:t xml:space="preserve"> is an assessment of the appropriateness of the PEB’s fitness adjudic</w:t>
      </w:r>
      <w:r w:rsidR="001E4DDC">
        <w:rPr>
          <w:rFonts w:eastAsia="Calibri" w:cs="Times New Roman"/>
          <w:color w:val="auto"/>
          <w:szCs w:val="24"/>
        </w:rPr>
        <w:t>ation</w:t>
      </w:r>
      <w:r w:rsidRPr="00792790">
        <w:rPr>
          <w:rFonts w:eastAsia="Calibri" w:cs="Times New Roman"/>
          <w:color w:val="auto"/>
          <w:szCs w:val="24"/>
        </w:rPr>
        <w:t xml:space="preserve">.  The Board’s threshold for countering </w:t>
      </w:r>
      <w:r w:rsidR="00004B6B">
        <w:rPr>
          <w:rFonts w:eastAsia="Calibri" w:cs="Times New Roman"/>
          <w:color w:val="auto"/>
          <w:szCs w:val="24"/>
        </w:rPr>
        <w:t>s</w:t>
      </w:r>
      <w:r w:rsidRPr="00792790">
        <w:rPr>
          <w:rFonts w:eastAsia="Calibri" w:cs="Times New Roman"/>
          <w:color w:val="auto"/>
          <w:szCs w:val="24"/>
        </w:rPr>
        <w:t xml:space="preserve">ervice fitness determinations is higher than the VASRD §4.3 (reasonable doubt) standard used for its rating recommendations, but remains adherent to the DoDI 6040.44 “fair and equitable” standard.  </w:t>
      </w:r>
      <w:r w:rsidR="001E4DDC">
        <w:rPr>
          <w:rFonts w:eastAsia="Calibri" w:cs="Times New Roman"/>
          <w:color w:val="auto"/>
          <w:szCs w:val="24"/>
        </w:rPr>
        <w:t xml:space="preserve">The CI self-referred to </w:t>
      </w:r>
      <w:r w:rsidR="00004B6B">
        <w:rPr>
          <w:rFonts w:eastAsia="Calibri" w:cs="Times New Roman"/>
          <w:color w:val="auto"/>
          <w:szCs w:val="24"/>
        </w:rPr>
        <w:t>b</w:t>
      </w:r>
      <w:r w:rsidR="001E4DDC">
        <w:rPr>
          <w:rFonts w:eastAsia="Calibri" w:cs="Times New Roman"/>
          <w:color w:val="auto"/>
          <w:szCs w:val="24"/>
        </w:rPr>
        <w:t xml:space="preserve">ehavioral </w:t>
      </w:r>
      <w:r w:rsidR="00004B6B">
        <w:rPr>
          <w:rFonts w:eastAsia="Calibri" w:cs="Times New Roman"/>
          <w:color w:val="auto"/>
          <w:szCs w:val="24"/>
        </w:rPr>
        <w:t>h</w:t>
      </w:r>
      <w:r w:rsidR="001E4DDC">
        <w:rPr>
          <w:rFonts w:eastAsia="Calibri" w:cs="Times New Roman"/>
          <w:color w:val="auto"/>
          <w:szCs w:val="24"/>
        </w:rPr>
        <w:t xml:space="preserve">ealth in September 2006 and received an </w:t>
      </w:r>
      <w:r w:rsidR="00004B6B">
        <w:rPr>
          <w:rFonts w:eastAsia="Calibri" w:cs="Times New Roman"/>
          <w:color w:val="auto"/>
          <w:szCs w:val="24"/>
        </w:rPr>
        <w:t>a</w:t>
      </w:r>
      <w:r w:rsidR="001E4DDC">
        <w:rPr>
          <w:rFonts w:eastAsia="Calibri" w:cs="Times New Roman"/>
          <w:color w:val="auto"/>
          <w:szCs w:val="24"/>
        </w:rPr>
        <w:t xml:space="preserve">xis I diagnosis of PTSD.  He participated in outpatient therapy and was prescribed two psychoactive medications at the time of separation.  The </w:t>
      </w:r>
      <w:r w:rsidR="00F20767">
        <w:rPr>
          <w:rFonts w:eastAsia="Calibri" w:cs="Times New Roman"/>
          <w:color w:val="auto"/>
          <w:szCs w:val="24"/>
        </w:rPr>
        <w:t xml:space="preserve">core opinion in the </w:t>
      </w:r>
      <w:r w:rsidR="001E4DDC">
        <w:rPr>
          <w:rFonts w:eastAsia="Calibri" w:cs="Times New Roman"/>
          <w:color w:val="auto"/>
          <w:szCs w:val="24"/>
        </w:rPr>
        <w:t xml:space="preserve">psychiatric addendum to the NARSUM </w:t>
      </w:r>
      <w:r w:rsidR="00F20767">
        <w:rPr>
          <w:rFonts w:eastAsia="Calibri" w:cs="Times New Roman"/>
          <w:color w:val="auto"/>
          <w:szCs w:val="24"/>
        </w:rPr>
        <w:t>is excerpted below.</w:t>
      </w:r>
    </w:p>
    <w:p w:rsidR="00941634" w:rsidRDefault="00941634" w:rsidP="009C1430">
      <w:pPr>
        <w:jc w:val="both"/>
        <w:rPr>
          <w:rFonts w:eastAsia="Calibri" w:cs="Times New Roman"/>
          <w:color w:val="auto"/>
          <w:szCs w:val="24"/>
        </w:rPr>
      </w:pPr>
    </w:p>
    <w:p w:rsidR="00941634" w:rsidRPr="00941634" w:rsidRDefault="00B250F9" w:rsidP="00941634">
      <w:pPr>
        <w:spacing w:line="200" w:lineRule="exact"/>
        <w:ind w:left="720" w:right="720"/>
        <w:jc w:val="both"/>
        <w:rPr>
          <w:rFonts w:eastAsia="Calibri" w:cs="Times New Roman"/>
          <w:color w:val="auto"/>
          <w:sz w:val="20"/>
        </w:rPr>
      </w:pPr>
      <w:r w:rsidRPr="00941634">
        <w:rPr>
          <w:rFonts w:eastAsia="Calibri" w:cs="Times New Roman"/>
          <w:color w:val="auto"/>
          <w:sz w:val="20"/>
        </w:rPr>
        <w:t>He is demonstrating mild/moderate PTSD-like symptoms at this ti</w:t>
      </w:r>
      <w:r w:rsidR="00941634">
        <w:rPr>
          <w:rFonts w:eastAsia="Calibri" w:cs="Times New Roman"/>
          <w:color w:val="auto"/>
          <w:sz w:val="20"/>
        </w:rPr>
        <w:t>me, and reports that if he was “physically well enough” he would deploy again, and “</w:t>
      </w:r>
      <w:r w:rsidRPr="00941634">
        <w:rPr>
          <w:rFonts w:eastAsia="Calibri" w:cs="Times New Roman"/>
          <w:color w:val="auto"/>
          <w:sz w:val="20"/>
        </w:rPr>
        <w:t>manage his symptoms to</w:t>
      </w:r>
      <w:r w:rsidR="00941634">
        <w:rPr>
          <w:rFonts w:eastAsia="Calibri" w:cs="Times New Roman"/>
          <w:color w:val="auto"/>
          <w:sz w:val="20"/>
        </w:rPr>
        <w:t xml:space="preserve"> be with his buddies downrange.”</w:t>
      </w:r>
      <w:r w:rsidRPr="00941634">
        <w:rPr>
          <w:rFonts w:eastAsia="Calibri" w:cs="Times New Roman"/>
          <w:color w:val="auto"/>
          <w:sz w:val="20"/>
        </w:rPr>
        <w:t xml:space="preserve"> … At present, there are no duty limitations due to his psychiatric condition. </w:t>
      </w:r>
    </w:p>
    <w:p w:rsidR="00941634" w:rsidRDefault="00941634" w:rsidP="009C1430">
      <w:pPr>
        <w:jc w:val="both"/>
        <w:rPr>
          <w:rFonts w:eastAsia="Calibri" w:cs="Times New Roman"/>
          <w:color w:val="auto"/>
          <w:szCs w:val="24"/>
        </w:rPr>
      </w:pPr>
    </w:p>
    <w:p w:rsidR="009C1430" w:rsidRPr="009C1430" w:rsidRDefault="00B250F9" w:rsidP="009C1430">
      <w:pPr>
        <w:jc w:val="both"/>
        <w:rPr>
          <w:color w:val="000000"/>
        </w:rPr>
      </w:pPr>
      <w:r>
        <w:rPr>
          <w:rFonts w:eastAsia="Calibri" w:cs="Times New Roman"/>
          <w:color w:val="auto"/>
          <w:szCs w:val="24"/>
        </w:rPr>
        <w:lastRenderedPageBreak/>
        <w:t xml:space="preserve">The VA C&amp;P examiner likewise described mild symptoms and assigned a </w:t>
      </w:r>
      <w:r w:rsidR="00004B6B">
        <w:rPr>
          <w:rFonts w:eastAsia="Calibri" w:cs="Times New Roman"/>
          <w:color w:val="auto"/>
          <w:szCs w:val="24"/>
        </w:rPr>
        <w:t>G</w:t>
      </w:r>
      <w:r>
        <w:rPr>
          <w:rFonts w:eastAsia="Calibri" w:cs="Times New Roman"/>
          <w:color w:val="auto"/>
          <w:szCs w:val="24"/>
        </w:rPr>
        <w:t xml:space="preserve">lobal </w:t>
      </w:r>
      <w:r w:rsidR="00004B6B">
        <w:rPr>
          <w:rFonts w:eastAsia="Calibri" w:cs="Times New Roman"/>
          <w:color w:val="auto"/>
          <w:szCs w:val="24"/>
        </w:rPr>
        <w:t>A</w:t>
      </w:r>
      <w:r>
        <w:rPr>
          <w:rFonts w:eastAsia="Calibri" w:cs="Times New Roman"/>
          <w:color w:val="auto"/>
          <w:szCs w:val="24"/>
        </w:rPr>
        <w:t xml:space="preserve">ssessment of </w:t>
      </w:r>
      <w:r w:rsidR="00004B6B">
        <w:rPr>
          <w:rFonts w:eastAsia="Calibri" w:cs="Times New Roman"/>
          <w:color w:val="auto"/>
          <w:szCs w:val="24"/>
        </w:rPr>
        <w:t>F</w:t>
      </w:r>
      <w:r>
        <w:rPr>
          <w:rFonts w:eastAsia="Calibri" w:cs="Times New Roman"/>
          <w:color w:val="auto"/>
          <w:szCs w:val="24"/>
        </w:rPr>
        <w:t xml:space="preserve">unctioning (GAF) score of 70, connoting minimal if any </w:t>
      </w:r>
      <w:r w:rsidR="00970950">
        <w:rPr>
          <w:rFonts w:eastAsia="Calibri" w:cs="Times New Roman"/>
          <w:color w:val="auto"/>
          <w:szCs w:val="24"/>
        </w:rPr>
        <w:t>occupational or social impairment.  Although subsequent supporting letters from his providers opined that the CI was minimizing his symptoms</w:t>
      </w:r>
      <w:r w:rsidR="00941634">
        <w:rPr>
          <w:rFonts w:eastAsia="Calibri" w:cs="Times New Roman"/>
          <w:color w:val="auto"/>
          <w:szCs w:val="24"/>
        </w:rPr>
        <w:t>,</w:t>
      </w:r>
      <w:r w:rsidR="00970950">
        <w:rPr>
          <w:rFonts w:eastAsia="Calibri" w:cs="Times New Roman"/>
          <w:color w:val="auto"/>
          <w:szCs w:val="24"/>
        </w:rPr>
        <w:t xml:space="preserve"> and that the psychiatric severity was underestimated</w:t>
      </w:r>
      <w:r w:rsidR="00941634">
        <w:rPr>
          <w:rFonts w:eastAsia="Calibri" w:cs="Times New Roman"/>
          <w:color w:val="auto"/>
          <w:szCs w:val="24"/>
        </w:rPr>
        <w:t>;</w:t>
      </w:r>
      <w:r w:rsidR="00970950">
        <w:rPr>
          <w:rFonts w:eastAsia="Calibri" w:cs="Times New Roman"/>
          <w:color w:val="auto"/>
          <w:szCs w:val="24"/>
        </w:rPr>
        <w:t xml:space="preserve"> it is </w:t>
      </w:r>
      <w:r w:rsidR="00970950" w:rsidRPr="00004B6B">
        <w:rPr>
          <w:rFonts w:eastAsia="Calibri" w:cs="Times New Roman"/>
          <w:color w:val="auto"/>
          <w:szCs w:val="24"/>
        </w:rPr>
        <w:t>the manifest severity</w:t>
      </w:r>
      <w:r w:rsidR="00970950">
        <w:rPr>
          <w:rFonts w:eastAsia="Calibri" w:cs="Times New Roman"/>
          <w:color w:val="auto"/>
          <w:szCs w:val="24"/>
        </w:rPr>
        <w:t xml:space="preserve"> that must be factored </w:t>
      </w:r>
      <w:r w:rsidR="00800F87">
        <w:rPr>
          <w:rFonts w:eastAsia="Calibri" w:cs="Times New Roman"/>
          <w:color w:val="auto"/>
          <w:szCs w:val="24"/>
        </w:rPr>
        <w:t>as</w:t>
      </w:r>
      <w:r w:rsidR="00970950">
        <w:rPr>
          <w:rFonts w:eastAsia="Calibri" w:cs="Times New Roman"/>
          <w:color w:val="auto"/>
          <w:szCs w:val="24"/>
        </w:rPr>
        <w:t xml:space="preserve"> </w:t>
      </w:r>
      <w:r w:rsidR="00800F87">
        <w:rPr>
          <w:rFonts w:eastAsia="Calibri" w:cs="Times New Roman"/>
          <w:color w:val="auto"/>
          <w:szCs w:val="24"/>
        </w:rPr>
        <w:t>a determinant</w:t>
      </w:r>
      <w:r w:rsidR="00970950">
        <w:rPr>
          <w:rFonts w:eastAsia="Calibri" w:cs="Times New Roman"/>
          <w:color w:val="auto"/>
          <w:szCs w:val="24"/>
        </w:rPr>
        <w:t xml:space="preserve"> of fitness at the time of separation.  The condition was judged to meet retention standards; it was not profiled; and, the commander </w:t>
      </w:r>
      <w:r w:rsidR="009C1430">
        <w:rPr>
          <w:rFonts w:eastAsia="Calibri" w:cs="Times New Roman"/>
          <w:color w:val="auto"/>
          <w:szCs w:val="24"/>
        </w:rPr>
        <w:t>implicated only p</w:t>
      </w:r>
      <w:r w:rsidR="00800F87">
        <w:rPr>
          <w:rFonts w:eastAsia="Calibri" w:cs="Times New Roman"/>
          <w:color w:val="auto"/>
          <w:szCs w:val="24"/>
        </w:rPr>
        <w:t>hysical limitations as impeding</w:t>
      </w:r>
      <w:r w:rsidR="009C1430">
        <w:rPr>
          <w:rFonts w:eastAsia="Calibri" w:cs="Times New Roman"/>
          <w:color w:val="auto"/>
          <w:szCs w:val="24"/>
        </w:rPr>
        <w:t xml:space="preserve"> performance.  </w:t>
      </w:r>
      <w:r w:rsidR="009C1430">
        <w:rPr>
          <w:color w:val="000000"/>
        </w:rPr>
        <w:t>The condition was</w:t>
      </w:r>
      <w:r w:rsidR="009C1430" w:rsidRPr="001F29F9">
        <w:rPr>
          <w:color w:val="000000"/>
        </w:rPr>
        <w:t xml:space="preserve"> reviewed by the </w:t>
      </w:r>
      <w:r w:rsidR="00004B6B">
        <w:rPr>
          <w:color w:val="000000"/>
        </w:rPr>
        <w:t>a</w:t>
      </w:r>
      <w:r w:rsidR="009C1430" w:rsidRPr="001F29F9">
        <w:rPr>
          <w:color w:val="000000"/>
        </w:rPr>
        <w:t xml:space="preserve">ction </w:t>
      </w:r>
      <w:r w:rsidR="00004B6B">
        <w:rPr>
          <w:color w:val="000000"/>
        </w:rPr>
        <w:t>o</w:t>
      </w:r>
      <w:r w:rsidR="009C1430" w:rsidRPr="001F29F9">
        <w:rPr>
          <w:color w:val="000000"/>
        </w:rPr>
        <w:t xml:space="preserve">fficer and considered by the Board. </w:t>
      </w:r>
      <w:r w:rsidR="009C1430">
        <w:rPr>
          <w:color w:val="000000"/>
        </w:rPr>
        <w:t xml:space="preserve"> </w:t>
      </w:r>
      <w:r w:rsidR="009C1430" w:rsidRPr="001F29F9">
        <w:rPr>
          <w:color w:val="000000"/>
        </w:rPr>
        <w:t xml:space="preserve">There was no indication from the record that </w:t>
      </w:r>
      <w:r w:rsidR="009C1430">
        <w:rPr>
          <w:color w:val="000000"/>
        </w:rPr>
        <w:t>it</w:t>
      </w:r>
      <w:r w:rsidR="009C1430" w:rsidRPr="001F29F9">
        <w:rPr>
          <w:color w:val="000000"/>
        </w:rPr>
        <w:t xml:space="preserve"> significantly interfered with satisfactory duty performance.  </w:t>
      </w:r>
      <w:r w:rsidR="009C1430"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800F87">
        <w:rPr>
          <w:color w:val="000000"/>
        </w:rPr>
        <w:t xml:space="preserve">PTSD </w:t>
      </w:r>
      <w:r w:rsidR="009C1430">
        <w:rPr>
          <w:rFonts w:eastAsia="Calibri" w:cs="Times New Roman"/>
          <w:color w:val="auto"/>
          <w:szCs w:val="24"/>
        </w:rPr>
        <w:t>condition</w:t>
      </w:r>
      <w:r w:rsidR="009C1430" w:rsidRPr="00792790">
        <w:rPr>
          <w:rFonts w:eastAsia="Calibri" w:cs="Times New Roman"/>
          <w:color w:val="auto"/>
          <w:szCs w:val="24"/>
        </w:rPr>
        <w:t>; and, therefore, no addit</w:t>
      </w:r>
      <w:r w:rsidR="009C1430">
        <w:rPr>
          <w:rFonts w:eastAsia="Calibri" w:cs="Times New Roman"/>
          <w:color w:val="auto"/>
          <w:szCs w:val="24"/>
        </w:rPr>
        <w:t xml:space="preserve">ional </w:t>
      </w:r>
      <w:r w:rsidR="00004B6B">
        <w:rPr>
          <w:rFonts w:eastAsia="Calibri" w:cs="Times New Roman"/>
          <w:color w:val="auto"/>
          <w:szCs w:val="24"/>
        </w:rPr>
        <w:t>s</w:t>
      </w:r>
      <w:r w:rsidR="009C1430">
        <w:rPr>
          <w:rFonts w:eastAsia="Calibri" w:cs="Times New Roman"/>
          <w:color w:val="auto"/>
          <w:szCs w:val="24"/>
        </w:rPr>
        <w:t>ervice disability rating</w:t>
      </w:r>
      <w:r w:rsidR="009C1430" w:rsidRPr="00792790">
        <w:rPr>
          <w:rFonts w:eastAsia="Calibri" w:cs="Times New Roman"/>
          <w:color w:val="auto"/>
          <w:szCs w:val="24"/>
        </w:rPr>
        <w:t xml:space="preserve"> can be recommended.</w:t>
      </w:r>
    </w:p>
    <w:p w:rsidR="00B250F9" w:rsidRPr="009A7578" w:rsidRDefault="00B250F9" w:rsidP="00252F6D">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1C0019" w:rsidRPr="00F20767" w:rsidRDefault="00AD2379" w:rsidP="001C0019">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9C1430">
        <w:rPr>
          <w:rFonts w:eastAsia="Calibri" w:cs="Times New Roman"/>
          <w:color w:val="auto"/>
          <w:szCs w:val="24"/>
        </w:rPr>
        <w:t>the bilateral knee condition</w:t>
      </w:r>
      <w:r w:rsidR="00241B01" w:rsidRPr="00241B01">
        <w:rPr>
          <w:rFonts w:eastAsia="Calibri" w:cs="Times New Roman"/>
          <w:color w:val="auto"/>
          <w:szCs w:val="24"/>
        </w:rPr>
        <w:t xml:space="preserve"> was operant in this case and the condition was adjudicated </w:t>
      </w:r>
      <w:r w:rsidR="00241B01" w:rsidRPr="00F20767">
        <w:rPr>
          <w:rFonts w:eastAsia="Calibri" w:cs="Times New Roman"/>
          <w:color w:val="auto"/>
          <w:szCs w:val="24"/>
        </w:rPr>
        <w:t xml:space="preserve">independently of that policy by the Board. </w:t>
      </w:r>
      <w:r w:rsidR="009C1430" w:rsidRPr="00F20767">
        <w:rPr>
          <w:rFonts w:eastAsia="Calibri" w:cs="Times New Roman"/>
          <w:color w:val="auto"/>
          <w:szCs w:val="24"/>
        </w:rPr>
        <w:t xml:space="preserve"> In the matter of the bilateral knee condition, the Board unanimously recommends that each joint be separately adjudicated as an unfitting right knee condition </w:t>
      </w:r>
      <w:r w:rsidR="00941634" w:rsidRPr="00F20767">
        <w:rPr>
          <w:rFonts w:eastAsia="Calibri" w:cs="Times New Roman"/>
          <w:color w:val="auto"/>
          <w:szCs w:val="24"/>
        </w:rPr>
        <w:t xml:space="preserve">and an unfitting left knee condition; each </w:t>
      </w:r>
      <w:r w:rsidR="009C1430" w:rsidRPr="00F20767">
        <w:rPr>
          <w:rFonts w:eastAsia="Calibri" w:cs="Times New Roman"/>
          <w:color w:val="auto"/>
          <w:szCs w:val="24"/>
        </w:rPr>
        <w:t>coded 5099-5010</w:t>
      </w:r>
      <w:r w:rsidR="00941634" w:rsidRPr="00F20767">
        <w:rPr>
          <w:rFonts w:eastAsia="Calibri" w:cs="Times New Roman"/>
          <w:color w:val="auto"/>
          <w:szCs w:val="24"/>
        </w:rPr>
        <w:t xml:space="preserve"> </w:t>
      </w:r>
      <w:r w:rsidR="009B2C84" w:rsidRPr="00F20767">
        <w:rPr>
          <w:rFonts w:eastAsia="Calibri" w:cs="Times New Roman"/>
          <w:color w:val="auto"/>
          <w:szCs w:val="24"/>
        </w:rPr>
        <w:t xml:space="preserve">and each </w:t>
      </w:r>
      <w:r w:rsidR="009C1430" w:rsidRPr="00F20767">
        <w:rPr>
          <w:rFonts w:eastAsia="Calibri" w:cs="Times New Roman"/>
          <w:color w:val="auto"/>
          <w:szCs w:val="24"/>
        </w:rPr>
        <w:t xml:space="preserve">rated 10%, IAW VASRD §4.71a.  </w:t>
      </w:r>
      <w:r w:rsidR="00241B01" w:rsidRPr="00F20767">
        <w:rPr>
          <w:rFonts w:eastAsia="Calibri" w:cs="Times New Roman"/>
          <w:color w:val="auto"/>
          <w:szCs w:val="24"/>
        </w:rPr>
        <w:t xml:space="preserve">In the matter of the </w:t>
      </w:r>
      <w:r w:rsidR="009C1430" w:rsidRPr="00F20767">
        <w:rPr>
          <w:rFonts w:eastAsia="Calibri" w:cs="Times New Roman"/>
          <w:color w:val="auto"/>
          <w:szCs w:val="24"/>
        </w:rPr>
        <w:t>chest wall</w:t>
      </w:r>
      <w:r w:rsidR="00241B01" w:rsidRPr="00F20767">
        <w:rPr>
          <w:rFonts w:eastAsia="Calibri" w:cs="Times New Roman"/>
          <w:color w:val="auto"/>
          <w:szCs w:val="24"/>
        </w:rPr>
        <w:t xml:space="preserve"> condition, the Board unanimously recommends a disability rating of </w:t>
      </w:r>
      <w:r w:rsidR="009C1430" w:rsidRPr="00F20767">
        <w:rPr>
          <w:rFonts w:eastAsia="Calibri" w:cs="Times New Roman"/>
          <w:color w:val="auto"/>
          <w:szCs w:val="24"/>
        </w:rPr>
        <w:t>1</w:t>
      </w:r>
      <w:r w:rsidR="00241B01" w:rsidRPr="00F20767">
        <w:rPr>
          <w:rFonts w:eastAsia="Calibri" w:cs="Times New Roman"/>
          <w:color w:val="auto"/>
          <w:szCs w:val="24"/>
        </w:rPr>
        <w:t xml:space="preserve">0%, coded </w:t>
      </w:r>
      <w:r w:rsidR="009C1430" w:rsidRPr="00F20767">
        <w:rPr>
          <w:rFonts w:eastAsia="Calibri" w:cs="Times New Roman"/>
          <w:color w:val="auto"/>
          <w:szCs w:val="24"/>
        </w:rPr>
        <w:t>5399-5321</w:t>
      </w:r>
      <w:r w:rsidR="00241B01" w:rsidRPr="00F20767">
        <w:rPr>
          <w:rFonts w:eastAsia="Calibri" w:cs="Times New Roman"/>
          <w:color w:val="auto"/>
          <w:szCs w:val="24"/>
        </w:rPr>
        <w:t xml:space="preserve"> IAW VASRD §</w:t>
      </w:r>
      <w:r w:rsidR="009C1430" w:rsidRPr="00F20767">
        <w:rPr>
          <w:rFonts w:eastAsia="Calibri" w:cs="Times New Roman"/>
          <w:color w:val="auto"/>
          <w:szCs w:val="24"/>
        </w:rPr>
        <w:t>4.73</w:t>
      </w:r>
      <w:r w:rsidR="00241B01" w:rsidRPr="00F20767">
        <w:rPr>
          <w:rFonts w:eastAsia="Calibri" w:cs="Times New Roman"/>
          <w:color w:val="auto"/>
          <w:szCs w:val="24"/>
        </w:rPr>
        <w:t>.</w:t>
      </w:r>
      <w:r w:rsidR="009C1430" w:rsidRPr="00F20767">
        <w:rPr>
          <w:rFonts w:eastAsia="Calibri" w:cs="Times New Roman"/>
          <w:color w:val="auto"/>
          <w:szCs w:val="24"/>
        </w:rPr>
        <w:t xml:space="preserve"> </w:t>
      </w:r>
      <w:r w:rsidR="009B2C84" w:rsidRPr="00F20767">
        <w:rPr>
          <w:rFonts w:eastAsia="Calibri" w:cs="Times New Roman"/>
          <w:color w:val="auto"/>
          <w:szCs w:val="24"/>
        </w:rPr>
        <w:t xml:space="preserve"> </w:t>
      </w:r>
      <w:r w:rsidR="001C0019" w:rsidRPr="00F20767">
        <w:rPr>
          <w:rFonts w:eastAsia="Calibri" w:cs="Times New Roman"/>
          <w:color w:val="auto"/>
          <w:szCs w:val="24"/>
        </w:rPr>
        <w:t xml:space="preserve">In the matter of the contended </w:t>
      </w:r>
      <w:r w:rsidR="00004B6B">
        <w:rPr>
          <w:rFonts w:eastAsia="Calibri" w:cs="Times New Roman"/>
          <w:color w:val="auto"/>
          <w:szCs w:val="24"/>
        </w:rPr>
        <w:t>PTSD</w:t>
      </w:r>
      <w:r w:rsidR="001C0019" w:rsidRPr="00F20767">
        <w:rPr>
          <w:rFonts w:eastAsia="Calibri" w:cs="Times New Roman"/>
          <w:color w:val="auto"/>
          <w:szCs w:val="24"/>
        </w:rPr>
        <w:t>, the Board unanimously recommends no change from the PEB determination as not unfitting.  There were no other conditions within the Board’s scope of review for consideration.</w:t>
      </w:r>
    </w:p>
    <w:p w:rsidR="00AD2379" w:rsidRPr="00F20767" w:rsidRDefault="00AD2379" w:rsidP="00BF0E94">
      <w:pPr>
        <w:pBdr>
          <w:bottom w:val="single" w:sz="12" w:space="1" w:color="auto"/>
        </w:pBdr>
        <w:tabs>
          <w:tab w:val="left" w:pos="288"/>
          <w:tab w:val="left" w:pos="4752"/>
        </w:tabs>
        <w:jc w:val="both"/>
        <w:rPr>
          <w:color w:val="000000"/>
        </w:rPr>
      </w:pPr>
    </w:p>
    <w:p w:rsidR="00AD2379" w:rsidRPr="00F20767" w:rsidRDefault="00AD2379" w:rsidP="006364ED">
      <w:pPr>
        <w:jc w:val="left"/>
        <w:rPr>
          <w:color w:val="000000"/>
        </w:rPr>
      </w:pPr>
    </w:p>
    <w:p w:rsidR="001C0019" w:rsidRPr="00F20767" w:rsidRDefault="00AD2379" w:rsidP="001C0019">
      <w:pPr>
        <w:jc w:val="left"/>
        <w:rPr>
          <w:rFonts w:eastAsia="Calibri" w:cs="Times New Roman"/>
          <w:color w:val="auto"/>
          <w:szCs w:val="24"/>
        </w:rPr>
      </w:pPr>
      <w:r w:rsidRPr="00F20767">
        <w:rPr>
          <w:color w:val="000000"/>
          <w:u w:val="single"/>
        </w:rPr>
        <w:t>RECOMMENDATION</w:t>
      </w:r>
      <w:r w:rsidRPr="00F20767">
        <w:rPr>
          <w:color w:val="000000"/>
        </w:rPr>
        <w:t xml:space="preserve">: </w:t>
      </w:r>
      <w:r w:rsidR="001C0019" w:rsidRPr="00F20767">
        <w:rPr>
          <w:color w:val="000000"/>
        </w:rPr>
        <w:t xml:space="preserve"> </w:t>
      </w:r>
      <w:r w:rsidR="001C0019" w:rsidRPr="00F20767">
        <w:rPr>
          <w:rFonts w:eastAsia="Calibri" w:cs="Times New Roman"/>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9B2C84" w:rsidRPr="00F20767" w:rsidRDefault="009B2C84" w:rsidP="001C0019">
      <w:pPr>
        <w:jc w:val="left"/>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1C0019" w:rsidRPr="00F20767" w:rsidTr="00F56232">
        <w:trPr>
          <w:trHeight w:val="233"/>
        </w:trPr>
        <w:tc>
          <w:tcPr>
            <w:tcW w:w="6768" w:type="dxa"/>
            <w:gridSpan w:val="2"/>
            <w:tcBorders>
              <w:right w:val="single" w:sz="4" w:space="0" w:color="auto"/>
            </w:tcBorders>
            <w:shd w:val="clear" w:color="auto" w:fill="D9D9D9"/>
            <w:vAlign w:val="center"/>
          </w:tcPr>
          <w:p w:rsidR="001C0019" w:rsidRPr="00F20767" w:rsidRDefault="001C0019" w:rsidP="00F56232">
            <w:pPr>
              <w:tabs>
                <w:tab w:val="left" w:pos="288"/>
                <w:tab w:val="left" w:pos="4752"/>
              </w:tabs>
              <w:rPr>
                <w:b/>
                <w:color w:val="000000"/>
              </w:rPr>
            </w:pPr>
            <w:r w:rsidRPr="00F20767">
              <w:rPr>
                <w:b/>
                <w:color w:val="000000"/>
              </w:rPr>
              <w:t>UNFITTING CONDITION</w:t>
            </w:r>
          </w:p>
        </w:tc>
        <w:tc>
          <w:tcPr>
            <w:tcW w:w="1530" w:type="dxa"/>
            <w:tcBorders>
              <w:left w:val="single" w:sz="4" w:space="0" w:color="auto"/>
            </w:tcBorders>
            <w:shd w:val="clear" w:color="auto" w:fill="D9D9D9"/>
            <w:vAlign w:val="center"/>
          </w:tcPr>
          <w:p w:rsidR="001C0019" w:rsidRPr="00F20767" w:rsidRDefault="001C0019" w:rsidP="00F56232">
            <w:pPr>
              <w:tabs>
                <w:tab w:val="left" w:pos="288"/>
                <w:tab w:val="left" w:pos="4752"/>
              </w:tabs>
              <w:rPr>
                <w:b/>
                <w:color w:val="000000"/>
              </w:rPr>
            </w:pPr>
            <w:r w:rsidRPr="00F20767">
              <w:rPr>
                <w:b/>
                <w:color w:val="000000"/>
              </w:rPr>
              <w:t>VASRD CODE</w:t>
            </w:r>
          </w:p>
        </w:tc>
        <w:tc>
          <w:tcPr>
            <w:tcW w:w="1026" w:type="dxa"/>
            <w:shd w:val="clear" w:color="auto" w:fill="D9D9D9"/>
            <w:vAlign w:val="center"/>
          </w:tcPr>
          <w:p w:rsidR="001C0019" w:rsidRPr="00F20767" w:rsidRDefault="001C0019" w:rsidP="00F56232">
            <w:pPr>
              <w:tabs>
                <w:tab w:val="left" w:pos="288"/>
                <w:tab w:val="left" w:pos="4752"/>
              </w:tabs>
              <w:rPr>
                <w:b/>
                <w:color w:val="000000"/>
              </w:rPr>
            </w:pPr>
            <w:r w:rsidRPr="00F20767">
              <w:rPr>
                <w:b/>
                <w:color w:val="000000"/>
              </w:rPr>
              <w:t>RATING</w:t>
            </w:r>
          </w:p>
        </w:tc>
      </w:tr>
      <w:tr w:rsidR="001C0019" w:rsidRPr="00F20767" w:rsidTr="00F56232">
        <w:tc>
          <w:tcPr>
            <w:tcW w:w="6768" w:type="dxa"/>
            <w:gridSpan w:val="2"/>
            <w:tcBorders>
              <w:right w:val="single" w:sz="4" w:space="0" w:color="auto"/>
            </w:tcBorders>
            <w:vAlign w:val="center"/>
          </w:tcPr>
          <w:p w:rsidR="001C0019" w:rsidRPr="00F20767" w:rsidRDefault="001C0019" w:rsidP="00F56232">
            <w:pPr>
              <w:tabs>
                <w:tab w:val="left" w:pos="288"/>
                <w:tab w:val="left" w:pos="4752"/>
              </w:tabs>
              <w:jc w:val="left"/>
              <w:rPr>
                <w:color w:val="000000"/>
              </w:rPr>
            </w:pPr>
            <w:r w:rsidRPr="00F20767">
              <w:rPr>
                <w:color w:val="000000"/>
              </w:rPr>
              <w:t>Residuals, Shrapnel Injuries to Right Knee</w:t>
            </w:r>
          </w:p>
        </w:tc>
        <w:tc>
          <w:tcPr>
            <w:tcW w:w="1530" w:type="dxa"/>
            <w:tcBorders>
              <w:left w:val="single" w:sz="4" w:space="0" w:color="auto"/>
            </w:tcBorders>
            <w:vAlign w:val="center"/>
          </w:tcPr>
          <w:p w:rsidR="001C0019" w:rsidRPr="00F20767" w:rsidRDefault="001C0019" w:rsidP="00F56232">
            <w:pPr>
              <w:tabs>
                <w:tab w:val="left" w:pos="288"/>
                <w:tab w:val="left" w:pos="4752"/>
              </w:tabs>
              <w:rPr>
                <w:color w:val="000000"/>
              </w:rPr>
            </w:pPr>
            <w:r w:rsidRPr="00F20767">
              <w:rPr>
                <w:rFonts w:eastAsia="Calibri" w:cs="Times New Roman"/>
                <w:color w:val="auto"/>
                <w:szCs w:val="24"/>
              </w:rPr>
              <w:t>5099-5010</w:t>
            </w:r>
          </w:p>
        </w:tc>
        <w:tc>
          <w:tcPr>
            <w:tcW w:w="1026" w:type="dxa"/>
            <w:vAlign w:val="center"/>
          </w:tcPr>
          <w:p w:rsidR="001C0019" w:rsidRPr="00F20767" w:rsidRDefault="001C0019" w:rsidP="00F56232">
            <w:pPr>
              <w:tabs>
                <w:tab w:val="left" w:pos="288"/>
                <w:tab w:val="left" w:pos="4752"/>
              </w:tabs>
              <w:rPr>
                <w:color w:val="000000"/>
              </w:rPr>
            </w:pPr>
            <w:r w:rsidRPr="00F20767">
              <w:rPr>
                <w:color w:val="000000"/>
              </w:rPr>
              <w:t>10%</w:t>
            </w:r>
          </w:p>
        </w:tc>
      </w:tr>
      <w:tr w:rsidR="001C0019" w:rsidRPr="00F20767" w:rsidTr="00F56232">
        <w:tc>
          <w:tcPr>
            <w:tcW w:w="6768" w:type="dxa"/>
            <w:gridSpan w:val="2"/>
            <w:tcBorders>
              <w:right w:val="single" w:sz="4" w:space="0" w:color="auto"/>
            </w:tcBorders>
            <w:vAlign w:val="center"/>
          </w:tcPr>
          <w:p w:rsidR="001C0019" w:rsidRPr="00F20767" w:rsidRDefault="001C0019" w:rsidP="001C0019">
            <w:pPr>
              <w:tabs>
                <w:tab w:val="left" w:pos="288"/>
                <w:tab w:val="left" w:pos="4752"/>
              </w:tabs>
              <w:jc w:val="left"/>
              <w:rPr>
                <w:color w:val="000000"/>
              </w:rPr>
            </w:pPr>
            <w:r w:rsidRPr="00F20767">
              <w:rPr>
                <w:color w:val="000000"/>
              </w:rPr>
              <w:t>Residuals, Shrapnel Injuries to Left Knee</w:t>
            </w:r>
          </w:p>
        </w:tc>
        <w:tc>
          <w:tcPr>
            <w:tcW w:w="1530" w:type="dxa"/>
            <w:tcBorders>
              <w:left w:val="single" w:sz="4" w:space="0" w:color="auto"/>
            </w:tcBorders>
            <w:vAlign w:val="center"/>
          </w:tcPr>
          <w:p w:rsidR="001C0019" w:rsidRPr="00F20767" w:rsidRDefault="001C0019" w:rsidP="001C0019">
            <w:pPr>
              <w:tabs>
                <w:tab w:val="left" w:pos="288"/>
                <w:tab w:val="left" w:pos="4752"/>
              </w:tabs>
              <w:rPr>
                <w:color w:val="000000"/>
              </w:rPr>
            </w:pPr>
            <w:r w:rsidRPr="00F20767">
              <w:rPr>
                <w:rFonts w:eastAsia="Calibri" w:cs="Times New Roman"/>
                <w:color w:val="auto"/>
                <w:szCs w:val="24"/>
              </w:rPr>
              <w:t>5099-5010</w:t>
            </w:r>
          </w:p>
        </w:tc>
        <w:tc>
          <w:tcPr>
            <w:tcW w:w="1026" w:type="dxa"/>
            <w:vAlign w:val="center"/>
          </w:tcPr>
          <w:p w:rsidR="001C0019" w:rsidRPr="00F20767" w:rsidRDefault="001C0019" w:rsidP="001C0019">
            <w:pPr>
              <w:tabs>
                <w:tab w:val="left" w:pos="288"/>
                <w:tab w:val="left" w:pos="4752"/>
              </w:tabs>
              <w:rPr>
                <w:color w:val="000000"/>
              </w:rPr>
            </w:pPr>
            <w:r w:rsidRPr="00F20767">
              <w:rPr>
                <w:color w:val="000000"/>
              </w:rPr>
              <w:t>10%</w:t>
            </w:r>
          </w:p>
        </w:tc>
      </w:tr>
      <w:tr w:rsidR="001C0019" w:rsidRPr="00F20767" w:rsidTr="00F56232">
        <w:tc>
          <w:tcPr>
            <w:tcW w:w="6768" w:type="dxa"/>
            <w:gridSpan w:val="2"/>
            <w:tcBorders>
              <w:right w:val="single" w:sz="4" w:space="0" w:color="auto"/>
            </w:tcBorders>
            <w:vAlign w:val="center"/>
          </w:tcPr>
          <w:p w:rsidR="001C0019" w:rsidRPr="00F20767" w:rsidRDefault="001C0019" w:rsidP="00F56232">
            <w:pPr>
              <w:tabs>
                <w:tab w:val="left" w:pos="288"/>
                <w:tab w:val="left" w:pos="4752"/>
              </w:tabs>
              <w:jc w:val="left"/>
              <w:rPr>
                <w:color w:val="000000"/>
              </w:rPr>
            </w:pPr>
            <w:r w:rsidRPr="00F20767">
              <w:rPr>
                <w:color w:val="000000"/>
              </w:rPr>
              <w:t>Chest Wall Muscle And Nerve Injury</w:t>
            </w:r>
          </w:p>
        </w:tc>
        <w:tc>
          <w:tcPr>
            <w:tcW w:w="1530" w:type="dxa"/>
            <w:tcBorders>
              <w:left w:val="single" w:sz="4" w:space="0" w:color="auto"/>
            </w:tcBorders>
            <w:vAlign w:val="center"/>
          </w:tcPr>
          <w:p w:rsidR="001C0019" w:rsidRPr="00F20767" w:rsidRDefault="001C0019" w:rsidP="00F56232">
            <w:pPr>
              <w:tabs>
                <w:tab w:val="left" w:pos="288"/>
                <w:tab w:val="left" w:pos="4752"/>
              </w:tabs>
              <w:rPr>
                <w:color w:val="000000"/>
              </w:rPr>
            </w:pPr>
            <w:r w:rsidRPr="00F20767">
              <w:rPr>
                <w:rFonts w:eastAsia="Calibri" w:cs="Times New Roman"/>
                <w:color w:val="auto"/>
                <w:szCs w:val="24"/>
              </w:rPr>
              <w:t>5399-5321</w:t>
            </w:r>
          </w:p>
        </w:tc>
        <w:tc>
          <w:tcPr>
            <w:tcW w:w="1026" w:type="dxa"/>
            <w:vAlign w:val="center"/>
          </w:tcPr>
          <w:p w:rsidR="001C0019" w:rsidRPr="00F20767" w:rsidRDefault="001C0019" w:rsidP="00F20767">
            <w:pPr>
              <w:tabs>
                <w:tab w:val="left" w:pos="288"/>
                <w:tab w:val="left" w:pos="4752"/>
              </w:tabs>
              <w:rPr>
                <w:color w:val="000000"/>
              </w:rPr>
            </w:pPr>
            <w:r w:rsidRPr="00F20767">
              <w:rPr>
                <w:color w:val="000000"/>
              </w:rPr>
              <w:t xml:space="preserve">10% </w:t>
            </w:r>
          </w:p>
        </w:tc>
      </w:tr>
      <w:tr w:rsidR="001C0019" w:rsidRPr="000D5DBE" w:rsidTr="00F56232">
        <w:tblPrEx>
          <w:tblLook w:val="0000"/>
        </w:tblPrEx>
        <w:trPr>
          <w:gridBefore w:val="1"/>
          <w:wBefore w:w="6048" w:type="dxa"/>
          <w:trHeight w:val="152"/>
        </w:trPr>
        <w:tc>
          <w:tcPr>
            <w:tcW w:w="2250" w:type="dxa"/>
            <w:gridSpan w:val="2"/>
            <w:tcBorders>
              <w:left w:val="single" w:sz="4" w:space="0" w:color="auto"/>
            </w:tcBorders>
            <w:shd w:val="clear" w:color="auto" w:fill="D9D9D9"/>
            <w:vAlign w:val="center"/>
          </w:tcPr>
          <w:p w:rsidR="001C0019" w:rsidRPr="00F20767" w:rsidRDefault="001C0019" w:rsidP="00F56232">
            <w:pPr>
              <w:tabs>
                <w:tab w:val="left" w:pos="288"/>
                <w:tab w:val="left" w:pos="4752"/>
              </w:tabs>
              <w:rPr>
                <w:b/>
                <w:color w:val="000000"/>
              </w:rPr>
            </w:pPr>
            <w:r w:rsidRPr="00F20767">
              <w:rPr>
                <w:b/>
                <w:color w:val="000000"/>
              </w:rPr>
              <w:t>COMBINED (w/ BLF)</w:t>
            </w:r>
          </w:p>
        </w:tc>
        <w:tc>
          <w:tcPr>
            <w:tcW w:w="1026" w:type="dxa"/>
            <w:shd w:val="clear" w:color="auto" w:fill="D9D9D9"/>
            <w:vAlign w:val="center"/>
          </w:tcPr>
          <w:p w:rsidR="001C0019" w:rsidRPr="00F20767" w:rsidRDefault="001C0019" w:rsidP="00F56232">
            <w:pPr>
              <w:tabs>
                <w:tab w:val="left" w:pos="288"/>
                <w:tab w:val="left" w:pos="4752"/>
              </w:tabs>
              <w:rPr>
                <w:b/>
                <w:color w:val="000000"/>
              </w:rPr>
            </w:pPr>
            <w:r w:rsidRPr="00F20767">
              <w:rPr>
                <w:b/>
                <w:color w:val="000000"/>
              </w:rPr>
              <w:t>30%</w:t>
            </w:r>
          </w:p>
        </w:tc>
      </w:tr>
    </w:tbl>
    <w:p w:rsidR="00AD2379" w:rsidRPr="001F29F9" w:rsidRDefault="00AD2379" w:rsidP="00004B6B">
      <w:pPr>
        <w:jc w:val="both"/>
        <w:rPr>
          <w:color w:val="000000"/>
        </w:rPr>
      </w:pPr>
    </w:p>
    <w:p w:rsidR="00F20767" w:rsidRDefault="00F20767">
      <w:pPr>
        <w:spacing w:line="240" w:lineRule="auto"/>
        <w:jc w:val="left"/>
        <w:rPr>
          <w:color w:val="000000"/>
        </w:rPr>
      </w:pPr>
      <w:r>
        <w:rPr>
          <w:color w:val="000000"/>
        </w:rPr>
        <w:br w:type="page"/>
      </w: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064D3A" w:rsidRPr="001F29F9">
        <w:rPr>
          <w:color w:val="000000" w:themeColor="text1"/>
          <w:szCs w:val="24"/>
        </w:rPr>
        <w:t>20</w:t>
      </w:r>
      <w:r w:rsidR="00064D3A">
        <w:rPr>
          <w:color w:val="000000" w:themeColor="text1"/>
          <w:szCs w:val="24"/>
        </w:rPr>
        <w:t>110811</w:t>
      </w:r>
      <w:r w:rsidR="00004B6B">
        <w:rPr>
          <w:color w:val="000000"/>
        </w:rPr>
        <w:t>, w/atchs</w:t>
      </w:r>
    </w:p>
    <w:p w:rsidR="00AD2379" w:rsidRPr="001F29F9" w:rsidRDefault="00AD2379" w:rsidP="005144A7">
      <w:pPr>
        <w:tabs>
          <w:tab w:val="left" w:pos="288"/>
          <w:tab w:val="left" w:pos="4752"/>
        </w:tabs>
        <w:jc w:val="both"/>
        <w:rPr>
          <w:color w:val="000000"/>
        </w:rPr>
      </w:pPr>
      <w:r w:rsidRPr="001F29F9">
        <w:rPr>
          <w:color w:val="000000"/>
        </w:rPr>
        <w:t xml:space="preserve">Exhibit B.  </w:t>
      </w:r>
      <w:r w:rsidR="00004B6B">
        <w:rPr>
          <w:color w:val="000000"/>
        </w:rPr>
        <w:t>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004B6B">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A00ED8">
        <w:rPr>
          <w:color w:val="000000"/>
        </w:rPr>
        <w:t>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1F29F9" w:rsidRDefault="00AD2379" w:rsidP="00BF0E94">
      <w:pPr>
        <w:tabs>
          <w:tab w:val="left" w:pos="0"/>
          <w:tab w:val="left" w:pos="4320"/>
        </w:tabs>
        <w:jc w:val="both"/>
        <w:rPr>
          <w:color w:val="000000"/>
        </w:rPr>
      </w:pPr>
      <w:r w:rsidRPr="001F29F9">
        <w:rPr>
          <w:color w:val="000000"/>
        </w:rPr>
        <w:tab/>
        <w:t xml:space="preserve">           Physical Disability Board of Review</w:t>
      </w:r>
    </w:p>
    <w:p w:rsidR="00A00ED8" w:rsidRDefault="00A00ED8">
      <w:pPr>
        <w:spacing w:line="240" w:lineRule="auto"/>
        <w:jc w:val="left"/>
        <w:rPr>
          <w:b/>
          <w:color w:val="000000"/>
          <w:highlight w:val="yellow"/>
        </w:rPr>
      </w:pPr>
      <w:r>
        <w:rPr>
          <w:b/>
          <w:color w:val="000000"/>
          <w:highlight w:val="yellow"/>
        </w:rPr>
        <w:br w:type="page"/>
      </w:r>
    </w:p>
    <w:p w:rsidR="00A00ED8" w:rsidRDefault="00A00ED8" w:rsidP="00A00ED8">
      <w:pPr>
        <w:pStyle w:val="Header"/>
        <w:tabs>
          <w:tab w:val="left" w:pos="720"/>
        </w:tabs>
        <w:jc w:val="left"/>
      </w:pPr>
      <w:r>
        <w:lastRenderedPageBreak/>
        <w:t>SFMR-RB</w:t>
      </w:r>
      <w:r>
        <w:tab/>
      </w:r>
      <w:r>
        <w:tab/>
      </w:r>
      <w:r>
        <w:tab/>
      </w:r>
      <w:r>
        <w:tab/>
      </w:r>
      <w:r>
        <w:tab/>
      </w:r>
      <w:r>
        <w:tab/>
      </w:r>
      <w:r>
        <w:tab/>
      </w:r>
      <w:r>
        <w:tab/>
      </w:r>
      <w:r>
        <w:tab/>
      </w:r>
    </w:p>
    <w:p w:rsidR="00A00ED8" w:rsidRDefault="00A00ED8" w:rsidP="00A00ED8">
      <w:pPr>
        <w:pStyle w:val="Header"/>
        <w:tabs>
          <w:tab w:val="left" w:pos="720"/>
        </w:tabs>
        <w:jc w:val="left"/>
      </w:pPr>
    </w:p>
    <w:p w:rsidR="00A00ED8" w:rsidRDefault="00A00ED8" w:rsidP="00A00ED8">
      <w:pPr>
        <w:jc w:val="left"/>
      </w:pPr>
    </w:p>
    <w:p w:rsidR="00A00ED8" w:rsidRDefault="00A00ED8" w:rsidP="00A00ED8">
      <w:pPr>
        <w:jc w:val="left"/>
      </w:pPr>
      <w:r>
        <w:t xml:space="preserve">MEMORANDUM FOR Commander, US Army Physical Disability Agency </w:t>
      </w:r>
    </w:p>
    <w:p w:rsidR="00A00ED8" w:rsidRDefault="00A00ED8" w:rsidP="00A00ED8">
      <w:pPr>
        <w:jc w:val="left"/>
      </w:pPr>
      <w:r>
        <w:t xml:space="preserve">(TAPD-ZB </w:t>
      </w:r>
      <w:proofErr w:type="gramStart"/>
      <w:r>
        <w:t>/  )</w:t>
      </w:r>
      <w:proofErr w:type="gramEnd"/>
      <w:r>
        <w:t>, 2900 Crystal Drive, Suite 300, Arlington, VA  22202</w:t>
      </w:r>
    </w:p>
    <w:p w:rsidR="00A00ED8" w:rsidRDefault="00A00ED8" w:rsidP="00A00ED8">
      <w:pPr>
        <w:jc w:val="left"/>
      </w:pPr>
    </w:p>
    <w:p w:rsidR="00A00ED8" w:rsidRDefault="00A00ED8" w:rsidP="00A00ED8">
      <w:pPr>
        <w:ind w:right="-180"/>
        <w:jc w:val="left"/>
      </w:pPr>
      <w:r>
        <w:t xml:space="preserve">SUBJECT:  Department of Defense Physical Disability Board of Review Recommendation </w:t>
      </w:r>
    </w:p>
    <w:p w:rsidR="00A00ED8" w:rsidRDefault="00A00ED8" w:rsidP="00A00ED8">
      <w:pPr>
        <w:pStyle w:val="Header"/>
        <w:tabs>
          <w:tab w:val="left" w:pos="720"/>
        </w:tabs>
        <w:jc w:val="left"/>
      </w:pPr>
      <w:proofErr w:type="gramStart"/>
      <w:r>
        <w:t>for</w:t>
      </w:r>
      <w:proofErr w:type="gramEnd"/>
      <w:r>
        <w:t xml:space="preserve"> XXXXXXXXXXXXX, AR20120009656 (PD201100641)</w:t>
      </w:r>
    </w:p>
    <w:p w:rsidR="00A00ED8" w:rsidRDefault="00A00ED8" w:rsidP="00A00ED8">
      <w:pPr>
        <w:pStyle w:val="Header"/>
        <w:tabs>
          <w:tab w:val="left" w:pos="720"/>
        </w:tabs>
        <w:jc w:val="left"/>
      </w:pPr>
    </w:p>
    <w:p w:rsidR="00A00ED8" w:rsidRDefault="00A00ED8" w:rsidP="00A00ED8">
      <w:pPr>
        <w:jc w:val="left"/>
      </w:pPr>
    </w:p>
    <w:p w:rsidR="00A00ED8" w:rsidRDefault="00A00ED8" w:rsidP="00A00ED8">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00ED8" w:rsidRDefault="00A00ED8" w:rsidP="00A00ED8">
      <w:pPr>
        <w:jc w:val="left"/>
      </w:pPr>
    </w:p>
    <w:p w:rsidR="00A00ED8" w:rsidRDefault="00A00ED8" w:rsidP="00A00ED8">
      <w:pPr>
        <w:jc w:val="left"/>
      </w:pPr>
      <w:r>
        <w:t>2.  I direct that all the Department of the Army records of the individual concerned be corrected accordingly no later than 120 days from the date of this memorandum:</w:t>
      </w:r>
    </w:p>
    <w:p w:rsidR="00A00ED8" w:rsidRDefault="00A00ED8" w:rsidP="00A00ED8">
      <w:pPr>
        <w:jc w:val="left"/>
      </w:pPr>
    </w:p>
    <w:p w:rsidR="00A00ED8" w:rsidRDefault="00A00ED8" w:rsidP="00A00ED8">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A00ED8" w:rsidRDefault="00A00ED8" w:rsidP="00A00ED8">
      <w:pPr>
        <w:jc w:val="left"/>
      </w:pPr>
    </w:p>
    <w:p w:rsidR="00A00ED8" w:rsidRDefault="00A00ED8" w:rsidP="00A00ED8">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00ED8" w:rsidRDefault="00A00ED8" w:rsidP="00A00ED8">
      <w:pPr>
        <w:jc w:val="left"/>
      </w:pPr>
    </w:p>
    <w:p w:rsidR="00A00ED8" w:rsidRDefault="00A00ED8" w:rsidP="00A00ED8">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00ED8" w:rsidRDefault="00A00ED8" w:rsidP="00A00ED8">
      <w:pPr>
        <w:jc w:val="left"/>
      </w:pPr>
    </w:p>
    <w:p w:rsidR="00A00ED8" w:rsidRDefault="00A00ED8" w:rsidP="00A00ED8">
      <w:pPr>
        <w:jc w:val="left"/>
      </w:pPr>
      <w:r>
        <w:tab/>
      </w:r>
      <w:proofErr w:type="gramStart"/>
      <w:r>
        <w:t>d.  Affording</w:t>
      </w:r>
      <w:proofErr w:type="gramEnd"/>
      <w:r>
        <w:t xml:space="preserve"> the individual the opportunity to elect Survivor Benefit Plan (SBP) and medical TRICARE retiree options.</w:t>
      </w:r>
    </w:p>
    <w:p w:rsidR="00A00ED8" w:rsidRDefault="00A00ED8" w:rsidP="00A00ED8">
      <w:pPr>
        <w:jc w:val="left"/>
      </w:pPr>
    </w:p>
    <w:p w:rsidR="00A00ED8" w:rsidRDefault="00A00ED8" w:rsidP="00A00ED8">
      <w:pPr>
        <w:jc w:val="left"/>
      </w:pPr>
    </w:p>
    <w:p w:rsidR="00A00ED8" w:rsidRDefault="00A00ED8" w:rsidP="00A00ED8">
      <w:pPr>
        <w:jc w:val="left"/>
      </w:pPr>
    </w:p>
    <w:p w:rsidR="00A00ED8" w:rsidRDefault="00A00ED8" w:rsidP="00A00ED8">
      <w:pPr>
        <w:jc w:val="left"/>
      </w:pPr>
    </w:p>
    <w:p w:rsidR="00A00ED8" w:rsidRDefault="00A00ED8" w:rsidP="00A00ED8">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00ED8" w:rsidRDefault="00A00ED8" w:rsidP="00A00ED8">
      <w:pPr>
        <w:jc w:val="left"/>
      </w:pPr>
    </w:p>
    <w:p w:rsidR="00A00ED8" w:rsidRDefault="00A00ED8" w:rsidP="00A00ED8">
      <w:pPr>
        <w:jc w:val="left"/>
      </w:pPr>
      <w:r>
        <w:t>BY ORDER OF THE SECRETARY OF THE ARMY:</w:t>
      </w:r>
    </w:p>
    <w:p w:rsidR="00A00ED8" w:rsidRDefault="00A00ED8" w:rsidP="00A00ED8">
      <w:pPr>
        <w:pStyle w:val="Header"/>
        <w:tabs>
          <w:tab w:val="left" w:pos="720"/>
        </w:tabs>
        <w:jc w:val="left"/>
      </w:pPr>
    </w:p>
    <w:p w:rsidR="00A00ED8" w:rsidRDefault="00A00ED8" w:rsidP="00A00ED8">
      <w:pPr>
        <w:jc w:val="left"/>
      </w:pPr>
    </w:p>
    <w:p w:rsidR="00A00ED8" w:rsidRDefault="00A00ED8" w:rsidP="00A00ED8">
      <w:pPr>
        <w:jc w:val="left"/>
      </w:pPr>
      <w:bookmarkStart w:id="0" w:name="OLE_LINK4"/>
      <w:bookmarkStart w:id="1" w:name="OLE_LINK3"/>
      <w:r>
        <w:t>Encl</w:t>
      </w:r>
      <w:r>
        <w:tab/>
      </w:r>
      <w:r>
        <w:tab/>
      </w:r>
      <w:r>
        <w:tab/>
      </w:r>
      <w:r>
        <w:tab/>
      </w:r>
      <w:r>
        <w:tab/>
      </w:r>
      <w:r>
        <w:tab/>
        <w:t xml:space="preserve">     XXXXXXXXXXXXXX</w:t>
      </w:r>
    </w:p>
    <w:p w:rsidR="00A00ED8" w:rsidRDefault="00A00ED8" w:rsidP="00A00ED8">
      <w:pPr>
        <w:jc w:val="left"/>
      </w:pPr>
      <w:r>
        <w:tab/>
      </w:r>
      <w:r>
        <w:tab/>
      </w:r>
      <w:r>
        <w:tab/>
      </w:r>
      <w:r>
        <w:tab/>
      </w:r>
      <w:r>
        <w:tab/>
      </w:r>
      <w:r>
        <w:tab/>
        <w:t xml:space="preserve">     Deputy Assistant Secretary</w:t>
      </w:r>
    </w:p>
    <w:p w:rsidR="00A00ED8" w:rsidRDefault="00A00ED8" w:rsidP="00A00ED8">
      <w:pPr>
        <w:jc w:val="left"/>
      </w:pPr>
      <w:r>
        <w:tab/>
      </w:r>
      <w:r>
        <w:tab/>
      </w:r>
      <w:r>
        <w:tab/>
      </w:r>
      <w:r>
        <w:tab/>
      </w:r>
      <w:r>
        <w:tab/>
      </w:r>
      <w:r>
        <w:tab/>
        <w:t xml:space="preserve">         (Army Review Boards)</w:t>
      </w:r>
      <w:bookmarkEnd w:id="0"/>
      <w:bookmarkEnd w:id="1"/>
    </w:p>
    <w:p w:rsidR="00A00ED8" w:rsidRDefault="00A00ED8" w:rsidP="00A00ED8">
      <w:pPr>
        <w:jc w:val="left"/>
      </w:pPr>
    </w:p>
    <w:p w:rsidR="00A00ED8" w:rsidRDefault="00A00ED8" w:rsidP="00A00ED8">
      <w:pPr>
        <w:jc w:val="left"/>
      </w:pPr>
      <w:r>
        <w:t xml:space="preserve">CF: </w:t>
      </w:r>
    </w:p>
    <w:p w:rsidR="00A00ED8" w:rsidRDefault="00A00ED8" w:rsidP="00A00ED8">
      <w:pPr>
        <w:jc w:val="left"/>
      </w:pPr>
      <w:r>
        <w:t xml:space="preserve">(  ) </w:t>
      </w:r>
      <w:proofErr w:type="spellStart"/>
      <w:proofErr w:type="gramStart"/>
      <w:r>
        <w:t>DoD</w:t>
      </w:r>
      <w:proofErr w:type="spellEnd"/>
      <w:proofErr w:type="gramEnd"/>
      <w:r>
        <w:t xml:space="preserve"> PDBR</w:t>
      </w:r>
    </w:p>
    <w:p w:rsidR="00A00ED8" w:rsidRDefault="00A00ED8" w:rsidP="00A00ED8">
      <w:pPr>
        <w:jc w:val="left"/>
      </w:pPr>
      <w:r>
        <w:t>(  ) DVA</w:t>
      </w:r>
    </w:p>
    <w:p w:rsidR="00482B19" w:rsidRDefault="00482B19" w:rsidP="00A00ED8">
      <w:pPr>
        <w:jc w:val="left"/>
        <w:rPr>
          <w:b/>
          <w:color w:val="000000"/>
          <w:highlight w:val="yellow"/>
        </w:rPr>
      </w:pPr>
    </w:p>
    <w:sectPr w:rsidR="00482B1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67" w:rsidRDefault="00CF1967">
      <w:r>
        <w:separator/>
      </w:r>
    </w:p>
  </w:endnote>
  <w:endnote w:type="continuationSeparator" w:id="0">
    <w:p w:rsidR="00CF1967" w:rsidRDefault="00CF1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720" w:rsidRPr="00374247" w:rsidRDefault="00CD7720" w:rsidP="00726F84">
    <w:pPr>
      <w:pStyle w:val="Footer"/>
      <w:ind w:firstLine="4320"/>
      <w:rPr>
        <w:color w:val="auto"/>
      </w:rPr>
    </w:pPr>
    <w:r w:rsidRPr="00374247">
      <w:rPr>
        <w:color w:val="auto"/>
      </w:rPr>
      <w:t xml:space="preserve">   </w:t>
    </w:r>
    <w:fldSimple w:instr=" PAGE   \* MERGEFORMAT ">
      <w:r w:rsidR="00A00ED8" w:rsidRPr="00A00ED8">
        <w:rPr>
          <w:noProof/>
          <w:color w:val="auto"/>
        </w:rPr>
        <w:t>7</w:t>
      </w:r>
    </w:fldSimple>
    <w:r w:rsidRPr="00374247">
      <w:rPr>
        <w:color w:val="auto"/>
      </w:rPr>
      <w:t xml:space="preserve">                                                           </w:t>
    </w:r>
    <w:r w:rsidRPr="001D64F3">
      <w:rPr>
        <w:color w:val="auto"/>
      </w:rPr>
      <w:t>PD1</w:t>
    </w:r>
    <w:r w:rsidRPr="009369A6">
      <w:rPr>
        <w:color w:val="auto"/>
      </w:rPr>
      <w:t>1006</w:t>
    </w:r>
    <w:r w:rsidR="00285283">
      <w:rPr>
        <w:color w:val="auto"/>
      </w:rPr>
      <w:t>41</w:t>
    </w:r>
  </w:p>
  <w:p w:rsidR="00CD7720" w:rsidRPr="00684CE6" w:rsidRDefault="00CD772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67" w:rsidRDefault="00CF1967">
      <w:r>
        <w:separator/>
      </w:r>
    </w:p>
  </w:footnote>
  <w:footnote w:type="continuationSeparator" w:id="0">
    <w:p w:rsidR="00CF1967" w:rsidRDefault="00CF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4B6B"/>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E3"/>
    <w:rsid w:val="0002756A"/>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2BC"/>
    <w:rsid w:val="00051622"/>
    <w:rsid w:val="00051A11"/>
    <w:rsid w:val="00051F89"/>
    <w:rsid w:val="00052234"/>
    <w:rsid w:val="00053D7C"/>
    <w:rsid w:val="000575C5"/>
    <w:rsid w:val="000577C9"/>
    <w:rsid w:val="00060C18"/>
    <w:rsid w:val="00060FFD"/>
    <w:rsid w:val="00061D69"/>
    <w:rsid w:val="0006431E"/>
    <w:rsid w:val="00064D3A"/>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702"/>
    <w:rsid w:val="000C2FA8"/>
    <w:rsid w:val="000C3C13"/>
    <w:rsid w:val="000C3E39"/>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4E65"/>
    <w:rsid w:val="000E5577"/>
    <w:rsid w:val="000E7034"/>
    <w:rsid w:val="000F02BE"/>
    <w:rsid w:val="000F0928"/>
    <w:rsid w:val="000F0B3D"/>
    <w:rsid w:val="000F1E65"/>
    <w:rsid w:val="000F2F2B"/>
    <w:rsid w:val="000F427B"/>
    <w:rsid w:val="000F43D0"/>
    <w:rsid w:val="000F4F18"/>
    <w:rsid w:val="000F5EA9"/>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01B1"/>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5C29"/>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466"/>
    <w:rsid w:val="001A6848"/>
    <w:rsid w:val="001A7538"/>
    <w:rsid w:val="001B06FB"/>
    <w:rsid w:val="001B0B1A"/>
    <w:rsid w:val="001B20E6"/>
    <w:rsid w:val="001B4C0B"/>
    <w:rsid w:val="001B4D12"/>
    <w:rsid w:val="001B4EC2"/>
    <w:rsid w:val="001B5B59"/>
    <w:rsid w:val="001B60E0"/>
    <w:rsid w:val="001B755A"/>
    <w:rsid w:val="001B7C8C"/>
    <w:rsid w:val="001C0019"/>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4DDC"/>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17EB2"/>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2F6D"/>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36B0"/>
    <w:rsid w:val="00274549"/>
    <w:rsid w:val="00274E46"/>
    <w:rsid w:val="002752AE"/>
    <w:rsid w:val="00275AFD"/>
    <w:rsid w:val="002769AF"/>
    <w:rsid w:val="00276C86"/>
    <w:rsid w:val="00276FD0"/>
    <w:rsid w:val="00277217"/>
    <w:rsid w:val="002810A4"/>
    <w:rsid w:val="0028261C"/>
    <w:rsid w:val="00282DB6"/>
    <w:rsid w:val="00284A26"/>
    <w:rsid w:val="00285095"/>
    <w:rsid w:val="00285283"/>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3A66"/>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22EB"/>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03"/>
    <w:rsid w:val="002E1C31"/>
    <w:rsid w:val="002E2E0F"/>
    <w:rsid w:val="002E333A"/>
    <w:rsid w:val="002E3474"/>
    <w:rsid w:val="002E400C"/>
    <w:rsid w:val="002E49C3"/>
    <w:rsid w:val="002E5114"/>
    <w:rsid w:val="002E5988"/>
    <w:rsid w:val="002E65E6"/>
    <w:rsid w:val="002E66B2"/>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8B8"/>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234"/>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AFD"/>
    <w:rsid w:val="00352B22"/>
    <w:rsid w:val="00352CBF"/>
    <w:rsid w:val="00354547"/>
    <w:rsid w:val="003549F5"/>
    <w:rsid w:val="003554B7"/>
    <w:rsid w:val="00355ACB"/>
    <w:rsid w:val="003567DE"/>
    <w:rsid w:val="00356F18"/>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2E"/>
    <w:rsid w:val="003D2BA3"/>
    <w:rsid w:val="003D316B"/>
    <w:rsid w:val="003D3C22"/>
    <w:rsid w:val="003D55BC"/>
    <w:rsid w:val="003D56A0"/>
    <w:rsid w:val="003D609F"/>
    <w:rsid w:val="003D69F5"/>
    <w:rsid w:val="003D7089"/>
    <w:rsid w:val="003D7DDB"/>
    <w:rsid w:val="003E024F"/>
    <w:rsid w:val="003E02C7"/>
    <w:rsid w:val="003E0543"/>
    <w:rsid w:val="003E061D"/>
    <w:rsid w:val="003E0B5A"/>
    <w:rsid w:val="003E1682"/>
    <w:rsid w:val="003E31E3"/>
    <w:rsid w:val="003E3E93"/>
    <w:rsid w:val="003E3F05"/>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2F"/>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18C3"/>
    <w:rsid w:val="004D2AAB"/>
    <w:rsid w:val="004D362B"/>
    <w:rsid w:val="004D3C7F"/>
    <w:rsid w:val="004D42CB"/>
    <w:rsid w:val="004D4A0C"/>
    <w:rsid w:val="004D5C0D"/>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5A"/>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37682"/>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C0B"/>
    <w:rsid w:val="0058039C"/>
    <w:rsid w:val="00580A63"/>
    <w:rsid w:val="00583379"/>
    <w:rsid w:val="0058417C"/>
    <w:rsid w:val="005854F9"/>
    <w:rsid w:val="00586EC6"/>
    <w:rsid w:val="00587DDE"/>
    <w:rsid w:val="00592D26"/>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99E"/>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2C4D"/>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314"/>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3BF"/>
    <w:rsid w:val="006E58CB"/>
    <w:rsid w:val="006E5F8C"/>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278"/>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0F87"/>
    <w:rsid w:val="00801B85"/>
    <w:rsid w:val="0080283A"/>
    <w:rsid w:val="00803850"/>
    <w:rsid w:val="008039E8"/>
    <w:rsid w:val="00804385"/>
    <w:rsid w:val="00804571"/>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3C26"/>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473F"/>
    <w:rsid w:val="00865207"/>
    <w:rsid w:val="008656A7"/>
    <w:rsid w:val="00865FA3"/>
    <w:rsid w:val="00866231"/>
    <w:rsid w:val="00871262"/>
    <w:rsid w:val="0087170E"/>
    <w:rsid w:val="00871D4E"/>
    <w:rsid w:val="00871E7B"/>
    <w:rsid w:val="008721BB"/>
    <w:rsid w:val="00872B7E"/>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26C"/>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583"/>
    <w:rsid w:val="00941634"/>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0950"/>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2C84"/>
    <w:rsid w:val="009B4963"/>
    <w:rsid w:val="009B4A3B"/>
    <w:rsid w:val="009B6023"/>
    <w:rsid w:val="009B69D3"/>
    <w:rsid w:val="009B721E"/>
    <w:rsid w:val="009B7BA7"/>
    <w:rsid w:val="009B7C01"/>
    <w:rsid w:val="009C0938"/>
    <w:rsid w:val="009C0C22"/>
    <w:rsid w:val="009C12A1"/>
    <w:rsid w:val="009C1430"/>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5F3"/>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0ED8"/>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60F"/>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3A8F"/>
    <w:rsid w:val="00A44141"/>
    <w:rsid w:val="00A44CCA"/>
    <w:rsid w:val="00A44D75"/>
    <w:rsid w:val="00A47CF1"/>
    <w:rsid w:val="00A50418"/>
    <w:rsid w:val="00A50B17"/>
    <w:rsid w:val="00A53A9B"/>
    <w:rsid w:val="00A54A47"/>
    <w:rsid w:val="00A558A2"/>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5A7"/>
    <w:rsid w:val="00AA73AF"/>
    <w:rsid w:val="00AB062D"/>
    <w:rsid w:val="00AB0A8A"/>
    <w:rsid w:val="00AB1754"/>
    <w:rsid w:val="00AB1F8D"/>
    <w:rsid w:val="00AB27DD"/>
    <w:rsid w:val="00AB2831"/>
    <w:rsid w:val="00AB4BA4"/>
    <w:rsid w:val="00AB592E"/>
    <w:rsid w:val="00AC0C1C"/>
    <w:rsid w:val="00AC1305"/>
    <w:rsid w:val="00AC37BE"/>
    <w:rsid w:val="00AC439D"/>
    <w:rsid w:val="00AC4BA1"/>
    <w:rsid w:val="00AC5DE5"/>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982"/>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CFF"/>
    <w:rsid w:val="00B23F10"/>
    <w:rsid w:val="00B24328"/>
    <w:rsid w:val="00B24ED4"/>
    <w:rsid w:val="00B24F33"/>
    <w:rsid w:val="00B250F9"/>
    <w:rsid w:val="00B2585B"/>
    <w:rsid w:val="00B26354"/>
    <w:rsid w:val="00B26CA0"/>
    <w:rsid w:val="00B2761C"/>
    <w:rsid w:val="00B27907"/>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5C43"/>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ADF"/>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051"/>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59D3"/>
    <w:rsid w:val="00BE6365"/>
    <w:rsid w:val="00BF01B7"/>
    <w:rsid w:val="00BF0B7F"/>
    <w:rsid w:val="00BF0E94"/>
    <w:rsid w:val="00BF24A4"/>
    <w:rsid w:val="00BF2668"/>
    <w:rsid w:val="00BF2988"/>
    <w:rsid w:val="00BF3FB9"/>
    <w:rsid w:val="00BF4012"/>
    <w:rsid w:val="00BF4225"/>
    <w:rsid w:val="00BF4720"/>
    <w:rsid w:val="00BF4925"/>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9EF"/>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2F3C"/>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720"/>
    <w:rsid w:val="00CD78A5"/>
    <w:rsid w:val="00CE02E8"/>
    <w:rsid w:val="00CE069E"/>
    <w:rsid w:val="00CE0DE0"/>
    <w:rsid w:val="00CE2B1F"/>
    <w:rsid w:val="00CE2CC2"/>
    <w:rsid w:val="00CE3722"/>
    <w:rsid w:val="00CE745E"/>
    <w:rsid w:val="00CF0280"/>
    <w:rsid w:val="00CF158D"/>
    <w:rsid w:val="00CF1967"/>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11"/>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4B64"/>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32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B4A"/>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88C"/>
    <w:rsid w:val="00E809C3"/>
    <w:rsid w:val="00E814D4"/>
    <w:rsid w:val="00E81A1A"/>
    <w:rsid w:val="00E81C3E"/>
    <w:rsid w:val="00E82359"/>
    <w:rsid w:val="00E82B6D"/>
    <w:rsid w:val="00E83187"/>
    <w:rsid w:val="00E831E9"/>
    <w:rsid w:val="00E84DDA"/>
    <w:rsid w:val="00E8608F"/>
    <w:rsid w:val="00E86B7A"/>
    <w:rsid w:val="00E86C1D"/>
    <w:rsid w:val="00E90703"/>
    <w:rsid w:val="00E90A62"/>
    <w:rsid w:val="00E9265E"/>
    <w:rsid w:val="00E956DB"/>
    <w:rsid w:val="00E957D7"/>
    <w:rsid w:val="00E962BF"/>
    <w:rsid w:val="00E9763D"/>
    <w:rsid w:val="00EA00A4"/>
    <w:rsid w:val="00EA0EC3"/>
    <w:rsid w:val="00EA1177"/>
    <w:rsid w:val="00EA118B"/>
    <w:rsid w:val="00EA11B6"/>
    <w:rsid w:val="00EA1C15"/>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A8D"/>
    <w:rsid w:val="00F11EBE"/>
    <w:rsid w:val="00F12293"/>
    <w:rsid w:val="00F12BA8"/>
    <w:rsid w:val="00F12D7A"/>
    <w:rsid w:val="00F130D0"/>
    <w:rsid w:val="00F13AC6"/>
    <w:rsid w:val="00F13EA6"/>
    <w:rsid w:val="00F14933"/>
    <w:rsid w:val="00F1516A"/>
    <w:rsid w:val="00F15EE5"/>
    <w:rsid w:val="00F171F9"/>
    <w:rsid w:val="00F1737C"/>
    <w:rsid w:val="00F173AA"/>
    <w:rsid w:val="00F20767"/>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527"/>
    <w:rsid w:val="00F93C74"/>
    <w:rsid w:val="00F93DCC"/>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0E0"/>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6826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2012-05-21T17:58:00Z</cp:lastPrinted>
  <dcterms:created xsi:type="dcterms:W3CDTF">2012-06-14T14:51:00Z</dcterms:created>
  <dcterms:modified xsi:type="dcterms:W3CDTF">2012-06-14T14:51:00Z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