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BB5573">
        <w:rPr>
          <w:caps/>
          <w:color w:val="000000" w:themeColor="text1"/>
        </w:rPr>
        <w:t xml:space="preserve"> </w:t>
      </w:r>
      <w:r w:rsidR="00245AF6">
        <w:rPr>
          <w:caps/>
          <w:color w:val="000000" w:themeColor="text1"/>
        </w:rPr>
        <w:t xml:space="preserve">                </w:t>
      </w:r>
      <w:r w:rsidR="006E6D6E">
        <w:rPr>
          <w:caps/>
          <w:color w:val="000000" w:themeColor="text1"/>
        </w:rPr>
        <w:tab/>
      </w:r>
      <w:r w:rsidR="006E6D6E">
        <w:rPr>
          <w:caps/>
          <w:color w:val="000000" w:themeColor="text1"/>
        </w:rPr>
        <w:tab/>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245AF6">
        <w:rPr>
          <w:caps/>
          <w:color w:val="000000" w:themeColor="text1"/>
        </w:rPr>
        <w:t>NAVY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023D69">
        <w:rPr>
          <w:caps/>
          <w:color w:val="000000" w:themeColor="text1"/>
        </w:rPr>
        <w:t>00</w:t>
      </w:r>
      <w:r w:rsidR="00782211">
        <w:rPr>
          <w:caps/>
          <w:color w:val="000000" w:themeColor="text1"/>
        </w:rPr>
        <w:t>631</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2A5E31">
        <w:rPr>
          <w:color w:val="000000" w:themeColor="text1"/>
        </w:rPr>
        <w:t xml:space="preserve"> </w:t>
      </w:r>
      <w:r w:rsidR="00DE3AAD" w:rsidRPr="001F29F9">
        <w:rPr>
          <w:color w:val="000000" w:themeColor="text1"/>
        </w:rPr>
        <w:t>SEPARATION DATE:  200</w:t>
      </w:r>
      <w:r w:rsidR="006E6D6E">
        <w:rPr>
          <w:color w:val="000000" w:themeColor="text1"/>
        </w:rPr>
        <w:t>60106</w:t>
      </w:r>
    </w:p>
    <w:p w:rsidR="003C53E8" w:rsidRDefault="00E91EB5" w:rsidP="00514853">
      <w:pPr>
        <w:tabs>
          <w:tab w:val="left" w:pos="288"/>
          <w:tab w:val="left" w:pos="5130"/>
        </w:tabs>
        <w:jc w:val="both"/>
        <w:rPr>
          <w:color w:val="000000" w:themeColor="text1"/>
        </w:rPr>
      </w:pPr>
      <w:r>
        <w:rPr>
          <w:caps/>
          <w:color w:val="000000" w:themeColor="text1"/>
        </w:rPr>
        <w:t>BOARD DATE:  2012</w:t>
      </w:r>
      <w:r w:rsidR="00514853">
        <w:rPr>
          <w:caps/>
          <w:color w:val="000000" w:themeColor="text1"/>
        </w:rPr>
        <w:t>0808</w:t>
      </w:r>
    </w:p>
    <w:p w:rsidR="00514853" w:rsidRDefault="00514853" w:rsidP="003C53E8">
      <w:pPr>
        <w:pBdr>
          <w:bottom w:val="single" w:sz="12" w:space="1" w:color="auto"/>
        </w:pBdr>
        <w:tabs>
          <w:tab w:val="left" w:pos="288"/>
          <w:tab w:val="left" w:pos="4752"/>
        </w:tabs>
        <w:jc w:val="both"/>
        <w:rPr>
          <w:color w:val="000000" w:themeColor="text1"/>
        </w:rPr>
      </w:pPr>
    </w:p>
    <w:p w:rsidR="00F34673" w:rsidRPr="001F29F9" w:rsidRDefault="00F34673" w:rsidP="00F571C3">
      <w:pPr>
        <w:tabs>
          <w:tab w:val="left" w:pos="288"/>
          <w:tab w:val="left" w:pos="4752"/>
        </w:tabs>
        <w:jc w:val="both"/>
        <w:rPr>
          <w:color w:val="000000" w:themeColor="text1"/>
        </w:rPr>
      </w:pPr>
    </w:p>
    <w:p w:rsidR="00DE5E21" w:rsidRPr="001F29F9" w:rsidRDefault="00FB0E80" w:rsidP="00DE5E21">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w:t>
      </w:r>
      <w:r w:rsidR="00245AF6">
        <w:rPr>
          <w:color w:val="000000" w:themeColor="text1"/>
          <w:szCs w:val="24"/>
        </w:rPr>
        <w:t xml:space="preserve"> duty </w:t>
      </w:r>
      <w:r w:rsidR="00CA0E61">
        <w:rPr>
          <w:color w:val="000000" w:themeColor="text1"/>
          <w:szCs w:val="24"/>
        </w:rPr>
        <w:t>MM1</w:t>
      </w:r>
      <w:r w:rsidR="00661BA2" w:rsidRPr="001F29F9">
        <w:rPr>
          <w:color w:val="000000" w:themeColor="text1"/>
          <w:szCs w:val="24"/>
        </w:rPr>
        <w:t>/E-</w:t>
      </w:r>
      <w:r w:rsidR="006E6D6E">
        <w:rPr>
          <w:color w:val="000000" w:themeColor="text1"/>
          <w:szCs w:val="24"/>
        </w:rPr>
        <w:t>6</w:t>
      </w:r>
      <w:r w:rsidR="00705C40" w:rsidRPr="001F29F9">
        <w:rPr>
          <w:color w:val="000000" w:themeColor="text1"/>
          <w:szCs w:val="24"/>
        </w:rPr>
        <w:t xml:space="preserve"> (</w:t>
      </w:r>
      <w:r w:rsidR="0033010A" w:rsidRPr="0033010A">
        <w:rPr>
          <w:color w:val="000000" w:themeColor="text1"/>
          <w:szCs w:val="24"/>
        </w:rPr>
        <w:t>3359, Nuclear Machinist’s Mate</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CA0E61">
        <w:rPr>
          <w:color w:val="000000" w:themeColor="text1"/>
          <w:szCs w:val="24"/>
        </w:rPr>
        <w:t xml:space="preserve">lumbar degenerative disc disease (DDD), status post (s/p) revision and symptomatic osteochondral defects, bilateral talar domes.  </w:t>
      </w:r>
      <w:r w:rsidR="005868EB" w:rsidRPr="0033010A">
        <w:rPr>
          <w:color w:val="000000" w:themeColor="text1"/>
          <w:szCs w:val="24"/>
        </w:rPr>
        <w:t xml:space="preserve">He did not respond adequately to treatment and was unable to perform within his Rating or meet physical fitness standards.  He </w:t>
      </w:r>
      <w:r w:rsidR="00E6786A">
        <w:rPr>
          <w:color w:val="000000" w:themeColor="text1"/>
          <w:szCs w:val="24"/>
        </w:rPr>
        <w:t xml:space="preserve">met an </w:t>
      </w:r>
      <w:r w:rsidR="00E7632A">
        <w:rPr>
          <w:color w:val="000000" w:themeColor="text1"/>
          <w:szCs w:val="24"/>
        </w:rPr>
        <w:t>a</w:t>
      </w:r>
      <w:r w:rsidR="00E6786A">
        <w:rPr>
          <w:color w:val="000000" w:themeColor="text1"/>
          <w:szCs w:val="24"/>
        </w:rPr>
        <w:t xml:space="preserve">bbreviated </w:t>
      </w:r>
      <w:r w:rsidR="00E6786A" w:rsidRPr="0033010A">
        <w:rPr>
          <w:color w:val="000000" w:themeColor="text1"/>
          <w:szCs w:val="24"/>
        </w:rPr>
        <w:t>Medical Evaluation Board (MEB)</w:t>
      </w:r>
      <w:r w:rsidR="00E6786A">
        <w:rPr>
          <w:color w:val="000000" w:themeColor="text1"/>
          <w:szCs w:val="24"/>
        </w:rPr>
        <w:t xml:space="preserve"> </w:t>
      </w:r>
      <w:r w:rsidR="00C522A6">
        <w:rPr>
          <w:color w:val="000000" w:themeColor="text1"/>
          <w:szCs w:val="24"/>
        </w:rPr>
        <w:t xml:space="preserve">on 31 July 2003 </w:t>
      </w:r>
      <w:r w:rsidR="00E6786A">
        <w:rPr>
          <w:color w:val="000000" w:themeColor="text1"/>
          <w:szCs w:val="24"/>
        </w:rPr>
        <w:t xml:space="preserve">and </w:t>
      </w:r>
      <w:r w:rsidR="005868EB" w:rsidRPr="0033010A">
        <w:rPr>
          <w:color w:val="000000" w:themeColor="text1"/>
          <w:szCs w:val="24"/>
        </w:rPr>
        <w:t xml:space="preserve">was placed on limited duty </w:t>
      </w:r>
      <w:r w:rsidR="00E91EB5">
        <w:rPr>
          <w:color w:val="000000" w:themeColor="text1"/>
          <w:szCs w:val="24"/>
        </w:rPr>
        <w:t xml:space="preserve">(LIMDU) </w:t>
      </w:r>
      <w:r w:rsidR="00E6786A">
        <w:rPr>
          <w:color w:val="000000" w:themeColor="text1"/>
          <w:szCs w:val="24"/>
        </w:rPr>
        <w:t xml:space="preserve">for </w:t>
      </w:r>
      <w:r w:rsidR="00E7632A">
        <w:rPr>
          <w:color w:val="000000" w:themeColor="text1"/>
          <w:szCs w:val="24"/>
        </w:rPr>
        <w:t>8</w:t>
      </w:r>
      <w:r w:rsidR="00E6786A">
        <w:rPr>
          <w:color w:val="000000" w:themeColor="text1"/>
          <w:szCs w:val="24"/>
        </w:rPr>
        <w:t xml:space="preserve"> months.  A second </w:t>
      </w:r>
      <w:r w:rsidR="00E7632A">
        <w:rPr>
          <w:color w:val="000000" w:themeColor="text1"/>
          <w:szCs w:val="24"/>
        </w:rPr>
        <w:t>8</w:t>
      </w:r>
      <w:r w:rsidR="00E6786A">
        <w:rPr>
          <w:color w:val="000000" w:themeColor="text1"/>
          <w:szCs w:val="24"/>
        </w:rPr>
        <w:t xml:space="preserve"> months of LIMDU was recommended</w:t>
      </w:r>
      <w:r w:rsidR="00F25019">
        <w:rPr>
          <w:color w:val="000000" w:themeColor="text1"/>
          <w:szCs w:val="24"/>
        </w:rPr>
        <w:t xml:space="preserve"> on </w:t>
      </w:r>
      <w:r w:rsidR="00E6786A">
        <w:rPr>
          <w:color w:val="000000" w:themeColor="text1"/>
          <w:szCs w:val="24"/>
        </w:rPr>
        <w:t xml:space="preserve">24 February 2004, but not approved.  His case was referred to the </w:t>
      </w:r>
      <w:r w:rsidR="00E7632A">
        <w:rPr>
          <w:color w:val="000000" w:themeColor="text1"/>
          <w:szCs w:val="24"/>
        </w:rPr>
        <w:t>c</w:t>
      </w:r>
      <w:r w:rsidR="00E6786A">
        <w:rPr>
          <w:color w:val="000000" w:themeColor="text1"/>
          <w:szCs w:val="24"/>
        </w:rPr>
        <w:t xml:space="preserve">entral </w:t>
      </w:r>
      <w:r w:rsidR="00E6786A" w:rsidRPr="0033010A">
        <w:rPr>
          <w:color w:val="000000" w:themeColor="text1"/>
          <w:szCs w:val="24"/>
        </w:rPr>
        <w:t>Physical Evaluation Board (PEB</w:t>
      </w:r>
      <w:r w:rsidR="00E6786A">
        <w:rPr>
          <w:color w:val="000000" w:themeColor="text1"/>
          <w:szCs w:val="24"/>
        </w:rPr>
        <w:t>)</w:t>
      </w:r>
      <w:r w:rsidR="00E6786A" w:rsidRPr="0033010A">
        <w:rPr>
          <w:color w:val="000000" w:themeColor="text1"/>
          <w:szCs w:val="24"/>
        </w:rPr>
        <w:t xml:space="preserve"> </w:t>
      </w:r>
      <w:r w:rsidR="00E6786A">
        <w:rPr>
          <w:color w:val="000000" w:themeColor="text1"/>
          <w:szCs w:val="24"/>
        </w:rPr>
        <w:t>on 17 June 2004 with an orthopedic addendum dated 10 November 2004.  The PEB terminated this Board without finding</w:t>
      </w:r>
      <w:r w:rsidR="00C522A6">
        <w:rPr>
          <w:color w:val="000000" w:themeColor="text1"/>
          <w:szCs w:val="24"/>
        </w:rPr>
        <w:t xml:space="preserve"> and returned it for additional information</w:t>
      </w:r>
      <w:r w:rsidR="00E6786A">
        <w:rPr>
          <w:color w:val="000000" w:themeColor="text1"/>
          <w:szCs w:val="24"/>
        </w:rPr>
        <w:t xml:space="preserve">.  The CI </w:t>
      </w:r>
      <w:r w:rsidR="005868EB" w:rsidRPr="0033010A">
        <w:rPr>
          <w:color w:val="000000" w:themeColor="text1"/>
          <w:szCs w:val="24"/>
        </w:rPr>
        <w:t>underwent a</w:t>
      </w:r>
      <w:r w:rsidR="00E6786A">
        <w:rPr>
          <w:color w:val="000000" w:themeColor="text1"/>
          <w:szCs w:val="24"/>
        </w:rPr>
        <w:t xml:space="preserve">nother MEB </w:t>
      </w:r>
      <w:r w:rsidR="00BA72E6">
        <w:rPr>
          <w:color w:val="000000" w:themeColor="text1"/>
          <w:szCs w:val="24"/>
        </w:rPr>
        <w:t xml:space="preserve">on </w:t>
      </w:r>
      <w:r w:rsidR="00E6786A">
        <w:rPr>
          <w:color w:val="000000" w:themeColor="text1"/>
          <w:szCs w:val="24"/>
        </w:rPr>
        <w:t xml:space="preserve">17 March 2005.  </w:t>
      </w:r>
      <w:r w:rsidR="00B47B82" w:rsidRPr="0033010A">
        <w:rPr>
          <w:color w:val="000000" w:themeColor="text1"/>
          <w:szCs w:val="24"/>
        </w:rPr>
        <w:t>“</w:t>
      </w:r>
      <w:r w:rsidR="005868EB" w:rsidRPr="0033010A">
        <w:rPr>
          <w:color w:val="000000" w:themeColor="text1"/>
          <w:szCs w:val="24"/>
        </w:rPr>
        <w:t xml:space="preserve">Degeneration </w:t>
      </w:r>
      <w:r w:rsidR="00827CA8" w:rsidRPr="00045295">
        <w:rPr>
          <w:color w:val="000000" w:themeColor="text1"/>
          <w:szCs w:val="24"/>
        </w:rPr>
        <w:t>of lumbar or</w:t>
      </w:r>
      <w:r w:rsidR="005868EB" w:rsidRPr="00045295">
        <w:rPr>
          <w:color w:val="000000" w:themeColor="text1"/>
          <w:szCs w:val="24"/>
        </w:rPr>
        <w:t xml:space="preserve"> </w:t>
      </w:r>
      <w:r w:rsidR="00214062" w:rsidRPr="00045295">
        <w:rPr>
          <w:color w:val="000000" w:themeColor="text1"/>
          <w:szCs w:val="24"/>
        </w:rPr>
        <w:t>lumbosacral</w:t>
      </w:r>
      <w:r w:rsidR="005868EB" w:rsidRPr="00045295">
        <w:rPr>
          <w:color w:val="000000" w:themeColor="text1"/>
          <w:szCs w:val="24"/>
        </w:rPr>
        <w:t xml:space="preserve"> intervertebral dis</w:t>
      </w:r>
      <w:r w:rsidR="00DE5E21" w:rsidRPr="00045295">
        <w:rPr>
          <w:color w:val="000000" w:themeColor="text1"/>
          <w:szCs w:val="24"/>
        </w:rPr>
        <w:t>c</w:t>
      </w:r>
      <w:r w:rsidR="005868EB" w:rsidRPr="00045295">
        <w:rPr>
          <w:color w:val="000000" w:themeColor="text1"/>
          <w:szCs w:val="24"/>
        </w:rPr>
        <w:t>; acquired musculoskeletal deformity of other specified site; plantar fascial fibromatosis and depressive disorder, not elsewhere classified</w:t>
      </w:r>
      <w:r w:rsidR="00B47B82" w:rsidRPr="00045295">
        <w:rPr>
          <w:color w:val="000000" w:themeColor="text1"/>
          <w:szCs w:val="24"/>
        </w:rPr>
        <w:t>”</w:t>
      </w:r>
      <w:r w:rsidR="005868EB" w:rsidRPr="00045295">
        <w:rPr>
          <w:color w:val="000000" w:themeColor="text1"/>
          <w:szCs w:val="24"/>
        </w:rPr>
        <w:t xml:space="preserve"> were forwarded to</w:t>
      </w:r>
      <w:r w:rsidR="00E6786A" w:rsidRPr="00045295">
        <w:rPr>
          <w:color w:val="000000" w:themeColor="text1"/>
          <w:szCs w:val="24"/>
        </w:rPr>
        <w:t xml:space="preserve"> the </w:t>
      </w:r>
      <w:r w:rsidR="005868EB" w:rsidRPr="00045295">
        <w:rPr>
          <w:color w:val="000000" w:themeColor="text1"/>
          <w:szCs w:val="24"/>
        </w:rPr>
        <w:t>PEB as medically unacceptable IAW SECNAVINST 1850.4E.</w:t>
      </w:r>
      <w:r w:rsidR="00DE5E21" w:rsidRPr="00045295">
        <w:rPr>
          <w:color w:val="000000" w:themeColor="text1"/>
          <w:szCs w:val="24"/>
        </w:rPr>
        <w:t xml:space="preserve">  No other conditions appeared on the MEB’s submission.  The PEB adjudicated the lumbar and ankle conditions as unfitting, </w:t>
      </w:r>
      <w:r w:rsidR="00A76B88" w:rsidRPr="00045295">
        <w:rPr>
          <w:color w:val="000000" w:themeColor="text1"/>
          <w:szCs w:val="24"/>
        </w:rPr>
        <w:t>each rated 10%,</w:t>
      </w:r>
      <w:r w:rsidR="00E91EB5" w:rsidRPr="00045295">
        <w:rPr>
          <w:color w:val="000000" w:themeColor="text1"/>
          <w:szCs w:val="24"/>
        </w:rPr>
        <w:t xml:space="preserve"> </w:t>
      </w:r>
      <w:r w:rsidR="00DE5E21" w:rsidRPr="00045295">
        <w:rPr>
          <w:color w:val="000000" w:themeColor="text1"/>
          <w:szCs w:val="24"/>
        </w:rPr>
        <w:t>with application of the Veterans Administration Schedule for Rating Disabilities (VASRD)</w:t>
      </w:r>
      <w:r w:rsidR="00A76B88" w:rsidRPr="00045295">
        <w:rPr>
          <w:color w:val="000000" w:themeColor="text1"/>
          <w:szCs w:val="24"/>
        </w:rPr>
        <w:t>;</w:t>
      </w:r>
      <w:r w:rsidR="00E91EB5" w:rsidRPr="00045295">
        <w:rPr>
          <w:color w:val="000000" w:themeColor="text1"/>
          <w:szCs w:val="24"/>
        </w:rPr>
        <w:t xml:space="preserve"> </w:t>
      </w:r>
      <w:r w:rsidR="00A76B88" w:rsidRPr="00045295">
        <w:rPr>
          <w:color w:val="000000" w:themeColor="text1"/>
          <w:szCs w:val="24"/>
        </w:rPr>
        <w:t xml:space="preserve">six </w:t>
      </w:r>
      <w:r w:rsidR="00E91EB5" w:rsidRPr="00045295">
        <w:rPr>
          <w:color w:val="000000" w:themeColor="text1"/>
          <w:szCs w:val="24"/>
        </w:rPr>
        <w:t>additional conditions were identified in the chart below and rated as Cat</w:t>
      </w:r>
      <w:r w:rsidR="00E7632A">
        <w:rPr>
          <w:color w:val="000000" w:themeColor="text1"/>
          <w:szCs w:val="24"/>
        </w:rPr>
        <w:t>egory</w:t>
      </w:r>
      <w:r w:rsidR="00E91EB5" w:rsidRPr="00045295">
        <w:rPr>
          <w:color w:val="000000" w:themeColor="text1"/>
          <w:szCs w:val="24"/>
        </w:rPr>
        <w:t xml:space="preserve"> III, (not separately unfitting and do not contribute to the unfitting condition)</w:t>
      </w:r>
      <w:r w:rsidR="00DE5E21" w:rsidRPr="00045295">
        <w:rPr>
          <w:color w:val="000000" w:themeColor="text1"/>
          <w:szCs w:val="24"/>
        </w:rPr>
        <w:t>.</w:t>
      </w:r>
      <w:r w:rsidR="0033010A" w:rsidRPr="00045295">
        <w:rPr>
          <w:color w:val="000000" w:themeColor="text1"/>
          <w:szCs w:val="24"/>
        </w:rPr>
        <w:t xml:space="preserve"> </w:t>
      </w:r>
      <w:r w:rsidR="002E743D" w:rsidRPr="00045295">
        <w:rPr>
          <w:color w:val="000000" w:themeColor="text1"/>
          <w:szCs w:val="24"/>
        </w:rPr>
        <w:t xml:space="preserve"> </w:t>
      </w:r>
      <w:r w:rsidR="00DE5E21" w:rsidRPr="00045295">
        <w:rPr>
          <w:color w:val="000000" w:themeColor="text1"/>
        </w:rPr>
        <w:t xml:space="preserve">The CI appealed to </w:t>
      </w:r>
      <w:r w:rsidR="00E6786A" w:rsidRPr="00045295">
        <w:rPr>
          <w:color w:val="000000" w:themeColor="text1"/>
        </w:rPr>
        <w:t xml:space="preserve">a </w:t>
      </w:r>
      <w:r w:rsidR="00DE5E21" w:rsidRPr="00045295">
        <w:rPr>
          <w:color w:val="000000" w:themeColor="text1"/>
        </w:rPr>
        <w:t>F</w:t>
      </w:r>
      <w:r w:rsidR="00E6786A" w:rsidRPr="00045295">
        <w:rPr>
          <w:color w:val="000000" w:themeColor="text1"/>
        </w:rPr>
        <w:t xml:space="preserve">ormal </w:t>
      </w:r>
      <w:r w:rsidR="00DE5E21" w:rsidRPr="00045295">
        <w:rPr>
          <w:color w:val="000000" w:themeColor="text1"/>
        </w:rPr>
        <w:t>PEB</w:t>
      </w:r>
      <w:r w:rsidR="0033010A" w:rsidRPr="00045295">
        <w:rPr>
          <w:color w:val="000000" w:themeColor="text1"/>
        </w:rPr>
        <w:t xml:space="preserve"> </w:t>
      </w:r>
      <w:r w:rsidR="00E6786A" w:rsidRPr="00045295">
        <w:rPr>
          <w:color w:val="000000" w:themeColor="text1"/>
        </w:rPr>
        <w:t xml:space="preserve">(FPEB) </w:t>
      </w:r>
      <w:r w:rsidR="0033010A" w:rsidRPr="00045295">
        <w:rPr>
          <w:color w:val="000000" w:themeColor="text1"/>
        </w:rPr>
        <w:t xml:space="preserve">which added overweight as a </w:t>
      </w:r>
      <w:r w:rsidR="00E7632A">
        <w:rPr>
          <w:color w:val="000000" w:themeColor="text1"/>
        </w:rPr>
        <w:t>C</w:t>
      </w:r>
      <w:r w:rsidR="0033010A" w:rsidRPr="00045295">
        <w:rPr>
          <w:color w:val="000000" w:themeColor="text1"/>
        </w:rPr>
        <w:t>ategory IV condition (do</w:t>
      </w:r>
      <w:r w:rsidR="00214062" w:rsidRPr="00045295">
        <w:rPr>
          <w:color w:val="000000" w:themeColor="text1"/>
        </w:rPr>
        <w:t>es</w:t>
      </w:r>
      <w:r w:rsidR="0033010A" w:rsidRPr="00045295">
        <w:rPr>
          <w:color w:val="000000" w:themeColor="text1"/>
        </w:rPr>
        <w:t xml:space="preserve"> not constitute a physical disability)</w:t>
      </w:r>
      <w:r w:rsidR="00E91EB5" w:rsidRPr="00045295">
        <w:rPr>
          <w:color w:val="000000" w:themeColor="text1"/>
        </w:rPr>
        <w:t xml:space="preserve">, but otherwise </w:t>
      </w:r>
      <w:r w:rsidR="00E6786A" w:rsidRPr="00045295">
        <w:rPr>
          <w:color w:val="000000" w:themeColor="text1"/>
        </w:rPr>
        <w:t>upheld the decision</w:t>
      </w:r>
      <w:r w:rsidR="00E91EB5" w:rsidRPr="00045295">
        <w:rPr>
          <w:color w:val="000000" w:themeColor="text1"/>
        </w:rPr>
        <w:t>.  The CI</w:t>
      </w:r>
      <w:r w:rsidR="00DE5E21" w:rsidRPr="00045295">
        <w:rPr>
          <w:color w:val="000000" w:themeColor="text1"/>
        </w:rPr>
        <w:t xml:space="preserve"> </w:t>
      </w:r>
      <w:r w:rsidR="00A76B88" w:rsidRPr="00045295">
        <w:rPr>
          <w:color w:val="000000" w:themeColor="text1"/>
        </w:rPr>
        <w:t xml:space="preserve">made no further appeals and </w:t>
      </w:r>
      <w:r w:rsidR="00DE5E21" w:rsidRPr="00045295">
        <w:rPr>
          <w:color w:val="000000" w:themeColor="text1"/>
        </w:rPr>
        <w:t xml:space="preserve">was then medically separated with a </w:t>
      </w:r>
      <w:r w:rsidR="0033010A" w:rsidRPr="00045295">
        <w:rPr>
          <w:color w:val="000000" w:themeColor="text1"/>
        </w:rPr>
        <w:t>20</w:t>
      </w:r>
      <w:r w:rsidR="00DE5E21" w:rsidRPr="00045295">
        <w:rPr>
          <w:color w:val="000000" w:themeColor="text1"/>
        </w:rPr>
        <w:t>% combined disability rating.</w:t>
      </w:r>
    </w:p>
    <w:p w:rsidR="006E6D6E" w:rsidRPr="006E6D6E" w:rsidRDefault="006E6D6E" w:rsidP="00BF0E94">
      <w:pPr>
        <w:pBdr>
          <w:bottom w:val="single" w:sz="12" w:space="1" w:color="auto"/>
        </w:pBdr>
        <w:tabs>
          <w:tab w:val="left" w:pos="288"/>
          <w:tab w:val="left" w:pos="4752"/>
        </w:tabs>
        <w:jc w:val="both"/>
        <w:rPr>
          <w:b/>
          <w:color w:val="000000" w:themeColor="text1"/>
        </w:rPr>
      </w:pPr>
    </w:p>
    <w:p w:rsidR="007A3A87" w:rsidRDefault="007A3A87" w:rsidP="00245AF6">
      <w:pPr>
        <w:tabs>
          <w:tab w:val="left" w:pos="288"/>
          <w:tab w:val="left" w:pos="4752"/>
        </w:tabs>
        <w:jc w:val="both"/>
        <w:rPr>
          <w:color w:val="000000" w:themeColor="text1"/>
          <w:u w:val="single"/>
        </w:rPr>
      </w:pPr>
    </w:p>
    <w:p w:rsidR="00ED5284" w:rsidRPr="006E6D6E" w:rsidRDefault="002C6E5B" w:rsidP="00245AF6">
      <w:pPr>
        <w:tabs>
          <w:tab w:val="left" w:pos="288"/>
          <w:tab w:val="left" w:pos="4752"/>
        </w:tabs>
        <w:jc w:val="both"/>
        <w:rPr>
          <w:color w:val="auto"/>
        </w:rPr>
      </w:pPr>
      <w:r w:rsidRPr="001F29F9">
        <w:rPr>
          <w:color w:val="000000" w:themeColor="text1"/>
          <w:u w:val="single"/>
        </w:rPr>
        <w:t xml:space="preserve">CI </w:t>
      </w:r>
      <w:r w:rsidRPr="00E91EB5">
        <w:rPr>
          <w:color w:val="auto"/>
          <w:u w:val="single"/>
        </w:rPr>
        <w:t>CONTENTION</w:t>
      </w:r>
      <w:r w:rsidRPr="00E91EB5">
        <w:rPr>
          <w:color w:val="auto"/>
        </w:rPr>
        <w:t>:</w:t>
      </w:r>
      <w:r w:rsidR="00023D69" w:rsidRPr="00E91EB5">
        <w:rPr>
          <w:color w:val="auto"/>
        </w:rPr>
        <w:t xml:space="preserve"> </w:t>
      </w:r>
      <w:r w:rsidR="006E6D6E" w:rsidRPr="00E91EB5">
        <w:rPr>
          <w:color w:val="auto"/>
        </w:rPr>
        <w:t xml:space="preserve"> </w:t>
      </w:r>
      <w:r w:rsidR="00E91EB5" w:rsidRPr="00E91EB5">
        <w:rPr>
          <w:color w:val="auto"/>
        </w:rPr>
        <w:t>The</w:t>
      </w:r>
      <w:r w:rsidR="00E91EB5">
        <w:rPr>
          <w:color w:val="auto"/>
        </w:rPr>
        <w:t xml:space="preserve"> CI elaborated</w:t>
      </w:r>
      <w:r w:rsidR="006E6D6E" w:rsidRPr="006E6D6E">
        <w:rPr>
          <w:color w:val="auto"/>
        </w:rPr>
        <w:t xml:space="preserve"> no specific contentions </w:t>
      </w:r>
      <w:r w:rsidR="00E91EB5">
        <w:rPr>
          <w:color w:val="auto"/>
        </w:rPr>
        <w:t>in his application</w:t>
      </w:r>
      <w:r w:rsidR="006E6D6E" w:rsidRPr="006E6D6E">
        <w:rPr>
          <w:color w:val="auto"/>
        </w:rPr>
        <w:t>.</w:t>
      </w:r>
    </w:p>
    <w:p w:rsidR="00023D69" w:rsidRPr="001F29F9" w:rsidRDefault="00023D69"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58407C" w:rsidRDefault="00E91EB5" w:rsidP="0058407C">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BA72E6">
        <w:rPr>
          <w:color w:val="auto"/>
        </w:rPr>
        <w:t>.</w:t>
      </w:r>
      <w:r w:rsidRPr="00C566C9">
        <w:rPr>
          <w:color w:val="auto"/>
        </w:rPr>
        <w:t>”</w:t>
      </w:r>
      <w:r>
        <w:rPr>
          <w:color w:val="auto"/>
        </w:rPr>
        <w:t xml:space="preserve">  </w:t>
      </w:r>
      <w:r w:rsidRPr="009239C0">
        <w:rPr>
          <w:color w:val="auto"/>
        </w:rPr>
        <w:t>The ratings for unfitting conditions will be reviewed in all cases.</w:t>
      </w:r>
      <w:r w:rsidR="0058407C">
        <w:rPr>
          <w:color w:val="auto"/>
        </w:rPr>
        <w:t xml:space="preserve"> </w:t>
      </w:r>
      <w:r w:rsidRPr="009239C0">
        <w:rPr>
          <w:color w:val="auto"/>
        </w:rPr>
        <w:t xml:space="preserve"> </w:t>
      </w:r>
      <w:r w:rsidRPr="0058407C">
        <w:rPr>
          <w:color w:val="auto"/>
        </w:rPr>
        <w:t>Any conditions or contention not requested in this application, or otherwise outside the Board’s defined scope of review, remain eligible for future consideration by the Board for Correction of Naval Records (BCNR).</w:t>
      </w:r>
    </w:p>
    <w:p w:rsidR="0058407C" w:rsidRPr="0058407C" w:rsidRDefault="0058407C" w:rsidP="0058407C">
      <w:pPr>
        <w:jc w:val="both"/>
        <w:rPr>
          <w:b/>
          <w:color w:val="000000" w:themeColor="text1"/>
          <w:u w:val="single"/>
        </w:rPr>
      </w:pPr>
      <w:r>
        <w:rPr>
          <w:b/>
          <w:color w:val="auto"/>
          <w:u w:val="single"/>
        </w:rPr>
        <w:t>______________________________________________________________________________</w:t>
      </w:r>
    </w:p>
    <w:p w:rsidR="00301458" w:rsidRDefault="00301458"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C250D0" w:rsidRDefault="00C250D0"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5485E" w:rsidRPr="001F29F9" w:rsidRDefault="0025485E" w:rsidP="0025485E">
      <w:pPr>
        <w:rPr>
          <w:color w:val="000000" w:themeColor="text1"/>
        </w:rPr>
      </w:pPr>
    </w:p>
    <w:tbl>
      <w:tblPr>
        <w:tblStyle w:val="TableGrid"/>
        <w:tblpPr w:leftFromText="187" w:rightFromText="187" w:vertAnchor="text" w:tblpXSpec="center" w:tblpY="1"/>
        <w:tblOverlap w:val="never"/>
        <w:tblW w:w="9378" w:type="dxa"/>
        <w:tblLayout w:type="fixed"/>
        <w:tblLook w:val="04A0" w:firstRow="1" w:lastRow="0" w:firstColumn="1" w:lastColumn="0" w:noHBand="0" w:noVBand="1"/>
      </w:tblPr>
      <w:tblGrid>
        <w:gridCol w:w="2718"/>
        <w:gridCol w:w="720"/>
        <w:gridCol w:w="720"/>
        <w:gridCol w:w="2322"/>
        <w:gridCol w:w="1080"/>
        <w:gridCol w:w="828"/>
        <w:gridCol w:w="990"/>
      </w:tblGrid>
      <w:tr w:rsidR="0025485E" w:rsidRPr="001F29F9" w:rsidTr="00771C29">
        <w:trPr>
          <w:trHeight w:val="233"/>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904EB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CA0E61">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sidR="00CA0E61">
              <w:rPr>
                <w:rFonts w:ascii="Calibri" w:hAnsi="Calibri" w:cs="Calibri"/>
                <w:b/>
                <w:color w:val="000000" w:themeColor="text1"/>
                <w:sz w:val="18"/>
                <w:szCs w:val="18"/>
              </w:rPr>
              <w:t>509</w:t>
            </w:r>
            <w:r w:rsidR="00904EB4">
              <w:rPr>
                <w:rFonts w:ascii="Calibri" w:hAnsi="Calibri" w:cs="Calibri"/>
                <w:b/>
                <w:color w:val="000000" w:themeColor="text1"/>
                <w:sz w:val="18"/>
                <w:szCs w:val="18"/>
              </w:rPr>
              <w:t>22</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D353C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D353CF">
              <w:rPr>
                <w:rFonts w:ascii="Calibri" w:hAnsi="Calibri" w:cs="Calibri"/>
                <w:b/>
                <w:color w:val="000000" w:themeColor="text1"/>
                <w:sz w:val="18"/>
                <w:szCs w:val="18"/>
              </w:rPr>
              <w:t>3</w:t>
            </w:r>
            <w:r w:rsidRPr="001F29F9">
              <w:rPr>
                <w:rFonts w:ascii="Calibri" w:hAnsi="Calibri" w:cs="Calibri"/>
                <w:b/>
                <w:color w:val="000000" w:themeColor="text1"/>
                <w:sz w:val="18"/>
                <w:szCs w:val="18"/>
              </w:rPr>
              <w:t xml:space="preserve"> Mo</w:t>
            </w:r>
            <w:r w:rsidR="00D353CF">
              <w:rPr>
                <w:rFonts w:ascii="Calibri" w:hAnsi="Calibri" w:cs="Calibri"/>
                <w:b/>
                <w:color w:val="000000" w:themeColor="text1"/>
                <w:sz w:val="18"/>
                <w:szCs w:val="18"/>
              </w:rPr>
              <w:t>s</w:t>
            </w:r>
            <w:r w:rsidRPr="001F29F9">
              <w:rPr>
                <w:rFonts w:ascii="Calibri" w:hAnsi="Calibri" w:cs="Calibri"/>
                <w:b/>
                <w:color w:val="000000" w:themeColor="text1"/>
                <w:sz w:val="18"/>
                <w:szCs w:val="18"/>
              </w:rPr>
              <w:t xml:space="preserve">. </w:t>
            </w:r>
            <w:r w:rsidRPr="00D353CF">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591EEF" w:rsidRPr="00591EEF">
              <w:rPr>
                <w:rFonts w:ascii="Calibri" w:hAnsi="Calibri" w:cs="Calibri"/>
                <w:b/>
                <w:color w:val="000000" w:themeColor="text1"/>
                <w:sz w:val="18"/>
                <w:szCs w:val="18"/>
              </w:rPr>
              <w:t>2006010</w:t>
            </w:r>
            <w:r w:rsidR="00591EEF">
              <w:rPr>
                <w:rFonts w:ascii="Calibri" w:hAnsi="Calibri" w:cs="Calibri"/>
                <w:b/>
                <w:color w:val="000000" w:themeColor="text1"/>
                <w:sz w:val="18"/>
                <w:szCs w:val="18"/>
              </w:rPr>
              <w:t>7</w:t>
            </w:r>
          </w:p>
        </w:tc>
      </w:tr>
      <w:tr w:rsidR="0025485E" w:rsidRPr="001F29F9" w:rsidTr="00BF622A">
        <w:trPr>
          <w:trHeight w:val="278"/>
        </w:trPr>
        <w:tc>
          <w:tcPr>
            <w:tcW w:w="2718" w:type="dxa"/>
            <w:tcBorders>
              <w:bottom w:val="single" w:sz="4" w:space="0" w:color="000000" w:themeColor="text1"/>
              <w:right w:val="single" w:sz="4" w:space="0" w:color="auto"/>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771C2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25485E" w:rsidRPr="001F29F9" w:rsidTr="00BF622A">
        <w:trPr>
          <w:trHeight w:val="287"/>
        </w:trPr>
        <w:tc>
          <w:tcPr>
            <w:tcW w:w="2718" w:type="dxa"/>
            <w:tcBorders>
              <w:right w:val="single" w:sz="4" w:space="0" w:color="auto"/>
            </w:tcBorders>
            <w:shd w:val="clear" w:color="auto" w:fill="FFFFFF" w:themeFill="background1"/>
            <w:vAlign w:val="center"/>
          </w:tcPr>
          <w:p w:rsidR="0025485E" w:rsidRPr="001F29F9" w:rsidRDefault="00CA0E61" w:rsidP="00771C2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Lumbar DDD, S/P Revision</w:t>
            </w:r>
          </w:p>
        </w:tc>
        <w:tc>
          <w:tcPr>
            <w:tcW w:w="720" w:type="dxa"/>
            <w:tcBorders>
              <w:left w:val="single" w:sz="4" w:space="0" w:color="auto"/>
            </w:tcBorders>
            <w:shd w:val="clear" w:color="auto" w:fill="FFFFFF" w:themeFill="background1"/>
            <w:vAlign w:val="center"/>
          </w:tcPr>
          <w:p w:rsidR="0025485E" w:rsidRPr="001F29F9" w:rsidRDefault="00CA0E61"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5242</w:t>
            </w:r>
          </w:p>
        </w:tc>
        <w:tc>
          <w:tcPr>
            <w:tcW w:w="720" w:type="dxa"/>
            <w:tcBorders>
              <w:right w:val="thinThickThinSmallGap" w:sz="24" w:space="0" w:color="auto"/>
            </w:tcBorders>
            <w:shd w:val="clear" w:color="auto" w:fill="FFFFFF" w:themeFill="background1"/>
            <w:vAlign w:val="center"/>
          </w:tcPr>
          <w:p w:rsidR="0025485E" w:rsidRPr="001F29F9" w:rsidRDefault="00CA0E61" w:rsidP="00771C29">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25485E" w:rsidRPr="001F29F9" w:rsidRDefault="00591EEF" w:rsidP="00771C29">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DDD L5-S1</w:t>
            </w:r>
          </w:p>
        </w:tc>
        <w:tc>
          <w:tcPr>
            <w:tcW w:w="1080" w:type="dxa"/>
            <w:shd w:val="clear" w:color="auto" w:fill="FFFFFF" w:themeFill="background1"/>
            <w:vAlign w:val="center"/>
          </w:tcPr>
          <w:p w:rsidR="0025485E" w:rsidRPr="001F29F9" w:rsidRDefault="00591EEF"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5242</w:t>
            </w:r>
          </w:p>
        </w:tc>
        <w:tc>
          <w:tcPr>
            <w:tcW w:w="828" w:type="dxa"/>
            <w:shd w:val="clear" w:color="auto" w:fill="FFFFFF" w:themeFill="background1"/>
            <w:vAlign w:val="center"/>
          </w:tcPr>
          <w:p w:rsidR="0025485E" w:rsidRPr="001F29F9" w:rsidRDefault="00591EEF"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25485E" w:rsidRPr="001F29F9" w:rsidRDefault="00D353CF"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20060428</w:t>
            </w:r>
          </w:p>
        </w:tc>
      </w:tr>
      <w:tr w:rsidR="0025485E" w:rsidRPr="001F29F9" w:rsidTr="00BF622A">
        <w:trPr>
          <w:trHeight w:val="287"/>
        </w:trPr>
        <w:tc>
          <w:tcPr>
            <w:tcW w:w="2718" w:type="dxa"/>
            <w:tcBorders>
              <w:right w:val="single" w:sz="4" w:space="0" w:color="auto"/>
            </w:tcBorders>
            <w:shd w:val="clear" w:color="auto" w:fill="FFFFFF" w:themeFill="background1"/>
            <w:vAlign w:val="center"/>
          </w:tcPr>
          <w:p w:rsidR="0025485E" w:rsidRPr="001F29F9" w:rsidRDefault="00CA0E61" w:rsidP="00BF622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Symptomatic</w:t>
            </w:r>
            <w:r w:rsidR="00BF622A">
              <w:rPr>
                <w:rFonts w:ascii="Calibri" w:eastAsia="Times New Roman" w:hAnsi="Calibri" w:cs="Calibri"/>
                <w:color w:val="000000" w:themeColor="text1"/>
                <w:sz w:val="18"/>
                <w:szCs w:val="18"/>
              </w:rPr>
              <w:t xml:space="preserve"> Talar </w:t>
            </w:r>
            <w:r w:rsidR="00862C71">
              <w:rPr>
                <w:rFonts w:ascii="Calibri" w:eastAsia="Times New Roman" w:hAnsi="Calibri" w:cs="Calibri"/>
                <w:color w:val="000000" w:themeColor="text1"/>
                <w:sz w:val="18"/>
                <w:szCs w:val="18"/>
              </w:rPr>
              <w:t>D</w:t>
            </w:r>
            <w:r>
              <w:rPr>
                <w:rFonts w:ascii="Calibri" w:eastAsia="Times New Roman" w:hAnsi="Calibri" w:cs="Calibri"/>
                <w:color w:val="000000" w:themeColor="text1"/>
                <w:sz w:val="18"/>
                <w:szCs w:val="18"/>
              </w:rPr>
              <w:t>omes</w:t>
            </w:r>
          </w:p>
        </w:tc>
        <w:tc>
          <w:tcPr>
            <w:tcW w:w="720" w:type="dxa"/>
            <w:tcBorders>
              <w:left w:val="single" w:sz="4" w:space="0" w:color="auto"/>
            </w:tcBorders>
            <w:shd w:val="clear" w:color="auto" w:fill="FFFFFF" w:themeFill="background1"/>
            <w:vAlign w:val="center"/>
          </w:tcPr>
          <w:p w:rsidR="0025485E" w:rsidRPr="001F29F9" w:rsidRDefault="00CA0E61"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w:t>
            </w:r>
          </w:p>
        </w:tc>
        <w:tc>
          <w:tcPr>
            <w:tcW w:w="720" w:type="dxa"/>
            <w:tcBorders>
              <w:right w:val="thinThickThinSmallGap" w:sz="24" w:space="0" w:color="auto"/>
            </w:tcBorders>
            <w:shd w:val="clear" w:color="auto" w:fill="FFFFFF" w:themeFill="background1"/>
            <w:vAlign w:val="center"/>
          </w:tcPr>
          <w:p w:rsidR="0025485E" w:rsidRPr="001F29F9" w:rsidRDefault="00CA0E61" w:rsidP="00771C29">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right w:val="single" w:sz="4" w:space="0" w:color="auto"/>
            </w:tcBorders>
            <w:shd w:val="clear" w:color="auto" w:fill="FFFFFF" w:themeFill="background1"/>
            <w:vAlign w:val="center"/>
          </w:tcPr>
          <w:p w:rsidR="0025485E" w:rsidRPr="001F29F9" w:rsidRDefault="00771C29" w:rsidP="00862C71">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Bilateral Talar</w:t>
            </w:r>
            <w:r w:rsidR="00862C71">
              <w:rPr>
                <w:rFonts w:ascii="Calibri" w:eastAsia="Times New Roman" w:hAnsi="Calibri" w:cs="Calibri"/>
                <w:color w:val="000000" w:themeColor="text1"/>
                <w:sz w:val="18"/>
                <w:szCs w:val="18"/>
              </w:rPr>
              <w:t>…</w:t>
            </w:r>
            <w:r>
              <w:rPr>
                <w:rFonts w:ascii="Calibri" w:eastAsia="Times New Roman" w:hAnsi="Calibri" w:cs="Calibri"/>
                <w:color w:val="000000" w:themeColor="text1"/>
                <w:sz w:val="18"/>
                <w:szCs w:val="18"/>
              </w:rPr>
              <w:t>Defect</w:t>
            </w:r>
          </w:p>
        </w:tc>
        <w:tc>
          <w:tcPr>
            <w:tcW w:w="1080" w:type="dxa"/>
            <w:tcBorders>
              <w:left w:val="single" w:sz="4" w:space="0" w:color="auto"/>
            </w:tcBorders>
            <w:shd w:val="clear" w:color="auto" w:fill="FFFFFF" w:themeFill="background1"/>
            <w:vAlign w:val="center"/>
          </w:tcPr>
          <w:p w:rsidR="0025485E" w:rsidRPr="001F29F9" w:rsidRDefault="00771C29"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5003</w:t>
            </w:r>
          </w:p>
        </w:tc>
        <w:tc>
          <w:tcPr>
            <w:tcW w:w="828" w:type="dxa"/>
            <w:shd w:val="clear" w:color="auto" w:fill="FFFFFF" w:themeFill="background1"/>
            <w:vAlign w:val="center"/>
          </w:tcPr>
          <w:p w:rsidR="0025485E" w:rsidRPr="001F29F9" w:rsidRDefault="00771C29"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25485E" w:rsidRPr="001F29F9" w:rsidRDefault="00D353CF" w:rsidP="00771C29">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20060428</w:t>
            </w:r>
          </w:p>
        </w:tc>
      </w:tr>
      <w:tr w:rsidR="00BF622A" w:rsidRPr="001F29F9" w:rsidTr="00BF622A">
        <w:trPr>
          <w:trHeight w:val="287"/>
        </w:trPr>
        <w:tc>
          <w:tcPr>
            <w:tcW w:w="2718" w:type="dxa"/>
            <w:vMerge w:val="restart"/>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Plantar Fasciitis S/P Bilateral Fasciectomies</w:t>
            </w:r>
          </w:p>
        </w:tc>
        <w:tc>
          <w:tcPr>
            <w:tcW w:w="1440" w:type="dxa"/>
            <w:gridSpan w:val="2"/>
            <w:vMerge w:val="restart"/>
            <w:tcBorders>
              <w:left w:val="single" w:sz="4" w:space="0" w:color="auto"/>
              <w:right w:val="thinThickThinSmallGap" w:sz="24" w:space="0" w:color="auto"/>
            </w:tcBorders>
            <w:shd w:val="clear" w:color="auto" w:fill="FFFFFF" w:themeFill="background1"/>
          </w:tcPr>
          <w:p w:rsidR="00BF622A" w:rsidRDefault="00BF622A" w:rsidP="00BF622A">
            <w:pPr>
              <w:rPr>
                <w:rFonts w:ascii="Calibri" w:eastAsia="Times New Roman" w:hAnsi="Calibri" w:cs="Calibri"/>
                <w:color w:val="000000" w:themeColor="text1"/>
                <w:sz w:val="18"/>
                <w:szCs w:val="18"/>
              </w:rPr>
            </w:pPr>
          </w:p>
          <w:p w:rsidR="00BF622A" w:rsidRDefault="00BF622A" w:rsidP="00BF622A">
            <w:pPr>
              <w:rPr>
                <w:rFonts w:ascii="Calibri" w:eastAsia="Times New Roman" w:hAnsi="Calibri" w:cs="Calibri"/>
                <w:color w:val="000000" w:themeColor="text1"/>
                <w:sz w:val="18"/>
                <w:szCs w:val="18"/>
              </w:rPr>
            </w:pPr>
          </w:p>
          <w:p w:rsidR="00BF622A" w:rsidRDefault="00BF622A" w:rsidP="00BF622A">
            <w:pPr>
              <w:rPr>
                <w:rFonts w:ascii="Calibri" w:eastAsia="Times New Roman" w:hAnsi="Calibri" w:cs="Calibri"/>
                <w:color w:val="000000" w:themeColor="text1"/>
                <w:sz w:val="18"/>
                <w:szCs w:val="18"/>
              </w:rPr>
            </w:pPr>
          </w:p>
          <w:p w:rsidR="00BF622A" w:rsidRDefault="00BF622A" w:rsidP="00BF622A">
            <w:pPr>
              <w:rPr>
                <w:rFonts w:ascii="Calibri" w:eastAsia="Times New Roman" w:hAnsi="Calibri" w:cs="Calibri"/>
                <w:color w:val="000000" w:themeColor="text1"/>
                <w:sz w:val="18"/>
                <w:szCs w:val="18"/>
              </w:rPr>
            </w:pPr>
          </w:p>
          <w:p w:rsidR="00BF622A" w:rsidRDefault="00BF622A" w:rsidP="00BF622A">
            <w:r w:rsidRPr="00E25D15">
              <w:rPr>
                <w:rFonts w:ascii="Calibri" w:eastAsia="Times New Roman" w:hAnsi="Calibri" w:cs="Calibri"/>
                <w:color w:val="000000" w:themeColor="text1"/>
                <w:sz w:val="18"/>
                <w:szCs w:val="18"/>
              </w:rPr>
              <w:t>Category III</w:t>
            </w:r>
          </w:p>
        </w:tc>
        <w:tc>
          <w:tcPr>
            <w:tcW w:w="2322" w:type="dxa"/>
            <w:tcBorders>
              <w:left w:val="thinThickThinSmallGap" w:sz="24" w:space="0" w:color="auto"/>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S/P Left Plantar …Spurs</w:t>
            </w:r>
          </w:p>
        </w:tc>
        <w:tc>
          <w:tcPr>
            <w:tcW w:w="1080" w:type="dxa"/>
            <w:tcBorders>
              <w:left w:val="single" w:sz="4" w:space="0" w:color="auto"/>
            </w:tcBorders>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5284</w:t>
            </w:r>
          </w:p>
        </w:tc>
        <w:tc>
          <w:tcPr>
            <w:tcW w:w="828" w:type="dxa"/>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ascii="Calibri" w:eastAsia="Times New Roman" w:hAnsi="Calibri" w:cs="Calibri"/>
                <w:color w:val="000000" w:themeColor="text1"/>
                <w:sz w:val="18"/>
                <w:szCs w:val="18"/>
              </w:rPr>
              <w:t>20060428</w:t>
            </w:r>
          </w:p>
        </w:tc>
      </w:tr>
      <w:tr w:rsidR="00BF622A" w:rsidRPr="001F29F9" w:rsidTr="00BF622A">
        <w:trPr>
          <w:trHeight w:val="287"/>
        </w:trPr>
        <w:tc>
          <w:tcPr>
            <w:tcW w:w="2718" w:type="dxa"/>
            <w:vMerge/>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2322" w:type="dxa"/>
            <w:tcBorders>
              <w:left w:val="thinThickThinSmallGap" w:sz="24" w:space="0" w:color="auto"/>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S/P Right Plantar …Spurs</w:t>
            </w:r>
          </w:p>
        </w:tc>
        <w:tc>
          <w:tcPr>
            <w:tcW w:w="1080" w:type="dxa"/>
            <w:tcBorders>
              <w:left w:val="single" w:sz="4" w:space="0" w:color="auto"/>
            </w:tcBorders>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5284</w:t>
            </w:r>
          </w:p>
        </w:tc>
        <w:tc>
          <w:tcPr>
            <w:tcW w:w="828" w:type="dxa"/>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F622A" w:rsidRDefault="00BF622A" w:rsidP="00BF622A">
            <w:pPr>
              <w:spacing w:line="180" w:lineRule="exact"/>
              <w:contextualSpacing/>
              <w:rPr>
                <w:rFonts w:cs="Calibri"/>
                <w:color w:val="000000" w:themeColor="text1"/>
                <w:sz w:val="18"/>
                <w:szCs w:val="18"/>
              </w:rPr>
            </w:pPr>
            <w:r>
              <w:rPr>
                <w:rFonts w:ascii="Calibri" w:eastAsia="Times New Roman" w:hAnsi="Calibri" w:cs="Calibri"/>
                <w:color w:val="000000" w:themeColor="text1"/>
                <w:sz w:val="18"/>
                <w:szCs w:val="18"/>
              </w:rPr>
              <w:t>20060428</w:t>
            </w:r>
          </w:p>
        </w:tc>
      </w:tr>
      <w:tr w:rsidR="00BF622A" w:rsidRPr="001F29F9" w:rsidTr="00BF622A">
        <w:trPr>
          <w:trHeight w:val="287"/>
        </w:trPr>
        <w:tc>
          <w:tcPr>
            <w:tcW w:w="2718" w:type="dxa"/>
            <w:tcBorders>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Diarrhea…IBS</w:t>
            </w: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Irritable Bowel Syndrome</w:t>
            </w:r>
          </w:p>
        </w:tc>
        <w:tc>
          <w:tcPr>
            <w:tcW w:w="1080"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7319</w:t>
            </w:r>
          </w:p>
        </w:tc>
        <w:tc>
          <w:tcPr>
            <w:tcW w:w="828" w:type="dxa"/>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20060428</w:t>
            </w:r>
          </w:p>
        </w:tc>
      </w:tr>
      <w:tr w:rsidR="00BF622A" w:rsidRPr="001F29F9" w:rsidTr="00BF622A">
        <w:trPr>
          <w:trHeight w:val="287"/>
        </w:trPr>
        <w:tc>
          <w:tcPr>
            <w:tcW w:w="2718" w:type="dxa"/>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GERD</w:t>
            </w: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HH, GERD w Schatzki’s Ring</w:t>
            </w:r>
          </w:p>
        </w:tc>
        <w:tc>
          <w:tcPr>
            <w:tcW w:w="1080"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7399-7346</w:t>
            </w:r>
          </w:p>
        </w:tc>
        <w:tc>
          <w:tcPr>
            <w:tcW w:w="828"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Pr>
                <w:rFonts w:ascii="Calibri" w:eastAsia="Times New Roman" w:hAnsi="Calibri" w:cs="Calibri"/>
                <w:color w:val="000000" w:themeColor="text1"/>
                <w:sz w:val="18"/>
                <w:szCs w:val="18"/>
              </w:rPr>
              <w:t>20060428</w:t>
            </w:r>
          </w:p>
        </w:tc>
      </w:tr>
      <w:tr w:rsidR="00BF622A" w:rsidRPr="00D353CF" w:rsidTr="00BF622A">
        <w:trPr>
          <w:trHeight w:val="287"/>
        </w:trPr>
        <w:tc>
          <w:tcPr>
            <w:tcW w:w="2718" w:type="dxa"/>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Depressive Disorder NOS</w:t>
            </w: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Major Depressive Disorder</w:t>
            </w:r>
          </w:p>
        </w:tc>
        <w:tc>
          <w:tcPr>
            <w:tcW w:w="1080"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9434</w:t>
            </w:r>
          </w:p>
        </w:tc>
        <w:tc>
          <w:tcPr>
            <w:tcW w:w="828"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BF622A" w:rsidRPr="00D353CF" w:rsidRDefault="00BF622A" w:rsidP="00BF622A">
            <w:pPr>
              <w:spacing w:line="180" w:lineRule="exact"/>
              <w:contextualSpacing/>
              <w:rPr>
                <w:rFonts w:cs="Calibri"/>
                <w:color w:val="000000" w:themeColor="text1"/>
                <w:sz w:val="18"/>
                <w:szCs w:val="18"/>
              </w:rPr>
            </w:pPr>
            <w:r w:rsidRPr="00D353CF">
              <w:rPr>
                <w:rFonts w:cs="Calibri"/>
                <w:color w:val="000000" w:themeColor="text1"/>
                <w:sz w:val="18"/>
                <w:szCs w:val="18"/>
              </w:rPr>
              <w:t>20060417</w:t>
            </w:r>
          </w:p>
        </w:tc>
      </w:tr>
      <w:tr w:rsidR="00BF622A" w:rsidRPr="001F29F9" w:rsidTr="00BF622A">
        <w:trPr>
          <w:trHeight w:val="287"/>
        </w:trPr>
        <w:tc>
          <w:tcPr>
            <w:tcW w:w="2718" w:type="dxa"/>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Psychological Factors …</w:t>
            </w: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5220" w:type="dxa"/>
            <w:gridSpan w:val="4"/>
            <w:tcBorders>
              <w:left w:val="thinThickThinSmallGap" w:sz="2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Pr>
                <w:rFonts w:cs="Calibri"/>
                <w:color w:val="000000" w:themeColor="text1"/>
                <w:sz w:val="18"/>
                <w:szCs w:val="18"/>
              </w:rPr>
              <w:t>No VA Entry</w:t>
            </w:r>
          </w:p>
        </w:tc>
      </w:tr>
      <w:tr w:rsidR="00BF622A" w:rsidRPr="001F29F9" w:rsidTr="00BF622A">
        <w:trPr>
          <w:trHeight w:val="287"/>
        </w:trPr>
        <w:tc>
          <w:tcPr>
            <w:tcW w:w="2718" w:type="dxa"/>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 xml:space="preserve">Occult Positive Stool… </w:t>
            </w:r>
          </w:p>
        </w:tc>
        <w:tc>
          <w:tcPr>
            <w:tcW w:w="1440" w:type="dxa"/>
            <w:gridSpan w:val="2"/>
            <w:vMerge/>
            <w:tcBorders>
              <w:left w:val="single" w:sz="4" w:space="0" w:color="auto"/>
              <w:right w:val="thinThickThinSmallGap" w:sz="24" w:space="0" w:color="auto"/>
            </w:tcBorders>
            <w:shd w:val="clear" w:color="auto" w:fill="FFFFFF" w:themeFill="background1"/>
          </w:tcPr>
          <w:p w:rsidR="00BF622A" w:rsidRDefault="00BF622A" w:rsidP="00BF622A"/>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Hemorrhoids</w:t>
            </w:r>
          </w:p>
        </w:tc>
        <w:tc>
          <w:tcPr>
            <w:tcW w:w="1080"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7336</w:t>
            </w:r>
          </w:p>
        </w:tc>
        <w:tc>
          <w:tcPr>
            <w:tcW w:w="828"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Pr>
                <w:rFonts w:ascii="Calibri" w:eastAsia="Times New Roman" w:hAnsi="Calibri" w:cs="Calibri"/>
                <w:color w:val="000000" w:themeColor="text1"/>
                <w:sz w:val="18"/>
                <w:szCs w:val="18"/>
              </w:rPr>
              <w:t>20060428</w:t>
            </w:r>
          </w:p>
        </w:tc>
      </w:tr>
      <w:tr w:rsidR="00BF622A" w:rsidRPr="001F29F9" w:rsidTr="00BF622A">
        <w:trPr>
          <w:trHeight w:val="287"/>
        </w:trPr>
        <w:tc>
          <w:tcPr>
            <w:tcW w:w="2718" w:type="dxa"/>
            <w:tcBorders>
              <w:right w:val="single" w:sz="4" w:space="0" w:color="auto"/>
            </w:tcBorders>
            <w:shd w:val="clear" w:color="auto" w:fill="FFFFFF" w:themeFill="background1"/>
            <w:vAlign w:val="center"/>
          </w:tcPr>
          <w:p w:rsidR="00BF622A" w:rsidRDefault="00BF622A" w:rsidP="00BF622A">
            <w:pPr>
              <w:spacing w:line="180" w:lineRule="exact"/>
              <w:contextualSpacing/>
              <w:jc w:val="left"/>
              <w:rPr>
                <w:rFonts w:cs="Calibri"/>
                <w:color w:val="000000" w:themeColor="text1"/>
                <w:sz w:val="18"/>
                <w:szCs w:val="18"/>
              </w:rPr>
            </w:pPr>
            <w:r>
              <w:rPr>
                <w:rFonts w:cs="Calibri"/>
                <w:color w:val="000000" w:themeColor="text1"/>
                <w:sz w:val="18"/>
                <w:szCs w:val="18"/>
              </w:rPr>
              <w:t>Overweight</w:t>
            </w:r>
          </w:p>
        </w:tc>
        <w:tc>
          <w:tcPr>
            <w:tcW w:w="1440" w:type="dxa"/>
            <w:gridSpan w:val="2"/>
            <w:tcBorders>
              <w:left w:val="single" w:sz="4" w:space="0" w:color="auto"/>
              <w:right w:val="thinThickThinSmallGap" w:sz="2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Pr>
                <w:rFonts w:cs="Calibri"/>
                <w:color w:val="000000" w:themeColor="text1"/>
                <w:sz w:val="18"/>
                <w:szCs w:val="18"/>
              </w:rPr>
              <w:t>Category IV</w:t>
            </w:r>
          </w:p>
        </w:tc>
        <w:tc>
          <w:tcPr>
            <w:tcW w:w="5220" w:type="dxa"/>
            <w:gridSpan w:val="4"/>
            <w:tcBorders>
              <w:left w:val="thinThickThinSmallGap" w:sz="24" w:space="0" w:color="auto"/>
            </w:tcBorders>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Pr>
                <w:rFonts w:cs="Calibri"/>
                <w:color w:val="000000" w:themeColor="text1"/>
                <w:sz w:val="18"/>
                <w:szCs w:val="18"/>
              </w:rPr>
              <w:t>No VA Entry</w:t>
            </w:r>
          </w:p>
        </w:tc>
      </w:tr>
      <w:tr w:rsidR="00BF622A" w:rsidRPr="001F29F9" w:rsidTr="00913B15">
        <w:trPr>
          <w:trHeight w:val="287"/>
        </w:trPr>
        <w:tc>
          <w:tcPr>
            <w:tcW w:w="4158" w:type="dxa"/>
            <w:gridSpan w:val="3"/>
            <w:tcBorders>
              <w:bottom w:val="nil"/>
              <w:right w:val="thinThickThinSmallGap" w:sz="2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Obstructive Sleep Apnea…</w:t>
            </w:r>
          </w:p>
        </w:tc>
        <w:tc>
          <w:tcPr>
            <w:tcW w:w="1080" w:type="dxa"/>
            <w:tcBorders>
              <w:left w:val="single" w:sz="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6847</w:t>
            </w:r>
          </w:p>
        </w:tc>
        <w:tc>
          <w:tcPr>
            <w:tcW w:w="828"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w:t>
            </w:r>
          </w:p>
        </w:tc>
        <w:tc>
          <w:tcPr>
            <w:tcW w:w="990" w:type="dxa"/>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20060428</w:t>
            </w:r>
          </w:p>
        </w:tc>
      </w:tr>
      <w:tr w:rsidR="00BF622A" w:rsidRPr="001F29F9" w:rsidTr="00913B15">
        <w:trPr>
          <w:trHeight w:val="287"/>
        </w:trPr>
        <w:tc>
          <w:tcPr>
            <w:tcW w:w="4158" w:type="dxa"/>
            <w:gridSpan w:val="3"/>
            <w:tcBorders>
              <w:top w:val="nil"/>
              <w:bottom w:val="nil"/>
              <w:right w:val="thinThickThinSmallGap" w:sz="24" w:space="0" w:color="auto"/>
            </w:tcBorders>
            <w:shd w:val="clear" w:color="auto" w:fill="FFFFFF" w:themeFill="background1"/>
            <w:vAlign w:val="center"/>
          </w:tcPr>
          <w:p w:rsidR="00BF622A" w:rsidRPr="001F29F9" w:rsidRDefault="00BA72E6" w:rsidP="00BF622A">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tcBorders>
              <w:left w:val="single" w:sz="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F622A" w:rsidRPr="001F29F9" w:rsidRDefault="00BF622A" w:rsidP="00BF622A">
            <w:pPr>
              <w:spacing w:line="180" w:lineRule="exact"/>
              <w:contextualSpacing/>
              <w:rPr>
                <w:rFonts w:cs="Calibri"/>
                <w:color w:val="000000" w:themeColor="text1"/>
                <w:sz w:val="18"/>
                <w:szCs w:val="18"/>
                <w:highlight w:val="yellow"/>
              </w:rPr>
            </w:pPr>
            <w:r w:rsidRPr="00D353CF">
              <w:rPr>
                <w:rFonts w:cs="Calibri"/>
                <w:color w:val="000000" w:themeColor="text1"/>
                <w:sz w:val="18"/>
                <w:szCs w:val="18"/>
              </w:rPr>
              <w:t>20060426</w:t>
            </w:r>
          </w:p>
        </w:tc>
      </w:tr>
      <w:tr w:rsidR="00BF622A" w:rsidRPr="001F29F9" w:rsidTr="00913B15">
        <w:trPr>
          <w:trHeight w:val="260"/>
        </w:trPr>
        <w:tc>
          <w:tcPr>
            <w:tcW w:w="4158" w:type="dxa"/>
            <w:gridSpan w:val="3"/>
            <w:tcBorders>
              <w:top w:val="nil"/>
              <w:right w:val="thinThickThinSmallGap" w:sz="24" w:space="0" w:color="auto"/>
            </w:tcBorders>
            <w:shd w:val="clear" w:color="auto" w:fill="FFFFFF" w:themeFill="background1"/>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00E7632A">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6</w:t>
            </w:r>
          </w:p>
        </w:tc>
        <w:tc>
          <w:tcPr>
            <w:tcW w:w="990" w:type="dxa"/>
            <w:shd w:val="clear" w:color="auto" w:fill="FFFFFF" w:themeFill="background1"/>
            <w:vAlign w:val="center"/>
          </w:tcPr>
          <w:p w:rsidR="00BF622A" w:rsidRPr="001F29F9" w:rsidRDefault="00BF622A" w:rsidP="00BF622A">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20060428</w:t>
            </w:r>
          </w:p>
        </w:tc>
      </w:tr>
      <w:tr w:rsidR="00BF622A" w:rsidRPr="001F29F9" w:rsidTr="00771C29">
        <w:trPr>
          <w:trHeight w:val="242"/>
        </w:trPr>
        <w:tc>
          <w:tcPr>
            <w:tcW w:w="4158" w:type="dxa"/>
            <w:gridSpan w:val="3"/>
            <w:tcBorders>
              <w:right w:val="thinThickThinSmallGap" w:sz="24" w:space="0" w:color="auto"/>
            </w:tcBorders>
            <w:shd w:val="clear" w:color="auto" w:fill="D9D9D9" w:themeFill="background1" w:themeFillShade="D9"/>
            <w:vAlign w:val="center"/>
          </w:tcPr>
          <w:p w:rsidR="00BF622A" w:rsidRPr="001F29F9" w:rsidRDefault="00BF622A" w:rsidP="00BF622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BF622A" w:rsidRPr="001F29F9" w:rsidRDefault="00BF622A" w:rsidP="00BF622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80</w:t>
            </w:r>
            <w:r w:rsidRPr="001F29F9">
              <w:rPr>
                <w:rFonts w:ascii="Calibri" w:hAnsi="Calibri" w:cs="Calibri"/>
                <w:b/>
                <w:color w:val="000000" w:themeColor="text1"/>
                <w:sz w:val="18"/>
                <w:szCs w:val="18"/>
              </w:rPr>
              <w:t>%</w:t>
            </w:r>
          </w:p>
        </w:tc>
      </w:tr>
    </w:tbl>
    <w:p w:rsidR="006E6D6E" w:rsidRDefault="006E6D6E" w:rsidP="00A97CD9">
      <w:pPr>
        <w:pBdr>
          <w:bottom w:val="single" w:sz="12" w:space="1" w:color="auto"/>
        </w:pBdr>
        <w:tabs>
          <w:tab w:val="left" w:pos="288"/>
          <w:tab w:val="left" w:pos="4752"/>
        </w:tabs>
        <w:jc w:val="both"/>
        <w:rPr>
          <w:color w:val="000000" w:themeColor="text1"/>
          <w:szCs w:val="24"/>
        </w:rPr>
      </w:pPr>
    </w:p>
    <w:p w:rsidR="006E6D6E" w:rsidRDefault="006E6D6E" w:rsidP="006E6D6E">
      <w:pPr>
        <w:rPr>
          <w:b/>
          <w:color w:val="000000" w:themeColor="text1"/>
        </w:rPr>
      </w:pPr>
    </w:p>
    <w:p w:rsidR="000D4E93" w:rsidRDefault="002C6E5B" w:rsidP="00D76D8F">
      <w:pPr>
        <w:tabs>
          <w:tab w:val="left" w:pos="288"/>
          <w:tab w:val="left" w:pos="4752"/>
        </w:tabs>
        <w:jc w:val="both"/>
        <w:rPr>
          <w:rFonts w:cs="Times New Roman"/>
          <w:color w:val="auto"/>
          <w:szCs w:val="24"/>
        </w:rPr>
      </w:pPr>
      <w:r w:rsidRPr="001F29F9">
        <w:rPr>
          <w:color w:val="000000" w:themeColor="text1"/>
          <w:szCs w:val="24"/>
          <w:u w:val="single"/>
        </w:rPr>
        <w:t>ANALYSIS SUMMARY</w:t>
      </w:r>
      <w:r w:rsidRPr="001F29F9">
        <w:rPr>
          <w:color w:val="000000" w:themeColor="text1"/>
          <w:szCs w:val="24"/>
        </w:rPr>
        <w:t>:</w:t>
      </w:r>
      <w:r w:rsidR="00BA72E6">
        <w:rPr>
          <w:color w:val="000000" w:themeColor="text1"/>
          <w:szCs w:val="24"/>
        </w:rPr>
        <w:t xml:space="preserve">  </w:t>
      </w:r>
      <w:r w:rsidR="00705A38" w:rsidRPr="007C3350">
        <w:rPr>
          <w:rFonts w:cs="Times New Roman"/>
          <w:color w:val="auto"/>
          <w:szCs w:val="24"/>
        </w:rPr>
        <w:t xml:space="preserve">The </w:t>
      </w:r>
      <w:r w:rsidR="00E7632A">
        <w:rPr>
          <w:rFonts w:cs="Times New Roman"/>
          <w:color w:val="auto"/>
          <w:szCs w:val="24"/>
        </w:rPr>
        <w:t>Disability Evaluation System (</w:t>
      </w:r>
      <w:r w:rsidR="00705A38" w:rsidRPr="007C3350">
        <w:rPr>
          <w:rFonts w:cs="Times New Roman"/>
          <w:color w:val="auto"/>
          <w:szCs w:val="24"/>
        </w:rPr>
        <w:t xml:space="preserve">DES) is responsible for maintaining a fit and vital fighting force. </w:t>
      </w:r>
      <w:r w:rsidR="00BA72E6">
        <w:rPr>
          <w:rFonts w:cs="Times New Roman"/>
          <w:color w:val="auto"/>
          <w:szCs w:val="24"/>
        </w:rPr>
        <w:t xml:space="preserve"> </w:t>
      </w:r>
      <w:r w:rsidR="00E7632A">
        <w:rPr>
          <w:rFonts w:cs="Times New Roman"/>
          <w:color w:val="auto"/>
          <w:szCs w:val="24"/>
        </w:rPr>
        <w:t xml:space="preserve">While the </w:t>
      </w:r>
      <w:r w:rsidR="00705A38"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E7632A">
        <w:rPr>
          <w:rFonts w:cs="Times New Roman"/>
          <w:color w:val="auto"/>
          <w:szCs w:val="24"/>
        </w:rPr>
        <w:t xml:space="preserve">ime of final disposition.  The </w:t>
      </w:r>
      <w:r w:rsidR="00705A38" w:rsidRPr="007C3350">
        <w:rPr>
          <w:rFonts w:cs="Times New Roman"/>
          <w:color w:val="auto"/>
          <w:szCs w:val="24"/>
        </w:rPr>
        <w:t xml:space="preserve">DES has neither the role nor the authority to compensate service members for anticipated future severity or potential complications of conditions resulting in medical separation nor for conditions determined to be service connected by the </w:t>
      </w:r>
      <w:r w:rsidR="00E7632A" w:rsidRPr="007C3350">
        <w:rPr>
          <w:rFonts w:cs="Times New Roman"/>
          <w:color w:val="auto"/>
          <w:szCs w:val="24"/>
        </w:rPr>
        <w:t xml:space="preserve">Department of Veteran Affairs (DVA), </w:t>
      </w:r>
      <w:r w:rsidR="00705A38" w:rsidRPr="007C3350">
        <w:rPr>
          <w:rFonts w:cs="Times New Roman"/>
          <w:color w:val="auto"/>
          <w:szCs w:val="24"/>
        </w:rPr>
        <w:t>but not determined to be unfitting by the PEB.  However</w:t>
      </w:r>
      <w:r w:rsidR="00705A38">
        <w:rPr>
          <w:rFonts w:cs="Times New Roman"/>
          <w:color w:val="auto"/>
          <w:szCs w:val="24"/>
        </w:rPr>
        <w:t>,</w:t>
      </w:r>
      <w:r w:rsidR="00705A38" w:rsidRPr="007C3350">
        <w:rPr>
          <w:rFonts w:cs="Times New Roman"/>
          <w:color w:val="auto"/>
          <w:szCs w:val="24"/>
        </w:rPr>
        <w:t xml:space="preserve"> the </w:t>
      </w:r>
      <w:r w:rsidR="00E7632A">
        <w:rPr>
          <w:rFonts w:cs="Times New Roman"/>
          <w:color w:val="auto"/>
          <w:szCs w:val="24"/>
        </w:rPr>
        <w:t xml:space="preserve">DVA </w:t>
      </w:r>
      <w:r w:rsidR="00705A38" w:rsidRPr="007C3350">
        <w:rPr>
          <w:rFonts w:cs="Times New Roman"/>
          <w:color w:val="auto"/>
          <w:szCs w:val="24"/>
        </w:rPr>
        <w:t>operating under a different set of laws (Title 38, United States Code), is empo</w:t>
      </w:r>
      <w:r w:rsidR="00E7632A">
        <w:rPr>
          <w:rFonts w:cs="Times New Roman"/>
          <w:color w:val="auto"/>
          <w:szCs w:val="24"/>
        </w:rPr>
        <w:t>wered to compensate all service-</w:t>
      </w:r>
      <w:r w:rsidR="00705A38" w:rsidRPr="007C3350">
        <w:rPr>
          <w:rFonts w:cs="Times New Roman"/>
          <w:color w:val="auto"/>
          <w:szCs w:val="24"/>
        </w:rPr>
        <w:t xml:space="preserve">connected conditions and to periodically re-evaluate said conditions for the purpose of adjusting the </w:t>
      </w:r>
      <w:r w:rsidR="00E7632A">
        <w:rPr>
          <w:rFonts w:cs="Times New Roman"/>
          <w:color w:val="auto"/>
          <w:szCs w:val="24"/>
        </w:rPr>
        <w:t>V</w:t>
      </w:r>
      <w:r w:rsidR="00705A38" w:rsidRPr="007C3350">
        <w:rPr>
          <w:rFonts w:cs="Times New Roman"/>
          <w:color w:val="auto"/>
          <w:szCs w:val="24"/>
        </w:rPr>
        <w:t xml:space="preserve">eteran’s disability rating should </w:t>
      </w:r>
      <w:r w:rsidR="00E7632A">
        <w:rPr>
          <w:rFonts w:cs="Times New Roman"/>
          <w:color w:val="auto"/>
          <w:szCs w:val="24"/>
        </w:rPr>
        <w:t>the</w:t>
      </w:r>
      <w:r w:rsidR="00705A38"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utilizes VA evidence proximal to separation in arriving at its recommendations;</w:t>
      </w:r>
      <w:r w:rsidR="00E7632A">
        <w:rPr>
          <w:rFonts w:cs="Times New Roman"/>
          <w:color w:val="auto"/>
          <w:szCs w:val="24"/>
        </w:rPr>
        <w:t xml:space="preserve"> and, DoDI 6040.44 defines a 12-</w:t>
      </w:r>
      <w:r w:rsidR="00705A38" w:rsidRPr="007C3350">
        <w:rPr>
          <w:rFonts w:cs="Times New Roman"/>
          <w:color w:val="auto"/>
          <w:szCs w:val="24"/>
        </w:rPr>
        <w:t xml:space="preserve">month interval for special consideration to post-separation evidence. </w:t>
      </w:r>
      <w:r w:rsidR="00431458">
        <w:rPr>
          <w:rFonts w:cs="Times New Roman"/>
          <w:color w:val="auto"/>
          <w:szCs w:val="24"/>
        </w:rPr>
        <w:t xml:space="preserve"> </w:t>
      </w:r>
      <w:r w:rsidR="00705A38" w:rsidRPr="007C3350">
        <w:rPr>
          <w:rFonts w:cs="Times New Roman"/>
          <w:color w:val="auto"/>
          <w:szCs w:val="24"/>
        </w:rPr>
        <w:t xml:space="preserve">The Board’s authority as defined in DoDI 6044.40, however, resides in evaluating the fairness of DES fitness determinations and rating decisions for disability at the time of separation. </w:t>
      </w:r>
      <w:r w:rsidR="00431458">
        <w:rPr>
          <w:rFonts w:cs="Times New Roman"/>
          <w:color w:val="auto"/>
          <w:szCs w:val="24"/>
        </w:rPr>
        <w:t xml:space="preserve"> </w:t>
      </w:r>
      <w:r w:rsidR="00705A38" w:rsidRPr="007C3350">
        <w:rPr>
          <w:rFonts w:cs="Times New Roman"/>
          <w:color w:val="auto"/>
          <w:szCs w:val="24"/>
        </w:rPr>
        <w:t>Post-separation evidence therefore is probative only to the extent that it reasonably reflects the disability and fitness implications at the time of separation.</w:t>
      </w: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E7632A" w:rsidRDefault="00E7632A" w:rsidP="00E7632A">
      <w:pPr>
        <w:jc w:val="both"/>
        <w:rPr>
          <w:rFonts w:cs="Times New Roman"/>
          <w:color w:val="auto"/>
          <w:szCs w:val="24"/>
        </w:rPr>
      </w:pPr>
    </w:p>
    <w:p w:rsidR="007927A2" w:rsidRPr="00BF622A" w:rsidRDefault="007A3A87" w:rsidP="00E7632A">
      <w:pPr>
        <w:jc w:val="both"/>
        <w:rPr>
          <w:rFonts w:cs="Times New Roman"/>
          <w:color w:val="auto"/>
          <w:szCs w:val="24"/>
        </w:rPr>
      </w:pPr>
      <w:proofErr w:type="gramStart"/>
      <w:r w:rsidRPr="00BF622A">
        <w:rPr>
          <w:rFonts w:cs="Times New Roman"/>
          <w:color w:val="auto"/>
          <w:szCs w:val="24"/>
          <w:u w:val="single"/>
        </w:rPr>
        <w:lastRenderedPageBreak/>
        <w:t xml:space="preserve">Lumbar </w:t>
      </w:r>
      <w:r w:rsidR="00BF622A" w:rsidRPr="00BF622A">
        <w:rPr>
          <w:rFonts w:cs="Times New Roman"/>
          <w:color w:val="auto"/>
          <w:szCs w:val="24"/>
          <w:u w:val="single"/>
        </w:rPr>
        <w:t>Degenerative Disc Disease (</w:t>
      </w:r>
      <w:r w:rsidRPr="00BF622A">
        <w:rPr>
          <w:rFonts w:cs="Times New Roman"/>
          <w:color w:val="auto"/>
          <w:szCs w:val="24"/>
          <w:u w:val="single"/>
        </w:rPr>
        <w:t>DDD</w:t>
      </w:r>
      <w:r w:rsidR="00BF622A" w:rsidRPr="00BF622A">
        <w:rPr>
          <w:rFonts w:cs="Times New Roman"/>
          <w:color w:val="auto"/>
          <w:szCs w:val="24"/>
          <w:u w:val="single"/>
        </w:rPr>
        <w:t>)</w:t>
      </w:r>
      <w:r w:rsidRPr="00BF622A">
        <w:rPr>
          <w:rFonts w:cs="Times New Roman"/>
          <w:color w:val="auto"/>
          <w:szCs w:val="24"/>
          <w:u w:val="single"/>
        </w:rPr>
        <w:t xml:space="preserve">, </w:t>
      </w:r>
      <w:r w:rsidR="00BF622A" w:rsidRPr="00BF622A">
        <w:rPr>
          <w:rFonts w:cs="Times New Roman"/>
          <w:color w:val="auto"/>
          <w:szCs w:val="24"/>
          <w:u w:val="single"/>
        </w:rPr>
        <w:t xml:space="preserve">Status Post </w:t>
      </w:r>
      <w:r w:rsidRPr="00BF622A">
        <w:rPr>
          <w:rFonts w:cs="Times New Roman"/>
          <w:color w:val="auto"/>
          <w:szCs w:val="24"/>
          <w:u w:val="single"/>
        </w:rPr>
        <w:t>Revision Condition</w:t>
      </w:r>
      <w:r w:rsidRPr="00BF622A">
        <w:rPr>
          <w:rFonts w:cs="Times New Roman"/>
          <w:color w:val="auto"/>
          <w:szCs w:val="24"/>
        </w:rPr>
        <w:t>.</w:t>
      </w:r>
      <w:proofErr w:type="gramEnd"/>
      <w:r w:rsidR="00705A38" w:rsidRPr="00BF622A">
        <w:rPr>
          <w:rFonts w:cs="Times New Roman"/>
          <w:color w:val="auto"/>
          <w:szCs w:val="24"/>
        </w:rPr>
        <w:t xml:space="preserve">  </w:t>
      </w:r>
      <w:r w:rsidR="00D93CFD" w:rsidRPr="00BF622A">
        <w:rPr>
          <w:rFonts w:cs="Times New Roman"/>
          <w:color w:val="auto"/>
          <w:szCs w:val="24"/>
        </w:rPr>
        <w:t>There were three</w:t>
      </w:r>
      <w:r w:rsidR="00E7632A">
        <w:rPr>
          <w:rFonts w:cs="Times New Roman"/>
          <w:color w:val="auto"/>
          <w:szCs w:val="24"/>
        </w:rPr>
        <w:t xml:space="preserve"> goniometric range-of-</w:t>
      </w:r>
      <w:r w:rsidR="007927A2" w:rsidRPr="00BF622A">
        <w:rPr>
          <w:rFonts w:cs="Times New Roman"/>
          <w:color w:val="auto"/>
          <w:szCs w:val="24"/>
        </w:rPr>
        <w:t>motion (ROM) evaluations in evidence, with documentation of additional ratable criteria, which the Board weighed in arriving at its rating recommendation.</w:t>
      </w:r>
    </w:p>
    <w:p w:rsidR="00E82EAC" w:rsidRDefault="00E82EAC" w:rsidP="00D93CFD">
      <w:pPr>
        <w:jc w:val="left"/>
        <w:rPr>
          <w:rFonts w:asciiTheme="minorHAnsi" w:hAnsiTheme="minorHAnsi" w:cs="Times New Roman"/>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108"/>
        <w:gridCol w:w="2428"/>
        <w:gridCol w:w="2428"/>
      </w:tblGrid>
      <w:tr w:rsidR="00D93CFD" w:rsidRPr="001F29F9" w:rsidTr="003667A6">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CFD" w:rsidRDefault="00D93CFD" w:rsidP="003667A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 xml:space="preserve">Goniometric ROM </w:t>
            </w:r>
            <w:r w:rsidR="00BF622A">
              <w:rPr>
                <w:rFonts w:eastAsia="Calibri" w:cstheme="minorHAnsi"/>
                <w:color w:val="000000" w:themeColor="text1"/>
                <w:sz w:val="18"/>
                <w:szCs w:val="18"/>
              </w:rPr>
              <w:t>–</w:t>
            </w:r>
            <w:r w:rsidRPr="001F29F9">
              <w:rPr>
                <w:rFonts w:eastAsia="Calibri" w:cstheme="minorHAnsi"/>
                <w:color w:val="000000" w:themeColor="text1"/>
                <w:sz w:val="18"/>
                <w:szCs w:val="18"/>
              </w:rPr>
              <w:t xml:space="preserve"> Thoracolumbar</w:t>
            </w:r>
            <w:r w:rsidR="00BF622A">
              <w:rPr>
                <w:rFonts w:eastAsia="Calibri" w:cstheme="minorHAnsi"/>
                <w:color w:val="000000" w:themeColor="text1"/>
                <w:sz w:val="18"/>
                <w:szCs w:val="18"/>
              </w:rPr>
              <w:t xml:space="preserve"> Spine</w:t>
            </w:r>
          </w:p>
          <w:p w:rsidR="00BF622A" w:rsidRPr="001F29F9" w:rsidRDefault="00BF622A" w:rsidP="003667A6">
            <w:pPr>
              <w:pStyle w:val="ListParagraph"/>
              <w:spacing w:after="0" w:line="240" w:lineRule="exact"/>
              <w:ind w:left="0"/>
              <w:rPr>
                <w:rFonts w:eastAsia="Calibri" w:cstheme="minorHAnsi"/>
                <w:b/>
                <w:color w:val="000000" w:themeColor="text1"/>
                <w:sz w:val="18"/>
                <w:szCs w:val="18"/>
              </w:rPr>
            </w:pPr>
            <w:r>
              <w:rPr>
                <w:rFonts w:eastAsia="Calibri" w:cstheme="minorHAnsi"/>
                <w:color w:val="000000" w:themeColor="text1"/>
                <w:sz w:val="18"/>
                <w:szCs w:val="18"/>
              </w:rPr>
              <w:t>Degrees</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CFD" w:rsidRPr="001F29F9" w:rsidRDefault="00D93CFD" w:rsidP="003667A6">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 xml:space="preserve">MEB ~ </w:t>
            </w:r>
            <w:r>
              <w:rPr>
                <w:rFonts w:asciiTheme="minorHAnsi" w:eastAsia="Calibri" w:hAnsiTheme="minorHAnsi"/>
                <w:color w:val="000000" w:themeColor="text1"/>
                <w:sz w:val="18"/>
                <w:szCs w:val="18"/>
              </w:rPr>
              <w:t>10</w:t>
            </w:r>
            <w:r w:rsidRPr="001F29F9">
              <w:rPr>
                <w:rFonts w:asciiTheme="minorHAnsi" w:eastAsia="Calibri" w:hAnsiTheme="minorHAnsi"/>
                <w:color w:val="000000" w:themeColor="text1"/>
                <w:sz w:val="18"/>
                <w:szCs w:val="18"/>
              </w:rPr>
              <w:t xml:space="preserve"> Mo</w:t>
            </w:r>
            <w:r>
              <w:rPr>
                <w:rFonts w:asciiTheme="minorHAnsi" w:eastAsia="Calibri" w:hAnsiTheme="minorHAnsi"/>
                <w:color w:val="000000" w:themeColor="text1"/>
                <w:sz w:val="18"/>
                <w:szCs w:val="18"/>
              </w:rPr>
              <w:t>s</w:t>
            </w:r>
            <w:r w:rsidRPr="001F29F9">
              <w:rPr>
                <w:rFonts w:asciiTheme="minorHAnsi" w:eastAsia="Calibri" w:hAnsiTheme="minorHAnsi"/>
                <w:color w:val="000000" w:themeColor="text1"/>
                <w:sz w:val="18"/>
                <w:szCs w:val="18"/>
              </w:rPr>
              <w:t>. Pre-Sep</w:t>
            </w:r>
          </w:p>
          <w:p w:rsidR="00D93CFD" w:rsidRPr="001F29F9" w:rsidRDefault="00D93CFD" w:rsidP="003667A6">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50317</w:t>
            </w:r>
            <w:r w:rsidRPr="001F29F9">
              <w:rPr>
                <w:rFonts w:asciiTheme="minorHAnsi" w:eastAsia="Calibr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93CFD" w:rsidRPr="001F29F9" w:rsidRDefault="00D93CFD" w:rsidP="003667A6">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Ortho </w:t>
            </w:r>
            <w:r w:rsidRPr="001F29F9">
              <w:rPr>
                <w:rFonts w:asciiTheme="minorHAnsi" w:eastAsia="Calibri" w:hAnsiTheme="minorHAnsi"/>
                <w:color w:val="000000" w:themeColor="text1"/>
                <w:sz w:val="18"/>
                <w:szCs w:val="18"/>
              </w:rPr>
              <w:t>~</w:t>
            </w:r>
            <w:r>
              <w:rPr>
                <w:rFonts w:eastAsia="Calibri"/>
                <w:color w:val="000000" w:themeColor="text1"/>
                <w:sz w:val="18"/>
                <w:szCs w:val="18"/>
              </w:rPr>
              <w:t>4</w:t>
            </w:r>
            <w:r w:rsidRPr="001F29F9">
              <w:rPr>
                <w:rFonts w:eastAsia="Calibri"/>
                <w:color w:val="000000" w:themeColor="text1"/>
                <w:sz w:val="18"/>
                <w:szCs w:val="18"/>
              </w:rPr>
              <w:t xml:space="preserve"> Mo</w:t>
            </w:r>
            <w:r>
              <w:rPr>
                <w:rFonts w:eastAsia="Calibri"/>
                <w:color w:val="000000" w:themeColor="text1"/>
                <w:sz w:val="18"/>
                <w:szCs w:val="18"/>
              </w:rPr>
              <w:t>s</w:t>
            </w:r>
            <w:r w:rsidRPr="001F29F9">
              <w:rPr>
                <w:rFonts w:eastAsia="Calibri"/>
                <w:color w:val="000000" w:themeColor="text1"/>
                <w:sz w:val="18"/>
                <w:szCs w:val="18"/>
              </w:rPr>
              <w:t>. Pre-Sep</w:t>
            </w:r>
            <w:r>
              <w:rPr>
                <w:rFonts w:asciiTheme="minorHAnsi" w:eastAsiaTheme="minorHAnsi" w:hAnsiTheme="minorHAnsi"/>
                <w:color w:val="000000" w:themeColor="text1"/>
                <w:sz w:val="18"/>
                <w:szCs w:val="18"/>
              </w:rPr>
              <w:t xml:space="preserve">  (20050912)</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D93CFD" w:rsidRPr="001F29F9" w:rsidRDefault="00D93CFD" w:rsidP="003667A6">
            <w:pPr>
              <w:contextualSpacing/>
              <w:rPr>
                <w:rFonts w:asciiTheme="minorHAnsi" w:eastAsia="Calibri" w:hAnsiTheme="minorHAnsi"/>
                <w:color w:val="000000" w:themeColor="text1"/>
                <w:sz w:val="18"/>
                <w:szCs w:val="18"/>
              </w:rPr>
            </w:pPr>
          </w:p>
          <w:p w:rsidR="00D93CFD" w:rsidRPr="001F29F9" w:rsidRDefault="0068014A" w:rsidP="0068014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VA C&amp;P ~ 3 Mos. After Sep </w:t>
            </w:r>
            <w:r w:rsidR="00D93CFD" w:rsidRPr="001F29F9">
              <w:rPr>
                <w:rFonts w:asciiTheme="minorHAnsi" w:eastAsia="Calibri" w:hAnsiTheme="minorHAnsi"/>
                <w:color w:val="000000" w:themeColor="text1"/>
                <w:sz w:val="18"/>
                <w:szCs w:val="18"/>
              </w:rPr>
              <w:t>(200</w:t>
            </w:r>
            <w:r w:rsidR="00D93CFD">
              <w:rPr>
                <w:rFonts w:asciiTheme="minorHAnsi" w:eastAsia="Calibri" w:hAnsiTheme="minorHAnsi"/>
                <w:color w:val="000000" w:themeColor="text1"/>
                <w:sz w:val="18"/>
                <w:szCs w:val="18"/>
              </w:rPr>
              <w:t>60428</w:t>
            </w:r>
            <w:r w:rsidR="00D93CFD" w:rsidRPr="001F29F9">
              <w:rPr>
                <w:rFonts w:asciiTheme="minorHAnsi" w:eastAsia="Calibri" w:hAnsiTheme="minorHAnsi"/>
                <w:color w:val="000000" w:themeColor="text1"/>
                <w:sz w:val="18"/>
                <w:szCs w:val="18"/>
              </w:rPr>
              <w:t>)</w:t>
            </w:r>
          </w:p>
        </w:tc>
      </w:tr>
      <w:tr w:rsidR="00D93CFD" w:rsidRPr="001F29F9" w:rsidTr="003667A6">
        <w:tc>
          <w:tcPr>
            <w:tcW w:w="2007" w:type="dxa"/>
            <w:tcBorders>
              <w:top w:val="single" w:sz="4" w:space="0" w:color="000000"/>
              <w:left w:val="single" w:sz="4" w:space="0" w:color="000000"/>
              <w:bottom w:val="single" w:sz="4" w:space="0" w:color="000000"/>
              <w:right w:val="single" w:sz="4" w:space="0" w:color="000000"/>
            </w:tcBorders>
            <w:vAlign w:val="center"/>
            <w:hideMark/>
          </w:tcPr>
          <w:p w:rsidR="00D93CFD" w:rsidRPr="001F29F9" w:rsidRDefault="00D93CFD" w:rsidP="003667A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w:t>
            </w:r>
            <w:r w:rsidR="00BF622A">
              <w:rPr>
                <w:rFonts w:eastAsia="Calibri" w:cstheme="minorHAnsi"/>
                <w:color w:val="000000" w:themeColor="text1"/>
                <w:sz w:val="18"/>
                <w:szCs w:val="18"/>
              </w:rPr>
              <w:t>ion</w:t>
            </w:r>
            <w:r w:rsidRPr="001F29F9">
              <w:rPr>
                <w:rFonts w:eastAsia="Calibri" w:cstheme="minorHAnsi"/>
                <w:color w:val="000000" w:themeColor="text1"/>
                <w:sz w:val="18"/>
                <w:szCs w:val="18"/>
              </w:rPr>
              <w:t xml:space="preserve">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70</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60</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65</w:t>
            </w:r>
          </w:p>
        </w:tc>
      </w:tr>
      <w:tr w:rsidR="00D93CFD" w:rsidRPr="001F29F9" w:rsidTr="003667A6">
        <w:tc>
          <w:tcPr>
            <w:tcW w:w="2007" w:type="dxa"/>
            <w:tcBorders>
              <w:top w:val="single" w:sz="4" w:space="0" w:color="000000"/>
              <w:left w:val="single" w:sz="4" w:space="0" w:color="000000"/>
              <w:bottom w:val="single" w:sz="4" w:space="0" w:color="000000"/>
              <w:right w:val="single" w:sz="4" w:space="0" w:color="000000"/>
            </w:tcBorders>
            <w:vAlign w:val="center"/>
            <w:hideMark/>
          </w:tcPr>
          <w:p w:rsidR="00D93CFD" w:rsidRPr="001F29F9" w:rsidRDefault="00D93CFD" w:rsidP="00BF622A">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w:t>
            </w:r>
            <w:r w:rsidR="00BF622A">
              <w:rPr>
                <w:rFonts w:eastAsia="Calibri" w:cstheme="minorHAnsi"/>
                <w:color w:val="000000" w:themeColor="text1"/>
                <w:sz w:val="18"/>
                <w:szCs w:val="18"/>
              </w:rPr>
              <w:t>ombined</w:t>
            </w:r>
            <w:r w:rsidRPr="001F29F9">
              <w:rPr>
                <w:rFonts w:eastAsia="Calibri" w:cstheme="minorHAnsi"/>
                <w:color w:val="000000" w:themeColor="text1"/>
                <w:sz w:val="18"/>
                <w:szCs w:val="18"/>
              </w:rPr>
              <w:t xml:space="preserve">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rPr>
                <w:rFonts w:asciiTheme="minorHAnsi" w:hAnsiTheme="minorHAnsi"/>
                <w:color w:val="000000" w:themeColor="text1"/>
                <w:sz w:val="18"/>
                <w:szCs w:val="18"/>
              </w:rPr>
            </w:pPr>
            <w:r>
              <w:rPr>
                <w:rFonts w:asciiTheme="minorHAnsi" w:eastAsia="Calibri" w:hAnsiTheme="minorHAnsi"/>
                <w:color w:val="000000" w:themeColor="text1"/>
                <w:sz w:val="18"/>
                <w:szCs w:val="18"/>
              </w:rPr>
              <w:t>185</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rPr>
                <w:rFonts w:asciiTheme="minorHAnsi" w:hAnsiTheme="minorHAnsi"/>
                <w:color w:val="000000" w:themeColor="text1"/>
                <w:sz w:val="18"/>
                <w:szCs w:val="18"/>
              </w:rPr>
            </w:pPr>
            <w:r>
              <w:rPr>
                <w:rFonts w:asciiTheme="minorHAnsi" w:hAnsiTheme="minorHAnsi"/>
                <w:color w:val="000000" w:themeColor="text1"/>
                <w:sz w:val="18"/>
                <w:szCs w:val="18"/>
              </w:rPr>
              <w:t>110</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BF622A">
            <w:pPr>
              <w:rPr>
                <w:rFonts w:asciiTheme="minorHAnsi" w:hAnsiTheme="minorHAnsi"/>
                <w:color w:val="000000" w:themeColor="text1"/>
                <w:sz w:val="18"/>
                <w:szCs w:val="18"/>
              </w:rPr>
            </w:pPr>
            <w:r>
              <w:rPr>
                <w:rFonts w:asciiTheme="minorHAnsi" w:eastAsia="Calibri" w:hAnsiTheme="minorHAnsi"/>
                <w:color w:val="000000" w:themeColor="text1"/>
                <w:sz w:val="18"/>
                <w:szCs w:val="18"/>
              </w:rPr>
              <w:t>205</w:t>
            </w:r>
          </w:p>
        </w:tc>
      </w:tr>
      <w:tr w:rsidR="00D93CFD" w:rsidRPr="001F29F9" w:rsidTr="003667A6">
        <w:tc>
          <w:tcPr>
            <w:tcW w:w="2007" w:type="dxa"/>
            <w:tcBorders>
              <w:top w:val="single" w:sz="4" w:space="0" w:color="000000"/>
              <w:left w:val="single" w:sz="4" w:space="0" w:color="000000"/>
              <w:bottom w:val="single" w:sz="4" w:space="0" w:color="000000"/>
              <w:right w:val="single" w:sz="4" w:space="0" w:color="000000"/>
            </w:tcBorders>
            <w:vAlign w:val="center"/>
            <w:hideMark/>
          </w:tcPr>
          <w:p w:rsidR="00D93CFD" w:rsidRPr="001F29F9" w:rsidRDefault="00D93CFD" w:rsidP="003667A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BF622A" w:rsidRDefault="00D76D8F" w:rsidP="003667A6">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ROM at </w:t>
            </w:r>
            <w:r w:rsidR="007B1BA4">
              <w:rPr>
                <w:rFonts w:asciiTheme="minorHAnsi" w:eastAsiaTheme="minorHAnsi" w:hAnsiTheme="minorHAnsi"/>
                <w:color w:val="000000" w:themeColor="text1"/>
                <w:sz w:val="18"/>
                <w:szCs w:val="18"/>
              </w:rPr>
              <w:t>onset of pain</w:t>
            </w:r>
            <w:r>
              <w:rPr>
                <w:rFonts w:asciiTheme="minorHAnsi" w:eastAsiaTheme="minorHAnsi" w:hAnsiTheme="minorHAnsi"/>
                <w:color w:val="000000" w:themeColor="text1"/>
                <w:sz w:val="18"/>
                <w:szCs w:val="18"/>
              </w:rPr>
              <w:t>.</w:t>
            </w:r>
          </w:p>
          <w:p w:rsidR="00BF622A" w:rsidRDefault="00BF622A" w:rsidP="00BF622A">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+Muscle spasm at L5</w:t>
            </w:r>
            <w:r w:rsidRPr="00512991">
              <w:rPr>
                <w:rFonts w:asciiTheme="minorHAnsi" w:eastAsiaTheme="minorHAnsi" w:hAnsiTheme="minorHAnsi"/>
                <w:color w:val="000000" w:themeColor="text1"/>
                <w:sz w:val="18"/>
                <w:szCs w:val="18"/>
              </w:rPr>
              <w:t xml:space="preserve">  </w:t>
            </w:r>
          </w:p>
          <w:p w:rsidR="00BF622A" w:rsidRPr="001F29F9" w:rsidRDefault="007B1BA4" w:rsidP="00BF622A">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 </w:t>
            </w:r>
            <w:r w:rsidR="00D93CFD">
              <w:rPr>
                <w:rFonts w:asciiTheme="minorHAnsi" w:eastAsiaTheme="minorHAnsi" w:hAnsiTheme="minorHAnsi"/>
                <w:color w:val="000000" w:themeColor="text1"/>
                <w:sz w:val="18"/>
                <w:szCs w:val="18"/>
              </w:rPr>
              <w:t xml:space="preserve">Gait </w:t>
            </w:r>
            <w:r w:rsidR="00BF622A">
              <w:rPr>
                <w:rFonts w:asciiTheme="minorHAnsi" w:eastAsiaTheme="minorHAnsi" w:hAnsiTheme="minorHAnsi"/>
                <w:color w:val="000000" w:themeColor="text1"/>
                <w:sz w:val="18"/>
                <w:szCs w:val="18"/>
              </w:rPr>
              <w:t>normal.</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3667A6">
            <w:pPr>
              <w:tabs>
                <w:tab w:val="left" w:pos="288"/>
                <w:tab w:val="left" w:pos="4752"/>
              </w:tabs>
              <w:jc w:val="left"/>
              <w:rPr>
                <w:rFonts w:asciiTheme="minorHAnsi" w:eastAsiaTheme="minorHAnsi" w:hAnsiTheme="minorHAnsi"/>
                <w:color w:val="000000" w:themeColor="text1"/>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D54BD6" w:rsidRDefault="00D93CFD" w:rsidP="003667A6">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Normal </w:t>
            </w:r>
            <w:r w:rsidR="00D76D8F">
              <w:rPr>
                <w:rFonts w:asciiTheme="minorHAnsi" w:eastAsiaTheme="minorHAnsi" w:hAnsiTheme="minorHAnsi"/>
                <w:color w:val="000000" w:themeColor="text1"/>
                <w:sz w:val="18"/>
                <w:szCs w:val="18"/>
              </w:rPr>
              <w:t xml:space="preserve">gait and </w:t>
            </w:r>
            <w:r>
              <w:rPr>
                <w:rFonts w:asciiTheme="minorHAnsi" w:eastAsiaTheme="minorHAnsi" w:hAnsiTheme="minorHAnsi"/>
                <w:color w:val="000000" w:themeColor="text1"/>
                <w:sz w:val="18"/>
                <w:szCs w:val="18"/>
              </w:rPr>
              <w:t>posture</w:t>
            </w:r>
            <w:r w:rsidR="00D76D8F">
              <w:rPr>
                <w:rFonts w:asciiTheme="minorHAnsi" w:eastAsiaTheme="minorHAnsi" w:hAnsiTheme="minorHAnsi"/>
                <w:color w:val="000000" w:themeColor="text1"/>
                <w:sz w:val="18"/>
                <w:szCs w:val="18"/>
              </w:rPr>
              <w:t>.</w:t>
            </w:r>
          </w:p>
          <w:p w:rsidR="00D93CFD" w:rsidRPr="001F29F9" w:rsidRDefault="00D93CFD" w:rsidP="00D76D8F">
            <w:pPr>
              <w:tabs>
                <w:tab w:val="left" w:pos="288"/>
                <w:tab w:val="left" w:pos="4752"/>
              </w:tabs>
              <w:jc w:val="left"/>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 </w:t>
            </w:r>
            <w:r w:rsidR="00D76D8F">
              <w:rPr>
                <w:rFonts w:asciiTheme="minorHAnsi" w:eastAsiaTheme="minorHAnsi" w:hAnsiTheme="minorHAnsi"/>
                <w:color w:val="000000" w:themeColor="text1"/>
                <w:sz w:val="18"/>
                <w:szCs w:val="18"/>
              </w:rPr>
              <w:t xml:space="preserve">Loss of </w:t>
            </w:r>
            <w:r>
              <w:rPr>
                <w:rFonts w:asciiTheme="minorHAnsi" w:eastAsiaTheme="minorHAnsi" w:hAnsiTheme="minorHAnsi"/>
                <w:color w:val="000000" w:themeColor="text1"/>
                <w:sz w:val="18"/>
                <w:szCs w:val="18"/>
              </w:rPr>
              <w:t>lumbar lordosis</w:t>
            </w:r>
            <w:r w:rsidR="00D54BD6">
              <w:rPr>
                <w:rFonts w:asciiTheme="minorHAnsi" w:eastAsiaTheme="minorHAnsi" w:hAnsiTheme="minorHAnsi"/>
                <w:color w:val="000000" w:themeColor="text1"/>
                <w:sz w:val="18"/>
                <w:szCs w:val="18"/>
              </w:rPr>
              <w:t>.</w:t>
            </w:r>
          </w:p>
        </w:tc>
      </w:tr>
      <w:tr w:rsidR="00D93CFD" w:rsidRPr="001F29F9" w:rsidTr="003667A6">
        <w:tc>
          <w:tcPr>
            <w:tcW w:w="2007" w:type="dxa"/>
            <w:tcBorders>
              <w:top w:val="single" w:sz="4" w:space="0" w:color="000000"/>
              <w:left w:val="single" w:sz="4" w:space="0" w:color="000000"/>
              <w:bottom w:val="single" w:sz="4" w:space="0" w:color="000000"/>
              <w:right w:val="single" w:sz="4" w:space="0" w:color="000000"/>
            </w:tcBorders>
            <w:vAlign w:val="center"/>
            <w:hideMark/>
          </w:tcPr>
          <w:p w:rsidR="00D93CFD" w:rsidRPr="001F29F9" w:rsidRDefault="00D93CFD" w:rsidP="003667A6">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3667A6">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3667A6">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D93CFD" w:rsidRPr="001F29F9" w:rsidRDefault="00D93CFD" w:rsidP="003667A6">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r w:rsidRPr="001F29F9">
              <w:rPr>
                <w:rFonts w:asciiTheme="minorHAnsi" w:eastAsiaTheme="minorHAnsi" w:hAnsiTheme="minorHAnsi"/>
                <w:color w:val="000000" w:themeColor="text1"/>
                <w:sz w:val="18"/>
                <w:szCs w:val="18"/>
              </w:rPr>
              <w:t>%</w:t>
            </w:r>
          </w:p>
        </w:tc>
      </w:tr>
    </w:tbl>
    <w:p w:rsidR="007927A2" w:rsidRDefault="007927A2" w:rsidP="00BF0E94">
      <w:pPr>
        <w:jc w:val="left"/>
        <w:rPr>
          <w:color w:val="000000" w:themeColor="text1"/>
          <w:szCs w:val="24"/>
          <w:highlight w:val="yellow"/>
        </w:rPr>
      </w:pPr>
    </w:p>
    <w:p w:rsidR="00E7632A" w:rsidRDefault="003667A6" w:rsidP="00B514F5">
      <w:pPr>
        <w:jc w:val="both"/>
        <w:rPr>
          <w:color w:val="000000" w:themeColor="text1"/>
          <w:szCs w:val="24"/>
        </w:rPr>
      </w:pPr>
      <w:r>
        <w:rPr>
          <w:color w:val="000000" w:themeColor="text1"/>
          <w:szCs w:val="24"/>
        </w:rPr>
        <w:t>The CI was treated for mechanical low back pain (LBP) without antecedent trauma for several years with progression of</w:t>
      </w:r>
      <w:r w:rsidR="00E7632A">
        <w:rPr>
          <w:color w:val="000000" w:themeColor="text1"/>
          <w:szCs w:val="24"/>
        </w:rPr>
        <w:t xml:space="preserve"> symptoms.  On 17 April 2003, a magnetic resonance imaging (</w:t>
      </w:r>
      <w:r>
        <w:rPr>
          <w:color w:val="000000" w:themeColor="text1"/>
          <w:szCs w:val="24"/>
        </w:rPr>
        <w:t>MRI</w:t>
      </w:r>
      <w:r w:rsidR="00E7632A">
        <w:rPr>
          <w:color w:val="000000" w:themeColor="text1"/>
          <w:szCs w:val="24"/>
        </w:rPr>
        <w:t>)</w:t>
      </w:r>
      <w:r>
        <w:rPr>
          <w:color w:val="000000" w:themeColor="text1"/>
          <w:szCs w:val="24"/>
        </w:rPr>
        <w:t xml:space="preserve"> showed a small central and left paracentral L5 disc herniation.  </w:t>
      </w:r>
      <w:r w:rsidR="00D54BD6">
        <w:rPr>
          <w:color w:val="000000" w:themeColor="text1"/>
          <w:szCs w:val="24"/>
        </w:rPr>
        <w:t xml:space="preserve">Treatment </w:t>
      </w:r>
      <w:r>
        <w:rPr>
          <w:color w:val="000000" w:themeColor="text1"/>
          <w:szCs w:val="24"/>
        </w:rPr>
        <w:t>including epidural steroid injections was inadequate and he underwent disc replacement in December 2003.  He did have a complication with polyethylene protrusion for which he underwent</w:t>
      </w:r>
      <w:r w:rsidR="00E07C31">
        <w:rPr>
          <w:color w:val="000000" w:themeColor="text1"/>
          <w:szCs w:val="24"/>
        </w:rPr>
        <w:t xml:space="preserve"> revision in June 2004.  He</w:t>
      </w:r>
      <w:r w:rsidR="005C6392">
        <w:rPr>
          <w:color w:val="000000" w:themeColor="text1"/>
          <w:szCs w:val="24"/>
        </w:rPr>
        <w:t xml:space="preserve"> </w:t>
      </w:r>
      <w:r>
        <w:rPr>
          <w:color w:val="000000" w:themeColor="text1"/>
          <w:szCs w:val="24"/>
        </w:rPr>
        <w:t>enjoy</w:t>
      </w:r>
      <w:r w:rsidR="005C6392">
        <w:rPr>
          <w:color w:val="000000" w:themeColor="text1"/>
          <w:szCs w:val="24"/>
        </w:rPr>
        <w:t>ed</w:t>
      </w:r>
      <w:r>
        <w:rPr>
          <w:color w:val="000000" w:themeColor="text1"/>
          <w:szCs w:val="24"/>
        </w:rPr>
        <w:t xml:space="preserve"> significant benefit from the surgery, but later had recurrent symptoms which prevented him from meeting his military duty requirements.  </w:t>
      </w:r>
      <w:r w:rsidR="00FB7DEA">
        <w:rPr>
          <w:color w:val="000000" w:themeColor="text1"/>
          <w:szCs w:val="24"/>
        </w:rPr>
        <w:t xml:space="preserve">At the time of the </w:t>
      </w:r>
      <w:r w:rsidR="00BF622A">
        <w:rPr>
          <w:color w:val="000000" w:themeColor="text1"/>
          <w:szCs w:val="24"/>
        </w:rPr>
        <w:t xml:space="preserve">MEB </w:t>
      </w:r>
      <w:r w:rsidR="00E7632A">
        <w:rPr>
          <w:color w:val="000000" w:themeColor="text1"/>
          <w:szCs w:val="24"/>
        </w:rPr>
        <w:t>narrative summary (</w:t>
      </w:r>
      <w:r w:rsidR="006805F4" w:rsidRPr="006805F4">
        <w:rPr>
          <w:color w:val="000000" w:themeColor="text1"/>
          <w:szCs w:val="24"/>
        </w:rPr>
        <w:t>NARSUM</w:t>
      </w:r>
      <w:r w:rsidR="00E7632A">
        <w:rPr>
          <w:color w:val="000000" w:themeColor="text1"/>
          <w:szCs w:val="24"/>
        </w:rPr>
        <w:t>)</w:t>
      </w:r>
      <w:r w:rsidR="00BF622A">
        <w:rPr>
          <w:color w:val="000000" w:themeColor="text1"/>
          <w:szCs w:val="24"/>
        </w:rPr>
        <w:t xml:space="preserve">, </w:t>
      </w:r>
      <w:r w:rsidR="00E7632A">
        <w:rPr>
          <w:color w:val="000000" w:themeColor="text1"/>
          <w:szCs w:val="24"/>
        </w:rPr>
        <w:t xml:space="preserve">performed on </w:t>
      </w:r>
      <w:r>
        <w:rPr>
          <w:color w:val="000000" w:themeColor="text1"/>
          <w:szCs w:val="24"/>
        </w:rPr>
        <w:t xml:space="preserve">17 March 2005, </w:t>
      </w:r>
      <w:r w:rsidR="0068014A">
        <w:rPr>
          <w:color w:val="000000" w:themeColor="text1"/>
          <w:szCs w:val="24"/>
        </w:rPr>
        <w:t xml:space="preserve">10 </w:t>
      </w:r>
      <w:r>
        <w:rPr>
          <w:color w:val="000000" w:themeColor="text1"/>
          <w:szCs w:val="24"/>
        </w:rPr>
        <w:t>months prior to separation</w:t>
      </w:r>
      <w:r w:rsidR="00FB7DEA">
        <w:rPr>
          <w:color w:val="000000" w:themeColor="text1"/>
          <w:szCs w:val="24"/>
        </w:rPr>
        <w:t xml:space="preserve">, the CI </w:t>
      </w:r>
      <w:r>
        <w:rPr>
          <w:color w:val="000000" w:themeColor="text1"/>
          <w:szCs w:val="24"/>
        </w:rPr>
        <w:t>endorse</w:t>
      </w:r>
      <w:r w:rsidR="00FB7DEA">
        <w:rPr>
          <w:color w:val="000000" w:themeColor="text1"/>
          <w:szCs w:val="24"/>
        </w:rPr>
        <w:t>d</w:t>
      </w:r>
      <w:r>
        <w:rPr>
          <w:color w:val="000000" w:themeColor="text1"/>
          <w:szCs w:val="24"/>
        </w:rPr>
        <w:t xml:space="preserve"> occasional numb</w:t>
      </w:r>
      <w:r w:rsidR="002E36DE">
        <w:rPr>
          <w:color w:val="000000" w:themeColor="text1"/>
          <w:szCs w:val="24"/>
        </w:rPr>
        <w:t>n</w:t>
      </w:r>
      <w:r>
        <w:rPr>
          <w:color w:val="000000" w:themeColor="text1"/>
          <w:szCs w:val="24"/>
        </w:rPr>
        <w:t>ess, tingling and weakness</w:t>
      </w:r>
      <w:r w:rsidR="00FB7DEA">
        <w:rPr>
          <w:color w:val="000000" w:themeColor="text1"/>
          <w:szCs w:val="24"/>
        </w:rPr>
        <w:t xml:space="preserve"> without bowel or bladder disturbance.</w:t>
      </w:r>
      <w:r w:rsidR="006805F4">
        <w:rPr>
          <w:color w:val="000000" w:themeColor="text1"/>
          <w:szCs w:val="24"/>
        </w:rPr>
        <w:t xml:space="preserve">  </w:t>
      </w:r>
      <w:r w:rsidR="00FB7DEA">
        <w:rPr>
          <w:color w:val="000000" w:themeColor="text1"/>
          <w:szCs w:val="24"/>
        </w:rPr>
        <w:t xml:space="preserve">He reported he could not engage in significant activities including impact activities, had difficulty with prolonged sitting, standing or walking and could not lift more than 20 pounds.  </w:t>
      </w:r>
      <w:r w:rsidR="002E36DE">
        <w:rPr>
          <w:color w:val="000000" w:themeColor="text1"/>
          <w:szCs w:val="24"/>
        </w:rPr>
        <w:t xml:space="preserve">On examination, </w:t>
      </w:r>
      <w:r w:rsidR="00E7632A">
        <w:rPr>
          <w:color w:val="000000" w:themeColor="text1"/>
          <w:szCs w:val="24"/>
        </w:rPr>
        <w:t>ROM</w:t>
      </w:r>
      <w:r w:rsidR="00FB7DEA">
        <w:rPr>
          <w:color w:val="000000" w:themeColor="text1"/>
          <w:szCs w:val="24"/>
        </w:rPr>
        <w:t xml:space="preserve"> was recorded as above to pain onset (“he can forward flex approximately 70 degrees before the onset of pain”).  Tenderness and muscle spasm at L5 was noted, however no comment was made regarding spinal contour.  Gait was normal and walking on heels and toes was normal.  Strength, reflexes, and sensation were normal and straight leg raising was negative for radicular symptoms.  </w:t>
      </w:r>
      <w:r w:rsidR="002E36DE">
        <w:rPr>
          <w:color w:val="000000" w:themeColor="text1"/>
          <w:szCs w:val="24"/>
        </w:rPr>
        <w:t xml:space="preserve">A second orthopedic examination for ROM was </w:t>
      </w:r>
      <w:r w:rsidR="00E7632A">
        <w:rPr>
          <w:color w:val="000000" w:themeColor="text1"/>
          <w:szCs w:val="24"/>
        </w:rPr>
        <w:t>performed</w:t>
      </w:r>
      <w:r w:rsidR="002E36DE">
        <w:rPr>
          <w:color w:val="000000" w:themeColor="text1"/>
          <w:szCs w:val="24"/>
        </w:rPr>
        <w:t xml:space="preserve"> on 12 September 2005 at the request of the attorney for the CI during the </w:t>
      </w:r>
      <w:r w:rsidR="005E0A46">
        <w:rPr>
          <w:color w:val="000000" w:themeColor="text1"/>
          <w:szCs w:val="24"/>
        </w:rPr>
        <w:t xml:space="preserve">PEB </w:t>
      </w:r>
      <w:r w:rsidR="002E36DE">
        <w:rPr>
          <w:color w:val="000000" w:themeColor="text1"/>
          <w:szCs w:val="24"/>
        </w:rPr>
        <w:t xml:space="preserve">appeal process.  </w:t>
      </w:r>
      <w:r w:rsidR="005E0A46">
        <w:rPr>
          <w:color w:val="000000" w:themeColor="text1"/>
          <w:szCs w:val="24"/>
        </w:rPr>
        <w:t xml:space="preserve">The CI was noted to have LBP radiating to the legs which was aggravated by sitting, standing, walking or carrying over 20 pounds.  Sensory, motor </w:t>
      </w:r>
      <w:r w:rsidR="00FB7DEA">
        <w:rPr>
          <w:color w:val="000000" w:themeColor="text1"/>
          <w:szCs w:val="24"/>
        </w:rPr>
        <w:t>strength a</w:t>
      </w:r>
      <w:r w:rsidR="005E0A46">
        <w:rPr>
          <w:color w:val="000000" w:themeColor="text1"/>
          <w:szCs w:val="24"/>
        </w:rPr>
        <w:t xml:space="preserve">nd </w:t>
      </w:r>
      <w:r w:rsidR="00FB7DEA">
        <w:rPr>
          <w:color w:val="000000" w:themeColor="text1"/>
          <w:szCs w:val="24"/>
        </w:rPr>
        <w:t xml:space="preserve">deep tendon reflex </w:t>
      </w:r>
      <w:r w:rsidR="005E0A46">
        <w:rPr>
          <w:color w:val="000000" w:themeColor="text1"/>
          <w:szCs w:val="24"/>
        </w:rPr>
        <w:t>exam</w:t>
      </w:r>
      <w:r w:rsidR="00FB7DEA">
        <w:rPr>
          <w:color w:val="000000" w:themeColor="text1"/>
          <w:szCs w:val="24"/>
        </w:rPr>
        <w:t xml:space="preserve">inations </w:t>
      </w:r>
      <w:r w:rsidR="005E0A46">
        <w:rPr>
          <w:color w:val="000000" w:themeColor="text1"/>
          <w:szCs w:val="24"/>
        </w:rPr>
        <w:t xml:space="preserve">were all </w:t>
      </w:r>
      <w:r w:rsidR="00FB7DEA">
        <w:rPr>
          <w:color w:val="000000" w:themeColor="text1"/>
          <w:szCs w:val="24"/>
        </w:rPr>
        <w:t xml:space="preserve">normal.  </w:t>
      </w:r>
      <w:r w:rsidR="005E0A46">
        <w:rPr>
          <w:color w:val="000000" w:themeColor="text1"/>
          <w:szCs w:val="24"/>
        </w:rPr>
        <w:t>Gait and stance were normal.  All motion of the back was painful; no comment was made regarding spasm or contour.</w:t>
      </w:r>
      <w:r w:rsidR="00C250D0">
        <w:rPr>
          <w:color w:val="000000" w:themeColor="text1"/>
          <w:szCs w:val="24"/>
        </w:rPr>
        <w:t xml:space="preserve">  </w:t>
      </w:r>
    </w:p>
    <w:p w:rsidR="00E7632A" w:rsidRDefault="00E7632A" w:rsidP="00B514F5">
      <w:pPr>
        <w:jc w:val="both"/>
        <w:rPr>
          <w:color w:val="000000" w:themeColor="text1"/>
          <w:szCs w:val="24"/>
        </w:rPr>
      </w:pPr>
    </w:p>
    <w:p w:rsidR="00383C5E" w:rsidRPr="00F64312" w:rsidRDefault="005E0A46" w:rsidP="00B514F5">
      <w:pPr>
        <w:jc w:val="both"/>
        <w:rPr>
          <w:rFonts w:eastAsia="Calibri" w:cs="Times New Roman"/>
          <w:color w:val="auto"/>
          <w:szCs w:val="24"/>
        </w:rPr>
      </w:pPr>
      <w:r>
        <w:rPr>
          <w:color w:val="000000" w:themeColor="text1"/>
          <w:szCs w:val="24"/>
        </w:rPr>
        <w:t xml:space="preserve">The VA </w:t>
      </w:r>
      <w:r w:rsidR="00E7632A">
        <w:rPr>
          <w:color w:val="000000" w:themeColor="text1"/>
          <w:szCs w:val="24"/>
        </w:rPr>
        <w:t>C</w:t>
      </w:r>
      <w:r>
        <w:rPr>
          <w:color w:val="000000" w:themeColor="text1"/>
          <w:szCs w:val="24"/>
        </w:rPr>
        <w:t xml:space="preserve">ompensation and </w:t>
      </w:r>
      <w:r w:rsidR="00E7632A">
        <w:rPr>
          <w:color w:val="000000" w:themeColor="text1"/>
          <w:szCs w:val="24"/>
        </w:rPr>
        <w:t>P</w:t>
      </w:r>
      <w:r>
        <w:rPr>
          <w:color w:val="000000" w:themeColor="text1"/>
          <w:szCs w:val="24"/>
        </w:rPr>
        <w:t>ension (</w:t>
      </w:r>
      <w:r w:rsidR="006805F4" w:rsidRPr="006805F4">
        <w:rPr>
          <w:color w:val="000000" w:themeColor="text1"/>
          <w:szCs w:val="24"/>
        </w:rPr>
        <w:t>C&amp;P</w:t>
      </w:r>
      <w:r>
        <w:rPr>
          <w:color w:val="000000" w:themeColor="text1"/>
          <w:szCs w:val="24"/>
        </w:rPr>
        <w:t>) e</w:t>
      </w:r>
      <w:r w:rsidR="006805F4" w:rsidRPr="006805F4">
        <w:rPr>
          <w:color w:val="000000" w:themeColor="text1"/>
          <w:szCs w:val="24"/>
        </w:rPr>
        <w:t>xam</w:t>
      </w:r>
      <w:r>
        <w:rPr>
          <w:color w:val="000000" w:themeColor="text1"/>
          <w:szCs w:val="24"/>
        </w:rPr>
        <w:t xml:space="preserve"> was </w:t>
      </w:r>
      <w:r w:rsidR="00E7632A">
        <w:rPr>
          <w:color w:val="000000" w:themeColor="text1"/>
          <w:szCs w:val="24"/>
        </w:rPr>
        <w:t>performed</w:t>
      </w:r>
      <w:r>
        <w:rPr>
          <w:color w:val="000000" w:themeColor="text1"/>
          <w:szCs w:val="24"/>
        </w:rPr>
        <w:t xml:space="preserve"> on 28 April 2006, </w:t>
      </w:r>
      <w:r w:rsidR="00E7632A">
        <w:rPr>
          <w:color w:val="000000" w:themeColor="text1"/>
          <w:szCs w:val="24"/>
        </w:rPr>
        <w:t xml:space="preserve">3 1/2 </w:t>
      </w:r>
      <w:r>
        <w:rPr>
          <w:color w:val="000000" w:themeColor="text1"/>
          <w:szCs w:val="24"/>
        </w:rPr>
        <w:t xml:space="preserve">months after separation.  He stated that he had pain three times a week usually after twisting and improper body mechanics.  The pain rarely radiated into his buttocks.  He denied bowel </w:t>
      </w:r>
      <w:r w:rsidRPr="00C250D0">
        <w:rPr>
          <w:color w:val="000000" w:themeColor="text1"/>
          <w:szCs w:val="24"/>
        </w:rPr>
        <w:t>or bladder complaints.  He was unable to lift greater than 30</w:t>
      </w:r>
      <w:r w:rsidR="005C6392" w:rsidRPr="00C250D0">
        <w:rPr>
          <w:color w:val="000000" w:themeColor="text1"/>
          <w:szCs w:val="24"/>
        </w:rPr>
        <w:t>-40 pounds and had given up golf</w:t>
      </w:r>
      <w:r w:rsidRPr="00C250D0">
        <w:rPr>
          <w:color w:val="000000" w:themeColor="text1"/>
          <w:szCs w:val="24"/>
        </w:rPr>
        <w:t>.  Gait</w:t>
      </w:r>
      <w:r>
        <w:rPr>
          <w:color w:val="000000" w:themeColor="text1"/>
          <w:szCs w:val="24"/>
        </w:rPr>
        <w:t xml:space="preserve"> was normal and unassisted; posture was normal.  A slight loss of lumbar lordosis was noted.  ROM is above.  Pain was noted with flexion, but not on other mov</w:t>
      </w:r>
      <w:r w:rsidR="002A5E31">
        <w:rPr>
          <w:color w:val="000000" w:themeColor="text1"/>
          <w:szCs w:val="24"/>
        </w:rPr>
        <w:t>e</w:t>
      </w:r>
      <w:r>
        <w:rPr>
          <w:color w:val="000000" w:themeColor="text1"/>
          <w:szCs w:val="24"/>
        </w:rPr>
        <w:t>ment</w:t>
      </w:r>
      <w:r w:rsidR="00FB7DEA">
        <w:rPr>
          <w:color w:val="000000" w:themeColor="text1"/>
          <w:szCs w:val="24"/>
        </w:rPr>
        <w:t>s</w:t>
      </w:r>
      <w:r>
        <w:rPr>
          <w:color w:val="000000" w:themeColor="text1"/>
          <w:szCs w:val="24"/>
        </w:rPr>
        <w:t>.  The</w:t>
      </w:r>
      <w:r w:rsidR="00383C5E">
        <w:rPr>
          <w:color w:val="000000" w:themeColor="text1"/>
          <w:szCs w:val="24"/>
        </w:rPr>
        <w:t>re</w:t>
      </w:r>
      <w:r>
        <w:rPr>
          <w:color w:val="000000" w:themeColor="text1"/>
          <w:szCs w:val="24"/>
        </w:rPr>
        <w:t xml:space="preserve"> was no atrop</w:t>
      </w:r>
      <w:r w:rsidR="00383C5E">
        <w:rPr>
          <w:color w:val="000000" w:themeColor="text1"/>
          <w:szCs w:val="24"/>
        </w:rPr>
        <w:t>h</w:t>
      </w:r>
      <w:r>
        <w:rPr>
          <w:color w:val="000000" w:themeColor="text1"/>
          <w:szCs w:val="24"/>
        </w:rPr>
        <w:t>y and the neurologic exam was normal.</w:t>
      </w:r>
      <w:r w:rsidR="00D76D8F">
        <w:rPr>
          <w:color w:val="000000" w:themeColor="text1"/>
          <w:szCs w:val="24"/>
        </w:rPr>
        <w:t xml:space="preserve">  </w:t>
      </w:r>
      <w:r w:rsidR="00383C5E">
        <w:rPr>
          <w:rFonts w:cs="Times New Roman"/>
          <w:color w:val="auto"/>
        </w:rPr>
        <w:t>T</w:t>
      </w:r>
      <w:r w:rsidR="00383C5E" w:rsidRPr="00F64312">
        <w:rPr>
          <w:rFonts w:cs="Times New Roman"/>
          <w:color w:val="auto"/>
        </w:rPr>
        <w:t>he Board directs attention to its rating recommendation based on the above evidence.</w:t>
      </w:r>
      <w:r w:rsidR="00D76D8F">
        <w:rPr>
          <w:rFonts w:cs="Times New Roman"/>
          <w:color w:val="auto"/>
        </w:rPr>
        <w:t xml:space="preserve">  </w:t>
      </w:r>
      <w:r w:rsidR="00383C5E">
        <w:rPr>
          <w:color w:val="000000" w:themeColor="text1"/>
          <w:szCs w:val="24"/>
        </w:rPr>
        <w:t xml:space="preserve">The FPEB and VA both coded the condition as </w:t>
      </w:r>
      <w:r w:rsidR="00103DF3" w:rsidRPr="00103DF3">
        <w:rPr>
          <w:color w:val="000000" w:themeColor="text1"/>
          <w:szCs w:val="24"/>
        </w:rPr>
        <w:t>5242</w:t>
      </w:r>
      <w:r w:rsidR="00383C5E">
        <w:rPr>
          <w:color w:val="000000" w:themeColor="text1"/>
          <w:szCs w:val="24"/>
        </w:rPr>
        <w:t>, d</w:t>
      </w:r>
      <w:r w:rsidR="00103DF3" w:rsidRPr="00103DF3">
        <w:rPr>
          <w:color w:val="000000" w:themeColor="text1"/>
          <w:szCs w:val="24"/>
        </w:rPr>
        <w:t>egenerative arthritis of the spine</w:t>
      </w:r>
      <w:r w:rsidR="00383C5E">
        <w:rPr>
          <w:color w:val="000000" w:themeColor="text1"/>
          <w:szCs w:val="24"/>
        </w:rPr>
        <w:t xml:space="preserve">, and rated it 10%.  The Board notes that both the PEB exam and the C&amp;P rate at 10% for flexion </w:t>
      </w:r>
      <w:r w:rsidR="00C522A6">
        <w:rPr>
          <w:color w:val="000000" w:themeColor="text1"/>
          <w:szCs w:val="24"/>
        </w:rPr>
        <w:t>“</w:t>
      </w:r>
      <w:r w:rsidR="00383C5E">
        <w:rPr>
          <w:color w:val="000000" w:themeColor="text1"/>
          <w:szCs w:val="24"/>
        </w:rPr>
        <w:t>less than 85 degrees but greater than 60</w:t>
      </w:r>
      <w:r w:rsidR="0068014A">
        <w:rPr>
          <w:color w:val="000000" w:themeColor="text1"/>
          <w:szCs w:val="24"/>
        </w:rPr>
        <w:t>.</w:t>
      </w:r>
      <w:r w:rsidR="00C522A6">
        <w:rPr>
          <w:color w:val="000000" w:themeColor="text1"/>
          <w:szCs w:val="24"/>
        </w:rPr>
        <w:t>”</w:t>
      </w:r>
      <w:r w:rsidR="00383C5E">
        <w:rPr>
          <w:color w:val="000000" w:themeColor="text1"/>
          <w:szCs w:val="24"/>
        </w:rPr>
        <w:t xml:space="preserve">  The Board considered the second PEB orthopedic exam w</w:t>
      </w:r>
      <w:r w:rsidR="00C522A6">
        <w:rPr>
          <w:color w:val="000000" w:themeColor="text1"/>
          <w:szCs w:val="24"/>
        </w:rPr>
        <w:t>h</w:t>
      </w:r>
      <w:r w:rsidR="00383C5E">
        <w:rPr>
          <w:color w:val="000000" w:themeColor="text1"/>
          <w:szCs w:val="24"/>
        </w:rPr>
        <w:t>i</w:t>
      </w:r>
      <w:r w:rsidR="00C522A6">
        <w:rPr>
          <w:color w:val="000000" w:themeColor="text1"/>
          <w:szCs w:val="24"/>
        </w:rPr>
        <w:t>c</w:t>
      </w:r>
      <w:r w:rsidR="00383C5E">
        <w:rPr>
          <w:color w:val="000000" w:themeColor="text1"/>
          <w:szCs w:val="24"/>
        </w:rPr>
        <w:t xml:space="preserve">h was limited to 60 degrees of flexion.  The Board notes that </w:t>
      </w:r>
      <w:r w:rsidR="00FB7DEA">
        <w:rPr>
          <w:color w:val="000000" w:themeColor="text1"/>
          <w:szCs w:val="24"/>
        </w:rPr>
        <w:t xml:space="preserve">this examination was not consistent with </w:t>
      </w:r>
      <w:r w:rsidR="00383C5E">
        <w:rPr>
          <w:color w:val="000000" w:themeColor="text1"/>
          <w:szCs w:val="24"/>
        </w:rPr>
        <w:t>the other two exam</w:t>
      </w:r>
      <w:r w:rsidR="00FB7DEA">
        <w:rPr>
          <w:color w:val="000000" w:themeColor="text1"/>
          <w:szCs w:val="24"/>
        </w:rPr>
        <w:t>ination</w:t>
      </w:r>
      <w:r w:rsidR="00383C5E">
        <w:rPr>
          <w:color w:val="000000" w:themeColor="text1"/>
          <w:szCs w:val="24"/>
        </w:rPr>
        <w:t>s</w:t>
      </w:r>
      <w:r w:rsidR="00B514F5">
        <w:rPr>
          <w:color w:val="000000" w:themeColor="text1"/>
          <w:szCs w:val="24"/>
        </w:rPr>
        <w:t xml:space="preserve">.  </w:t>
      </w:r>
      <w:r w:rsidR="00383C5E"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383C5E">
        <w:rPr>
          <w:rFonts w:eastAsia="Calibri" w:cs="Times New Roman"/>
          <w:color w:val="auto"/>
          <w:szCs w:val="24"/>
        </w:rPr>
        <w:t>back</w:t>
      </w:r>
      <w:r w:rsidR="00383C5E" w:rsidRPr="00F64312">
        <w:rPr>
          <w:rFonts w:eastAsia="Calibri" w:cs="Times New Roman"/>
          <w:color w:val="auto"/>
          <w:szCs w:val="24"/>
        </w:rPr>
        <w:t xml:space="preserve"> condition.  </w:t>
      </w:r>
    </w:p>
    <w:p w:rsidR="00E505F0" w:rsidRDefault="00E505F0">
      <w:pPr>
        <w:rPr>
          <w:color w:val="000000" w:themeColor="text1"/>
          <w:szCs w:val="24"/>
          <w:u w:val="single"/>
        </w:rPr>
      </w:pPr>
      <w:r>
        <w:rPr>
          <w:color w:val="000000" w:themeColor="text1"/>
          <w:szCs w:val="24"/>
          <w:u w:val="single"/>
        </w:rPr>
        <w:br w:type="page"/>
      </w:r>
    </w:p>
    <w:p w:rsidR="00E7632A" w:rsidRDefault="007A3A87" w:rsidP="003E6ABE">
      <w:pPr>
        <w:jc w:val="both"/>
        <w:rPr>
          <w:rFonts w:cs="Times New Roman"/>
          <w:color w:val="auto"/>
          <w:szCs w:val="24"/>
        </w:rPr>
      </w:pPr>
      <w:r w:rsidRPr="00705A38">
        <w:rPr>
          <w:color w:val="000000" w:themeColor="text1"/>
          <w:szCs w:val="24"/>
          <w:u w:val="single"/>
        </w:rPr>
        <w:lastRenderedPageBreak/>
        <w:t xml:space="preserve">Symptomatic </w:t>
      </w:r>
      <w:proofErr w:type="spellStart"/>
      <w:r w:rsidRPr="00705A38">
        <w:rPr>
          <w:color w:val="000000" w:themeColor="text1"/>
          <w:szCs w:val="24"/>
          <w:u w:val="single"/>
        </w:rPr>
        <w:t>Osteochondral</w:t>
      </w:r>
      <w:proofErr w:type="spellEnd"/>
      <w:r w:rsidRPr="00705A38">
        <w:rPr>
          <w:color w:val="000000" w:themeColor="text1"/>
          <w:szCs w:val="24"/>
          <w:u w:val="single"/>
        </w:rPr>
        <w:t xml:space="preserve"> Defects, Bilateral </w:t>
      </w:r>
      <w:proofErr w:type="spellStart"/>
      <w:r w:rsidRPr="00705A38">
        <w:rPr>
          <w:color w:val="000000" w:themeColor="text1"/>
          <w:szCs w:val="24"/>
          <w:u w:val="single"/>
        </w:rPr>
        <w:t>Talar</w:t>
      </w:r>
      <w:proofErr w:type="spellEnd"/>
      <w:r w:rsidRPr="00705A38">
        <w:rPr>
          <w:color w:val="000000" w:themeColor="text1"/>
          <w:szCs w:val="24"/>
          <w:u w:val="single"/>
        </w:rPr>
        <w:t xml:space="preserve"> Domes</w:t>
      </w:r>
      <w:r w:rsidR="003F2EEE" w:rsidRPr="00705A38">
        <w:rPr>
          <w:color w:val="000000" w:themeColor="text1"/>
          <w:szCs w:val="24"/>
        </w:rPr>
        <w:t>.</w:t>
      </w:r>
      <w:r w:rsidR="000D4E93">
        <w:rPr>
          <w:color w:val="000000" w:themeColor="text1"/>
          <w:szCs w:val="24"/>
        </w:rPr>
        <w:t xml:space="preserve">  </w:t>
      </w:r>
      <w:r w:rsidR="0088084F">
        <w:rPr>
          <w:color w:val="auto"/>
        </w:rPr>
        <w:t xml:space="preserve">The </w:t>
      </w:r>
      <w:r w:rsidR="0088084F" w:rsidRPr="00A570FA">
        <w:rPr>
          <w:color w:val="auto"/>
        </w:rPr>
        <w:t xml:space="preserve">PEB combined the left and right </w:t>
      </w:r>
      <w:r w:rsidR="0088084F">
        <w:rPr>
          <w:color w:val="auto"/>
        </w:rPr>
        <w:t xml:space="preserve">talar dome osteochondral defects as </w:t>
      </w:r>
      <w:r w:rsidR="0088084F" w:rsidRPr="00A570FA">
        <w:rPr>
          <w:color w:val="auto"/>
        </w:rPr>
        <w:t xml:space="preserve">a single unfitting condition, coded analogously to 5003 and </w:t>
      </w:r>
      <w:r w:rsidR="0088084F">
        <w:rPr>
          <w:color w:val="auto"/>
        </w:rPr>
        <w:t xml:space="preserve">adjudicated a single </w:t>
      </w:r>
      <w:r w:rsidR="0088084F" w:rsidRPr="00A570FA">
        <w:rPr>
          <w:color w:val="auto"/>
        </w:rPr>
        <w:t>10%</w:t>
      </w:r>
      <w:r w:rsidR="0088084F">
        <w:rPr>
          <w:color w:val="auto"/>
        </w:rPr>
        <w:t xml:space="preserve"> for ankles.</w:t>
      </w:r>
      <w:r w:rsidR="000D4E93">
        <w:rPr>
          <w:color w:val="auto"/>
        </w:rPr>
        <w:t xml:space="preserve">  </w:t>
      </w:r>
      <w:r w:rsidR="0088084F">
        <w:rPr>
          <w:color w:val="auto"/>
        </w:rPr>
        <w:t>T</w:t>
      </w:r>
      <w:r w:rsidR="0088084F" w:rsidRPr="00A570FA">
        <w:rPr>
          <w:color w:val="auto"/>
        </w:rPr>
        <w:t xml:space="preserve">he Board notes that “bundling,” the combining of conditions under a single code, is permissible under the VASRD 5003 rating requirements, </w:t>
      </w:r>
      <w:r w:rsidR="0088084F">
        <w:rPr>
          <w:color w:val="auto"/>
        </w:rPr>
        <w:t xml:space="preserve">and that this approach does not compromise </w:t>
      </w:r>
      <w:r w:rsidR="0088084F" w:rsidRPr="00A570FA">
        <w:rPr>
          <w:color w:val="auto"/>
        </w:rPr>
        <w:t>the VASRD §4.7 directive to choose the higher of two valid ratings</w:t>
      </w:r>
      <w:r w:rsidR="0088084F">
        <w:rPr>
          <w:color w:val="auto"/>
        </w:rPr>
        <w:t xml:space="preserve">.  </w:t>
      </w:r>
      <w:r w:rsidR="0088084F" w:rsidRPr="00534202">
        <w:rPr>
          <w:color w:val="auto"/>
        </w:rPr>
        <w:t>Under code 5003, when the limitation of motion of the specific joint or joints involved is non</w:t>
      </w:r>
      <w:r w:rsidR="0088084F">
        <w:rPr>
          <w:color w:val="auto"/>
        </w:rPr>
        <w:t>-</w:t>
      </w:r>
      <w:r w:rsidR="0088084F" w:rsidRPr="00534202">
        <w:rPr>
          <w:color w:val="auto"/>
        </w:rPr>
        <w:t xml:space="preserve">compensable under the appropriate diagnostic codes, a rating of 10% is applied for each such major joint or group of minor joints affected by limitation of motion.  </w:t>
      </w:r>
      <w:r w:rsidR="0088084F" w:rsidRPr="006A41B2">
        <w:rPr>
          <w:color w:val="auto"/>
        </w:rPr>
        <w:t>Limitation of motion must be objectively confirmed by findings such as swelling, muscle spasm, or satisfactory evidence of painful motion.</w:t>
      </w:r>
      <w:r w:rsidR="00276B67">
        <w:rPr>
          <w:color w:val="auto"/>
        </w:rPr>
        <w:t xml:space="preserve">  </w:t>
      </w:r>
      <w:r w:rsidR="0088084F">
        <w:rPr>
          <w:color w:val="auto"/>
        </w:rPr>
        <w:t xml:space="preserve">The Board noted that PEBs often combine multiple conditions under a single rating when those conditions considered individually are not separately unfitting and </w:t>
      </w:r>
      <w:r w:rsidR="0088084F" w:rsidRPr="006D7350">
        <w:rPr>
          <w:rFonts w:cs="Times New Roman"/>
          <w:color w:val="auto"/>
          <w:szCs w:val="24"/>
        </w:rPr>
        <w:t>would not cause</w:t>
      </w:r>
      <w:r w:rsidR="0088084F">
        <w:rPr>
          <w:rFonts w:cs="Times New Roman"/>
          <w:color w:val="auto"/>
          <w:szCs w:val="24"/>
        </w:rPr>
        <w:t xml:space="preserve"> </w:t>
      </w:r>
      <w:r w:rsidR="0088084F" w:rsidRPr="006D7350">
        <w:rPr>
          <w:rFonts w:cs="Times New Roman"/>
          <w:color w:val="auto"/>
          <w:szCs w:val="24"/>
        </w:rPr>
        <w:t>the member to be referred into the DES or be found unfit because of physical disability</w:t>
      </w:r>
      <w:r w:rsidR="0088084F">
        <w:rPr>
          <w:rFonts w:cs="Times New Roman"/>
          <w:color w:val="auto"/>
          <w:szCs w:val="24"/>
        </w:rPr>
        <w:t xml:space="preserve"> </w:t>
      </w:r>
      <w:r w:rsidR="0088084F">
        <w:rPr>
          <w:color w:val="auto"/>
        </w:rPr>
        <w:t>(</w:t>
      </w:r>
      <w:r w:rsidR="0088084F">
        <w:rPr>
          <w:rFonts w:cs="Times New Roman"/>
          <w:color w:val="auto"/>
          <w:szCs w:val="24"/>
        </w:rPr>
        <w:t xml:space="preserve">DoDI 1332.38, paragraph </w:t>
      </w:r>
      <w:r w:rsidR="0088084F" w:rsidRPr="006D7350">
        <w:rPr>
          <w:rFonts w:cs="Times New Roman"/>
          <w:color w:val="auto"/>
          <w:szCs w:val="24"/>
        </w:rPr>
        <w:t>E3.P3.4.4.</w:t>
      </w:r>
      <w:r w:rsidR="0088084F">
        <w:rPr>
          <w:rFonts w:cs="Times New Roman"/>
          <w:color w:val="auto"/>
          <w:szCs w:val="24"/>
        </w:rPr>
        <w:t>; “</w:t>
      </w:r>
      <w:r w:rsidR="00E7632A">
        <w:rPr>
          <w:rFonts w:cs="Times New Roman"/>
          <w:color w:val="auto"/>
          <w:szCs w:val="24"/>
        </w:rPr>
        <w:t>o</w:t>
      </w:r>
      <w:r w:rsidR="0088084F" w:rsidRPr="006D7350">
        <w:rPr>
          <w:rFonts w:cs="Times New Roman"/>
          <w:color w:val="auto"/>
          <w:szCs w:val="24"/>
        </w:rPr>
        <w:t xml:space="preserve">verall </w:t>
      </w:r>
      <w:r w:rsidR="00E7632A">
        <w:rPr>
          <w:rFonts w:cs="Times New Roman"/>
          <w:color w:val="auto"/>
          <w:szCs w:val="24"/>
        </w:rPr>
        <w:t>e</w:t>
      </w:r>
      <w:r w:rsidR="0088084F" w:rsidRPr="006D7350">
        <w:rPr>
          <w:rFonts w:cs="Times New Roman"/>
          <w:color w:val="auto"/>
          <w:szCs w:val="24"/>
        </w:rPr>
        <w:t>ffect</w:t>
      </w:r>
      <w:r w:rsidR="0088084F">
        <w:rPr>
          <w:rFonts w:cs="Times New Roman"/>
          <w:color w:val="auto"/>
          <w:szCs w:val="24"/>
        </w:rPr>
        <w:t>”).  T</w:t>
      </w:r>
      <w:r w:rsidR="0088084F" w:rsidRPr="006D7350">
        <w:rPr>
          <w:rFonts w:cs="Times New Roman"/>
          <w:color w:val="auto"/>
          <w:szCs w:val="24"/>
        </w:rPr>
        <w:t>his approach by the PEB reflects its judgment that the constellation of conditions was unfitting, not a judgment that each condition was independently unfitting.</w:t>
      </w:r>
      <w:r w:rsidR="0088084F">
        <w:rPr>
          <w:rFonts w:cs="Times New Roman"/>
          <w:color w:val="auto"/>
          <w:szCs w:val="24"/>
        </w:rPr>
        <w:t xml:space="preserve">  When combining conditions in this manner, the PEBs concluded that </w:t>
      </w:r>
      <w:r w:rsidR="0088084F" w:rsidRPr="006D7350">
        <w:rPr>
          <w:rFonts w:cs="Times New Roman"/>
          <w:color w:val="auto"/>
          <w:szCs w:val="24"/>
        </w:rPr>
        <w:t>there was no need for separate fitness</w:t>
      </w:r>
      <w:r w:rsidR="0088084F">
        <w:rPr>
          <w:rFonts w:cs="Times New Roman"/>
          <w:color w:val="auto"/>
          <w:szCs w:val="24"/>
        </w:rPr>
        <w:t xml:space="preserve"> adjudications.  </w:t>
      </w:r>
    </w:p>
    <w:p w:rsidR="00E7632A" w:rsidRDefault="00E7632A" w:rsidP="003E6ABE">
      <w:pPr>
        <w:jc w:val="both"/>
        <w:rPr>
          <w:rFonts w:cs="Times New Roman"/>
          <w:color w:val="auto"/>
          <w:szCs w:val="24"/>
        </w:rPr>
      </w:pPr>
    </w:p>
    <w:p w:rsidR="00E7632A" w:rsidRDefault="0088084F" w:rsidP="003E6ABE">
      <w:pPr>
        <w:jc w:val="both"/>
        <w:rPr>
          <w:color w:val="000000" w:themeColor="text1"/>
          <w:szCs w:val="24"/>
        </w:rPr>
      </w:pPr>
      <w:r>
        <w:rPr>
          <w:rFonts w:cs="Times New Roman"/>
          <w:color w:val="auto"/>
          <w:szCs w:val="24"/>
        </w:rPr>
        <w:t>However, t</w:t>
      </w:r>
      <w:r w:rsidRPr="006D7350">
        <w:rPr>
          <w:rFonts w:cs="Times New Roman"/>
          <w:color w:val="auto"/>
          <w:szCs w:val="24"/>
        </w:rPr>
        <w:t>he Board must apply separate codes and ratings in its recommendations if compensable ratings for each condition are achieved IAW VASRD §4.71a.</w:t>
      </w:r>
      <w:r>
        <w:rPr>
          <w:rFonts w:cs="Times New Roman"/>
          <w:color w:val="auto"/>
          <w:szCs w:val="24"/>
        </w:rPr>
        <w:t xml:space="preserve">  </w:t>
      </w:r>
      <w:r w:rsidRPr="006D7350">
        <w:rPr>
          <w:rFonts w:cs="Times New Roman"/>
          <w:color w:val="auto"/>
          <w:szCs w:val="24"/>
        </w:rPr>
        <w:t xml:space="preserve">If the Board judges that two or more separate ratings are warranted in such cases, however, it must satisfy the requirement that each </w:t>
      </w:r>
      <w:r>
        <w:rPr>
          <w:rFonts w:cs="Times New Roman"/>
          <w:color w:val="auto"/>
          <w:szCs w:val="24"/>
        </w:rPr>
        <w:t xml:space="preserve">unbundled </w:t>
      </w:r>
      <w:r w:rsidRPr="006D7350">
        <w:rPr>
          <w:rFonts w:cs="Times New Roman"/>
          <w:color w:val="auto"/>
          <w:szCs w:val="24"/>
        </w:rPr>
        <w:t>condition was unfitting in and of itself.</w:t>
      </w:r>
      <w:r>
        <w:rPr>
          <w:rFonts w:cs="Times New Roman"/>
          <w:color w:val="auto"/>
          <w:szCs w:val="24"/>
        </w:rPr>
        <w:t xml:space="preserve">  </w:t>
      </w:r>
      <w:r w:rsidRPr="006D7350">
        <w:rPr>
          <w:rFonts w:cs="Times New Roman"/>
          <w:color w:val="auto"/>
          <w:szCs w:val="24"/>
        </w:rPr>
        <w:t>Thus the Board must exercise the prerogative of separate fitness recommendations in this circumstance, with the caveat that its recommendations may not produce a lower combined rating than that of the PEB.</w:t>
      </w:r>
      <w:r>
        <w:rPr>
          <w:rFonts w:cs="Times New Roman"/>
          <w:color w:val="auto"/>
          <w:szCs w:val="24"/>
        </w:rPr>
        <w:t xml:space="preserve">  The Board therefore considered whether the right ankle (talar dome </w:t>
      </w:r>
      <w:r>
        <w:rPr>
          <w:color w:val="auto"/>
        </w:rPr>
        <w:t>osteochondral defect</w:t>
      </w:r>
      <w:r>
        <w:rPr>
          <w:rFonts w:cs="Times New Roman"/>
          <w:color w:val="auto"/>
          <w:szCs w:val="24"/>
        </w:rPr>
        <w:t xml:space="preserve">) and the left ankle (talar dome </w:t>
      </w:r>
      <w:r>
        <w:rPr>
          <w:color w:val="auto"/>
        </w:rPr>
        <w:t>osteochondral defect</w:t>
      </w:r>
      <w:r>
        <w:rPr>
          <w:rFonts w:cs="Times New Roman"/>
          <w:color w:val="auto"/>
          <w:szCs w:val="24"/>
        </w:rPr>
        <w:t>) considered alone was unfitting for continued military service.</w:t>
      </w:r>
      <w:r w:rsidR="00D76D8F">
        <w:rPr>
          <w:rFonts w:cs="Times New Roman"/>
          <w:color w:val="auto"/>
          <w:szCs w:val="24"/>
        </w:rPr>
        <w:t xml:space="preserve">  </w:t>
      </w:r>
      <w:r w:rsidR="00E505F0">
        <w:rPr>
          <w:color w:val="000000" w:themeColor="text1"/>
          <w:szCs w:val="24"/>
        </w:rPr>
        <w:t>On 6 March 2002, the CI was incidentally discovered to have bilateral osteochondral defects of the medial talar dome during an MRI done for chronic heel pain secondary to bilateral plantar fasciitis</w:t>
      </w:r>
      <w:r w:rsidR="00A203F3">
        <w:rPr>
          <w:color w:val="000000" w:themeColor="text1"/>
          <w:szCs w:val="24"/>
        </w:rPr>
        <w:t xml:space="preserve"> (t</w:t>
      </w:r>
      <w:r w:rsidR="00A203F3" w:rsidRPr="00D54BD6">
        <w:rPr>
          <w:color w:val="000000" w:themeColor="text1"/>
          <w:szCs w:val="24"/>
        </w:rPr>
        <w:t>he plantar fasciitis was successfully treated with bilateral fasciectomies</w:t>
      </w:r>
      <w:r w:rsidR="00A203F3">
        <w:rPr>
          <w:color w:val="000000" w:themeColor="text1"/>
          <w:szCs w:val="24"/>
        </w:rPr>
        <w:t>)</w:t>
      </w:r>
      <w:r w:rsidR="00E505F0">
        <w:rPr>
          <w:color w:val="000000" w:themeColor="text1"/>
          <w:szCs w:val="24"/>
        </w:rPr>
        <w:t>.</w:t>
      </w:r>
      <w:r w:rsidR="00A203F3">
        <w:rPr>
          <w:color w:val="000000" w:themeColor="text1"/>
          <w:szCs w:val="24"/>
        </w:rPr>
        <w:t xml:space="preserve">  The talar dome osteochondral defects were </w:t>
      </w:r>
      <w:r w:rsidR="00E505F0">
        <w:rPr>
          <w:color w:val="000000" w:themeColor="text1"/>
          <w:szCs w:val="24"/>
        </w:rPr>
        <w:t xml:space="preserve">initially asymptomatic and </w:t>
      </w:r>
      <w:r w:rsidR="00A203F3">
        <w:rPr>
          <w:color w:val="000000" w:themeColor="text1"/>
          <w:szCs w:val="24"/>
        </w:rPr>
        <w:t xml:space="preserve">the ankles </w:t>
      </w:r>
      <w:r w:rsidR="00E505F0">
        <w:rPr>
          <w:color w:val="000000" w:themeColor="text1"/>
          <w:szCs w:val="24"/>
        </w:rPr>
        <w:t>had full range of motion, but became symptomatic with impact sports over the next year.</w:t>
      </w:r>
      <w:r w:rsidR="00A203F3">
        <w:rPr>
          <w:color w:val="000000" w:themeColor="text1"/>
          <w:szCs w:val="24"/>
        </w:rPr>
        <w:t xml:space="preserve">  </w:t>
      </w:r>
      <w:r w:rsidR="00E505F0">
        <w:rPr>
          <w:color w:val="000000" w:themeColor="text1"/>
          <w:szCs w:val="24"/>
        </w:rPr>
        <w:t>Treatment for the ankles, including activity modification, non-steroidal anti-inflammatory drugs (NSAIDs) and physical therapy (PT), was inadequate, although he was primarily symptomatic on the right.  Surgery was discussed, but declined due to the low likelihood of a long-term benefit to his problem</w:t>
      </w:r>
      <w:r w:rsidR="00A203F3">
        <w:rPr>
          <w:color w:val="000000" w:themeColor="text1"/>
          <w:szCs w:val="24"/>
        </w:rPr>
        <w:t xml:space="preserve">; considered a reasonable decision by his </w:t>
      </w:r>
      <w:r w:rsidR="00E505F0">
        <w:rPr>
          <w:color w:val="000000" w:themeColor="text1"/>
          <w:szCs w:val="24"/>
        </w:rPr>
        <w:t xml:space="preserve">surgeon.  The </w:t>
      </w:r>
      <w:r w:rsidR="00A203F3">
        <w:rPr>
          <w:color w:val="000000" w:themeColor="text1"/>
          <w:szCs w:val="24"/>
        </w:rPr>
        <w:t xml:space="preserve">MEB </w:t>
      </w:r>
      <w:r w:rsidR="00E505F0">
        <w:rPr>
          <w:color w:val="000000" w:themeColor="text1"/>
          <w:szCs w:val="24"/>
        </w:rPr>
        <w:t>NARSUM</w:t>
      </w:r>
      <w:r w:rsidR="00A203F3">
        <w:rPr>
          <w:color w:val="000000" w:themeColor="text1"/>
          <w:szCs w:val="24"/>
        </w:rPr>
        <w:t xml:space="preserve">, </w:t>
      </w:r>
      <w:r w:rsidR="00E7632A">
        <w:rPr>
          <w:color w:val="000000" w:themeColor="text1"/>
          <w:szCs w:val="24"/>
        </w:rPr>
        <w:t xml:space="preserve">performed on </w:t>
      </w:r>
      <w:r w:rsidR="00E505F0">
        <w:rPr>
          <w:color w:val="000000" w:themeColor="text1"/>
          <w:szCs w:val="24"/>
        </w:rPr>
        <w:t>17 March 2005</w:t>
      </w:r>
      <w:r w:rsidR="00A203F3">
        <w:rPr>
          <w:color w:val="000000" w:themeColor="text1"/>
          <w:szCs w:val="24"/>
        </w:rPr>
        <w:t xml:space="preserve">, </w:t>
      </w:r>
      <w:r w:rsidR="00E505F0">
        <w:rPr>
          <w:color w:val="000000" w:themeColor="text1"/>
          <w:szCs w:val="24"/>
        </w:rPr>
        <w:t xml:space="preserve">noted that his symptoms waxed and waned, but </w:t>
      </w:r>
      <w:proofErr w:type="gramStart"/>
      <w:r w:rsidR="00E505F0">
        <w:rPr>
          <w:color w:val="000000" w:themeColor="text1"/>
          <w:szCs w:val="24"/>
        </w:rPr>
        <w:t>were</w:t>
      </w:r>
      <w:proofErr w:type="gramEnd"/>
      <w:r w:rsidR="00E505F0">
        <w:rPr>
          <w:color w:val="000000" w:themeColor="text1"/>
          <w:szCs w:val="24"/>
        </w:rPr>
        <w:t xml:space="preserve"> particularly aggravated by impact sports.  </w:t>
      </w:r>
      <w:r w:rsidR="00A203F3">
        <w:rPr>
          <w:color w:val="000000" w:themeColor="text1"/>
          <w:szCs w:val="24"/>
        </w:rPr>
        <w:t xml:space="preserve">There were no symptoms of </w:t>
      </w:r>
      <w:r w:rsidR="00E505F0">
        <w:rPr>
          <w:color w:val="000000" w:themeColor="text1"/>
          <w:szCs w:val="24"/>
        </w:rPr>
        <w:t>instability.</w:t>
      </w:r>
      <w:r w:rsidR="00A203F3">
        <w:rPr>
          <w:color w:val="000000" w:themeColor="text1"/>
          <w:szCs w:val="24"/>
        </w:rPr>
        <w:t xml:space="preserve">  On examination, there was no swelling, </w:t>
      </w:r>
      <w:r w:rsidR="00E505F0">
        <w:rPr>
          <w:color w:val="000000" w:themeColor="text1"/>
          <w:szCs w:val="24"/>
        </w:rPr>
        <w:t>but he was tender over the talar domes bilaterally.  R</w:t>
      </w:r>
      <w:r w:rsidR="00E7632A">
        <w:rPr>
          <w:color w:val="000000" w:themeColor="text1"/>
          <w:szCs w:val="24"/>
        </w:rPr>
        <w:t xml:space="preserve">OM </w:t>
      </w:r>
      <w:r w:rsidR="00A203F3">
        <w:rPr>
          <w:color w:val="000000" w:themeColor="text1"/>
          <w:szCs w:val="24"/>
        </w:rPr>
        <w:t xml:space="preserve">was five degrees of dorsiflexion and 25 degrees plantar flexion in both ankles.  Motor strength and gait were normal.  </w:t>
      </w:r>
      <w:r w:rsidR="00E505F0">
        <w:rPr>
          <w:color w:val="000000" w:themeColor="text1"/>
          <w:szCs w:val="24"/>
        </w:rPr>
        <w:t xml:space="preserve">A second orthopedic examination was performed </w:t>
      </w:r>
      <w:r w:rsidR="00E7632A">
        <w:rPr>
          <w:color w:val="000000" w:themeColor="text1"/>
          <w:szCs w:val="24"/>
        </w:rPr>
        <w:t xml:space="preserve">on </w:t>
      </w:r>
      <w:r w:rsidR="00E505F0">
        <w:rPr>
          <w:color w:val="000000" w:themeColor="text1"/>
          <w:szCs w:val="24"/>
        </w:rPr>
        <w:t xml:space="preserve">12 September 2005 at the request of the CI’s counsel.  It was noted that his symptoms increased with activity and improved with rest.  Popping was noted, but the ankles did not give way.  There was no swelling, erythema, warmth or laxity and the anterior drawer’s test was negative.  Motion about the anteromedial aspect of the talar dome was painful.  </w:t>
      </w:r>
      <w:r w:rsidR="006D570F">
        <w:rPr>
          <w:color w:val="000000" w:themeColor="text1"/>
          <w:szCs w:val="24"/>
        </w:rPr>
        <w:t xml:space="preserve">Range of motion was unchanged from the MEB NARSUM (five degrees of dorsiflexion and 25 degrees plantar flexion in both ankles).  </w:t>
      </w:r>
      <w:r w:rsidR="00E505F0">
        <w:rPr>
          <w:color w:val="000000" w:themeColor="text1"/>
          <w:szCs w:val="24"/>
        </w:rPr>
        <w:t>Gait and stance were normal as were heel and toe walking.</w:t>
      </w:r>
      <w:r w:rsidR="006D570F">
        <w:rPr>
          <w:color w:val="000000" w:themeColor="text1"/>
          <w:szCs w:val="24"/>
        </w:rPr>
        <w:t xml:space="preserve"> </w:t>
      </w:r>
      <w:r w:rsidR="00E505F0">
        <w:rPr>
          <w:color w:val="000000" w:themeColor="text1"/>
          <w:szCs w:val="24"/>
        </w:rPr>
        <w:t xml:space="preserve"> The C&amp;P Exam was </w:t>
      </w:r>
      <w:r w:rsidR="00E7632A">
        <w:rPr>
          <w:color w:val="000000" w:themeColor="text1"/>
          <w:szCs w:val="24"/>
        </w:rPr>
        <w:t>3</w:t>
      </w:r>
      <w:r w:rsidR="00E505F0">
        <w:rPr>
          <w:color w:val="000000" w:themeColor="text1"/>
          <w:szCs w:val="24"/>
        </w:rPr>
        <w:t xml:space="preserve"> months after separation.  The osteochondral conditions were addressed indirectly in the history.  Gait and stance were normal.  No ambulatory aids were in use although the CI did have orthotics for the bilateral plantar fasciitis.  On imaging the </w:t>
      </w:r>
      <w:r w:rsidR="00E505F0" w:rsidRPr="00C9123F">
        <w:rPr>
          <w:color w:val="000000" w:themeColor="text1"/>
          <w:szCs w:val="24"/>
        </w:rPr>
        <w:t>ankle mortise</w:t>
      </w:r>
      <w:r w:rsidR="00E505F0">
        <w:rPr>
          <w:color w:val="000000" w:themeColor="text1"/>
          <w:szCs w:val="24"/>
        </w:rPr>
        <w:t>s</w:t>
      </w:r>
      <w:r w:rsidR="00E505F0" w:rsidRPr="00C9123F">
        <w:rPr>
          <w:color w:val="000000" w:themeColor="text1"/>
          <w:szCs w:val="24"/>
        </w:rPr>
        <w:t xml:space="preserve"> </w:t>
      </w:r>
      <w:r w:rsidR="00E505F0">
        <w:rPr>
          <w:color w:val="000000" w:themeColor="text1"/>
          <w:szCs w:val="24"/>
        </w:rPr>
        <w:t>were</w:t>
      </w:r>
      <w:r w:rsidR="00E505F0" w:rsidRPr="00C9123F">
        <w:rPr>
          <w:color w:val="000000" w:themeColor="text1"/>
          <w:szCs w:val="24"/>
        </w:rPr>
        <w:t xml:space="preserve"> normally outlined</w:t>
      </w:r>
      <w:r w:rsidR="00E505F0">
        <w:rPr>
          <w:color w:val="000000" w:themeColor="text1"/>
          <w:szCs w:val="24"/>
        </w:rPr>
        <w:t xml:space="preserve"> </w:t>
      </w:r>
      <w:r w:rsidR="00E505F0" w:rsidRPr="00C9123F">
        <w:rPr>
          <w:color w:val="000000" w:themeColor="text1"/>
          <w:szCs w:val="24"/>
        </w:rPr>
        <w:t>bilaterally</w:t>
      </w:r>
      <w:r w:rsidR="00E505F0">
        <w:rPr>
          <w:color w:val="000000" w:themeColor="text1"/>
          <w:szCs w:val="24"/>
        </w:rPr>
        <w:t>, but degenerative changes were noted posteriorly on the right ankle along with b</w:t>
      </w:r>
      <w:r w:rsidR="00E505F0" w:rsidRPr="00C9123F">
        <w:rPr>
          <w:color w:val="000000" w:themeColor="text1"/>
          <w:szCs w:val="24"/>
        </w:rPr>
        <w:t>ilateral heel spurs</w:t>
      </w:r>
      <w:r w:rsidR="00E505F0">
        <w:rPr>
          <w:color w:val="000000" w:themeColor="text1"/>
          <w:szCs w:val="24"/>
        </w:rPr>
        <w:t>.  The impression of the examiner was “b/l talar dome osteochondral defect, symptomatic, mild functional impact r</w:t>
      </w:r>
      <w:r w:rsidR="00E7632A">
        <w:rPr>
          <w:color w:val="000000" w:themeColor="text1"/>
          <w:szCs w:val="24"/>
        </w:rPr>
        <w:t>ight greater than left symptom.”</w:t>
      </w:r>
      <w:r w:rsidR="00D76D8F">
        <w:rPr>
          <w:color w:val="000000" w:themeColor="text1"/>
          <w:szCs w:val="24"/>
        </w:rPr>
        <w:t xml:space="preserve">  </w:t>
      </w:r>
      <w:r w:rsidR="006D570F" w:rsidRPr="006D570F">
        <w:rPr>
          <w:color w:val="000000" w:themeColor="text1"/>
          <w:szCs w:val="24"/>
        </w:rPr>
        <w:t xml:space="preserve">The Board </w:t>
      </w:r>
      <w:r w:rsidR="00E505F0" w:rsidRPr="006D570F">
        <w:rPr>
          <w:color w:val="000000" w:themeColor="text1"/>
          <w:szCs w:val="24"/>
        </w:rPr>
        <w:t xml:space="preserve">first considered if the </w:t>
      </w:r>
      <w:r w:rsidR="006D570F" w:rsidRPr="006D570F">
        <w:rPr>
          <w:color w:val="000000" w:themeColor="text1"/>
          <w:szCs w:val="24"/>
        </w:rPr>
        <w:t xml:space="preserve">right and left </w:t>
      </w:r>
      <w:r w:rsidR="00E505F0" w:rsidRPr="006D570F">
        <w:rPr>
          <w:color w:val="000000" w:themeColor="text1"/>
          <w:szCs w:val="24"/>
        </w:rPr>
        <w:t xml:space="preserve">talar </w:t>
      </w:r>
      <w:r w:rsidR="006D570F" w:rsidRPr="006D570F">
        <w:rPr>
          <w:color w:val="000000" w:themeColor="text1"/>
          <w:szCs w:val="24"/>
        </w:rPr>
        <w:t xml:space="preserve">dome </w:t>
      </w:r>
      <w:r w:rsidR="00E505F0" w:rsidRPr="006D570F">
        <w:rPr>
          <w:color w:val="000000" w:themeColor="text1"/>
          <w:szCs w:val="24"/>
        </w:rPr>
        <w:t>osteochondral defects were separately unfitting.</w:t>
      </w:r>
      <w:r w:rsidR="006D570F" w:rsidRPr="006D570F">
        <w:rPr>
          <w:color w:val="000000" w:themeColor="text1"/>
          <w:szCs w:val="24"/>
        </w:rPr>
        <w:t xml:space="preserve">  The Board notes that the clinical record consistently records the right ankle as more symptomatic than the left and that many entries were solely for the right ankle.</w:t>
      </w:r>
      <w:r w:rsidR="006D570F">
        <w:rPr>
          <w:color w:val="000000" w:themeColor="text1"/>
          <w:szCs w:val="24"/>
        </w:rPr>
        <w:t xml:space="preserve">  </w:t>
      </w:r>
      <w:r w:rsidR="00E505F0" w:rsidRPr="006D570F">
        <w:rPr>
          <w:color w:val="000000" w:themeColor="text1"/>
          <w:szCs w:val="24"/>
        </w:rPr>
        <w:t>The service</w:t>
      </w:r>
      <w:r w:rsidR="004D7A59">
        <w:rPr>
          <w:color w:val="000000" w:themeColor="text1"/>
          <w:szCs w:val="24"/>
        </w:rPr>
        <w:t xml:space="preserve"> </w:t>
      </w:r>
      <w:r w:rsidR="00E505F0" w:rsidRPr="006D570F">
        <w:rPr>
          <w:color w:val="000000" w:themeColor="text1"/>
          <w:szCs w:val="24"/>
        </w:rPr>
        <w:t xml:space="preserve">treatment </w:t>
      </w:r>
      <w:r w:rsidR="00E505F0" w:rsidRPr="006D570F">
        <w:rPr>
          <w:color w:val="000000" w:themeColor="text1"/>
          <w:szCs w:val="24"/>
        </w:rPr>
        <w:lastRenderedPageBreak/>
        <w:t xml:space="preserve">record consistently showed medical appointments for the right ankle, but not the left except in conjunction with the right.  Imaging of the ankles was significant for posterior degenerative changes on the right.  While ROM was reduced symmetrically, the gait and stance were consistently normal, indicating that the limited ROM had no functional impact on the CI’s gait.  The Board reviewed all the evidence.  It noted the 28 April 2006 C&amp;P </w:t>
      </w:r>
      <w:r w:rsidR="00852C8F">
        <w:rPr>
          <w:color w:val="000000" w:themeColor="text1"/>
          <w:szCs w:val="24"/>
        </w:rPr>
        <w:t xml:space="preserve">exam </w:t>
      </w:r>
      <w:r w:rsidR="00E505F0" w:rsidRPr="006D570F">
        <w:rPr>
          <w:color w:val="000000" w:themeColor="text1"/>
          <w:szCs w:val="24"/>
        </w:rPr>
        <w:t>referenced a</w:t>
      </w:r>
      <w:r w:rsidR="00E7632A">
        <w:rPr>
          <w:color w:val="000000" w:themeColor="text1"/>
          <w:szCs w:val="24"/>
        </w:rPr>
        <w:t xml:space="preserve"> </w:t>
      </w:r>
      <w:r w:rsidR="00E505F0" w:rsidRPr="006D570F">
        <w:rPr>
          <w:color w:val="000000" w:themeColor="text1"/>
          <w:szCs w:val="24"/>
        </w:rPr>
        <w:t xml:space="preserve">March 2006 </w:t>
      </w:r>
      <w:r w:rsidR="006D570F" w:rsidRPr="006D570F">
        <w:rPr>
          <w:color w:val="000000" w:themeColor="text1"/>
          <w:szCs w:val="24"/>
        </w:rPr>
        <w:t>r</w:t>
      </w:r>
      <w:r w:rsidR="00E505F0" w:rsidRPr="006D570F">
        <w:rPr>
          <w:color w:val="000000" w:themeColor="text1"/>
          <w:szCs w:val="24"/>
        </w:rPr>
        <w:t xml:space="preserve">heumatology note which documented left knee pain, but no problems with other joints.  The same C&amp;P </w:t>
      </w:r>
      <w:r w:rsidR="00852C8F">
        <w:rPr>
          <w:color w:val="000000" w:themeColor="text1"/>
          <w:szCs w:val="24"/>
        </w:rPr>
        <w:t>exam</w:t>
      </w:r>
      <w:r w:rsidR="00E7632A">
        <w:rPr>
          <w:color w:val="000000" w:themeColor="text1"/>
          <w:szCs w:val="24"/>
        </w:rPr>
        <w:t>iner</w:t>
      </w:r>
      <w:r w:rsidR="00852C8F">
        <w:rPr>
          <w:color w:val="000000" w:themeColor="text1"/>
          <w:szCs w:val="24"/>
        </w:rPr>
        <w:t xml:space="preserve"> </w:t>
      </w:r>
      <w:r w:rsidR="00E505F0" w:rsidRPr="006D570F">
        <w:rPr>
          <w:color w:val="000000" w:themeColor="text1"/>
          <w:szCs w:val="24"/>
        </w:rPr>
        <w:t xml:space="preserve">noted the CI thought </w:t>
      </w:r>
      <w:r w:rsidR="00852C8F">
        <w:rPr>
          <w:color w:val="000000" w:themeColor="text1"/>
          <w:szCs w:val="24"/>
        </w:rPr>
        <w:t>t</w:t>
      </w:r>
      <w:r w:rsidR="00E505F0" w:rsidRPr="006D570F">
        <w:rPr>
          <w:color w:val="000000" w:themeColor="text1"/>
          <w:szCs w:val="24"/>
        </w:rPr>
        <w:t>he foot condition for which he was being evaluated most likely referred to “residual of the plantar fasciectomy and occasional cramping of his toes” without mention of ankle pain.  The Board concluded that the left ankle would not have been separately unfitting in the absence of the right ankle pathology.</w:t>
      </w:r>
      <w:r w:rsidR="00D76D8F">
        <w:rPr>
          <w:color w:val="000000" w:themeColor="text1"/>
          <w:szCs w:val="24"/>
        </w:rPr>
        <w:t xml:space="preserve">  </w:t>
      </w:r>
      <w:r w:rsidR="00E505F0" w:rsidRPr="006D570F">
        <w:rPr>
          <w:color w:val="000000" w:themeColor="text1"/>
          <w:szCs w:val="24"/>
        </w:rPr>
        <w:t>The Board then considered the appropriate rating for the unfitting right ankle.</w:t>
      </w:r>
      <w:r w:rsidR="00BE4669">
        <w:rPr>
          <w:color w:val="000000" w:themeColor="text1"/>
          <w:szCs w:val="24"/>
        </w:rPr>
        <w:t xml:space="preserve">  </w:t>
      </w:r>
    </w:p>
    <w:p w:rsidR="00E7632A" w:rsidRDefault="00E7632A" w:rsidP="003E6ABE">
      <w:pPr>
        <w:jc w:val="both"/>
        <w:rPr>
          <w:color w:val="000000" w:themeColor="text1"/>
          <w:szCs w:val="24"/>
        </w:rPr>
      </w:pPr>
    </w:p>
    <w:p w:rsidR="006D570F" w:rsidRPr="003E6ABE" w:rsidRDefault="00BE4669" w:rsidP="003E6ABE">
      <w:pPr>
        <w:jc w:val="both"/>
        <w:rPr>
          <w:color w:val="000000" w:themeColor="text1"/>
          <w:szCs w:val="24"/>
        </w:rPr>
      </w:pPr>
      <w:r>
        <w:rPr>
          <w:color w:val="000000" w:themeColor="text1"/>
          <w:szCs w:val="24"/>
        </w:rPr>
        <w:t>The Board considered rating under the diagnostic code for ankle limitation or motion (5271).</w:t>
      </w:r>
      <w:r w:rsidR="003E6ABE">
        <w:rPr>
          <w:color w:val="000000" w:themeColor="text1"/>
          <w:szCs w:val="24"/>
        </w:rPr>
        <w:t xml:space="preserve">  The</w:t>
      </w:r>
      <w:r w:rsidR="003E6ABE" w:rsidRPr="00E82EAC">
        <w:rPr>
          <w:color w:val="000000" w:themeColor="text1"/>
          <w:szCs w:val="24"/>
        </w:rPr>
        <w:t xml:space="preserve"> VASRD does not define the limitation for either marked or moderate limitation under code 5271.  </w:t>
      </w:r>
      <w:r w:rsidR="003E6ABE">
        <w:rPr>
          <w:color w:val="000000" w:themeColor="text1"/>
          <w:szCs w:val="24"/>
        </w:rPr>
        <w:t>A</w:t>
      </w:r>
      <w:r>
        <w:rPr>
          <w:color w:val="000000" w:themeColor="text1"/>
          <w:szCs w:val="24"/>
        </w:rPr>
        <w:t xml:space="preserve">lthough there was limitation of motion, the normal gait </w:t>
      </w:r>
      <w:r w:rsidR="003E6ABE">
        <w:rPr>
          <w:color w:val="000000" w:themeColor="text1"/>
          <w:szCs w:val="24"/>
        </w:rPr>
        <w:t xml:space="preserve">on multiple examinations </w:t>
      </w:r>
      <w:r>
        <w:rPr>
          <w:color w:val="000000" w:themeColor="text1"/>
          <w:szCs w:val="24"/>
        </w:rPr>
        <w:t>was not consistent with a moderate limitation of motion for the minimum rating under this code.</w:t>
      </w:r>
      <w:r w:rsidR="003E6ABE">
        <w:rPr>
          <w:color w:val="000000" w:themeColor="text1"/>
          <w:szCs w:val="24"/>
        </w:rPr>
        <w:t xml:space="preserve">  The Board also noted minimum rating was not attained under other ankle codes (such as </w:t>
      </w:r>
      <w:r w:rsidR="006D570F" w:rsidRPr="00E82EAC">
        <w:rPr>
          <w:color w:val="000000" w:themeColor="text1"/>
          <w:szCs w:val="24"/>
        </w:rPr>
        <w:t xml:space="preserve">5272 for ankylosis of the tarsus </w:t>
      </w:r>
      <w:r w:rsidR="003E6ABE">
        <w:rPr>
          <w:color w:val="000000" w:themeColor="text1"/>
          <w:szCs w:val="24"/>
        </w:rPr>
        <w:t xml:space="preserve">or </w:t>
      </w:r>
      <w:r w:rsidR="006D570F" w:rsidRPr="00E82EAC">
        <w:rPr>
          <w:color w:val="000000" w:themeColor="text1"/>
          <w:szCs w:val="24"/>
        </w:rPr>
        <w:t>5273 malunion of the talus</w:t>
      </w:r>
      <w:r w:rsidR="003E6ABE">
        <w:rPr>
          <w:color w:val="000000" w:themeColor="text1"/>
          <w:szCs w:val="24"/>
        </w:rPr>
        <w:t xml:space="preserve">).  Foot injuries, other (5284) indicates a moderate level of impairment for 10%.  </w:t>
      </w:r>
      <w:r w:rsidR="006D570F" w:rsidRPr="003E6ABE">
        <w:rPr>
          <w:color w:val="000000" w:themeColor="text1"/>
          <w:szCs w:val="24"/>
        </w:rPr>
        <w:t xml:space="preserve">The Board also considered the application of VASRD §4.59, painful motion </w:t>
      </w:r>
      <w:r w:rsidR="003E6ABE" w:rsidRPr="003E6ABE">
        <w:rPr>
          <w:color w:val="000000" w:themeColor="text1"/>
          <w:szCs w:val="24"/>
        </w:rPr>
        <w:t xml:space="preserve">and §4.40 (functional loss) </w:t>
      </w:r>
      <w:r w:rsidR="006D570F" w:rsidRPr="003E6ABE">
        <w:rPr>
          <w:color w:val="000000" w:themeColor="text1"/>
          <w:szCs w:val="24"/>
        </w:rPr>
        <w:t>to the ankle condition.  It noted that the VASRD states that the intent is that the painful joint is “entitled to at least the minimum compensable rating for the joint.</w:t>
      </w:r>
      <w:r w:rsidR="00852C8F">
        <w:rPr>
          <w:color w:val="000000" w:themeColor="text1"/>
          <w:szCs w:val="24"/>
        </w:rPr>
        <w:t>”</w:t>
      </w:r>
      <w:r w:rsidR="003E6ABE">
        <w:rPr>
          <w:color w:val="000000" w:themeColor="text1"/>
          <w:szCs w:val="24"/>
        </w:rPr>
        <w:t xml:space="preserve">  </w:t>
      </w:r>
      <w:r w:rsidR="006D570F" w:rsidRPr="003E6ABE">
        <w:rPr>
          <w:color w:val="000000" w:themeColor="text1"/>
          <w:szCs w:val="24"/>
        </w:rPr>
        <w:t xml:space="preserve">After due deliberation, considering all of the evidence and mindful of VASRD §4.59 (painful motion) and VASRD §4.3 (reasonable doubt), the Board recommends </w:t>
      </w:r>
      <w:r w:rsidR="003E6ABE" w:rsidRPr="003E6ABE">
        <w:rPr>
          <w:color w:val="000000" w:themeColor="text1"/>
          <w:szCs w:val="24"/>
        </w:rPr>
        <w:t xml:space="preserve">a </w:t>
      </w:r>
      <w:r w:rsidR="006D570F" w:rsidRPr="003E6ABE">
        <w:rPr>
          <w:color w:val="000000" w:themeColor="text1"/>
          <w:szCs w:val="24"/>
        </w:rPr>
        <w:t>disability rating of 10% for the right ankle condition</w:t>
      </w:r>
      <w:r w:rsidR="003E6ABE" w:rsidRPr="003E6ABE">
        <w:rPr>
          <w:color w:val="000000" w:themeColor="text1"/>
          <w:szCs w:val="24"/>
        </w:rPr>
        <w:t xml:space="preserve"> coded 5299-5271</w:t>
      </w:r>
      <w:r w:rsidR="006D570F" w:rsidRPr="003E6ABE">
        <w:rPr>
          <w:color w:val="000000" w:themeColor="text1"/>
          <w:szCs w:val="24"/>
        </w:rPr>
        <w:t xml:space="preserve">. </w:t>
      </w:r>
    </w:p>
    <w:p w:rsidR="0028719B" w:rsidRPr="001F29F9" w:rsidRDefault="0028719B"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E6ABE" w:rsidRPr="00F64312" w:rsidRDefault="00C56FC8" w:rsidP="00C522A6">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w:t>
      </w:r>
      <w:r w:rsidRPr="005B3EF6">
        <w:rPr>
          <w:rFonts w:eastAsiaTheme="minorHAnsi"/>
          <w:color w:val="000000" w:themeColor="text1"/>
          <w:szCs w:val="24"/>
        </w:rPr>
        <w:t>VASRD in effect at the time of the adjudication</w:t>
      </w:r>
      <w:r w:rsidR="003C53E8" w:rsidRPr="000D4E93">
        <w:rPr>
          <w:rFonts w:eastAsiaTheme="minorHAnsi"/>
          <w:color w:val="000000" w:themeColor="text1"/>
          <w:szCs w:val="24"/>
        </w:rPr>
        <w:t xml:space="preserve">. </w:t>
      </w:r>
      <w:r w:rsidR="00C522A6" w:rsidRPr="000D4E93">
        <w:rPr>
          <w:rFonts w:eastAsiaTheme="minorHAnsi"/>
          <w:color w:val="000000" w:themeColor="text1"/>
          <w:szCs w:val="24"/>
        </w:rPr>
        <w:t xml:space="preserve"> In the matter of the back condition and IAW VASRD §4.71a, the Board unanimously recommends no change in the PEB adjudication.</w:t>
      </w:r>
      <w:r w:rsidR="000D4E93" w:rsidRPr="000D4E93">
        <w:rPr>
          <w:rFonts w:eastAsiaTheme="minorHAnsi"/>
          <w:color w:val="000000" w:themeColor="text1"/>
          <w:szCs w:val="24"/>
        </w:rPr>
        <w:t xml:space="preserve">  </w:t>
      </w:r>
      <w:r w:rsidR="00C522A6" w:rsidRPr="000D4E93">
        <w:rPr>
          <w:rFonts w:eastAsiaTheme="minorHAnsi"/>
          <w:color w:val="000000" w:themeColor="text1"/>
          <w:szCs w:val="24"/>
        </w:rPr>
        <w:t xml:space="preserve">In the matter of the bilateral talar dome </w:t>
      </w:r>
      <w:r w:rsidR="000D4E93" w:rsidRPr="000D4E93">
        <w:rPr>
          <w:rFonts w:eastAsiaTheme="minorHAnsi"/>
          <w:color w:val="000000" w:themeColor="text1"/>
          <w:szCs w:val="24"/>
        </w:rPr>
        <w:t xml:space="preserve">osteochondral defect </w:t>
      </w:r>
      <w:r w:rsidR="00C522A6" w:rsidRPr="000D4E93">
        <w:rPr>
          <w:rFonts w:eastAsiaTheme="minorHAnsi"/>
          <w:color w:val="000000" w:themeColor="text1"/>
          <w:szCs w:val="24"/>
        </w:rPr>
        <w:t xml:space="preserve">condition </w:t>
      </w:r>
      <w:r w:rsidR="000D4E93" w:rsidRPr="000D4E93">
        <w:rPr>
          <w:rFonts w:eastAsiaTheme="minorHAnsi"/>
          <w:color w:val="000000" w:themeColor="text1"/>
          <w:szCs w:val="24"/>
        </w:rPr>
        <w:t>the Board unanimously recommends that each the right and left talar dome condition be separately adjudicated.  The Board unanimously recommends that the right ankle be adjudicated as unfitting and the left ankle as not unfitting.  In the matter of the unfitting right talar dome osteochondral defect condition, the Board unanimously</w:t>
      </w:r>
      <w:r w:rsidR="000D4E93" w:rsidRPr="00A07555">
        <w:rPr>
          <w:rFonts w:eastAsia="Calibri" w:cs="Times New Roman"/>
          <w:color w:val="auto"/>
          <w:szCs w:val="24"/>
        </w:rPr>
        <w:t xml:space="preserve"> recommends a disability rating of </w:t>
      </w:r>
      <w:r w:rsidR="000D4E93">
        <w:rPr>
          <w:rFonts w:eastAsia="Calibri" w:cs="Times New Roman"/>
          <w:color w:val="auto"/>
          <w:szCs w:val="24"/>
        </w:rPr>
        <w:t>1</w:t>
      </w:r>
      <w:r w:rsidR="000D4E93" w:rsidRPr="00A07555">
        <w:rPr>
          <w:rFonts w:eastAsia="Calibri" w:cs="Times New Roman"/>
          <w:color w:val="auto"/>
          <w:szCs w:val="24"/>
        </w:rPr>
        <w:t xml:space="preserve">0%, coded </w:t>
      </w:r>
      <w:r w:rsidR="000D4E93">
        <w:rPr>
          <w:rFonts w:eastAsia="Calibri" w:cs="Times New Roman"/>
          <w:color w:val="auto"/>
          <w:szCs w:val="24"/>
        </w:rPr>
        <w:t xml:space="preserve">5299-5271 </w:t>
      </w:r>
      <w:r w:rsidR="000D4E93" w:rsidRPr="00A07555">
        <w:rPr>
          <w:rFonts w:eastAsia="Calibri" w:cs="Times New Roman"/>
          <w:color w:val="auto"/>
          <w:szCs w:val="24"/>
        </w:rPr>
        <w:t>IAW VASRD §4.71a.</w:t>
      </w:r>
      <w:r w:rsidR="000D4E93">
        <w:rPr>
          <w:rFonts w:eastAsia="Calibri" w:cs="Times New Roman"/>
          <w:color w:val="auto"/>
          <w:szCs w:val="24"/>
        </w:rPr>
        <w:t xml:space="preserve">  </w:t>
      </w:r>
      <w:r w:rsidR="003E6ABE" w:rsidRPr="00F64312">
        <w:rPr>
          <w:rFonts w:eastAsia="Calibri" w:cs="Times New Roman"/>
          <w:color w:val="auto"/>
          <w:szCs w:val="24"/>
        </w:rPr>
        <w:t xml:space="preserve">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0D4E93" w:rsidRDefault="000D4E93" w:rsidP="00D76D8F">
      <w:pPr>
        <w:jc w:val="both"/>
        <w:rPr>
          <w:color w:val="000000" w:themeColor="text1"/>
          <w:szCs w:val="24"/>
        </w:rPr>
      </w:pPr>
    </w:p>
    <w:p w:rsidR="00C56FC8" w:rsidRPr="00E7632A" w:rsidRDefault="00C56FC8" w:rsidP="00E7632A">
      <w:pPr>
        <w:jc w:val="both"/>
        <w:rPr>
          <w:color w:val="000000" w:themeColor="text1"/>
          <w:szCs w:val="24"/>
          <w:u w:val="single"/>
        </w:rPr>
      </w:pPr>
      <w:r w:rsidRPr="001F29F9">
        <w:rPr>
          <w:color w:val="000000" w:themeColor="text1"/>
          <w:szCs w:val="24"/>
          <w:u w:val="single"/>
        </w:rPr>
        <w:t>RECOMMENDATION</w:t>
      </w:r>
      <w:r w:rsidRPr="001F29F9">
        <w:rPr>
          <w:color w:val="000000" w:themeColor="text1"/>
          <w:szCs w:val="24"/>
        </w:rPr>
        <w:t>:</w:t>
      </w:r>
      <w:r w:rsidR="002F6C0B">
        <w:rPr>
          <w:color w:val="000000" w:themeColor="text1"/>
          <w:szCs w:val="24"/>
        </w:rPr>
        <w:t xml:space="preserve">  </w:t>
      </w:r>
      <w:r w:rsidRPr="00431458">
        <w:rPr>
          <w:color w:val="000000" w:themeColor="text1"/>
          <w:szCs w:val="24"/>
        </w:rPr>
        <w:t>The Board recommends that the CI’s prior determination be modified as follows, effective as of the date of his</w:t>
      </w:r>
      <w:r w:rsidR="00911B11" w:rsidRPr="00431458">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C522A6" w:rsidP="00BF0E94">
            <w:pPr>
              <w:tabs>
                <w:tab w:val="left" w:pos="288"/>
                <w:tab w:val="left" w:pos="4752"/>
              </w:tabs>
              <w:jc w:val="left"/>
              <w:rPr>
                <w:color w:val="000000" w:themeColor="text1"/>
                <w:szCs w:val="24"/>
              </w:rPr>
            </w:pPr>
            <w:r>
              <w:rPr>
                <w:color w:val="000000" w:themeColor="text1"/>
                <w:szCs w:val="24"/>
              </w:rPr>
              <w:t>Lumbar degenerative disc disease s/p revision</w:t>
            </w:r>
          </w:p>
        </w:tc>
        <w:tc>
          <w:tcPr>
            <w:tcW w:w="1710" w:type="dxa"/>
            <w:vAlign w:val="center"/>
          </w:tcPr>
          <w:p w:rsidR="00A95BBA" w:rsidRPr="00431458" w:rsidRDefault="00C522A6" w:rsidP="00BF0E94">
            <w:pPr>
              <w:tabs>
                <w:tab w:val="left" w:pos="288"/>
                <w:tab w:val="left" w:pos="4752"/>
              </w:tabs>
              <w:rPr>
                <w:color w:val="000000" w:themeColor="text1"/>
                <w:szCs w:val="24"/>
              </w:rPr>
            </w:pPr>
            <w:r w:rsidRPr="00431458">
              <w:rPr>
                <w:color w:val="000000" w:themeColor="text1"/>
                <w:szCs w:val="24"/>
              </w:rPr>
              <w:t>5242</w:t>
            </w:r>
          </w:p>
        </w:tc>
        <w:tc>
          <w:tcPr>
            <w:tcW w:w="1170" w:type="dxa"/>
            <w:vAlign w:val="center"/>
          </w:tcPr>
          <w:p w:rsidR="00A95BBA" w:rsidRPr="00431458" w:rsidRDefault="00C522A6" w:rsidP="00BF0E94">
            <w:pPr>
              <w:tabs>
                <w:tab w:val="left" w:pos="288"/>
                <w:tab w:val="left" w:pos="4752"/>
              </w:tabs>
              <w:rPr>
                <w:color w:val="000000" w:themeColor="text1"/>
                <w:szCs w:val="24"/>
              </w:rPr>
            </w:pPr>
            <w:r w:rsidRPr="00431458">
              <w:rPr>
                <w:color w:val="000000" w:themeColor="text1"/>
                <w:szCs w:val="24"/>
              </w:rPr>
              <w:t>10%</w:t>
            </w:r>
          </w:p>
        </w:tc>
      </w:tr>
      <w:tr w:rsidR="002F6C0B" w:rsidRPr="001F29F9" w:rsidTr="0080588E">
        <w:trPr>
          <w:jc w:val="center"/>
        </w:trPr>
        <w:tc>
          <w:tcPr>
            <w:tcW w:w="6282" w:type="dxa"/>
            <w:vAlign w:val="center"/>
          </w:tcPr>
          <w:p w:rsidR="002F6C0B" w:rsidRPr="00C522A6" w:rsidRDefault="002F6C0B" w:rsidP="002F6C0B">
            <w:pPr>
              <w:tabs>
                <w:tab w:val="left" w:pos="288"/>
                <w:tab w:val="left" w:pos="4752"/>
              </w:tabs>
              <w:jc w:val="left"/>
              <w:rPr>
                <w:color w:val="000000" w:themeColor="text1"/>
                <w:szCs w:val="24"/>
              </w:rPr>
            </w:pPr>
            <w:r>
              <w:rPr>
                <w:color w:val="000000" w:themeColor="text1"/>
                <w:szCs w:val="24"/>
              </w:rPr>
              <w:t xml:space="preserve">R ankle </w:t>
            </w:r>
            <w:r w:rsidRPr="00C522A6">
              <w:rPr>
                <w:color w:val="000000" w:themeColor="text1"/>
                <w:szCs w:val="24"/>
              </w:rPr>
              <w:t>osteochondral defect</w:t>
            </w:r>
            <w:r>
              <w:rPr>
                <w:color w:val="000000" w:themeColor="text1"/>
                <w:szCs w:val="24"/>
              </w:rPr>
              <w:t xml:space="preserve"> talar dome</w:t>
            </w:r>
          </w:p>
        </w:tc>
        <w:tc>
          <w:tcPr>
            <w:tcW w:w="1710" w:type="dxa"/>
            <w:vAlign w:val="center"/>
          </w:tcPr>
          <w:p w:rsidR="002F6C0B" w:rsidRPr="00431458" w:rsidRDefault="002F6C0B" w:rsidP="00BF0E94">
            <w:pPr>
              <w:tabs>
                <w:tab w:val="left" w:pos="288"/>
                <w:tab w:val="left" w:pos="4752"/>
              </w:tabs>
              <w:rPr>
                <w:color w:val="000000" w:themeColor="text1"/>
                <w:szCs w:val="24"/>
              </w:rPr>
            </w:pPr>
            <w:r w:rsidRPr="00431458">
              <w:rPr>
                <w:color w:val="000000" w:themeColor="text1"/>
                <w:szCs w:val="24"/>
              </w:rPr>
              <w:t>5299-5271</w:t>
            </w:r>
          </w:p>
        </w:tc>
        <w:tc>
          <w:tcPr>
            <w:tcW w:w="1170" w:type="dxa"/>
            <w:vAlign w:val="center"/>
          </w:tcPr>
          <w:p w:rsidR="002F6C0B" w:rsidRPr="00431458" w:rsidRDefault="002F6C0B" w:rsidP="00BF0E94">
            <w:pPr>
              <w:tabs>
                <w:tab w:val="left" w:pos="288"/>
                <w:tab w:val="left" w:pos="4752"/>
              </w:tabs>
              <w:rPr>
                <w:color w:val="000000" w:themeColor="text1"/>
                <w:szCs w:val="24"/>
              </w:rPr>
            </w:pPr>
            <w:r w:rsidRPr="00431458">
              <w:rPr>
                <w:color w:val="000000" w:themeColor="text1"/>
                <w:szCs w:val="24"/>
              </w:rPr>
              <w:t>10%</w:t>
            </w:r>
          </w:p>
        </w:tc>
      </w:tr>
      <w:tr w:rsidR="002F6C0B" w:rsidRPr="001F29F9" w:rsidTr="002F6C0B">
        <w:trPr>
          <w:jc w:val="center"/>
        </w:trPr>
        <w:tc>
          <w:tcPr>
            <w:tcW w:w="6282" w:type="dxa"/>
            <w:vAlign w:val="center"/>
          </w:tcPr>
          <w:p w:rsidR="002F6C0B" w:rsidRPr="00C522A6" w:rsidRDefault="002F6C0B" w:rsidP="002F6C0B">
            <w:pPr>
              <w:tabs>
                <w:tab w:val="left" w:pos="288"/>
                <w:tab w:val="left" w:pos="4752"/>
              </w:tabs>
              <w:jc w:val="left"/>
              <w:rPr>
                <w:color w:val="000000" w:themeColor="text1"/>
                <w:szCs w:val="24"/>
              </w:rPr>
            </w:pPr>
            <w:r>
              <w:rPr>
                <w:color w:val="000000" w:themeColor="text1"/>
                <w:szCs w:val="24"/>
              </w:rPr>
              <w:t xml:space="preserve">L ankle </w:t>
            </w:r>
            <w:r w:rsidRPr="00C522A6">
              <w:rPr>
                <w:color w:val="000000" w:themeColor="text1"/>
                <w:szCs w:val="24"/>
              </w:rPr>
              <w:t>osteochondral defect</w:t>
            </w:r>
            <w:r>
              <w:rPr>
                <w:color w:val="000000" w:themeColor="text1"/>
                <w:szCs w:val="24"/>
              </w:rPr>
              <w:t xml:space="preserve"> talar dome</w:t>
            </w:r>
          </w:p>
        </w:tc>
        <w:tc>
          <w:tcPr>
            <w:tcW w:w="2880" w:type="dxa"/>
            <w:gridSpan w:val="2"/>
            <w:vAlign w:val="center"/>
          </w:tcPr>
          <w:p w:rsidR="002F6C0B" w:rsidRPr="00431458" w:rsidRDefault="002F6C0B" w:rsidP="00BF0E94">
            <w:pPr>
              <w:tabs>
                <w:tab w:val="left" w:pos="288"/>
                <w:tab w:val="left" w:pos="4752"/>
              </w:tabs>
              <w:rPr>
                <w:color w:val="000000" w:themeColor="text1"/>
                <w:szCs w:val="24"/>
              </w:rPr>
            </w:pPr>
            <w:r w:rsidRPr="00431458">
              <w:rPr>
                <w:color w:val="000000" w:themeColor="text1"/>
                <w:szCs w:val="24"/>
              </w:rPr>
              <w:t>Not unfitting</w:t>
            </w:r>
          </w:p>
        </w:tc>
      </w:tr>
      <w:tr w:rsidR="00A95BBA" w:rsidRPr="001F29F9" w:rsidTr="0080588E">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431458" w:rsidRDefault="00A95BBA" w:rsidP="00BF0E94">
            <w:pPr>
              <w:tabs>
                <w:tab w:val="left" w:pos="288"/>
                <w:tab w:val="left" w:pos="4752"/>
              </w:tabs>
              <w:rPr>
                <w:b/>
                <w:color w:val="000000" w:themeColor="text1"/>
                <w:szCs w:val="24"/>
              </w:rPr>
            </w:pPr>
            <w:r w:rsidRPr="00431458">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431458" w:rsidRDefault="00C522A6" w:rsidP="00BF0E94">
            <w:pPr>
              <w:tabs>
                <w:tab w:val="left" w:pos="288"/>
                <w:tab w:val="left" w:pos="4752"/>
              </w:tabs>
              <w:rPr>
                <w:b/>
                <w:color w:val="000000" w:themeColor="text1"/>
                <w:szCs w:val="24"/>
              </w:rPr>
            </w:pPr>
            <w:r w:rsidRPr="00431458">
              <w:rPr>
                <w:b/>
                <w:color w:val="000000" w:themeColor="text1"/>
                <w:szCs w:val="24"/>
              </w:rPr>
              <w:t>2</w:t>
            </w:r>
            <w:r w:rsidR="00A95BBA" w:rsidRPr="00431458">
              <w:rPr>
                <w:b/>
                <w:color w:val="000000" w:themeColor="text1"/>
                <w:szCs w:val="24"/>
              </w:rPr>
              <w:t>0%</w:t>
            </w:r>
          </w:p>
        </w:tc>
      </w:tr>
    </w:tbl>
    <w:p w:rsidR="00E7632A" w:rsidRDefault="00E7632A" w:rsidP="00BF0E94">
      <w:pPr>
        <w:tabs>
          <w:tab w:val="left" w:pos="288"/>
          <w:tab w:val="left" w:pos="4752"/>
        </w:tabs>
        <w:jc w:val="both"/>
        <w:rPr>
          <w:color w:val="000000" w:themeColor="text1"/>
        </w:rPr>
      </w:pPr>
    </w:p>
    <w:p w:rsidR="00E7632A" w:rsidRDefault="00E7632A" w:rsidP="00BF0E94">
      <w:pPr>
        <w:tabs>
          <w:tab w:val="left" w:pos="288"/>
          <w:tab w:val="left" w:pos="4752"/>
        </w:tabs>
        <w:jc w:val="both"/>
        <w:rPr>
          <w:color w:val="000000" w:themeColor="text1"/>
        </w:rPr>
      </w:pPr>
    </w:p>
    <w:p w:rsidR="00E7632A" w:rsidRDefault="00E7632A" w:rsidP="00BF0E94">
      <w:pPr>
        <w:tabs>
          <w:tab w:val="left" w:pos="288"/>
          <w:tab w:val="left" w:pos="4752"/>
        </w:tabs>
        <w:jc w:val="both"/>
        <w:rPr>
          <w:color w:val="000000" w:themeColor="text1"/>
        </w:rPr>
      </w:pPr>
    </w:p>
    <w:p w:rsidR="00846811" w:rsidRDefault="00846811" w:rsidP="00BF0E94">
      <w:pPr>
        <w:tabs>
          <w:tab w:val="left" w:pos="288"/>
          <w:tab w:val="left" w:pos="4752"/>
        </w:tabs>
        <w:jc w:val="both"/>
        <w:rPr>
          <w:color w:val="000000" w:themeColor="text1"/>
        </w:rPr>
      </w:pPr>
    </w:p>
    <w:p w:rsidR="00E7632A" w:rsidRDefault="00E7632A" w:rsidP="00BF0E94">
      <w:pPr>
        <w:tabs>
          <w:tab w:val="left" w:pos="288"/>
          <w:tab w:val="left" w:pos="4752"/>
        </w:tabs>
        <w:jc w:val="both"/>
        <w:rPr>
          <w:color w:val="000000" w:themeColor="text1"/>
        </w:rPr>
      </w:pPr>
    </w:p>
    <w:p w:rsidR="00E7632A" w:rsidRDefault="00E7632A"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23D69">
        <w:rPr>
          <w:color w:val="000000" w:themeColor="text1"/>
          <w:szCs w:val="24"/>
        </w:rPr>
        <w:t>1</w:t>
      </w:r>
      <w:r w:rsidR="006E6D6E">
        <w:rPr>
          <w:color w:val="000000" w:themeColor="text1"/>
          <w:szCs w:val="24"/>
        </w:rPr>
        <w:t>0816</w:t>
      </w:r>
      <w:r w:rsidRPr="001F29F9">
        <w:rPr>
          <w:color w:val="000000" w:themeColor="text1"/>
        </w:rPr>
        <w:t>, w</w:t>
      </w:r>
      <w:r w:rsidR="00E7632A">
        <w:rPr>
          <w:color w:val="000000" w:themeColor="text1"/>
        </w:rPr>
        <w:t>/atchs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E7632A">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E7632A">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BB5573">
        <w:rPr>
          <w:color w:val="000000" w:themeColor="text1"/>
          <w:szCs w:val="24"/>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B5573"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B5573" w:rsidRDefault="00BB5573">
      <w:pPr>
        <w:rPr>
          <w:color w:val="000000" w:themeColor="text1"/>
          <w:szCs w:val="24"/>
        </w:rPr>
      </w:pPr>
      <w:r>
        <w:rPr>
          <w:color w:val="000000" w:themeColor="text1"/>
          <w:szCs w:val="24"/>
        </w:rPr>
        <w:br w:type="page"/>
      </w:r>
    </w:p>
    <w:p w:rsidR="00BB5573" w:rsidRPr="00D37C00" w:rsidRDefault="00BB5573" w:rsidP="00BB5573">
      <w:pPr>
        <w:tabs>
          <w:tab w:val="left" w:pos="0"/>
          <w:tab w:val="left" w:pos="4320"/>
        </w:tabs>
        <w:jc w:val="both"/>
        <w:rPr>
          <w:color w:val="auto"/>
        </w:rPr>
      </w:pPr>
      <w:r w:rsidRPr="00D37C00">
        <w:rPr>
          <w:color w:val="auto"/>
        </w:rPr>
        <w:lastRenderedPageBreak/>
        <w:t xml:space="preserve">MEMORANDUM FOR DIRECTOR, SECRETARY OF THE NAVY COUNCIL OF REVIEW </w:t>
      </w:r>
    </w:p>
    <w:p w:rsidR="00BB5573" w:rsidRPr="00D37C00" w:rsidRDefault="00BB5573" w:rsidP="00BB5573">
      <w:pPr>
        <w:tabs>
          <w:tab w:val="left" w:pos="0"/>
          <w:tab w:val="left" w:pos="4320"/>
        </w:tabs>
        <w:jc w:val="both"/>
        <w:rPr>
          <w:color w:val="auto"/>
        </w:rPr>
      </w:pPr>
      <w:r w:rsidRPr="00D37C00">
        <w:rPr>
          <w:color w:val="auto"/>
        </w:rPr>
        <w:t xml:space="preserve">               BOARDS </w:t>
      </w:r>
    </w:p>
    <w:p w:rsidR="00BB5573" w:rsidRPr="00D37C00" w:rsidRDefault="00BB5573" w:rsidP="00BB5573">
      <w:pPr>
        <w:tabs>
          <w:tab w:val="left" w:pos="0"/>
          <w:tab w:val="left" w:pos="4320"/>
        </w:tabs>
        <w:jc w:val="both"/>
        <w:rPr>
          <w:color w:val="auto"/>
        </w:rPr>
      </w:pPr>
    </w:p>
    <w:p w:rsidR="00BB5573" w:rsidRPr="00D37C00" w:rsidRDefault="00BB5573" w:rsidP="00BB5573">
      <w:pPr>
        <w:tabs>
          <w:tab w:val="left" w:pos="0"/>
          <w:tab w:val="left" w:pos="4320"/>
        </w:tabs>
        <w:jc w:val="both"/>
        <w:rPr>
          <w:color w:val="auto"/>
        </w:rPr>
      </w:pPr>
      <w:proofErr w:type="spellStart"/>
      <w:r w:rsidRPr="00D37C00">
        <w:rPr>
          <w:color w:val="auto"/>
        </w:rPr>
        <w:t>Subj</w:t>
      </w:r>
      <w:proofErr w:type="spellEnd"/>
      <w:r w:rsidRPr="00D37C00">
        <w:rPr>
          <w:color w:val="auto"/>
        </w:rPr>
        <w:t>:  PHYSICAL DISABILITY BOARD OF REVIEW (PDBR) RECOMMENDATIONS</w:t>
      </w:r>
    </w:p>
    <w:p w:rsidR="00BB5573" w:rsidRPr="00D37C00" w:rsidRDefault="00BB5573" w:rsidP="00BB5573">
      <w:pPr>
        <w:tabs>
          <w:tab w:val="left" w:pos="0"/>
          <w:tab w:val="left" w:pos="4320"/>
        </w:tabs>
        <w:jc w:val="both"/>
        <w:rPr>
          <w:color w:val="auto"/>
        </w:rPr>
      </w:pPr>
    </w:p>
    <w:p w:rsidR="00BB5573" w:rsidRPr="00D37C00" w:rsidRDefault="00BB5573" w:rsidP="00BB5573">
      <w:pPr>
        <w:tabs>
          <w:tab w:val="left" w:pos="0"/>
          <w:tab w:val="left" w:pos="4320"/>
        </w:tabs>
        <w:jc w:val="both"/>
        <w:rPr>
          <w:color w:val="auto"/>
        </w:rPr>
      </w:pPr>
      <w:r w:rsidRPr="00D37C00">
        <w:rPr>
          <w:color w:val="auto"/>
        </w:rPr>
        <w:t xml:space="preserve">Ref:   (a) </w:t>
      </w:r>
      <w:proofErr w:type="spellStart"/>
      <w:r w:rsidRPr="00D37C00">
        <w:rPr>
          <w:color w:val="auto"/>
        </w:rPr>
        <w:t>DoDI</w:t>
      </w:r>
      <w:proofErr w:type="spellEnd"/>
      <w:r w:rsidRPr="00D37C00">
        <w:rPr>
          <w:color w:val="auto"/>
        </w:rPr>
        <w:t xml:space="preserve"> 6040.44</w:t>
      </w:r>
    </w:p>
    <w:p w:rsidR="00BB5573" w:rsidRPr="00D37C00" w:rsidRDefault="00BB5573" w:rsidP="00BB5573">
      <w:pPr>
        <w:tabs>
          <w:tab w:val="left" w:pos="0"/>
          <w:tab w:val="left" w:pos="4320"/>
        </w:tabs>
        <w:jc w:val="both"/>
        <w:rPr>
          <w:color w:val="auto"/>
        </w:rPr>
      </w:pPr>
      <w:r w:rsidRPr="00D37C00">
        <w:rPr>
          <w:color w:val="auto"/>
        </w:rPr>
        <w:t xml:space="preserve">       </w:t>
      </w:r>
      <w:r>
        <w:rPr>
          <w:color w:val="auto"/>
        </w:rPr>
        <w:t xml:space="preserve">   </w:t>
      </w:r>
      <w:r w:rsidRPr="00D37C00">
        <w:rPr>
          <w:color w:val="auto"/>
        </w:rPr>
        <w:t xml:space="preserve">(b) CORB </w:t>
      </w:r>
      <w:proofErr w:type="spellStart"/>
      <w:r w:rsidRPr="00D37C00">
        <w:rPr>
          <w:color w:val="auto"/>
        </w:rPr>
        <w:t>ltr</w:t>
      </w:r>
      <w:proofErr w:type="spellEnd"/>
      <w:r w:rsidRPr="00D37C00">
        <w:rPr>
          <w:color w:val="auto"/>
        </w:rPr>
        <w:t xml:space="preserve"> </w:t>
      </w:r>
      <w:proofErr w:type="spellStart"/>
      <w:r w:rsidRPr="00D37C00">
        <w:rPr>
          <w:color w:val="auto"/>
        </w:rPr>
        <w:t>dtd</w:t>
      </w:r>
      <w:proofErr w:type="spellEnd"/>
      <w:r w:rsidRPr="00D37C00">
        <w:rPr>
          <w:color w:val="auto"/>
        </w:rPr>
        <w:t xml:space="preserve"> 24 Aug 12</w:t>
      </w:r>
    </w:p>
    <w:p w:rsidR="00BB5573" w:rsidRPr="00D37C00" w:rsidRDefault="00BB5573" w:rsidP="00BB5573">
      <w:pPr>
        <w:tabs>
          <w:tab w:val="left" w:pos="0"/>
          <w:tab w:val="left" w:pos="4320"/>
        </w:tabs>
        <w:jc w:val="both"/>
        <w:rPr>
          <w:color w:val="auto"/>
        </w:rPr>
      </w:pPr>
    </w:p>
    <w:p w:rsidR="00BB5573" w:rsidRPr="00D37C00" w:rsidRDefault="00BB5573" w:rsidP="00BB5573">
      <w:pPr>
        <w:tabs>
          <w:tab w:val="left" w:pos="0"/>
          <w:tab w:val="left" w:pos="4320"/>
        </w:tabs>
        <w:jc w:val="both"/>
        <w:rPr>
          <w:color w:val="auto"/>
        </w:rPr>
      </w:pPr>
      <w:r w:rsidRPr="00D37C00">
        <w:rPr>
          <w:color w:val="auto"/>
        </w:rPr>
        <w:t xml:space="preserve">    In accordance with reference (a), I have reviewed the cases forwarded by reference (b), and, for the reasons provided in their forwarding memorandum, approve the recommendations of the </w:t>
      </w:r>
      <w:proofErr w:type="gramStart"/>
      <w:r w:rsidRPr="00D37C00">
        <w:rPr>
          <w:color w:val="auto"/>
        </w:rPr>
        <w:t>PDBR  that</w:t>
      </w:r>
      <w:proofErr w:type="gramEnd"/>
      <w:r w:rsidRPr="00D37C00">
        <w:rPr>
          <w:color w:val="auto"/>
        </w:rPr>
        <w:t xml:space="preserve"> the following individuals’ records not be corrected to reflect a change in either characterization of separation or in the disability rating previously assigned by the Department of the Navy’s Physical Evaluation Board:</w:t>
      </w:r>
    </w:p>
    <w:p w:rsidR="00BB5573" w:rsidRPr="00D37C00" w:rsidRDefault="00BB5573" w:rsidP="00BB5573">
      <w:pPr>
        <w:tabs>
          <w:tab w:val="left" w:pos="0"/>
          <w:tab w:val="left" w:pos="4320"/>
        </w:tabs>
        <w:jc w:val="both"/>
        <w:rPr>
          <w:color w:val="auto"/>
        </w:rPr>
      </w:pP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USN</w:t>
      </w:r>
      <w:r>
        <w:rPr>
          <w:color w:val="auto"/>
        </w:rPr>
        <w:t xml:space="preserve"> </w:t>
      </w: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BB5573" w:rsidRPr="00D37C00" w:rsidRDefault="00BB5573" w:rsidP="00BB5573">
      <w:pPr>
        <w:tabs>
          <w:tab w:val="left" w:pos="0"/>
          <w:tab w:val="left" w:pos="4320"/>
        </w:tabs>
        <w:jc w:val="both"/>
        <w:rPr>
          <w:color w:val="auto"/>
        </w:rPr>
      </w:pPr>
      <w:r w:rsidRPr="00D37C00">
        <w:rPr>
          <w:color w:val="auto"/>
        </w:rPr>
        <w:t xml:space="preserve">    - </w:t>
      </w:r>
      <w:r>
        <w:rPr>
          <w:color w:val="auto"/>
        </w:rPr>
        <w:t xml:space="preserve"> </w:t>
      </w:r>
      <w:r w:rsidRPr="00D37C00">
        <w:rPr>
          <w:color w:val="auto"/>
        </w:rPr>
        <w:t xml:space="preserve"> </w:t>
      </w:r>
      <w:proofErr w:type="gramStart"/>
      <w:r w:rsidRPr="00D37C00">
        <w:rPr>
          <w:color w:val="auto"/>
        </w:rPr>
        <w:t>former</w:t>
      </w:r>
      <w:proofErr w:type="gramEnd"/>
      <w:r w:rsidRPr="00D37C00">
        <w:rPr>
          <w:color w:val="auto"/>
        </w:rPr>
        <w:t xml:space="preserve"> USMC</w:t>
      </w:r>
    </w:p>
    <w:p w:rsidR="00BB5573" w:rsidRPr="00D37C00" w:rsidRDefault="00BB5573" w:rsidP="00BB5573">
      <w:pPr>
        <w:tabs>
          <w:tab w:val="left" w:pos="0"/>
          <w:tab w:val="left" w:pos="4320"/>
        </w:tabs>
        <w:jc w:val="both"/>
        <w:rPr>
          <w:color w:val="auto"/>
        </w:rPr>
      </w:pPr>
      <w:r w:rsidRPr="00D37C00">
        <w:rPr>
          <w:color w:val="auto"/>
        </w:rPr>
        <w:t xml:space="preserve">    </w:t>
      </w:r>
    </w:p>
    <w:p w:rsidR="00BB5573" w:rsidRPr="00D37C00" w:rsidRDefault="00BB5573" w:rsidP="00BB5573">
      <w:pPr>
        <w:tabs>
          <w:tab w:val="left" w:pos="0"/>
          <w:tab w:val="left" w:pos="4320"/>
        </w:tabs>
        <w:jc w:val="both"/>
        <w:rPr>
          <w:color w:val="auto"/>
        </w:rPr>
      </w:pPr>
    </w:p>
    <w:p w:rsidR="00BB5573" w:rsidRPr="00D37C00" w:rsidRDefault="00BB5573" w:rsidP="00BB5573">
      <w:pPr>
        <w:tabs>
          <w:tab w:val="left" w:pos="0"/>
          <w:tab w:val="left" w:pos="4320"/>
        </w:tabs>
        <w:jc w:val="both"/>
        <w:rPr>
          <w:color w:val="auto"/>
        </w:rPr>
      </w:pPr>
      <w:r>
        <w:rPr>
          <w:color w:val="auto"/>
        </w:rPr>
        <w:t xml:space="preserve"> </w:t>
      </w:r>
    </w:p>
    <w:p w:rsidR="00BB5573" w:rsidRPr="00D37C00" w:rsidRDefault="00BB5573" w:rsidP="00BB5573">
      <w:pPr>
        <w:tabs>
          <w:tab w:val="left" w:pos="0"/>
          <w:tab w:val="left" w:pos="4320"/>
        </w:tabs>
        <w:jc w:val="both"/>
        <w:rPr>
          <w:color w:val="auto"/>
        </w:rPr>
      </w:pPr>
      <w:r w:rsidRPr="00D37C00">
        <w:rPr>
          <w:color w:val="auto"/>
        </w:rPr>
        <w:tab/>
        <w:t>Assistant General Counsel</w:t>
      </w:r>
    </w:p>
    <w:p w:rsidR="00BB5573" w:rsidRPr="00D37C00" w:rsidRDefault="00BB5573" w:rsidP="00BB5573">
      <w:pPr>
        <w:tabs>
          <w:tab w:val="left" w:pos="0"/>
          <w:tab w:val="left" w:pos="4320"/>
        </w:tabs>
        <w:jc w:val="both"/>
        <w:rPr>
          <w:color w:val="auto"/>
        </w:rPr>
      </w:pPr>
      <w:r w:rsidRPr="00D37C00">
        <w:rPr>
          <w:color w:val="auto"/>
        </w:rPr>
        <w:tab/>
        <w:t xml:space="preserve">  (Manpower &amp; Reserve Affairs)</w:t>
      </w:r>
    </w:p>
    <w:p w:rsidR="00E3077F" w:rsidRPr="001F29F9" w:rsidRDefault="00E3077F" w:rsidP="00BF0E94">
      <w:pPr>
        <w:tabs>
          <w:tab w:val="left" w:pos="0"/>
          <w:tab w:val="left" w:pos="4320"/>
        </w:tabs>
        <w:jc w:val="both"/>
        <w:rPr>
          <w:color w:val="000000" w:themeColor="text1"/>
          <w:szCs w:val="24"/>
        </w:rPr>
      </w:pPr>
      <w:bookmarkStart w:id="0" w:name="_GoBack"/>
      <w:bookmarkEnd w:id="0"/>
    </w:p>
    <w:p w:rsidR="00DC1607" w:rsidRDefault="00DC1607" w:rsidP="00BF0E94">
      <w:pPr>
        <w:rPr>
          <w:color w:val="000000" w:themeColor="text1"/>
          <w:szCs w:val="24"/>
          <w:u w:val="single"/>
        </w:rPr>
      </w:pPr>
    </w:p>
    <w:p w:rsidR="00DC1607" w:rsidRPr="00DC1607" w:rsidRDefault="00DC1607" w:rsidP="00DC1607">
      <w:pPr>
        <w:jc w:val="left"/>
        <w:rPr>
          <w:color w:val="000000" w:themeColor="text1"/>
          <w:szCs w:val="24"/>
          <w:u w:val="single"/>
        </w:rPr>
      </w:pPr>
    </w:p>
    <w:p w:rsidR="00E91EB5" w:rsidRDefault="00E91EB5" w:rsidP="00E91EB5">
      <w:pPr>
        <w:tabs>
          <w:tab w:val="left" w:pos="288"/>
          <w:tab w:val="left" w:pos="4752"/>
        </w:tabs>
        <w:jc w:val="both"/>
        <w:rPr>
          <w:color w:val="000000" w:themeColor="text1"/>
        </w:rPr>
      </w:pPr>
    </w:p>
    <w:p w:rsidR="00DC1607" w:rsidRDefault="00DC1607" w:rsidP="00DC1607">
      <w:pPr>
        <w:jc w:val="left"/>
        <w:rPr>
          <w:color w:val="000000" w:themeColor="text1"/>
          <w:szCs w:val="24"/>
          <w:u w:val="single"/>
        </w:rPr>
      </w:pPr>
    </w:p>
    <w:sectPr w:rsidR="00DC1607" w:rsidSect="00E7016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5A" w:rsidRDefault="0024475A">
      <w:r>
        <w:separator/>
      </w:r>
    </w:p>
  </w:endnote>
  <w:endnote w:type="continuationSeparator" w:id="0">
    <w:p w:rsidR="0024475A" w:rsidRDefault="0024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0190E464-3785-4F46-BD3B-9A6D62616C0D}"/>
    <w:embedBold r:id="rId2" w:fontKey="{73289563-01ED-4D69-AD48-FF8BCF7162BC}"/>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Cs w:val="24"/>
      </w:rPr>
      <w:id w:val="94093361"/>
      <w:docPartObj>
        <w:docPartGallery w:val="Page Numbers (Bottom of Page)"/>
        <w:docPartUnique/>
      </w:docPartObj>
    </w:sdtPr>
    <w:sdtEndPr/>
    <w:sdtContent>
      <w:p w:rsidR="003E6ABE" w:rsidRPr="00374247" w:rsidRDefault="003E6ABE" w:rsidP="00374247">
        <w:pPr>
          <w:pStyle w:val="Footer"/>
          <w:ind w:firstLine="4320"/>
          <w:rPr>
            <w:color w:val="auto"/>
            <w:szCs w:val="24"/>
          </w:rPr>
        </w:pPr>
        <w:r w:rsidRPr="00374247">
          <w:rPr>
            <w:color w:val="auto"/>
            <w:szCs w:val="24"/>
          </w:rPr>
          <w:t xml:space="preserve">   </w:t>
        </w:r>
        <w:r w:rsidR="00E60D4C" w:rsidRPr="00374247">
          <w:rPr>
            <w:color w:val="auto"/>
            <w:szCs w:val="24"/>
          </w:rPr>
          <w:fldChar w:fldCharType="begin"/>
        </w:r>
        <w:r w:rsidRPr="00374247">
          <w:rPr>
            <w:color w:val="auto"/>
            <w:szCs w:val="24"/>
          </w:rPr>
          <w:instrText xml:space="preserve"> PAGE   \* MERGEFORMAT </w:instrText>
        </w:r>
        <w:r w:rsidR="00E60D4C" w:rsidRPr="00374247">
          <w:rPr>
            <w:color w:val="auto"/>
            <w:szCs w:val="24"/>
          </w:rPr>
          <w:fldChar w:fldCharType="separate"/>
        </w:r>
        <w:r w:rsidR="00BB5573" w:rsidRPr="00BB5573">
          <w:rPr>
            <w:noProof/>
            <w:color w:val="auto"/>
          </w:rPr>
          <w:t>7</w:t>
        </w:r>
        <w:r w:rsidR="00E60D4C"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100631</w:t>
        </w:r>
      </w:p>
    </w:sdtContent>
  </w:sdt>
  <w:p w:rsidR="003E6ABE" w:rsidRPr="00684CE6" w:rsidRDefault="003E6ABE">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5A" w:rsidRDefault="0024475A">
      <w:r>
        <w:separator/>
      </w:r>
    </w:p>
  </w:footnote>
  <w:footnote w:type="continuationSeparator" w:id="0">
    <w:p w:rsidR="0024475A" w:rsidRDefault="00244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95"/>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767D"/>
    <w:rsid w:val="000B0AD2"/>
    <w:rsid w:val="000B1022"/>
    <w:rsid w:val="000B2FB8"/>
    <w:rsid w:val="000B471C"/>
    <w:rsid w:val="000B4C99"/>
    <w:rsid w:val="000B5472"/>
    <w:rsid w:val="000B6524"/>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E93"/>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3DF3"/>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4CF"/>
    <w:rsid w:val="00122ABE"/>
    <w:rsid w:val="001231DC"/>
    <w:rsid w:val="0012453A"/>
    <w:rsid w:val="0012489B"/>
    <w:rsid w:val="001261C9"/>
    <w:rsid w:val="001272AE"/>
    <w:rsid w:val="00130756"/>
    <w:rsid w:val="001315DD"/>
    <w:rsid w:val="0013525F"/>
    <w:rsid w:val="00135385"/>
    <w:rsid w:val="00136204"/>
    <w:rsid w:val="001364D1"/>
    <w:rsid w:val="001374C7"/>
    <w:rsid w:val="00137D72"/>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BE6"/>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56F"/>
    <w:rsid w:val="001C5BDA"/>
    <w:rsid w:val="001C5CFC"/>
    <w:rsid w:val="001C7231"/>
    <w:rsid w:val="001C7418"/>
    <w:rsid w:val="001C7EBE"/>
    <w:rsid w:val="001D0051"/>
    <w:rsid w:val="001D0D94"/>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2D9A"/>
    <w:rsid w:val="001F6E0B"/>
    <w:rsid w:val="00200AA0"/>
    <w:rsid w:val="00202325"/>
    <w:rsid w:val="00202736"/>
    <w:rsid w:val="00203652"/>
    <w:rsid w:val="00204562"/>
    <w:rsid w:val="002059E2"/>
    <w:rsid w:val="00205B4F"/>
    <w:rsid w:val="002060B6"/>
    <w:rsid w:val="002066B5"/>
    <w:rsid w:val="00210EAC"/>
    <w:rsid w:val="00211612"/>
    <w:rsid w:val="002119B6"/>
    <w:rsid w:val="00212389"/>
    <w:rsid w:val="00212B40"/>
    <w:rsid w:val="00213BD0"/>
    <w:rsid w:val="00214062"/>
    <w:rsid w:val="00214C8B"/>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75A"/>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DE5"/>
    <w:rsid w:val="00260531"/>
    <w:rsid w:val="00260B9A"/>
    <w:rsid w:val="00262EA5"/>
    <w:rsid w:val="0026318D"/>
    <w:rsid w:val="00264148"/>
    <w:rsid w:val="002660AF"/>
    <w:rsid w:val="00266C0C"/>
    <w:rsid w:val="00270864"/>
    <w:rsid w:val="002712F7"/>
    <w:rsid w:val="0027159C"/>
    <w:rsid w:val="002722F2"/>
    <w:rsid w:val="00274549"/>
    <w:rsid w:val="00274E46"/>
    <w:rsid w:val="002752AE"/>
    <w:rsid w:val="00275AFD"/>
    <w:rsid w:val="002769AF"/>
    <w:rsid w:val="00276B67"/>
    <w:rsid w:val="00276C86"/>
    <w:rsid w:val="00276FD0"/>
    <w:rsid w:val="00277217"/>
    <w:rsid w:val="002810A4"/>
    <w:rsid w:val="0028261C"/>
    <w:rsid w:val="00282DB6"/>
    <w:rsid w:val="00284A26"/>
    <w:rsid w:val="00285095"/>
    <w:rsid w:val="00286718"/>
    <w:rsid w:val="00287006"/>
    <w:rsid w:val="0028719B"/>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5E31"/>
    <w:rsid w:val="002A685E"/>
    <w:rsid w:val="002A72C7"/>
    <w:rsid w:val="002B0204"/>
    <w:rsid w:val="002B03B2"/>
    <w:rsid w:val="002B0749"/>
    <w:rsid w:val="002B2645"/>
    <w:rsid w:val="002B303A"/>
    <w:rsid w:val="002B32E9"/>
    <w:rsid w:val="002B4E22"/>
    <w:rsid w:val="002B5418"/>
    <w:rsid w:val="002B6FA0"/>
    <w:rsid w:val="002B7114"/>
    <w:rsid w:val="002B7710"/>
    <w:rsid w:val="002C0DEA"/>
    <w:rsid w:val="002C34F6"/>
    <w:rsid w:val="002C3B6D"/>
    <w:rsid w:val="002C3F59"/>
    <w:rsid w:val="002C5D9D"/>
    <w:rsid w:val="002C5F10"/>
    <w:rsid w:val="002C6D3F"/>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36DE"/>
    <w:rsid w:val="002E400C"/>
    <w:rsid w:val="002E49C3"/>
    <w:rsid w:val="002E5114"/>
    <w:rsid w:val="002E5988"/>
    <w:rsid w:val="002E65E6"/>
    <w:rsid w:val="002E7072"/>
    <w:rsid w:val="002E743D"/>
    <w:rsid w:val="002E7570"/>
    <w:rsid w:val="002E764B"/>
    <w:rsid w:val="002E7C25"/>
    <w:rsid w:val="002F0D6A"/>
    <w:rsid w:val="002F0E28"/>
    <w:rsid w:val="002F195B"/>
    <w:rsid w:val="002F287E"/>
    <w:rsid w:val="002F2981"/>
    <w:rsid w:val="002F2D63"/>
    <w:rsid w:val="002F6AD8"/>
    <w:rsid w:val="002F6C0B"/>
    <w:rsid w:val="002F7F81"/>
    <w:rsid w:val="00300A36"/>
    <w:rsid w:val="00301458"/>
    <w:rsid w:val="00301B45"/>
    <w:rsid w:val="00305856"/>
    <w:rsid w:val="00305867"/>
    <w:rsid w:val="0030678B"/>
    <w:rsid w:val="00306D16"/>
    <w:rsid w:val="0030700A"/>
    <w:rsid w:val="00307595"/>
    <w:rsid w:val="00307DA6"/>
    <w:rsid w:val="00310CD7"/>
    <w:rsid w:val="00311718"/>
    <w:rsid w:val="00313C3A"/>
    <w:rsid w:val="00313D7A"/>
    <w:rsid w:val="003155FB"/>
    <w:rsid w:val="00315D9E"/>
    <w:rsid w:val="0032136A"/>
    <w:rsid w:val="003224D8"/>
    <w:rsid w:val="00323A90"/>
    <w:rsid w:val="00323E70"/>
    <w:rsid w:val="003258A7"/>
    <w:rsid w:val="00325BA2"/>
    <w:rsid w:val="003262BD"/>
    <w:rsid w:val="00326798"/>
    <w:rsid w:val="00326B1C"/>
    <w:rsid w:val="00326C08"/>
    <w:rsid w:val="00326DBB"/>
    <w:rsid w:val="00326F7F"/>
    <w:rsid w:val="00327616"/>
    <w:rsid w:val="0033010A"/>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6A81"/>
    <w:rsid w:val="003570CF"/>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7A6"/>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C5E"/>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6ABE"/>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860"/>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458"/>
    <w:rsid w:val="004316FD"/>
    <w:rsid w:val="00433916"/>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C79"/>
    <w:rsid w:val="00481DA1"/>
    <w:rsid w:val="00483A2B"/>
    <w:rsid w:val="00484212"/>
    <w:rsid w:val="004848C3"/>
    <w:rsid w:val="00484BA9"/>
    <w:rsid w:val="0048599A"/>
    <w:rsid w:val="00486818"/>
    <w:rsid w:val="0049255F"/>
    <w:rsid w:val="0049445D"/>
    <w:rsid w:val="00494D39"/>
    <w:rsid w:val="00495350"/>
    <w:rsid w:val="00495E3C"/>
    <w:rsid w:val="00496041"/>
    <w:rsid w:val="004970FD"/>
    <w:rsid w:val="00497156"/>
    <w:rsid w:val="004A0C79"/>
    <w:rsid w:val="004A24D2"/>
    <w:rsid w:val="004A3214"/>
    <w:rsid w:val="004A4136"/>
    <w:rsid w:val="004A417B"/>
    <w:rsid w:val="004A4378"/>
    <w:rsid w:val="004A712D"/>
    <w:rsid w:val="004A7C03"/>
    <w:rsid w:val="004B03F3"/>
    <w:rsid w:val="004B0CC9"/>
    <w:rsid w:val="004B2536"/>
    <w:rsid w:val="004B3A78"/>
    <w:rsid w:val="004B46D7"/>
    <w:rsid w:val="004B6AF3"/>
    <w:rsid w:val="004B6F1F"/>
    <w:rsid w:val="004B715E"/>
    <w:rsid w:val="004B7169"/>
    <w:rsid w:val="004B76D8"/>
    <w:rsid w:val="004B79C9"/>
    <w:rsid w:val="004C00DD"/>
    <w:rsid w:val="004C05CF"/>
    <w:rsid w:val="004C0776"/>
    <w:rsid w:val="004C1EF8"/>
    <w:rsid w:val="004C2063"/>
    <w:rsid w:val="004C24C5"/>
    <w:rsid w:val="004C2645"/>
    <w:rsid w:val="004C47D5"/>
    <w:rsid w:val="004C4CAF"/>
    <w:rsid w:val="004C52A2"/>
    <w:rsid w:val="004C5E33"/>
    <w:rsid w:val="004C60A3"/>
    <w:rsid w:val="004C6CDA"/>
    <w:rsid w:val="004D10D4"/>
    <w:rsid w:val="004D16BD"/>
    <w:rsid w:val="004D2AAB"/>
    <w:rsid w:val="004D3C7F"/>
    <w:rsid w:val="004D42CB"/>
    <w:rsid w:val="004D4B16"/>
    <w:rsid w:val="004D6E90"/>
    <w:rsid w:val="004D6F2B"/>
    <w:rsid w:val="004D7A59"/>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1DDA"/>
    <w:rsid w:val="005025EE"/>
    <w:rsid w:val="00503401"/>
    <w:rsid w:val="00503DDF"/>
    <w:rsid w:val="00505524"/>
    <w:rsid w:val="005058D5"/>
    <w:rsid w:val="00506688"/>
    <w:rsid w:val="00510588"/>
    <w:rsid w:val="00510F9C"/>
    <w:rsid w:val="0051146C"/>
    <w:rsid w:val="0051220B"/>
    <w:rsid w:val="00512253"/>
    <w:rsid w:val="00512484"/>
    <w:rsid w:val="00512991"/>
    <w:rsid w:val="00512EC3"/>
    <w:rsid w:val="00514200"/>
    <w:rsid w:val="00514449"/>
    <w:rsid w:val="00514760"/>
    <w:rsid w:val="00514853"/>
    <w:rsid w:val="00515419"/>
    <w:rsid w:val="00515485"/>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4C9"/>
    <w:rsid w:val="00531DA0"/>
    <w:rsid w:val="00532E9D"/>
    <w:rsid w:val="00533075"/>
    <w:rsid w:val="00534D42"/>
    <w:rsid w:val="005350A5"/>
    <w:rsid w:val="00536379"/>
    <w:rsid w:val="00537238"/>
    <w:rsid w:val="005400C5"/>
    <w:rsid w:val="005404CD"/>
    <w:rsid w:val="00540BE0"/>
    <w:rsid w:val="00540BEF"/>
    <w:rsid w:val="005429A9"/>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07C"/>
    <w:rsid w:val="0058417C"/>
    <w:rsid w:val="005854F9"/>
    <w:rsid w:val="005868EB"/>
    <w:rsid w:val="00586EC6"/>
    <w:rsid w:val="00587DDE"/>
    <w:rsid w:val="00591EEF"/>
    <w:rsid w:val="00593043"/>
    <w:rsid w:val="00595B60"/>
    <w:rsid w:val="00595B63"/>
    <w:rsid w:val="00595BF0"/>
    <w:rsid w:val="00597E16"/>
    <w:rsid w:val="005A0B1D"/>
    <w:rsid w:val="005A1846"/>
    <w:rsid w:val="005A258C"/>
    <w:rsid w:val="005A3560"/>
    <w:rsid w:val="005A464E"/>
    <w:rsid w:val="005A5663"/>
    <w:rsid w:val="005A62FC"/>
    <w:rsid w:val="005A6C99"/>
    <w:rsid w:val="005A7D5D"/>
    <w:rsid w:val="005B0040"/>
    <w:rsid w:val="005B011A"/>
    <w:rsid w:val="005B0283"/>
    <w:rsid w:val="005B1ADA"/>
    <w:rsid w:val="005B1D09"/>
    <w:rsid w:val="005B1D8F"/>
    <w:rsid w:val="005B1E94"/>
    <w:rsid w:val="005B3EF6"/>
    <w:rsid w:val="005B5B3D"/>
    <w:rsid w:val="005B5E8F"/>
    <w:rsid w:val="005B64CF"/>
    <w:rsid w:val="005B72DA"/>
    <w:rsid w:val="005C0E87"/>
    <w:rsid w:val="005C1398"/>
    <w:rsid w:val="005C16F3"/>
    <w:rsid w:val="005C3758"/>
    <w:rsid w:val="005C4D72"/>
    <w:rsid w:val="005C50C1"/>
    <w:rsid w:val="005C5AE4"/>
    <w:rsid w:val="005C62C2"/>
    <w:rsid w:val="005C6392"/>
    <w:rsid w:val="005D2306"/>
    <w:rsid w:val="005D2562"/>
    <w:rsid w:val="005D2666"/>
    <w:rsid w:val="005D4548"/>
    <w:rsid w:val="005D4A74"/>
    <w:rsid w:val="005D5E91"/>
    <w:rsid w:val="005D67EF"/>
    <w:rsid w:val="005E0A4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0AAC"/>
    <w:rsid w:val="006110FB"/>
    <w:rsid w:val="00612FB0"/>
    <w:rsid w:val="006132FC"/>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4F64"/>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6175"/>
    <w:rsid w:val="006770AA"/>
    <w:rsid w:val="0068014A"/>
    <w:rsid w:val="006805F4"/>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70F"/>
    <w:rsid w:val="006D5861"/>
    <w:rsid w:val="006D5CE2"/>
    <w:rsid w:val="006D7854"/>
    <w:rsid w:val="006E06D1"/>
    <w:rsid w:val="006E122E"/>
    <w:rsid w:val="006E1313"/>
    <w:rsid w:val="006E1B15"/>
    <w:rsid w:val="006E2DC8"/>
    <w:rsid w:val="006E58CB"/>
    <w:rsid w:val="006E6B68"/>
    <w:rsid w:val="006E6D6E"/>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A38"/>
    <w:rsid w:val="00705BE5"/>
    <w:rsid w:val="00705C40"/>
    <w:rsid w:val="00706482"/>
    <w:rsid w:val="00706754"/>
    <w:rsid w:val="00706BEF"/>
    <w:rsid w:val="00707028"/>
    <w:rsid w:val="00707ECE"/>
    <w:rsid w:val="00710574"/>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0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38C"/>
    <w:rsid w:val="00750C82"/>
    <w:rsid w:val="00750E3A"/>
    <w:rsid w:val="00752035"/>
    <w:rsid w:val="0076100C"/>
    <w:rsid w:val="007612A5"/>
    <w:rsid w:val="00763CAE"/>
    <w:rsid w:val="00763F95"/>
    <w:rsid w:val="007651ED"/>
    <w:rsid w:val="00766C87"/>
    <w:rsid w:val="00771043"/>
    <w:rsid w:val="00771C29"/>
    <w:rsid w:val="0077272B"/>
    <w:rsid w:val="00773AF7"/>
    <w:rsid w:val="00774FFD"/>
    <w:rsid w:val="00780378"/>
    <w:rsid w:val="0078085E"/>
    <w:rsid w:val="00781BD4"/>
    <w:rsid w:val="00782211"/>
    <w:rsid w:val="00782562"/>
    <w:rsid w:val="007828B4"/>
    <w:rsid w:val="00784832"/>
    <w:rsid w:val="00784EA0"/>
    <w:rsid w:val="00785D77"/>
    <w:rsid w:val="00786111"/>
    <w:rsid w:val="00790963"/>
    <w:rsid w:val="0079150B"/>
    <w:rsid w:val="0079154B"/>
    <w:rsid w:val="00791EED"/>
    <w:rsid w:val="00791F1E"/>
    <w:rsid w:val="007927A2"/>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A87"/>
    <w:rsid w:val="007A3BB3"/>
    <w:rsid w:val="007A3F91"/>
    <w:rsid w:val="007A3F9C"/>
    <w:rsid w:val="007A5AD1"/>
    <w:rsid w:val="007A5B7B"/>
    <w:rsid w:val="007A65A9"/>
    <w:rsid w:val="007A7FD8"/>
    <w:rsid w:val="007B0128"/>
    <w:rsid w:val="007B0635"/>
    <w:rsid w:val="007B0A06"/>
    <w:rsid w:val="007B0B24"/>
    <w:rsid w:val="007B0F8B"/>
    <w:rsid w:val="007B1BA4"/>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2DE"/>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02D"/>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1F43"/>
    <w:rsid w:val="00813C51"/>
    <w:rsid w:val="00816CCB"/>
    <w:rsid w:val="00817572"/>
    <w:rsid w:val="00817713"/>
    <w:rsid w:val="008208C3"/>
    <w:rsid w:val="008220F1"/>
    <w:rsid w:val="0082340B"/>
    <w:rsid w:val="00823D6A"/>
    <w:rsid w:val="00827B29"/>
    <w:rsid w:val="00827CA8"/>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33B"/>
    <w:rsid w:val="00841457"/>
    <w:rsid w:val="00842BAA"/>
    <w:rsid w:val="00842D8F"/>
    <w:rsid w:val="0084374E"/>
    <w:rsid w:val="00844842"/>
    <w:rsid w:val="0084493E"/>
    <w:rsid w:val="00844A53"/>
    <w:rsid w:val="00844B99"/>
    <w:rsid w:val="00844DD0"/>
    <w:rsid w:val="008455C8"/>
    <w:rsid w:val="00846407"/>
    <w:rsid w:val="00846811"/>
    <w:rsid w:val="0085006A"/>
    <w:rsid w:val="00850127"/>
    <w:rsid w:val="0085089F"/>
    <w:rsid w:val="0085206E"/>
    <w:rsid w:val="00852273"/>
    <w:rsid w:val="0085293D"/>
    <w:rsid w:val="00852AD4"/>
    <w:rsid w:val="00852BA8"/>
    <w:rsid w:val="00852BF0"/>
    <w:rsid w:val="00852C8F"/>
    <w:rsid w:val="00853718"/>
    <w:rsid w:val="008541EF"/>
    <w:rsid w:val="00856428"/>
    <w:rsid w:val="00856AC7"/>
    <w:rsid w:val="00856FA4"/>
    <w:rsid w:val="00860869"/>
    <w:rsid w:val="00860E60"/>
    <w:rsid w:val="0086102A"/>
    <w:rsid w:val="0086162B"/>
    <w:rsid w:val="00861710"/>
    <w:rsid w:val="00861D5C"/>
    <w:rsid w:val="00861E7C"/>
    <w:rsid w:val="00862C71"/>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6B39"/>
    <w:rsid w:val="0088084F"/>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5C6"/>
    <w:rsid w:val="008B515D"/>
    <w:rsid w:val="008B5D31"/>
    <w:rsid w:val="008B64BD"/>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D7F47"/>
    <w:rsid w:val="008E0D8F"/>
    <w:rsid w:val="008E0F4E"/>
    <w:rsid w:val="008E1E94"/>
    <w:rsid w:val="008E2D99"/>
    <w:rsid w:val="008E30D4"/>
    <w:rsid w:val="008E38B0"/>
    <w:rsid w:val="008E3C90"/>
    <w:rsid w:val="008E4285"/>
    <w:rsid w:val="008E4A60"/>
    <w:rsid w:val="008E744D"/>
    <w:rsid w:val="008F1E08"/>
    <w:rsid w:val="008F30F4"/>
    <w:rsid w:val="008F49C8"/>
    <w:rsid w:val="008F58E1"/>
    <w:rsid w:val="008F6E05"/>
    <w:rsid w:val="008F6FC8"/>
    <w:rsid w:val="0090045D"/>
    <w:rsid w:val="00900906"/>
    <w:rsid w:val="00900D8F"/>
    <w:rsid w:val="00901229"/>
    <w:rsid w:val="009014E3"/>
    <w:rsid w:val="009020ED"/>
    <w:rsid w:val="009026E8"/>
    <w:rsid w:val="00902FDD"/>
    <w:rsid w:val="00904EB4"/>
    <w:rsid w:val="00905EEF"/>
    <w:rsid w:val="00906EB7"/>
    <w:rsid w:val="00907FE6"/>
    <w:rsid w:val="009102BF"/>
    <w:rsid w:val="00911490"/>
    <w:rsid w:val="009115F2"/>
    <w:rsid w:val="00911B11"/>
    <w:rsid w:val="00913B15"/>
    <w:rsid w:val="00914ADB"/>
    <w:rsid w:val="00917182"/>
    <w:rsid w:val="00920251"/>
    <w:rsid w:val="00921CFD"/>
    <w:rsid w:val="00923B25"/>
    <w:rsid w:val="0092402E"/>
    <w:rsid w:val="009259BA"/>
    <w:rsid w:val="00926FCB"/>
    <w:rsid w:val="009303BB"/>
    <w:rsid w:val="0093108A"/>
    <w:rsid w:val="00931B6D"/>
    <w:rsid w:val="0093284F"/>
    <w:rsid w:val="0093311A"/>
    <w:rsid w:val="009346D0"/>
    <w:rsid w:val="009369A6"/>
    <w:rsid w:val="00937F02"/>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6208"/>
    <w:rsid w:val="009A0DE3"/>
    <w:rsid w:val="009A1643"/>
    <w:rsid w:val="009A215A"/>
    <w:rsid w:val="009A26B9"/>
    <w:rsid w:val="009A49D3"/>
    <w:rsid w:val="009A4F1B"/>
    <w:rsid w:val="009A6433"/>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749"/>
    <w:rsid w:val="009D1ADE"/>
    <w:rsid w:val="009D297C"/>
    <w:rsid w:val="009D3652"/>
    <w:rsid w:val="009D37CA"/>
    <w:rsid w:val="009D4229"/>
    <w:rsid w:val="009D4268"/>
    <w:rsid w:val="009D5DE9"/>
    <w:rsid w:val="009E09D0"/>
    <w:rsid w:val="009E0CB2"/>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3F3"/>
    <w:rsid w:val="00A20558"/>
    <w:rsid w:val="00A211DD"/>
    <w:rsid w:val="00A2186F"/>
    <w:rsid w:val="00A2270B"/>
    <w:rsid w:val="00A23B89"/>
    <w:rsid w:val="00A23C4F"/>
    <w:rsid w:val="00A23FE3"/>
    <w:rsid w:val="00A248C3"/>
    <w:rsid w:val="00A2496E"/>
    <w:rsid w:val="00A2515A"/>
    <w:rsid w:val="00A253E8"/>
    <w:rsid w:val="00A257D1"/>
    <w:rsid w:val="00A258B7"/>
    <w:rsid w:val="00A25A0C"/>
    <w:rsid w:val="00A25A83"/>
    <w:rsid w:val="00A262B6"/>
    <w:rsid w:val="00A305AD"/>
    <w:rsid w:val="00A31FE2"/>
    <w:rsid w:val="00A32743"/>
    <w:rsid w:val="00A40356"/>
    <w:rsid w:val="00A40FFB"/>
    <w:rsid w:val="00A41468"/>
    <w:rsid w:val="00A414A9"/>
    <w:rsid w:val="00A42722"/>
    <w:rsid w:val="00A44141"/>
    <w:rsid w:val="00A44CCA"/>
    <w:rsid w:val="00A44D75"/>
    <w:rsid w:val="00A46660"/>
    <w:rsid w:val="00A47CF1"/>
    <w:rsid w:val="00A50418"/>
    <w:rsid w:val="00A50B17"/>
    <w:rsid w:val="00A53A9B"/>
    <w:rsid w:val="00A54A47"/>
    <w:rsid w:val="00A56303"/>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6B88"/>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4F98"/>
    <w:rsid w:val="00AA73AF"/>
    <w:rsid w:val="00AB062D"/>
    <w:rsid w:val="00AB0A8A"/>
    <w:rsid w:val="00AB1754"/>
    <w:rsid w:val="00AB1F8D"/>
    <w:rsid w:val="00AB27DD"/>
    <w:rsid w:val="00AB48AF"/>
    <w:rsid w:val="00AB4BA4"/>
    <w:rsid w:val="00AB592E"/>
    <w:rsid w:val="00AB74B0"/>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41EE"/>
    <w:rsid w:val="00AF4A36"/>
    <w:rsid w:val="00AF4FA5"/>
    <w:rsid w:val="00AF5B5E"/>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392"/>
    <w:rsid w:val="00B43BA2"/>
    <w:rsid w:val="00B449EE"/>
    <w:rsid w:val="00B454AE"/>
    <w:rsid w:val="00B46230"/>
    <w:rsid w:val="00B47B82"/>
    <w:rsid w:val="00B50227"/>
    <w:rsid w:val="00B50510"/>
    <w:rsid w:val="00B505E9"/>
    <w:rsid w:val="00B514F5"/>
    <w:rsid w:val="00B51BD8"/>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3A0"/>
    <w:rsid w:val="00B67CA8"/>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5E2"/>
    <w:rsid w:val="00B9793D"/>
    <w:rsid w:val="00BA1824"/>
    <w:rsid w:val="00BA2D98"/>
    <w:rsid w:val="00BA2F0C"/>
    <w:rsid w:val="00BA30D1"/>
    <w:rsid w:val="00BA30E1"/>
    <w:rsid w:val="00BA4609"/>
    <w:rsid w:val="00BA5BE2"/>
    <w:rsid w:val="00BA6A9C"/>
    <w:rsid w:val="00BA72E6"/>
    <w:rsid w:val="00BA7F46"/>
    <w:rsid w:val="00BB0388"/>
    <w:rsid w:val="00BB0A0A"/>
    <w:rsid w:val="00BB133C"/>
    <w:rsid w:val="00BB1F04"/>
    <w:rsid w:val="00BB45B5"/>
    <w:rsid w:val="00BB4DDE"/>
    <w:rsid w:val="00BB5573"/>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669"/>
    <w:rsid w:val="00BE6365"/>
    <w:rsid w:val="00BF01B7"/>
    <w:rsid w:val="00BF0B7F"/>
    <w:rsid w:val="00BF0E94"/>
    <w:rsid w:val="00BF2988"/>
    <w:rsid w:val="00BF3FB9"/>
    <w:rsid w:val="00BF4012"/>
    <w:rsid w:val="00BF4720"/>
    <w:rsid w:val="00BF4F49"/>
    <w:rsid w:val="00BF622A"/>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0D0"/>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22A6"/>
    <w:rsid w:val="00C52426"/>
    <w:rsid w:val="00C53632"/>
    <w:rsid w:val="00C5377C"/>
    <w:rsid w:val="00C53E8A"/>
    <w:rsid w:val="00C54DF3"/>
    <w:rsid w:val="00C560A7"/>
    <w:rsid w:val="00C56FC8"/>
    <w:rsid w:val="00C60F23"/>
    <w:rsid w:val="00C6170B"/>
    <w:rsid w:val="00C62EB2"/>
    <w:rsid w:val="00C63431"/>
    <w:rsid w:val="00C64C87"/>
    <w:rsid w:val="00C65414"/>
    <w:rsid w:val="00C665FE"/>
    <w:rsid w:val="00C669F8"/>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123F"/>
    <w:rsid w:val="00C931FC"/>
    <w:rsid w:val="00C932C5"/>
    <w:rsid w:val="00C94CB6"/>
    <w:rsid w:val="00C95299"/>
    <w:rsid w:val="00C95A72"/>
    <w:rsid w:val="00C9650E"/>
    <w:rsid w:val="00C97000"/>
    <w:rsid w:val="00C975BD"/>
    <w:rsid w:val="00CA068D"/>
    <w:rsid w:val="00CA08DF"/>
    <w:rsid w:val="00CA0E61"/>
    <w:rsid w:val="00CA1228"/>
    <w:rsid w:val="00CA1C73"/>
    <w:rsid w:val="00CA282D"/>
    <w:rsid w:val="00CA3F73"/>
    <w:rsid w:val="00CA4670"/>
    <w:rsid w:val="00CA5F89"/>
    <w:rsid w:val="00CA6B1A"/>
    <w:rsid w:val="00CA7A51"/>
    <w:rsid w:val="00CB1B18"/>
    <w:rsid w:val="00CB20DC"/>
    <w:rsid w:val="00CB23DC"/>
    <w:rsid w:val="00CB2487"/>
    <w:rsid w:val="00CB28E2"/>
    <w:rsid w:val="00CB2F20"/>
    <w:rsid w:val="00CB3395"/>
    <w:rsid w:val="00CB4F14"/>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5EB"/>
    <w:rsid w:val="00CD5653"/>
    <w:rsid w:val="00CD5E6D"/>
    <w:rsid w:val="00CD63C8"/>
    <w:rsid w:val="00CD76F8"/>
    <w:rsid w:val="00CD78A5"/>
    <w:rsid w:val="00CE02E8"/>
    <w:rsid w:val="00CE069E"/>
    <w:rsid w:val="00CE0DE0"/>
    <w:rsid w:val="00CE2407"/>
    <w:rsid w:val="00CE2CC2"/>
    <w:rsid w:val="00CE3722"/>
    <w:rsid w:val="00CE5109"/>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3CF"/>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D6"/>
    <w:rsid w:val="00D54BE4"/>
    <w:rsid w:val="00D54DDB"/>
    <w:rsid w:val="00D554BC"/>
    <w:rsid w:val="00D560DC"/>
    <w:rsid w:val="00D56602"/>
    <w:rsid w:val="00D60483"/>
    <w:rsid w:val="00D6055E"/>
    <w:rsid w:val="00D61ABB"/>
    <w:rsid w:val="00D61B24"/>
    <w:rsid w:val="00D62D5C"/>
    <w:rsid w:val="00D63577"/>
    <w:rsid w:val="00D67FD7"/>
    <w:rsid w:val="00D704E4"/>
    <w:rsid w:val="00D72410"/>
    <w:rsid w:val="00D730BC"/>
    <w:rsid w:val="00D73D53"/>
    <w:rsid w:val="00D7402C"/>
    <w:rsid w:val="00D7408A"/>
    <w:rsid w:val="00D74261"/>
    <w:rsid w:val="00D7441B"/>
    <w:rsid w:val="00D75589"/>
    <w:rsid w:val="00D76AB2"/>
    <w:rsid w:val="00D76D8F"/>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CFD"/>
    <w:rsid w:val="00D95984"/>
    <w:rsid w:val="00D95C64"/>
    <w:rsid w:val="00D9706F"/>
    <w:rsid w:val="00D972D4"/>
    <w:rsid w:val="00DA0FE3"/>
    <w:rsid w:val="00DA195B"/>
    <w:rsid w:val="00DA27F3"/>
    <w:rsid w:val="00DA2B00"/>
    <w:rsid w:val="00DA2D1E"/>
    <w:rsid w:val="00DA3EC8"/>
    <w:rsid w:val="00DA40C1"/>
    <w:rsid w:val="00DA5564"/>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8B6"/>
    <w:rsid w:val="00DC4A3C"/>
    <w:rsid w:val="00DC4FA4"/>
    <w:rsid w:val="00DC5B37"/>
    <w:rsid w:val="00DD2787"/>
    <w:rsid w:val="00DD286D"/>
    <w:rsid w:val="00DD2CAF"/>
    <w:rsid w:val="00DD3593"/>
    <w:rsid w:val="00DD64E0"/>
    <w:rsid w:val="00DD775C"/>
    <w:rsid w:val="00DD7BE0"/>
    <w:rsid w:val="00DE0C67"/>
    <w:rsid w:val="00DE3AAD"/>
    <w:rsid w:val="00DE598A"/>
    <w:rsid w:val="00DE5E21"/>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7C31"/>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5D9"/>
    <w:rsid w:val="00E43D25"/>
    <w:rsid w:val="00E43F59"/>
    <w:rsid w:val="00E464F0"/>
    <w:rsid w:val="00E46EF3"/>
    <w:rsid w:val="00E47370"/>
    <w:rsid w:val="00E473E9"/>
    <w:rsid w:val="00E47B47"/>
    <w:rsid w:val="00E505F0"/>
    <w:rsid w:val="00E50BEB"/>
    <w:rsid w:val="00E526C8"/>
    <w:rsid w:val="00E53460"/>
    <w:rsid w:val="00E548FA"/>
    <w:rsid w:val="00E55CD9"/>
    <w:rsid w:val="00E56491"/>
    <w:rsid w:val="00E57703"/>
    <w:rsid w:val="00E57ED4"/>
    <w:rsid w:val="00E57FED"/>
    <w:rsid w:val="00E6092F"/>
    <w:rsid w:val="00E60D4C"/>
    <w:rsid w:val="00E61EE9"/>
    <w:rsid w:val="00E62049"/>
    <w:rsid w:val="00E629DA"/>
    <w:rsid w:val="00E64374"/>
    <w:rsid w:val="00E6451F"/>
    <w:rsid w:val="00E6469F"/>
    <w:rsid w:val="00E6546A"/>
    <w:rsid w:val="00E65C05"/>
    <w:rsid w:val="00E65D39"/>
    <w:rsid w:val="00E670F8"/>
    <w:rsid w:val="00E6741B"/>
    <w:rsid w:val="00E6786A"/>
    <w:rsid w:val="00E67FAC"/>
    <w:rsid w:val="00E70164"/>
    <w:rsid w:val="00E71485"/>
    <w:rsid w:val="00E7200B"/>
    <w:rsid w:val="00E738CB"/>
    <w:rsid w:val="00E73C88"/>
    <w:rsid w:val="00E74437"/>
    <w:rsid w:val="00E7443D"/>
    <w:rsid w:val="00E75ACE"/>
    <w:rsid w:val="00E7632A"/>
    <w:rsid w:val="00E771AF"/>
    <w:rsid w:val="00E800E1"/>
    <w:rsid w:val="00E80386"/>
    <w:rsid w:val="00E809C3"/>
    <w:rsid w:val="00E814D4"/>
    <w:rsid w:val="00E81A1A"/>
    <w:rsid w:val="00E81C3E"/>
    <w:rsid w:val="00E82359"/>
    <w:rsid w:val="00E82B6D"/>
    <w:rsid w:val="00E82EAC"/>
    <w:rsid w:val="00E83187"/>
    <w:rsid w:val="00E831E9"/>
    <w:rsid w:val="00E84DDA"/>
    <w:rsid w:val="00E8608F"/>
    <w:rsid w:val="00E86C1D"/>
    <w:rsid w:val="00E90703"/>
    <w:rsid w:val="00E90A62"/>
    <w:rsid w:val="00E91EB5"/>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547F"/>
    <w:rsid w:val="00ED664B"/>
    <w:rsid w:val="00ED6A61"/>
    <w:rsid w:val="00ED768E"/>
    <w:rsid w:val="00ED7DA4"/>
    <w:rsid w:val="00EE03BB"/>
    <w:rsid w:val="00EE0552"/>
    <w:rsid w:val="00EE0B44"/>
    <w:rsid w:val="00EE0F5F"/>
    <w:rsid w:val="00EE125D"/>
    <w:rsid w:val="00EE23DE"/>
    <w:rsid w:val="00EE48BB"/>
    <w:rsid w:val="00EE6FE0"/>
    <w:rsid w:val="00EE704A"/>
    <w:rsid w:val="00EE7840"/>
    <w:rsid w:val="00EF2E75"/>
    <w:rsid w:val="00EF4C74"/>
    <w:rsid w:val="00EF5268"/>
    <w:rsid w:val="00EF553D"/>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5019"/>
    <w:rsid w:val="00F26432"/>
    <w:rsid w:val="00F3197A"/>
    <w:rsid w:val="00F32139"/>
    <w:rsid w:val="00F33CF0"/>
    <w:rsid w:val="00F33D56"/>
    <w:rsid w:val="00F34673"/>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5AD1"/>
    <w:rsid w:val="00F56EA1"/>
    <w:rsid w:val="00F571C3"/>
    <w:rsid w:val="00F606D5"/>
    <w:rsid w:val="00F611B3"/>
    <w:rsid w:val="00F6196E"/>
    <w:rsid w:val="00F61CCC"/>
    <w:rsid w:val="00F624DD"/>
    <w:rsid w:val="00F629C0"/>
    <w:rsid w:val="00F63FC7"/>
    <w:rsid w:val="00F65E1F"/>
    <w:rsid w:val="00F65E5E"/>
    <w:rsid w:val="00F65ED5"/>
    <w:rsid w:val="00F6608B"/>
    <w:rsid w:val="00F6636A"/>
    <w:rsid w:val="00F667C5"/>
    <w:rsid w:val="00F67E31"/>
    <w:rsid w:val="00F70B44"/>
    <w:rsid w:val="00F71436"/>
    <w:rsid w:val="00F718A8"/>
    <w:rsid w:val="00F71FC6"/>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18"/>
    <w:rsid w:val="00F96F61"/>
    <w:rsid w:val="00F97740"/>
    <w:rsid w:val="00FA0C8F"/>
    <w:rsid w:val="00FA2DEF"/>
    <w:rsid w:val="00FA2F7B"/>
    <w:rsid w:val="00FA3C90"/>
    <w:rsid w:val="00FA3C97"/>
    <w:rsid w:val="00FA3D30"/>
    <w:rsid w:val="00FA444A"/>
    <w:rsid w:val="00FA4B49"/>
    <w:rsid w:val="00FA54F8"/>
    <w:rsid w:val="00FA577F"/>
    <w:rsid w:val="00FA78C8"/>
    <w:rsid w:val="00FA7A2F"/>
    <w:rsid w:val="00FB09FE"/>
    <w:rsid w:val="00FB0CB6"/>
    <w:rsid w:val="00FB0E80"/>
    <w:rsid w:val="00FB101D"/>
    <w:rsid w:val="00FB1725"/>
    <w:rsid w:val="00FB2493"/>
    <w:rsid w:val="00FB42B7"/>
    <w:rsid w:val="00FB4484"/>
    <w:rsid w:val="00FB593A"/>
    <w:rsid w:val="00FB6410"/>
    <w:rsid w:val="00FB6E82"/>
    <w:rsid w:val="00FB792E"/>
    <w:rsid w:val="00FB7A57"/>
    <w:rsid w:val="00FB7CF0"/>
    <w:rsid w:val="00FB7DEA"/>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42830475">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5A51-E097-4B87-BB03-7187ABCB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17</cp:revision>
  <cp:lastPrinted>2012-08-21T13:37:00Z</cp:lastPrinted>
  <dcterms:created xsi:type="dcterms:W3CDTF">2012-08-08T20:02:00Z</dcterms:created>
  <dcterms:modified xsi:type="dcterms:W3CDTF">2012-09-19T12:34:00Z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