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472966">
        <w:rPr>
          <w:caps/>
          <w:color w:val="000000" w:themeColor="text1"/>
        </w:rPr>
        <w:t xml:space="preserve">NAME:  </w:t>
      </w:r>
      <w:r w:rsidR="0061320C">
        <w:rPr>
          <w:caps/>
          <w:color w:val="000000" w:themeColor="text1"/>
        </w:rPr>
        <w:t xml:space="preserve"> </w:t>
      </w:r>
      <w:r w:rsidR="00F1766A" w:rsidRPr="00472966">
        <w:rPr>
          <w:caps/>
          <w:color w:val="000000" w:themeColor="text1"/>
        </w:rPr>
        <w:tab/>
      </w:r>
      <w:r w:rsidRPr="00472966">
        <w:rPr>
          <w:caps/>
          <w:color w:val="000000" w:themeColor="text1"/>
        </w:rPr>
        <w:t xml:space="preserve">BRANCH OF SERVICE: </w:t>
      </w:r>
      <w:r w:rsidR="004C24C5" w:rsidRPr="00472966">
        <w:rPr>
          <w:caps/>
          <w:color w:val="000000" w:themeColor="text1"/>
        </w:rPr>
        <w:t xml:space="preserve"> </w:t>
      </w:r>
      <w:r w:rsidR="00332DE3" w:rsidRPr="00472966">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0E356B" w:rsidRPr="000E356B">
        <w:rPr>
          <w:caps/>
          <w:color w:val="000000" w:themeColor="text1"/>
        </w:rPr>
        <w:t>1100626</w:t>
      </w:r>
      <w:r w:rsidR="00DE3AAD" w:rsidRPr="001F29F9">
        <w:rPr>
          <w:color w:val="000000" w:themeColor="text1"/>
        </w:rPr>
        <w:t xml:space="preserve"> </w:t>
      </w:r>
      <w:r w:rsidR="00F1766A">
        <w:rPr>
          <w:color w:val="000000" w:themeColor="text1"/>
        </w:rPr>
        <w:tab/>
      </w:r>
      <w:r w:rsidR="00DE3AAD" w:rsidRPr="001F29F9">
        <w:rPr>
          <w:color w:val="000000" w:themeColor="text1"/>
        </w:rPr>
        <w:t xml:space="preserve">SEPARATION DATE:  </w:t>
      </w:r>
      <w:r w:rsidR="000E356B" w:rsidRPr="000E356B">
        <w:rPr>
          <w:color w:val="000000" w:themeColor="text1"/>
        </w:rPr>
        <w:t>20030814</w:t>
      </w:r>
    </w:p>
    <w:p w:rsidR="003B2143" w:rsidRPr="001F29F9" w:rsidRDefault="004F3639" w:rsidP="006D18D5">
      <w:pPr>
        <w:tabs>
          <w:tab w:val="left" w:pos="288"/>
          <w:tab w:val="left" w:pos="3600"/>
        </w:tabs>
        <w:jc w:val="left"/>
        <w:rPr>
          <w:color w:val="000000" w:themeColor="text1"/>
        </w:rPr>
      </w:pPr>
      <w:r w:rsidRPr="001F29F9">
        <w:rPr>
          <w:caps/>
          <w:color w:val="000000" w:themeColor="text1"/>
        </w:rPr>
        <w:t>BOARD DATE:  201</w:t>
      </w:r>
      <w:r w:rsidR="006344DE">
        <w:rPr>
          <w:caps/>
          <w:color w:val="000000" w:themeColor="text1"/>
        </w:rPr>
        <w:t>2</w:t>
      </w:r>
      <w:r w:rsidR="00C80F4A">
        <w:rPr>
          <w:caps/>
          <w:color w:val="000000" w:themeColor="text1"/>
        </w:rPr>
        <w:t>0221</w:t>
      </w:r>
      <w:r w:rsidR="00472966">
        <w:rPr>
          <w:caps/>
          <w:color w:val="000000" w:themeColor="text1"/>
        </w:rPr>
        <w:t xml:space="preserve">    </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0E356B" w:rsidRPr="000E356B">
        <w:rPr>
          <w:color w:val="000000" w:themeColor="text1"/>
        </w:rPr>
        <w:t>Data extracted from the available evidence of record reflects that this covered individual (CI) was an active duty SPC/E-4 (93C, Air Traffic Controller), medically separated for chronic right knee</w:t>
      </w:r>
      <w:r w:rsidR="000A4570">
        <w:rPr>
          <w:color w:val="000000" w:themeColor="text1"/>
        </w:rPr>
        <w:t xml:space="preserve"> pain.  The CI </w:t>
      </w:r>
      <w:r w:rsidR="00000F8C">
        <w:rPr>
          <w:color w:val="000000" w:themeColor="text1"/>
        </w:rPr>
        <w:t>developed</w:t>
      </w:r>
      <w:r w:rsidR="000A4570">
        <w:rPr>
          <w:color w:val="000000" w:themeColor="text1"/>
        </w:rPr>
        <w:t xml:space="preserve"> </w:t>
      </w:r>
      <w:r w:rsidR="000E356B" w:rsidRPr="000E356B">
        <w:rPr>
          <w:color w:val="000000" w:themeColor="text1"/>
        </w:rPr>
        <w:t>knee pain</w:t>
      </w:r>
      <w:r w:rsidR="000A4570">
        <w:rPr>
          <w:color w:val="000000" w:themeColor="text1"/>
        </w:rPr>
        <w:t xml:space="preserve"> beginning in</w:t>
      </w:r>
      <w:r w:rsidR="000E356B" w:rsidRPr="000E356B">
        <w:rPr>
          <w:color w:val="000000" w:themeColor="text1"/>
        </w:rPr>
        <w:t xml:space="preserve"> basic training</w:t>
      </w:r>
      <w:r w:rsidR="00000F8C">
        <w:rPr>
          <w:color w:val="000000" w:themeColor="text1"/>
        </w:rPr>
        <w:t xml:space="preserve"> without a history of specific injury</w:t>
      </w:r>
      <w:r w:rsidR="000E356B" w:rsidRPr="000E356B">
        <w:rPr>
          <w:color w:val="000000" w:themeColor="text1"/>
        </w:rPr>
        <w:t xml:space="preserve">. He was </w:t>
      </w:r>
      <w:r w:rsidR="00000F8C">
        <w:rPr>
          <w:color w:val="000000" w:themeColor="text1"/>
        </w:rPr>
        <w:t>not deemed to be a surgical candidate</w:t>
      </w:r>
      <w:r w:rsidR="00000F8C" w:rsidRPr="000E356B">
        <w:rPr>
          <w:color w:val="000000" w:themeColor="text1"/>
        </w:rPr>
        <w:t xml:space="preserve"> </w:t>
      </w:r>
      <w:r w:rsidR="00000F8C">
        <w:rPr>
          <w:color w:val="000000" w:themeColor="text1"/>
        </w:rPr>
        <w:t>and underwent a trial of conservative</w:t>
      </w:r>
      <w:r w:rsidR="000E356B" w:rsidRPr="000E356B">
        <w:rPr>
          <w:color w:val="000000" w:themeColor="text1"/>
        </w:rPr>
        <w:t xml:space="preserve"> </w:t>
      </w:r>
      <w:r w:rsidR="00000F8C">
        <w:rPr>
          <w:color w:val="000000" w:themeColor="text1"/>
        </w:rPr>
        <w:t>management</w:t>
      </w:r>
      <w:r w:rsidR="00C80F4A">
        <w:rPr>
          <w:color w:val="000000" w:themeColor="text1"/>
        </w:rPr>
        <w:t>; but,</w:t>
      </w:r>
      <w:r w:rsidR="000E356B" w:rsidRPr="000E356B">
        <w:rPr>
          <w:color w:val="000000" w:themeColor="text1"/>
        </w:rPr>
        <w:t xml:space="preserve"> did not </w:t>
      </w:r>
      <w:r w:rsidR="00C80F4A">
        <w:rPr>
          <w:color w:val="000000" w:themeColor="text1"/>
        </w:rPr>
        <w:t>improve</w:t>
      </w:r>
      <w:r w:rsidR="000E356B" w:rsidRPr="000E356B">
        <w:rPr>
          <w:color w:val="000000" w:themeColor="text1"/>
        </w:rPr>
        <w:t xml:space="preserve"> adequately to </w:t>
      </w:r>
      <w:r w:rsidR="000A4570">
        <w:rPr>
          <w:color w:val="000000" w:themeColor="text1"/>
        </w:rPr>
        <w:t xml:space="preserve">fully </w:t>
      </w:r>
      <w:r w:rsidR="000E356B" w:rsidRPr="000E356B">
        <w:rPr>
          <w:color w:val="000000" w:themeColor="text1"/>
        </w:rPr>
        <w:t xml:space="preserve">perform within his Military Occupational Specialty (MOS) or meet physical fitness standards. </w:t>
      </w:r>
      <w:r w:rsidR="00000F8C">
        <w:rPr>
          <w:color w:val="000000" w:themeColor="text1"/>
        </w:rPr>
        <w:t xml:space="preserve"> </w:t>
      </w:r>
      <w:r w:rsidR="000E356B" w:rsidRPr="000E356B">
        <w:rPr>
          <w:color w:val="000000" w:themeColor="text1"/>
        </w:rPr>
        <w:t xml:space="preserve">He was issued a permanent L3 profile and underwent a </w:t>
      </w:r>
      <w:r w:rsidR="00FD3A59">
        <w:rPr>
          <w:color w:val="000000" w:themeColor="text1"/>
        </w:rPr>
        <w:t>MOS Medical Retention Board (MMRB)</w:t>
      </w:r>
      <w:r w:rsidR="00000F8C">
        <w:rPr>
          <w:color w:val="000000" w:themeColor="text1"/>
        </w:rPr>
        <w:t>;</w:t>
      </w:r>
      <w:r w:rsidR="00FD3A59">
        <w:rPr>
          <w:color w:val="000000" w:themeColor="text1"/>
        </w:rPr>
        <w:t xml:space="preserve"> which </w:t>
      </w:r>
      <w:r w:rsidR="00000F8C">
        <w:rPr>
          <w:color w:val="000000" w:themeColor="text1"/>
        </w:rPr>
        <w:t>in turn</w:t>
      </w:r>
      <w:r w:rsidR="00FD3A59">
        <w:rPr>
          <w:color w:val="000000" w:themeColor="text1"/>
        </w:rPr>
        <w:t xml:space="preserve"> referred the CI to a </w:t>
      </w:r>
      <w:r w:rsidR="000E356B" w:rsidRPr="000E356B">
        <w:rPr>
          <w:color w:val="000000" w:themeColor="text1"/>
        </w:rPr>
        <w:t xml:space="preserve">Medical Evaluation Board (MEB). </w:t>
      </w:r>
      <w:r w:rsidR="000A4570">
        <w:rPr>
          <w:color w:val="000000" w:themeColor="text1"/>
        </w:rPr>
        <w:t xml:space="preserve"> </w:t>
      </w:r>
      <w:r w:rsidR="000E356B" w:rsidRPr="000E356B">
        <w:rPr>
          <w:color w:val="000000" w:themeColor="text1"/>
        </w:rPr>
        <w:t>Right anterior knee pain was forwarded to the Physical Evaluation Board (PEB) as medically unacceptable IAW AR 40-501. No other conditions appeared on the MEB’s submission.</w:t>
      </w:r>
      <w:r w:rsidR="000A4570">
        <w:rPr>
          <w:color w:val="000000" w:themeColor="text1"/>
        </w:rPr>
        <w:t xml:space="preserve"> </w:t>
      </w:r>
      <w:r w:rsidR="000E356B" w:rsidRPr="000E356B">
        <w:rPr>
          <w:color w:val="000000" w:themeColor="text1"/>
        </w:rPr>
        <w:t xml:space="preserve"> The PEB adjudicated the right knee condition as unfitting, rated 10%, </w:t>
      </w:r>
      <w:r w:rsidR="00000F8C">
        <w:rPr>
          <w:color w:val="000000" w:themeColor="text1"/>
        </w:rPr>
        <w:t xml:space="preserve">referencing </w:t>
      </w:r>
      <w:r w:rsidR="000E356B" w:rsidRPr="000E356B">
        <w:rPr>
          <w:color w:val="000000" w:themeColor="text1"/>
        </w:rPr>
        <w:t>the US Army Physical Disability Agency (USAPDA) pain policy. 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8023D3">
        <w:rPr>
          <w:color w:val="000000" w:themeColor="text1"/>
        </w:rPr>
        <w:t xml:space="preserve">  </w:t>
      </w:r>
      <w:r w:rsidR="008023D3" w:rsidRPr="008023D3">
        <w:rPr>
          <w:color w:val="000000" w:themeColor="text1"/>
        </w:rPr>
        <w:t xml:space="preserve">“At the time of my medical discharge the Medical Review Board did not consider my Right Shoulder tendonitis that had occurred in August, 2000.  This disability should have been rated at the time of my discharge and I feel that it would have given me the rating for Medically Retired instead of discharge. VA rated me service-connected for 20% and knee condition 10%.”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088"/>
        <w:gridCol w:w="1080"/>
        <w:gridCol w:w="720"/>
        <w:gridCol w:w="2700"/>
        <w:gridCol w:w="1080"/>
        <w:gridCol w:w="720"/>
        <w:gridCol w:w="990"/>
      </w:tblGrid>
      <w:tr w:rsidR="002B4E22" w:rsidRPr="001F29F9" w:rsidTr="00472966">
        <w:trPr>
          <w:trHeight w:val="170"/>
          <w:jc w:val="center"/>
        </w:trPr>
        <w:tc>
          <w:tcPr>
            <w:tcW w:w="3888" w:type="dxa"/>
            <w:gridSpan w:val="3"/>
            <w:tcBorders>
              <w:right w:val="thinThickThinSmallGap" w:sz="24" w:space="0" w:color="auto"/>
            </w:tcBorders>
            <w:shd w:val="clear" w:color="auto" w:fill="D9D9D9" w:themeFill="background1" w:themeFillShade="D9"/>
            <w:vAlign w:val="center"/>
          </w:tcPr>
          <w:p w:rsidR="002B4E22" w:rsidRPr="001F29F9" w:rsidRDefault="00B731E4"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8023D3">
              <w:rPr>
                <w:rFonts w:ascii="Calibri" w:hAnsi="Calibri" w:cs="Calibri"/>
                <w:b/>
                <w:color w:val="000000" w:themeColor="text1"/>
                <w:sz w:val="18"/>
                <w:szCs w:val="18"/>
              </w:rPr>
              <w:t>I</w:t>
            </w:r>
            <w:r w:rsidRPr="001F29F9">
              <w:rPr>
                <w:rFonts w:ascii="Calibri" w:hAnsi="Calibri" w:cs="Calibri"/>
                <w:b/>
                <w:color w:val="000000" w:themeColor="text1"/>
                <w:sz w:val="18"/>
                <w:szCs w:val="18"/>
              </w:rPr>
              <w:t xml:space="preserve">PEB – Dated </w:t>
            </w:r>
            <w:r w:rsidR="008023D3" w:rsidRPr="008023D3">
              <w:rPr>
                <w:rFonts w:ascii="Calibri" w:hAnsi="Calibri" w:cs="Calibri"/>
                <w:b/>
                <w:color w:val="000000" w:themeColor="text1"/>
                <w:sz w:val="18"/>
                <w:szCs w:val="18"/>
              </w:rPr>
              <w:t>20030417</w:t>
            </w:r>
          </w:p>
        </w:tc>
        <w:tc>
          <w:tcPr>
            <w:tcW w:w="5490" w:type="dxa"/>
            <w:gridSpan w:val="4"/>
            <w:tcBorders>
              <w:left w:val="thinThickThinSmallGap" w:sz="24" w:space="0" w:color="auto"/>
            </w:tcBorders>
            <w:shd w:val="clear" w:color="auto" w:fill="D9D9D9" w:themeFill="background1" w:themeFillShade="D9"/>
            <w:vAlign w:val="center"/>
          </w:tcPr>
          <w:p w:rsidR="002B4E22" w:rsidRPr="001F29F9" w:rsidRDefault="008023D3" w:rsidP="00472966">
            <w:pPr>
              <w:contextualSpacing/>
              <w:rPr>
                <w:rFonts w:ascii="Calibri" w:hAnsi="Calibri" w:cs="Calibri"/>
                <w:b/>
                <w:color w:val="000000" w:themeColor="text1"/>
                <w:sz w:val="18"/>
                <w:szCs w:val="18"/>
              </w:rPr>
            </w:pPr>
            <w:r w:rsidRPr="008023D3">
              <w:rPr>
                <w:rFonts w:ascii="Calibri" w:hAnsi="Calibri" w:cs="Calibri"/>
                <w:b/>
                <w:color w:val="000000" w:themeColor="text1"/>
                <w:sz w:val="18"/>
                <w:szCs w:val="18"/>
              </w:rPr>
              <w:t>VA (</w:t>
            </w:r>
            <w:r>
              <w:rPr>
                <w:rFonts w:ascii="Calibri" w:hAnsi="Calibri" w:cs="Calibri"/>
                <w:b/>
                <w:color w:val="000000" w:themeColor="text1"/>
                <w:sz w:val="18"/>
                <w:szCs w:val="18"/>
              </w:rPr>
              <w:t>1</w:t>
            </w:r>
            <w:r w:rsidRPr="008023D3">
              <w:rPr>
                <w:rFonts w:ascii="Calibri" w:hAnsi="Calibri" w:cs="Calibri"/>
                <w:b/>
                <w:color w:val="000000" w:themeColor="text1"/>
                <w:sz w:val="18"/>
                <w:szCs w:val="18"/>
              </w:rPr>
              <w:t xml:space="preserve"> Mo. Post-Separation) – All Effective 20030815</w:t>
            </w:r>
          </w:p>
        </w:tc>
      </w:tr>
      <w:tr w:rsidR="002B4E22" w:rsidRPr="001F29F9" w:rsidTr="00472966">
        <w:trPr>
          <w:trHeight w:val="97"/>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8023D3" w:rsidRPr="001F29F9" w:rsidTr="00472966">
        <w:trPr>
          <w:trHeight w:val="115"/>
          <w:jc w:val="center"/>
        </w:trPr>
        <w:tc>
          <w:tcPr>
            <w:tcW w:w="2088" w:type="dxa"/>
            <w:tcBorders>
              <w:right w:val="single" w:sz="4" w:space="0" w:color="auto"/>
            </w:tcBorders>
            <w:shd w:val="clear" w:color="auto" w:fill="FFFFFF" w:themeFill="background1"/>
            <w:vAlign w:val="center"/>
          </w:tcPr>
          <w:p w:rsidR="008023D3" w:rsidRPr="001F29F9" w:rsidRDefault="008023D3" w:rsidP="00472966">
            <w:pPr>
              <w:spacing w:line="220" w:lineRule="exact"/>
              <w:contextualSpacing/>
              <w:jc w:val="left"/>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Chronic Right Knee Pain</w:t>
            </w:r>
          </w:p>
        </w:tc>
        <w:tc>
          <w:tcPr>
            <w:tcW w:w="1080" w:type="dxa"/>
            <w:tcBorders>
              <w:left w:val="single" w:sz="4" w:space="0" w:color="auto"/>
            </w:tcBorders>
            <w:shd w:val="clear" w:color="auto" w:fill="FFFFFF" w:themeFill="background1"/>
            <w:vAlign w:val="center"/>
          </w:tcPr>
          <w:p w:rsidR="008023D3" w:rsidRPr="001F29F9" w:rsidRDefault="008023D3" w:rsidP="00472966">
            <w:pPr>
              <w:spacing w:line="220" w:lineRule="exact"/>
              <w:contextualSpacing/>
              <w:rPr>
                <w:rFonts w:cs="Calibri"/>
                <w:color w:val="000000"/>
                <w:sz w:val="18"/>
              </w:rPr>
            </w:pPr>
            <w:r w:rsidRPr="007821D1">
              <w:rPr>
                <w:color w:val="000000"/>
                <w:sz w:val="18"/>
              </w:rPr>
              <w:t>5099-5003</w:t>
            </w:r>
          </w:p>
        </w:tc>
        <w:tc>
          <w:tcPr>
            <w:tcW w:w="720" w:type="dxa"/>
            <w:tcBorders>
              <w:right w:val="thinThickThinSmallGap" w:sz="24" w:space="0" w:color="auto"/>
            </w:tcBorders>
            <w:shd w:val="clear" w:color="auto" w:fill="FFFFFF" w:themeFill="background1"/>
            <w:vAlign w:val="center"/>
          </w:tcPr>
          <w:p w:rsidR="008023D3" w:rsidRPr="001F29F9" w:rsidRDefault="008023D3" w:rsidP="00472966">
            <w:pPr>
              <w:spacing w:line="220" w:lineRule="exact"/>
              <w:rPr>
                <w:rFonts w:cs="Calibri"/>
                <w:color w:val="000000"/>
                <w:sz w:val="18"/>
              </w:rPr>
            </w:pPr>
            <w:r w:rsidRPr="007821D1">
              <w:rPr>
                <w:color w:val="000000"/>
                <w:sz w:val="18"/>
              </w:rPr>
              <w:t>10%</w:t>
            </w:r>
          </w:p>
        </w:tc>
        <w:tc>
          <w:tcPr>
            <w:tcW w:w="2700" w:type="dxa"/>
            <w:tcBorders>
              <w:left w:val="thinThickThinSmallGap" w:sz="24" w:space="0" w:color="auto"/>
            </w:tcBorders>
            <w:shd w:val="clear" w:color="auto" w:fill="FFFFFF" w:themeFill="background1"/>
            <w:vAlign w:val="center"/>
          </w:tcPr>
          <w:p w:rsidR="008023D3" w:rsidRPr="001F29F9" w:rsidRDefault="00472966" w:rsidP="00472966">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w:t>
            </w:r>
            <w:r w:rsidR="008023D3" w:rsidRPr="008023D3">
              <w:rPr>
                <w:rFonts w:ascii="Calibri" w:hAnsi="Calibri" w:cs="Calibri"/>
                <w:color w:val="000000" w:themeColor="text1"/>
                <w:sz w:val="18"/>
                <w:szCs w:val="18"/>
              </w:rPr>
              <w:t xml:space="preserve"> Knee</w:t>
            </w:r>
            <w:r w:rsidR="008023D3" w:rsidRPr="008023D3">
              <w:rPr>
                <w:rFonts w:ascii="Calibri" w:eastAsia="Times New Roman" w:hAnsi="Calibri" w:cs="Calibri"/>
                <w:color w:val="000000"/>
                <w:sz w:val="18"/>
                <w:szCs w:val="20"/>
              </w:rPr>
              <w:t xml:space="preserve"> </w:t>
            </w:r>
            <w:r>
              <w:rPr>
                <w:rFonts w:ascii="Calibri" w:hAnsi="Calibri" w:cs="Calibri"/>
                <w:color w:val="000000" w:themeColor="text1"/>
                <w:sz w:val="18"/>
                <w:szCs w:val="18"/>
              </w:rPr>
              <w:t>Patello</w:t>
            </w:r>
            <w:r w:rsidR="008023D3" w:rsidRPr="008023D3">
              <w:rPr>
                <w:rFonts w:ascii="Calibri" w:hAnsi="Calibri" w:cs="Calibri"/>
                <w:color w:val="000000" w:themeColor="text1"/>
                <w:sz w:val="18"/>
                <w:szCs w:val="18"/>
              </w:rPr>
              <w:t>femoral</w:t>
            </w:r>
            <w:r>
              <w:rPr>
                <w:rFonts w:ascii="Calibri" w:hAnsi="Calibri" w:cs="Calibri"/>
                <w:color w:val="000000" w:themeColor="text1"/>
                <w:sz w:val="18"/>
                <w:szCs w:val="18"/>
              </w:rPr>
              <w:t xml:space="preserve"> Syndrome</w:t>
            </w:r>
          </w:p>
        </w:tc>
        <w:tc>
          <w:tcPr>
            <w:tcW w:w="1080" w:type="dxa"/>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5020-5260</w:t>
            </w:r>
          </w:p>
        </w:tc>
        <w:tc>
          <w:tcPr>
            <w:tcW w:w="720" w:type="dxa"/>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10%</w:t>
            </w:r>
          </w:p>
        </w:tc>
        <w:tc>
          <w:tcPr>
            <w:tcW w:w="990" w:type="dxa"/>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20030912</w:t>
            </w:r>
          </w:p>
        </w:tc>
      </w:tr>
      <w:tr w:rsidR="008023D3" w:rsidRPr="001F29F9" w:rsidTr="00472966">
        <w:trPr>
          <w:trHeight w:val="106"/>
          <w:jc w:val="center"/>
        </w:trPr>
        <w:tc>
          <w:tcPr>
            <w:tcW w:w="3888" w:type="dxa"/>
            <w:gridSpan w:val="3"/>
            <w:vMerge w:val="restart"/>
            <w:tcBorders>
              <w:right w:val="thinThickThinSmallGap" w:sz="24" w:space="0" w:color="auto"/>
            </w:tcBorders>
            <w:shd w:val="clear" w:color="auto" w:fill="FFFFFF" w:themeFill="background1"/>
          </w:tcPr>
          <w:p w:rsidR="008023D3" w:rsidRPr="001F29F9" w:rsidRDefault="008023D3" w:rsidP="00472966">
            <w:pPr>
              <w:spacing w:line="22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700" w:type="dxa"/>
            <w:tcBorders>
              <w:left w:val="thinThickThinSmallGap" w:sz="24" w:space="0" w:color="auto"/>
              <w:right w:val="single" w:sz="4" w:space="0" w:color="auto"/>
            </w:tcBorders>
            <w:shd w:val="clear" w:color="auto" w:fill="FFFFFF" w:themeFill="background1"/>
            <w:vAlign w:val="center"/>
          </w:tcPr>
          <w:p w:rsidR="008023D3" w:rsidRPr="001F29F9" w:rsidRDefault="008023D3" w:rsidP="00472966">
            <w:pPr>
              <w:spacing w:line="220" w:lineRule="exact"/>
              <w:contextualSpacing/>
              <w:jc w:val="left"/>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Right Shoulder Tendinitis</w:t>
            </w:r>
          </w:p>
        </w:tc>
        <w:tc>
          <w:tcPr>
            <w:tcW w:w="1080" w:type="dxa"/>
            <w:tcBorders>
              <w:left w:val="single" w:sz="4" w:space="0" w:color="auto"/>
            </w:tcBorders>
            <w:shd w:val="clear" w:color="auto" w:fill="FFFFFF" w:themeFill="background1"/>
            <w:vAlign w:val="center"/>
          </w:tcPr>
          <w:p w:rsidR="008023D3" w:rsidRPr="001F29F9" w:rsidRDefault="008023D3" w:rsidP="00472966">
            <w:pPr>
              <w:spacing w:line="220" w:lineRule="exact"/>
              <w:contextualSpacing/>
              <w:rPr>
                <w:rFonts w:cs="Calibri"/>
                <w:color w:val="000000"/>
                <w:sz w:val="18"/>
              </w:rPr>
            </w:pPr>
            <w:r w:rsidRPr="007821D1">
              <w:rPr>
                <w:color w:val="000000"/>
                <w:sz w:val="18"/>
              </w:rPr>
              <w:t>5024-5201</w:t>
            </w:r>
          </w:p>
        </w:tc>
        <w:tc>
          <w:tcPr>
            <w:tcW w:w="720" w:type="dxa"/>
            <w:shd w:val="clear" w:color="auto" w:fill="FFFFFF" w:themeFill="background1"/>
            <w:vAlign w:val="center"/>
          </w:tcPr>
          <w:p w:rsidR="008023D3" w:rsidRPr="001F29F9" w:rsidRDefault="008023D3" w:rsidP="00472966">
            <w:pPr>
              <w:spacing w:line="220" w:lineRule="exact"/>
              <w:contextualSpacing/>
              <w:rPr>
                <w:rFonts w:cs="Calibri"/>
                <w:color w:val="000000"/>
                <w:sz w:val="18"/>
              </w:rPr>
            </w:pPr>
            <w:r w:rsidRPr="007821D1">
              <w:rPr>
                <w:color w:val="000000"/>
                <w:sz w:val="18"/>
              </w:rPr>
              <w:t>20%</w:t>
            </w:r>
          </w:p>
        </w:tc>
        <w:tc>
          <w:tcPr>
            <w:tcW w:w="990" w:type="dxa"/>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20030912</w:t>
            </w:r>
          </w:p>
        </w:tc>
      </w:tr>
      <w:tr w:rsidR="008023D3" w:rsidRPr="001F29F9" w:rsidTr="00472966">
        <w:trPr>
          <w:trHeight w:val="133"/>
          <w:jc w:val="center"/>
        </w:trPr>
        <w:tc>
          <w:tcPr>
            <w:tcW w:w="3888" w:type="dxa"/>
            <w:gridSpan w:val="3"/>
            <w:vMerge/>
            <w:tcBorders>
              <w:right w:val="thinThickThinSmallGap" w:sz="24" w:space="0" w:color="auto"/>
            </w:tcBorders>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p>
        </w:tc>
        <w:tc>
          <w:tcPr>
            <w:tcW w:w="4500" w:type="dxa"/>
            <w:gridSpan w:val="3"/>
            <w:tcBorders>
              <w:left w:val="thinThickThinSmallGap" w:sz="24" w:space="0" w:color="auto"/>
            </w:tcBorders>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1</w:t>
            </w:r>
          </w:p>
        </w:tc>
        <w:tc>
          <w:tcPr>
            <w:tcW w:w="990" w:type="dxa"/>
            <w:shd w:val="clear" w:color="auto" w:fill="FFFFFF" w:themeFill="background1"/>
            <w:vAlign w:val="center"/>
          </w:tcPr>
          <w:p w:rsidR="008023D3" w:rsidRPr="001F29F9" w:rsidRDefault="008023D3" w:rsidP="00472966">
            <w:pPr>
              <w:spacing w:line="220" w:lineRule="exact"/>
              <w:contextualSpacing/>
              <w:rPr>
                <w:rFonts w:ascii="Calibri" w:eastAsia="Times New Roman" w:hAnsi="Calibri" w:cs="Calibri"/>
                <w:color w:val="000000" w:themeColor="text1"/>
                <w:sz w:val="18"/>
                <w:szCs w:val="18"/>
              </w:rPr>
            </w:pPr>
            <w:r w:rsidRPr="008023D3">
              <w:rPr>
                <w:rFonts w:ascii="Calibri" w:hAnsi="Calibri" w:cs="Calibri"/>
                <w:color w:val="000000" w:themeColor="text1"/>
                <w:sz w:val="18"/>
                <w:szCs w:val="18"/>
              </w:rPr>
              <w:t>20030912</w:t>
            </w:r>
          </w:p>
        </w:tc>
      </w:tr>
      <w:tr w:rsidR="007A65A9" w:rsidRPr="001F29F9" w:rsidTr="00472966">
        <w:trPr>
          <w:trHeight w:val="124"/>
          <w:jc w:val="center"/>
        </w:trPr>
        <w:tc>
          <w:tcPr>
            <w:tcW w:w="3888" w:type="dxa"/>
            <w:gridSpan w:val="3"/>
            <w:tcBorders>
              <w:right w:val="thinThickThinSmallGap" w:sz="24" w:space="0" w:color="auto"/>
            </w:tcBorders>
            <w:shd w:val="clear" w:color="auto" w:fill="D9D9D9" w:themeFill="background1" w:themeFillShade="D9"/>
          </w:tcPr>
          <w:p w:rsidR="007A65A9" w:rsidRPr="001F29F9" w:rsidRDefault="007A65A9"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8023D3">
              <w:rPr>
                <w:rFonts w:ascii="Calibri" w:hAnsi="Calibri" w:cs="Calibri"/>
                <w:b/>
                <w:color w:val="000000" w:themeColor="text1"/>
                <w:sz w:val="18"/>
                <w:szCs w:val="18"/>
              </w:rPr>
              <w:t>1</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tcPr>
          <w:p w:rsidR="007A65A9" w:rsidRPr="001F29F9" w:rsidRDefault="007A65A9" w:rsidP="0047296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8023D3">
              <w:rPr>
                <w:rFonts w:ascii="Calibri" w:hAnsi="Calibri" w:cs="Calibri"/>
                <w:b/>
                <w:color w:val="000000" w:themeColor="text1"/>
                <w:sz w:val="18"/>
                <w:szCs w:val="18"/>
              </w:rPr>
              <w:t>3</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8023D3">
      <w:pPr>
        <w:jc w:val="both"/>
        <w:rPr>
          <w:color w:val="000000" w:themeColor="text1"/>
          <w:szCs w:val="24"/>
          <w:u w:val="single"/>
        </w:rPr>
      </w:pPr>
    </w:p>
    <w:p w:rsidR="008023D3" w:rsidRDefault="002C6E5B" w:rsidP="00FD3A59">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8023D3" w:rsidRPr="008023D3">
        <w:rPr>
          <w:color w:val="000000" w:themeColor="text1"/>
          <w:szCs w:val="24"/>
        </w:rPr>
        <w:t>The Board acknowledges the CI’s contention that suggests service ratings should have been conferred for other conditions documented at the time of separation.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341D3E">
        <w:rPr>
          <w:color w:val="000000" w:themeColor="text1"/>
          <w:szCs w:val="24"/>
        </w:rPr>
        <w:t>s’</w:t>
      </w:r>
      <w:r w:rsidR="008023D3" w:rsidRPr="008023D3">
        <w:rPr>
          <w:color w:val="000000" w:themeColor="text1"/>
          <w:szCs w:val="24"/>
        </w:rPr>
        <w:t xml:space="preserve"> Affairs (DVA), operating under a different set of laws (Title 38, United States Code), is empowered to compensate all service connected conditions and to periodically reevaluate said conditions for the purpose of adjusting the </w:t>
      </w:r>
      <w:r w:rsidR="00341D3E">
        <w:rPr>
          <w:color w:val="000000" w:themeColor="text1"/>
          <w:szCs w:val="24"/>
        </w:rPr>
        <w:t>V</w:t>
      </w:r>
      <w:r w:rsidR="008023D3" w:rsidRPr="008023D3">
        <w:rPr>
          <w:color w:val="000000" w:themeColor="text1"/>
          <w:szCs w:val="24"/>
        </w:rPr>
        <w:t xml:space="preserve">eteran’s disability rating should </w:t>
      </w:r>
      <w:r w:rsidR="00341D3E">
        <w:rPr>
          <w:color w:val="000000" w:themeColor="text1"/>
          <w:szCs w:val="24"/>
        </w:rPr>
        <w:t>the</w:t>
      </w:r>
      <w:r w:rsidR="008023D3" w:rsidRPr="008023D3">
        <w:rPr>
          <w:color w:val="000000" w:themeColor="text1"/>
          <w:szCs w:val="24"/>
        </w:rPr>
        <w:t xml:space="preserve"> degree of impairment vary over time.</w:t>
      </w:r>
    </w:p>
    <w:p w:rsidR="00A42D62" w:rsidRDefault="00A42D62" w:rsidP="002031C2">
      <w:pPr>
        <w:jc w:val="both"/>
        <w:rPr>
          <w:rFonts w:cs="Calibri"/>
          <w:color w:val="000000"/>
          <w:u w:val="single"/>
        </w:rPr>
      </w:pPr>
    </w:p>
    <w:p w:rsidR="008023D3" w:rsidRPr="00864CBD" w:rsidRDefault="008023D3" w:rsidP="002031C2">
      <w:pPr>
        <w:jc w:val="both"/>
        <w:rPr>
          <w:rFonts w:cs="Calibri"/>
          <w:color w:val="000000"/>
        </w:rPr>
      </w:pPr>
      <w:proofErr w:type="gramStart"/>
      <w:r w:rsidRPr="008023D3">
        <w:rPr>
          <w:rFonts w:cs="Calibri"/>
          <w:color w:val="000000"/>
          <w:u w:val="single"/>
        </w:rPr>
        <w:t>Right Knee Condition</w:t>
      </w:r>
      <w:r w:rsidRPr="008023D3">
        <w:rPr>
          <w:rFonts w:cs="Calibri"/>
          <w:color w:val="000000"/>
        </w:rPr>
        <w:t>.</w:t>
      </w:r>
      <w:proofErr w:type="gramEnd"/>
      <w:r w:rsidRPr="008023D3">
        <w:rPr>
          <w:rFonts w:cs="Calibri"/>
          <w:color w:val="000000"/>
        </w:rPr>
        <w:t xml:space="preserve"> </w:t>
      </w:r>
      <w:r>
        <w:rPr>
          <w:rFonts w:cs="Calibri"/>
          <w:color w:val="000000"/>
        </w:rPr>
        <w:t xml:space="preserve"> </w:t>
      </w:r>
      <w:r w:rsidRPr="008023D3">
        <w:rPr>
          <w:rFonts w:cs="Calibri"/>
          <w:color w:val="000000"/>
        </w:rPr>
        <w:t xml:space="preserve">The CI first experienced right knee </w:t>
      </w:r>
      <w:r w:rsidR="00FD3A59" w:rsidRPr="008023D3">
        <w:rPr>
          <w:rFonts w:cs="Calibri"/>
          <w:color w:val="000000"/>
        </w:rPr>
        <w:t xml:space="preserve">pain </w:t>
      </w:r>
      <w:r w:rsidRPr="008023D3">
        <w:rPr>
          <w:rFonts w:cs="Calibri"/>
          <w:color w:val="000000"/>
        </w:rPr>
        <w:t>during basic training in 1998</w:t>
      </w:r>
      <w:r w:rsidR="00F6348A">
        <w:rPr>
          <w:rFonts w:cs="Calibri"/>
          <w:color w:val="000000"/>
        </w:rPr>
        <w:t xml:space="preserve">; and, subsequently reported </w:t>
      </w:r>
      <w:r w:rsidRPr="008023D3">
        <w:rPr>
          <w:rFonts w:cs="Calibri"/>
          <w:color w:val="000000"/>
        </w:rPr>
        <w:t xml:space="preserve">occasional swelling and popping in the knee. </w:t>
      </w:r>
      <w:r>
        <w:rPr>
          <w:rFonts w:cs="Calibri"/>
          <w:color w:val="000000"/>
        </w:rPr>
        <w:t xml:space="preserve"> </w:t>
      </w:r>
      <w:r w:rsidR="00F6348A">
        <w:rPr>
          <w:rFonts w:cs="Calibri"/>
          <w:color w:val="000000"/>
        </w:rPr>
        <w:t>Imaging</w:t>
      </w:r>
      <w:r w:rsidRPr="008023D3">
        <w:rPr>
          <w:rFonts w:cs="Calibri"/>
          <w:color w:val="000000"/>
        </w:rPr>
        <w:t xml:space="preserve"> in May 2001 </w:t>
      </w:r>
      <w:r w:rsidRPr="008023D3">
        <w:rPr>
          <w:rFonts w:cs="Calibri"/>
          <w:color w:val="000000"/>
        </w:rPr>
        <w:lastRenderedPageBreak/>
        <w:t>revealed a possible meniscal tear</w:t>
      </w:r>
      <w:r w:rsidR="00F6348A">
        <w:rPr>
          <w:rFonts w:cs="Calibri"/>
          <w:color w:val="000000"/>
        </w:rPr>
        <w:t xml:space="preserve">; but, the </w:t>
      </w:r>
      <w:r w:rsidRPr="008023D3">
        <w:rPr>
          <w:rFonts w:cs="Calibri"/>
          <w:color w:val="000000"/>
        </w:rPr>
        <w:t xml:space="preserve">orthopedic </w:t>
      </w:r>
      <w:r w:rsidR="00F6348A">
        <w:rPr>
          <w:rFonts w:cs="Calibri"/>
          <w:color w:val="000000"/>
        </w:rPr>
        <w:t>consultant</w:t>
      </w:r>
      <w:r w:rsidRPr="008023D3">
        <w:rPr>
          <w:rFonts w:cs="Calibri"/>
          <w:color w:val="000000"/>
        </w:rPr>
        <w:t xml:space="preserve"> did not advise </w:t>
      </w:r>
      <w:r w:rsidR="00F6348A">
        <w:rPr>
          <w:rFonts w:cs="Calibri"/>
          <w:color w:val="000000"/>
        </w:rPr>
        <w:t>arthroscopic or surgical intervention</w:t>
      </w:r>
      <w:r w:rsidRPr="008023D3">
        <w:rPr>
          <w:rFonts w:cs="Calibri"/>
          <w:color w:val="000000"/>
        </w:rPr>
        <w:t>.</w:t>
      </w:r>
      <w:r>
        <w:rPr>
          <w:rFonts w:cs="Calibri"/>
          <w:color w:val="000000"/>
        </w:rPr>
        <w:t xml:space="preserve"> </w:t>
      </w:r>
      <w:r w:rsidRPr="008023D3">
        <w:rPr>
          <w:rFonts w:cs="Calibri"/>
          <w:color w:val="000000"/>
        </w:rPr>
        <w:t xml:space="preserve"> </w:t>
      </w:r>
      <w:r w:rsidR="00F6348A">
        <w:rPr>
          <w:rFonts w:cs="Calibri"/>
          <w:color w:val="000000"/>
        </w:rPr>
        <w:t>The CI</w:t>
      </w:r>
      <w:r w:rsidRPr="008023D3">
        <w:rPr>
          <w:rFonts w:cs="Calibri"/>
          <w:color w:val="000000"/>
        </w:rPr>
        <w:t xml:space="preserve"> was diagnosed with overuse syndrome and </w:t>
      </w:r>
      <w:r w:rsidR="00F6348A">
        <w:rPr>
          <w:rFonts w:cs="Calibri"/>
          <w:color w:val="000000"/>
        </w:rPr>
        <w:t>managed</w:t>
      </w:r>
      <w:r w:rsidRPr="008023D3">
        <w:rPr>
          <w:rFonts w:cs="Calibri"/>
          <w:color w:val="000000"/>
        </w:rPr>
        <w:t xml:space="preserve"> with physical therapy and </w:t>
      </w:r>
      <w:r w:rsidR="00F6348A">
        <w:rPr>
          <w:rFonts w:cs="Calibri"/>
          <w:color w:val="000000"/>
        </w:rPr>
        <w:t xml:space="preserve">anti-inflammatory </w:t>
      </w:r>
      <w:r w:rsidRPr="008023D3">
        <w:rPr>
          <w:rFonts w:cs="Calibri"/>
          <w:color w:val="000000"/>
        </w:rPr>
        <w:t>medications</w:t>
      </w:r>
      <w:r w:rsidR="00F6348A">
        <w:rPr>
          <w:rFonts w:cs="Calibri"/>
          <w:color w:val="000000"/>
        </w:rPr>
        <w:t>;</w:t>
      </w:r>
      <w:r w:rsidRPr="008023D3">
        <w:rPr>
          <w:rFonts w:cs="Calibri"/>
          <w:color w:val="000000"/>
        </w:rPr>
        <w:t xml:space="preserve"> but</w:t>
      </w:r>
      <w:r w:rsidR="00F6348A">
        <w:rPr>
          <w:rFonts w:cs="Calibri"/>
          <w:color w:val="000000"/>
        </w:rPr>
        <w:t>,</w:t>
      </w:r>
      <w:r w:rsidRPr="008023D3">
        <w:rPr>
          <w:rFonts w:cs="Calibri"/>
          <w:color w:val="000000"/>
        </w:rPr>
        <w:t xml:space="preserve"> </w:t>
      </w:r>
      <w:r w:rsidR="00F6348A">
        <w:rPr>
          <w:rFonts w:cs="Calibri"/>
          <w:color w:val="000000"/>
        </w:rPr>
        <w:t>experienced</w:t>
      </w:r>
      <w:r w:rsidRPr="008023D3">
        <w:rPr>
          <w:rFonts w:cs="Calibri"/>
          <w:color w:val="000000"/>
        </w:rPr>
        <w:t xml:space="preserve"> no lasting relief. </w:t>
      </w:r>
      <w:r>
        <w:rPr>
          <w:rFonts w:cs="Calibri"/>
          <w:color w:val="000000"/>
        </w:rPr>
        <w:t xml:space="preserve"> </w:t>
      </w:r>
      <w:r w:rsidRPr="008023D3">
        <w:rPr>
          <w:rFonts w:cs="Calibri"/>
          <w:color w:val="000000"/>
        </w:rPr>
        <w:t xml:space="preserve">He </w:t>
      </w:r>
      <w:r w:rsidR="00F6348A">
        <w:rPr>
          <w:rFonts w:cs="Calibri"/>
          <w:color w:val="000000"/>
        </w:rPr>
        <w:t>reported</w:t>
      </w:r>
      <w:r w:rsidRPr="008023D3">
        <w:rPr>
          <w:rFonts w:cs="Calibri"/>
          <w:color w:val="000000"/>
        </w:rPr>
        <w:t xml:space="preserve"> one episode of the knee giving way due to pain in 2002. </w:t>
      </w:r>
      <w:r>
        <w:rPr>
          <w:rFonts w:cs="Calibri"/>
          <w:color w:val="000000"/>
        </w:rPr>
        <w:t xml:space="preserve"> </w:t>
      </w:r>
      <w:r w:rsidR="002031C2" w:rsidRPr="002031C2">
        <w:rPr>
          <w:rFonts w:cs="Calibri"/>
          <w:color w:val="000000"/>
        </w:rPr>
        <w:t>The limitations imposed by his pe</w:t>
      </w:r>
      <w:r w:rsidR="00864CBD">
        <w:rPr>
          <w:rFonts w:cs="Calibri"/>
          <w:color w:val="000000"/>
        </w:rPr>
        <w:t>rm</w:t>
      </w:r>
      <w:r w:rsidR="002031C2" w:rsidRPr="002031C2">
        <w:rPr>
          <w:rFonts w:cs="Calibri"/>
          <w:color w:val="000000"/>
        </w:rPr>
        <w:t>anent profile</w:t>
      </w:r>
      <w:r w:rsidR="00864CBD">
        <w:rPr>
          <w:rFonts w:cs="Calibri"/>
          <w:color w:val="000000"/>
        </w:rPr>
        <w:t xml:space="preserve"> were so restrictive that </w:t>
      </w:r>
      <w:r w:rsidR="00000F8C">
        <w:rPr>
          <w:rFonts w:cs="Calibri"/>
          <w:color w:val="000000"/>
        </w:rPr>
        <w:t xml:space="preserve">the MMRB </w:t>
      </w:r>
      <w:r w:rsidR="00864CBD">
        <w:rPr>
          <w:rFonts w:cs="Calibri"/>
          <w:color w:val="000000"/>
        </w:rPr>
        <w:t xml:space="preserve">determined that the CI </w:t>
      </w:r>
      <w:r w:rsidR="00000F8C">
        <w:rPr>
          <w:rFonts w:cs="Calibri"/>
          <w:color w:val="000000"/>
        </w:rPr>
        <w:t xml:space="preserve">was not eligible for retraining into any available MOS.  </w:t>
      </w:r>
      <w:r w:rsidR="00341D3E">
        <w:rPr>
          <w:rFonts w:cs="Calibri"/>
          <w:color w:val="000000"/>
        </w:rPr>
        <w:t>There were two goniometric range-of-</w:t>
      </w:r>
      <w:r w:rsidRPr="008023D3">
        <w:rPr>
          <w:rFonts w:cs="Calibri"/>
          <w:color w:val="000000"/>
        </w:rPr>
        <w:t>motion (ROM) evaluations in evidence, with documentation of additional ratable criteria, which the Board weighed in arriving at its rating recommendation</w:t>
      </w:r>
      <w:r w:rsidRPr="008023D3">
        <w:rPr>
          <w:rFonts w:cs="Times New Roman"/>
          <w:color w:val="auto"/>
        </w:rPr>
        <w:t>.</w:t>
      </w:r>
    </w:p>
    <w:p w:rsidR="008023D3" w:rsidRPr="008023D3" w:rsidRDefault="008023D3" w:rsidP="008023D3">
      <w:pPr>
        <w:tabs>
          <w:tab w:val="left" w:pos="288"/>
          <w:tab w:val="left" w:pos="4752"/>
        </w:tabs>
        <w:rPr>
          <w:rFonts w:cs="Times New Roman"/>
          <w:color w:val="auto"/>
        </w:rPr>
      </w:pPr>
    </w:p>
    <w:tbl>
      <w:tblPr>
        <w:tblW w:w="7687" w:type="dxa"/>
        <w:jc w:val="center"/>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2"/>
        <w:gridCol w:w="2131"/>
        <w:gridCol w:w="3344"/>
      </w:tblGrid>
      <w:tr w:rsidR="008023D3" w:rsidRPr="00472966" w:rsidTr="00472966">
        <w:trPr>
          <w:jc w:val="center"/>
        </w:trPr>
        <w:tc>
          <w:tcPr>
            <w:tcW w:w="2212" w:type="dxa"/>
            <w:shd w:val="clear" w:color="auto" w:fill="D9D9D9"/>
            <w:vAlign w:val="center"/>
          </w:tcPr>
          <w:p w:rsidR="008023D3" w:rsidRPr="00472966" w:rsidRDefault="008023D3" w:rsidP="00472966">
            <w:pPr>
              <w:contextualSpacing/>
              <w:rPr>
                <w:rFonts w:cs="Calibri"/>
                <w:color w:val="000000"/>
                <w:sz w:val="22"/>
                <w:szCs w:val="22"/>
              </w:rPr>
            </w:pPr>
            <w:r w:rsidRPr="00472966">
              <w:rPr>
                <w:rFonts w:cs="Calibri"/>
                <w:color w:val="000000"/>
                <w:sz w:val="22"/>
                <w:szCs w:val="22"/>
              </w:rPr>
              <w:t>Right Knee ROM</w:t>
            </w:r>
          </w:p>
        </w:tc>
        <w:tc>
          <w:tcPr>
            <w:tcW w:w="2131" w:type="dxa"/>
            <w:shd w:val="clear" w:color="auto" w:fill="D9D9D9"/>
            <w:vAlign w:val="center"/>
          </w:tcPr>
          <w:p w:rsidR="008023D3" w:rsidRPr="00472966" w:rsidRDefault="00472966" w:rsidP="00472966">
            <w:pPr>
              <w:contextualSpacing/>
              <w:rPr>
                <w:rFonts w:cs="Calibri"/>
                <w:color w:val="000000"/>
                <w:sz w:val="22"/>
                <w:szCs w:val="22"/>
              </w:rPr>
            </w:pPr>
            <w:r>
              <w:rPr>
                <w:rFonts w:cs="Calibri"/>
                <w:color w:val="000000"/>
                <w:sz w:val="22"/>
                <w:szCs w:val="22"/>
              </w:rPr>
              <w:t>MEB ~</w:t>
            </w:r>
            <w:r w:rsidR="008023D3" w:rsidRPr="00472966">
              <w:rPr>
                <w:rFonts w:cs="Calibri"/>
                <w:color w:val="000000"/>
                <w:sz w:val="22"/>
                <w:szCs w:val="22"/>
              </w:rPr>
              <w:t>4 Mo. Pre-Sep</w:t>
            </w:r>
          </w:p>
        </w:tc>
        <w:tc>
          <w:tcPr>
            <w:tcW w:w="3344" w:type="dxa"/>
            <w:shd w:val="clear" w:color="auto" w:fill="D9D9D9"/>
            <w:vAlign w:val="center"/>
          </w:tcPr>
          <w:p w:rsidR="008023D3" w:rsidRPr="00472966" w:rsidRDefault="00472966" w:rsidP="00472966">
            <w:pPr>
              <w:contextualSpacing/>
              <w:rPr>
                <w:rFonts w:cs="Calibri"/>
                <w:color w:val="000000"/>
                <w:sz w:val="22"/>
                <w:szCs w:val="22"/>
              </w:rPr>
            </w:pPr>
            <w:r>
              <w:rPr>
                <w:rFonts w:cs="Calibri"/>
                <w:color w:val="000000"/>
                <w:sz w:val="22"/>
                <w:szCs w:val="22"/>
              </w:rPr>
              <w:t>VA C&amp;P ~</w:t>
            </w:r>
            <w:r w:rsidR="008023D3" w:rsidRPr="00472966">
              <w:rPr>
                <w:rFonts w:cs="Calibri"/>
                <w:color w:val="000000"/>
                <w:sz w:val="22"/>
                <w:szCs w:val="22"/>
              </w:rPr>
              <w:t>1 Mo. Post-Sep</w:t>
            </w:r>
          </w:p>
        </w:tc>
      </w:tr>
      <w:tr w:rsidR="008023D3" w:rsidRPr="00472966" w:rsidTr="00472966">
        <w:trPr>
          <w:jc w:val="center"/>
        </w:trPr>
        <w:tc>
          <w:tcPr>
            <w:tcW w:w="2212" w:type="dxa"/>
            <w:vAlign w:val="center"/>
          </w:tcPr>
          <w:p w:rsidR="008023D3" w:rsidRPr="00472966" w:rsidRDefault="00472966" w:rsidP="00472966">
            <w:pPr>
              <w:contextualSpacing/>
              <w:rPr>
                <w:rFonts w:cs="Calibri"/>
                <w:color w:val="000000"/>
                <w:sz w:val="22"/>
                <w:szCs w:val="22"/>
              </w:rPr>
            </w:pPr>
            <w:r>
              <w:rPr>
                <w:rFonts w:cs="Calibri"/>
                <w:color w:val="000000"/>
                <w:sz w:val="22"/>
                <w:szCs w:val="22"/>
              </w:rPr>
              <w:t>Flexion (140⁰ N</w:t>
            </w:r>
            <w:r w:rsidR="008023D3" w:rsidRPr="00472966">
              <w:rPr>
                <w:rFonts w:cs="Calibri"/>
                <w:color w:val="000000"/>
                <w:sz w:val="22"/>
                <w:szCs w:val="22"/>
              </w:rPr>
              <w:t>ormal)</w:t>
            </w:r>
          </w:p>
        </w:tc>
        <w:tc>
          <w:tcPr>
            <w:tcW w:w="2131" w:type="dxa"/>
            <w:vAlign w:val="center"/>
          </w:tcPr>
          <w:p w:rsidR="008023D3" w:rsidRPr="00472966" w:rsidRDefault="008023D3" w:rsidP="00472966">
            <w:pPr>
              <w:contextualSpacing/>
              <w:rPr>
                <w:rFonts w:cs="Calibri"/>
                <w:color w:val="000000"/>
                <w:sz w:val="22"/>
                <w:szCs w:val="22"/>
              </w:rPr>
            </w:pPr>
            <w:r w:rsidRPr="00472966">
              <w:rPr>
                <w:rFonts w:cs="Calibri"/>
                <w:color w:val="000000"/>
                <w:sz w:val="22"/>
                <w:szCs w:val="22"/>
              </w:rPr>
              <w:t>130⁰</w:t>
            </w:r>
          </w:p>
        </w:tc>
        <w:tc>
          <w:tcPr>
            <w:tcW w:w="3344" w:type="dxa"/>
            <w:vAlign w:val="center"/>
          </w:tcPr>
          <w:p w:rsidR="008023D3" w:rsidRPr="00472966" w:rsidRDefault="008023D3" w:rsidP="00472966">
            <w:pPr>
              <w:contextualSpacing/>
              <w:rPr>
                <w:rFonts w:cs="Calibri"/>
                <w:color w:val="000000"/>
                <w:sz w:val="22"/>
                <w:szCs w:val="22"/>
              </w:rPr>
            </w:pPr>
            <w:r w:rsidRPr="00472966">
              <w:rPr>
                <w:rFonts w:cs="Calibri"/>
                <w:color w:val="000000"/>
                <w:sz w:val="22"/>
                <w:szCs w:val="22"/>
              </w:rPr>
              <w:t>40⁰</w:t>
            </w:r>
          </w:p>
        </w:tc>
      </w:tr>
      <w:tr w:rsidR="008023D3" w:rsidRPr="00472966" w:rsidTr="00472966">
        <w:trPr>
          <w:jc w:val="center"/>
        </w:trPr>
        <w:tc>
          <w:tcPr>
            <w:tcW w:w="2212" w:type="dxa"/>
            <w:tcBorders>
              <w:bottom w:val="single" w:sz="4" w:space="0" w:color="auto"/>
            </w:tcBorders>
            <w:vAlign w:val="center"/>
          </w:tcPr>
          <w:p w:rsidR="008023D3" w:rsidRPr="00472966" w:rsidRDefault="00472966" w:rsidP="00472966">
            <w:pPr>
              <w:contextualSpacing/>
              <w:rPr>
                <w:rFonts w:cs="Calibri"/>
                <w:color w:val="000000"/>
                <w:sz w:val="22"/>
                <w:szCs w:val="22"/>
              </w:rPr>
            </w:pPr>
            <w:r>
              <w:rPr>
                <w:rFonts w:cs="Calibri"/>
                <w:color w:val="000000"/>
                <w:sz w:val="22"/>
                <w:szCs w:val="22"/>
              </w:rPr>
              <w:t>Extension (0⁰ N</w:t>
            </w:r>
            <w:r w:rsidR="008023D3" w:rsidRPr="00472966">
              <w:rPr>
                <w:rFonts w:cs="Calibri"/>
                <w:color w:val="000000"/>
                <w:sz w:val="22"/>
                <w:szCs w:val="22"/>
              </w:rPr>
              <w:t>ormal)</w:t>
            </w:r>
          </w:p>
        </w:tc>
        <w:tc>
          <w:tcPr>
            <w:tcW w:w="2131" w:type="dxa"/>
            <w:tcBorders>
              <w:bottom w:val="single" w:sz="4" w:space="0" w:color="auto"/>
            </w:tcBorders>
            <w:vAlign w:val="center"/>
          </w:tcPr>
          <w:p w:rsidR="008023D3" w:rsidRPr="00472966" w:rsidRDefault="008023D3" w:rsidP="00472966">
            <w:pPr>
              <w:contextualSpacing/>
              <w:rPr>
                <w:rFonts w:cs="Calibri"/>
                <w:color w:val="000000"/>
                <w:sz w:val="22"/>
                <w:szCs w:val="22"/>
              </w:rPr>
            </w:pPr>
            <w:r w:rsidRPr="00472966">
              <w:rPr>
                <w:rFonts w:cs="Calibri"/>
                <w:color w:val="000000"/>
                <w:sz w:val="22"/>
                <w:szCs w:val="22"/>
              </w:rPr>
              <w:t>0⁰</w:t>
            </w:r>
          </w:p>
        </w:tc>
        <w:tc>
          <w:tcPr>
            <w:tcW w:w="3344" w:type="dxa"/>
            <w:tcBorders>
              <w:bottom w:val="single" w:sz="4" w:space="0" w:color="auto"/>
            </w:tcBorders>
            <w:vAlign w:val="center"/>
          </w:tcPr>
          <w:p w:rsidR="008023D3" w:rsidRPr="00472966" w:rsidRDefault="008023D3" w:rsidP="00472966">
            <w:pPr>
              <w:contextualSpacing/>
              <w:rPr>
                <w:rFonts w:cs="Calibri"/>
                <w:color w:val="000000"/>
                <w:sz w:val="22"/>
                <w:szCs w:val="22"/>
              </w:rPr>
            </w:pPr>
            <w:r w:rsidRPr="00472966">
              <w:rPr>
                <w:rFonts w:cs="Calibri"/>
                <w:color w:val="000000"/>
                <w:sz w:val="22"/>
                <w:szCs w:val="22"/>
              </w:rPr>
              <w:t>0⁰</w:t>
            </w:r>
          </w:p>
        </w:tc>
      </w:tr>
      <w:tr w:rsidR="008023D3" w:rsidRPr="00472966" w:rsidTr="00472966">
        <w:trPr>
          <w:jc w:val="center"/>
        </w:trPr>
        <w:tc>
          <w:tcPr>
            <w:tcW w:w="2212" w:type="dxa"/>
            <w:tcBorders>
              <w:top w:val="single" w:sz="4" w:space="0" w:color="auto"/>
              <w:left w:val="single" w:sz="4" w:space="0" w:color="auto"/>
              <w:bottom w:val="single" w:sz="4" w:space="0" w:color="auto"/>
              <w:right w:val="single" w:sz="4" w:space="0" w:color="auto"/>
            </w:tcBorders>
            <w:vAlign w:val="center"/>
          </w:tcPr>
          <w:p w:rsidR="008023D3" w:rsidRPr="00472966" w:rsidRDefault="008023D3" w:rsidP="00472966">
            <w:pPr>
              <w:tabs>
                <w:tab w:val="left" w:pos="288"/>
                <w:tab w:val="left" w:pos="4752"/>
              </w:tabs>
              <w:rPr>
                <w:rFonts w:cs="Calibri"/>
                <w:color w:val="000000"/>
                <w:sz w:val="22"/>
                <w:szCs w:val="22"/>
              </w:rPr>
            </w:pPr>
            <w:r w:rsidRPr="00472966">
              <w:rPr>
                <w:rFonts w:cs="Calibri"/>
                <w:color w:val="000000"/>
                <w:sz w:val="22"/>
                <w:szCs w:val="22"/>
              </w:rPr>
              <w:t>Comment</w:t>
            </w:r>
          </w:p>
        </w:tc>
        <w:tc>
          <w:tcPr>
            <w:tcW w:w="2131" w:type="dxa"/>
            <w:tcBorders>
              <w:top w:val="single" w:sz="4" w:space="0" w:color="auto"/>
              <w:left w:val="single" w:sz="4" w:space="0" w:color="auto"/>
              <w:bottom w:val="single" w:sz="4" w:space="0" w:color="auto"/>
              <w:right w:val="single" w:sz="4" w:space="0" w:color="auto"/>
            </w:tcBorders>
            <w:vAlign w:val="center"/>
          </w:tcPr>
          <w:p w:rsidR="008023D3" w:rsidRPr="00472966" w:rsidRDefault="00FD3A59" w:rsidP="00472966">
            <w:pPr>
              <w:tabs>
                <w:tab w:val="left" w:pos="288"/>
                <w:tab w:val="left" w:pos="4752"/>
              </w:tabs>
              <w:rPr>
                <w:rFonts w:cs="Calibri"/>
                <w:color w:val="000000"/>
                <w:sz w:val="22"/>
                <w:szCs w:val="22"/>
              </w:rPr>
            </w:pPr>
            <w:r w:rsidRPr="00472966">
              <w:rPr>
                <w:rFonts w:cs="Calibri"/>
                <w:color w:val="000000"/>
                <w:sz w:val="22"/>
                <w:szCs w:val="22"/>
              </w:rPr>
              <w:t>No instability</w:t>
            </w:r>
            <w:r w:rsidR="008023D3" w:rsidRPr="00472966">
              <w:rPr>
                <w:rFonts w:cs="Calibri"/>
                <w:color w:val="000000"/>
                <w:sz w:val="22"/>
                <w:szCs w:val="22"/>
              </w:rPr>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rsidR="008023D3" w:rsidRPr="00472966" w:rsidRDefault="008023D3" w:rsidP="00472966">
            <w:pPr>
              <w:tabs>
                <w:tab w:val="left" w:pos="288"/>
                <w:tab w:val="left" w:pos="4752"/>
              </w:tabs>
              <w:rPr>
                <w:rFonts w:cs="Calibri"/>
                <w:color w:val="000000"/>
                <w:sz w:val="22"/>
                <w:szCs w:val="22"/>
              </w:rPr>
            </w:pPr>
            <w:r w:rsidRPr="00472966">
              <w:rPr>
                <w:rFonts w:cs="Calibri"/>
                <w:color w:val="000000"/>
                <w:sz w:val="22"/>
                <w:szCs w:val="22"/>
              </w:rPr>
              <w:t>Crepitus</w:t>
            </w:r>
            <w:r w:rsidR="00FD3A59" w:rsidRPr="00472966">
              <w:rPr>
                <w:rFonts w:cs="Calibri"/>
                <w:color w:val="000000"/>
                <w:sz w:val="22"/>
                <w:szCs w:val="22"/>
              </w:rPr>
              <w:t>,</w:t>
            </w:r>
            <w:r w:rsidRPr="00472966">
              <w:rPr>
                <w:rFonts w:cs="Calibri"/>
                <w:color w:val="000000"/>
                <w:sz w:val="22"/>
                <w:szCs w:val="22"/>
              </w:rPr>
              <w:t xml:space="preserve"> severe pain with motion.</w:t>
            </w:r>
          </w:p>
        </w:tc>
      </w:tr>
      <w:tr w:rsidR="008023D3" w:rsidRPr="00472966" w:rsidTr="00472966">
        <w:trPr>
          <w:jc w:val="center"/>
        </w:trPr>
        <w:tc>
          <w:tcPr>
            <w:tcW w:w="2212" w:type="dxa"/>
            <w:tcBorders>
              <w:top w:val="single" w:sz="4" w:space="0" w:color="auto"/>
              <w:left w:val="single" w:sz="4" w:space="0" w:color="auto"/>
              <w:bottom w:val="single" w:sz="4" w:space="0" w:color="auto"/>
              <w:right w:val="single" w:sz="4" w:space="0" w:color="auto"/>
            </w:tcBorders>
            <w:vAlign w:val="center"/>
          </w:tcPr>
          <w:p w:rsidR="008023D3" w:rsidRPr="00472966" w:rsidRDefault="008023D3" w:rsidP="00472966">
            <w:pPr>
              <w:tabs>
                <w:tab w:val="left" w:pos="288"/>
                <w:tab w:val="left" w:pos="4752"/>
              </w:tabs>
              <w:rPr>
                <w:rFonts w:cs="Calibri"/>
                <w:color w:val="000000"/>
                <w:sz w:val="22"/>
                <w:szCs w:val="22"/>
              </w:rPr>
            </w:pPr>
            <w:r w:rsidRPr="00472966">
              <w:rPr>
                <w:rFonts w:cs="Calibri"/>
                <w:color w:val="000000"/>
                <w:sz w:val="22"/>
                <w:szCs w:val="22"/>
              </w:rPr>
              <w:t>§4.71a Rating</w:t>
            </w:r>
          </w:p>
        </w:tc>
        <w:tc>
          <w:tcPr>
            <w:tcW w:w="2131" w:type="dxa"/>
            <w:tcBorders>
              <w:top w:val="single" w:sz="4" w:space="0" w:color="auto"/>
              <w:left w:val="single" w:sz="4" w:space="0" w:color="auto"/>
              <w:bottom w:val="single" w:sz="4" w:space="0" w:color="auto"/>
              <w:right w:val="single" w:sz="4" w:space="0" w:color="auto"/>
            </w:tcBorders>
            <w:vAlign w:val="center"/>
          </w:tcPr>
          <w:p w:rsidR="008023D3" w:rsidRPr="00472966" w:rsidRDefault="008023D3" w:rsidP="00472966">
            <w:pPr>
              <w:tabs>
                <w:tab w:val="left" w:pos="288"/>
                <w:tab w:val="left" w:pos="4752"/>
              </w:tabs>
              <w:rPr>
                <w:rFonts w:cs="Calibri"/>
                <w:color w:val="000000"/>
                <w:sz w:val="22"/>
                <w:szCs w:val="22"/>
              </w:rPr>
            </w:pPr>
            <w:r w:rsidRPr="00472966">
              <w:rPr>
                <w:rFonts w:cs="Calibri"/>
                <w:color w:val="000000"/>
                <w:sz w:val="22"/>
                <w:szCs w:val="22"/>
              </w:rPr>
              <w:t>10%*</w:t>
            </w:r>
          </w:p>
        </w:tc>
        <w:tc>
          <w:tcPr>
            <w:tcW w:w="3344" w:type="dxa"/>
            <w:tcBorders>
              <w:top w:val="single" w:sz="4" w:space="0" w:color="auto"/>
              <w:left w:val="single" w:sz="4" w:space="0" w:color="auto"/>
              <w:bottom w:val="single" w:sz="4" w:space="0" w:color="auto"/>
              <w:right w:val="single" w:sz="4" w:space="0" w:color="auto"/>
            </w:tcBorders>
            <w:vAlign w:val="center"/>
          </w:tcPr>
          <w:p w:rsidR="008023D3" w:rsidRPr="00472966" w:rsidRDefault="008023D3" w:rsidP="00472966">
            <w:pPr>
              <w:tabs>
                <w:tab w:val="left" w:pos="288"/>
                <w:tab w:val="left" w:pos="4752"/>
              </w:tabs>
              <w:rPr>
                <w:rFonts w:cs="Calibri"/>
                <w:color w:val="000000"/>
                <w:sz w:val="22"/>
                <w:szCs w:val="22"/>
              </w:rPr>
            </w:pPr>
            <w:r w:rsidRPr="00472966">
              <w:rPr>
                <w:rFonts w:cs="Calibri"/>
                <w:color w:val="000000"/>
                <w:sz w:val="22"/>
                <w:szCs w:val="22"/>
              </w:rPr>
              <w:t>10%</w:t>
            </w:r>
          </w:p>
        </w:tc>
      </w:tr>
    </w:tbl>
    <w:p w:rsidR="008023D3" w:rsidRPr="00472966" w:rsidRDefault="00472966" w:rsidP="00FD3A59">
      <w:pPr>
        <w:tabs>
          <w:tab w:val="left" w:pos="4500"/>
        </w:tabs>
        <w:jc w:val="left"/>
        <w:rPr>
          <w:rFonts w:cs="Times New Roman"/>
          <w:color w:val="auto"/>
          <w:sz w:val="22"/>
          <w:szCs w:val="22"/>
        </w:rPr>
      </w:pPr>
      <w:r>
        <w:rPr>
          <w:rFonts w:cs="Times New Roman"/>
          <w:color w:val="auto"/>
          <w:sz w:val="18"/>
        </w:rPr>
        <w:t xml:space="preserve">                                                        </w:t>
      </w:r>
      <w:r w:rsidR="008023D3" w:rsidRPr="00472966">
        <w:rPr>
          <w:rFonts w:cs="Times New Roman"/>
          <w:color w:val="auto"/>
          <w:sz w:val="22"/>
          <w:szCs w:val="22"/>
        </w:rPr>
        <w:t>* Conceding §4.59 (painful motion) as below.</w:t>
      </w:r>
    </w:p>
    <w:p w:rsidR="008023D3" w:rsidRPr="008023D3" w:rsidRDefault="008023D3" w:rsidP="008023D3">
      <w:pPr>
        <w:tabs>
          <w:tab w:val="left" w:pos="288"/>
          <w:tab w:val="left" w:pos="4752"/>
        </w:tabs>
        <w:jc w:val="left"/>
        <w:rPr>
          <w:rFonts w:cs="Times New Roman"/>
          <w:color w:val="auto"/>
          <w:sz w:val="18"/>
        </w:rPr>
      </w:pPr>
    </w:p>
    <w:p w:rsidR="00864CBD" w:rsidRDefault="008023D3" w:rsidP="007C5664">
      <w:pPr>
        <w:tabs>
          <w:tab w:val="left" w:pos="288"/>
          <w:tab w:val="left" w:pos="4752"/>
        </w:tabs>
        <w:jc w:val="both"/>
        <w:rPr>
          <w:rFonts w:cs="Times New Roman"/>
          <w:color w:val="auto"/>
        </w:rPr>
      </w:pPr>
      <w:r w:rsidRPr="008023D3">
        <w:rPr>
          <w:rFonts w:cs="Times New Roman"/>
          <w:color w:val="auto"/>
        </w:rPr>
        <w:t xml:space="preserve">At the MEB exam, </w:t>
      </w:r>
      <w:r w:rsidR="00C80F4A">
        <w:rPr>
          <w:rFonts w:cs="Times New Roman"/>
          <w:color w:val="auto"/>
        </w:rPr>
        <w:t xml:space="preserve">performed by an orthopedic surgeon, </w:t>
      </w:r>
      <w:r w:rsidR="00341D3E">
        <w:rPr>
          <w:rFonts w:cs="Times New Roman"/>
          <w:color w:val="auto"/>
        </w:rPr>
        <w:t>the CI reported pain rated 7/</w:t>
      </w:r>
      <w:r w:rsidRPr="008023D3">
        <w:rPr>
          <w:rFonts w:cs="Times New Roman"/>
          <w:color w:val="auto"/>
        </w:rPr>
        <w:t xml:space="preserve">10. </w:t>
      </w:r>
      <w:r w:rsidR="00000F8C">
        <w:rPr>
          <w:rFonts w:cs="Times New Roman"/>
          <w:color w:val="auto"/>
        </w:rPr>
        <w:t xml:space="preserve"> </w:t>
      </w:r>
      <w:r w:rsidR="00C80F4A">
        <w:rPr>
          <w:rFonts w:cs="Times New Roman"/>
          <w:color w:val="auto"/>
        </w:rPr>
        <w:t>T</w:t>
      </w:r>
      <w:r w:rsidR="00C80F4A" w:rsidRPr="008023D3">
        <w:rPr>
          <w:rFonts w:cs="Times New Roman"/>
          <w:color w:val="auto"/>
        </w:rPr>
        <w:t xml:space="preserve">he </w:t>
      </w:r>
      <w:r w:rsidR="00000F8C">
        <w:rPr>
          <w:rFonts w:cs="Times New Roman"/>
          <w:color w:val="auto"/>
        </w:rPr>
        <w:t>physical</w:t>
      </w:r>
      <w:r w:rsidR="00C80F4A">
        <w:rPr>
          <w:rFonts w:cs="Times New Roman"/>
          <w:color w:val="auto"/>
        </w:rPr>
        <w:t xml:space="preserve"> exam</w:t>
      </w:r>
      <w:r w:rsidRPr="008023D3">
        <w:rPr>
          <w:rFonts w:cs="Times New Roman"/>
          <w:color w:val="auto"/>
        </w:rPr>
        <w:t xml:space="preserve"> </w:t>
      </w:r>
      <w:r w:rsidR="00C80F4A">
        <w:rPr>
          <w:rFonts w:cs="Times New Roman"/>
          <w:color w:val="auto"/>
        </w:rPr>
        <w:t>documented</w:t>
      </w:r>
      <w:r w:rsidRPr="008023D3">
        <w:rPr>
          <w:rFonts w:cs="Times New Roman"/>
          <w:color w:val="auto"/>
        </w:rPr>
        <w:t xml:space="preserve"> a positive patellar grind, a slightly limited ROM, </w:t>
      </w:r>
      <w:r w:rsidR="00000F8C">
        <w:rPr>
          <w:rFonts w:cs="Times New Roman"/>
          <w:color w:val="auto"/>
        </w:rPr>
        <w:t>and inability</w:t>
      </w:r>
      <w:r w:rsidRPr="008023D3">
        <w:rPr>
          <w:rFonts w:cs="Times New Roman"/>
          <w:color w:val="auto"/>
        </w:rPr>
        <w:t xml:space="preserve"> to perform a straight leg raise without a lag.</w:t>
      </w:r>
      <w:r w:rsidR="00000F8C">
        <w:rPr>
          <w:rFonts w:cs="Times New Roman"/>
          <w:color w:val="auto"/>
        </w:rPr>
        <w:t xml:space="preserve"> </w:t>
      </w:r>
      <w:r w:rsidRPr="008023D3">
        <w:rPr>
          <w:rFonts w:cs="Times New Roman"/>
          <w:color w:val="auto"/>
        </w:rPr>
        <w:t xml:space="preserve"> </w:t>
      </w:r>
      <w:r w:rsidR="00000F8C">
        <w:rPr>
          <w:rFonts w:cs="Times New Roman"/>
          <w:color w:val="auto"/>
        </w:rPr>
        <w:t>There was n</w:t>
      </w:r>
      <w:r w:rsidRPr="008023D3">
        <w:rPr>
          <w:rFonts w:cs="Times New Roman"/>
          <w:color w:val="auto"/>
        </w:rPr>
        <w:t xml:space="preserve">o instability </w:t>
      </w:r>
      <w:r w:rsidR="00000F8C">
        <w:rPr>
          <w:rFonts w:cs="Times New Roman"/>
          <w:color w:val="auto"/>
        </w:rPr>
        <w:t xml:space="preserve">to stress maneuvers or positive meniscal signs.  </w:t>
      </w:r>
      <w:r w:rsidRPr="008023D3">
        <w:rPr>
          <w:rFonts w:cs="Times New Roman"/>
          <w:color w:val="auto"/>
        </w:rPr>
        <w:t xml:space="preserve">The </w:t>
      </w:r>
      <w:r w:rsidR="00C80F4A">
        <w:rPr>
          <w:rFonts w:cs="Times New Roman"/>
          <w:color w:val="auto"/>
        </w:rPr>
        <w:t>orthopedist</w:t>
      </w:r>
      <w:r w:rsidRPr="008023D3">
        <w:rPr>
          <w:rFonts w:cs="Times New Roman"/>
          <w:color w:val="auto"/>
        </w:rPr>
        <w:t xml:space="preserve"> </w:t>
      </w:r>
      <w:r w:rsidR="00C00051">
        <w:rPr>
          <w:rFonts w:cs="Times New Roman"/>
          <w:color w:val="auto"/>
        </w:rPr>
        <w:t>opined</w:t>
      </w:r>
      <w:r w:rsidRPr="008023D3">
        <w:rPr>
          <w:rFonts w:cs="Times New Roman"/>
          <w:color w:val="auto"/>
        </w:rPr>
        <w:t xml:space="preserve"> that </w:t>
      </w:r>
      <w:r w:rsidR="00C00051">
        <w:rPr>
          <w:rFonts w:cs="Times New Roman"/>
          <w:color w:val="auto"/>
        </w:rPr>
        <w:t>there were</w:t>
      </w:r>
      <w:r w:rsidRPr="008023D3">
        <w:rPr>
          <w:rFonts w:cs="Times New Roman"/>
          <w:color w:val="auto"/>
        </w:rPr>
        <w:t xml:space="preserve"> </w:t>
      </w:r>
      <w:r w:rsidR="00C00051">
        <w:rPr>
          <w:rFonts w:cs="Times New Roman"/>
          <w:color w:val="auto"/>
        </w:rPr>
        <w:t>no current surgical indications; that t</w:t>
      </w:r>
      <w:r w:rsidRPr="008023D3">
        <w:rPr>
          <w:rFonts w:cs="Times New Roman"/>
          <w:color w:val="auto"/>
        </w:rPr>
        <w:t>he prognosis was good for a full recovery</w:t>
      </w:r>
      <w:r w:rsidR="00C00051">
        <w:rPr>
          <w:rFonts w:cs="Times New Roman"/>
          <w:color w:val="auto"/>
        </w:rPr>
        <w:t>; and, rated</w:t>
      </w:r>
      <w:r w:rsidRPr="008023D3">
        <w:rPr>
          <w:rFonts w:cs="Times New Roman"/>
          <w:color w:val="auto"/>
        </w:rPr>
        <w:t xml:space="preserve"> the pain as slight and frequent. At the </w:t>
      </w:r>
      <w:r w:rsidR="00C00051">
        <w:rPr>
          <w:rFonts w:cs="Times New Roman"/>
          <w:color w:val="auto"/>
        </w:rPr>
        <w:t xml:space="preserve">post-separation </w:t>
      </w:r>
      <w:r w:rsidRPr="008023D3">
        <w:rPr>
          <w:rFonts w:cs="Times New Roman"/>
          <w:color w:val="auto"/>
        </w:rPr>
        <w:t>VA Compensation &amp; Pension (C&amp;P)</w:t>
      </w:r>
      <w:r w:rsidR="00C00051">
        <w:rPr>
          <w:rFonts w:cs="Times New Roman"/>
          <w:color w:val="auto"/>
        </w:rPr>
        <w:t xml:space="preserve"> evaluation</w:t>
      </w:r>
      <w:r w:rsidRPr="008023D3">
        <w:rPr>
          <w:rFonts w:cs="Times New Roman"/>
          <w:color w:val="auto"/>
        </w:rPr>
        <w:t xml:space="preserve">, the CI reported significantly more severe pain </w:t>
      </w:r>
      <w:r w:rsidR="00C00051">
        <w:rPr>
          <w:rFonts w:cs="Times New Roman"/>
          <w:color w:val="auto"/>
        </w:rPr>
        <w:t xml:space="preserve">and stated </w:t>
      </w:r>
      <w:r w:rsidR="00C00051" w:rsidRPr="008023D3">
        <w:rPr>
          <w:rFonts w:cs="Times New Roman"/>
          <w:color w:val="auto"/>
        </w:rPr>
        <w:t>that he could no longer drive or walk for more than 15 minutes without pain and swelling</w:t>
      </w:r>
      <w:r w:rsidR="00C00051">
        <w:rPr>
          <w:rFonts w:cs="Times New Roman"/>
          <w:color w:val="auto"/>
        </w:rPr>
        <w:t xml:space="preserve">.  He related </w:t>
      </w:r>
      <w:r w:rsidR="007C5664">
        <w:rPr>
          <w:rFonts w:cs="Times New Roman"/>
          <w:color w:val="auto"/>
        </w:rPr>
        <w:t xml:space="preserve">no history of additional injury or other </w:t>
      </w:r>
      <w:r w:rsidR="00C00051">
        <w:rPr>
          <w:rFonts w:cs="Times New Roman"/>
          <w:color w:val="auto"/>
        </w:rPr>
        <w:t>aggravating event</w:t>
      </w:r>
      <w:r w:rsidRPr="008023D3">
        <w:rPr>
          <w:rFonts w:cs="Times New Roman"/>
          <w:color w:val="auto"/>
        </w:rPr>
        <w:t>. It was noted that the CI had a slight limp favoring the right side</w:t>
      </w:r>
      <w:r w:rsidR="00C00051">
        <w:rPr>
          <w:rFonts w:cs="Times New Roman"/>
          <w:color w:val="auto"/>
        </w:rPr>
        <w:t xml:space="preserve">, although there was no documentation of gait disturbance in </w:t>
      </w:r>
      <w:r w:rsidR="00341D3E">
        <w:rPr>
          <w:rFonts w:cs="Times New Roman"/>
          <w:color w:val="auto"/>
        </w:rPr>
        <w:t>s</w:t>
      </w:r>
      <w:r w:rsidR="00C00051">
        <w:rPr>
          <w:rFonts w:cs="Times New Roman"/>
          <w:color w:val="auto"/>
        </w:rPr>
        <w:t>ervice entries</w:t>
      </w:r>
      <w:r w:rsidRPr="008023D3">
        <w:rPr>
          <w:rFonts w:cs="Times New Roman"/>
          <w:color w:val="auto"/>
        </w:rPr>
        <w:t xml:space="preserve">. Upon examination, the </w:t>
      </w:r>
      <w:r w:rsidR="00300017">
        <w:rPr>
          <w:rFonts w:cs="Times New Roman"/>
          <w:color w:val="auto"/>
        </w:rPr>
        <w:t xml:space="preserve">VA </w:t>
      </w:r>
      <w:r w:rsidRPr="008023D3">
        <w:rPr>
          <w:rFonts w:cs="Times New Roman"/>
          <w:color w:val="auto"/>
        </w:rPr>
        <w:t xml:space="preserve">physician noted moderate to severe tenderness around the </w:t>
      </w:r>
      <w:r w:rsidR="00300017">
        <w:rPr>
          <w:rFonts w:cs="Times New Roman"/>
          <w:color w:val="auto"/>
        </w:rPr>
        <w:t>patella and over the joint line; and,</w:t>
      </w:r>
      <w:r w:rsidRPr="008023D3">
        <w:rPr>
          <w:rFonts w:cs="Times New Roman"/>
          <w:color w:val="auto"/>
        </w:rPr>
        <w:t xml:space="preserve"> </w:t>
      </w:r>
      <w:r w:rsidR="00300017">
        <w:rPr>
          <w:rFonts w:cs="Times New Roman"/>
          <w:color w:val="auto"/>
        </w:rPr>
        <w:t>documented</w:t>
      </w:r>
      <w:r w:rsidR="007C5664">
        <w:rPr>
          <w:rFonts w:cs="Times New Roman"/>
          <w:color w:val="auto"/>
        </w:rPr>
        <w:t xml:space="preserve"> that ROM was</w:t>
      </w:r>
      <w:r w:rsidR="007C5664" w:rsidRPr="007C5664">
        <w:rPr>
          <w:rFonts w:cs="Times New Roman"/>
          <w:color w:val="auto"/>
        </w:rPr>
        <w:t xml:space="preserve"> </w:t>
      </w:r>
      <w:r w:rsidR="007C5664">
        <w:rPr>
          <w:rFonts w:cs="Times New Roman"/>
          <w:color w:val="auto"/>
        </w:rPr>
        <w:t>“</w:t>
      </w:r>
      <w:r w:rsidR="007C5664" w:rsidRPr="007C5664">
        <w:rPr>
          <w:rFonts w:cs="Times New Roman"/>
          <w:color w:val="auto"/>
        </w:rPr>
        <w:t>severely</w:t>
      </w:r>
      <w:r w:rsidR="007C5664">
        <w:rPr>
          <w:rFonts w:cs="Times New Roman"/>
          <w:color w:val="auto"/>
        </w:rPr>
        <w:t xml:space="preserve"> </w:t>
      </w:r>
      <w:r w:rsidR="007C5664" w:rsidRPr="007C5664">
        <w:rPr>
          <w:rFonts w:cs="Times New Roman"/>
          <w:color w:val="auto"/>
        </w:rPr>
        <w:t>restricted because of the extreme pain in the right knee. The right</w:t>
      </w:r>
      <w:r w:rsidR="007C5664">
        <w:rPr>
          <w:rFonts w:cs="Times New Roman"/>
          <w:color w:val="auto"/>
        </w:rPr>
        <w:t xml:space="preserve"> </w:t>
      </w:r>
      <w:r w:rsidR="007C5664" w:rsidRPr="007C5664">
        <w:rPr>
          <w:rFonts w:cs="Times New Roman"/>
          <w:color w:val="auto"/>
        </w:rPr>
        <w:t>knee flexes only to about 40 degrees, beyond which flexion is limited</w:t>
      </w:r>
      <w:r w:rsidR="007C5664">
        <w:rPr>
          <w:rFonts w:cs="Times New Roman"/>
          <w:color w:val="auto"/>
        </w:rPr>
        <w:t xml:space="preserve"> </w:t>
      </w:r>
      <w:r w:rsidR="007C5664" w:rsidRPr="007C5664">
        <w:rPr>
          <w:rFonts w:cs="Times New Roman"/>
          <w:color w:val="auto"/>
        </w:rPr>
        <w:t>secondary to pain.</w:t>
      </w:r>
      <w:r w:rsidR="00341D3E">
        <w:rPr>
          <w:rFonts w:cs="Times New Roman"/>
          <w:color w:val="auto"/>
        </w:rPr>
        <w:t xml:space="preserve"> </w:t>
      </w:r>
      <w:r w:rsidR="007C5664" w:rsidRPr="007C5664">
        <w:rPr>
          <w:rFonts w:cs="Times New Roman"/>
          <w:color w:val="auto"/>
        </w:rPr>
        <w:t xml:space="preserve"> Severe guardin</w:t>
      </w:r>
      <w:r w:rsidR="007C5664">
        <w:rPr>
          <w:rFonts w:cs="Times New Roman"/>
          <w:color w:val="auto"/>
        </w:rPr>
        <w:t>g is noted</w:t>
      </w:r>
      <w:r w:rsidR="00341D3E">
        <w:rPr>
          <w:rFonts w:cs="Times New Roman"/>
          <w:color w:val="auto"/>
        </w:rPr>
        <w:t>.</w:t>
      </w:r>
      <w:r w:rsidR="007C5664">
        <w:rPr>
          <w:rFonts w:cs="Times New Roman"/>
          <w:color w:val="auto"/>
        </w:rPr>
        <w:t xml:space="preserve">”  </w:t>
      </w:r>
      <w:r w:rsidR="00300017">
        <w:rPr>
          <w:rFonts w:cs="Times New Roman"/>
          <w:color w:val="auto"/>
        </w:rPr>
        <w:t>VA r</w:t>
      </w:r>
      <w:r w:rsidR="00864CBD">
        <w:rPr>
          <w:rFonts w:cs="Times New Roman"/>
          <w:color w:val="auto"/>
        </w:rPr>
        <w:t>adiographs showed no evidence of degenerative change.</w:t>
      </w:r>
    </w:p>
    <w:p w:rsidR="00864CBD" w:rsidRDefault="00864CBD" w:rsidP="008023D3">
      <w:pPr>
        <w:tabs>
          <w:tab w:val="left" w:pos="288"/>
          <w:tab w:val="left" w:pos="4752"/>
        </w:tabs>
        <w:jc w:val="both"/>
        <w:rPr>
          <w:rFonts w:cs="Times New Roman"/>
          <w:color w:val="auto"/>
        </w:rPr>
      </w:pPr>
    </w:p>
    <w:p w:rsidR="00137EBF" w:rsidRPr="00137EBF" w:rsidRDefault="008023D3" w:rsidP="00137EBF">
      <w:pPr>
        <w:jc w:val="both"/>
        <w:rPr>
          <w:rFonts w:cs="Calibri"/>
          <w:color w:val="auto"/>
        </w:rPr>
      </w:pPr>
      <w:r w:rsidRPr="008023D3">
        <w:rPr>
          <w:rFonts w:cs="Times New Roman"/>
          <w:color w:val="auto"/>
        </w:rPr>
        <w:t>The Board directs its attention to its rating recommendations for this condition</w:t>
      </w:r>
      <w:r w:rsidR="00864CBD">
        <w:rPr>
          <w:rFonts w:cs="Times New Roman"/>
          <w:color w:val="auto"/>
        </w:rPr>
        <w:t xml:space="preserve"> based on the evidence presented</w:t>
      </w:r>
      <w:r w:rsidRPr="008023D3">
        <w:rPr>
          <w:rFonts w:cs="Times New Roman"/>
          <w:color w:val="auto"/>
        </w:rPr>
        <w:t>.</w:t>
      </w:r>
      <w:r w:rsidR="00864CBD">
        <w:rPr>
          <w:rFonts w:cs="Times New Roman"/>
          <w:color w:val="auto"/>
        </w:rPr>
        <w:t xml:space="preserve">  </w:t>
      </w:r>
      <w:r w:rsidR="00864CBD" w:rsidRPr="00864CBD">
        <w:rPr>
          <w:rFonts w:cs="Times New Roman"/>
          <w:color w:val="auto"/>
        </w:rPr>
        <w:t xml:space="preserve">It is obvious that there is a clear disparity between these examinations, </w:t>
      </w:r>
      <w:r w:rsidR="00300017">
        <w:rPr>
          <w:rFonts w:cs="Times New Roman"/>
          <w:color w:val="auto"/>
        </w:rPr>
        <w:t>although the significant ROM limitations recorded by the VA examiner still did not exceed the 10% criteria under code 5260 (limitation of flexion)</w:t>
      </w:r>
      <w:r w:rsidR="00864CBD" w:rsidRPr="00864CBD">
        <w:rPr>
          <w:rFonts w:cs="Times New Roman"/>
          <w:color w:val="auto"/>
        </w:rPr>
        <w:t xml:space="preserve">. </w:t>
      </w:r>
      <w:r w:rsidRPr="008023D3">
        <w:rPr>
          <w:rFonts w:cs="Times New Roman"/>
          <w:color w:val="auto"/>
        </w:rPr>
        <w:t xml:space="preserve"> </w:t>
      </w:r>
      <w:r w:rsidR="00300017">
        <w:rPr>
          <w:rFonts w:cs="Times New Roman"/>
          <w:color w:val="auto"/>
        </w:rPr>
        <w:t>In assessing the probative value of the disparate evidence the Board notes</w:t>
      </w:r>
      <w:r w:rsidR="007C5664">
        <w:rPr>
          <w:rFonts w:cs="Times New Roman"/>
          <w:color w:val="auto"/>
        </w:rPr>
        <w:t xml:space="preserve"> that: </w:t>
      </w:r>
      <w:r w:rsidR="00300017">
        <w:rPr>
          <w:rFonts w:cs="Times New Roman"/>
          <w:color w:val="auto"/>
        </w:rPr>
        <w:t>(1) T</w:t>
      </w:r>
      <w:r w:rsidR="007C5664" w:rsidRPr="007C5664">
        <w:rPr>
          <w:rFonts w:cs="Times New Roman"/>
          <w:color w:val="auto"/>
        </w:rPr>
        <w:t>he MEB measurements are consistent wi</w:t>
      </w:r>
      <w:r w:rsidR="00300017">
        <w:rPr>
          <w:rFonts w:cs="Times New Roman"/>
          <w:color w:val="auto"/>
        </w:rPr>
        <w:t>th corroborating evidence; (2) T</w:t>
      </w:r>
      <w:r w:rsidR="007C5664" w:rsidRPr="007C5664">
        <w:rPr>
          <w:rFonts w:cs="Times New Roman"/>
          <w:color w:val="auto"/>
        </w:rPr>
        <w:t>he MEB measurements are consistent with the other collateral physic</w:t>
      </w:r>
      <w:r w:rsidR="00300017">
        <w:rPr>
          <w:rFonts w:cs="Times New Roman"/>
          <w:color w:val="auto"/>
        </w:rPr>
        <w:t>al findings; (3) T</w:t>
      </w:r>
      <w:r w:rsidR="007C5664" w:rsidRPr="007C5664">
        <w:rPr>
          <w:rFonts w:cs="Times New Roman"/>
          <w:color w:val="auto"/>
        </w:rPr>
        <w:t>he MEB measurements are consistent with the diagnostic and clini</w:t>
      </w:r>
      <w:r w:rsidR="00300017">
        <w:rPr>
          <w:rFonts w:cs="Times New Roman"/>
          <w:color w:val="auto"/>
        </w:rPr>
        <w:t>cal pathology in evidence; (4) T</w:t>
      </w:r>
      <w:r w:rsidR="007C5664" w:rsidRPr="007C5664">
        <w:rPr>
          <w:rFonts w:cs="Times New Roman"/>
          <w:color w:val="auto"/>
        </w:rPr>
        <w:t xml:space="preserve">here is not a reasonable accounting for progressively impaired ROM in the fairly short interval between the MEB and VA examinations; and, (5) VA rating evaluations based on ROM rely on subjective pain thresholds which are patently associated with financial incentive, thus inherently subject to some loss of objectivity. </w:t>
      </w:r>
      <w:r w:rsidR="00A91A42">
        <w:rPr>
          <w:rFonts w:cs="Times New Roman"/>
          <w:color w:val="auto"/>
        </w:rPr>
        <w:t xml:space="preserve"> </w:t>
      </w:r>
      <w:r w:rsidR="007C5664" w:rsidRPr="008023D3">
        <w:rPr>
          <w:rFonts w:cs="Times New Roman"/>
          <w:color w:val="auto"/>
        </w:rPr>
        <w:t xml:space="preserve">The PEB and VA chose different coding options for the condition, but this did not bear on rating. </w:t>
      </w:r>
      <w:r w:rsidR="00864CBD" w:rsidRPr="00864CBD">
        <w:rPr>
          <w:rFonts w:cs="Times New Roman"/>
          <w:color w:val="auto"/>
        </w:rPr>
        <w:t xml:space="preserve">The PEB’s DA Form 199 </w:t>
      </w:r>
      <w:r w:rsidR="00300017">
        <w:rPr>
          <w:rFonts w:cs="Times New Roman"/>
          <w:color w:val="auto"/>
        </w:rPr>
        <w:t>referenced</w:t>
      </w:r>
      <w:r w:rsidR="00864CBD" w:rsidRPr="00864CBD">
        <w:rPr>
          <w:rFonts w:cs="Times New Roman"/>
          <w:color w:val="auto"/>
        </w:rPr>
        <w:t xml:space="preserve"> application of the USAPDA pain policy for rating, but its 10% determination was consistent with §4.71a standards.</w:t>
      </w:r>
      <w:r w:rsidR="00864CBD">
        <w:rPr>
          <w:rFonts w:cs="Times New Roman"/>
          <w:color w:val="auto"/>
        </w:rPr>
        <w:t xml:space="preserve">  </w:t>
      </w:r>
      <w:r w:rsidRPr="008023D3">
        <w:rPr>
          <w:rFonts w:cs="Calibri"/>
          <w:color w:val="auto"/>
        </w:rPr>
        <w:t xml:space="preserve">The Board </w:t>
      </w:r>
      <w:r w:rsidR="00A42D62">
        <w:rPr>
          <w:rFonts w:cs="Calibri"/>
          <w:color w:val="auto"/>
        </w:rPr>
        <w:t>also</w:t>
      </w:r>
      <w:r w:rsidRPr="008023D3">
        <w:rPr>
          <w:rFonts w:cs="Calibri"/>
          <w:color w:val="auto"/>
        </w:rPr>
        <w:t xml:space="preserve"> considered the VA’s rating of 10% under code 5020-5260 (synovitis rated on limitation of flexion of the leg). </w:t>
      </w:r>
      <w:r w:rsidR="00A91A42">
        <w:rPr>
          <w:rFonts w:cs="Calibri"/>
          <w:color w:val="auto"/>
        </w:rPr>
        <w:t xml:space="preserve"> </w:t>
      </w:r>
      <w:r w:rsidRPr="008023D3">
        <w:rPr>
          <w:rFonts w:cs="Calibri"/>
          <w:color w:val="auto"/>
        </w:rPr>
        <w:t xml:space="preserve">A 10% rating under this code is </w:t>
      </w:r>
      <w:r w:rsidR="00300017">
        <w:rPr>
          <w:rFonts w:cs="Calibri"/>
          <w:color w:val="auto"/>
        </w:rPr>
        <w:t xml:space="preserve">also </w:t>
      </w:r>
      <w:r w:rsidRPr="008023D3">
        <w:rPr>
          <w:rFonts w:cs="Calibri"/>
          <w:color w:val="auto"/>
        </w:rPr>
        <w:t xml:space="preserve">warranted </w:t>
      </w:r>
      <w:r w:rsidR="00300017">
        <w:rPr>
          <w:rFonts w:cs="Calibri"/>
          <w:color w:val="auto"/>
        </w:rPr>
        <w:t xml:space="preserve">even if the VA ROM evidence </w:t>
      </w:r>
      <w:r w:rsidR="00137EBF">
        <w:rPr>
          <w:rFonts w:cs="Calibri"/>
          <w:color w:val="auto"/>
        </w:rPr>
        <w:t>is assigned preponderant probative value</w:t>
      </w:r>
      <w:r w:rsidRPr="008023D3">
        <w:rPr>
          <w:rFonts w:cs="Calibri"/>
          <w:color w:val="auto"/>
        </w:rPr>
        <w:t xml:space="preserve">. </w:t>
      </w:r>
      <w:r w:rsidR="00A91A42">
        <w:rPr>
          <w:rFonts w:cs="Calibri"/>
          <w:color w:val="auto"/>
        </w:rPr>
        <w:t xml:space="preserve">There </w:t>
      </w:r>
      <w:r w:rsidR="00137EBF">
        <w:rPr>
          <w:rFonts w:cs="Calibri"/>
          <w:color w:val="auto"/>
        </w:rPr>
        <w:t>was</w:t>
      </w:r>
      <w:r w:rsidR="00A91A42">
        <w:rPr>
          <w:rFonts w:cs="Calibri"/>
          <w:color w:val="auto"/>
        </w:rPr>
        <w:t xml:space="preserve"> no </w:t>
      </w:r>
      <w:r w:rsidR="00137EBF">
        <w:rPr>
          <w:rFonts w:cs="Calibri"/>
          <w:color w:val="auto"/>
        </w:rPr>
        <w:t>documented</w:t>
      </w:r>
      <w:r w:rsidR="00137EBF" w:rsidRPr="00137EBF">
        <w:rPr>
          <w:rFonts w:eastAsiaTheme="minorHAnsi" w:cstheme="minorBidi"/>
          <w:color w:val="auto"/>
          <w:szCs w:val="24"/>
        </w:rPr>
        <w:t xml:space="preserve"> </w:t>
      </w:r>
      <w:r w:rsidR="00137EBF" w:rsidRPr="00137EBF">
        <w:rPr>
          <w:rFonts w:cs="Calibri"/>
          <w:color w:val="auto"/>
        </w:rPr>
        <w:t>mechanical instability, locking or frequent effusions</w:t>
      </w:r>
      <w:r w:rsidR="00137EBF">
        <w:rPr>
          <w:rFonts w:cs="Calibri"/>
          <w:color w:val="auto"/>
        </w:rPr>
        <w:t xml:space="preserve"> which would yield a rating higher than 10% under any </w:t>
      </w:r>
      <w:r w:rsidR="00A91A42">
        <w:rPr>
          <w:rFonts w:cs="Calibri"/>
          <w:color w:val="auto"/>
        </w:rPr>
        <w:t xml:space="preserve">alternative coding options.  </w:t>
      </w:r>
      <w:r w:rsidR="00137EBF" w:rsidRPr="00137EBF">
        <w:rPr>
          <w:rFonts w:cs="Calibri"/>
          <w:color w:val="auto"/>
        </w:rPr>
        <w:t xml:space="preserve">After due deliberation, considering all of the evidence and mindful of VASRD §4.3 (reasonable doubt), the Board concluded that there was insufficient cause to recommend a change in the PEB adjudication for the </w:t>
      </w:r>
      <w:r w:rsidR="00137EBF" w:rsidRPr="008023D3">
        <w:rPr>
          <w:rFonts w:cs="Times New Roman"/>
          <w:color w:val="auto"/>
        </w:rPr>
        <w:t xml:space="preserve">right knee </w:t>
      </w:r>
      <w:r w:rsidR="00137EBF" w:rsidRPr="00137EBF">
        <w:rPr>
          <w:rFonts w:cs="Calibri"/>
          <w:color w:val="auto"/>
        </w:rPr>
        <w:t>condition.</w:t>
      </w:r>
    </w:p>
    <w:p w:rsidR="00615A66" w:rsidRPr="001F29F9" w:rsidRDefault="00615A66" w:rsidP="00BF0E94">
      <w:pPr>
        <w:jc w:val="left"/>
        <w:rPr>
          <w:color w:val="000000" w:themeColor="text1"/>
          <w:szCs w:val="24"/>
          <w:u w:val="single"/>
        </w:rPr>
      </w:pPr>
    </w:p>
    <w:p w:rsidR="008023D3" w:rsidRPr="008023D3" w:rsidRDefault="008023D3" w:rsidP="008023D3">
      <w:pPr>
        <w:jc w:val="both"/>
        <w:rPr>
          <w:rFonts w:cs="Calibri"/>
          <w:color w:val="000000"/>
        </w:rPr>
      </w:pPr>
      <w:proofErr w:type="gramStart"/>
      <w:r w:rsidRPr="008023D3">
        <w:rPr>
          <w:rFonts w:eastAsia="HiddenHorzOCR" w:cs="Calibri"/>
          <w:color w:val="000000"/>
          <w:u w:val="single"/>
        </w:rPr>
        <w:lastRenderedPageBreak/>
        <w:t xml:space="preserve">Contended </w:t>
      </w:r>
      <w:r w:rsidR="00FF1F83">
        <w:rPr>
          <w:rFonts w:eastAsia="HiddenHorzOCR" w:cs="Calibri"/>
          <w:color w:val="000000"/>
          <w:u w:val="single"/>
        </w:rPr>
        <w:t xml:space="preserve">Right Shoulder </w:t>
      </w:r>
      <w:r w:rsidRPr="008023D3">
        <w:rPr>
          <w:rFonts w:eastAsia="HiddenHorzOCR" w:cs="Calibri"/>
          <w:color w:val="000000"/>
          <w:u w:val="single"/>
        </w:rPr>
        <w:t>Condition</w:t>
      </w:r>
      <w:r w:rsidRPr="008023D3">
        <w:rPr>
          <w:rFonts w:eastAsia="HiddenHorzOCR" w:cs="Calibri"/>
          <w:color w:val="000000"/>
        </w:rPr>
        <w:t>.</w:t>
      </w:r>
      <w:proofErr w:type="gramEnd"/>
      <w:r w:rsidRPr="008023D3">
        <w:rPr>
          <w:rFonts w:eastAsia="HiddenHorzOCR" w:cs="Calibri"/>
          <w:color w:val="000000"/>
        </w:rPr>
        <w:t xml:space="preserve"> </w:t>
      </w:r>
      <w:r w:rsidR="00A91A42">
        <w:rPr>
          <w:rFonts w:eastAsia="HiddenHorzOCR" w:cs="Calibri"/>
          <w:color w:val="000000"/>
        </w:rPr>
        <w:t xml:space="preserve">Right shoulder tendonitis was diagnosed approximately two years prior to separation, but </w:t>
      </w:r>
      <w:r w:rsidR="009336D2">
        <w:rPr>
          <w:rFonts w:eastAsia="HiddenHorzOCR" w:cs="Calibri"/>
          <w:color w:val="000000"/>
        </w:rPr>
        <w:t>ther</w:t>
      </w:r>
      <w:r w:rsidR="00341D3E">
        <w:rPr>
          <w:rFonts w:eastAsia="HiddenHorzOCR" w:cs="Calibri"/>
          <w:color w:val="000000"/>
        </w:rPr>
        <w:t>e were only two entries in the s</w:t>
      </w:r>
      <w:r w:rsidR="009336D2">
        <w:rPr>
          <w:rFonts w:eastAsia="HiddenHorzOCR" w:cs="Calibri"/>
          <w:color w:val="000000"/>
        </w:rPr>
        <w:t>ervice records referable to the complaint after the initial diagnosis</w:t>
      </w:r>
      <w:r w:rsidR="009D7E95">
        <w:rPr>
          <w:rFonts w:eastAsia="HiddenHorzOCR" w:cs="Calibri"/>
          <w:color w:val="000000"/>
        </w:rPr>
        <w:t>;</w:t>
      </w:r>
      <w:r w:rsidR="009336D2">
        <w:rPr>
          <w:rFonts w:eastAsia="HiddenHorzOCR" w:cs="Calibri"/>
          <w:color w:val="000000"/>
        </w:rPr>
        <w:t xml:space="preserve"> and</w:t>
      </w:r>
      <w:r w:rsidR="009D7E95">
        <w:rPr>
          <w:rFonts w:eastAsia="HiddenHorzOCR" w:cs="Calibri"/>
          <w:color w:val="000000"/>
        </w:rPr>
        <w:t>,</w:t>
      </w:r>
      <w:r w:rsidR="009336D2">
        <w:rPr>
          <w:rFonts w:eastAsia="HiddenHorzOCR" w:cs="Calibri"/>
          <w:color w:val="000000"/>
        </w:rPr>
        <w:t xml:space="preserve"> </w:t>
      </w:r>
      <w:r w:rsidR="009D7E95">
        <w:rPr>
          <w:rFonts w:eastAsia="HiddenHorzOCR" w:cs="Calibri"/>
          <w:color w:val="000000"/>
        </w:rPr>
        <w:t xml:space="preserve">the shoulder condition was not clinically active during the </w:t>
      </w:r>
      <w:r w:rsidR="00F6348A">
        <w:rPr>
          <w:rFonts w:eastAsia="HiddenHorzOCR" w:cs="Calibri"/>
          <w:color w:val="000000"/>
        </w:rPr>
        <w:t xml:space="preserve">months preceding and throughout the </w:t>
      </w:r>
      <w:r w:rsidR="009D7E95">
        <w:rPr>
          <w:rFonts w:eastAsia="HiddenHorzOCR" w:cs="Calibri"/>
          <w:color w:val="000000"/>
        </w:rPr>
        <w:t xml:space="preserve">MEB period.  </w:t>
      </w:r>
      <w:r w:rsidR="009336D2">
        <w:rPr>
          <w:rFonts w:eastAsia="HiddenHorzOCR" w:cs="Calibri"/>
          <w:color w:val="000000"/>
        </w:rPr>
        <w:t xml:space="preserve">Although the CI manifested “extremely painful” motion of the shoulder at his post-separation VA C&amp;P evaluation, there were no positive upper extremity findings on the MEB physical.  There was no upper extremity profile; and, specifically push-ups and upper body activities were not restricted by profile.  </w:t>
      </w:r>
      <w:r w:rsidR="009D7E95">
        <w:rPr>
          <w:rFonts w:eastAsia="HiddenHorzOCR" w:cs="Calibri"/>
          <w:color w:val="000000"/>
        </w:rPr>
        <w:t xml:space="preserve">The commander’s statement referenced only the CI’s knee condition and limitations.  </w:t>
      </w:r>
      <w:r w:rsidRPr="00A42D62">
        <w:rPr>
          <w:rFonts w:eastAsia="HiddenHorzOCR" w:cs="Calibri"/>
          <w:color w:val="000000"/>
        </w:rPr>
        <w:t>This</w:t>
      </w:r>
      <w:r w:rsidRPr="00A42D62">
        <w:rPr>
          <w:rFonts w:cs="Calibri"/>
          <w:color w:val="000000"/>
        </w:rPr>
        <w:t xml:space="preserve"> condition was reviewed by the </w:t>
      </w:r>
      <w:r w:rsidR="00341D3E">
        <w:rPr>
          <w:rFonts w:cs="Calibri"/>
          <w:color w:val="000000"/>
        </w:rPr>
        <w:t>action o</w:t>
      </w:r>
      <w:r w:rsidR="004F01CB" w:rsidRPr="00A42D62">
        <w:rPr>
          <w:rFonts w:cs="Calibri"/>
          <w:color w:val="000000"/>
        </w:rPr>
        <w:t xml:space="preserve">fficer </w:t>
      </w:r>
      <w:r w:rsidRPr="00A42D62">
        <w:rPr>
          <w:rFonts w:cs="Calibri"/>
          <w:color w:val="000000"/>
        </w:rPr>
        <w:t>and considered by the Board. There was no evidence</w:t>
      </w:r>
      <w:r w:rsidRPr="008023D3">
        <w:rPr>
          <w:rFonts w:cs="Calibri"/>
          <w:color w:val="000000"/>
        </w:rPr>
        <w:t xml:space="preserve"> for concluding that this condition interfered with duty performance to a degree that could be argued as unfitting. The Board determined therefore that the </w:t>
      </w:r>
      <w:r w:rsidR="00F6348A">
        <w:rPr>
          <w:rFonts w:cs="Calibri"/>
          <w:color w:val="000000"/>
        </w:rPr>
        <w:t xml:space="preserve">right shoulder condition was not subject to </w:t>
      </w:r>
      <w:r w:rsidR="00341D3E">
        <w:rPr>
          <w:rFonts w:cs="Calibri"/>
          <w:color w:val="000000"/>
        </w:rPr>
        <w:t>s</w:t>
      </w:r>
      <w:r w:rsidRPr="008023D3">
        <w:rPr>
          <w:rFonts w:cs="Calibri"/>
          <w:color w:val="000000"/>
        </w:rPr>
        <w:t>ervice disability rating.</w:t>
      </w:r>
    </w:p>
    <w:p w:rsidR="008023D3" w:rsidRPr="008023D3" w:rsidRDefault="008023D3" w:rsidP="008023D3">
      <w:pPr>
        <w:jc w:val="both"/>
        <w:rPr>
          <w:rFonts w:cs="Calibri"/>
          <w:color w:val="000000"/>
        </w:rPr>
      </w:pPr>
    </w:p>
    <w:p w:rsidR="00A42D62" w:rsidRPr="001F29F9" w:rsidRDefault="008023D3" w:rsidP="00A42D62">
      <w:pPr>
        <w:jc w:val="both"/>
        <w:rPr>
          <w:color w:val="000000" w:themeColor="text1"/>
          <w:szCs w:val="24"/>
        </w:rPr>
      </w:pPr>
      <w:proofErr w:type="gramStart"/>
      <w:r w:rsidRPr="008023D3">
        <w:rPr>
          <w:rFonts w:cs="Calibri"/>
          <w:color w:val="000000"/>
          <w:u w:val="single"/>
        </w:rPr>
        <w:t>Remaining Conditions</w:t>
      </w:r>
      <w:r w:rsidRPr="008023D3">
        <w:rPr>
          <w:rFonts w:cs="Calibri"/>
          <w:color w:val="000000"/>
        </w:rPr>
        <w:t>.</w:t>
      </w:r>
      <w:proofErr w:type="gramEnd"/>
      <w:r w:rsidRPr="008023D3">
        <w:rPr>
          <w:rFonts w:cs="Calibri"/>
          <w:color w:val="000000"/>
        </w:rPr>
        <w:t xml:space="preserve"> </w:t>
      </w:r>
      <w:r w:rsidR="00A42D62">
        <w:rPr>
          <w:rFonts w:cs="Calibri"/>
          <w:color w:val="000000"/>
        </w:rPr>
        <w:t xml:space="preserve"> </w:t>
      </w:r>
      <w:r w:rsidRPr="008023D3">
        <w:rPr>
          <w:rFonts w:cs="Calibri"/>
          <w:color w:val="000000"/>
        </w:rPr>
        <w:t xml:space="preserve">No other conditions were noted in the NARSUM, identified by the CI on the MEB physical or found elsewhere in the DES file. </w:t>
      </w:r>
      <w:r w:rsidR="00A42D62" w:rsidRPr="001F29F9">
        <w:rPr>
          <w:color w:val="000000" w:themeColor="text1"/>
          <w:szCs w:val="24"/>
        </w:rPr>
        <w:t>No other conditions were service 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C0D15" w:rsidRPr="00CC0D15" w:rsidRDefault="00CC0D15" w:rsidP="00CC0D15">
      <w:pPr>
        <w:jc w:val="both"/>
        <w:rPr>
          <w:rFonts w:cs="Times New Roman"/>
          <w:color w:val="auto"/>
        </w:rPr>
      </w:pPr>
      <w:r w:rsidRPr="00CC0D15">
        <w:rPr>
          <w:rFonts w:cs="Calibri"/>
          <w:color w:val="000000"/>
          <w:u w:val="single"/>
        </w:rPr>
        <w:t>BOARD FINDINGS</w:t>
      </w:r>
      <w:r w:rsidRPr="00CC0D15">
        <w:rPr>
          <w:rFonts w:cs="Calibri"/>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CC0D15">
        <w:rPr>
          <w:rFonts w:cs="Times New Roman"/>
          <w:color w:val="auto"/>
        </w:rPr>
        <w:t>.</w:t>
      </w:r>
      <w:r w:rsidR="00137EBF">
        <w:rPr>
          <w:rFonts w:cs="Times New Roman"/>
          <w:color w:val="auto"/>
        </w:rPr>
        <w:t xml:space="preserve"> </w:t>
      </w:r>
      <w:r w:rsidRPr="00CC0D15">
        <w:rPr>
          <w:rFonts w:cs="Times New Roman"/>
          <w:color w:val="auto"/>
        </w:rPr>
        <w:t xml:space="preserve"> As discussed above, PEB reliance on the USAPDA pain policy for rating the right knee condition was operant in this case and the condition was adjudicated independently of that policy by the Board. </w:t>
      </w:r>
      <w:r w:rsidR="00137EBF">
        <w:rPr>
          <w:rFonts w:cs="Times New Roman"/>
          <w:color w:val="auto"/>
        </w:rPr>
        <w:t xml:space="preserve"> </w:t>
      </w:r>
      <w:r w:rsidRPr="00CC0D15">
        <w:rPr>
          <w:rFonts w:cs="Times New Roman"/>
          <w:color w:val="auto"/>
        </w:rPr>
        <w:t xml:space="preserve">In the matter of right knee condition and IAW VASRD §4.71a, the Board unanimously recommends </w:t>
      </w:r>
      <w:r w:rsidR="00A42D62" w:rsidRPr="003C53E8">
        <w:rPr>
          <w:rFonts w:asciiTheme="minorHAnsi" w:eastAsiaTheme="minorHAnsi" w:hAnsiTheme="minorHAnsi" w:cs="Times New Roman"/>
          <w:color w:val="auto"/>
          <w:szCs w:val="24"/>
        </w:rPr>
        <w:t>no change in the PEB adjudication</w:t>
      </w:r>
      <w:r w:rsidRPr="00CC0D15">
        <w:rPr>
          <w:rFonts w:cs="Times New Roman"/>
          <w:color w:val="auto"/>
        </w:rPr>
        <w:t>.</w:t>
      </w:r>
      <w:r w:rsidRPr="00CC0D15">
        <w:rPr>
          <w:rFonts w:cs="Times New Roman"/>
          <w:color w:val="FF0000"/>
        </w:rPr>
        <w:t xml:space="preserve"> </w:t>
      </w:r>
      <w:r w:rsidRPr="00CC0D15">
        <w:rPr>
          <w:rFonts w:cs="Times New Roman"/>
          <w:color w:val="auto"/>
        </w:rPr>
        <w:t xml:space="preserve">In the matter of the </w:t>
      </w:r>
      <w:r w:rsidR="00137EBF">
        <w:rPr>
          <w:rFonts w:cs="Times New Roman"/>
          <w:color w:val="auto"/>
        </w:rPr>
        <w:t xml:space="preserve">contended </w:t>
      </w:r>
      <w:r w:rsidRPr="00CC0D15">
        <w:rPr>
          <w:rFonts w:cs="Times New Roman"/>
          <w:color w:val="auto"/>
        </w:rPr>
        <w:t>right shoulder condition, the Board unanimously agrees that it cannot</w:t>
      </w:r>
      <w:r w:rsidRPr="00CC0D15">
        <w:rPr>
          <w:rFonts w:cs="Times New Roman"/>
          <w:color w:val="000080"/>
        </w:rPr>
        <w:t xml:space="preserve"> </w:t>
      </w:r>
      <w:r w:rsidRPr="00CC0D15">
        <w:rPr>
          <w:rFonts w:cs="Times New Roman"/>
          <w:color w:val="auto"/>
        </w:rPr>
        <w:t>recommend a finding of unfit for additional rating at separation. 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0A4570" w:rsidRDefault="00C56FC8" w:rsidP="000A4570">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0A4570">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8"/>
        <w:gridCol w:w="1620"/>
        <w:gridCol w:w="1062"/>
      </w:tblGrid>
      <w:tr w:rsidR="00A95BBA" w:rsidRPr="001F29F9" w:rsidTr="00137EBF">
        <w:trPr>
          <w:trHeight w:val="233"/>
          <w:jc w:val="center"/>
        </w:trPr>
        <w:tc>
          <w:tcPr>
            <w:tcW w:w="6678"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62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06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137EBF">
        <w:trPr>
          <w:jc w:val="center"/>
        </w:trPr>
        <w:tc>
          <w:tcPr>
            <w:tcW w:w="6678" w:type="dxa"/>
            <w:vAlign w:val="center"/>
          </w:tcPr>
          <w:p w:rsidR="00A95BBA" w:rsidRPr="001F29F9" w:rsidRDefault="00CC0D15" w:rsidP="00BF0E94">
            <w:pPr>
              <w:tabs>
                <w:tab w:val="left" w:pos="288"/>
                <w:tab w:val="left" w:pos="4752"/>
              </w:tabs>
              <w:jc w:val="left"/>
              <w:rPr>
                <w:color w:val="000000" w:themeColor="text1"/>
                <w:szCs w:val="24"/>
              </w:rPr>
            </w:pPr>
            <w:r w:rsidRPr="00CC0D15">
              <w:rPr>
                <w:color w:val="000000" w:themeColor="text1"/>
                <w:szCs w:val="24"/>
              </w:rPr>
              <w:t>Chronic Right Knee Pain</w:t>
            </w:r>
          </w:p>
        </w:tc>
        <w:tc>
          <w:tcPr>
            <w:tcW w:w="1620" w:type="dxa"/>
            <w:vAlign w:val="center"/>
          </w:tcPr>
          <w:p w:rsidR="00A95BBA" w:rsidRPr="001F29F9" w:rsidRDefault="00CC0D15" w:rsidP="00BF0E94">
            <w:pPr>
              <w:tabs>
                <w:tab w:val="left" w:pos="288"/>
                <w:tab w:val="left" w:pos="4752"/>
              </w:tabs>
              <w:rPr>
                <w:color w:val="000000" w:themeColor="text1"/>
                <w:szCs w:val="24"/>
              </w:rPr>
            </w:pPr>
            <w:r>
              <w:rPr>
                <w:color w:val="000000" w:themeColor="text1"/>
                <w:szCs w:val="24"/>
              </w:rPr>
              <w:t>5099-5003</w:t>
            </w:r>
          </w:p>
        </w:tc>
        <w:tc>
          <w:tcPr>
            <w:tcW w:w="1062" w:type="dxa"/>
            <w:vAlign w:val="center"/>
          </w:tcPr>
          <w:p w:rsidR="00A95BBA" w:rsidRPr="001F29F9" w:rsidRDefault="00CC0D15" w:rsidP="00BF0E94">
            <w:pPr>
              <w:tabs>
                <w:tab w:val="left" w:pos="288"/>
                <w:tab w:val="left" w:pos="4752"/>
              </w:tabs>
              <w:rPr>
                <w:color w:val="000000" w:themeColor="text1"/>
                <w:szCs w:val="24"/>
              </w:rPr>
            </w:pPr>
            <w:r w:rsidRPr="00CC0D15">
              <w:rPr>
                <w:color w:val="000000" w:themeColor="text1"/>
                <w:szCs w:val="24"/>
              </w:rPr>
              <w:t>10%</w:t>
            </w:r>
          </w:p>
        </w:tc>
      </w:tr>
      <w:tr w:rsidR="00A95BBA" w:rsidRPr="001F29F9" w:rsidTr="00137EBF">
        <w:tblPrEx>
          <w:tblLook w:val="0000"/>
        </w:tblPrEx>
        <w:trPr>
          <w:gridBefore w:val="1"/>
          <w:wBefore w:w="6678"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062" w:type="dxa"/>
            <w:tcBorders>
              <w:bottom w:val="single" w:sz="4" w:space="0" w:color="000000"/>
            </w:tcBorders>
            <w:shd w:val="clear" w:color="auto" w:fill="D9D9D9" w:themeFill="background1" w:themeFillShade="D9"/>
            <w:vAlign w:val="center"/>
          </w:tcPr>
          <w:p w:rsidR="00A95BBA" w:rsidRPr="001F29F9" w:rsidRDefault="000A4570"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137EBF" w:rsidRDefault="00137EBF" w:rsidP="00137EBF">
      <w:pPr>
        <w:jc w:val="both"/>
        <w:rPr>
          <w:color w:val="000000" w:themeColor="text1"/>
        </w:rPr>
      </w:pPr>
    </w:p>
    <w:p w:rsidR="00137EBF" w:rsidRDefault="00137EBF" w:rsidP="00137EBF">
      <w:pPr>
        <w:jc w:val="both"/>
        <w:rPr>
          <w:color w:val="000000" w:themeColor="text1"/>
        </w:rPr>
      </w:pPr>
    </w:p>
    <w:p w:rsidR="00D91DA6" w:rsidRPr="001F29F9" w:rsidRDefault="00FB1725" w:rsidP="00341D3E">
      <w:pPr>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0A4570" w:rsidRPr="000A4570">
        <w:rPr>
          <w:color w:val="000000" w:themeColor="text1"/>
          <w:szCs w:val="24"/>
        </w:rPr>
        <w:t>20110810</w:t>
      </w:r>
      <w:r w:rsidR="00341D3E">
        <w:rPr>
          <w:color w:val="000000" w:themeColor="text1"/>
        </w:rPr>
        <w:t>, w/</w:t>
      </w:r>
      <w:proofErr w:type="spellStart"/>
      <w:r w:rsidR="00341D3E">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Treatment </w:t>
      </w:r>
      <w:r w:rsidR="00341D3E">
        <w:rPr>
          <w:color w:val="000000" w:themeColor="text1"/>
        </w:rPr>
        <w:t>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41D3E">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61320C" w:rsidRDefault="002F195B" w:rsidP="00341D3E">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1320C" w:rsidRDefault="0061320C">
      <w:pPr>
        <w:rPr>
          <w:color w:val="000000" w:themeColor="text1"/>
          <w:szCs w:val="24"/>
        </w:rPr>
      </w:pPr>
      <w:r>
        <w:rPr>
          <w:color w:val="000000" w:themeColor="text1"/>
          <w:szCs w:val="24"/>
        </w:rPr>
        <w:br w:type="page"/>
      </w: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lastRenderedPageBreak/>
        <w:t>SFMR-RB</w:t>
      </w:r>
      <w:r w:rsidRPr="0061320C">
        <w:rPr>
          <w:color w:val="000000" w:themeColor="text1"/>
          <w:szCs w:val="24"/>
        </w:rPr>
        <w:tab/>
      </w:r>
      <w:r w:rsidRPr="0061320C">
        <w:rPr>
          <w:color w:val="000000" w:themeColor="text1"/>
          <w:szCs w:val="24"/>
        </w:rPr>
        <w:tab/>
      </w:r>
      <w:r w:rsidRPr="0061320C">
        <w:rPr>
          <w:color w:val="000000" w:themeColor="text1"/>
          <w:szCs w:val="24"/>
        </w:rPr>
        <w:tab/>
      </w:r>
      <w:r w:rsidRPr="0061320C">
        <w:rPr>
          <w:color w:val="000000" w:themeColor="text1"/>
          <w:szCs w:val="24"/>
        </w:rPr>
        <w:tab/>
      </w:r>
      <w:r w:rsidRPr="0061320C">
        <w:rPr>
          <w:color w:val="000000" w:themeColor="text1"/>
          <w:szCs w:val="24"/>
        </w:rPr>
        <w:tab/>
      </w:r>
      <w:r w:rsidRPr="0061320C">
        <w:rPr>
          <w:color w:val="000000" w:themeColor="text1"/>
          <w:szCs w:val="24"/>
        </w:rPr>
        <w:tab/>
      </w:r>
      <w:r w:rsidRPr="0061320C">
        <w:rPr>
          <w:color w:val="000000" w:themeColor="text1"/>
          <w:szCs w:val="24"/>
        </w:rPr>
        <w:tab/>
      </w:r>
      <w:r w:rsidRPr="0061320C">
        <w:rPr>
          <w:color w:val="000000" w:themeColor="text1"/>
          <w:szCs w:val="24"/>
        </w:rPr>
        <w:tab/>
      </w:r>
      <w:r w:rsidRPr="0061320C">
        <w:rPr>
          <w:color w:val="000000" w:themeColor="text1"/>
          <w:szCs w:val="24"/>
        </w:rPr>
        <w:tab/>
      </w: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t xml:space="preserve">MEMORANDUM FOR Commander, US Army Physical Disability Agency </w:t>
      </w: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t xml:space="preserve">SUBJECT:  Department of Defense Physical Disability Board of Review Recommendation </w:t>
      </w:r>
    </w:p>
    <w:p w:rsidR="0061320C" w:rsidRPr="0061320C" w:rsidRDefault="0061320C" w:rsidP="0061320C">
      <w:pPr>
        <w:tabs>
          <w:tab w:val="left" w:pos="0"/>
          <w:tab w:val="left" w:pos="4320"/>
        </w:tabs>
        <w:jc w:val="both"/>
        <w:rPr>
          <w:color w:val="000000" w:themeColor="text1"/>
          <w:szCs w:val="24"/>
        </w:rPr>
      </w:pPr>
    </w:p>
    <w:p w:rsidR="0061320C" w:rsidRDefault="0061320C" w:rsidP="0061320C">
      <w:pPr>
        <w:tabs>
          <w:tab w:val="left" w:pos="0"/>
          <w:tab w:val="left" w:pos="4320"/>
        </w:tabs>
        <w:jc w:val="both"/>
        <w:rPr>
          <w:color w:val="000000" w:themeColor="text1"/>
          <w:szCs w:val="24"/>
        </w:rPr>
      </w:pPr>
      <w:r w:rsidRPr="0061320C">
        <w:rPr>
          <w:color w:val="000000" w:themeColor="text1"/>
          <w:szCs w:val="24"/>
        </w:rPr>
        <w:t>I have reviewed the enclosed Department of Defense Physical Disability Board of Review (</w:t>
      </w:r>
      <w:proofErr w:type="spellStart"/>
      <w:r w:rsidRPr="0061320C">
        <w:rPr>
          <w:color w:val="000000" w:themeColor="text1"/>
          <w:szCs w:val="24"/>
        </w:rPr>
        <w:t>DoD</w:t>
      </w:r>
      <w:proofErr w:type="spellEnd"/>
      <w:r w:rsidRPr="0061320C">
        <w:rPr>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t>This decision is final.  The individual concerned, counsel (if any), and any Members of Congress who have shown interest in this application have been notified of this decision by mail.</w:t>
      </w: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t xml:space="preserve"> BY ORDER OF THE SECRETARY OF THE ARMY:</w:t>
      </w: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p>
    <w:p w:rsidR="0061320C" w:rsidRPr="0061320C" w:rsidRDefault="0061320C" w:rsidP="0061320C">
      <w:pPr>
        <w:tabs>
          <w:tab w:val="left" w:pos="0"/>
          <w:tab w:val="left" w:pos="4320"/>
        </w:tabs>
        <w:jc w:val="both"/>
        <w:rPr>
          <w:color w:val="000000" w:themeColor="text1"/>
          <w:szCs w:val="24"/>
        </w:rPr>
      </w:pPr>
      <w:bookmarkStart w:id="0" w:name="OLE_LINK3"/>
      <w:bookmarkStart w:id="1" w:name="OLE_LINK4"/>
      <w:r>
        <w:rPr>
          <w:color w:val="000000" w:themeColor="text1"/>
          <w:szCs w:val="24"/>
        </w:rPr>
        <w:t>Encl</w:t>
      </w:r>
      <w:r>
        <w:rPr>
          <w:color w:val="000000" w:themeColor="text1"/>
          <w:szCs w:val="24"/>
        </w:rPr>
        <w:tab/>
      </w: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tab/>
        <w:t>Deputy Assistant Secretary</w:t>
      </w:r>
    </w:p>
    <w:p w:rsidR="0061320C" w:rsidRPr="0061320C" w:rsidRDefault="0061320C" w:rsidP="0061320C">
      <w:pPr>
        <w:tabs>
          <w:tab w:val="left" w:pos="0"/>
          <w:tab w:val="left" w:pos="4320"/>
        </w:tabs>
        <w:jc w:val="both"/>
        <w:rPr>
          <w:color w:val="000000" w:themeColor="text1"/>
          <w:szCs w:val="24"/>
        </w:rPr>
      </w:pPr>
      <w:r w:rsidRPr="0061320C">
        <w:rPr>
          <w:color w:val="000000" w:themeColor="text1"/>
          <w:szCs w:val="24"/>
        </w:rPr>
        <w:tab/>
        <w:t xml:space="preserve"> (Army Review Boards)</w:t>
      </w:r>
      <w:bookmarkEnd w:id="0"/>
      <w:bookmarkEnd w:id="1"/>
    </w:p>
    <w:p w:rsidR="008E3C90" w:rsidRPr="00B720A5" w:rsidRDefault="008E3C90" w:rsidP="00341D3E">
      <w:pPr>
        <w:tabs>
          <w:tab w:val="left" w:pos="0"/>
          <w:tab w:val="left" w:pos="4320"/>
        </w:tabs>
        <w:jc w:val="both"/>
        <w:rPr>
          <w:color w:val="000000" w:themeColor="text1"/>
          <w:szCs w:val="24"/>
        </w:rPr>
      </w:pPr>
    </w:p>
    <w:sectPr w:rsidR="008E3C90" w:rsidRPr="00B720A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A6" w:rsidRDefault="005F2FA6">
      <w:r>
        <w:separator/>
      </w:r>
    </w:p>
  </w:endnote>
  <w:endnote w:type="continuationSeparator" w:id="0">
    <w:p w:rsidR="005F2FA6" w:rsidRDefault="005F2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6348A" w:rsidRPr="00374247" w:rsidRDefault="00F6348A" w:rsidP="00374247">
        <w:pPr>
          <w:pStyle w:val="Footer"/>
          <w:ind w:firstLine="4320"/>
          <w:rPr>
            <w:color w:val="auto"/>
            <w:szCs w:val="24"/>
          </w:rPr>
        </w:pPr>
        <w:r w:rsidRPr="00374247">
          <w:rPr>
            <w:color w:val="auto"/>
            <w:szCs w:val="24"/>
          </w:rPr>
          <w:t xml:space="preserve">   </w:t>
        </w:r>
        <w:r w:rsidR="00041648" w:rsidRPr="00374247">
          <w:rPr>
            <w:color w:val="auto"/>
            <w:szCs w:val="24"/>
          </w:rPr>
          <w:fldChar w:fldCharType="begin"/>
        </w:r>
        <w:r w:rsidRPr="00374247">
          <w:rPr>
            <w:color w:val="auto"/>
            <w:szCs w:val="24"/>
          </w:rPr>
          <w:instrText xml:space="preserve"> PAGE   \* MERGEFORMAT </w:instrText>
        </w:r>
        <w:r w:rsidR="00041648" w:rsidRPr="00374247">
          <w:rPr>
            <w:color w:val="auto"/>
            <w:szCs w:val="24"/>
          </w:rPr>
          <w:fldChar w:fldCharType="separate"/>
        </w:r>
        <w:r w:rsidR="0061320C" w:rsidRPr="0061320C">
          <w:rPr>
            <w:noProof/>
            <w:color w:val="auto"/>
          </w:rPr>
          <w:t>2</w:t>
        </w:r>
        <w:r w:rsidR="00041648" w:rsidRPr="00374247">
          <w:rPr>
            <w:color w:val="auto"/>
            <w:szCs w:val="24"/>
          </w:rPr>
          <w:fldChar w:fldCharType="end"/>
        </w:r>
        <w:r w:rsidRPr="00374247">
          <w:rPr>
            <w:color w:val="auto"/>
            <w:szCs w:val="24"/>
          </w:rPr>
          <w:t xml:space="preserve">                                                           </w:t>
        </w:r>
        <w:r w:rsidRPr="003375E4">
          <w:rPr>
            <w:color w:val="auto"/>
            <w:szCs w:val="24"/>
          </w:rPr>
          <w:t>PD</w:t>
        </w:r>
        <w:r w:rsidRPr="000E356B">
          <w:rPr>
            <w:color w:val="auto"/>
            <w:szCs w:val="24"/>
          </w:rPr>
          <w:t>1100626</w:t>
        </w:r>
      </w:p>
    </w:sdtContent>
  </w:sdt>
  <w:p w:rsidR="00F6348A" w:rsidRPr="00684CE6" w:rsidRDefault="00F6348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A6" w:rsidRDefault="005F2FA6">
      <w:r>
        <w:separator/>
      </w:r>
    </w:p>
  </w:footnote>
  <w:footnote w:type="continuationSeparator" w:id="0">
    <w:p w:rsidR="005F2FA6" w:rsidRDefault="005F2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4210"/>
  </w:hdrShapeDefaults>
  <w:footnotePr>
    <w:numRestart w:val="eachSect"/>
    <w:footnote w:id="-1"/>
    <w:footnote w:id="0"/>
  </w:footnotePr>
  <w:endnotePr>
    <w:endnote w:id="-1"/>
    <w:endnote w:id="0"/>
  </w:endnotePr>
  <w:compat/>
  <w:rsids>
    <w:rsidRoot w:val="001C28D1"/>
    <w:rsid w:val="00000F8C"/>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48"/>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570"/>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56B"/>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D68"/>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37EBF"/>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14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1C2"/>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4B4"/>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017"/>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69D"/>
    <w:rsid w:val="003328FD"/>
    <w:rsid w:val="00332DE3"/>
    <w:rsid w:val="0033334F"/>
    <w:rsid w:val="0033414F"/>
    <w:rsid w:val="00334514"/>
    <w:rsid w:val="0033555E"/>
    <w:rsid w:val="0033601F"/>
    <w:rsid w:val="00336805"/>
    <w:rsid w:val="00336D9F"/>
    <w:rsid w:val="00337351"/>
    <w:rsid w:val="003375E4"/>
    <w:rsid w:val="003409FA"/>
    <w:rsid w:val="00341A54"/>
    <w:rsid w:val="00341D3E"/>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428"/>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6F1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2966"/>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1CB"/>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424"/>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6E7"/>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2FA6"/>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20C"/>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18D5"/>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664"/>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23D3"/>
    <w:rsid w:val="00803850"/>
    <w:rsid w:val="008039E8"/>
    <w:rsid w:val="00804385"/>
    <w:rsid w:val="00804E0E"/>
    <w:rsid w:val="008051EB"/>
    <w:rsid w:val="0080588E"/>
    <w:rsid w:val="00805AFD"/>
    <w:rsid w:val="00806397"/>
    <w:rsid w:val="008073C4"/>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CBD"/>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3F63"/>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3BB"/>
    <w:rsid w:val="0093108A"/>
    <w:rsid w:val="00931B6D"/>
    <w:rsid w:val="0093311A"/>
    <w:rsid w:val="009336D2"/>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E95"/>
    <w:rsid w:val="009E09D0"/>
    <w:rsid w:val="009E1181"/>
    <w:rsid w:val="009E1283"/>
    <w:rsid w:val="009E3A7F"/>
    <w:rsid w:val="009E4C9B"/>
    <w:rsid w:val="009E4DFC"/>
    <w:rsid w:val="009E5789"/>
    <w:rsid w:val="009E57B1"/>
    <w:rsid w:val="009E6379"/>
    <w:rsid w:val="009F020F"/>
    <w:rsid w:val="009F11CD"/>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223"/>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D62"/>
    <w:rsid w:val="00A44141"/>
    <w:rsid w:val="00A44CCA"/>
    <w:rsid w:val="00A44D75"/>
    <w:rsid w:val="00A462AF"/>
    <w:rsid w:val="00A47CF1"/>
    <w:rsid w:val="00A50418"/>
    <w:rsid w:val="00A50B17"/>
    <w:rsid w:val="00A53A9B"/>
    <w:rsid w:val="00A54A47"/>
    <w:rsid w:val="00A56AB2"/>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1A42"/>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051"/>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0F4A"/>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0D15"/>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34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790"/>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7A82"/>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48A"/>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A59"/>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1F83"/>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BD29-494F-45B7-8745-2C5EE6F6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2012-02-21T13:43:00Z</dcterms:created>
  <dcterms:modified xsi:type="dcterms:W3CDTF">2012-03-19T22:34:00Z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