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1A" w:rsidRPr="001F29F9" w:rsidRDefault="00F0721A" w:rsidP="00BF0E94">
      <w:pPr>
        <w:tabs>
          <w:tab w:val="left" w:pos="288"/>
          <w:tab w:val="left" w:pos="4752"/>
        </w:tabs>
        <w:rPr>
          <w:color w:val="000000"/>
        </w:rPr>
      </w:pPr>
      <w:r w:rsidRPr="001F29F9">
        <w:rPr>
          <w:color w:val="000000"/>
        </w:rPr>
        <w:t>RECORD OF PROCEEDINGS</w:t>
      </w:r>
    </w:p>
    <w:p w:rsidR="00F0721A" w:rsidRPr="001F29F9" w:rsidRDefault="00F0721A" w:rsidP="00BF0E94">
      <w:pPr>
        <w:tabs>
          <w:tab w:val="left" w:pos="288"/>
          <w:tab w:val="left" w:pos="4752"/>
        </w:tabs>
        <w:rPr>
          <w:color w:val="000000"/>
        </w:rPr>
      </w:pPr>
      <w:r w:rsidRPr="001F29F9">
        <w:rPr>
          <w:color w:val="000000"/>
        </w:rPr>
        <w:t>PHYSICAL DISABILITY BOARD OF REVIEW</w:t>
      </w:r>
    </w:p>
    <w:p w:rsidR="00C27807" w:rsidRPr="00C27807" w:rsidRDefault="00C27807" w:rsidP="00C27807">
      <w:pPr>
        <w:jc w:val="left"/>
        <w:rPr>
          <w:b/>
          <w:color w:val="auto"/>
          <w:szCs w:val="24"/>
        </w:rPr>
      </w:pPr>
    </w:p>
    <w:p w:rsidR="00C27807" w:rsidRPr="00C27807" w:rsidRDefault="00C27807" w:rsidP="00C27807">
      <w:pPr>
        <w:tabs>
          <w:tab w:val="left" w:pos="288"/>
          <w:tab w:val="left" w:pos="4680"/>
          <w:tab w:val="left" w:pos="5130"/>
          <w:tab w:val="left" w:pos="6300"/>
          <w:tab w:val="left" w:pos="9270"/>
        </w:tabs>
        <w:jc w:val="left"/>
        <w:rPr>
          <w:rFonts w:cs="Times New Roman"/>
          <w:caps/>
          <w:color w:val="auto"/>
        </w:rPr>
      </w:pPr>
      <w:r w:rsidRPr="00C27807">
        <w:rPr>
          <w:rFonts w:cs="Times New Roman"/>
          <w:caps/>
          <w:color w:val="auto"/>
        </w:rPr>
        <w:t xml:space="preserve">NAME:  </w:t>
      </w:r>
      <w:r w:rsidR="00BA7F1F">
        <w:rPr>
          <w:caps/>
          <w:color w:val="000000"/>
        </w:rPr>
        <w:t>XXXXXXXXX</w:t>
      </w:r>
      <w:r w:rsidR="004B24C4" w:rsidRPr="001F29F9">
        <w:rPr>
          <w:caps/>
          <w:color w:val="000000"/>
        </w:rPr>
        <w:t xml:space="preserve"> </w:t>
      </w:r>
      <w:r w:rsidRPr="00C27807">
        <w:rPr>
          <w:rFonts w:cs="Times New Roman"/>
          <w:caps/>
          <w:color w:val="auto"/>
        </w:rPr>
        <w:t xml:space="preserve">               </w:t>
      </w:r>
      <w:r w:rsidRPr="00C27807">
        <w:rPr>
          <w:rFonts w:cs="Times New Roman"/>
          <w:caps/>
          <w:color w:val="auto"/>
        </w:rPr>
        <w:tab/>
      </w:r>
      <w:r>
        <w:rPr>
          <w:rFonts w:cs="Times New Roman"/>
          <w:caps/>
          <w:color w:val="auto"/>
        </w:rPr>
        <w:t xml:space="preserve"> </w:t>
      </w:r>
      <w:r w:rsidRPr="00C27807">
        <w:rPr>
          <w:rFonts w:cs="Times New Roman"/>
          <w:caps/>
          <w:color w:val="auto"/>
        </w:rPr>
        <w:t xml:space="preserve">BRANCH OF SERVICE:  Army </w:t>
      </w:r>
    </w:p>
    <w:p w:rsidR="00C27807" w:rsidRPr="00C27807" w:rsidRDefault="00C27807" w:rsidP="00C27807">
      <w:pPr>
        <w:tabs>
          <w:tab w:val="left" w:pos="288"/>
          <w:tab w:val="left" w:pos="4680"/>
          <w:tab w:val="left" w:pos="5130"/>
          <w:tab w:val="left" w:pos="6300"/>
          <w:tab w:val="left" w:pos="9270"/>
        </w:tabs>
        <w:jc w:val="left"/>
        <w:rPr>
          <w:rFonts w:cs="Times New Roman"/>
          <w:caps/>
          <w:color w:val="auto"/>
        </w:rPr>
      </w:pPr>
      <w:r w:rsidRPr="00C27807">
        <w:rPr>
          <w:rFonts w:cs="Times New Roman"/>
          <w:caps/>
          <w:color w:val="auto"/>
        </w:rPr>
        <w:t xml:space="preserve">CASE NUMBER:  </w:t>
      </w:r>
      <w:r w:rsidR="004B24C4" w:rsidRPr="001F29F9">
        <w:rPr>
          <w:caps/>
          <w:color w:val="000000"/>
        </w:rPr>
        <w:t>PD1100618</w:t>
      </w:r>
      <w:r w:rsidRPr="00C27807">
        <w:rPr>
          <w:rFonts w:cs="Times New Roman"/>
          <w:caps/>
          <w:color w:val="auto"/>
        </w:rPr>
        <w:tab/>
      </w:r>
      <w:r>
        <w:rPr>
          <w:rFonts w:cs="Times New Roman"/>
          <w:caps/>
          <w:color w:val="auto"/>
        </w:rPr>
        <w:t xml:space="preserve"> </w:t>
      </w:r>
      <w:r w:rsidRPr="00C27807">
        <w:rPr>
          <w:rFonts w:cs="Times New Roman"/>
          <w:color w:val="auto"/>
        </w:rPr>
        <w:t xml:space="preserve">DATE OF PLACEMENT ON TDRL:  </w:t>
      </w:r>
      <w:r w:rsidR="004B24C4" w:rsidRPr="001F29F9">
        <w:rPr>
          <w:color w:val="000000"/>
        </w:rPr>
        <w:t>20030709</w:t>
      </w:r>
      <w:r w:rsidRPr="00C27807">
        <w:rPr>
          <w:rFonts w:cs="Times New Roman"/>
          <w:color w:val="auto"/>
        </w:rPr>
        <w:t xml:space="preserve"> </w:t>
      </w:r>
      <w:r w:rsidRPr="00C27807">
        <w:rPr>
          <w:rFonts w:cs="Times New Roman"/>
          <w:color w:val="auto"/>
        </w:rPr>
        <w:tab/>
      </w:r>
    </w:p>
    <w:p w:rsidR="00C27807" w:rsidRPr="00C27807" w:rsidRDefault="00C27807" w:rsidP="00C27807">
      <w:pPr>
        <w:tabs>
          <w:tab w:val="left" w:pos="288"/>
          <w:tab w:val="left" w:pos="4680"/>
          <w:tab w:val="left" w:pos="5130"/>
        </w:tabs>
        <w:jc w:val="left"/>
        <w:rPr>
          <w:rFonts w:cs="Times New Roman"/>
          <w:color w:val="auto"/>
        </w:rPr>
      </w:pPr>
      <w:r w:rsidRPr="00C27807">
        <w:rPr>
          <w:rFonts w:cs="Times New Roman"/>
          <w:caps/>
          <w:color w:val="auto"/>
        </w:rPr>
        <w:t>BOARD</w:t>
      </w:r>
      <w:r w:rsidR="004B24C4">
        <w:rPr>
          <w:rFonts w:cs="Times New Roman"/>
          <w:caps/>
          <w:color w:val="auto"/>
        </w:rPr>
        <w:t xml:space="preserve"> DATE:  2012</w:t>
      </w:r>
      <w:r w:rsidR="0008545D">
        <w:rPr>
          <w:rFonts w:cs="Times New Roman"/>
          <w:caps/>
          <w:color w:val="auto"/>
        </w:rPr>
        <w:t>0327</w:t>
      </w:r>
      <w:r w:rsidRPr="00C27807">
        <w:rPr>
          <w:rFonts w:cs="Times New Roman"/>
          <w:caps/>
          <w:color w:val="auto"/>
        </w:rPr>
        <w:t xml:space="preserve">   </w:t>
      </w:r>
      <w:r w:rsidR="00B52243">
        <w:rPr>
          <w:rFonts w:cs="Times New Roman"/>
          <w:color w:val="auto"/>
        </w:rPr>
        <w:t xml:space="preserve"> </w:t>
      </w:r>
      <w:r w:rsidRPr="00C27807">
        <w:rPr>
          <w:rFonts w:cs="Times New Roman"/>
          <w:caps/>
          <w:color w:val="auto"/>
        </w:rPr>
        <w:tab/>
      </w:r>
      <w:r>
        <w:rPr>
          <w:rFonts w:cs="Times New Roman"/>
          <w:caps/>
          <w:color w:val="auto"/>
        </w:rPr>
        <w:t xml:space="preserve"> </w:t>
      </w:r>
      <w:r w:rsidRPr="00C27807">
        <w:rPr>
          <w:rFonts w:cs="Times New Roman"/>
          <w:caps/>
          <w:color w:val="auto"/>
        </w:rPr>
        <w:t xml:space="preserve">Date of Permanent </w:t>
      </w:r>
      <w:r w:rsidRPr="00C27807">
        <w:rPr>
          <w:rFonts w:cs="Times New Roman"/>
          <w:color w:val="auto"/>
        </w:rPr>
        <w:t xml:space="preserve">SEPARATION:  </w:t>
      </w:r>
      <w:r w:rsidR="004B24C4" w:rsidRPr="001F29F9">
        <w:rPr>
          <w:color w:val="000000"/>
        </w:rPr>
        <w:t>20050224</w:t>
      </w:r>
      <w:r w:rsidRPr="00C27807">
        <w:rPr>
          <w:rFonts w:cs="Times New Roman"/>
          <w:color w:val="auto"/>
        </w:rPr>
        <w:t xml:space="preserve">  </w:t>
      </w:r>
    </w:p>
    <w:p w:rsidR="00F0721A" w:rsidRPr="001F29F9" w:rsidRDefault="00F0721A" w:rsidP="003C53E8">
      <w:pPr>
        <w:pBdr>
          <w:bottom w:val="single" w:sz="12" w:space="1" w:color="auto"/>
        </w:pBdr>
        <w:tabs>
          <w:tab w:val="left" w:pos="288"/>
          <w:tab w:val="left" w:pos="4752"/>
        </w:tabs>
        <w:jc w:val="both"/>
        <w:rPr>
          <w:color w:val="000000"/>
        </w:rPr>
      </w:pPr>
    </w:p>
    <w:p w:rsidR="00F0721A" w:rsidRPr="001F29F9" w:rsidRDefault="00F0721A" w:rsidP="00BF0E94">
      <w:pPr>
        <w:tabs>
          <w:tab w:val="left" w:pos="288"/>
          <w:tab w:val="left" w:pos="4752"/>
        </w:tabs>
        <w:jc w:val="both"/>
        <w:rPr>
          <w:color w:val="000000"/>
        </w:rPr>
      </w:pPr>
    </w:p>
    <w:p w:rsidR="00F0721A" w:rsidRPr="009859BD" w:rsidRDefault="00F0721A" w:rsidP="009859BD">
      <w:pPr>
        <w:tabs>
          <w:tab w:val="left" w:pos="288"/>
          <w:tab w:val="left" w:pos="4752"/>
          <w:tab w:val="left" w:pos="6240"/>
        </w:tabs>
        <w:jc w:val="both"/>
        <w:rPr>
          <w:color w:val="auto"/>
        </w:rPr>
      </w:pPr>
      <w:r w:rsidRPr="001F29F9">
        <w:rPr>
          <w:color w:val="000000"/>
          <w:u w:val="single"/>
        </w:rPr>
        <w:t>SUMMARY OF CASE</w:t>
      </w:r>
      <w:r w:rsidRPr="001F29F9">
        <w:rPr>
          <w:color w:val="000000"/>
        </w:rPr>
        <w:t xml:space="preserve">: Data extracted from the available evidence of record reflects that this covered individual (CI) was an active duty SSG/E-6 (92A, </w:t>
      </w:r>
      <w:r w:rsidR="006E4195">
        <w:rPr>
          <w:color w:val="000000"/>
        </w:rPr>
        <w:t>Automated Logistics Specialist)</w:t>
      </w:r>
      <w:r w:rsidRPr="001F29F9">
        <w:rPr>
          <w:color w:val="000000"/>
        </w:rPr>
        <w:t xml:space="preserve"> medically separated for asthma.</w:t>
      </w:r>
      <w:r w:rsidR="007A4B2C">
        <w:rPr>
          <w:color w:val="000000"/>
        </w:rPr>
        <w:t xml:space="preserve"> </w:t>
      </w:r>
      <w:r w:rsidRPr="001F29F9">
        <w:rPr>
          <w:color w:val="000000"/>
        </w:rPr>
        <w:t xml:space="preserve"> </w:t>
      </w:r>
      <w:r w:rsidR="008B7D42">
        <w:rPr>
          <w:color w:val="000000"/>
        </w:rPr>
        <w:t xml:space="preserve">The CI first developed pulmonary symptoms in 1995; was diagnosed with asthma in 1999; and, finally could not be adequately controlled </w:t>
      </w:r>
      <w:r w:rsidR="008B7D42" w:rsidRPr="00F566B7">
        <w:rPr>
          <w:color w:val="000000"/>
        </w:rPr>
        <w:t>to satis</w:t>
      </w:r>
      <w:r w:rsidR="008B7D42">
        <w:rPr>
          <w:color w:val="000000"/>
        </w:rPr>
        <w:t>fy physical fitness standards.</w:t>
      </w:r>
      <w:r w:rsidR="008B7D42" w:rsidRPr="00F566B7">
        <w:rPr>
          <w:color w:val="000000"/>
        </w:rPr>
        <w:t xml:space="preserve"> </w:t>
      </w:r>
      <w:r w:rsidR="008B7D42">
        <w:rPr>
          <w:color w:val="000000"/>
        </w:rPr>
        <w:t xml:space="preserve"> She </w:t>
      </w:r>
      <w:r w:rsidR="008B7D42" w:rsidRPr="00F566B7">
        <w:rPr>
          <w:color w:val="000000"/>
        </w:rPr>
        <w:t xml:space="preserve">was </w:t>
      </w:r>
      <w:r w:rsidR="008B7D42">
        <w:rPr>
          <w:color w:val="000000"/>
        </w:rPr>
        <w:t>issued a permanent P</w:t>
      </w:r>
      <w:r w:rsidR="008B7D42" w:rsidRPr="00F566B7">
        <w:rPr>
          <w:color w:val="000000"/>
        </w:rPr>
        <w:t>3 profile and</w:t>
      </w:r>
      <w:r w:rsidR="008B7D42">
        <w:rPr>
          <w:color w:val="000000"/>
        </w:rPr>
        <w:t xml:space="preserve"> </w:t>
      </w:r>
      <w:r w:rsidR="008B7D42" w:rsidRPr="00F566B7">
        <w:rPr>
          <w:color w:val="000000"/>
        </w:rPr>
        <w:t xml:space="preserve">referred for a Medical Evaluation Board (MEB).  The </w:t>
      </w:r>
      <w:r w:rsidR="008B7D42">
        <w:rPr>
          <w:color w:val="000000"/>
        </w:rPr>
        <w:t>asthma</w:t>
      </w:r>
      <w:r w:rsidR="008B7D42" w:rsidRPr="00F566B7">
        <w:rPr>
          <w:color w:val="000000"/>
        </w:rPr>
        <w:t xml:space="preserve"> condition was forwarded to the Physical Evaluation Board (PEB) as medically unacceptable IAW AR 40-501.  No other conditions were submitted by the MEB; but, other conditions</w:t>
      </w:r>
      <w:r w:rsidR="008B7D42">
        <w:rPr>
          <w:color w:val="000000"/>
        </w:rPr>
        <w:t>, contended or</w:t>
      </w:r>
      <w:r w:rsidR="008B7D42" w:rsidRPr="00F566B7">
        <w:rPr>
          <w:color w:val="000000"/>
        </w:rPr>
        <w:t xml:space="preserve"> evidenced in the Disability Evaluation System (DES) file, are addressed below</w:t>
      </w:r>
      <w:r w:rsidR="008B7D42">
        <w:rPr>
          <w:color w:val="000000"/>
        </w:rPr>
        <w:t xml:space="preserve">.  </w:t>
      </w:r>
      <w:r w:rsidR="009859BD">
        <w:rPr>
          <w:color w:val="auto"/>
        </w:rPr>
        <w:t xml:space="preserve">The </w:t>
      </w:r>
      <w:r w:rsidR="00C934DC" w:rsidRPr="00FC7796">
        <w:rPr>
          <w:color w:val="auto"/>
        </w:rPr>
        <w:t xml:space="preserve">PEB adjudicated the </w:t>
      </w:r>
      <w:r w:rsidR="00C934DC" w:rsidRPr="00C905A1">
        <w:rPr>
          <w:color w:val="000000"/>
        </w:rPr>
        <w:t xml:space="preserve">asthma condition </w:t>
      </w:r>
      <w:r w:rsidR="00C934DC">
        <w:rPr>
          <w:color w:val="auto"/>
        </w:rPr>
        <w:t>as unfitting, rated 3</w:t>
      </w:r>
      <w:r w:rsidR="00C934DC" w:rsidRPr="00FC7796">
        <w:rPr>
          <w:color w:val="auto"/>
        </w:rPr>
        <w:t>0%</w:t>
      </w:r>
      <w:r w:rsidR="00C934DC">
        <w:rPr>
          <w:color w:val="auto"/>
        </w:rPr>
        <w:t xml:space="preserve">, citing “daily inhalational therapy” IAW the </w:t>
      </w:r>
      <w:r w:rsidR="00C934DC" w:rsidRPr="00C905A1">
        <w:rPr>
          <w:color w:val="000000"/>
        </w:rPr>
        <w:t xml:space="preserve">Veterans Administration Schedule </w:t>
      </w:r>
      <w:r w:rsidR="00C934DC">
        <w:rPr>
          <w:color w:val="000000"/>
        </w:rPr>
        <w:t xml:space="preserve">for Rating Disabilities (VASRD); and, </w:t>
      </w:r>
      <w:r w:rsidR="00C934DC" w:rsidRPr="00C472C7">
        <w:rPr>
          <w:color w:val="auto"/>
        </w:rPr>
        <w:t xml:space="preserve">placed </w:t>
      </w:r>
      <w:r w:rsidR="00C934DC">
        <w:rPr>
          <w:color w:val="auto"/>
        </w:rPr>
        <w:t xml:space="preserve">the CI </w:t>
      </w:r>
      <w:r w:rsidR="00C934DC" w:rsidRPr="00C472C7">
        <w:rPr>
          <w:color w:val="auto"/>
        </w:rPr>
        <w:t xml:space="preserve">on </w:t>
      </w:r>
      <w:r w:rsidR="00C934DC">
        <w:rPr>
          <w:color w:val="auto"/>
        </w:rPr>
        <w:t xml:space="preserve">the </w:t>
      </w:r>
      <w:r w:rsidR="00C934DC" w:rsidRPr="00C472C7">
        <w:rPr>
          <w:color w:val="auto"/>
        </w:rPr>
        <w:t xml:space="preserve">Temporary Disability Retired List (TDRL).  </w:t>
      </w:r>
      <w:r w:rsidR="00C934DC">
        <w:rPr>
          <w:color w:val="auto"/>
        </w:rPr>
        <w:t xml:space="preserve">After </w:t>
      </w:r>
      <w:r w:rsidR="00430016">
        <w:rPr>
          <w:color w:val="auto"/>
        </w:rPr>
        <w:t>18</w:t>
      </w:r>
      <w:r w:rsidR="00C934DC">
        <w:rPr>
          <w:color w:val="auto"/>
        </w:rPr>
        <w:t xml:space="preserve"> months on TDRL, the CI’s </w:t>
      </w:r>
      <w:r w:rsidR="009859BD">
        <w:rPr>
          <w:color w:val="auto"/>
        </w:rPr>
        <w:t>asthma</w:t>
      </w:r>
      <w:r w:rsidR="00C934DC">
        <w:rPr>
          <w:color w:val="auto"/>
        </w:rPr>
        <w:t xml:space="preserve"> condition was considered to be stable </w:t>
      </w:r>
      <w:r w:rsidR="009859BD">
        <w:rPr>
          <w:color w:val="auto"/>
        </w:rPr>
        <w:t>but still unfitting.  Sh</w:t>
      </w:r>
      <w:r w:rsidR="00C934DC">
        <w:rPr>
          <w:color w:val="auto"/>
        </w:rPr>
        <w:t>e</w:t>
      </w:r>
      <w:r w:rsidR="00C934DC" w:rsidRPr="00C472C7">
        <w:rPr>
          <w:color w:val="auto"/>
        </w:rPr>
        <w:t xml:space="preserve"> was </w:t>
      </w:r>
      <w:r w:rsidR="00C934DC">
        <w:rPr>
          <w:color w:val="auto"/>
        </w:rPr>
        <w:t>removed from</w:t>
      </w:r>
      <w:r w:rsidR="00C934DC" w:rsidRPr="00C472C7">
        <w:rPr>
          <w:color w:val="auto"/>
        </w:rPr>
        <w:t xml:space="preserve"> TDRL in 2</w:t>
      </w:r>
      <w:r w:rsidR="009859BD">
        <w:rPr>
          <w:color w:val="auto"/>
        </w:rPr>
        <w:t xml:space="preserve">005 and permanently separated </w:t>
      </w:r>
      <w:r w:rsidR="00C934DC" w:rsidRPr="00C472C7">
        <w:rPr>
          <w:color w:val="auto"/>
        </w:rPr>
        <w:t xml:space="preserve">with a </w:t>
      </w:r>
      <w:r w:rsidR="00C934DC" w:rsidRPr="00B37345">
        <w:rPr>
          <w:color w:val="auto"/>
        </w:rPr>
        <w:t>0</w:t>
      </w:r>
      <w:r w:rsidR="00C934DC" w:rsidRPr="00C472C7">
        <w:rPr>
          <w:color w:val="auto"/>
        </w:rPr>
        <w:t>% rating</w:t>
      </w:r>
      <w:r w:rsidR="009859BD">
        <w:rPr>
          <w:color w:val="auto"/>
        </w:rPr>
        <w:t xml:space="preserve">, citing normal </w:t>
      </w:r>
      <w:proofErr w:type="spellStart"/>
      <w:r w:rsidR="00430016">
        <w:rPr>
          <w:color w:val="auto"/>
        </w:rPr>
        <w:t>s</w:t>
      </w:r>
      <w:r w:rsidR="009859BD">
        <w:rPr>
          <w:color w:val="auto"/>
        </w:rPr>
        <w:t>pirometry</w:t>
      </w:r>
      <w:proofErr w:type="spellEnd"/>
      <w:r w:rsidR="009859BD">
        <w:rPr>
          <w:color w:val="auto"/>
        </w:rPr>
        <w:t xml:space="preserve"> and </w:t>
      </w:r>
      <w:r w:rsidR="00CF11B0">
        <w:rPr>
          <w:color w:val="auto"/>
        </w:rPr>
        <w:t>no medication us</w:t>
      </w:r>
      <w:r w:rsidR="00F95441">
        <w:rPr>
          <w:color w:val="auto"/>
        </w:rPr>
        <w:t>e</w:t>
      </w:r>
      <w:r w:rsidR="009859BD">
        <w:rPr>
          <w:color w:val="auto"/>
        </w:rPr>
        <w:t xml:space="preserve"> </w:t>
      </w:r>
      <w:r w:rsidR="00CF11B0">
        <w:rPr>
          <w:color w:val="auto"/>
        </w:rPr>
        <w:t>for the ratable period based on pharmacy records</w:t>
      </w:r>
      <w:r w:rsidR="00C934DC" w:rsidRPr="00C472C7">
        <w:rPr>
          <w:color w:val="auto"/>
        </w:rPr>
        <w:t>.</w:t>
      </w:r>
      <w:r w:rsidR="009859BD">
        <w:rPr>
          <w:color w:val="auto"/>
        </w:rPr>
        <w:t xml:space="preserve">  </w:t>
      </w:r>
      <w:r w:rsidR="00716798">
        <w:rPr>
          <w:color w:val="000000"/>
        </w:rPr>
        <w:t>The CI appealed to the Formal (P</w:t>
      </w:r>
      <w:r w:rsidRPr="00C905A1">
        <w:rPr>
          <w:color w:val="000000"/>
        </w:rPr>
        <w:t>E</w:t>
      </w:r>
      <w:r w:rsidR="00430016">
        <w:rPr>
          <w:color w:val="000000"/>
        </w:rPr>
        <w:t>B</w:t>
      </w:r>
      <w:r w:rsidR="00716798">
        <w:rPr>
          <w:color w:val="000000"/>
        </w:rPr>
        <w:t>)</w:t>
      </w:r>
      <w:r w:rsidR="00430016">
        <w:rPr>
          <w:color w:val="000000"/>
        </w:rPr>
        <w:t>, but waived her formal hearing;</w:t>
      </w:r>
      <w:r w:rsidRPr="00C905A1">
        <w:rPr>
          <w:color w:val="000000"/>
        </w:rPr>
        <w:t xml:space="preserve"> and</w:t>
      </w:r>
      <w:r w:rsidR="00430016">
        <w:rPr>
          <w:color w:val="000000"/>
        </w:rPr>
        <w:t>,</w:t>
      </w:r>
      <w:r w:rsidRPr="00C905A1">
        <w:rPr>
          <w:color w:val="000000"/>
        </w:rPr>
        <w:t xml:space="preserve"> </w:t>
      </w:r>
      <w:r w:rsidR="009859BD">
        <w:rPr>
          <w:color w:val="000000"/>
        </w:rPr>
        <w:t xml:space="preserve">the above determination was affirmed by the </w:t>
      </w:r>
      <w:r w:rsidR="009859BD" w:rsidRPr="009859BD">
        <w:rPr>
          <w:color w:val="000000"/>
        </w:rPr>
        <w:t>U. S. Army Physical Disability Agency (USAPDA)</w:t>
      </w:r>
      <w:r w:rsidR="00430016">
        <w:rPr>
          <w:color w:val="000000"/>
        </w:rPr>
        <w:t>.</w:t>
      </w:r>
      <w:r w:rsidR="009859BD">
        <w:rPr>
          <w:color w:val="000000"/>
        </w:rPr>
        <w:t xml:space="preserve"> </w:t>
      </w:r>
      <w:r w:rsidR="00430016">
        <w:rPr>
          <w:color w:val="000000"/>
        </w:rPr>
        <w:t xml:space="preserve"> T</w:t>
      </w:r>
      <w:r w:rsidR="009859BD">
        <w:rPr>
          <w:color w:val="000000"/>
        </w:rPr>
        <w:t>he CI was thus</w:t>
      </w:r>
      <w:r w:rsidRPr="00C905A1">
        <w:rPr>
          <w:color w:val="000000"/>
        </w:rPr>
        <w:t xml:space="preserve"> medically separated with a 0% </w:t>
      </w:r>
      <w:r w:rsidR="00F951A4">
        <w:rPr>
          <w:color w:val="000000"/>
        </w:rPr>
        <w:t>s</w:t>
      </w:r>
      <w:r w:rsidR="009859BD">
        <w:rPr>
          <w:color w:val="000000"/>
        </w:rPr>
        <w:t xml:space="preserve">ervice </w:t>
      </w:r>
      <w:r w:rsidRPr="00C905A1">
        <w:rPr>
          <w:color w:val="000000"/>
        </w:rPr>
        <w:t>disability rating.</w:t>
      </w:r>
    </w:p>
    <w:p w:rsidR="00F0721A" w:rsidRPr="001F29F9" w:rsidRDefault="00F0721A" w:rsidP="00BF0E94">
      <w:pPr>
        <w:pBdr>
          <w:bottom w:val="single" w:sz="12" w:space="1" w:color="auto"/>
        </w:pBdr>
        <w:tabs>
          <w:tab w:val="left" w:pos="288"/>
          <w:tab w:val="left" w:pos="4752"/>
        </w:tabs>
        <w:jc w:val="both"/>
        <w:rPr>
          <w:color w:val="000000"/>
        </w:rPr>
      </w:pPr>
    </w:p>
    <w:p w:rsidR="00F0721A" w:rsidRPr="001F29F9" w:rsidRDefault="00F0721A" w:rsidP="00BF0E94">
      <w:pPr>
        <w:tabs>
          <w:tab w:val="left" w:pos="288"/>
          <w:tab w:val="left" w:pos="4752"/>
        </w:tabs>
        <w:jc w:val="both"/>
        <w:rPr>
          <w:color w:val="000000"/>
        </w:rPr>
      </w:pPr>
    </w:p>
    <w:p w:rsidR="00F0721A" w:rsidRPr="001F29F9" w:rsidRDefault="00F0721A" w:rsidP="00BF0E94">
      <w:pPr>
        <w:tabs>
          <w:tab w:val="left" w:pos="288"/>
          <w:tab w:val="left" w:pos="4752"/>
        </w:tabs>
        <w:jc w:val="both"/>
        <w:rPr>
          <w:color w:val="000000"/>
        </w:rPr>
      </w:pPr>
      <w:r w:rsidRPr="001F29F9">
        <w:rPr>
          <w:color w:val="000000"/>
          <w:u w:val="single"/>
        </w:rPr>
        <w:t>CI CONTENTION</w:t>
      </w:r>
      <w:r w:rsidRPr="001F29F9">
        <w:rPr>
          <w:color w:val="000000"/>
        </w:rPr>
        <w:t>:</w:t>
      </w:r>
      <w:r w:rsidRPr="005D639F">
        <w:rPr>
          <w:b/>
          <w:color w:val="auto"/>
        </w:rPr>
        <w:t xml:space="preserve"> </w:t>
      </w:r>
      <w:r>
        <w:rPr>
          <w:color w:val="000000"/>
        </w:rPr>
        <w:t>“I was diagnosed with Restricted Airway Disease in 1995 during my year long deployment to Bosnia-Herzegovina.</w:t>
      </w:r>
      <w:r w:rsidR="007A4B2C">
        <w:rPr>
          <w:color w:val="000000"/>
        </w:rPr>
        <w:t xml:space="preserve"> </w:t>
      </w:r>
      <w:proofErr w:type="gramStart"/>
      <w:r w:rsidR="00FC42FE">
        <w:rPr>
          <w:color w:val="000000"/>
        </w:rPr>
        <w:t xml:space="preserve">[Provides details of environmental exposures and </w:t>
      </w:r>
      <w:r w:rsidR="00003C7E">
        <w:rPr>
          <w:color w:val="000000"/>
        </w:rPr>
        <w:t>the subsequent</w:t>
      </w:r>
      <w:r w:rsidR="00FC42FE">
        <w:rPr>
          <w:color w:val="000000"/>
        </w:rPr>
        <w:t xml:space="preserve"> clinical course.]</w:t>
      </w:r>
      <w:proofErr w:type="gramEnd"/>
      <w:r w:rsidR="00B52243">
        <w:rPr>
          <w:color w:val="000000"/>
        </w:rPr>
        <w:t xml:space="preserve">  </w:t>
      </w:r>
      <w:r>
        <w:rPr>
          <w:color w:val="000000"/>
        </w:rPr>
        <w:t xml:space="preserve">The Army allowed me to still serving after being diagnosed with Asthma, and I was only given temporary profiles to run at my own pace and distance.  I was never issue Permanent file until the Unit had to Deploy to IRAQ in April 2003 and that’s when I was given a permanent profile and recommended for MEB.  There was nothing done about my condition but continued medicines steroids and inhalers, and </w:t>
      </w:r>
      <w:r w:rsidR="00011FE8">
        <w:rPr>
          <w:color w:val="000000"/>
        </w:rPr>
        <w:t>…</w:t>
      </w:r>
      <w:r w:rsidR="003A3330">
        <w:rPr>
          <w:color w:val="000000"/>
        </w:rPr>
        <w:t>d</w:t>
      </w:r>
      <w:r w:rsidR="00003C7E">
        <w:rPr>
          <w:color w:val="000000"/>
        </w:rPr>
        <w:t xml:space="preserve">ischarges … first with the TDRL </w:t>
      </w:r>
      <w:r>
        <w:rPr>
          <w:color w:val="000000"/>
        </w:rPr>
        <w:t>later permanently discharged with a 0% rating</w:t>
      </w:r>
      <w:r w:rsidR="00B52243">
        <w:rPr>
          <w:color w:val="000000"/>
        </w:rPr>
        <w:t xml:space="preserve">.  </w:t>
      </w:r>
      <w:r>
        <w:rPr>
          <w:color w:val="000000"/>
        </w:rPr>
        <w:t xml:space="preserve">I now I am using the ADVAIR DISC 500/50 and my inhaler when needed to control my Asthma Condition.”  </w:t>
      </w:r>
      <w:r w:rsidRPr="00FA6344">
        <w:rPr>
          <w:color w:val="000000"/>
        </w:rPr>
        <w:t>She additionally lists all of her VA conditions and ratings as per the chart below</w:t>
      </w:r>
      <w:r w:rsidR="00003C7E">
        <w:rPr>
          <w:color w:val="000000"/>
        </w:rPr>
        <w:t xml:space="preserve">; and, </w:t>
      </w:r>
      <w:r w:rsidR="00F951A4">
        <w:rPr>
          <w:color w:val="000000"/>
        </w:rPr>
        <w:t>a request for consideration of s</w:t>
      </w:r>
      <w:r w:rsidR="00003C7E">
        <w:rPr>
          <w:color w:val="000000"/>
        </w:rPr>
        <w:t>ervice rating is</w:t>
      </w:r>
      <w:r w:rsidR="00003C7E" w:rsidRPr="00FA6344">
        <w:rPr>
          <w:color w:val="000000"/>
        </w:rPr>
        <w:t xml:space="preserve"> implied.</w:t>
      </w:r>
    </w:p>
    <w:p w:rsidR="00F0721A" w:rsidRPr="001F29F9" w:rsidRDefault="00F0721A" w:rsidP="00BF0E94">
      <w:pPr>
        <w:pBdr>
          <w:bottom w:val="single" w:sz="12" w:space="1" w:color="auto"/>
        </w:pBdr>
        <w:tabs>
          <w:tab w:val="left" w:pos="288"/>
          <w:tab w:val="left" w:pos="4752"/>
        </w:tabs>
        <w:jc w:val="both"/>
        <w:rPr>
          <w:color w:val="000000"/>
        </w:rPr>
      </w:pPr>
    </w:p>
    <w:p w:rsidR="00F0721A" w:rsidRPr="001F29F9" w:rsidRDefault="00F0721A" w:rsidP="00BF0E94">
      <w:pPr>
        <w:tabs>
          <w:tab w:val="left" w:pos="288"/>
          <w:tab w:val="left" w:pos="4752"/>
        </w:tabs>
        <w:jc w:val="both"/>
        <w:rPr>
          <w:color w:val="000000"/>
        </w:rPr>
      </w:pPr>
    </w:p>
    <w:p w:rsidR="004B24C4" w:rsidRPr="00011FE8" w:rsidRDefault="00F0721A" w:rsidP="00011FE8">
      <w:pPr>
        <w:spacing w:line="240" w:lineRule="auto"/>
        <w:jc w:val="left"/>
        <w:rPr>
          <w:color w:val="000000"/>
          <w:u w:val="single"/>
        </w:rPr>
      </w:pPr>
      <w:r w:rsidRPr="001F29F9">
        <w:rPr>
          <w:color w:val="000000"/>
          <w:u w:val="single"/>
        </w:rPr>
        <w:t>RATING COMPARISON</w:t>
      </w:r>
      <w:r w:rsidRPr="001F29F9">
        <w:rPr>
          <w:color w:val="000000"/>
        </w:rPr>
        <w:t>:</w:t>
      </w:r>
    </w:p>
    <w:p w:rsidR="00F0721A" w:rsidRPr="001F29F9" w:rsidRDefault="00F0721A" w:rsidP="00C905A1">
      <w:pPr>
        <w:jc w:val="left"/>
        <w:rPr>
          <w:b/>
          <w:color w:val="000000"/>
          <w:sz w:val="18"/>
          <w:u w:val="single"/>
        </w:rPr>
      </w:pPr>
    </w:p>
    <w:tbl>
      <w:tblPr>
        <w:tblpPr w:leftFromText="187" w:rightFromText="187" w:vertAnchor="text" w:tblpXSpec="center" w:tblpY="1"/>
        <w:tblOverlap w:val="neve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0"/>
        <w:gridCol w:w="630"/>
        <w:gridCol w:w="630"/>
        <w:gridCol w:w="540"/>
        <w:gridCol w:w="3060"/>
        <w:gridCol w:w="720"/>
        <w:gridCol w:w="756"/>
        <w:gridCol w:w="1080"/>
      </w:tblGrid>
      <w:tr w:rsidR="00F0721A" w:rsidRPr="006C288F" w:rsidTr="003F2360">
        <w:trPr>
          <w:trHeight w:val="233"/>
          <w:jc w:val="center"/>
        </w:trPr>
        <w:tc>
          <w:tcPr>
            <w:tcW w:w="3780" w:type="dxa"/>
            <w:gridSpan w:val="4"/>
            <w:tcBorders>
              <w:right w:val="thinThickThinSmallGap" w:sz="24" w:space="0" w:color="auto"/>
            </w:tcBorders>
            <w:shd w:val="clear" w:color="auto" w:fill="D9D9D9"/>
            <w:vAlign w:val="center"/>
          </w:tcPr>
          <w:p w:rsidR="00F0721A" w:rsidRPr="006C288F" w:rsidRDefault="00F0721A" w:rsidP="003F2360">
            <w:pPr>
              <w:contextualSpacing/>
              <w:rPr>
                <w:b/>
                <w:color w:val="000000"/>
                <w:sz w:val="18"/>
              </w:rPr>
            </w:pPr>
            <w:r w:rsidRPr="006C288F">
              <w:rPr>
                <w:rFonts w:cs="Times New Roman"/>
                <w:b/>
                <w:color w:val="000000"/>
                <w:sz w:val="18"/>
              </w:rPr>
              <w:t xml:space="preserve">Final Service PEB – Dated </w:t>
            </w:r>
            <w:r w:rsidRPr="006C288F">
              <w:rPr>
                <w:b/>
                <w:color w:val="000000"/>
                <w:sz w:val="18"/>
              </w:rPr>
              <w:t>200</w:t>
            </w:r>
            <w:r>
              <w:rPr>
                <w:b/>
                <w:color w:val="000000"/>
                <w:sz w:val="18"/>
              </w:rPr>
              <w:t>50105</w:t>
            </w:r>
          </w:p>
        </w:tc>
        <w:tc>
          <w:tcPr>
            <w:tcW w:w="5616" w:type="dxa"/>
            <w:gridSpan w:val="4"/>
            <w:tcBorders>
              <w:left w:val="thinThickThinSmallGap" w:sz="24" w:space="0" w:color="auto"/>
            </w:tcBorders>
            <w:shd w:val="clear" w:color="auto" w:fill="D9D9D9"/>
            <w:vAlign w:val="center"/>
          </w:tcPr>
          <w:p w:rsidR="00F0721A" w:rsidRPr="006C288F" w:rsidRDefault="003F2360" w:rsidP="003F2360">
            <w:pPr>
              <w:contextualSpacing/>
              <w:rPr>
                <w:b/>
                <w:color w:val="000000"/>
                <w:sz w:val="18"/>
              </w:rPr>
            </w:pPr>
            <w:r>
              <w:rPr>
                <w:rFonts w:cs="Times New Roman"/>
                <w:b/>
                <w:color w:val="000000"/>
                <w:sz w:val="18"/>
              </w:rPr>
              <w:t>VA (15 Mo</w:t>
            </w:r>
            <w:r>
              <w:rPr>
                <w:rFonts w:cs="Times New Roman"/>
                <w:b/>
                <w:color w:val="auto"/>
                <w:sz w:val="18"/>
              </w:rPr>
              <w:t>.</w:t>
            </w:r>
            <w:r w:rsidRPr="003F2360">
              <w:rPr>
                <w:b/>
                <w:color w:val="auto"/>
                <w:sz w:val="18"/>
                <w:szCs w:val="18"/>
              </w:rPr>
              <w:t xml:space="preserve"> Prior to Adjudication Date</w:t>
            </w:r>
            <w:r w:rsidRPr="003F2360">
              <w:rPr>
                <w:rFonts w:cs="Times New Roman"/>
                <w:b/>
                <w:color w:val="auto"/>
                <w:sz w:val="18"/>
              </w:rPr>
              <w:t xml:space="preserve"> </w:t>
            </w:r>
            <w:r w:rsidR="00F0721A" w:rsidRPr="003F2360">
              <w:rPr>
                <w:rFonts w:cs="Times New Roman"/>
                <w:b/>
                <w:color w:val="auto"/>
                <w:sz w:val="18"/>
              </w:rPr>
              <w:t xml:space="preserve">) – All Effective Date </w:t>
            </w:r>
            <w:r w:rsidR="00F0721A" w:rsidRPr="003F2360">
              <w:rPr>
                <w:b/>
                <w:color w:val="auto"/>
                <w:sz w:val="18"/>
              </w:rPr>
              <w:t>20031023</w:t>
            </w:r>
          </w:p>
        </w:tc>
      </w:tr>
      <w:tr w:rsidR="003F2360" w:rsidRPr="006C288F" w:rsidTr="003F2360">
        <w:trPr>
          <w:trHeight w:val="65"/>
          <w:jc w:val="center"/>
        </w:trPr>
        <w:tc>
          <w:tcPr>
            <w:tcW w:w="1980" w:type="dxa"/>
            <w:shd w:val="clear" w:color="auto" w:fill="D9D9D9"/>
            <w:vAlign w:val="center"/>
          </w:tcPr>
          <w:p w:rsidR="00F0721A" w:rsidRPr="006C288F" w:rsidRDefault="00F0721A" w:rsidP="003F2360">
            <w:pPr>
              <w:spacing w:line="200" w:lineRule="exact"/>
              <w:contextualSpacing/>
              <w:rPr>
                <w:b/>
                <w:color w:val="000000"/>
                <w:sz w:val="18"/>
              </w:rPr>
            </w:pPr>
            <w:r w:rsidRPr="006C288F">
              <w:rPr>
                <w:rFonts w:cs="Times New Roman"/>
                <w:b/>
                <w:color w:val="000000"/>
                <w:sz w:val="18"/>
              </w:rPr>
              <w:t>Condition</w:t>
            </w:r>
          </w:p>
        </w:tc>
        <w:tc>
          <w:tcPr>
            <w:tcW w:w="630" w:type="dxa"/>
            <w:vMerge w:val="restart"/>
            <w:shd w:val="clear" w:color="auto" w:fill="D9D9D9"/>
            <w:vAlign w:val="center"/>
          </w:tcPr>
          <w:p w:rsidR="00F0721A" w:rsidRPr="006C288F" w:rsidRDefault="00F0721A" w:rsidP="003F2360">
            <w:pPr>
              <w:spacing w:line="200" w:lineRule="exact"/>
              <w:contextualSpacing/>
              <w:rPr>
                <w:b/>
                <w:color w:val="000000"/>
                <w:sz w:val="18"/>
              </w:rPr>
            </w:pPr>
            <w:r w:rsidRPr="006C288F">
              <w:rPr>
                <w:rFonts w:cs="Times New Roman"/>
                <w:b/>
                <w:color w:val="000000"/>
                <w:sz w:val="18"/>
              </w:rPr>
              <w:t>Code</w:t>
            </w:r>
          </w:p>
        </w:tc>
        <w:tc>
          <w:tcPr>
            <w:tcW w:w="1170" w:type="dxa"/>
            <w:gridSpan w:val="2"/>
            <w:tcBorders>
              <w:right w:val="thinThickThinSmallGap" w:sz="24" w:space="0" w:color="auto"/>
            </w:tcBorders>
            <w:shd w:val="clear" w:color="auto" w:fill="D9D9D9"/>
            <w:vAlign w:val="center"/>
          </w:tcPr>
          <w:p w:rsidR="00F0721A" w:rsidRPr="006C288F" w:rsidRDefault="00F0721A" w:rsidP="003F2360">
            <w:pPr>
              <w:spacing w:line="200" w:lineRule="exact"/>
              <w:contextualSpacing/>
              <w:rPr>
                <w:b/>
                <w:color w:val="000000"/>
                <w:sz w:val="18"/>
              </w:rPr>
            </w:pPr>
            <w:r w:rsidRPr="006C288F">
              <w:rPr>
                <w:rFonts w:cs="Times New Roman"/>
                <w:b/>
                <w:color w:val="000000"/>
                <w:sz w:val="18"/>
              </w:rPr>
              <w:t>Rating</w:t>
            </w:r>
          </w:p>
        </w:tc>
        <w:tc>
          <w:tcPr>
            <w:tcW w:w="3060" w:type="dxa"/>
            <w:vMerge w:val="restart"/>
            <w:tcBorders>
              <w:left w:val="thinThickThinSmallGap" w:sz="24" w:space="0" w:color="auto"/>
            </w:tcBorders>
            <w:shd w:val="clear" w:color="auto" w:fill="D9D9D9"/>
            <w:vAlign w:val="center"/>
          </w:tcPr>
          <w:p w:rsidR="00F0721A" w:rsidRPr="006C288F" w:rsidRDefault="00F0721A" w:rsidP="003F2360">
            <w:pPr>
              <w:spacing w:line="220" w:lineRule="exact"/>
              <w:contextualSpacing/>
              <w:rPr>
                <w:b/>
                <w:color w:val="000000"/>
                <w:sz w:val="18"/>
              </w:rPr>
            </w:pPr>
            <w:r w:rsidRPr="006C288F">
              <w:rPr>
                <w:rFonts w:cs="Times New Roman"/>
                <w:b/>
                <w:color w:val="000000"/>
                <w:sz w:val="18"/>
              </w:rPr>
              <w:t>Condition</w:t>
            </w:r>
          </w:p>
        </w:tc>
        <w:tc>
          <w:tcPr>
            <w:tcW w:w="720" w:type="dxa"/>
            <w:vMerge w:val="restart"/>
            <w:shd w:val="clear" w:color="auto" w:fill="D9D9D9"/>
            <w:vAlign w:val="center"/>
          </w:tcPr>
          <w:p w:rsidR="00F0721A" w:rsidRPr="006C288F" w:rsidRDefault="00F0721A" w:rsidP="003F2360">
            <w:pPr>
              <w:spacing w:line="220" w:lineRule="exact"/>
              <w:contextualSpacing/>
              <w:rPr>
                <w:b/>
                <w:color w:val="000000"/>
                <w:sz w:val="18"/>
              </w:rPr>
            </w:pPr>
            <w:r w:rsidRPr="006C288F">
              <w:rPr>
                <w:rFonts w:cs="Times New Roman"/>
                <w:b/>
                <w:color w:val="000000"/>
                <w:sz w:val="18"/>
              </w:rPr>
              <w:t>Code</w:t>
            </w:r>
          </w:p>
        </w:tc>
        <w:tc>
          <w:tcPr>
            <w:tcW w:w="756" w:type="dxa"/>
            <w:vMerge w:val="restart"/>
            <w:shd w:val="clear" w:color="auto" w:fill="D9D9D9"/>
            <w:vAlign w:val="center"/>
          </w:tcPr>
          <w:p w:rsidR="00F0721A" w:rsidRPr="006C288F" w:rsidRDefault="00F0721A" w:rsidP="003F2360">
            <w:pPr>
              <w:spacing w:line="220" w:lineRule="exact"/>
              <w:contextualSpacing/>
              <w:rPr>
                <w:b/>
                <w:color w:val="000000"/>
                <w:sz w:val="18"/>
              </w:rPr>
            </w:pPr>
            <w:r w:rsidRPr="006C288F">
              <w:rPr>
                <w:rFonts w:cs="Times New Roman"/>
                <w:b/>
                <w:color w:val="000000"/>
                <w:sz w:val="18"/>
              </w:rPr>
              <w:t>Rating</w:t>
            </w:r>
          </w:p>
        </w:tc>
        <w:tc>
          <w:tcPr>
            <w:tcW w:w="1080" w:type="dxa"/>
            <w:vMerge w:val="restart"/>
            <w:shd w:val="clear" w:color="auto" w:fill="D9D9D9"/>
            <w:vAlign w:val="center"/>
          </w:tcPr>
          <w:p w:rsidR="00F0721A" w:rsidRPr="006C288F" w:rsidRDefault="00F0721A" w:rsidP="003F2360">
            <w:pPr>
              <w:spacing w:line="220" w:lineRule="exact"/>
              <w:contextualSpacing/>
              <w:rPr>
                <w:b/>
                <w:color w:val="000000"/>
                <w:sz w:val="18"/>
              </w:rPr>
            </w:pPr>
            <w:r w:rsidRPr="006C288F">
              <w:rPr>
                <w:rFonts w:cs="Times New Roman"/>
                <w:b/>
                <w:color w:val="000000"/>
                <w:sz w:val="18"/>
              </w:rPr>
              <w:t>Exam</w:t>
            </w:r>
          </w:p>
        </w:tc>
      </w:tr>
      <w:tr w:rsidR="003F2360" w:rsidRPr="006C288F" w:rsidTr="003F2360">
        <w:trPr>
          <w:trHeight w:val="124"/>
          <w:jc w:val="center"/>
        </w:trPr>
        <w:tc>
          <w:tcPr>
            <w:tcW w:w="1980" w:type="dxa"/>
            <w:shd w:val="clear" w:color="auto" w:fill="D9D9D9"/>
            <w:vAlign w:val="center"/>
          </w:tcPr>
          <w:p w:rsidR="00F0721A" w:rsidRPr="006C288F" w:rsidRDefault="00F0721A" w:rsidP="003F2360">
            <w:pPr>
              <w:spacing w:line="200" w:lineRule="exact"/>
              <w:contextualSpacing/>
              <w:rPr>
                <w:b/>
                <w:color w:val="000000"/>
                <w:sz w:val="18"/>
              </w:rPr>
            </w:pPr>
            <w:r w:rsidRPr="006C288F">
              <w:rPr>
                <w:rFonts w:cs="Times New Roman"/>
                <w:b/>
                <w:color w:val="000000"/>
                <w:sz w:val="18"/>
              </w:rPr>
              <w:t>On TDRL –200</w:t>
            </w:r>
            <w:r w:rsidRPr="00DF2293">
              <w:rPr>
                <w:rFonts w:cs="Times New Roman"/>
                <w:b/>
                <w:color w:val="000000"/>
                <w:sz w:val="18"/>
              </w:rPr>
              <w:t>3</w:t>
            </w:r>
            <w:r>
              <w:rPr>
                <w:rFonts w:cs="Times New Roman"/>
                <w:b/>
                <w:color w:val="000000"/>
                <w:sz w:val="18"/>
              </w:rPr>
              <w:t>0709</w:t>
            </w:r>
          </w:p>
        </w:tc>
        <w:tc>
          <w:tcPr>
            <w:tcW w:w="630" w:type="dxa"/>
            <w:vMerge/>
            <w:shd w:val="clear" w:color="auto" w:fill="D9D9D9"/>
            <w:vAlign w:val="center"/>
          </w:tcPr>
          <w:p w:rsidR="00F0721A" w:rsidRPr="006C288F" w:rsidRDefault="00F0721A" w:rsidP="003F2360">
            <w:pPr>
              <w:spacing w:line="200" w:lineRule="exact"/>
              <w:contextualSpacing/>
              <w:rPr>
                <w:b/>
                <w:color w:val="000000"/>
                <w:sz w:val="18"/>
              </w:rPr>
            </w:pPr>
          </w:p>
        </w:tc>
        <w:tc>
          <w:tcPr>
            <w:tcW w:w="630" w:type="dxa"/>
            <w:tcBorders>
              <w:right w:val="single" w:sz="4" w:space="0" w:color="auto"/>
            </w:tcBorders>
            <w:shd w:val="clear" w:color="auto" w:fill="D9D9D9"/>
            <w:vAlign w:val="center"/>
          </w:tcPr>
          <w:p w:rsidR="00F0721A" w:rsidRPr="006C288F" w:rsidRDefault="00F0721A" w:rsidP="003F2360">
            <w:pPr>
              <w:spacing w:line="200" w:lineRule="exact"/>
              <w:contextualSpacing/>
              <w:rPr>
                <w:b/>
                <w:color w:val="000000"/>
                <w:sz w:val="18"/>
              </w:rPr>
            </w:pPr>
            <w:r w:rsidRPr="006C288F">
              <w:rPr>
                <w:rFonts w:cs="Times New Roman"/>
                <w:b/>
                <w:color w:val="000000"/>
                <w:sz w:val="18"/>
              </w:rPr>
              <w:t>TDRL</w:t>
            </w:r>
          </w:p>
        </w:tc>
        <w:tc>
          <w:tcPr>
            <w:tcW w:w="540" w:type="dxa"/>
            <w:tcBorders>
              <w:left w:val="single" w:sz="4" w:space="0" w:color="auto"/>
              <w:right w:val="thinThickThinSmallGap" w:sz="24" w:space="0" w:color="auto"/>
            </w:tcBorders>
            <w:shd w:val="clear" w:color="auto" w:fill="D9D9D9"/>
            <w:vAlign w:val="center"/>
          </w:tcPr>
          <w:p w:rsidR="00F0721A" w:rsidRPr="006C288F" w:rsidRDefault="00F0721A" w:rsidP="003F2360">
            <w:pPr>
              <w:tabs>
                <w:tab w:val="left" w:pos="206"/>
                <w:tab w:val="center" w:pos="387"/>
              </w:tabs>
              <w:spacing w:line="200" w:lineRule="exact"/>
              <w:contextualSpacing/>
              <w:rPr>
                <w:b/>
                <w:color w:val="000000"/>
                <w:sz w:val="18"/>
              </w:rPr>
            </w:pPr>
            <w:r w:rsidRPr="006C288F">
              <w:rPr>
                <w:rFonts w:cs="Times New Roman"/>
                <w:b/>
                <w:color w:val="000000"/>
                <w:sz w:val="18"/>
              </w:rPr>
              <w:t>Sep.</w:t>
            </w:r>
          </w:p>
        </w:tc>
        <w:tc>
          <w:tcPr>
            <w:tcW w:w="3060" w:type="dxa"/>
            <w:vMerge/>
            <w:tcBorders>
              <w:left w:val="thinThickThinSmallGap" w:sz="24" w:space="0" w:color="auto"/>
            </w:tcBorders>
            <w:shd w:val="clear" w:color="auto" w:fill="D9D9D9"/>
            <w:vAlign w:val="center"/>
          </w:tcPr>
          <w:p w:rsidR="00F0721A" w:rsidRPr="006C288F" w:rsidRDefault="00F0721A" w:rsidP="003F2360">
            <w:pPr>
              <w:spacing w:line="220" w:lineRule="exact"/>
              <w:contextualSpacing/>
              <w:rPr>
                <w:b/>
                <w:color w:val="000000"/>
                <w:sz w:val="18"/>
              </w:rPr>
            </w:pPr>
          </w:p>
        </w:tc>
        <w:tc>
          <w:tcPr>
            <w:tcW w:w="720" w:type="dxa"/>
            <w:vMerge/>
            <w:shd w:val="clear" w:color="auto" w:fill="C6D9F1"/>
            <w:vAlign w:val="center"/>
          </w:tcPr>
          <w:p w:rsidR="00F0721A" w:rsidRPr="006C288F" w:rsidRDefault="00F0721A" w:rsidP="003F2360">
            <w:pPr>
              <w:spacing w:line="220" w:lineRule="exact"/>
              <w:contextualSpacing/>
              <w:rPr>
                <w:b/>
                <w:color w:val="000000"/>
                <w:sz w:val="18"/>
              </w:rPr>
            </w:pPr>
          </w:p>
        </w:tc>
        <w:tc>
          <w:tcPr>
            <w:tcW w:w="756" w:type="dxa"/>
            <w:vMerge/>
            <w:shd w:val="clear" w:color="auto" w:fill="C6D9F1"/>
            <w:vAlign w:val="center"/>
          </w:tcPr>
          <w:p w:rsidR="00F0721A" w:rsidRPr="006C288F" w:rsidRDefault="00F0721A" w:rsidP="003F2360">
            <w:pPr>
              <w:spacing w:line="220" w:lineRule="exact"/>
              <w:contextualSpacing/>
              <w:rPr>
                <w:b/>
                <w:color w:val="000000"/>
                <w:sz w:val="18"/>
              </w:rPr>
            </w:pPr>
          </w:p>
        </w:tc>
        <w:tc>
          <w:tcPr>
            <w:tcW w:w="1080" w:type="dxa"/>
            <w:vMerge/>
            <w:shd w:val="clear" w:color="auto" w:fill="C6D9F1"/>
            <w:vAlign w:val="center"/>
          </w:tcPr>
          <w:p w:rsidR="00F0721A" w:rsidRPr="006C288F" w:rsidRDefault="00F0721A" w:rsidP="003F2360">
            <w:pPr>
              <w:spacing w:line="220" w:lineRule="exact"/>
              <w:contextualSpacing/>
              <w:rPr>
                <w:b/>
                <w:color w:val="000000"/>
                <w:sz w:val="18"/>
              </w:rPr>
            </w:pPr>
          </w:p>
        </w:tc>
      </w:tr>
      <w:tr w:rsidR="003F2360" w:rsidRPr="006C288F" w:rsidTr="003F2360">
        <w:trPr>
          <w:trHeight w:val="65"/>
          <w:jc w:val="center"/>
        </w:trPr>
        <w:tc>
          <w:tcPr>
            <w:tcW w:w="1980" w:type="dxa"/>
            <w:tcBorders>
              <w:right w:val="single" w:sz="4" w:space="0" w:color="auto"/>
            </w:tcBorders>
            <w:shd w:val="clear" w:color="auto" w:fill="FFFFFF"/>
            <w:vAlign w:val="center"/>
          </w:tcPr>
          <w:p w:rsidR="00F0721A" w:rsidRPr="006C288F" w:rsidRDefault="00F0721A" w:rsidP="003F2360">
            <w:pPr>
              <w:spacing w:line="220" w:lineRule="exact"/>
              <w:contextualSpacing/>
              <w:jc w:val="left"/>
              <w:rPr>
                <w:color w:val="000000"/>
                <w:sz w:val="18"/>
              </w:rPr>
            </w:pPr>
            <w:r w:rsidRPr="00FA6344">
              <w:rPr>
                <w:color w:val="000000"/>
                <w:sz w:val="18"/>
              </w:rPr>
              <w:t>Asthma</w:t>
            </w:r>
          </w:p>
        </w:tc>
        <w:tc>
          <w:tcPr>
            <w:tcW w:w="630" w:type="dxa"/>
            <w:tcBorders>
              <w:left w:val="single" w:sz="4" w:space="0" w:color="auto"/>
            </w:tcBorders>
            <w:shd w:val="clear" w:color="auto" w:fill="FFFFFF"/>
            <w:vAlign w:val="center"/>
          </w:tcPr>
          <w:p w:rsidR="00F0721A" w:rsidRPr="006C288F" w:rsidRDefault="00F0721A" w:rsidP="003F2360">
            <w:pPr>
              <w:spacing w:line="220" w:lineRule="exact"/>
              <w:contextualSpacing/>
              <w:rPr>
                <w:color w:val="000000"/>
                <w:sz w:val="18"/>
              </w:rPr>
            </w:pPr>
            <w:r w:rsidRPr="00FA6344">
              <w:rPr>
                <w:color w:val="000000"/>
                <w:sz w:val="18"/>
              </w:rPr>
              <w:t>6602</w:t>
            </w:r>
          </w:p>
        </w:tc>
        <w:tc>
          <w:tcPr>
            <w:tcW w:w="630" w:type="dxa"/>
            <w:tcBorders>
              <w:right w:val="single" w:sz="4" w:space="0" w:color="auto"/>
            </w:tcBorders>
            <w:shd w:val="clear" w:color="auto" w:fill="FFFFFF"/>
            <w:vAlign w:val="center"/>
          </w:tcPr>
          <w:p w:rsidR="00F0721A" w:rsidRPr="006C288F" w:rsidRDefault="00F0721A" w:rsidP="003F2360">
            <w:pPr>
              <w:spacing w:line="220" w:lineRule="exact"/>
              <w:rPr>
                <w:color w:val="000000"/>
                <w:sz w:val="18"/>
              </w:rPr>
            </w:pPr>
            <w:r>
              <w:rPr>
                <w:color w:val="000000"/>
                <w:sz w:val="18"/>
              </w:rPr>
              <w:t>30</w:t>
            </w:r>
            <w:r w:rsidRPr="006C288F">
              <w:rPr>
                <w:color w:val="000000"/>
                <w:sz w:val="18"/>
              </w:rPr>
              <w:t>%</w:t>
            </w:r>
          </w:p>
        </w:tc>
        <w:tc>
          <w:tcPr>
            <w:tcW w:w="540" w:type="dxa"/>
            <w:tcBorders>
              <w:left w:val="single" w:sz="4" w:space="0" w:color="auto"/>
              <w:right w:val="thinThickThinSmallGap" w:sz="24" w:space="0" w:color="auto"/>
            </w:tcBorders>
            <w:shd w:val="clear" w:color="auto" w:fill="FFFFFF"/>
            <w:vAlign w:val="center"/>
          </w:tcPr>
          <w:p w:rsidR="00F0721A" w:rsidRPr="006C288F" w:rsidRDefault="00F0721A" w:rsidP="003F2360">
            <w:pPr>
              <w:spacing w:line="220" w:lineRule="exact"/>
              <w:rPr>
                <w:color w:val="000000"/>
                <w:sz w:val="18"/>
              </w:rPr>
            </w:pPr>
            <w:r>
              <w:rPr>
                <w:color w:val="000000"/>
                <w:sz w:val="18"/>
              </w:rPr>
              <w:t>0</w:t>
            </w:r>
            <w:r w:rsidRPr="006C288F">
              <w:rPr>
                <w:color w:val="000000"/>
                <w:sz w:val="18"/>
              </w:rPr>
              <w:t>%</w:t>
            </w:r>
          </w:p>
        </w:tc>
        <w:tc>
          <w:tcPr>
            <w:tcW w:w="3060" w:type="dxa"/>
            <w:tcBorders>
              <w:left w:val="thinThickThinSmallGap" w:sz="24" w:space="0" w:color="auto"/>
            </w:tcBorders>
            <w:shd w:val="clear" w:color="auto" w:fill="FFFFFF"/>
            <w:vAlign w:val="center"/>
          </w:tcPr>
          <w:p w:rsidR="00F0721A" w:rsidRPr="006C288F" w:rsidRDefault="00F0721A" w:rsidP="003F2360">
            <w:pPr>
              <w:spacing w:line="220" w:lineRule="exact"/>
              <w:contextualSpacing/>
              <w:jc w:val="left"/>
              <w:rPr>
                <w:color w:val="000000"/>
                <w:sz w:val="18"/>
              </w:rPr>
            </w:pPr>
            <w:r w:rsidRPr="002B01A3">
              <w:rPr>
                <w:color w:val="000000"/>
                <w:sz w:val="18"/>
              </w:rPr>
              <w:t>Asthma</w:t>
            </w:r>
          </w:p>
        </w:tc>
        <w:tc>
          <w:tcPr>
            <w:tcW w:w="720" w:type="dxa"/>
            <w:shd w:val="clear" w:color="auto" w:fill="FFFFFF"/>
            <w:vAlign w:val="center"/>
          </w:tcPr>
          <w:p w:rsidR="00F0721A" w:rsidRPr="006C288F" w:rsidRDefault="00F0721A" w:rsidP="003F2360">
            <w:pPr>
              <w:spacing w:line="220" w:lineRule="exact"/>
              <w:contextualSpacing/>
              <w:rPr>
                <w:color w:val="000000"/>
                <w:sz w:val="18"/>
              </w:rPr>
            </w:pPr>
            <w:r w:rsidRPr="002B01A3">
              <w:rPr>
                <w:color w:val="000000"/>
                <w:sz w:val="18"/>
              </w:rPr>
              <w:t>6602</w:t>
            </w:r>
          </w:p>
        </w:tc>
        <w:tc>
          <w:tcPr>
            <w:tcW w:w="756" w:type="dxa"/>
            <w:shd w:val="clear" w:color="auto" w:fill="FFFFFF"/>
            <w:vAlign w:val="center"/>
          </w:tcPr>
          <w:p w:rsidR="00F0721A" w:rsidRPr="006C288F" w:rsidRDefault="00F0721A" w:rsidP="003F2360">
            <w:pPr>
              <w:spacing w:line="220" w:lineRule="exact"/>
              <w:contextualSpacing/>
              <w:rPr>
                <w:color w:val="000000"/>
                <w:sz w:val="18"/>
              </w:rPr>
            </w:pPr>
            <w:r w:rsidRPr="002B01A3">
              <w:rPr>
                <w:color w:val="000000"/>
                <w:sz w:val="18"/>
              </w:rPr>
              <w:t>10</w:t>
            </w:r>
            <w:r w:rsidRPr="006C288F">
              <w:rPr>
                <w:color w:val="000000"/>
                <w:sz w:val="18"/>
              </w:rPr>
              <w:t>%</w:t>
            </w:r>
          </w:p>
        </w:tc>
        <w:tc>
          <w:tcPr>
            <w:tcW w:w="1080" w:type="dxa"/>
            <w:shd w:val="clear" w:color="auto" w:fill="FFFFFF"/>
            <w:vAlign w:val="center"/>
          </w:tcPr>
          <w:p w:rsidR="00F0721A" w:rsidRPr="006C288F" w:rsidRDefault="00F0721A" w:rsidP="003F2360">
            <w:pPr>
              <w:spacing w:line="220" w:lineRule="exact"/>
              <w:contextualSpacing/>
              <w:rPr>
                <w:color w:val="000000"/>
                <w:sz w:val="18"/>
              </w:rPr>
            </w:pPr>
            <w:r w:rsidRPr="006C288F">
              <w:rPr>
                <w:color w:val="000000"/>
                <w:sz w:val="18"/>
              </w:rPr>
              <w:t>200</w:t>
            </w:r>
            <w:r>
              <w:rPr>
                <w:color w:val="000000"/>
                <w:sz w:val="18"/>
              </w:rPr>
              <w:t>31118</w:t>
            </w:r>
          </w:p>
        </w:tc>
      </w:tr>
      <w:tr w:rsidR="00F0721A" w:rsidRPr="006C288F" w:rsidTr="003F2360">
        <w:trPr>
          <w:trHeight w:val="65"/>
          <w:jc w:val="center"/>
        </w:trPr>
        <w:tc>
          <w:tcPr>
            <w:tcW w:w="3780" w:type="dxa"/>
            <w:gridSpan w:val="4"/>
            <w:vMerge w:val="restart"/>
            <w:tcBorders>
              <w:right w:val="thinThickThinSmallGap" w:sz="24" w:space="0" w:color="auto"/>
            </w:tcBorders>
            <w:shd w:val="clear" w:color="auto" w:fill="FFFFFF"/>
          </w:tcPr>
          <w:p w:rsidR="00F0721A" w:rsidRPr="006C288F" w:rsidRDefault="00F0721A" w:rsidP="003F2360">
            <w:pPr>
              <w:spacing w:line="220" w:lineRule="exact"/>
              <w:contextualSpacing/>
              <w:rPr>
                <w:color w:val="000000"/>
                <w:sz w:val="18"/>
              </w:rPr>
            </w:pPr>
            <w:r w:rsidRPr="006C288F">
              <w:rPr>
                <w:color w:val="000000"/>
                <w:sz w:val="18"/>
              </w:rPr>
              <w:t>↓No Additional MEB/PEB Entries↓</w:t>
            </w:r>
          </w:p>
        </w:tc>
        <w:tc>
          <w:tcPr>
            <w:tcW w:w="3060" w:type="dxa"/>
            <w:tcBorders>
              <w:left w:val="thinThickThinSmallGap" w:sz="24" w:space="0" w:color="auto"/>
            </w:tcBorders>
            <w:shd w:val="clear" w:color="auto" w:fill="FFFFFF"/>
            <w:vAlign w:val="center"/>
          </w:tcPr>
          <w:p w:rsidR="00F0721A" w:rsidRPr="006C288F" w:rsidRDefault="00F0721A" w:rsidP="003F2360">
            <w:pPr>
              <w:spacing w:line="220" w:lineRule="exact"/>
              <w:contextualSpacing/>
              <w:jc w:val="left"/>
              <w:rPr>
                <w:color w:val="000000"/>
                <w:sz w:val="18"/>
              </w:rPr>
            </w:pPr>
            <w:r>
              <w:rPr>
                <w:color w:val="000000"/>
                <w:sz w:val="18"/>
              </w:rPr>
              <w:t>Migraine</w:t>
            </w:r>
            <w:r w:rsidRPr="007C5F26">
              <w:rPr>
                <w:color w:val="000000"/>
                <w:sz w:val="18"/>
              </w:rPr>
              <w:t xml:space="preserve"> Headaches</w:t>
            </w:r>
          </w:p>
        </w:tc>
        <w:tc>
          <w:tcPr>
            <w:tcW w:w="720" w:type="dxa"/>
            <w:shd w:val="clear" w:color="auto" w:fill="FFFFFF"/>
            <w:vAlign w:val="center"/>
          </w:tcPr>
          <w:p w:rsidR="00F0721A" w:rsidRPr="006C288F" w:rsidRDefault="00F0721A" w:rsidP="003F2360">
            <w:pPr>
              <w:spacing w:line="220" w:lineRule="exact"/>
              <w:contextualSpacing/>
              <w:rPr>
                <w:color w:val="000000"/>
                <w:sz w:val="18"/>
              </w:rPr>
            </w:pPr>
            <w:r w:rsidRPr="007C5F26">
              <w:rPr>
                <w:color w:val="000000"/>
                <w:sz w:val="18"/>
              </w:rPr>
              <w:t>8100</w:t>
            </w:r>
          </w:p>
        </w:tc>
        <w:tc>
          <w:tcPr>
            <w:tcW w:w="756" w:type="dxa"/>
            <w:shd w:val="clear" w:color="auto" w:fill="FFFFFF"/>
            <w:vAlign w:val="center"/>
          </w:tcPr>
          <w:p w:rsidR="00F0721A" w:rsidRPr="006C288F" w:rsidRDefault="00F0721A" w:rsidP="003F2360">
            <w:pPr>
              <w:spacing w:line="220" w:lineRule="exact"/>
              <w:contextualSpacing/>
              <w:rPr>
                <w:color w:val="000000"/>
                <w:sz w:val="18"/>
              </w:rPr>
            </w:pPr>
            <w:r w:rsidRPr="007C5F26">
              <w:rPr>
                <w:color w:val="000000"/>
                <w:sz w:val="18"/>
              </w:rPr>
              <w:t>30%</w:t>
            </w:r>
          </w:p>
        </w:tc>
        <w:tc>
          <w:tcPr>
            <w:tcW w:w="1080" w:type="dxa"/>
            <w:shd w:val="clear" w:color="auto" w:fill="FFFFFF"/>
            <w:vAlign w:val="center"/>
          </w:tcPr>
          <w:p w:rsidR="00F0721A" w:rsidRPr="006C288F" w:rsidRDefault="00F0721A" w:rsidP="003F2360">
            <w:pPr>
              <w:spacing w:line="220" w:lineRule="exact"/>
              <w:contextualSpacing/>
              <w:rPr>
                <w:color w:val="000000"/>
                <w:sz w:val="18"/>
              </w:rPr>
            </w:pPr>
            <w:r w:rsidRPr="006C288F">
              <w:rPr>
                <w:color w:val="000000"/>
                <w:sz w:val="18"/>
              </w:rPr>
              <w:t>200</w:t>
            </w:r>
            <w:r>
              <w:rPr>
                <w:color w:val="000000"/>
                <w:sz w:val="18"/>
              </w:rPr>
              <w:t>31118</w:t>
            </w:r>
          </w:p>
        </w:tc>
      </w:tr>
      <w:tr w:rsidR="00F0721A" w:rsidRPr="006C288F" w:rsidTr="003F2360">
        <w:trPr>
          <w:trHeight w:val="65"/>
          <w:jc w:val="center"/>
        </w:trPr>
        <w:tc>
          <w:tcPr>
            <w:tcW w:w="3780" w:type="dxa"/>
            <w:gridSpan w:val="4"/>
            <w:vMerge/>
            <w:tcBorders>
              <w:right w:val="thinThickThinSmallGap" w:sz="24" w:space="0" w:color="auto"/>
            </w:tcBorders>
            <w:shd w:val="clear" w:color="auto" w:fill="FFFFFF"/>
            <w:vAlign w:val="center"/>
          </w:tcPr>
          <w:p w:rsidR="00F0721A" w:rsidRPr="006C288F" w:rsidRDefault="00F0721A" w:rsidP="003F2360">
            <w:pPr>
              <w:spacing w:line="220" w:lineRule="exact"/>
              <w:contextualSpacing/>
              <w:rPr>
                <w:color w:val="000000"/>
                <w:sz w:val="18"/>
              </w:rPr>
            </w:pPr>
          </w:p>
        </w:tc>
        <w:tc>
          <w:tcPr>
            <w:tcW w:w="3060" w:type="dxa"/>
            <w:tcBorders>
              <w:left w:val="thinThickThinSmallGap" w:sz="24" w:space="0" w:color="auto"/>
              <w:right w:val="single" w:sz="4" w:space="0" w:color="auto"/>
            </w:tcBorders>
            <w:shd w:val="clear" w:color="auto" w:fill="FFFFFF"/>
            <w:vAlign w:val="center"/>
          </w:tcPr>
          <w:p w:rsidR="00F0721A" w:rsidRPr="006C288F" w:rsidRDefault="00F0721A" w:rsidP="003F2360">
            <w:pPr>
              <w:spacing w:line="220" w:lineRule="exact"/>
              <w:contextualSpacing/>
              <w:jc w:val="left"/>
              <w:rPr>
                <w:color w:val="000000"/>
                <w:sz w:val="18"/>
              </w:rPr>
            </w:pPr>
            <w:r w:rsidRPr="007C5F26">
              <w:rPr>
                <w:color w:val="000000"/>
                <w:sz w:val="18"/>
              </w:rPr>
              <w:t>Cervical Strain</w:t>
            </w:r>
          </w:p>
        </w:tc>
        <w:tc>
          <w:tcPr>
            <w:tcW w:w="720" w:type="dxa"/>
            <w:tcBorders>
              <w:left w:val="single" w:sz="4" w:space="0" w:color="auto"/>
              <w:right w:val="single" w:sz="4" w:space="0" w:color="auto"/>
            </w:tcBorders>
            <w:shd w:val="clear" w:color="auto" w:fill="FFFFFF"/>
            <w:vAlign w:val="center"/>
          </w:tcPr>
          <w:p w:rsidR="00F0721A" w:rsidRPr="006C288F" w:rsidRDefault="00F0721A" w:rsidP="003F2360">
            <w:pPr>
              <w:spacing w:line="220" w:lineRule="exact"/>
              <w:contextualSpacing/>
              <w:rPr>
                <w:color w:val="000000"/>
                <w:sz w:val="18"/>
              </w:rPr>
            </w:pPr>
            <w:r w:rsidRPr="007C5F26">
              <w:rPr>
                <w:color w:val="000000"/>
                <w:sz w:val="18"/>
              </w:rPr>
              <w:t>5237</w:t>
            </w:r>
          </w:p>
        </w:tc>
        <w:tc>
          <w:tcPr>
            <w:tcW w:w="756" w:type="dxa"/>
            <w:tcBorders>
              <w:left w:val="single" w:sz="4" w:space="0" w:color="auto"/>
            </w:tcBorders>
            <w:shd w:val="clear" w:color="auto" w:fill="FFFFFF"/>
            <w:vAlign w:val="center"/>
          </w:tcPr>
          <w:p w:rsidR="00F0721A" w:rsidRPr="006C288F" w:rsidRDefault="00F0721A" w:rsidP="003F2360">
            <w:pPr>
              <w:spacing w:line="220" w:lineRule="exact"/>
              <w:contextualSpacing/>
              <w:rPr>
                <w:color w:val="000000"/>
                <w:sz w:val="18"/>
              </w:rPr>
            </w:pPr>
            <w:r w:rsidRPr="007C5F26">
              <w:rPr>
                <w:color w:val="000000"/>
                <w:sz w:val="18"/>
              </w:rPr>
              <w:t>20%</w:t>
            </w:r>
          </w:p>
        </w:tc>
        <w:tc>
          <w:tcPr>
            <w:tcW w:w="1080" w:type="dxa"/>
            <w:shd w:val="clear" w:color="auto" w:fill="FFFFFF"/>
            <w:vAlign w:val="center"/>
          </w:tcPr>
          <w:p w:rsidR="00F0721A" w:rsidRPr="006C288F" w:rsidRDefault="00F0721A" w:rsidP="003F2360">
            <w:pPr>
              <w:spacing w:line="220" w:lineRule="exact"/>
              <w:contextualSpacing/>
              <w:rPr>
                <w:color w:val="000000"/>
                <w:sz w:val="18"/>
                <w:highlight w:val="yellow"/>
              </w:rPr>
            </w:pPr>
            <w:r w:rsidRPr="006C288F">
              <w:rPr>
                <w:color w:val="000000"/>
                <w:sz w:val="18"/>
              </w:rPr>
              <w:t>200</w:t>
            </w:r>
            <w:r>
              <w:rPr>
                <w:color w:val="000000"/>
                <w:sz w:val="18"/>
              </w:rPr>
              <w:t>31118</w:t>
            </w:r>
          </w:p>
        </w:tc>
      </w:tr>
      <w:tr w:rsidR="00F0721A" w:rsidRPr="006C288F" w:rsidTr="003F2360">
        <w:trPr>
          <w:trHeight w:val="188"/>
          <w:jc w:val="center"/>
        </w:trPr>
        <w:tc>
          <w:tcPr>
            <w:tcW w:w="3780" w:type="dxa"/>
            <w:gridSpan w:val="4"/>
            <w:vMerge/>
            <w:tcBorders>
              <w:right w:val="thinThickThinSmallGap" w:sz="24" w:space="0" w:color="auto"/>
            </w:tcBorders>
            <w:shd w:val="clear" w:color="auto" w:fill="FFFFFF"/>
            <w:vAlign w:val="center"/>
          </w:tcPr>
          <w:p w:rsidR="00F0721A" w:rsidRPr="006C288F" w:rsidRDefault="00F0721A" w:rsidP="003F2360">
            <w:pPr>
              <w:spacing w:line="220" w:lineRule="exact"/>
              <w:contextualSpacing/>
              <w:rPr>
                <w:color w:val="000000"/>
                <w:sz w:val="18"/>
              </w:rPr>
            </w:pPr>
          </w:p>
        </w:tc>
        <w:tc>
          <w:tcPr>
            <w:tcW w:w="3060" w:type="dxa"/>
            <w:tcBorders>
              <w:left w:val="thinThickThinSmallGap" w:sz="24" w:space="0" w:color="auto"/>
              <w:right w:val="single" w:sz="4" w:space="0" w:color="auto"/>
            </w:tcBorders>
            <w:shd w:val="clear" w:color="auto" w:fill="FFFFFF"/>
            <w:vAlign w:val="center"/>
          </w:tcPr>
          <w:p w:rsidR="00F0721A" w:rsidRPr="006C288F" w:rsidRDefault="00F0721A" w:rsidP="003F2360">
            <w:pPr>
              <w:spacing w:line="220" w:lineRule="exact"/>
              <w:contextualSpacing/>
              <w:jc w:val="left"/>
              <w:rPr>
                <w:color w:val="000000"/>
                <w:sz w:val="18"/>
              </w:rPr>
            </w:pPr>
            <w:r w:rsidRPr="007C5F26">
              <w:rPr>
                <w:color w:val="000000"/>
                <w:sz w:val="18"/>
              </w:rPr>
              <w:t xml:space="preserve">Scar, </w:t>
            </w:r>
            <w:r w:rsidR="003F2360">
              <w:rPr>
                <w:color w:val="000000"/>
                <w:sz w:val="18"/>
              </w:rPr>
              <w:t xml:space="preserve">S/P </w:t>
            </w:r>
            <w:r w:rsidRPr="007C5F26">
              <w:rPr>
                <w:color w:val="000000"/>
                <w:sz w:val="18"/>
              </w:rPr>
              <w:t>C</w:t>
            </w:r>
            <w:r w:rsidR="003F2360">
              <w:rPr>
                <w:color w:val="000000"/>
                <w:sz w:val="18"/>
              </w:rPr>
              <w:t>-</w:t>
            </w:r>
            <w:r w:rsidRPr="007C5F26">
              <w:rPr>
                <w:color w:val="000000"/>
                <w:sz w:val="18"/>
              </w:rPr>
              <w:t>Section</w:t>
            </w:r>
          </w:p>
        </w:tc>
        <w:tc>
          <w:tcPr>
            <w:tcW w:w="720" w:type="dxa"/>
            <w:tcBorders>
              <w:left w:val="single" w:sz="4" w:space="0" w:color="auto"/>
              <w:right w:val="single" w:sz="4" w:space="0" w:color="auto"/>
            </w:tcBorders>
            <w:shd w:val="clear" w:color="auto" w:fill="FFFFFF"/>
            <w:vAlign w:val="center"/>
          </w:tcPr>
          <w:p w:rsidR="00F0721A" w:rsidRPr="006C288F" w:rsidRDefault="00F0721A" w:rsidP="003F2360">
            <w:pPr>
              <w:spacing w:line="220" w:lineRule="exact"/>
              <w:contextualSpacing/>
              <w:rPr>
                <w:color w:val="000000"/>
                <w:sz w:val="18"/>
              </w:rPr>
            </w:pPr>
            <w:r w:rsidRPr="007C5F26">
              <w:rPr>
                <w:color w:val="000000"/>
                <w:sz w:val="18"/>
              </w:rPr>
              <w:t>7804</w:t>
            </w:r>
          </w:p>
        </w:tc>
        <w:tc>
          <w:tcPr>
            <w:tcW w:w="756" w:type="dxa"/>
            <w:tcBorders>
              <w:left w:val="single" w:sz="4" w:space="0" w:color="auto"/>
            </w:tcBorders>
            <w:shd w:val="clear" w:color="auto" w:fill="FFFFFF"/>
            <w:vAlign w:val="center"/>
          </w:tcPr>
          <w:p w:rsidR="00F0721A" w:rsidRPr="006C288F" w:rsidRDefault="00F0721A" w:rsidP="003F2360">
            <w:pPr>
              <w:spacing w:line="220" w:lineRule="exact"/>
              <w:contextualSpacing/>
              <w:rPr>
                <w:color w:val="000000"/>
                <w:sz w:val="18"/>
              </w:rPr>
            </w:pPr>
            <w:r w:rsidRPr="007C5F26">
              <w:rPr>
                <w:color w:val="000000"/>
                <w:sz w:val="18"/>
              </w:rPr>
              <w:t>10%</w:t>
            </w:r>
          </w:p>
        </w:tc>
        <w:tc>
          <w:tcPr>
            <w:tcW w:w="1080" w:type="dxa"/>
            <w:shd w:val="clear" w:color="auto" w:fill="FFFFFF"/>
            <w:vAlign w:val="center"/>
          </w:tcPr>
          <w:p w:rsidR="00F0721A" w:rsidRPr="006C288F" w:rsidRDefault="00F0721A" w:rsidP="003F2360">
            <w:pPr>
              <w:spacing w:line="220" w:lineRule="exact"/>
              <w:contextualSpacing/>
              <w:rPr>
                <w:color w:val="000000"/>
                <w:sz w:val="18"/>
                <w:highlight w:val="yellow"/>
              </w:rPr>
            </w:pPr>
            <w:r w:rsidRPr="006C288F">
              <w:rPr>
                <w:color w:val="000000"/>
                <w:sz w:val="18"/>
              </w:rPr>
              <w:t>200</w:t>
            </w:r>
            <w:r>
              <w:rPr>
                <w:color w:val="000000"/>
                <w:sz w:val="18"/>
              </w:rPr>
              <w:t>31118</w:t>
            </w:r>
          </w:p>
        </w:tc>
      </w:tr>
      <w:tr w:rsidR="00F0721A" w:rsidRPr="006C288F" w:rsidTr="003F2360">
        <w:trPr>
          <w:trHeight w:val="65"/>
          <w:jc w:val="center"/>
        </w:trPr>
        <w:tc>
          <w:tcPr>
            <w:tcW w:w="3780" w:type="dxa"/>
            <w:gridSpan w:val="4"/>
            <w:vMerge/>
            <w:tcBorders>
              <w:right w:val="thinThickThinSmallGap" w:sz="24" w:space="0" w:color="auto"/>
            </w:tcBorders>
            <w:shd w:val="clear" w:color="auto" w:fill="FFFFFF"/>
            <w:vAlign w:val="center"/>
          </w:tcPr>
          <w:p w:rsidR="00F0721A" w:rsidRPr="006C288F" w:rsidRDefault="00F0721A" w:rsidP="003F2360">
            <w:pPr>
              <w:spacing w:line="220" w:lineRule="exact"/>
              <w:contextualSpacing/>
              <w:rPr>
                <w:color w:val="000000"/>
                <w:sz w:val="18"/>
              </w:rPr>
            </w:pPr>
          </w:p>
        </w:tc>
        <w:tc>
          <w:tcPr>
            <w:tcW w:w="3060" w:type="dxa"/>
            <w:tcBorders>
              <w:left w:val="thinThickThinSmallGap" w:sz="24" w:space="0" w:color="auto"/>
              <w:right w:val="single" w:sz="4" w:space="0" w:color="auto"/>
            </w:tcBorders>
            <w:shd w:val="clear" w:color="auto" w:fill="FFFFFF"/>
            <w:vAlign w:val="center"/>
          </w:tcPr>
          <w:p w:rsidR="00F0721A" w:rsidRPr="006C288F" w:rsidRDefault="00F0721A" w:rsidP="003F2360">
            <w:pPr>
              <w:spacing w:line="220" w:lineRule="exact"/>
              <w:contextualSpacing/>
              <w:jc w:val="left"/>
              <w:rPr>
                <w:color w:val="000000"/>
                <w:sz w:val="18"/>
              </w:rPr>
            </w:pPr>
            <w:r w:rsidRPr="007C5F26">
              <w:rPr>
                <w:color w:val="000000"/>
                <w:sz w:val="18"/>
              </w:rPr>
              <w:t>Sciatica</w:t>
            </w:r>
          </w:p>
        </w:tc>
        <w:tc>
          <w:tcPr>
            <w:tcW w:w="720" w:type="dxa"/>
            <w:tcBorders>
              <w:left w:val="single" w:sz="4" w:space="0" w:color="auto"/>
              <w:right w:val="single" w:sz="4" w:space="0" w:color="auto"/>
            </w:tcBorders>
            <w:shd w:val="clear" w:color="auto" w:fill="FFFFFF"/>
            <w:vAlign w:val="center"/>
          </w:tcPr>
          <w:p w:rsidR="00F0721A" w:rsidRPr="006C288F" w:rsidRDefault="00F0721A" w:rsidP="003F2360">
            <w:pPr>
              <w:spacing w:line="220" w:lineRule="exact"/>
              <w:contextualSpacing/>
              <w:rPr>
                <w:color w:val="000000"/>
                <w:sz w:val="18"/>
              </w:rPr>
            </w:pPr>
            <w:r w:rsidRPr="007C5F26">
              <w:rPr>
                <w:color w:val="000000"/>
                <w:sz w:val="18"/>
              </w:rPr>
              <w:t>8520</w:t>
            </w:r>
          </w:p>
        </w:tc>
        <w:tc>
          <w:tcPr>
            <w:tcW w:w="756" w:type="dxa"/>
            <w:tcBorders>
              <w:left w:val="single" w:sz="4" w:space="0" w:color="auto"/>
            </w:tcBorders>
            <w:shd w:val="clear" w:color="auto" w:fill="FFFFFF"/>
            <w:vAlign w:val="center"/>
          </w:tcPr>
          <w:p w:rsidR="00F0721A" w:rsidRPr="006C288F" w:rsidRDefault="00F0721A" w:rsidP="003F2360">
            <w:pPr>
              <w:spacing w:line="220" w:lineRule="exact"/>
              <w:contextualSpacing/>
              <w:rPr>
                <w:color w:val="000000"/>
                <w:sz w:val="18"/>
              </w:rPr>
            </w:pPr>
            <w:r w:rsidRPr="007C5F26">
              <w:rPr>
                <w:color w:val="000000"/>
                <w:sz w:val="18"/>
              </w:rPr>
              <w:t>10%</w:t>
            </w:r>
          </w:p>
        </w:tc>
        <w:tc>
          <w:tcPr>
            <w:tcW w:w="1080" w:type="dxa"/>
            <w:shd w:val="clear" w:color="auto" w:fill="FFFFFF"/>
            <w:vAlign w:val="center"/>
          </w:tcPr>
          <w:p w:rsidR="00F0721A" w:rsidRPr="006C288F" w:rsidRDefault="00F0721A" w:rsidP="003F2360">
            <w:pPr>
              <w:spacing w:line="220" w:lineRule="exact"/>
              <w:contextualSpacing/>
              <w:rPr>
                <w:color w:val="000000"/>
                <w:sz w:val="18"/>
                <w:highlight w:val="yellow"/>
              </w:rPr>
            </w:pPr>
            <w:r w:rsidRPr="006C288F">
              <w:rPr>
                <w:color w:val="000000"/>
                <w:sz w:val="18"/>
              </w:rPr>
              <w:t>200</w:t>
            </w:r>
            <w:r>
              <w:rPr>
                <w:color w:val="000000"/>
                <w:sz w:val="18"/>
              </w:rPr>
              <w:t>31118</w:t>
            </w:r>
          </w:p>
        </w:tc>
      </w:tr>
      <w:tr w:rsidR="00F0721A" w:rsidRPr="006C288F" w:rsidTr="003F2360">
        <w:trPr>
          <w:trHeight w:val="188"/>
          <w:jc w:val="center"/>
        </w:trPr>
        <w:tc>
          <w:tcPr>
            <w:tcW w:w="3780" w:type="dxa"/>
            <w:gridSpan w:val="4"/>
            <w:vMerge/>
            <w:tcBorders>
              <w:right w:val="thinThickThinSmallGap" w:sz="24" w:space="0" w:color="auto"/>
            </w:tcBorders>
            <w:shd w:val="clear" w:color="auto" w:fill="FFFFFF"/>
            <w:vAlign w:val="center"/>
          </w:tcPr>
          <w:p w:rsidR="00F0721A" w:rsidRPr="006C288F" w:rsidRDefault="00F0721A" w:rsidP="003F2360">
            <w:pPr>
              <w:spacing w:line="220" w:lineRule="exact"/>
              <w:contextualSpacing/>
              <w:rPr>
                <w:color w:val="000000"/>
                <w:sz w:val="18"/>
              </w:rPr>
            </w:pPr>
          </w:p>
        </w:tc>
        <w:tc>
          <w:tcPr>
            <w:tcW w:w="4536" w:type="dxa"/>
            <w:gridSpan w:val="3"/>
            <w:tcBorders>
              <w:left w:val="thinThickThinSmallGap" w:sz="24" w:space="0" w:color="auto"/>
            </w:tcBorders>
            <w:shd w:val="clear" w:color="auto" w:fill="FFFFFF"/>
            <w:vAlign w:val="center"/>
          </w:tcPr>
          <w:p w:rsidR="00F0721A" w:rsidRPr="006C288F" w:rsidRDefault="00F0721A" w:rsidP="003F2360">
            <w:pPr>
              <w:spacing w:line="220" w:lineRule="exact"/>
              <w:contextualSpacing/>
              <w:rPr>
                <w:color w:val="000000"/>
                <w:sz w:val="18"/>
              </w:rPr>
            </w:pPr>
            <w:r>
              <w:rPr>
                <w:color w:val="000000"/>
                <w:sz w:val="18"/>
              </w:rPr>
              <w:t>0% x 2</w:t>
            </w:r>
            <w:r w:rsidR="003F2360">
              <w:rPr>
                <w:color w:val="000000"/>
                <w:sz w:val="18"/>
              </w:rPr>
              <w:t xml:space="preserve"> </w:t>
            </w:r>
            <w:r w:rsidRPr="006C288F">
              <w:rPr>
                <w:color w:val="000000"/>
                <w:sz w:val="18"/>
              </w:rPr>
              <w:t>/</w:t>
            </w:r>
            <w:r w:rsidR="003F2360">
              <w:rPr>
                <w:color w:val="000000"/>
                <w:sz w:val="18"/>
              </w:rPr>
              <w:t xml:space="preserve"> </w:t>
            </w:r>
            <w:r w:rsidRPr="006C288F">
              <w:rPr>
                <w:color w:val="000000"/>
                <w:sz w:val="18"/>
              </w:rPr>
              <w:t xml:space="preserve">Not Service Connected x </w:t>
            </w:r>
            <w:r>
              <w:rPr>
                <w:color w:val="000000"/>
                <w:sz w:val="18"/>
              </w:rPr>
              <w:t>8</w:t>
            </w:r>
          </w:p>
        </w:tc>
        <w:tc>
          <w:tcPr>
            <w:tcW w:w="1080" w:type="dxa"/>
            <w:shd w:val="clear" w:color="auto" w:fill="FFFFFF"/>
            <w:vAlign w:val="center"/>
          </w:tcPr>
          <w:p w:rsidR="00F0721A" w:rsidRPr="006C288F" w:rsidRDefault="00F0721A" w:rsidP="003F2360">
            <w:pPr>
              <w:spacing w:line="220" w:lineRule="exact"/>
              <w:contextualSpacing/>
              <w:rPr>
                <w:color w:val="000000"/>
                <w:sz w:val="18"/>
              </w:rPr>
            </w:pPr>
            <w:r w:rsidRPr="006C288F">
              <w:rPr>
                <w:color w:val="000000"/>
                <w:sz w:val="18"/>
              </w:rPr>
              <w:t>200</w:t>
            </w:r>
            <w:r>
              <w:rPr>
                <w:color w:val="000000"/>
                <w:sz w:val="18"/>
              </w:rPr>
              <w:t>31118</w:t>
            </w:r>
          </w:p>
        </w:tc>
      </w:tr>
      <w:tr w:rsidR="00F0721A" w:rsidRPr="006C288F" w:rsidTr="003F2360">
        <w:trPr>
          <w:trHeight w:val="242"/>
          <w:jc w:val="center"/>
        </w:trPr>
        <w:tc>
          <w:tcPr>
            <w:tcW w:w="3780" w:type="dxa"/>
            <w:gridSpan w:val="4"/>
            <w:tcBorders>
              <w:right w:val="thinThickThinSmallGap" w:sz="24" w:space="0" w:color="auto"/>
            </w:tcBorders>
            <w:shd w:val="clear" w:color="auto" w:fill="D9D9D9"/>
          </w:tcPr>
          <w:p w:rsidR="00F0721A" w:rsidRPr="003F2360" w:rsidRDefault="00F0721A" w:rsidP="003A3330">
            <w:pPr>
              <w:contextualSpacing/>
              <w:rPr>
                <w:b/>
                <w:color w:val="000000"/>
                <w:sz w:val="18"/>
              </w:rPr>
            </w:pPr>
            <w:r w:rsidRPr="003F2360">
              <w:rPr>
                <w:b/>
                <w:color w:val="000000"/>
                <w:sz w:val="18"/>
              </w:rPr>
              <w:t>Combined: 0%</w:t>
            </w:r>
          </w:p>
        </w:tc>
        <w:tc>
          <w:tcPr>
            <w:tcW w:w="5616" w:type="dxa"/>
            <w:gridSpan w:val="4"/>
            <w:tcBorders>
              <w:left w:val="thinThickThinSmallGap" w:sz="24" w:space="0" w:color="auto"/>
            </w:tcBorders>
            <w:shd w:val="clear" w:color="auto" w:fill="D9D9D9"/>
          </w:tcPr>
          <w:p w:rsidR="00F0721A" w:rsidRPr="003F2360" w:rsidRDefault="00F0721A" w:rsidP="003F2360">
            <w:pPr>
              <w:contextualSpacing/>
              <w:rPr>
                <w:b/>
                <w:color w:val="000000"/>
                <w:sz w:val="18"/>
              </w:rPr>
            </w:pPr>
            <w:r w:rsidRPr="003F2360">
              <w:rPr>
                <w:b/>
                <w:color w:val="000000"/>
                <w:sz w:val="18"/>
              </w:rPr>
              <w:t>Combined: 60%</w:t>
            </w:r>
          </w:p>
        </w:tc>
      </w:tr>
    </w:tbl>
    <w:p w:rsidR="00F0721A" w:rsidRPr="001F29F9" w:rsidRDefault="00F0721A" w:rsidP="00A97CD9">
      <w:pPr>
        <w:pBdr>
          <w:bottom w:val="single" w:sz="12" w:space="1" w:color="auto"/>
        </w:pBdr>
        <w:tabs>
          <w:tab w:val="left" w:pos="288"/>
          <w:tab w:val="left" w:pos="4752"/>
        </w:tabs>
        <w:jc w:val="both"/>
        <w:rPr>
          <w:color w:val="000000"/>
        </w:rPr>
      </w:pPr>
    </w:p>
    <w:p w:rsidR="00430016" w:rsidRPr="00430016" w:rsidRDefault="00F0721A" w:rsidP="00430016">
      <w:pPr>
        <w:jc w:val="both"/>
        <w:rPr>
          <w:color w:val="000000"/>
        </w:rPr>
      </w:pPr>
      <w:r w:rsidRPr="001F29F9">
        <w:rPr>
          <w:color w:val="000000"/>
          <w:u w:val="single"/>
        </w:rPr>
        <w:t>ANALYSIS SUMMARY</w:t>
      </w:r>
      <w:r w:rsidRPr="001F29F9">
        <w:rPr>
          <w:color w:val="000000"/>
        </w:rPr>
        <w:t>:</w:t>
      </w:r>
      <w:r>
        <w:rPr>
          <w:color w:val="000000"/>
        </w:rPr>
        <w:t xml:space="preserve">  </w:t>
      </w:r>
      <w:r w:rsidR="00430016" w:rsidRPr="00430016">
        <w:rPr>
          <w:color w:val="000000"/>
        </w:rPr>
        <w:t>The Board acknowledges the sentiment expressed in the CI’s applicat</w:t>
      </w:r>
      <w:r w:rsidR="00430016">
        <w:rPr>
          <w:color w:val="000000"/>
        </w:rPr>
        <w:t>ion regarding the persistent severity of her</w:t>
      </w:r>
      <w:r w:rsidR="00430016" w:rsidRPr="00430016">
        <w:rPr>
          <w:color w:val="000000"/>
        </w:rPr>
        <w:t xml:space="preserve"> service-connected </w:t>
      </w:r>
      <w:r w:rsidR="00430016">
        <w:rPr>
          <w:color w:val="000000"/>
        </w:rPr>
        <w:t>asthma condition</w:t>
      </w:r>
      <w:r w:rsidR="00430016" w:rsidRPr="00430016">
        <w:rPr>
          <w:color w:val="000000"/>
        </w:rPr>
        <w:t>.  It is a fact, however, that the DES has neither the role nor the authority to compensate service members for anticipated future severity or potential complications of conditions resulting in medical separation.  This role and authority is granted by Congress to the Department of Veteran</w:t>
      </w:r>
      <w:r w:rsidR="00716798">
        <w:rPr>
          <w:color w:val="000000"/>
        </w:rPr>
        <w:t>s’</w:t>
      </w:r>
      <w:r w:rsidR="00430016" w:rsidRPr="00430016">
        <w:rPr>
          <w:color w:val="000000"/>
        </w:rPr>
        <w:t xml:space="preserve"> Affairs (DVA).  The DVA, operating under a different set of laws (Title 38, United States Code), is </w:t>
      </w:r>
      <w:r w:rsidR="00716798">
        <w:rPr>
          <w:color w:val="000000"/>
        </w:rPr>
        <w:t>empowered to compensate service-</w:t>
      </w:r>
      <w:r w:rsidR="00430016" w:rsidRPr="00430016">
        <w:rPr>
          <w:color w:val="000000"/>
        </w:rPr>
        <w:t xml:space="preserve">connected conditions and to periodically re-evaluate said conditions for the purpose of adjusting the </w:t>
      </w:r>
      <w:r w:rsidR="00716798">
        <w:rPr>
          <w:color w:val="000000"/>
        </w:rPr>
        <w:t>V</w:t>
      </w:r>
      <w:r w:rsidR="00430016" w:rsidRPr="00430016">
        <w:rPr>
          <w:color w:val="000000"/>
        </w:rPr>
        <w:t xml:space="preserve">eteran’s disability rating should </w:t>
      </w:r>
      <w:r w:rsidR="00716798">
        <w:rPr>
          <w:color w:val="000000"/>
        </w:rPr>
        <w:t>the</w:t>
      </w:r>
      <w:r w:rsidR="00430016" w:rsidRPr="00430016">
        <w:rPr>
          <w:color w:val="000000"/>
        </w:rPr>
        <w:t xml:space="preserve"> degree of impairment vary over time.  The Board further acknowledges </w:t>
      </w:r>
      <w:r w:rsidR="000536F2">
        <w:rPr>
          <w:color w:val="000000"/>
        </w:rPr>
        <w:t>the</w:t>
      </w:r>
      <w:r w:rsidR="00430016" w:rsidRPr="00430016">
        <w:rPr>
          <w:color w:val="000000"/>
        </w:rPr>
        <w:t xml:space="preserve"> </w:t>
      </w:r>
      <w:r w:rsidR="00430016">
        <w:rPr>
          <w:color w:val="000000"/>
        </w:rPr>
        <w:t xml:space="preserve">perception </w:t>
      </w:r>
      <w:r w:rsidR="000536F2">
        <w:rPr>
          <w:color w:val="000000"/>
        </w:rPr>
        <w:t xml:space="preserve">expressed </w:t>
      </w:r>
      <w:r w:rsidR="00430016">
        <w:rPr>
          <w:color w:val="000000"/>
        </w:rPr>
        <w:t>by the CI</w:t>
      </w:r>
      <w:r w:rsidR="00430016" w:rsidRPr="00430016">
        <w:rPr>
          <w:color w:val="000000"/>
        </w:rPr>
        <w:t xml:space="preserve"> </w:t>
      </w:r>
      <w:r w:rsidR="00430016">
        <w:rPr>
          <w:color w:val="000000"/>
        </w:rPr>
        <w:t>that her asthm</w:t>
      </w:r>
      <w:r w:rsidR="00716798">
        <w:rPr>
          <w:color w:val="000000"/>
        </w:rPr>
        <w:t>a was not fully treated by the s</w:t>
      </w:r>
      <w:r w:rsidR="00430016">
        <w:rPr>
          <w:color w:val="000000"/>
        </w:rPr>
        <w:t xml:space="preserve">ervice; </w:t>
      </w:r>
      <w:r w:rsidR="00430016" w:rsidRPr="00430016">
        <w:rPr>
          <w:color w:val="000000"/>
        </w:rPr>
        <w:t xml:space="preserve">but, must note for the record that it has neither the jurisdiction nor authority to scrutinize or render opinions in reference to such allegations.  The Board’s role is confined to the review of medical records and </w:t>
      </w:r>
      <w:r w:rsidR="000536F2">
        <w:rPr>
          <w:color w:val="000000"/>
        </w:rPr>
        <w:t>other</w:t>
      </w:r>
      <w:r w:rsidR="00430016" w:rsidRPr="00430016">
        <w:rPr>
          <w:color w:val="000000"/>
        </w:rPr>
        <w:t xml:space="preserve"> evidence to assess the fairness of </w:t>
      </w:r>
      <w:r w:rsidR="00716798">
        <w:rPr>
          <w:color w:val="000000"/>
        </w:rPr>
        <w:t>s</w:t>
      </w:r>
      <w:r w:rsidR="00430016" w:rsidRPr="00430016">
        <w:rPr>
          <w:color w:val="000000"/>
        </w:rPr>
        <w:t>ervice rating</w:t>
      </w:r>
      <w:r w:rsidR="00593F32">
        <w:rPr>
          <w:color w:val="000000"/>
        </w:rPr>
        <w:t>s compared to VASRD standards</w:t>
      </w:r>
      <w:r w:rsidR="00430016" w:rsidRPr="00430016">
        <w:rPr>
          <w:color w:val="000000"/>
        </w:rPr>
        <w:t xml:space="preserve"> at </w:t>
      </w:r>
      <w:r w:rsidR="00593F32">
        <w:rPr>
          <w:color w:val="000000"/>
        </w:rPr>
        <w:t>the time of</w:t>
      </w:r>
      <w:r w:rsidR="00593F32" w:rsidRPr="00430016">
        <w:rPr>
          <w:color w:val="000000"/>
        </w:rPr>
        <w:t xml:space="preserve"> separation</w:t>
      </w:r>
      <w:r w:rsidR="00430016" w:rsidRPr="00430016">
        <w:rPr>
          <w:color w:val="000000"/>
        </w:rPr>
        <w:t xml:space="preserve">, </w:t>
      </w:r>
      <w:r w:rsidR="00593F32">
        <w:rPr>
          <w:color w:val="000000"/>
        </w:rPr>
        <w:t xml:space="preserve">and the fairness of </w:t>
      </w:r>
      <w:r w:rsidR="00716798">
        <w:rPr>
          <w:color w:val="000000"/>
        </w:rPr>
        <w:t>s</w:t>
      </w:r>
      <w:r w:rsidR="00593F32">
        <w:rPr>
          <w:color w:val="000000"/>
        </w:rPr>
        <w:t>ervice fitness determinations.</w:t>
      </w:r>
    </w:p>
    <w:p w:rsidR="00F0721A" w:rsidRPr="001F29F9" w:rsidRDefault="00F0721A" w:rsidP="00430016">
      <w:pPr>
        <w:jc w:val="both"/>
        <w:rPr>
          <w:color w:val="000000"/>
        </w:rPr>
      </w:pPr>
    </w:p>
    <w:p w:rsidR="00BF0245" w:rsidRPr="00BF0245" w:rsidRDefault="00F0721A" w:rsidP="00BF0245">
      <w:pPr>
        <w:spacing w:after="120"/>
        <w:jc w:val="both"/>
        <w:rPr>
          <w:color w:val="000000"/>
        </w:rPr>
      </w:pPr>
      <w:proofErr w:type="gramStart"/>
      <w:r w:rsidRPr="00FF5304">
        <w:rPr>
          <w:color w:val="000000"/>
          <w:u w:val="single"/>
        </w:rPr>
        <w:t>Asthma Condition</w:t>
      </w:r>
      <w:r w:rsidRPr="00FF5304">
        <w:rPr>
          <w:color w:val="000000"/>
        </w:rPr>
        <w:t>.</w:t>
      </w:r>
      <w:proofErr w:type="gramEnd"/>
      <w:r w:rsidR="007A4B2C">
        <w:rPr>
          <w:color w:val="000000"/>
        </w:rPr>
        <w:t xml:space="preserve"> </w:t>
      </w:r>
      <w:r w:rsidRPr="00FF5304">
        <w:rPr>
          <w:color w:val="000000"/>
        </w:rPr>
        <w:t xml:space="preserve"> </w:t>
      </w:r>
      <w:r w:rsidR="00FC42FE" w:rsidRPr="00FF5304">
        <w:rPr>
          <w:color w:val="000000"/>
        </w:rPr>
        <w:t>The CI was diagnosed with asthma in 1999</w:t>
      </w:r>
      <w:r w:rsidR="00FC42FE">
        <w:rPr>
          <w:color w:val="000000"/>
        </w:rPr>
        <w:t xml:space="preserve"> </w:t>
      </w:r>
      <w:r w:rsidR="00385C87">
        <w:rPr>
          <w:color w:val="000000"/>
        </w:rPr>
        <w:t>via</w:t>
      </w:r>
      <w:r w:rsidR="00FC42FE">
        <w:rPr>
          <w:color w:val="000000"/>
        </w:rPr>
        <w:t xml:space="preserve"> a</w:t>
      </w:r>
      <w:r w:rsidR="00385C87">
        <w:rPr>
          <w:color w:val="000000"/>
        </w:rPr>
        <w:t xml:space="preserve"> significant response to</w:t>
      </w:r>
      <w:r w:rsidR="00FC42FE">
        <w:rPr>
          <w:color w:val="000000"/>
        </w:rPr>
        <w:t xml:space="preserve"> </w:t>
      </w:r>
      <w:proofErr w:type="spellStart"/>
      <w:r w:rsidR="00FC42FE">
        <w:rPr>
          <w:color w:val="000000"/>
        </w:rPr>
        <w:t>methacholine</w:t>
      </w:r>
      <w:proofErr w:type="spellEnd"/>
      <w:r w:rsidR="00FC42FE">
        <w:rPr>
          <w:color w:val="000000"/>
        </w:rPr>
        <w:t xml:space="preserve"> challenge</w:t>
      </w:r>
      <w:r w:rsidR="00385C87">
        <w:rPr>
          <w:color w:val="000000"/>
        </w:rPr>
        <w:t xml:space="preserve"> </w:t>
      </w:r>
      <w:r w:rsidR="002C2E9B">
        <w:rPr>
          <w:color w:val="000000"/>
        </w:rPr>
        <w:t>(</w:t>
      </w:r>
      <w:r w:rsidR="00FC42FE">
        <w:rPr>
          <w:color w:val="000000"/>
        </w:rPr>
        <w:t>completely reversed with bronchodilator</w:t>
      </w:r>
      <w:r w:rsidR="002C2E9B">
        <w:rPr>
          <w:color w:val="000000"/>
        </w:rPr>
        <w:t>)</w:t>
      </w:r>
      <w:r w:rsidR="00FC42FE">
        <w:rPr>
          <w:color w:val="000000"/>
        </w:rPr>
        <w:t xml:space="preserve">.  </w:t>
      </w:r>
      <w:r w:rsidR="00385C87">
        <w:rPr>
          <w:color w:val="000000"/>
        </w:rPr>
        <w:t xml:space="preserve">She was prescribed an </w:t>
      </w:r>
      <w:proofErr w:type="spellStart"/>
      <w:r w:rsidR="00C07E4B">
        <w:rPr>
          <w:color w:val="000000"/>
        </w:rPr>
        <w:t>A</w:t>
      </w:r>
      <w:r w:rsidR="00FC42FE" w:rsidRPr="00FF5304">
        <w:rPr>
          <w:color w:val="000000"/>
        </w:rPr>
        <w:t>lbuterol</w:t>
      </w:r>
      <w:proofErr w:type="spellEnd"/>
      <w:r w:rsidR="00FC42FE" w:rsidRPr="00FF5304">
        <w:rPr>
          <w:color w:val="000000"/>
        </w:rPr>
        <w:t xml:space="preserve"> </w:t>
      </w:r>
      <w:r w:rsidR="00385C87">
        <w:rPr>
          <w:color w:val="000000"/>
        </w:rPr>
        <w:t xml:space="preserve">(bronchodilator) rescue inhaler, </w:t>
      </w:r>
      <w:r w:rsidR="00FC42FE" w:rsidRPr="00FF5304">
        <w:rPr>
          <w:color w:val="000000"/>
        </w:rPr>
        <w:t xml:space="preserve">and </w:t>
      </w:r>
      <w:r w:rsidR="002C2E9B">
        <w:rPr>
          <w:color w:val="000000"/>
        </w:rPr>
        <w:t xml:space="preserve">inhalational </w:t>
      </w:r>
      <w:proofErr w:type="spellStart"/>
      <w:r w:rsidR="002C2E9B">
        <w:rPr>
          <w:color w:val="000000"/>
        </w:rPr>
        <w:t>triamcinolone</w:t>
      </w:r>
      <w:proofErr w:type="spellEnd"/>
      <w:r w:rsidR="002C2E9B">
        <w:rPr>
          <w:color w:val="000000"/>
        </w:rPr>
        <w:t xml:space="preserve"> (steroid anti-inflammatory).  Adequate control was not obtained, and in 2003 she was switched to </w:t>
      </w:r>
      <w:proofErr w:type="spellStart"/>
      <w:r w:rsidR="002C2E9B" w:rsidRPr="00FF5304">
        <w:rPr>
          <w:color w:val="000000"/>
        </w:rPr>
        <w:t>Advair</w:t>
      </w:r>
      <w:proofErr w:type="spellEnd"/>
      <w:r w:rsidR="002C2E9B" w:rsidRPr="00FF5304">
        <w:rPr>
          <w:color w:val="000000"/>
        </w:rPr>
        <w:t xml:space="preserve"> </w:t>
      </w:r>
      <w:r w:rsidR="002C2E9B">
        <w:rPr>
          <w:color w:val="000000"/>
        </w:rPr>
        <w:t>(a</w:t>
      </w:r>
      <w:r w:rsidR="00AA1781">
        <w:rPr>
          <w:color w:val="000000"/>
        </w:rPr>
        <w:t xml:space="preserve"> </w:t>
      </w:r>
      <w:r w:rsidR="002C2E9B">
        <w:rPr>
          <w:rFonts w:cs="Times New Roman"/>
          <w:color w:val="auto"/>
        </w:rPr>
        <w:t>daily inhalational steroid/long-acting bronchodilator combination)</w:t>
      </w:r>
      <w:r w:rsidR="001300D1">
        <w:rPr>
          <w:rFonts w:cs="Times New Roman"/>
          <w:color w:val="auto"/>
        </w:rPr>
        <w:t xml:space="preserve">; and, subsequently </w:t>
      </w:r>
      <w:proofErr w:type="spellStart"/>
      <w:r w:rsidR="001300D1">
        <w:rPr>
          <w:rFonts w:cs="Times New Roman"/>
          <w:color w:val="auto"/>
        </w:rPr>
        <w:t>Singulair</w:t>
      </w:r>
      <w:proofErr w:type="spellEnd"/>
      <w:r w:rsidR="001C1FA1">
        <w:rPr>
          <w:color w:val="000000"/>
        </w:rPr>
        <w:t xml:space="preserve"> (oral indirect-acting bronchodilator) was added to her regimen</w:t>
      </w:r>
      <w:r w:rsidR="002C2E9B">
        <w:rPr>
          <w:rFonts w:cs="Times New Roman"/>
          <w:color w:val="auto"/>
        </w:rPr>
        <w:t xml:space="preserve">.  </w:t>
      </w:r>
      <w:r w:rsidR="00FC42FE" w:rsidRPr="00FF5304">
        <w:rPr>
          <w:color w:val="000000"/>
        </w:rPr>
        <w:t>She continued to experience daily trouble breathing</w:t>
      </w:r>
      <w:r w:rsidR="00341EF9">
        <w:rPr>
          <w:color w:val="000000"/>
        </w:rPr>
        <w:t xml:space="preserve">, with daily repetitive use </w:t>
      </w:r>
      <w:r w:rsidR="001300D1">
        <w:rPr>
          <w:color w:val="000000"/>
        </w:rPr>
        <w:t>of</w:t>
      </w:r>
      <w:r w:rsidR="00FC42FE" w:rsidRPr="00FF5304">
        <w:rPr>
          <w:color w:val="000000"/>
        </w:rPr>
        <w:t xml:space="preserve"> her rescue </w:t>
      </w:r>
      <w:proofErr w:type="spellStart"/>
      <w:r w:rsidR="00C07E4B">
        <w:rPr>
          <w:color w:val="000000"/>
        </w:rPr>
        <w:t>A</w:t>
      </w:r>
      <w:r w:rsidR="00341EF9">
        <w:rPr>
          <w:color w:val="000000"/>
        </w:rPr>
        <w:t>lbuterol</w:t>
      </w:r>
      <w:proofErr w:type="spellEnd"/>
      <w:r w:rsidR="00341EF9">
        <w:rPr>
          <w:color w:val="000000"/>
        </w:rPr>
        <w:t xml:space="preserve"> </w:t>
      </w:r>
      <w:r w:rsidR="00FC42FE" w:rsidRPr="00FF5304">
        <w:rPr>
          <w:color w:val="000000"/>
        </w:rPr>
        <w:t xml:space="preserve">inhaler. </w:t>
      </w:r>
      <w:r w:rsidR="001300D1">
        <w:rPr>
          <w:color w:val="000000"/>
        </w:rPr>
        <w:t xml:space="preserve"> </w:t>
      </w:r>
      <w:r w:rsidR="00FC42FE" w:rsidRPr="00FF5304">
        <w:rPr>
          <w:color w:val="000000"/>
        </w:rPr>
        <w:t>In January 2003, she was prescribed a</w:t>
      </w:r>
      <w:r w:rsidR="00341EF9">
        <w:rPr>
          <w:color w:val="000000"/>
        </w:rPr>
        <w:t>n</w:t>
      </w:r>
      <w:r w:rsidR="00FC42FE" w:rsidRPr="00FF5304">
        <w:rPr>
          <w:color w:val="000000"/>
        </w:rPr>
        <w:t xml:space="preserve"> </w:t>
      </w:r>
      <w:r w:rsidR="00FC42FE">
        <w:rPr>
          <w:color w:val="000000"/>
        </w:rPr>
        <w:t xml:space="preserve">oral </w:t>
      </w:r>
      <w:r w:rsidR="00341EF9">
        <w:rPr>
          <w:color w:val="000000"/>
        </w:rPr>
        <w:t xml:space="preserve">course of </w:t>
      </w:r>
      <w:proofErr w:type="spellStart"/>
      <w:r w:rsidR="00716798">
        <w:rPr>
          <w:color w:val="000000"/>
        </w:rPr>
        <w:t>O</w:t>
      </w:r>
      <w:r w:rsidR="00FC42FE" w:rsidRPr="00FF5304">
        <w:rPr>
          <w:color w:val="000000"/>
        </w:rPr>
        <w:t>rednisone</w:t>
      </w:r>
      <w:proofErr w:type="spellEnd"/>
      <w:r w:rsidR="00341EF9">
        <w:rPr>
          <w:color w:val="000000"/>
        </w:rPr>
        <w:t xml:space="preserve"> (systemic corticosteroid); and, repeat courses were prescribed in </w:t>
      </w:r>
      <w:r w:rsidR="00FC42FE" w:rsidRPr="00FF5304">
        <w:rPr>
          <w:color w:val="000000"/>
        </w:rPr>
        <w:t xml:space="preserve">April and June </w:t>
      </w:r>
      <w:r w:rsidR="001300D1">
        <w:rPr>
          <w:color w:val="000000"/>
        </w:rPr>
        <w:t xml:space="preserve">(all </w:t>
      </w:r>
      <w:r w:rsidR="00716798">
        <w:rPr>
          <w:color w:val="000000"/>
        </w:rPr>
        <w:t>three</w:t>
      </w:r>
      <w:r w:rsidR="001300D1">
        <w:rPr>
          <w:color w:val="000000"/>
        </w:rPr>
        <w:t xml:space="preserve"> courses within 6 months of TDRL rating)</w:t>
      </w:r>
      <w:r w:rsidR="00FC42FE" w:rsidRPr="00FF5304">
        <w:rPr>
          <w:color w:val="000000"/>
        </w:rPr>
        <w:t xml:space="preserve">. </w:t>
      </w:r>
      <w:r w:rsidR="0031006F">
        <w:rPr>
          <w:color w:val="000000"/>
        </w:rPr>
        <w:t xml:space="preserve"> </w:t>
      </w:r>
      <w:r w:rsidR="00FC42FE" w:rsidRPr="00FF5304">
        <w:rPr>
          <w:color w:val="000000"/>
        </w:rPr>
        <w:t xml:space="preserve">At the initial MEB exam in 2003, the CI reported using her rescue </w:t>
      </w:r>
      <w:proofErr w:type="spellStart"/>
      <w:r w:rsidR="00C07E4B">
        <w:rPr>
          <w:color w:val="000000"/>
        </w:rPr>
        <w:t>A</w:t>
      </w:r>
      <w:r w:rsidR="001C1FA1">
        <w:rPr>
          <w:color w:val="000000"/>
        </w:rPr>
        <w:t>lbuterol</w:t>
      </w:r>
      <w:proofErr w:type="spellEnd"/>
      <w:r w:rsidR="001C1FA1">
        <w:rPr>
          <w:color w:val="000000"/>
        </w:rPr>
        <w:t xml:space="preserve"> </w:t>
      </w:r>
      <w:r w:rsidR="00FC42FE" w:rsidRPr="00FF5304">
        <w:rPr>
          <w:color w:val="000000"/>
        </w:rPr>
        <w:t>inhaler 4-5 times a day</w:t>
      </w:r>
      <w:r w:rsidR="001C1FA1">
        <w:rPr>
          <w:color w:val="000000"/>
        </w:rPr>
        <w:t xml:space="preserve">, along with daily doses of </w:t>
      </w:r>
      <w:proofErr w:type="spellStart"/>
      <w:r w:rsidR="001C1FA1">
        <w:rPr>
          <w:color w:val="000000"/>
        </w:rPr>
        <w:t>Advair</w:t>
      </w:r>
      <w:proofErr w:type="spellEnd"/>
      <w:r w:rsidR="001C1FA1">
        <w:rPr>
          <w:color w:val="000000"/>
        </w:rPr>
        <w:t xml:space="preserve"> and </w:t>
      </w:r>
      <w:proofErr w:type="spellStart"/>
      <w:r w:rsidR="001C1FA1">
        <w:rPr>
          <w:color w:val="000000"/>
        </w:rPr>
        <w:t>Singulair</w:t>
      </w:r>
      <w:proofErr w:type="spellEnd"/>
      <w:r w:rsidR="001C1FA1">
        <w:rPr>
          <w:color w:val="000000"/>
        </w:rPr>
        <w:t xml:space="preserve"> as above</w:t>
      </w:r>
      <w:r w:rsidR="00FC42FE" w:rsidRPr="00FF5304">
        <w:rPr>
          <w:color w:val="000000"/>
        </w:rPr>
        <w:t xml:space="preserve">. </w:t>
      </w:r>
      <w:r w:rsidR="001C1FA1">
        <w:rPr>
          <w:color w:val="000000"/>
        </w:rPr>
        <w:t xml:space="preserve"> A pulmonary function test (PFT) revealed the normal parameters charted below.  </w:t>
      </w:r>
      <w:r w:rsidR="00FC42FE" w:rsidRPr="00FF5304">
        <w:rPr>
          <w:color w:val="000000"/>
        </w:rPr>
        <w:t xml:space="preserve">She was able to perform in her MOS, but was not deployable. </w:t>
      </w:r>
      <w:r w:rsidR="001C1FA1">
        <w:rPr>
          <w:color w:val="000000"/>
        </w:rPr>
        <w:t xml:space="preserve"> </w:t>
      </w:r>
      <w:r w:rsidR="00FC42FE" w:rsidRPr="00FF5304">
        <w:rPr>
          <w:color w:val="000000"/>
        </w:rPr>
        <w:t>She was placed on TDRL in October 2003</w:t>
      </w:r>
      <w:r w:rsidR="00B50D90">
        <w:rPr>
          <w:color w:val="000000"/>
        </w:rPr>
        <w:t>; and, revaluated October 2004 (</w:t>
      </w:r>
      <w:r w:rsidR="00186D9A">
        <w:rPr>
          <w:color w:val="000000"/>
        </w:rPr>
        <w:t xml:space="preserve">the </w:t>
      </w:r>
      <w:r w:rsidR="00B50D90">
        <w:rPr>
          <w:color w:val="000000"/>
        </w:rPr>
        <w:t>only TDRL evaluation)</w:t>
      </w:r>
      <w:r w:rsidR="00FC42FE" w:rsidRPr="00FF5304">
        <w:rPr>
          <w:color w:val="000000"/>
        </w:rPr>
        <w:t xml:space="preserve">. </w:t>
      </w:r>
      <w:r w:rsidR="00B50D90">
        <w:rPr>
          <w:color w:val="000000"/>
        </w:rPr>
        <w:t xml:space="preserve"> </w:t>
      </w:r>
      <w:r w:rsidR="00B52243">
        <w:rPr>
          <w:color w:val="000000"/>
        </w:rPr>
        <w:t>The CI</w:t>
      </w:r>
      <w:r w:rsidR="00B50D90">
        <w:rPr>
          <w:color w:val="000000"/>
        </w:rPr>
        <w:t xml:space="preserve"> had received an interim asthma rating of 10% from the VA, which cited only PFT parameters</w:t>
      </w:r>
      <w:r w:rsidR="00F95441">
        <w:rPr>
          <w:color w:val="000000"/>
        </w:rPr>
        <w:t xml:space="preserve"> from an exam not in evidence; and, apparently with disregard to the </w:t>
      </w:r>
      <w:r w:rsidR="00F951A4">
        <w:rPr>
          <w:color w:val="000000"/>
        </w:rPr>
        <w:t>s</w:t>
      </w:r>
      <w:r w:rsidR="00F95441">
        <w:rPr>
          <w:color w:val="000000"/>
        </w:rPr>
        <w:t>ervice medication evidence</w:t>
      </w:r>
      <w:r w:rsidR="00B50D90">
        <w:rPr>
          <w:color w:val="000000"/>
        </w:rPr>
        <w:t>.  The TDRL examiner reported</w:t>
      </w:r>
      <w:r w:rsidR="00186D9A">
        <w:rPr>
          <w:color w:val="000000"/>
        </w:rPr>
        <w:t>,</w:t>
      </w:r>
      <w:r w:rsidR="00B50D90">
        <w:rPr>
          <w:color w:val="000000"/>
        </w:rPr>
        <w:t xml:space="preserve"> </w:t>
      </w:r>
      <w:r w:rsidR="00186D9A">
        <w:rPr>
          <w:color w:val="000000"/>
        </w:rPr>
        <w:t>“</w:t>
      </w:r>
      <w:proofErr w:type="gramStart"/>
      <w:r w:rsidR="00F951A4">
        <w:rPr>
          <w:color w:val="000000"/>
        </w:rPr>
        <w:t>d</w:t>
      </w:r>
      <w:r w:rsidR="00186D9A" w:rsidRPr="00186D9A">
        <w:rPr>
          <w:color w:val="000000"/>
        </w:rPr>
        <w:t>uring</w:t>
      </w:r>
      <w:proofErr w:type="gramEnd"/>
      <w:r w:rsidR="00186D9A" w:rsidRPr="00186D9A">
        <w:rPr>
          <w:color w:val="000000"/>
        </w:rPr>
        <w:t xml:space="preserve"> the past year she has had three visits to</w:t>
      </w:r>
      <w:r w:rsidR="00186D9A">
        <w:rPr>
          <w:color w:val="000000"/>
        </w:rPr>
        <w:t xml:space="preserve"> </w:t>
      </w:r>
      <w:r w:rsidR="00186D9A" w:rsidRPr="00186D9A">
        <w:rPr>
          <w:color w:val="000000"/>
        </w:rPr>
        <w:t xml:space="preserve">the emergency room for </w:t>
      </w:r>
      <w:proofErr w:type="spellStart"/>
      <w:r w:rsidR="00186D9A" w:rsidRPr="00186D9A">
        <w:rPr>
          <w:color w:val="000000"/>
        </w:rPr>
        <w:t>dyspnea</w:t>
      </w:r>
      <w:proofErr w:type="spellEnd"/>
      <w:r w:rsidR="00186D9A" w:rsidRPr="00186D9A">
        <w:rPr>
          <w:color w:val="000000"/>
        </w:rPr>
        <w:t xml:space="preserve"> and asthma related symptoms and treatment. </w:t>
      </w:r>
      <w:r w:rsidR="00186D9A">
        <w:rPr>
          <w:color w:val="000000"/>
        </w:rPr>
        <w:t xml:space="preserve"> </w:t>
      </w:r>
      <w:r w:rsidR="00186D9A" w:rsidRPr="00186D9A">
        <w:rPr>
          <w:color w:val="000000"/>
        </w:rPr>
        <w:t>Also during this past year, she</w:t>
      </w:r>
      <w:r w:rsidR="00186D9A">
        <w:rPr>
          <w:color w:val="000000"/>
        </w:rPr>
        <w:t xml:space="preserve"> </w:t>
      </w:r>
      <w:r w:rsidR="00186D9A" w:rsidRPr="00186D9A">
        <w:rPr>
          <w:color w:val="000000"/>
        </w:rPr>
        <w:t>has had three courses of oral prednisone for asthma symptom control.</w:t>
      </w:r>
      <w:r w:rsidR="00DE14E8">
        <w:rPr>
          <w:color w:val="000000"/>
        </w:rPr>
        <w:t xml:space="preserve">”  Although there is an ER visit in the </w:t>
      </w:r>
      <w:r w:rsidR="00F951A4">
        <w:rPr>
          <w:color w:val="000000"/>
        </w:rPr>
        <w:t>s</w:t>
      </w:r>
      <w:r w:rsidR="00DE14E8">
        <w:rPr>
          <w:color w:val="000000"/>
        </w:rPr>
        <w:t>ervice treatment record (STR) sh</w:t>
      </w:r>
      <w:r w:rsidR="00B52243">
        <w:rPr>
          <w:color w:val="000000"/>
        </w:rPr>
        <w:t>ortly following final separation,</w:t>
      </w:r>
      <w:r w:rsidR="00DE14E8">
        <w:rPr>
          <w:color w:val="000000"/>
        </w:rPr>
        <w:t xml:space="preserve"> there are none in evidence for the ratable period during TDRL.  Likewise, there is no STR evidence of any additional oral courses of prednisone after TDRL commenced.  </w:t>
      </w:r>
      <w:r w:rsidR="0008545D">
        <w:rPr>
          <w:color w:val="000000"/>
        </w:rPr>
        <w:t xml:space="preserve">A </w:t>
      </w:r>
      <w:r w:rsidR="00CF2CAD">
        <w:rPr>
          <w:color w:val="000000"/>
        </w:rPr>
        <w:t>p</w:t>
      </w:r>
      <w:r w:rsidR="0008545D">
        <w:rPr>
          <w:color w:val="000000"/>
        </w:rPr>
        <w:t xml:space="preserve">rednisone taper was prescribed shortly after separation, but for generalized allergic symptoms rather than asthma control.  </w:t>
      </w:r>
      <w:r w:rsidR="00DE14E8">
        <w:rPr>
          <w:color w:val="000000"/>
        </w:rPr>
        <w:t xml:space="preserve">The medications documented by the TDRL exam were </w:t>
      </w:r>
      <w:proofErr w:type="spellStart"/>
      <w:r w:rsidR="00F951A4">
        <w:rPr>
          <w:color w:val="000000"/>
        </w:rPr>
        <w:t>A</w:t>
      </w:r>
      <w:r w:rsidR="00DE14E8">
        <w:rPr>
          <w:color w:val="000000"/>
        </w:rPr>
        <w:t>lbuterol</w:t>
      </w:r>
      <w:proofErr w:type="spellEnd"/>
      <w:r w:rsidR="00DE14E8">
        <w:rPr>
          <w:color w:val="000000"/>
        </w:rPr>
        <w:t xml:space="preserve"> “two puffs up to four times a day as needed” and daily doses for </w:t>
      </w:r>
      <w:proofErr w:type="spellStart"/>
      <w:r w:rsidR="00DE14E8">
        <w:rPr>
          <w:color w:val="000000"/>
        </w:rPr>
        <w:t>Singulair</w:t>
      </w:r>
      <w:proofErr w:type="spellEnd"/>
      <w:r w:rsidR="00DE14E8">
        <w:rPr>
          <w:color w:val="000000"/>
        </w:rPr>
        <w:t xml:space="preserve"> and </w:t>
      </w:r>
      <w:proofErr w:type="spellStart"/>
      <w:r w:rsidR="00DE14E8">
        <w:rPr>
          <w:color w:val="000000"/>
        </w:rPr>
        <w:t>Advair</w:t>
      </w:r>
      <w:proofErr w:type="spellEnd"/>
      <w:r w:rsidR="00DE14E8">
        <w:rPr>
          <w:color w:val="000000"/>
        </w:rPr>
        <w:t>.  The TDRL examiner diagnosed the CI with “asthma, exercise induced, mild, persistent</w:t>
      </w:r>
      <w:r w:rsidR="00F951A4">
        <w:rPr>
          <w:color w:val="000000"/>
        </w:rPr>
        <w:t>,</w:t>
      </w:r>
      <w:r w:rsidR="00DE14E8">
        <w:rPr>
          <w:color w:val="000000"/>
        </w:rPr>
        <w:t xml:space="preserve">” and opined that she continued to fail retention standards.  </w:t>
      </w:r>
      <w:r w:rsidR="00BF0245">
        <w:rPr>
          <w:rFonts w:cs="Times New Roman"/>
          <w:color w:val="auto"/>
        </w:rPr>
        <w:t xml:space="preserve">The </w:t>
      </w:r>
      <w:r w:rsidR="00C07E4B">
        <w:rPr>
          <w:rFonts w:cs="Times New Roman"/>
          <w:color w:val="auto"/>
        </w:rPr>
        <w:t>two</w:t>
      </w:r>
      <w:r w:rsidR="00BF0245">
        <w:rPr>
          <w:rFonts w:cs="Times New Roman"/>
          <w:color w:val="auto"/>
        </w:rPr>
        <w:t xml:space="preserve"> PFT</w:t>
      </w:r>
      <w:r w:rsidR="00BF0245" w:rsidRPr="00DC1607">
        <w:rPr>
          <w:rFonts w:cs="Times New Roman"/>
          <w:color w:val="auto"/>
        </w:rPr>
        <w:t xml:space="preserve"> evaluations in evidence</w:t>
      </w:r>
      <w:r w:rsidR="00BF0245">
        <w:rPr>
          <w:rFonts w:cs="Times New Roman"/>
          <w:color w:val="auto"/>
        </w:rPr>
        <w:t>,</w:t>
      </w:r>
      <w:r w:rsidR="00BF0245" w:rsidRPr="00DC1607">
        <w:rPr>
          <w:rFonts w:cs="Times New Roman"/>
          <w:color w:val="auto"/>
        </w:rPr>
        <w:t xml:space="preserve"> documenting the ratable parameters which the Board weighed in arriving at its ra</w:t>
      </w:r>
      <w:r w:rsidR="00BF0245">
        <w:rPr>
          <w:rFonts w:cs="Times New Roman"/>
          <w:color w:val="auto"/>
        </w:rPr>
        <w:t>ting recommendation,</w:t>
      </w:r>
      <w:r w:rsidR="00BF0245" w:rsidRPr="00DC1607">
        <w:rPr>
          <w:rFonts w:cs="Times New Roman"/>
          <w:color w:val="auto"/>
        </w:rPr>
        <w:t xml:space="preserve"> are summarized in the chart below:</w:t>
      </w:r>
    </w:p>
    <w:tbl>
      <w:tblPr>
        <w:tblpPr w:leftFromText="180" w:rightFromText="180" w:vertAnchor="text" w:horzAnchor="margin" w:tblpXSpec="center"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3"/>
        <w:gridCol w:w="3648"/>
        <w:gridCol w:w="2225"/>
      </w:tblGrid>
      <w:tr w:rsidR="00BF0245" w:rsidRPr="00F369E8" w:rsidTr="00BF0245">
        <w:tc>
          <w:tcPr>
            <w:tcW w:w="1983" w:type="dxa"/>
            <w:tcBorders>
              <w:top w:val="single" w:sz="4" w:space="0" w:color="000000"/>
              <w:left w:val="single" w:sz="4" w:space="0" w:color="000000"/>
              <w:bottom w:val="single" w:sz="4" w:space="0" w:color="000000"/>
              <w:right w:val="single" w:sz="4" w:space="0" w:color="000000"/>
            </w:tcBorders>
            <w:shd w:val="pct15" w:color="auto" w:fill="auto"/>
            <w:vAlign w:val="center"/>
          </w:tcPr>
          <w:p w:rsidR="00BF0245" w:rsidRPr="00F369E8" w:rsidRDefault="00BF0245" w:rsidP="00BF0245">
            <w:pPr>
              <w:spacing w:line="260" w:lineRule="exact"/>
              <w:contextualSpacing/>
              <w:rPr>
                <w:rFonts w:eastAsia="Calibri" w:cs="Times New Roman"/>
                <w:b/>
                <w:color w:val="auto"/>
                <w:sz w:val="22"/>
                <w:szCs w:val="22"/>
              </w:rPr>
            </w:pPr>
            <w:r w:rsidRPr="00F369E8">
              <w:rPr>
                <w:rFonts w:eastAsia="Calibri" w:cs="Times New Roman"/>
                <w:b/>
                <w:color w:val="auto"/>
                <w:sz w:val="22"/>
                <w:szCs w:val="22"/>
              </w:rPr>
              <w:t>Exam</w:t>
            </w:r>
          </w:p>
        </w:tc>
        <w:tc>
          <w:tcPr>
            <w:tcW w:w="3648" w:type="dxa"/>
            <w:tcBorders>
              <w:top w:val="single" w:sz="4" w:space="0" w:color="000000"/>
              <w:left w:val="single" w:sz="4" w:space="0" w:color="000000"/>
              <w:bottom w:val="single" w:sz="4" w:space="0" w:color="000000"/>
              <w:right w:val="single" w:sz="4" w:space="0" w:color="000000"/>
            </w:tcBorders>
            <w:shd w:val="pct15" w:color="auto" w:fill="auto"/>
            <w:vAlign w:val="center"/>
          </w:tcPr>
          <w:p w:rsidR="00BF0245" w:rsidRPr="00F369E8" w:rsidRDefault="00BF0245" w:rsidP="00BF0245">
            <w:pPr>
              <w:spacing w:line="260" w:lineRule="exact"/>
              <w:contextualSpacing/>
              <w:rPr>
                <w:rFonts w:eastAsia="Calibri" w:cs="Times New Roman"/>
                <w:b/>
                <w:color w:val="auto"/>
                <w:sz w:val="22"/>
                <w:szCs w:val="22"/>
              </w:rPr>
            </w:pPr>
            <w:r w:rsidRPr="00F369E8">
              <w:rPr>
                <w:rFonts w:eastAsia="Calibri" w:cs="Times New Roman"/>
                <w:b/>
                <w:color w:val="auto"/>
                <w:sz w:val="22"/>
                <w:szCs w:val="22"/>
              </w:rPr>
              <w:t>~</w:t>
            </w:r>
            <w:r>
              <w:rPr>
                <w:rFonts w:eastAsia="Calibri" w:cs="Times New Roman"/>
                <w:b/>
                <w:color w:val="auto"/>
                <w:sz w:val="22"/>
                <w:szCs w:val="22"/>
              </w:rPr>
              <w:t>1</w:t>
            </w:r>
            <w:r w:rsidRPr="00F369E8">
              <w:rPr>
                <w:rFonts w:eastAsia="Calibri" w:cs="Times New Roman"/>
                <w:b/>
                <w:color w:val="auto"/>
                <w:sz w:val="22"/>
                <w:szCs w:val="22"/>
              </w:rPr>
              <w:t xml:space="preserve"> Mo. Pre-</w:t>
            </w:r>
            <w:r>
              <w:rPr>
                <w:rFonts w:eastAsia="Calibri" w:cs="Times New Roman"/>
                <w:b/>
                <w:color w:val="auto"/>
                <w:sz w:val="22"/>
                <w:szCs w:val="22"/>
              </w:rPr>
              <w:t>TDRL</w:t>
            </w:r>
          </w:p>
        </w:tc>
        <w:tc>
          <w:tcPr>
            <w:tcW w:w="222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0245" w:rsidRPr="00F369E8" w:rsidRDefault="00BF0245" w:rsidP="00BF0245">
            <w:pPr>
              <w:spacing w:line="260" w:lineRule="exact"/>
              <w:contextualSpacing/>
              <w:rPr>
                <w:rFonts w:eastAsia="Calibri" w:cs="Times New Roman"/>
                <w:b/>
                <w:color w:val="auto"/>
                <w:sz w:val="22"/>
                <w:szCs w:val="22"/>
              </w:rPr>
            </w:pPr>
            <w:r w:rsidRPr="00F369E8">
              <w:rPr>
                <w:rFonts w:eastAsia="Calibri" w:cs="Times New Roman"/>
                <w:b/>
                <w:color w:val="auto"/>
                <w:sz w:val="22"/>
                <w:szCs w:val="22"/>
              </w:rPr>
              <w:t>~</w:t>
            </w:r>
            <w:r>
              <w:rPr>
                <w:rFonts w:eastAsia="Calibri" w:cs="Times New Roman"/>
                <w:b/>
                <w:color w:val="auto"/>
                <w:sz w:val="22"/>
                <w:szCs w:val="22"/>
              </w:rPr>
              <w:t>6</w:t>
            </w:r>
            <w:r w:rsidRPr="00F369E8">
              <w:rPr>
                <w:rFonts w:eastAsia="Calibri" w:cs="Times New Roman"/>
                <w:b/>
                <w:color w:val="auto"/>
                <w:sz w:val="22"/>
                <w:szCs w:val="22"/>
              </w:rPr>
              <w:t xml:space="preserve"> Mo. Pre-Sep</w:t>
            </w:r>
          </w:p>
        </w:tc>
      </w:tr>
      <w:tr w:rsidR="00BF0245" w:rsidRPr="00F369E8" w:rsidTr="00BF0245">
        <w:tc>
          <w:tcPr>
            <w:tcW w:w="1983" w:type="dxa"/>
            <w:tcBorders>
              <w:top w:val="single" w:sz="4" w:space="0" w:color="000000"/>
              <w:left w:val="single" w:sz="4" w:space="0" w:color="000000"/>
              <w:bottom w:val="single" w:sz="4" w:space="0" w:color="000000"/>
              <w:right w:val="single" w:sz="4" w:space="0" w:color="000000"/>
            </w:tcBorders>
            <w:vAlign w:val="center"/>
          </w:tcPr>
          <w:p w:rsidR="00BF0245" w:rsidRPr="00F369E8" w:rsidRDefault="00BF0245" w:rsidP="00BF0245">
            <w:pPr>
              <w:spacing w:line="260" w:lineRule="exact"/>
              <w:contextualSpacing/>
              <w:rPr>
                <w:rFonts w:eastAsia="Calibri" w:cs="Times New Roman"/>
                <w:color w:val="auto"/>
                <w:sz w:val="22"/>
                <w:szCs w:val="22"/>
              </w:rPr>
            </w:pPr>
            <w:r w:rsidRPr="00F369E8">
              <w:rPr>
                <w:rFonts w:eastAsia="Calibri" w:cs="Times New Roman"/>
                <w:color w:val="auto"/>
                <w:sz w:val="22"/>
                <w:szCs w:val="22"/>
              </w:rPr>
              <w:t>FEV1 (% Predicted)</w:t>
            </w:r>
          </w:p>
        </w:tc>
        <w:tc>
          <w:tcPr>
            <w:tcW w:w="3648" w:type="dxa"/>
            <w:tcBorders>
              <w:top w:val="single" w:sz="4" w:space="0" w:color="000000"/>
              <w:left w:val="single" w:sz="4" w:space="0" w:color="000000"/>
              <w:bottom w:val="single" w:sz="4" w:space="0" w:color="000000"/>
              <w:right w:val="single" w:sz="4" w:space="0" w:color="000000"/>
            </w:tcBorders>
            <w:vAlign w:val="center"/>
          </w:tcPr>
          <w:p w:rsidR="00BF0245" w:rsidRPr="00F369E8" w:rsidRDefault="00BF0245" w:rsidP="00BF0245">
            <w:pPr>
              <w:spacing w:line="260" w:lineRule="exact"/>
              <w:contextualSpacing/>
              <w:rPr>
                <w:rFonts w:eastAsia="Calibri" w:cs="Times New Roman"/>
                <w:color w:val="auto"/>
                <w:sz w:val="22"/>
                <w:szCs w:val="22"/>
              </w:rPr>
            </w:pPr>
            <w:r>
              <w:rPr>
                <w:rFonts w:eastAsia="Calibri" w:cs="Times New Roman"/>
                <w:color w:val="auto"/>
                <w:sz w:val="22"/>
                <w:szCs w:val="22"/>
              </w:rPr>
              <w:t>108</w:t>
            </w:r>
            <w:r w:rsidRPr="00F369E8">
              <w:rPr>
                <w:rFonts w:eastAsia="Calibri" w:cs="Times New Roman"/>
                <w:color w:val="auto"/>
                <w:sz w:val="22"/>
                <w:szCs w:val="22"/>
              </w:rPr>
              <w:t>%</w:t>
            </w:r>
          </w:p>
        </w:tc>
        <w:tc>
          <w:tcPr>
            <w:tcW w:w="2225" w:type="dxa"/>
            <w:tcBorders>
              <w:top w:val="single" w:sz="4" w:space="0" w:color="000000"/>
              <w:left w:val="single" w:sz="4" w:space="0" w:color="000000"/>
              <w:bottom w:val="single" w:sz="4" w:space="0" w:color="000000"/>
              <w:right w:val="single" w:sz="4" w:space="0" w:color="000000"/>
            </w:tcBorders>
            <w:vAlign w:val="center"/>
          </w:tcPr>
          <w:p w:rsidR="00BF0245" w:rsidRPr="00F369E8" w:rsidRDefault="00BF0245" w:rsidP="00BF0245">
            <w:pPr>
              <w:spacing w:line="260" w:lineRule="exact"/>
              <w:contextualSpacing/>
              <w:rPr>
                <w:rFonts w:eastAsia="Calibri" w:cs="Times New Roman"/>
                <w:color w:val="auto"/>
                <w:sz w:val="22"/>
                <w:szCs w:val="22"/>
              </w:rPr>
            </w:pPr>
            <w:r>
              <w:rPr>
                <w:rFonts w:eastAsia="Calibri" w:cs="Times New Roman"/>
                <w:color w:val="auto"/>
                <w:sz w:val="22"/>
                <w:szCs w:val="22"/>
              </w:rPr>
              <w:t>103</w:t>
            </w:r>
            <w:r w:rsidRPr="00F369E8">
              <w:rPr>
                <w:rFonts w:eastAsia="Calibri" w:cs="Times New Roman"/>
                <w:color w:val="auto"/>
                <w:sz w:val="22"/>
                <w:szCs w:val="22"/>
              </w:rPr>
              <w:t>%</w:t>
            </w:r>
          </w:p>
        </w:tc>
      </w:tr>
      <w:tr w:rsidR="00BF0245" w:rsidRPr="00F369E8" w:rsidTr="00BF0245">
        <w:tc>
          <w:tcPr>
            <w:tcW w:w="1983" w:type="dxa"/>
            <w:tcBorders>
              <w:top w:val="single" w:sz="4" w:space="0" w:color="000000"/>
              <w:left w:val="single" w:sz="4" w:space="0" w:color="000000"/>
              <w:bottom w:val="single" w:sz="4" w:space="0" w:color="000000"/>
              <w:right w:val="single" w:sz="4" w:space="0" w:color="000000"/>
            </w:tcBorders>
            <w:vAlign w:val="center"/>
          </w:tcPr>
          <w:p w:rsidR="00BF0245" w:rsidRPr="00F369E8" w:rsidRDefault="00BF0245" w:rsidP="00BF0245">
            <w:pPr>
              <w:spacing w:line="260" w:lineRule="exact"/>
              <w:contextualSpacing/>
              <w:rPr>
                <w:rFonts w:eastAsia="Calibri" w:cs="Times New Roman"/>
                <w:color w:val="auto"/>
                <w:sz w:val="22"/>
                <w:szCs w:val="22"/>
              </w:rPr>
            </w:pPr>
            <w:r w:rsidRPr="00F369E8">
              <w:rPr>
                <w:rFonts w:eastAsia="Calibri" w:cs="Times New Roman"/>
                <w:color w:val="auto"/>
                <w:sz w:val="22"/>
                <w:szCs w:val="22"/>
              </w:rPr>
              <w:t>FEV1/FVC</w:t>
            </w:r>
          </w:p>
        </w:tc>
        <w:tc>
          <w:tcPr>
            <w:tcW w:w="3648" w:type="dxa"/>
            <w:tcBorders>
              <w:top w:val="single" w:sz="4" w:space="0" w:color="000000"/>
              <w:left w:val="single" w:sz="4" w:space="0" w:color="000000"/>
              <w:bottom w:val="single" w:sz="4" w:space="0" w:color="000000"/>
              <w:right w:val="single" w:sz="4" w:space="0" w:color="000000"/>
            </w:tcBorders>
            <w:vAlign w:val="center"/>
          </w:tcPr>
          <w:p w:rsidR="00BF0245" w:rsidRPr="00F369E8" w:rsidRDefault="00BF0245" w:rsidP="00BF0245">
            <w:pPr>
              <w:spacing w:line="260" w:lineRule="exact"/>
              <w:contextualSpacing/>
              <w:rPr>
                <w:rFonts w:eastAsia="Calibri" w:cs="Times New Roman"/>
                <w:color w:val="auto"/>
                <w:sz w:val="22"/>
                <w:szCs w:val="22"/>
              </w:rPr>
            </w:pPr>
            <w:r>
              <w:rPr>
                <w:rFonts w:eastAsia="Calibri" w:cs="Times New Roman"/>
                <w:color w:val="auto"/>
                <w:sz w:val="22"/>
                <w:szCs w:val="22"/>
              </w:rPr>
              <w:t>103</w:t>
            </w:r>
            <w:r w:rsidRPr="00F369E8">
              <w:rPr>
                <w:rFonts w:eastAsia="Calibri" w:cs="Times New Roman"/>
                <w:color w:val="auto"/>
                <w:sz w:val="22"/>
                <w:szCs w:val="22"/>
              </w:rPr>
              <w:t>%</w:t>
            </w:r>
          </w:p>
        </w:tc>
        <w:tc>
          <w:tcPr>
            <w:tcW w:w="2225" w:type="dxa"/>
            <w:tcBorders>
              <w:top w:val="single" w:sz="4" w:space="0" w:color="000000"/>
              <w:left w:val="single" w:sz="4" w:space="0" w:color="000000"/>
              <w:bottom w:val="single" w:sz="4" w:space="0" w:color="000000"/>
              <w:right w:val="single" w:sz="4" w:space="0" w:color="000000"/>
            </w:tcBorders>
            <w:vAlign w:val="center"/>
          </w:tcPr>
          <w:p w:rsidR="00BF0245" w:rsidRPr="00F369E8" w:rsidRDefault="00BF0245" w:rsidP="00BF0245">
            <w:pPr>
              <w:spacing w:line="260" w:lineRule="exact"/>
              <w:contextualSpacing/>
              <w:rPr>
                <w:rFonts w:eastAsia="Calibri" w:cs="Times New Roman"/>
                <w:color w:val="auto"/>
                <w:sz w:val="22"/>
                <w:szCs w:val="22"/>
              </w:rPr>
            </w:pPr>
            <w:r>
              <w:rPr>
                <w:rFonts w:eastAsia="Calibri" w:cs="Times New Roman"/>
                <w:color w:val="auto"/>
                <w:sz w:val="22"/>
                <w:szCs w:val="22"/>
              </w:rPr>
              <w:t>99</w:t>
            </w:r>
            <w:r w:rsidRPr="00F369E8">
              <w:rPr>
                <w:rFonts w:eastAsia="Calibri" w:cs="Times New Roman"/>
                <w:color w:val="auto"/>
                <w:sz w:val="22"/>
                <w:szCs w:val="22"/>
              </w:rPr>
              <w:t>%</w:t>
            </w:r>
          </w:p>
        </w:tc>
      </w:tr>
      <w:tr w:rsidR="00BF0245" w:rsidRPr="00F369E8" w:rsidTr="00BF0245">
        <w:tc>
          <w:tcPr>
            <w:tcW w:w="1983" w:type="dxa"/>
            <w:tcBorders>
              <w:top w:val="single" w:sz="4" w:space="0" w:color="000000"/>
              <w:left w:val="single" w:sz="4" w:space="0" w:color="000000"/>
              <w:bottom w:val="single" w:sz="4" w:space="0" w:color="000000"/>
              <w:right w:val="single" w:sz="4" w:space="0" w:color="000000"/>
            </w:tcBorders>
            <w:vAlign w:val="center"/>
          </w:tcPr>
          <w:p w:rsidR="00BF0245" w:rsidRPr="00F369E8" w:rsidRDefault="00BF0245" w:rsidP="00BF0245">
            <w:pPr>
              <w:spacing w:line="260" w:lineRule="exact"/>
              <w:contextualSpacing/>
              <w:rPr>
                <w:rFonts w:eastAsia="Calibri" w:cs="Times New Roman"/>
                <w:color w:val="auto"/>
                <w:sz w:val="22"/>
                <w:szCs w:val="22"/>
              </w:rPr>
            </w:pPr>
            <w:r w:rsidRPr="00F369E8">
              <w:rPr>
                <w:rFonts w:eastAsia="Calibri" w:cs="Times New Roman"/>
                <w:color w:val="auto"/>
                <w:sz w:val="22"/>
                <w:szCs w:val="22"/>
              </w:rPr>
              <w:lastRenderedPageBreak/>
              <w:t>Meds</w:t>
            </w:r>
          </w:p>
        </w:tc>
        <w:tc>
          <w:tcPr>
            <w:tcW w:w="3648" w:type="dxa"/>
            <w:tcBorders>
              <w:top w:val="single" w:sz="4" w:space="0" w:color="000000"/>
              <w:left w:val="single" w:sz="4" w:space="0" w:color="000000"/>
              <w:bottom w:val="single" w:sz="4" w:space="0" w:color="000000"/>
              <w:right w:val="single" w:sz="4" w:space="0" w:color="000000"/>
            </w:tcBorders>
            <w:vAlign w:val="center"/>
          </w:tcPr>
          <w:p w:rsidR="00BF0245" w:rsidRDefault="00BF0245" w:rsidP="00BF0245">
            <w:pPr>
              <w:spacing w:line="220" w:lineRule="exact"/>
              <w:contextualSpacing/>
              <w:rPr>
                <w:rFonts w:eastAsia="Calibri" w:cs="Times New Roman"/>
                <w:color w:val="auto"/>
                <w:sz w:val="22"/>
                <w:szCs w:val="22"/>
              </w:rPr>
            </w:pPr>
            <w:proofErr w:type="spellStart"/>
            <w:r>
              <w:rPr>
                <w:rFonts w:eastAsia="Calibri" w:cs="Times New Roman"/>
                <w:color w:val="auto"/>
                <w:sz w:val="22"/>
                <w:szCs w:val="22"/>
              </w:rPr>
              <w:t>Albuterol</w:t>
            </w:r>
            <w:proofErr w:type="spellEnd"/>
            <w:r>
              <w:rPr>
                <w:rFonts w:eastAsia="Calibri" w:cs="Times New Roman"/>
                <w:color w:val="auto"/>
                <w:sz w:val="22"/>
                <w:szCs w:val="22"/>
              </w:rPr>
              <w:t xml:space="preserve">, </w:t>
            </w:r>
            <w:proofErr w:type="spellStart"/>
            <w:r>
              <w:rPr>
                <w:rFonts w:eastAsia="Calibri" w:cs="Times New Roman"/>
                <w:color w:val="auto"/>
                <w:sz w:val="22"/>
                <w:szCs w:val="22"/>
              </w:rPr>
              <w:t>Advair</w:t>
            </w:r>
            <w:proofErr w:type="spellEnd"/>
            <w:r>
              <w:rPr>
                <w:rFonts w:eastAsia="Calibri" w:cs="Times New Roman"/>
                <w:color w:val="auto"/>
                <w:sz w:val="22"/>
                <w:szCs w:val="22"/>
              </w:rPr>
              <w:t xml:space="preserve">, </w:t>
            </w:r>
            <w:proofErr w:type="spellStart"/>
            <w:r>
              <w:rPr>
                <w:rFonts w:eastAsia="Calibri" w:cs="Times New Roman"/>
                <w:color w:val="auto"/>
                <w:sz w:val="22"/>
                <w:szCs w:val="22"/>
              </w:rPr>
              <w:t>Singulair</w:t>
            </w:r>
            <w:proofErr w:type="spellEnd"/>
            <w:r>
              <w:rPr>
                <w:rFonts w:eastAsia="Calibri" w:cs="Times New Roman"/>
                <w:color w:val="auto"/>
                <w:sz w:val="22"/>
                <w:szCs w:val="22"/>
              </w:rPr>
              <w:t xml:space="preserve"> daily.</w:t>
            </w:r>
          </w:p>
          <w:p w:rsidR="00BF0245" w:rsidRPr="00F369E8" w:rsidRDefault="00BF0245" w:rsidP="00BF0245">
            <w:pPr>
              <w:spacing w:line="220" w:lineRule="exact"/>
              <w:contextualSpacing/>
              <w:rPr>
                <w:rFonts w:eastAsia="Calibri" w:cs="Times New Roman"/>
                <w:color w:val="auto"/>
                <w:sz w:val="22"/>
                <w:szCs w:val="22"/>
              </w:rPr>
            </w:pPr>
            <w:r>
              <w:rPr>
                <w:rFonts w:eastAsia="Calibri" w:cs="Times New Roman"/>
                <w:color w:val="auto"/>
                <w:sz w:val="22"/>
                <w:szCs w:val="22"/>
              </w:rPr>
              <w:t>3 courses systemic steroids past year.</w:t>
            </w:r>
          </w:p>
        </w:tc>
        <w:tc>
          <w:tcPr>
            <w:tcW w:w="2225" w:type="dxa"/>
            <w:tcBorders>
              <w:top w:val="single" w:sz="4" w:space="0" w:color="000000"/>
              <w:left w:val="single" w:sz="4" w:space="0" w:color="000000"/>
              <w:bottom w:val="single" w:sz="4" w:space="0" w:color="000000"/>
              <w:right w:val="single" w:sz="4" w:space="0" w:color="000000"/>
            </w:tcBorders>
            <w:vAlign w:val="center"/>
          </w:tcPr>
          <w:p w:rsidR="00BF0245" w:rsidRPr="00F369E8" w:rsidRDefault="00BF0245" w:rsidP="00BF0245">
            <w:pPr>
              <w:spacing w:line="220" w:lineRule="exact"/>
              <w:contextualSpacing/>
              <w:rPr>
                <w:rFonts w:eastAsia="Calibri" w:cs="Times New Roman"/>
                <w:color w:val="auto"/>
                <w:sz w:val="22"/>
                <w:szCs w:val="22"/>
              </w:rPr>
            </w:pPr>
            <w:proofErr w:type="spellStart"/>
            <w:r w:rsidRPr="00F369E8">
              <w:rPr>
                <w:rFonts w:eastAsia="Calibri" w:cs="Times New Roman"/>
                <w:color w:val="auto"/>
                <w:sz w:val="22"/>
                <w:szCs w:val="22"/>
              </w:rPr>
              <w:t>Albuterol</w:t>
            </w:r>
            <w:proofErr w:type="spellEnd"/>
            <w:r w:rsidRPr="00F369E8">
              <w:rPr>
                <w:rFonts w:eastAsia="Calibri" w:cs="Times New Roman"/>
                <w:color w:val="auto"/>
                <w:sz w:val="22"/>
                <w:szCs w:val="22"/>
              </w:rPr>
              <w:t xml:space="preserve"> </w:t>
            </w:r>
            <w:r>
              <w:rPr>
                <w:rFonts w:eastAsia="Calibri" w:cs="Times New Roman"/>
                <w:color w:val="auto"/>
                <w:sz w:val="22"/>
                <w:szCs w:val="22"/>
              </w:rPr>
              <w:t>as needed);</w:t>
            </w:r>
            <w:r w:rsidRPr="00F369E8">
              <w:rPr>
                <w:rFonts w:eastAsia="Calibri" w:cs="Times New Roman"/>
                <w:color w:val="auto"/>
                <w:sz w:val="22"/>
                <w:szCs w:val="22"/>
              </w:rPr>
              <w:t xml:space="preserve"> </w:t>
            </w:r>
            <w:proofErr w:type="spellStart"/>
            <w:r w:rsidRPr="00F369E8">
              <w:rPr>
                <w:rFonts w:eastAsia="Calibri" w:cs="Times New Roman"/>
                <w:color w:val="auto"/>
                <w:sz w:val="22"/>
                <w:szCs w:val="22"/>
              </w:rPr>
              <w:t>Advair</w:t>
            </w:r>
            <w:proofErr w:type="spellEnd"/>
            <w:r>
              <w:rPr>
                <w:rFonts w:eastAsia="Calibri" w:cs="Times New Roman"/>
                <w:color w:val="auto"/>
                <w:sz w:val="22"/>
                <w:szCs w:val="22"/>
              </w:rPr>
              <w:t xml:space="preserve">, </w:t>
            </w:r>
            <w:proofErr w:type="spellStart"/>
            <w:r>
              <w:rPr>
                <w:rFonts w:eastAsia="Calibri" w:cs="Times New Roman"/>
                <w:color w:val="auto"/>
                <w:sz w:val="22"/>
                <w:szCs w:val="22"/>
              </w:rPr>
              <w:t>Singulair</w:t>
            </w:r>
            <w:proofErr w:type="spellEnd"/>
            <w:r>
              <w:rPr>
                <w:rFonts w:eastAsia="Calibri" w:cs="Times New Roman"/>
                <w:color w:val="auto"/>
                <w:sz w:val="22"/>
                <w:szCs w:val="22"/>
              </w:rPr>
              <w:t xml:space="preserve"> daily.</w:t>
            </w:r>
          </w:p>
        </w:tc>
      </w:tr>
      <w:tr w:rsidR="00BF0245" w:rsidRPr="00F369E8" w:rsidTr="00BF0245">
        <w:tc>
          <w:tcPr>
            <w:tcW w:w="1983" w:type="dxa"/>
            <w:tcBorders>
              <w:top w:val="single" w:sz="4" w:space="0" w:color="000000"/>
              <w:left w:val="single" w:sz="4" w:space="0" w:color="000000"/>
              <w:bottom w:val="single" w:sz="4" w:space="0" w:color="000000"/>
              <w:right w:val="single" w:sz="4" w:space="0" w:color="000000"/>
            </w:tcBorders>
            <w:vAlign w:val="center"/>
          </w:tcPr>
          <w:p w:rsidR="00BF0245" w:rsidRPr="00F369E8" w:rsidRDefault="00BF0245" w:rsidP="00BF0245">
            <w:pPr>
              <w:spacing w:line="260" w:lineRule="exact"/>
              <w:contextualSpacing/>
              <w:rPr>
                <w:rFonts w:eastAsia="Calibri"/>
                <w:color w:val="auto"/>
                <w:sz w:val="22"/>
                <w:szCs w:val="22"/>
              </w:rPr>
            </w:pPr>
            <w:r w:rsidRPr="00F369E8">
              <w:rPr>
                <w:rFonts w:eastAsia="Calibri"/>
                <w:color w:val="auto"/>
                <w:sz w:val="22"/>
                <w:szCs w:val="22"/>
              </w:rPr>
              <w:t>§</w:t>
            </w:r>
            <w:r w:rsidRPr="00F369E8">
              <w:rPr>
                <w:color w:val="auto"/>
                <w:sz w:val="22"/>
                <w:szCs w:val="22"/>
              </w:rPr>
              <w:t xml:space="preserve">4.97 </w:t>
            </w:r>
            <w:r w:rsidRPr="00F369E8">
              <w:rPr>
                <w:rFonts w:eastAsia="Calibri"/>
                <w:color w:val="auto"/>
                <w:sz w:val="22"/>
                <w:szCs w:val="22"/>
              </w:rPr>
              <w:t>Rating</w:t>
            </w:r>
          </w:p>
        </w:tc>
        <w:tc>
          <w:tcPr>
            <w:tcW w:w="3648" w:type="dxa"/>
            <w:tcBorders>
              <w:top w:val="single" w:sz="4" w:space="0" w:color="000000"/>
              <w:left w:val="single" w:sz="4" w:space="0" w:color="000000"/>
              <w:bottom w:val="single" w:sz="4" w:space="0" w:color="000000"/>
              <w:right w:val="single" w:sz="4" w:space="0" w:color="000000"/>
            </w:tcBorders>
            <w:vAlign w:val="center"/>
          </w:tcPr>
          <w:p w:rsidR="00BF0245" w:rsidRPr="00F369E8" w:rsidRDefault="00BF0245" w:rsidP="00BF0245">
            <w:pPr>
              <w:spacing w:line="260" w:lineRule="exact"/>
              <w:contextualSpacing/>
              <w:rPr>
                <w:rFonts w:eastAsia="Calibri"/>
                <w:color w:val="auto"/>
                <w:sz w:val="22"/>
                <w:szCs w:val="22"/>
              </w:rPr>
            </w:pPr>
            <w:r>
              <w:rPr>
                <w:rFonts w:eastAsia="Calibri"/>
                <w:color w:val="auto"/>
                <w:sz w:val="22"/>
                <w:szCs w:val="22"/>
              </w:rPr>
              <w:t>6</w:t>
            </w:r>
            <w:r w:rsidRPr="00F369E8">
              <w:rPr>
                <w:rFonts w:eastAsia="Calibri"/>
                <w:color w:val="auto"/>
                <w:sz w:val="22"/>
                <w:szCs w:val="22"/>
              </w:rPr>
              <w:t>0%</w:t>
            </w:r>
            <w:r>
              <w:rPr>
                <w:rFonts w:eastAsia="Calibri"/>
                <w:color w:val="auto"/>
                <w:sz w:val="22"/>
                <w:szCs w:val="22"/>
              </w:rPr>
              <w:t>*</w:t>
            </w:r>
          </w:p>
        </w:tc>
        <w:tc>
          <w:tcPr>
            <w:tcW w:w="2225" w:type="dxa"/>
            <w:tcBorders>
              <w:top w:val="single" w:sz="4" w:space="0" w:color="000000"/>
              <w:left w:val="single" w:sz="4" w:space="0" w:color="000000"/>
              <w:bottom w:val="single" w:sz="4" w:space="0" w:color="000000"/>
              <w:right w:val="single" w:sz="4" w:space="0" w:color="000000"/>
            </w:tcBorders>
            <w:vAlign w:val="center"/>
          </w:tcPr>
          <w:p w:rsidR="00BF0245" w:rsidRPr="00F369E8" w:rsidRDefault="00BF0245" w:rsidP="00BF0245">
            <w:pPr>
              <w:spacing w:line="260" w:lineRule="exact"/>
              <w:rPr>
                <w:rFonts w:cs="Times New Roman"/>
                <w:sz w:val="22"/>
                <w:szCs w:val="22"/>
              </w:rPr>
            </w:pPr>
            <w:r w:rsidRPr="00F369E8">
              <w:rPr>
                <w:rFonts w:eastAsia="Calibri"/>
                <w:color w:val="auto"/>
                <w:sz w:val="22"/>
                <w:szCs w:val="22"/>
              </w:rPr>
              <w:t>30%</w:t>
            </w:r>
            <w:r>
              <w:rPr>
                <w:rFonts w:eastAsia="Calibri"/>
                <w:color w:val="auto"/>
                <w:sz w:val="22"/>
                <w:szCs w:val="22"/>
              </w:rPr>
              <w:t>**</w:t>
            </w:r>
          </w:p>
        </w:tc>
      </w:tr>
    </w:tbl>
    <w:p w:rsidR="00BF0245" w:rsidRDefault="00BF0245" w:rsidP="00BF0245">
      <w:pPr>
        <w:jc w:val="both"/>
        <w:rPr>
          <w:rFonts w:cs="Times New Roman"/>
          <w:color w:val="auto"/>
        </w:rPr>
      </w:pPr>
    </w:p>
    <w:p w:rsidR="00BF0245" w:rsidRDefault="00BF0245" w:rsidP="00BF0245">
      <w:pPr>
        <w:spacing w:before="120" w:line="180" w:lineRule="exact"/>
        <w:contextualSpacing/>
        <w:jc w:val="left"/>
        <w:rPr>
          <w:rFonts w:eastAsia="Calibri" w:cs="Times New Roman"/>
          <w:color w:val="auto"/>
          <w:sz w:val="22"/>
          <w:szCs w:val="22"/>
        </w:rPr>
      </w:pPr>
    </w:p>
    <w:p w:rsidR="00BF0245" w:rsidRDefault="00BF0245" w:rsidP="00BF0245">
      <w:pPr>
        <w:spacing w:before="120" w:line="180" w:lineRule="exact"/>
        <w:contextualSpacing/>
        <w:jc w:val="left"/>
        <w:rPr>
          <w:rFonts w:eastAsia="Calibri" w:cs="Times New Roman"/>
          <w:color w:val="auto"/>
          <w:sz w:val="22"/>
          <w:szCs w:val="22"/>
        </w:rPr>
      </w:pPr>
    </w:p>
    <w:p w:rsidR="00BF0245" w:rsidRDefault="00BF0245" w:rsidP="00BF0245">
      <w:pPr>
        <w:spacing w:before="120" w:line="180" w:lineRule="exact"/>
        <w:contextualSpacing/>
        <w:jc w:val="left"/>
        <w:rPr>
          <w:rFonts w:eastAsia="Calibri" w:cs="Times New Roman"/>
          <w:color w:val="auto"/>
          <w:sz w:val="22"/>
          <w:szCs w:val="22"/>
        </w:rPr>
      </w:pPr>
    </w:p>
    <w:p w:rsidR="00BF0245" w:rsidRDefault="00BF0245" w:rsidP="00BF0245">
      <w:pPr>
        <w:spacing w:before="120" w:line="180" w:lineRule="exact"/>
        <w:ind w:left="4320"/>
        <w:contextualSpacing/>
        <w:jc w:val="left"/>
        <w:rPr>
          <w:rFonts w:eastAsia="Calibri" w:cs="Times New Roman"/>
          <w:color w:val="auto"/>
          <w:sz w:val="22"/>
          <w:szCs w:val="22"/>
        </w:rPr>
      </w:pPr>
      <w:r>
        <w:rPr>
          <w:rFonts w:eastAsia="Calibri" w:cs="Times New Roman"/>
          <w:color w:val="auto"/>
          <w:sz w:val="22"/>
          <w:szCs w:val="22"/>
        </w:rPr>
        <w:t xml:space="preserve">                                   </w:t>
      </w:r>
    </w:p>
    <w:p w:rsidR="00BF0245" w:rsidRDefault="00BF0245" w:rsidP="00BF0245">
      <w:pPr>
        <w:spacing w:before="120" w:line="180" w:lineRule="exact"/>
        <w:contextualSpacing/>
        <w:jc w:val="left"/>
        <w:rPr>
          <w:rFonts w:eastAsia="Calibri" w:cs="Times New Roman"/>
          <w:color w:val="auto"/>
          <w:sz w:val="22"/>
          <w:szCs w:val="22"/>
        </w:rPr>
      </w:pPr>
      <w:r>
        <w:rPr>
          <w:rFonts w:eastAsia="Calibri" w:cs="Times New Roman"/>
          <w:color w:val="auto"/>
          <w:sz w:val="22"/>
          <w:szCs w:val="22"/>
        </w:rPr>
        <w:t xml:space="preserve">       </w:t>
      </w:r>
    </w:p>
    <w:p w:rsidR="00BF0245" w:rsidRDefault="00BF0245" w:rsidP="00BF0245">
      <w:pPr>
        <w:spacing w:before="120" w:line="180" w:lineRule="exact"/>
        <w:contextualSpacing/>
        <w:jc w:val="left"/>
        <w:rPr>
          <w:rFonts w:eastAsia="Calibri" w:cs="Times New Roman"/>
          <w:color w:val="auto"/>
          <w:sz w:val="22"/>
          <w:szCs w:val="22"/>
        </w:rPr>
      </w:pPr>
    </w:p>
    <w:p w:rsidR="00BF0245" w:rsidRDefault="00BF0245" w:rsidP="00BF0245">
      <w:pPr>
        <w:spacing w:before="120" w:line="180" w:lineRule="exact"/>
        <w:contextualSpacing/>
        <w:jc w:val="left"/>
        <w:rPr>
          <w:rFonts w:eastAsia="Calibri" w:cs="Times New Roman"/>
          <w:color w:val="auto"/>
          <w:sz w:val="22"/>
          <w:szCs w:val="22"/>
        </w:rPr>
      </w:pPr>
    </w:p>
    <w:p w:rsidR="00BF0245" w:rsidRDefault="00BF0245" w:rsidP="00BF0245">
      <w:pPr>
        <w:spacing w:before="120" w:line="180" w:lineRule="exact"/>
        <w:contextualSpacing/>
        <w:jc w:val="left"/>
        <w:rPr>
          <w:rFonts w:eastAsia="Calibri" w:cs="Times New Roman"/>
          <w:color w:val="auto"/>
          <w:sz w:val="22"/>
          <w:szCs w:val="22"/>
        </w:rPr>
      </w:pPr>
    </w:p>
    <w:p w:rsidR="00BF0245" w:rsidRDefault="0008545D" w:rsidP="00BF0245">
      <w:pPr>
        <w:spacing w:before="120" w:line="180" w:lineRule="exact"/>
        <w:contextualSpacing/>
        <w:jc w:val="left"/>
        <w:rPr>
          <w:rFonts w:eastAsia="Calibri" w:cs="Times New Roman"/>
          <w:color w:val="auto"/>
          <w:sz w:val="22"/>
          <w:szCs w:val="22"/>
        </w:rPr>
      </w:pPr>
      <w:r>
        <w:rPr>
          <w:rFonts w:eastAsia="Calibri" w:cs="Times New Roman"/>
          <w:color w:val="auto"/>
          <w:sz w:val="22"/>
          <w:szCs w:val="22"/>
        </w:rPr>
        <w:t xml:space="preserve">                         </w:t>
      </w:r>
      <w:r w:rsidR="00BF0245">
        <w:rPr>
          <w:rFonts w:eastAsia="Calibri" w:cs="Times New Roman"/>
          <w:color w:val="auto"/>
          <w:sz w:val="22"/>
          <w:szCs w:val="22"/>
        </w:rPr>
        <w:t xml:space="preserve">  </w:t>
      </w:r>
      <w:r w:rsidR="00BF0245" w:rsidRPr="000147E7">
        <w:rPr>
          <w:rFonts w:eastAsia="Calibri" w:cs="Times New Roman"/>
          <w:color w:val="auto"/>
          <w:sz w:val="22"/>
          <w:szCs w:val="22"/>
        </w:rPr>
        <w:t>*</w:t>
      </w:r>
      <w:r w:rsidR="00BF0245">
        <w:rPr>
          <w:rFonts w:eastAsia="Calibri" w:cs="Times New Roman"/>
          <w:color w:val="auto"/>
          <w:sz w:val="22"/>
          <w:szCs w:val="22"/>
        </w:rPr>
        <w:t xml:space="preserve"> B</w:t>
      </w:r>
      <w:r>
        <w:rPr>
          <w:rFonts w:eastAsia="Calibri" w:cs="Times New Roman"/>
          <w:color w:val="auto"/>
          <w:sz w:val="22"/>
          <w:szCs w:val="22"/>
        </w:rPr>
        <w:t xml:space="preserve">ased on systemic steroids.   ** </w:t>
      </w:r>
      <w:r w:rsidRPr="0008545D">
        <w:rPr>
          <w:rFonts w:eastAsia="Calibri" w:cs="Times New Roman"/>
          <w:i/>
          <w:color w:val="auto"/>
          <w:sz w:val="22"/>
          <w:szCs w:val="22"/>
        </w:rPr>
        <w:t>If</w:t>
      </w:r>
      <w:r>
        <w:rPr>
          <w:rFonts w:eastAsia="Calibri" w:cs="Times New Roman"/>
          <w:color w:val="auto"/>
          <w:sz w:val="22"/>
          <w:szCs w:val="22"/>
        </w:rPr>
        <w:t xml:space="preserve"> c</w:t>
      </w:r>
      <w:r w:rsidR="00BF0245">
        <w:rPr>
          <w:rFonts w:eastAsia="Calibri" w:cs="Times New Roman"/>
          <w:color w:val="auto"/>
          <w:sz w:val="22"/>
          <w:szCs w:val="22"/>
        </w:rPr>
        <w:t>onceding daily compliance with above meds.</w:t>
      </w:r>
    </w:p>
    <w:p w:rsidR="00BF0245" w:rsidRDefault="00BF0245" w:rsidP="00BF0245">
      <w:pPr>
        <w:spacing w:before="120" w:line="180" w:lineRule="exact"/>
        <w:contextualSpacing/>
        <w:jc w:val="left"/>
        <w:rPr>
          <w:rFonts w:eastAsia="Calibri" w:cs="Times New Roman"/>
          <w:color w:val="auto"/>
          <w:sz w:val="22"/>
          <w:szCs w:val="22"/>
        </w:rPr>
      </w:pPr>
    </w:p>
    <w:p w:rsidR="00CF11B0" w:rsidRDefault="00F0721A" w:rsidP="00C905A1">
      <w:pPr>
        <w:jc w:val="both"/>
        <w:rPr>
          <w:rFonts w:cs="Times New Roman"/>
          <w:color w:val="auto"/>
        </w:rPr>
      </w:pPr>
      <w:r w:rsidRPr="009A7578">
        <w:rPr>
          <w:rFonts w:cs="Times New Roman"/>
          <w:color w:val="auto"/>
        </w:rPr>
        <w:t>The Board directs attenti</w:t>
      </w:r>
      <w:r w:rsidR="00BC283F">
        <w:rPr>
          <w:rFonts w:cs="Times New Roman"/>
          <w:color w:val="auto"/>
        </w:rPr>
        <w:t>on to its rating recommendation</w:t>
      </w:r>
      <w:r w:rsidR="004208C3">
        <w:rPr>
          <w:rFonts w:cs="Times New Roman"/>
          <w:color w:val="auto"/>
        </w:rPr>
        <w:t>s</w:t>
      </w:r>
      <w:r w:rsidR="00BC283F">
        <w:rPr>
          <w:rFonts w:cs="Times New Roman"/>
          <w:color w:val="auto"/>
        </w:rPr>
        <w:t xml:space="preserve"> based on the above evidence</w:t>
      </w:r>
      <w:r w:rsidRPr="009A7578">
        <w:rPr>
          <w:rFonts w:cs="Times New Roman"/>
          <w:color w:val="auto"/>
        </w:rPr>
        <w:t>.</w:t>
      </w:r>
      <w:r w:rsidR="008F617A">
        <w:rPr>
          <w:rFonts w:cs="Times New Roman"/>
          <w:color w:val="auto"/>
        </w:rPr>
        <w:t xml:space="preserve"> </w:t>
      </w:r>
      <w:r w:rsidRPr="009A7578">
        <w:rPr>
          <w:rFonts w:cs="Times New Roman"/>
          <w:color w:val="auto"/>
        </w:rPr>
        <w:t xml:space="preserve"> </w:t>
      </w:r>
      <w:r w:rsidR="00F04CA1" w:rsidRPr="00F04CA1">
        <w:rPr>
          <w:rFonts w:cs="Times New Roman"/>
          <w:color w:val="auto"/>
        </w:rPr>
        <w:t xml:space="preserve">The unequivocal VASRD code for rating asthma is 6602.  </w:t>
      </w:r>
      <w:r w:rsidR="00F93572" w:rsidRPr="00C905A1">
        <w:rPr>
          <w:rFonts w:cs="Times New Roman"/>
          <w:color w:val="auto"/>
        </w:rPr>
        <w:t>VASRD §4.97</w:t>
      </w:r>
      <w:r w:rsidR="00911D79">
        <w:rPr>
          <w:rFonts w:cs="Times New Roman"/>
          <w:color w:val="auto"/>
        </w:rPr>
        <w:t xml:space="preserve"> defines both PFT-derived criteria and clinical treatment criteria for rating</w:t>
      </w:r>
      <w:r w:rsidR="00F93572">
        <w:rPr>
          <w:rFonts w:cs="Times New Roman"/>
          <w:color w:val="auto"/>
        </w:rPr>
        <w:t xml:space="preserve"> under 6602</w:t>
      </w:r>
      <w:r w:rsidR="00911D79">
        <w:rPr>
          <w:rFonts w:cs="Times New Roman"/>
          <w:color w:val="auto"/>
        </w:rPr>
        <w:t xml:space="preserve">.  The specified PFT parameters </w:t>
      </w:r>
      <w:r w:rsidR="00F95441">
        <w:rPr>
          <w:rFonts w:cs="Times New Roman"/>
          <w:color w:val="auto"/>
        </w:rPr>
        <w:t>(</w:t>
      </w:r>
      <w:r w:rsidR="00911D79">
        <w:rPr>
          <w:rFonts w:cs="Times New Roman"/>
          <w:color w:val="auto"/>
        </w:rPr>
        <w:t>as charted above</w:t>
      </w:r>
      <w:r w:rsidR="00F95441">
        <w:rPr>
          <w:rFonts w:cs="Times New Roman"/>
          <w:color w:val="auto"/>
        </w:rPr>
        <w:t>)</w:t>
      </w:r>
      <w:r w:rsidR="00911D79">
        <w:rPr>
          <w:rFonts w:cs="Times New Roman"/>
          <w:color w:val="auto"/>
        </w:rPr>
        <w:t xml:space="preserve"> do not support </w:t>
      </w:r>
      <w:r w:rsidR="00E7329D" w:rsidRPr="00B52243">
        <w:rPr>
          <w:rFonts w:cs="Times New Roman"/>
          <w:i/>
          <w:color w:val="auto"/>
        </w:rPr>
        <w:t>per se</w:t>
      </w:r>
      <w:r w:rsidR="00E7329D">
        <w:rPr>
          <w:rFonts w:cs="Times New Roman"/>
          <w:color w:val="auto"/>
        </w:rPr>
        <w:t xml:space="preserve"> </w:t>
      </w:r>
      <w:r w:rsidR="00911D79">
        <w:rPr>
          <w:rFonts w:cs="Times New Roman"/>
          <w:color w:val="auto"/>
        </w:rPr>
        <w:t xml:space="preserve">a compensable rating at </w:t>
      </w:r>
      <w:r w:rsidR="00F95441">
        <w:rPr>
          <w:rFonts w:cs="Times New Roman"/>
          <w:color w:val="auto"/>
        </w:rPr>
        <w:t xml:space="preserve">either </w:t>
      </w:r>
      <w:r w:rsidR="00911D79">
        <w:rPr>
          <w:rFonts w:cs="Times New Roman"/>
          <w:color w:val="auto"/>
        </w:rPr>
        <w:t xml:space="preserve">temporary retirement or permanent separation.  </w:t>
      </w:r>
      <w:r w:rsidR="00CF11B0">
        <w:rPr>
          <w:rFonts w:cs="Times New Roman"/>
          <w:color w:val="auto"/>
        </w:rPr>
        <w:t xml:space="preserve">The non-PFT derived criteria under 6602 are: </w:t>
      </w:r>
      <w:r w:rsidR="00364138">
        <w:rPr>
          <w:rFonts w:cs="Times New Roman"/>
          <w:color w:val="auto"/>
        </w:rPr>
        <w:t>“</w:t>
      </w:r>
      <w:r w:rsidR="00364138" w:rsidRPr="00364138">
        <w:rPr>
          <w:rFonts w:cs="Times New Roman"/>
          <w:color w:val="auto"/>
        </w:rPr>
        <w:t>intermittent inhalational or oral bronchodilator therapy</w:t>
      </w:r>
      <w:r w:rsidR="00364138">
        <w:rPr>
          <w:rFonts w:cs="Times New Roman"/>
          <w:color w:val="auto"/>
        </w:rPr>
        <w:t>”</w:t>
      </w:r>
      <w:r w:rsidR="00513BB3">
        <w:rPr>
          <w:rFonts w:cs="Times New Roman"/>
          <w:color w:val="auto"/>
        </w:rPr>
        <w:t xml:space="preserve"> for </w:t>
      </w:r>
      <w:r w:rsidR="00513BB3" w:rsidRPr="00364138">
        <w:rPr>
          <w:rFonts w:cs="Times New Roman"/>
          <w:color w:val="auto"/>
        </w:rPr>
        <w:t>10%</w:t>
      </w:r>
      <w:r w:rsidR="00364138">
        <w:rPr>
          <w:rFonts w:cs="Times New Roman"/>
          <w:color w:val="auto"/>
        </w:rPr>
        <w:t>; “</w:t>
      </w:r>
      <w:r w:rsidR="00364138" w:rsidRPr="00364138">
        <w:rPr>
          <w:rFonts w:cs="Times New Roman"/>
          <w:color w:val="auto"/>
        </w:rPr>
        <w:t>daily inhalational or oral bronchodilator therapy, or; inhalational anti-inflammatory</w:t>
      </w:r>
      <w:r w:rsidR="00364138">
        <w:rPr>
          <w:rFonts w:cs="Times New Roman"/>
          <w:color w:val="auto"/>
        </w:rPr>
        <w:t xml:space="preserve"> </w:t>
      </w:r>
      <w:r w:rsidR="00364138" w:rsidRPr="00364138">
        <w:rPr>
          <w:rFonts w:cs="Times New Roman"/>
          <w:color w:val="auto"/>
        </w:rPr>
        <w:t>medication</w:t>
      </w:r>
      <w:r w:rsidR="00364138">
        <w:rPr>
          <w:rFonts w:cs="Times New Roman"/>
          <w:color w:val="auto"/>
        </w:rPr>
        <w:t>”</w:t>
      </w:r>
      <w:r w:rsidR="00513BB3">
        <w:rPr>
          <w:rFonts w:cs="Times New Roman"/>
          <w:color w:val="auto"/>
        </w:rPr>
        <w:t xml:space="preserve"> for 3</w:t>
      </w:r>
      <w:r w:rsidR="00513BB3" w:rsidRPr="00364138">
        <w:rPr>
          <w:rFonts w:cs="Times New Roman"/>
          <w:color w:val="auto"/>
        </w:rPr>
        <w:t>0%</w:t>
      </w:r>
      <w:r w:rsidR="00364138">
        <w:rPr>
          <w:rFonts w:cs="Times New Roman"/>
          <w:color w:val="auto"/>
        </w:rPr>
        <w:t>; and, “</w:t>
      </w:r>
      <w:r w:rsidR="00364138" w:rsidRPr="00364138">
        <w:rPr>
          <w:rFonts w:cs="Times New Roman"/>
          <w:color w:val="auto"/>
        </w:rPr>
        <w:t xml:space="preserve">intermittent (at least three per year) courses of systemic (oral or </w:t>
      </w:r>
      <w:proofErr w:type="spellStart"/>
      <w:r w:rsidR="00364138" w:rsidRPr="00364138">
        <w:rPr>
          <w:rFonts w:cs="Times New Roman"/>
          <w:color w:val="auto"/>
        </w:rPr>
        <w:t>parenteral</w:t>
      </w:r>
      <w:proofErr w:type="spellEnd"/>
      <w:r w:rsidR="00364138" w:rsidRPr="00364138">
        <w:rPr>
          <w:rFonts w:cs="Times New Roman"/>
          <w:color w:val="auto"/>
        </w:rPr>
        <w:t>) corticosteroids</w:t>
      </w:r>
      <w:r w:rsidR="00364138">
        <w:rPr>
          <w:rFonts w:cs="Times New Roman"/>
          <w:color w:val="auto"/>
        </w:rPr>
        <w:t>”</w:t>
      </w:r>
      <w:r w:rsidR="00513BB3">
        <w:rPr>
          <w:rFonts w:cs="Times New Roman"/>
          <w:color w:val="auto"/>
        </w:rPr>
        <w:t xml:space="preserve"> for 6</w:t>
      </w:r>
      <w:r w:rsidR="00513BB3" w:rsidRPr="00364138">
        <w:rPr>
          <w:rFonts w:cs="Times New Roman"/>
          <w:color w:val="auto"/>
        </w:rPr>
        <w:t>0%</w:t>
      </w:r>
      <w:r w:rsidR="00364138">
        <w:rPr>
          <w:rFonts w:cs="Times New Roman"/>
          <w:color w:val="auto"/>
        </w:rPr>
        <w:t>.</w:t>
      </w:r>
      <w:r w:rsidR="00513BB3">
        <w:rPr>
          <w:rFonts w:cs="Times New Roman"/>
          <w:color w:val="auto"/>
        </w:rPr>
        <w:t xml:space="preserve">  Regarding the TDRL rating, </w:t>
      </w:r>
      <w:r w:rsidR="00831AAC">
        <w:rPr>
          <w:rFonts w:cs="Times New Roman"/>
          <w:color w:val="auto"/>
        </w:rPr>
        <w:t xml:space="preserve">the STR </w:t>
      </w:r>
      <w:r w:rsidR="00513BB3">
        <w:rPr>
          <w:rFonts w:cs="Times New Roman"/>
          <w:color w:val="auto"/>
        </w:rPr>
        <w:t xml:space="preserve">evidence </w:t>
      </w:r>
      <w:r w:rsidR="00831AAC">
        <w:rPr>
          <w:rFonts w:cs="Times New Roman"/>
          <w:color w:val="auto"/>
        </w:rPr>
        <w:t>elaborated above documents</w:t>
      </w:r>
      <w:r w:rsidR="00513BB3">
        <w:rPr>
          <w:rFonts w:cs="Times New Roman"/>
          <w:color w:val="auto"/>
        </w:rPr>
        <w:t xml:space="preserve"> </w:t>
      </w:r>
      <w:r w:rsidR="00B52243">
        <w:rPr>
          <w:rFonts w:cs="Times New Roman"/>
          <w:color w:val="auto"/>
        </w:rPr>
        <w:t>three</w:t>
      </w:r>
      <w:r w:rsidR="00513BB3">
        <w:rPr>
          <w:rFonts w:cs="Times New Roman"/>
          <w:color w:val="auto"/>
        </w:rPr>
        <w:t xml:space="preserve"> courses of systemic steroids </w:t>
      </w:r>
      <w:r w:rsidR="00831AAC">
        <w:rPr>
          <w:rFonts w:cs="Times New Roman"/>
          <w:color w:val="auto"/>
        </w:rPr>
        <w:t xml:space="preserve">over the rating period which meets </w:t>
      </w:r>
      <w:r w:rsidR="00513BB3">
        <w:rPr>
          <w:rFonts w:cs="Times New Roman"/>
          <w:color w:val="auto"/>
        </w:rPr>
        <w:t>the 60% criteria</w:t>
      </w:r>
      <w:r w:rsidR="007F3308">
        <w:rPr>
          <w:rFonts w:cs="Times New Roman"/>
          <w:color w:val="auto"/>
        </w:rPr>
        <w:t>.</w:t>
      </w:r>
      <w:r w:rsidR="00513BB3">
        <w:rPr>
          <w:rFonts w:cs="Times New Roman"/>
          <w:color w:val="auto"/>
        </w:rPr>
        <w:t xml:space="preserve">  </w:t>
      </w:r>
      <w:r w:rsidR="00F93572">
        <w:rPr>
          <w:rFonts w:cs="Times New Roman"/>
          <w:color w:val="auto"/>
        </w:rPr>
        <w:t>T</w:t>
      </w:r>
      <w:r w:rsidR="00513BB3">
        <w:rPr>
          <w:rFonts w:cs="Times New Roman"/>
          <w:color w:val="auto"/>
        </w:rPr>
        <w:t xml:space="preserve">his was not documented in the narrative summary </w:t>
      </w:r>
      <w:r w:rsidR="00F93572">
        <w:rPr>
          <w:rFonts w:cs="Times New Roman"/>
          <w:color w:val="auto"/>
        </w:rPr>
        <w:t xml:space="preserve">(NARSUM) </w:t>
      </w:r>
      <w:r w:rsidR="00513BB3">
        <w:rPr>
          <w:rFonts w:cs="Times New Roman"/>
          <w:color w:val="auto"/>
        </w:rPr>
        <w:t xml:space="preserve">before the PEB in </w:t>
      </w:r>
      <w:r w:rsidR="00F93572">
        <w:rPr>
          <w:rFonts w:cs="Times New Roman"/>
          <w:color w:val="auto"/>
        </w:rPr>
        <w:t xml:space="preserve">2003, and the 30% rating conferred by the IPEB was compliant with </w:t>
      </w:r>
      <w:r w:rsidR="00F93572" w:rsidRPr="00C905A1">
        <w:rPr>
          <w:rFonts w:cs="Times New Roman"/>
          <w:color w:val="auto"/>
        </w:rPr>
        <w:t>§4.97</w:t>
      </w:r>
      <w:r w:rsidR="00F93572">
        <w:rPr>
          <w:rFonts w:cs="Times New Roman"/>
          <w:color w:val="auto"/>
        </w:rPr>
        <w:t xml:space="preserve"> based on the evidence in the core DES file.</w:t>
      </w:r>
      <w:r w:rsidR="00E7329D">
        <w:rPr>
          <w:rFonts w:cs="Times New Roman"/>
          <w:color w:val="auto"/>
        </w:rPr>
        <w:t xml:space="preserve"> </w:t>
      </w:r>
      <w:r w:rsidR="00F93572">
        <w:rPr>
          <w:rFonts w:cs="Times New Roman"/>
          <w:color w:val="auto"/>
        </w:rPr>
        <w:t xml:space="preserve"> </w:t>
      </w:r>
      <w:r w:rsidR="007F3308">
        <w:rPr>
          <w:rFonts w:cs="Times New Roman"/>
          <w:color w:val="auto"/>
        </w:rPr>
        <w:t xml:space="preserve">The Board </w:t>
      </w:r>
      <w:r w:rsidR="00F93572" w:rsidRPr="007F3308">
        <w:rPr>
          <w:rFonts w:cs="Times New Roman"/>
          <w:color w:val="auto"/>
        </w:rPr>
        <w:t xml:space="preserve">deliberated if a recommendation for an increase in the TDRL rating was warranted; and, concluded that the MEB examiner should have </w:t>
      </w:r>
      <w:r w:rsidR="007C4449" w:rsidRPr="007F3308">
        <w:rPr>
          <w:rFonts w:cs="Times New Roman"/>
          <w:color w:val="auto"/>
        </w:rPr>
        <w:t>documented this significant information in the NARSUM and that the PEB was accountable for the integrity of the NARSUM.  Thus, the</w:t>
      </w:r>
      <w:r w:rsidR="00F93572" w:rsidRPr="007F3308">
        <w:rPr>
          <w:rFonts w:cs="Times New Roman"/>
          <w:color w:val="auto"/>
        </w:rPr>
        <w:t xml:space="preserve"> </w:t>
      </w:r>
      <w:r w:rsidR="007C4449" w:rsidRPr="007F3308">
        <w:rPr>
          <w:rFonts w:cs="Times New Roman"/>
          <w:color w:val="auto"/>
        </w:rPr>
        <w:t>Board recommends an increase in the TDRL rating to 60% in this case.</w:t>
      </w:r>
      <w:r w:rsidR="007C4449">
        <w:rPr>
          <w:rFonts w:cs="Times New Roman"/>
          <w:color w:val="auto"/>
        </w:rPr>
        <w:t xml:space="preserve">  </w:t>
      </w:r>
      <w:r w:rsidR="007F3308">
        <w:rPr>
          <w:rFonts w:cs="Times New Roman"/>
          <w:color w:val="auto"/>
        </w:rPr>
        <w:t xml:space="preserve"> </w:t>
      </w:r>
    </w:p>
    <w:p w:rsidR="00364138" w:rsidRDefault="00364138" w:rsidP="00C905A1">
      <w:pPr>
        <w:jc w:val="both"/>
        <w:rPr>
          <w:rFonts w:cs="Times New Roman"/>
          <w:color w:val="auto"/>
        </w:rPr>
      </w:pPr>
    </w:p>
    <w:p w:rsidR="00797871" w:rsidRDefault="007C4449" w:rsidP="00C905A1">
      <w:pPr>
        <w:jc w:val="both"/>
        <w:rPr>
          <w:rFonts w:cs="Times New Roman"/>
          <w:color w:val="auto"/>
        </w:rPr>
      </w:pPr>
      <w:r>
        <w:rPr>
          <w:rFonts w:cs="Times New Roman"/>
          <w:color w:val="auto"/>
        </w:rPr>
        <w:t xml:space="preserve">The Board next considered the appropriate permanent separation rating recommendation for this case.  The key issue </w:t>
      </w:r>
      <w:r w:rsidR="006178A0">
        <w:rPr>
          <w:rFonts w:cs="Times New Roman"/>
          <w:color w:val="auto"/>
        </w:rPr>
        <w:t xml:space="preserve">is </w:t>
      </w:r>
      <w:r w:rsidR="006178A0" w:rsidRPr="006178A0">
        <w:rPr>
          <w:rFonts w:cs="Times New Roman"/>
          <w:color w:val="auto"/>
        </w:rPr>
        <w:t xml:space="preserve">whether </w:t>
      </w:r>
      <w:r w:rsidR="006178A0">
        <w:rPr>
          <w:rFonts w:cs="Times New Roman"/>
          <w:color w:val="auto"/>
        </w:rPr>
        <w:t xml:space="preserve">either </w:t>
      </w:r>
      <w:r w:rsidR="006178A0" w:rsidRPr="006178A0">
        <w:rPr>
          <w:rFonts w:cs="Times New Roman"/>
          <w:color w:val="auto"/>
        </w:rPr>
        <w:t xml:space="preserve">the </w:t>
      </w:r>
      <w:r w:rsidR="006178A0">
        <w:rPr>
          <w:rFonts w:cs="Times New Roman"/>
          <w:color w:val="auto"/>
        </w:rPr>
        <w:t>10% or 30% treatment criteria quoted above were satisfied by the preponderance of the evidence</w:t>
      </w:r>
      <w:r w:rsidR="00831AAC">
        <w:rPr>
          <w:rFonts w:cs="Times New Roman"/>
          <w:color w:val="auto"/>
        </w:rPr>
        <w:t>; since no systemic steroid treatment was documented by treatment notes</w:t>
      </w:r>
      <w:r w:rsidR="006178A0" w:rsidRPr="006178A0">
        <w:rPr>
          <w:rFonts w:cs="Times New Roman"/>
          <w:color w:val="auto"/>
        </w:rPr>
        <w:t xml:space="preserve">.  It is acknowledged that the VASRD is somewhat outdated for asthma since modern treatment has expanded to include many treatment agents not employed when the existing rating criteria were promulgated.  Contemporary regimens routinely employ daily maintenance with a variety of inhaled steroid (anti-inflammatory) and/or bronchodilator agents.  The VA generally concedes the 30% rating if there is a prescription for </w:t>
      </w:r>
      <w:r w:rsidR="00831AAC">
        <w:rPr>
          <w:rFonts w:cs="Times New Roman"/>
          <w:color w:val="auto"/>
        </w:rPr>
        <w:t xml:space="preserve">daily use of </w:t>
      </w:r>
      <w:r w:rsidR="006178A0" w:rsidRPr="006178A0">
        <w:rPr>
          <w:rFonts w:cs="Times New Roman"/>
          <w:color w:val="auto"/>
        </w:rPr>
        <w:t xml:space="preserve">any of these agents; and, the Board’s precedent has been to follow suit, even though it is clear that this encompasses many cases of well-controlled disease associated with minimal limitations and disability.  The Board however does take the reasonable position that the evidence in such cases should satisfy an assumption that the treatment regimen supporting the higher rating is necessary to maintain good control of the condition.  That question is only raised in cases where there is evidence that the condition is well controlled in spite of non-compliance with prescribed regimens, or that daily use is not maintained on a </w:t>
      </w:r>
      <w:r w:rsidR="00573B5D">
        <w:rPr>
          <w:rFonts w:cs="Times New Roman"/>
          <w:color w:val="auto"/>
        </w:rPr>
        <w:t>consistent</w:t>
      </w:r>
      <w:r w:rsidR="006178A0" w:rsidRPr="006178A0">
        <w:rPr>
          <w:rFonts w:cs="Times New Roman"/>
          <w:color w:val="auto"/>
        </w:rPr>
        <w:t xml:space="preserve"> basis.</w:t>
      </w:r>
      <w:r w:rsidR="00505FEA">
        <w:rPr>
          <w:rFonts w:cs="Times New Roman"/>
          <w:color w:val="auto"/>
        </w:rPr>
        <w:t xml:space="preserve">  The final </w:t>
      </w:r>
      <w:r w:rsidR="006178A0">
        <w:rPr>
          <w:rFonts w:cs="Times New Roman"/>
          <w:color w:val="auto"/>
        </w:rPr>
        <w:t xml:space="preserve">PEB’s rationale for its 0% rating was based on exactly this </w:t>
      </w:r>
      <w:r w:rsidR="00F951A4">
        <w:rPr>
          <w:rFonts w:cs="Times New Roman"/>
          <w:color w:val="auto"/>
        </w:rPr>
        <w:t xml:space="preserve">principle.  The </w:t>
      </w:r>
      <w:r w:rsidR="006178A0">
        <w:rPr>
          <w:rFonts w:cs="Times New Roman"/>
          <w:color w:val="auto"/>
        </w:rPr>
        <w:t>PEB’s DA Form 199 stated, “</w:t>
      </w:r>
      <w:proofErr w:type="gramStart"/>
      <w:r w:rsidR="00F951A4">
        <w:rPr>
          <w:rFonts w:cs="Times New Roman"/>
          <w:color w:val="auto"/>
        </w:rPr>
        <w:t>r</w:t>
      </w:r>
      <w:r w:rsidR="006178A0" w:rsidRPr="006178A0">
        <w:rPr>
          <w:rFonts w:cs="Times New Roman"/>
          <w:color w:val="auto"/>
        </w:rPr>
        <w:t>eview</w:t>
      </w:r>
      <w:proofErr w:type="gramEnd"/>
      <w:r w:rsidR="006178A0" w:rsidRPr="006178A0">
        <w:rPr>
          <w:rFonts w:cs="Times New Roman"/>
          <w:color w:val="auto"/>
        </w:rPr>
        <w:t xml:space="preserve"> of pharmacy records revealed that </w:t>
      </w:r>
      <w:r w:rsidR="00F951A4">
        <w:rPr>
          <w:rFonts w:cs="Times New Roman"/>
          <w:color w:val="auto"/>
        </w:rPr>
        <w:t>s</w:t>
      </w:r>
      <w:r w:rsidR="006178A0" w:rsidRPr="006178A0">
        <w:rPr>
          <w:rFonts w:cs="Times New Roman"/>
          <w:color w:val="auto"/>
        </w:rPr>
        <w:t>oldier has not utilized medications as prescribed.</w:t>
      </w:r>
      <w:r w:rsidR="006178A0">
        <w:rPr>
          <w:rFonts w:cs="Times New Roman"/>
          <w:color w:val="auto"/>
        </w:rPr>
        <w:t>”</w:t>
      </w:r>
      <w:r w:rsidR="00F951A4">
        <w:rPr>
          <w:rFonts w:cs="Times New Roman"/>
          <w:color w:val="auto"/>
        </w:rPr>
        <w:t xml:space="preserve">  The CI’s rebuttal to the </w:t>
      </w:r>
      <w:r w:rsidR="00797871">
        <w:rPr>
          <w:rFonts w:cs="Times New Roman"/>
          <w:color w:val="auto"/>
        </w:rPr>
        <w:t>PEB contained the following excerpt.</w:t>
      </w:r>
    </w:p>
    <w:p w:rsidR="007C4449" w:rsidRDefault="007C4449" w:rsidP="00C905A1">
      <w:pPr>
        <w:jc w:val="both"/>
        <w:rPr>
          <w:rFonts w:cs="Times New Roman"/>
          <w:color w:val="auto"/>
        </w:rPr>
      </w:pPr>
    </w:p>
    <w:p w:rsidR="00797871" w:rsidRPr="00797871" w:rsidRDefault="00797871" w:rsidP="00505FEA">
      <w:pPr>
        <w:spacing w:line="200" w:lineRule="exact"/>
        <w:ind w:left="720" w:right="720"/>
        <w:jc w:val="both"/>
        <w:rPr>
          <w:rFonts w:cs="Times New Roman"/>
          <w:color w:val="auto"/>
          <w:sz w:val="20"/>
        </w:rPr>
      </w:pPr>
      <w:r w:rsidRPr="00797871">
        <w:rPr>
          <w:rFonts w:cs="Times New Roman"/>
          <w:color w:val="auto"/>
          <w:sz w:val="20"/>
        </w:rPr>
        <w:t xml:space="preserve">Stated also, was that the Pharmacy records showed that I have not utilized my medications as prescribed.  I believe these records came about if you pulled up my social security number. When I was placed on TDRL in 2003, I became a dependent because my spouse is active duty, and all my present medications are filled under the social security number of my spouse [supplies number].  With that social security number you will see that I receive all my medications through </w:t>
      </w:r>
      <w:proofErr w:type="spellStart"/>
      <w:r w:rsidRPr="00797871">
        <w:rPr>
          <w:rFonts w:cs="Times New Roman"/>
          <w:color w:val="auto"/>
          <w:sz w:val="20"/>
        </w:rPr>
        <w:t>Tricare</w:t>
      </w:r>
      <w:proofErr w:type="spellEnd"/>
      <w:r w:rsidRPr="00797871">
        <w:rPr>
          <w:rFonts w:cs="Times New Roman"/>
          <w:color w:val="auto"/>
          <w:sz w:val="20"/>
        </w:rPr>
        <w:t xml:space="preserve"> Prime.</w:t>
      </w:r>
    </w:p>
    <w:p w:rsidR="006178A0" w:rsidRDefault="006178A0" w:rsidP="00C905A1">
      <w:pPr>
        <w:jc w:val="both"/>
        <w:rPr>
          <w:rFonts w:cs="Times New Roman"/>
          <w:color w:val="auto"/>
        </w:rPr>
      </w:pPr>
    </w:p>
    <w:p w:rsidR="00505FEA" w:rsidRDefault="00797871" w:rsidP="00797871">
      <w:pPr>
        <w:jc w:val="both"/>
        <w:rPr>
          <w:rFonts w:cs="Times New Roman"/>
          <w:color w:val="auto"/>
        </w:rPr>
      </w:pPr>
      <w:r>
        <w:rPr>
          <w:rFonts w:cs="Times New Roman"/>
          <w:color w:val="auto"/>
        </w:rPr>
        <w:lastRenderedPageBreak/>
        <w:t xml:space="preserve">The </w:t>
      </w:r>
      <w:r w:rsidR="00505FEA">
        <w:rPr>
          <w:rFonts w:cs="Times New Roman"/>
          <w:color w:val="auto"/>
        </w:rPr>
        <w:t>PEB</w:t>
      </w:r>
      <w:r>
        <w:rPr>
          <w:rFonts w:cs="Times New Roman"/>
          <w:color w:val="auto"/>
        </w:rPr>
        <w:t xml:space="preserve"> response to the CI’s </w:t>
      </w:r>
      <w:r w:rsidR="00505FEA">
        <w:rPr>
          <w:rFonts w:cs="Times New Roman"/>
          <w:color w:val="auto"/>
        </w:rPr>
        <w:t xml:space="preserve">rebuttal contained the following excerpt. </w:t>
      </w:r>
    </w:p>
    <w:p w:rsidR="00505FEA" w:rsidRDefault="00505FEA" w:rsidP="00797871">
      <w:pPr>
        <w:jc w:val="both"/>
        <w:rPr>
          <w:rFonts w:cs="Times New Roman"/>
          <w:color w:val="auto"/>
        </w:rPr>
      </w:pPr>
    </w:p>
    <w:p w:rsidR="00797871" w:rsidRPr="00505FEA" w:rsidRDefault="00505FEA" w:rsidP="00505FEA">
      <w:pPr>
        <w:spacing w:line="200" w:lineRule="exact"/>
        <w:ind w:left="720" w:right="720"/>
        <w:jc w:val="both"/>
        <w:rPr>
          <w:rFonts w:cs="Times New Roman"/>
          <w:color w:val="auto"/>
          <w:sz w:val="20"/>
        </w:rPr>
      </w:pPr>
      <w:r w:rsidRPr="00505FEA">
        <w:rPr>
          <w:rFonts w:cs="Times New Roman"/>
          <w:color w:val="auto"/>
          <w:sz w:val="20"/>
        </w:rPr>
        <w:t xml:space="preserve">[CI addressed], the PEB used the SSAN </w:t>
      </w:r>
      <w:r w:rsidR="00B5486E">
        <w:rPr>
          <w:rFonts w:cs="Times New Roman"/>
          <w:color w:val="auto"/>
          <w:sz w:val="20"/>
        </w:rPr>
        <w:t>[social security account number]</w:t>
      </w:r>
      <w:r w:rsidR="0052430A">
        <w:rPr>
          <w:rFonts w:cs="Times New Roman"/>
          <w:color w:val="auto"/>
          <w:sz w:val="20"/>
        </w:rPr>
        <w:t xml:space="preserve"> </w:t>
      </w:r>
      <w:r w:rsidRPr="00505FEA">
        <w:rPr>
          <w:rFonts w:cs="Times New Roman"/>
          <w:color w:val="auto"/>
          <w:sz w:val="20"/>
        </w:rPr>
        <w:t xml:space="preserve">you provided in your rebuttal when evaluating your case. </w:t>
      </w:r>
      <w:r w:rsidR="00797871" w:rsidRPr="00505FEA">
        <w:rPr>
          <w:rFonts w:cs="Times New Roman"/>
          <w:color w:val="auto"/>
          <w:sz w:val="20"/>
        </w:rPr>
        <w:t>Per the pharmacy records there is no indication that you were using asthma medications from September to December of 2004.  There are no records supporting the NARSUM statement that you were treated with high dose steroids (Prednisone) during the last year, and the pharmacy record does not reflect this treatment either.</w:t>
      </w:r>
    </w:p>
    <w:p w:rsidR="00797871" w:rsidRDefault="00797871" w:rsidP="00C905A1">
      <w:pPr>
        <w:jc w:val="both"/>
        <w:rPr>
          <w:rFonts w:cs="Times New Roman"/>
          <w:color w:val="auto"/>
        </w:rPr>
      </w:pPr>
    </w:p>
    <w:p w:rsidR="00880AED" w:rsidRDefault="00505FEA" w:rsidP="009C231F">
      <w:pPr>
        <w:jc w:val="both"/>
        <w:rPr>
          <w:color w:val="000000"/>
        </w:rPr>
      </w:pPr>
      <w:r>
        <w:rPr>
          <w:rFonts w:cs="Times New Roman"/>
          <w:color w:val="auto"/>
        </w:rPr>
        <w:t xml:space="preserve">The PEB’s 0% rating was therefore premised on the absence of even intermittent treatment </w:t>
      </w:r>
      <w:r w:rsidR="00880AED">
        <w:rPr>
          <w:rFonts w:cs="Times New Roman"/>
          <w:color w:val="auto"/>
        </w:rPr>
        <w:t>for a significant portion of the rating</w:t>
      </w:r>
      <w:r>
        <w:rPr>
          <w:rFonts w:cs="Times New Roman"/>
          <w:color w:val="auto"/>
        </w:rPr>
        <w:t xml:space="preserve"> period.  The </w:t>
      </w:r>
      <w:r w:rsidR="00F951A4">
        <w:rPr>
          <w:rFonts w:cs="Times New Roman"/>
          <w:color w:val="auto"/>
        </w:rPr>
        <w:t>a</w:t>
      </w:r>
      <w:r>
        <w:rPr>
          <w:rFonts w:cs="Times New Roman"/>
          <w:color w:val="auto"/>
        </w:rPr>
        <w:t xml:space="preserve">ction </w:t>
      </w:r>
      <w:r w:rsidR="00F951A4">
        <w:rPr>
          <w:rFonts w:cs="Times New Roman"/>
          <w:color w:val="auto"/>
        </w:rPr>
        <w:t>o</w:t>
      </w:r>
      <w:r>
        <w:rPr>
          <w:rFonts w:cs="Times New Roman"/>
          <w:color w:val="auto"/>
        </w:rPr>
        <w:t xml:space="preserve">fficer and Board members carefully reviewed the </w:t>
      </w:r>
      <w:r w:rsidR="00880AED">
        <w:rPr>
          <w:rFonts w:cs="Times New Roman"/>
          <w:color w:val="auto"/>
        </w:rPr>
        <w:t>medication</w:t>
      </w:r>
      <w:r w:rsidR="00824405">
        <w:rPr>
          <w:rFonts w:cs="Times New Roman"/>
          <w:color w:val="auto"/>
        </w:rPr>
        <w:t xml:space="preserve"> log</w:t>
      </w:r>
      <w:r w:rsidR="00880AED">
        <w:rPr>
          <w:rFonts w:cs="Times New Roman"/>
          <w:color w:val="auto"/>
        </w:rPr>
        <w:t>,</w:t>
      </w:r>
      <w:r w:rsidR="00824405">
        <w:rPr>
          <w:rFonts w:cs="Times New Roman"/>
          <w:color w:val="auto"/>
        </w:rPr>
        <w:t xml:space="preserve"> </w:t>
      </w:r>
      <w:r w:rsidR="00880AED">
        <w:rPr>
          <w:rFonts w:cs="Times New Roman"/>
          <w:color w:val="auto"/>
        </w:rPr>
        <w:t>cross-checked with</w:t>
      </w:r>
      <w:r w:rsidR="00824405">
        <w:rPr>
          <w:rFonts w:cs="Times New Roman"/>
          <w:color w:val="auto"/>
        </w:rPr>
        <w:t xml:space="preserve"> </w:t>
      </w:r>
      <w:r w:rsidR="00880AED">
        <w:rPr>
          <w:rFonts w:cs="Times New Roman"/>
          <w:color w:val="auto"/>
        </w:rPr>
        <w:t>the clinical entries</w:t>
      </w:r>
      <w:r w:rsidR="00824405">
        <w:rPr>
          <w:rFonts w:cs="Times New Roman"/>
          <w:color w:val="auto"/>
        </w:rPr>
        <w:t xml:space="preserve"> in the STR.  </w:t>
      </w:r>
      <w:r w:rsidR="0002146D">
        <w:rPr>
          <w:rFonts w:cs="Times New Roman"/>
          <w:color w:val="auto"/>
        </w:rPr>
        <w:t xml:space="preserve">Concurrent clinical treatments verified the treatment regimen with daily doses, but were silent regarding compliance.  There were no conflicting pharmacy entries. The findings from the medication log are summarized in the chart below.  </w:t>
      </w:r>
      <w:r w:rsidR="00803CAB">
        <w:rPr>
          <w:rFonts w:cs="Times New Roman"/>
          <w:color w:val="auto"/>
        </w:rPr>
        <w:t xml:space="preserve">The log was in the CI’s name, but under a different SSAN; and, it </w:t>
      </w:r>
      <w:r w:rsidR="00B50D14">
        <w:rPr>
          <w:rFonts w:cs="Times New Roman"/>
          <w:color w:val="auto"/>
        </w:rPr>
        <w:t>must be</w:t>
      </w:r>
      <w:r w:rsidR="00803CAB">
        <w:rPr>
          <w:rFonts w:cs="Times New Roman"/>
          <w:color w:val="auto"/>
        </w:rPr>
        <w:t xml:space="preserve"> concluded that it is the pharmacy account referenced in her rebuttal.  </w:t>
      </w:r>
      <w:r w:rsidR="0002146D">
        <w:rPr>
          <w:rFonts w:cs="Times New Roman"/>
          <w:color w:val="auto"/>
        </w:rPr>
        <w:t xml:space="preserve">All dispenses during the period </w:t>
      </w:r>
      <w:r w:rsidR="00F951A4">
        <w:rPr>
          <w:color w:val="000000"/>
        </w:rPr>
        <w:t>24 February 2004 through 24 February 2005</w:t>
      </w:r>
      <w:r w:rsidR="0002146D">
        <w:rPr>
          <w:color w:val="000000"/>
        </w:rPr>
        <w:t xml:space="preserve"> (12 months preceding the Boards adjudication date) are captured.  Dates of dispensing are not included, although the lack of dispensing during the interval documented in the PEB response to rebuttal was verified.  </w:t>
      </w:r>
    </w:p>
    <w:p w:rsidR="00D12605" w:rsidRPr="00880AED" w:rsidRDefault="00D12605" w:rsidP="00C905A1">
      <w:pPr>
        <w:jc w:val="both"/>
        <w:rPr>
          <w:rFonts w:cs="Times New Roman"/>
          <w:color w:val="auto"/>
        </w:rPr>
      </w:pPr>
    </w:p>
    <w:tbl>
      <w:tblPr>
        <w:tblStyle w:val="TableGrid"/>
        <w:tblW w:w="0" w:type="auto"/>
        <w:jc w:val="center"/>
        <w:tblInd w:w="299" w:type="dxa"/>
        <w:tblLook w:val="04A0"/>
      </w:tblPr>
      <w:tblGrid>
        <w:gridCol w:w="976"/>
        <w:gridCol w:w="3655"/>
        <w:gridCol w:w="2216"/>
        <w:gridCol w:w="2054"/>
      </w:tblGrid>
      <w:tr w:rsidR="00836FC3" w:rsidRPr="00836FC3" w:rsidTr="00D12605">
        <w:trPr>
          <w:jc w:val="center"/>
        </w:trPr>
        <w:tc>
          <w:tcPr>
            <w:tcW w:w="976" w:type="dxa"/>
            <w:shd w:val="clear" w:color="auto" w:fill="D9D9D9" w:themeFill="background1" w:themeFillShade="D9"/>
            <w:vAlign w:val="center"/>
          </w:tcPr>
          <w:p w:rsidR="00836FC3" w:rsidRPr="00836FC3" w:rsidRDefault="00836FC3" w:rsidP="00836FC3">
            <w:pPr>
              <w:autoSpaceDE w:val="0"/>
              <w:autoSpaceDN w:val="0"/>
              <w:adjustRightInd w:val="0"/>
              <w:rPr>
                <w:b/>
                <w:color w:val="auto"/>
                <w:sz w:val="20"/>
                <w:szCs w:val="20"/>
              </w:rPr>
            </w:pPr>
            <w:r w:rsidRPr="00836FC3">
              <w:rPr>
                <w:b/>
                <w:color w:val="auto"/>
                <w:sz w:val="20"/>
                <w:szCs w:val="20"/>
              </w:rPr>
              <w:t>Med</w:t>
            </w:r>
          </w:p>
        </w:tc>
        <w:tc>
          <w:tcPr>
            <w:tcW w:w="3655" w:type="dxa"/>
            <w:shd w:val="clear" w:color="auto" w:fill="D9D9D9" w:themeFill="background1" w:themeFillShade="D9"/>
            <w:vAlign w:val="center"/>
          </w:tcPr>
          <w:p w:rsidR="00836FC3" w:rsidRPr="00836FC3" w:rsidRDefault="00836FC3" w:rsidP="00836FC3">
            <w:pPr>
              <w:autoSpaceDE w:val="0"/>
              <w:autoSpaceDN w:val="0"/>
              <w:adjustRightInd w:val="0"/>
              <w:rPr>
                <w:b/>
                <w:color w:val="auto"/>
                <w:sz w:val="20"/>
                <w:szCs w:val="20"/>
              </w:rPr>
            </w:pPr>
            <w:r w:rsidRPr="00836FC3">
              <w:rPr>
                <w:b/>
                <w:color w:val="auto"/>
                <w:sz w:val="20"/>
                <w:szCs w:val="20"/>
              </w:rPr>
              <w:t>Dose/Unit Quantities</w:t>
            </w:r>
          </w:p>
        </w:tc>
        <w:tc>
          <w:tcPr>
            <w:tcW w:w="2216" w:type="dxa"/>
            <w:shd w:val="clear" w:color="auto" w:fill="D9D9D9" w:themeFill="background1" w:themeFillShade="D9"/>
            <w:vAlign w:val="center"/>
          </w:tcPr>
          <w:p w:rsidR="00836FC3" w:rsidRPr="00836FC3" w:rsidRDefault="00802136" w:rsidP="00836FC3">
            <w:pPr>
              <w:autoSpaceDE w:val="0"/>
              <w:autoSpaceDN w:val="0"/>
              <w:adjustRightInd w:val="0"/>
              <w:rPr>
                <w:b/>
                <w:color w:val="auto"/>
                <w:sz w:val="20"/>
                <w:szCs w:val="20"/>
              </w:rPr>
            </w:pPr>
            <w:r>
              <w:rPr>
                <w:b/>
                <w:color w:val="auto"/>
                <w:sz w:val="20"/>
                <w:szCs w:val="20"/>
              </w:rPr>
              <w:t>Total Dispensed/</w:t>
            </w:r>
            <w:r w:rsidR="00836FC3" w:rsidRPr="00836FC3">
              <w:rPr>
                <w:b/>
                <w:color w:val="auto"/>
                <w:sz w:val="20"/>
                <w:szCs w:val="20"/>
              </w:rPr>
              <w:t>12 Mo.</w:t>
            </w:r>
          </w:p>
        </w:tc>
        <w:tc>
          <w:tcPr>
            <w:tcW w:w="2054" w:type="dxa"/>
            <w:shd w:val="clear" w:color="auto" w:fill="D9D9D9" w:themeFill="background1" w:themeFillShade="D9"/>
            <w:vAlign w:val="center"/>
          </w:tcPr>
          <w:p w:rsidR="00836FC3" w:rsidRPr="00836FC3" w:rsidRDefault="00836FC3" w:rsidP="00802136">
            <w:pPr>
              <w:autoSpaceDE w:val="0"/>
              <w:autoSpaceDN w:val="0"/>
              <w:adjustRightInd w:val="0"/>
              <w:rPr>
                <w:b/>
                <w:color w:val="auto"/>
                <w:sz w:val="20"/>
                <w:szCs w:val="20"/>
              </w:rPr>
            </w:pPr>
            <w:r w:rsidRPr="00836FC3">
              <w:rPr>
                <w:b/>
                <w:color w:val="auto"/>
                <w:sz w:val="20"/>
                <w:szCs w:val="20"/>
              </w:rPr>
              <w:t xml:space="preserve">Average Annual </w:t>
            </w:r>
            <w:r w:rsidR="00802136">
              <w:rPr>
                <w:b/>
                <w:color w:val="auto"/>
                <w:sz w:val="20"/>
                <w:szCs w:val="20"/>
              </w:rPr>
              <w:t>Use</w:t>
            </w:r>
          </w:p>
        </w:tc>
      </w:tr>
      <w:tr w:rsidR="00836FC3" w:rsidRPr="00836FC3" w:rsidTr="00D12605">
        <w:trPr>
          <w:jc w:val="center"/>
        </w:trPr>
        <w:tc>
          <w:tcPr>
            <w:tcW w:w="976" w:type="dxa"/>
            <w:vAlign w:val="center"/>
          </w:tcPr>
          <w:p w:rsidR="00836FC3" w:rsidRPr="00836FC3" w:rsidRDefault="00836FC3" w:rsidP="00836FC3">
            <w:pPr>
              <w:autoSpaceDE w:val="0"/>
              <w:autoSpaceDN w:val="0"/>
              <w:adjustRightInd w:val="0"/>
              <w:rPr>
                <w:color w:val="auto"/>
                <w:sz w:val="20"/>
                <w:szCs w:val="20"/>
              </w:rPr>
            </w:pPr>
            <w:proofErr w:type="spellStart"/>
            <w:r w:rsidRPr="00836FC3">
              <w:rPr>
                <w:color w:val="auto"/>
                <w:sz w:val="20"/>
                <w:szCs w:val="20"/>
              </w:rPr>
              <w:t>Albuterol</w:t>
            </w:r>
            <w:proofErr w:type="spellEnd"/>
          </w:p>
        </w:tc>
        <w:tc>
          <w:tcPr>
            <w:tcW w:w="3655" w:type="dxa"/>
            <w:vAlign w:val="center"/>
          </w:tcPr>
          <w:p w:rsidR="00836FC3" w:rsidRPr="00836FC3" w:rsidRDefault="00836FC3" w:rsidP="00836FC3">
            <w:pPr>
              <w:autoSpaceDE w:val="0"/>
              <w:autoSpaceDN w:val="0"/>
              <w:adjustRightInd w:val="0"/>
              <w:rPr>
                <w:color w:val="auto"/>
                <w:sz w:val="20"/>
                <w:szCs w:val="20"/>
              </w:rPr>
            </w:pPr>
            <w:r w:rsidRPr="00836FC3">
              <w:rPr>
                <w:color w:val="auto"/>
                <w:sz w:val="20"/>
                <w:szCs w:val="20"/>
              </w:rPr>
              <w:t>1-2 puffs every 4-6 hrs; 200 puffs/inhaler</w:t>
            </w:r>
          </w:p>
        </w:tc>
        <w:tc>
          <w:tcPr>
            <w:tcW w:w="2216" w:type="dxa"/>
            <w:vAlign w:val="center"/>
          </w:tcPr>
          <w:p w:rsidR="00836FC3" w:rsidRPr="00836FC3" w:rsidRDefault="00802136" w:rsidP="00836FC3">
            <w:pPr>
              <w:autoSpaceDE w:val="0"/>
              <w:autoSpaceDN w:val="0"/>
              <w:adjustRightInd w:val="0"/>
              <w:rPr>
                <w:color w:val="auto"/>
                <w:sz w:val="20"/>
                <w:szCs w:val="20"/>
              </w:rPr>
            </w:pPr>
            <w:r>
              <w:rPr>
                <w:color w:val="auto"/>
                <w:sz w:val="20"/>
                <w:szCs w:val="20"/>
              </w:rPr>
              <w:t>3 I</w:t>
            </w:r>
            <w:r w:rsidR="00836FC3" w:rsidRPr="00836FC3">
              <w:rPr>
                <w:color w:val="auto"/>
                <w:sz w:val="20"/>
                <w:szCs w:val="20"/>
              </w:rPr>
              <w:t>nhalers</w:t>
            </w:r>
          </w:p>
        </w:tc>
        <w:tc>
          <w:tcPr>
            <w:tcW w:w="2054" w:type="dxa"/>
            <w:vAlign w:val="center"/>
          </w:tcPr>
          <w:p w:rsidR="00836FC3" w:rsidRPr="00836FC3" w:rsidRDefault="00802136" w:rsidP="00802136">
            <w:pPr>
              <w:autoSpaceDE w:val="0"/>
              <w:autoSpaceDN w:val="0"/>
              <w:adjustRightInd w:val="0"/>
              <w:rPr>
                <w:color w:val="auto"/>
                <w:sz w:val="20"/>
                <w:szCs w:val="20"/>
              </w:rPr>
            </w:pPr>
            <w:r>
              <w:rPr>
                <w:color w:val="auto"/>
                <w:sz w:val="20"/>
                <w:szCs w:val="20"/>
              </w:rPr>
              <w:t>&lt; 2 puffs/day</w:t>
            </w:r>
            <w:r w:rsidR="00836FC3" w:rsidRPr="00836FC3">
              <w:rPr>
                <w:color w:val="auto"/>
                <w:sz w:val="20"/>
                <w:szCs w:val="20"/>
              </w:rPr>
              <w:t xml:space="preserve"> </w:t>
            </w:r>
            <w:r>
              <w:rPr>
                <w:color w:val="auto"/>
                <w:sz w:val="20"/>
                <w:szCs w:val="20"/>
              </w:rPr>
              <w:t>average</w:t>
            </w:r>
          </w:p>
        </w:tc>
      </w:tr>
      <w:tr w:rsidR="00836FC3" w:rsidRPr="00836FC3" w:rsidTr="00D12605">
        <w:trPr>
          <w:jc w:val="center"/>
        </w:trPr>
        <w:tc>
          <w:tcPr>
            <w:tcW w:w="976" w:type="dxa"/>
            <w:vAlign w:val="center"/>
          </w:tcPr>
          <w:p w:rsidR="00836FC3" w:rsidRPr="00836FC3" w:rsidRDefault="00836FC3" w:rsidP="00836FC3">
            <w:pPr>
              <w:autoSpaceDE w:val="0"/>
              <w:autoSpaceDN w:val="0"/>
              <w:adjustRightInd w:val="0"/>
              <w:rPr>
                <w:color w:val="auto"/>
                <w:sz w:val="20"/>
                <w:szCs w:val="20"/>
              </w:rPr>
            </w:pPr>
            <w:proofErr w:type="spellStart"/>
            <w:r w:rsidRPr="00836FC3">
              <w:rPr>
                <w:color w:val="auto"/>
                <w:sz w:val="20"/>
                <w:szCs w:val="20"/>
              </w:rPr>
              <w:t>Singulair</w:t>
            </w:r>
            <w:proofErr w:type="spellEnd"/>
          </w:p>
        </w:tc>
        <w:tc>
          <w:tcPr>
            <w:tcW w:w="3655" w:type="dxa"/>
            <w:vAlign w:val="center"/>
          </w:tcPr>
          <w:p w:rsidR="00836FC3" w:rsidRPr="00836FC3" w:rsidRDefault="009929F0" w:rsidP="00836FC3">
            <w:pPr>
              <w:autoSpaceDE w:val="0"/>
              <w:autoSpaceDN w:val="0"/>
              <w:adjustRightInd w:val="0"/>
              <w:rPr>
                <w:color w:val="auto"/>
                <w:sz w:val="20"/>
                <w:szCs w:val="20"/>
              </w:rPr>
            </w:pPr>
            <w:r>
              <w:rPr>
                <w:color w:val="auto"/>
                <w:sz w:val="20"/>
                <w:szCs w:val="20"/>
              </w:rPr>
              <w:t>1 tab per day</w:t>
            </w:r>
          </w:p>
        </w:tc>
        <w:tc>
          <w:tcPr>
            <w:tcW w:w="2216" w:type="dxa"/>
            <w:vAlign w:val="center"/>
          </w:tcPr>
          <w:p w:rsidR="00836FC3" w:rsidRPr="00836FC3" w:rsidRDefault="00802136" w:rsidP="00836FC3">
            <w:pPr>
              <w:autoSpaceDE w:val="0"/>
              <w:autoSpaceDN w:val="0"/>
              <w:adjustRightInd w:val="0"/>
              <w:rPr>
                <w:color w:val="auto"/>
                <w:sz w:val="20"/>
                <w:szCs w:val="20"/>
              </w:rPr>
            </w:pPr>
            <w:r>
              <w:rPr>
                <w:color w:val="auto"/>
                <w:sz w:val="20"/>
                <w:szCs w:val="20"/>
              </w:rPr>
              <w:t>2 X 90 T</w:t>
            </w:r>
            <w:r w:rsidR="00836FC3" w:rsidRPr="00836FC3">
              <w:rPr>
                <w:color w:val="auto"/>
                <w:sz w:val="20"/>
                <w:szCs w:val="20"/>
              </w:rPr>
              <w:t>abs</w:t>
            </w:r>
          </w:p>
        </w:tc>
        <w:tc>
          <w:tcPr>
            <w:tcW w:w="2054" w:type="dxa"/>
            <w:vAlign w:val="center"/>
          </w:tcPr>
          <w:p w:rsidR="00836FC3" w:rsidRPr="00836FC3" w:rsidRDefault="00836FC3" w:rsidP="00836FC3">
            <w:pPr>
              <w:autoSpaceDE w:val="0"/>
              <w:autoSpaceDN w:val="0"/>
              <w:adjustRightInd w:val="0"/>
              <w:rPr>
                <w:color w:val="auto"/>
                <w:sz w:val="20"/>
                <w:szCs w:val="20"/>
              </w:rPr>
            </w:pPr>
            <w:r w:rsidRPr="00836FC3">
              <w:rPr>
                <w:color w:val="auto"/>
                <w:sz w:val="20"/>
                <w:szCs w:val="20"/>
              </w:rPr>
              <w:t>180/365 days</w:t>
            </w:r>
          </w:p>
        </w:tc>
      </w:tr>
      <w:tr w:rsidR="00836FC3" w:rsidRPr="00836FC3" w:rsidTr="00D12605">
        <w:trPr>
          <w:jc w:val="center"/>
        </w:trPr>
        <w:tc>
          <w:tcPr>
            <w:tcW w:w="976" w:type="dxa"/>
            <w:vAlign w:val="center"/>
          </w:tcPr>
          <w:p w:rsidR="00836FC3" w:rsidRPr="00836FC3" w:rsidRDefault="00836FC3" w:rsidP="00836FC3">
            <w:pPr>
              <w:autoSpaceDE w:val="0"/>
              <w:autoSpaceDN w:val="0"/>
              <w:adjustRightInd w:val="0"/>
              <w:rPr>
                <w:color w:val="auto"/>
                <w:sz w:val="20"/>
                <w:szCs w:val="20"/>
              </w:rPr>
            </w:pPr>
            <w:proofErr w:type="spellStart"/>
            <w:r w:rsidRPr="00836FC3">
              <w:rPr>
                <w:color w:val="auto"/>
                <w:sz w:val="20"/>
                <w:szCs w:val="20"/>
              </w:rPr>
              <w:t>Advair</w:t>
            </w:r>
            <w:proofErr w:type="spellEnd"/>
          </w:p>
        </w:tc>
        <w:tc>
          <w:tcPr>
            <w:tcW w:w="3655" w:type="dxa"/>
            <w:vAlign w:val="center"/>
          </w:tcPr>
          <w:p w:rsidR="00836FC3" w:rsidRPr="00836FC3" w:rsidRDefault="00AF58B4" w:rsidP="00836FC3">
            <w:pPr>
              <w:autoSpaceDE w:val="0"/>
              <w:autoSpaceDN w:val="0"/>
              <w:adjustRightInd w:val="0"/>
              <w:rPr>
                <w:color w:val="auto"/>
                <w:sz w:val="20"/>
                <w:szCs w:val="20"/>
              </w:rPr>
            </w:pPr>
            <w:r>
              <w:rPr>
                <w:color w:val="auto"/>
                <w:sz w:val="20"/>
                <w:szCs w:val="20"/>
              </w:rPr>
              <w:t>1 puff twice per day;</w:t>
            </w:r>
            <w:r w:rsidR="00836FC3" w:rsidRPr="00836FC3">
              <w:rPr>
                <w:color w:val="auto"/>
                <w:sz w:val="20"/>
                <w:szCs w:val="20"/>
              </w:rPr>
              <w:t xml:space="preserve"> 60 puffs/</w:t>
            </w:r>
            <w:proofErr w:type="spellStart"/>
            <w:r w:rsidR="00836FC3" w:rsidRPr="00836FC3">
              <w:rPr>
                <w:color w:val="auto"/>
                <w:sz w:val="20"/>
                <w:szCs w:val="20"/>
              </w:rPr>
              <w:t>diskus</w:t>
            </w:r>
            <w:proofErr w:type="spellEnd"/>
          </w:p>
        </w:tc>
        <w:tc>
          <w:tcPr>
            <w:tcW w:w="2216" w:type="dxa"/>
            <w:vAlign w:val="center"/>
          </w:tcPr>
          <w:p w:rsidR="00836FC3" w:rsidRPr="00836FC3" w:rsidRDefault="00802136" w:rsidP="00836FC3">
            <w:pPr>
              <w:autoSpaceDE w:val="0"/>
              <w:autoSpaceDN w:val="0"/>
              <w:adjustRightInd w:val="0"/>
              <w:rPr>
                <w:color w:val="auto"/>
                <w:sz w:val="20"/>
                <w:szCs w:val="20"/>
              </w:rPr>
            </w:pPr>
            <w:r>
              <w:rPr>
                <w:color w:val="auto"/>
                <w:sz w:val="20"/>
                <w:szCs w:val="20"/>
              </w:rPr>
              <w:t xml:space="preserve">3 </w:t>
            </w:r>
            <w:proofErr w:type="spellStart"/>
            <w:r>
              <w:rPr>
                <w:color w:val="auto"/>
                <w:sz w:val="20"/>
                <w:szCs w:val="20"/>
              </w:rPr>
              <w:t>D</w:t>
            </w:r>
            <w:r w:rsidR="00836FC3" w:rsidRPr="00836FC3">
              <w:rPr>
                <w:color w:val="auto"/>
                <w:sz w:val="20"/>
                <w:szCs w:val="20"/>
              </w:rPr>
              <w:t>iskus</w:t>
            </w:r>
            <w:proofErr w:type="spellEnd"/>
          </w:p>
        </w:tc>
        <w:tc>
          <w:tcPr>
            <w:tcW w:w="2054" w:type="dxa"/>
            <w:vAlign w:val="center"/>
          </w:tcPr>
          <w:p w:rsidR="00836FC3" w:rsidRPr="00836FC3" w:rsidRDefault="009929F0" w:rsidP="00802136">
            <w:pPr>
              <w:autoSpaceDE w:val="0"/>
              <w:autoSpaceDN w:val="0"/>
              <w:adjustRightInd w:val="0"/>
              <w:rPr>
                <w:color w:val="auto"/>
                <w:sz w:val="20"/>
                <w:szCs w:val="20"/>
              </w:rPr>
            </w:pPr>
            <w:r>
              <w:rPr>
                <w:color w:val="auto"/>
                <w:sz w:val="20"/>
                <w:szCs w:val="20"/>
              </w:rPr>
              <w:t>90</w:t>
            </w:r>
            <w:r w:rsidR="00836FC3" w:rsidRPr="00836FC3">
              <w:rPr>
                <w:color w:val="auto"/>
                <w:sz w:val="20"/>
                <w:szCs w:val="20"/>
              </w:rPr>
              <w:t>/365</w:t>
            </w:r>
            <w:r w:rsidR="00802136">
              <w:rPr>
                <w:color w:val="auto"/>
                <w:sz w:val="20"/>
                <w:szCs w:val="20"/>
              </w:rPr>
              <w:t xml:space="preserve"> days</w:t>
            </w:r>
          </w:p>
        </w:tc>
      </w:tr>
    </w:tbl>
    <w:p w:rsidR="00836FC3" w:rsidRDefault="00836FC3" w:rsidP="00C905A1">
      <w:pPr>
        <w:jc w:val="both"/>
        <w:rPr>
          <w:rFonts w:cs="Times New Roman"/>
          <w:color w:val="auto"/>
        </w:rPr>
      </w:pPr>
    </w:p>
    <w:p w:rsidR="00F0721A" w:rsidRPr="0023372A" w:rsidRDefault="0052430A" w:rsidP="0023372A">
      <w:pPr>
        <w:jc w:val="both"/>
        <w:rPr>
          <w:rFonts w:cs="Times New Roman"/>
          <w:color w:val="auto"/>
        </w:rPr>
      </w:pPr>
      <w:r w:rsidRPr="0052430A">
        <w:rPr>
          <w:rFonts w:cs="Times New Roman"/>
          <w:color w:val="auto"/>
        </w:rPr>
        <w:t>It</w:t>
      </w:r>
      <w:r>
        <w:rPr>
          <w:rFonts w:cs="Times New Roman"/>
          <w:color w:val="auto"/>
        </w:rPr>
        <w:t xml:space="preserve"> is clear from </w:t>
      </w:r>
      <w:r w:rsidR="00C07E4B">
        <w:rPr>
          <w:rFonts w:cs="Times New Roman"/>
          <w:color w:val="auto"/>
        </w:rPr>
        <w:t xml:space="preserve">the </w:t>
      </w:r>
      <w:r>
        <w:rPr>
          <w:rFonts w:cs="Times New Roman"/>
          <w:color w:val="auto"/>
        </w:rPr>
        <w:t>above that daily medication use could not have been s</w:t>
      </w:r>
      <w:r w:rsidR="00C07E4B">
        <w:rPr>
          <w:rFonts w:cs="Times New Roman"/>
          <w:color w:val="auto"/>
        </w:rPr>
        <w:t>ustained from the supply of medication</w:t>
      </w:r>
      <w:r>
        <w:rPr>
          <w:rFonts w:cs="Times New Roman"/>
          <w:color w:val="auto"/>
        </w:rPr>
        <w:t xml:space="preserve"> dispensed by the CI’s military treatment facility (MTF).  </w:t>
      </w:r>
      <w:r w:rsidR="009929F0">
        <w:rPr>
          <w:rFonts w:cs="Times New Roman"/>
          <w:color w:val="auto"/>
        </w:rPr>
        <w:t>In her rebuttal</w:t>
      </w:r>
      <w:r w:rsidR="00D5417F">
        <w:rPr>
          <w:rFonts w:cs="Times New Roman"/>
          <w:color w:val="auto"/>
        </w:rPr>
        <w:t>,</w:t>
      </w:r>
      <w:r w:rsidR="009929F0">
        <w:rPr>
          <w:rFonts w:cs="Times New Roman"/>
          <w:color w:val="auto"/>
        </w:rPr>
        <w:t xml:space="preserve"> the CI did not assert that she was dispensed meds outside the MTF.  The evidence does not exclude </w:t>
      </w:r>
      <w:r w:rsidR="00573B5D">
        <w:rPr>
          <w:rFonts w:cs="Times New Roman"/>
          <w:color w:val="auto"/>
        </w:rPr>
        <w:t xml:space="preserve">the possibility of daily use of </w:t>
      </w:r>
      <w:proofErr w:type="spellStart"/>
      <w:r w:rsidR="00573B5D">
        <w:rPr>
          <w:rFonts w:cs="Times New Roman"/>
          <w:color w:val="auto"/>
        </w:rPr>
        <w:t>albuterol</w:t>
      </w:r>
      <w:proofErr w:type="spellEnd"/>
      <w:r w:rsidR="00573B5D">
        <w:rPr>
          <w:rFonts w:cs="Times New Roman"/>
          <w:color w:val="auto"/>
        </w:rPr>
        <w:t xml:space="preserve"> at a low dose, but that is not rational from a clinical standpoint.  </w:t>
      </w:r>
      <w:r w:rsidR="009929F0" w:rsidRPr="009929F0">
        <w:rPr>
          <w:rFonts w:cs="Times New Roman"/>
          <w:color w:val="auto"/>
        </w:rPr>
        <w:t>The Board thus concluded that the CI did not require daily asthma treatment on</w:t>
      </w:r>
      <w:r w:rsidR="009929F0">
        <w:rPr>
          <w:rFonts w:cs="Times New Roman"/>
          <w:color w:val="auto"/>
        </w:rPr>
        <w:t xml:space="preserve"> a sustained basis during the rating period</w:t>
      </w:r>
      <w:r w:rsidR="009929F0" w:rsidRPr="009929F0">
        <w:rPr>
          <w:rFonts w:cs="Times New Roman"/>
          <w:color w:val="auto"/>
        </w:rPr>
        <w:t xml:space="preserve">; and, was satisfied that only intermittent treatment was required to maintain the </w:t>
      </w:r>
      <w:r w:rsidR="006749CD">
        <w:rPr>
          <w:rFonts w:cs="Times New Roman"/>
          <w:color w:val="auto"/>
        </w:rPr>
        <w:t>satisfactory</w:t>
      </w:r>
      <w:r w:rsidR="009929F0" w:rsidRPr="009929F0">
        <w:rPr>
          <w:rFonts w:cs="Times New Roman"/>
          <w:color w:val="auto"/>
        </w:rPr>
        <w:t xml:space="preserve"> fun</w:t>
      </w:r>
      <w:r w:rsidR="009929F0">
        <w:rPr>
          <w:rFonts w:cs="Times New Roman"/>
          <w:color w:val="auto"/>
        </w:rPr>
        <w:t>ctional control evidenced by her</w:t>
      </w:r>
      <w:r w:rsidR="009929F0" w:rsidRPr="009929F0">
        <w:rPr>
          <w:rFonts w:cs="Times New Roman"/>
          <w:color w:val="auto"/>
        </w:rPr>
        <w:t xml:space="preserve"> PFT results.  </w:t>
      </w:r>
      <w:r w:rsidR="009929F0">
        <w:rPr>
          <w:rFonts w:cs="Times New Roman"/>
          <w:color w:val="auto"/>
        </w:rPr>
        <w:t xml:space="preserve">The Board does not support the PEB’s 0% position based on the hiatus of treatment, given the 12 month rating interval specified under </w:t>
      </w:r>
      <w:r w:rsidR="00D5417F">
        <w:rPr>
          <w:rFonts w:cs="Times New Roman"/>
          <w:color w:val="auto"/>
        </w:rPr>
        <w:t xml:space="preserve">VASRD Code </w:t>
      </w:r>
      <w:r w:rsidR="009929F0">
        <w:rPr>
          <w:rFonts w:cs="Times New Roman"/>
          <w:color w:val="auto"/>
        </w:rPr>
        <w:t xml:space="preserve">6602.  </w:t>
      </w:r>
      <w:r w:rsidR="00E97F55" w:rsidRPr="00E97F55">
        <w:rPr>
          <w:rFonts w:cs="Times New Roman"/>
          <w:color w:val="auto"/>
        </w:rPr>
        <w:t xml:space="preserve">After due deliberation, considering all of the evidence and mindful of VASRD §4.3 (reasonable doubt), the Board recommends </w:t>
      </w:r>
      <w:r w:rsidR="00E97F55" w:rsidRPr="0023372A">
        <w:rPr>
          <w:rFonts w:cs="Times New Roman"/>
          <w:color w:val="auto"/>
        </w:rPr>
        <w:t>a TDRL rating of 60%</w:t>
      </w:r>
      <w:r w:rsidR="00E97F55">
        <w:rPr>
          <w:rFonts w:cs="Times New Roman"/>
          <w:color w:val="auto"/>
        </w:rPr>
        <w:t xml:space="preserve"> and a permanent </w:t>
      </w:r>
      <w:r w:rsidR="00F951A4">
        <w:rPr>
          <w:rFonts w:cs="Times New Roman"/>
          <w:color w:val="auto"/>
        </w:rPr>
        <w:t>s</w:t>
      </w:r>
      <w:r w:rsidR="00E97F55" w:rsidRPr="00E97F55">
        <w:rPr>
          <w:rFonts w:cs="Times New Roman"/>
          <w:color w:val="auto"/>
        </w:rPr>
        <w:t xml:space="preserve">ervice disability rating of </w:t>
      </w:r>
      <w:r w:rsidR="00E97F55" w:rsidRPr="0023372A">
        <w:rPr>
          <w:rFonts w:cs="Times New Roman"/>
          <w:color w:val="auto"/>
        </w:rPr>
        <w:t>10</w:t>
      </w:r>
      <w:r w:rsidR="00F951A4" w:rsidRPr="0023372A">
        <w:rPr>
          <w:rFonts w:cs="Times New Roman"/>
          <w:color w:val="auto"/>
        </w:rPr>
        <w:t xml:space="preserve">% </w:t>
      </w:r>
      <w:r w:rsidR="00F951A4">
        <w:rPr>
          <w:rFonts w:cs="Times New Roman"/>
          <w:color w:val="auto"/>
        </w:rPr>
        <w:t>for</w:t>
      </w:r>
      <w:r w:rsidR="00E97F55" w:rsidRPr="00E97F55">
        <w:rPr>
          <w:rFonts w:cs="Times New Roman"/>
          <w:color w:val="auto"/>
        </w:rPr>
        <w:t xml:space="preserve"> the </w:t>
      </w:r>
      <w:r w:rsidR="00E97F55">
        <w:rPr>
          <w:rFonts w:cs="Times New Roman"/>
          <w:color w:val="auto"/>
        </w:rPr>
        <w:t>asthma</w:t>
      </w:r>
      <w:r w:rsidR="00E97F55" w:rsidRPr="00E97F55">
        <w:rPr>
          <w:rFonts w:cs="Times New Roman"/>
          <w:color w:val="auto"/>
        </w:rPr>
        <w:t xml:space="preserve"> condition.</w:t>
      </w:r>
      <w:r w:rsidR="0023372A">
        <w:rPr>
          <w:rFonts w:cs="Times New Roman"/>
          <w:color w:val="auto"/>
        </w:rPr>
        <w:t xml:space="preserve">  </w:t>
      </w:r>
    </w:p>
    <w:p w:rsidR="0023372A" w:rsidRDefault="0023372A" w:rsidP="00284AE7">
      <w:pPr>
        <w:jc w:val="both"/>
        <w:rPr>
          <w:color w:val="000000"/>
          <w:u w:val="single"/>
        </w:rPr>
      </w:pPr>
    </w:p>
    <w:p w:rsidR="00284AE7" w:rsidRPr="00284AE7" w:rsidRDefault="00F0721A" w:rsidP="00284AE7">
      <w:pPr>
        <w:jc w:val="both"/>
        <w:rPr>
          <w:color w:val="000000"/>
        </w:rPr>
      </w:pPr>
      <w:proofErr w:type="gramStart"/>
      <w:r w:rsidRPr="001F29F9">
        <w:rPr>
          <w:color w:val="000000"/>
          <w:u w:val="single"/>
        </w:rPr>
        <w:t>Remaining Conditions</w:t>
      </w:r>
      <w:r w:rsidRPr="00284AE7">
        <w:rPr>
          <w:color w:val="000000"/>
        </w:rPr>
        <w:t>.</w:t>
      </w:r>
      <w:proofErr w:type="gramEnd"/>
      <w:r w:rsidRPr="001F29F9">
        <w:rPr>
          <w:color w:val="000000"/>
        </w:rPr>
        <w:t xml:space="preserve">  </w:t>
      </w:r>
      <w:r w:rsidR="00284AE7" w:rsidRPr="00284AE7">
        <w:rPr>
          <w:color w:val="000000"/>
        </w:rPr>
        <w:t xml:space="preserve">Other conditions identified in the DES file were </w:t>
      </w:r>
      <w:r w:rsidR="00284AE7" w:rsidRPr="001F29F9">
        <w:rPr>
          <w:rFonts w:eastAsia="HiddenHorzOCR"/>
          <w:color w:val="000000"/>
        </w:rPr>
        <w:t>migraine headaches</w:t>
      </w:r>
      <w:r w:rsidR="00284AE7">
        <w:rPr>
          <w:rFonts w:eastAsia="HiddenHorzOCR"/>
          <w:color w:val="000000"/>
        </w:rPr>
        <w:t xml:space="preserve">, history of </w:t>
      </w:r>
      <w:r w:rsidR="00F951A4">
        <w:rPr>
          <w:rFonts w:eastAsia="HiddenHorzOCR"/>
          <w:color w:val="000000"/>
        </w:rPr>
        <w:t>c</w:t>
      </w:r>
      <w:r w:rsidR="00284AE7">
        <w:rPr>
          <w:rFonts w:eastAsia="HiddenHorzOCR"/>
          <w:color w:val="000000"/>
        </w:rPr>
        <w:t>-</w:t>
      </w:r>
      <w:r w:rsidR="00F951A4">
        <w:rPr>
          <w:rFonts w:eastAsia="HiddenHorzOCR"/>
          <w:color w:val="000000"/>
        </w:rPr>
        <w:t>s</w:t>
      </w:r>
      <w:r w:rsidR="00284AE7">
        <w:rPr>
          <w:rFonts w:eastAsia="HiddenHorzOCR"/>
          <w:color w:val="000000"/>
        </w:rPr>
        <w:t xml:space="preserve">ection, </w:t>
      </w:r>
      <w:r w:rsidR="00D5417F">
        <w:rPr>
          <w:color w:val="000000"/>
        </w:rPr>
        <w:t>plantar fasc</w:t>
      </w:r>
      <w:r w:rsidR="00D5417F" w:rsidRPr="00C905A1">
        <w:rPr>
          <w:color w:val="000000"/>
        </w:rPr>
        <w:t>iitis</w:t>
      </w:r>
      <w:r w:rsidR="00284AE7" w:rsidRPr="00C905A1">
        <w:rPr>
          <w:color w:val="000000"/>
        </w:rPr>
        <w:t>, bladder infection, and low back pain</w:t>
      </w:r>
      <w:r w:rsidR="00284AE7">
        <w:rPr>
          <w:color w:val="000000"/>
        </w:rPr>
        <w:t xml:space="preserve"> (sciatica)</w:t>
      </w:r>
      <w:r w:rsidR="00284AE7" w:rsidRPr="00C905A1">
        <w:rPr>
          <w:color w:val="000000"/>
        </w:rPr>
        <w:t xml:space="preserve">. </w:t>
      </w:r>
      <w:r w:rsidR="00284AE7" w:rsidRPr="00284AE7">
        <w:rPr>
          <w:color w:val="000000"/>
        </w:rPr>
        <w:t xml:space="preserve">Several additional non-acute conditions or medical complaints were also documented.  None of these conditions were clinically active during the MEB period; none carried attached profiles; and, none were implicated in the commander’s statement.  These conditions were reviewed by the </w:t>
      </w:r>
      <w:r w:rsidR="00F951A4">
        <w:rPr>
          <w:color w:val="000000"/>
        </w:rPr>
        <w:t>a</w:t>
      </w:r>
      <w:r w:rsidR="00284AE7" w:rsidRPr="00284AE7">
        <w:rPr>
          <w:color w:val="000000"/>
        </w:rPr>
        <w:t xml:space="preserve">ction </w:t>
      </w:r>
      <w:r w:rsidR="00F951A4">
        <w:rPr>
          <w:color w:val="000000"/>
        </w:rPr>
        <w:t>o</w:t>
      </w:r>
      <w:r w:rsidR="00284AE7" w:rsidRPr="00284AE7">
        <w:rPr>
          <w:color w:val="000000"/>
        </w:rPr>
        <w:t xml:space="preserve">fficer and considered by the Board.  It was determined that none could be argued as unfitting and subject to </w:t>
      </w:r>
      <w:r w:rsidR="00F951A4">
        <w:rPr>
          <w:color w:val="000000"/>
        </w:rPr>
        <w:t>s</w:t>
      </w:r>
      <w:r w:rsidR="00284AE7" w:rsidRPr="00284AE7">
        <w:rPr>
          <w:color w:val="000000"/>
        </w:rPr>
        <w:t xml:space="preserve">ervice disability rating.  Additionally, </w:t>
      </w:r>
      <w:r w:rsidR="00284AE7">
        <w:rPr>
          <w:rFonts w:eastAsia="HiddenHorzOCR"/>
          <w:color w:val="000000"/>
        </w:rPr>
        <w:t xml:space="preserve">cervical strain </w:t>
      </w:r>
      <w:r w:rsidR="00284AE7">
        <w:rPr>
          <w:color w:val="000000"/>
        </w:rPr>
        <w:t>was</w:t>
      </w:r>
      <w:r w:rsidR="00284AE7" w:rsidRPr="00284AE7">
        <w:rPr>
          <w:color w:val="000000"/>
        </w:rPr>
        <w:t xml:space="preserve"> noted in the VA rating decision </w:t>
      </w:r>
      <w:r w:rsidR="003B5570">
        <w:rPr>
          <w:color w:val="000000"/>
        </w:rPr>
        <w:t>proximal to separation, but was</w:t>
      </w:r>
      <w:r w:rsidR="00284AE7" w:rsidRPr="00284AE7">
        <w:rPr>
          <w:color w:val="000000"/>
        </w:rPr>
        <w:t xml:space="preserve"> not documented in the DES file.  The Board does not have the authority under DoDI 6040.44 to render fitness or rating recommendations for any conditions not considered by the DES.  The Board therefore has no reasonable basis for recommending any additional unfitting conditions for </w:t>
      </w:r>
      <w:r w:rsidR="00F951A4">
        <w:rPr>
          <w:color w:val="000000"/>
        </w:rPr>
        <w:t>s</w:t>
      </w:r>
      <w:r w:rsidR="00284AE7" w:rsidRPr="00284AE7">
        <w:rPr>
          <w:color w:val="000000"/>
        </w:rPr>
        <w:t>ervice disability rating.</w:t>
      </w:r>
    </w:p>
    <w:p w:rsidR="00F0721A" w:rsidRPr="001F29F9" w:rsidRDefault="00F0721A" w:rsidP="00BF0E94">
      <w:pPr>
        <w:pBdr>
          <w:bottom w:val="single" w:sz="12" w:space="1" w:color="auto"/>
        </w:pBdr>
        <w:tabs>
          <w:tab w:val="left" w:pos="288"/>
          <w:tab w:val="left" w:pos="4752"/>
        </w:tabs>
        <w:jc w:val="both"/>
        <w:rPr>
          <w:color w:val="000000"/>
        </w:rPr>
      </w:pPr>
    </w:p>
    <w:p w:rsidR="00F0721A" w:rsidRPr="001F29F9" w:rsidRDefault="00F0721A" w:rsidP="006364ED">
      <w:pPr>
        <w:jc w:val="left"/>
        <w:rPr>
          <w:color w:val="000000"/>
        </w:rPr>
      </w:pPr>
    </w:p>
    <w:p w:rsidR="00F0721A" w:rsidRPr="001F29F9" w:rsidRDefault="00F0721A" w:rsidP="00E7329D">
      <w:pPr>
        <w:jc w:val="both"/>
        <w:rPr>
          <w:color w:val="000000"/>
        </w:rPr>
      </w:pPr>
      <w:r w:rsidRPr="001F29F9">
        <w:rPr>
          <w:color w:val="000000"/>
          <w:u w:val="single"/>
        </w:rPr>
        <w:t>BOARD FINDINGS</w:t>
      </w:r>
      <w:r w:rsidRPr="001F29F9">
        <w:rPr>
          <w:color w:val="000000"/>
        </w:rPr>
        <w:t xml:space="preserve">:  IAW DoDI 6040.44, provisions of DoD or Military Department regulations or guidelines relied upon by the PEB will not be considered by the Board to the extent they were </w:t>
      </w:r>
      <w:r w:rsidRPr="001F29F9">
        <w:rPr>
          <w:color w:val="000000"/>
        </w:rPr>
        <w:lastRenderedPageBreak/>
        <w:t xml:space="preserve">inconsistent with the VASRD in </w:t>
      </w:r>
      <w:r w:rsidRPr="00C905A1">
        <w:rPr>
          <w:color w:val="000000"/>
        </w:rPr>
        <w:t>effect at the time of the adjudication</w:t>
      </w:r>
      <w:r w:rsidRPr="00C905A1">
        <w:rPr>
          <w:rFonts w:cs="Times New Roman"/>
          <w:color w:val="auto"/>
        </w:rPr>
        <w:t>.</w:t>
      </w:r>
      <w:r w:rsidR="001843F4">
        <w:rPr>
          <w:rFonts w:cs="Times New Roman"/>
          <w:color w:val="auto"/>
        </w:rPr>
        <w:t xml:space="preserve"> </w:t>
      </w:r>
      <w:r w:rsidRPr="00C905A1">
        <w:rPr>
          <w:rFonts w:cs="Times New Roman"/>
          <w:color w:val="auto"/>
        </w:rPr>
        <w:t xml:space="preserve"> The Board did not surmise from the record or PEB ruling in this case that any prerogatives outside the VASRD were exercised.</w:t>
      </w:r>
      <w:r w:rsidR="001843F4">
        <w:rPr>
          <w:rFonts w:cs="Times New Roman"/>
          <w:color w:val="auto"/>
        </w:rPr>
        <w:t xml:space="preserve"> </w:t>
      </w:r>
      <w:r w:rsidRPr="00C905A1">
        <w:rPr>
          <w:rFonts w:cs="Times New Roman"/>
          <w:color w:val="auto"/>
        </w:rPr>
        <w:t xml:space="preserve"> </w:t>
      </w:r>
      <w:r w:rsidR="00E97F55" w:rsidRPr="00E97F55">
        <w:rPr>
          <w:rFonts w:cs="Times New Roman"/>
          <w:color w:val="auto"/>
        </w:rPr>
        <w:t xml:space="preserve">In the matter of the </w:t>
      </w:r>
      <w:r w:rsidR="00E97F55" w:rsidRPr="00C905A1">
        <w:rPr>
          <w:rFonts w:cs="Times New Roman"/>
          <w:color w:val="auto"/>
        </w:rPr>
        <w:t xml:space="preserve">asthma </w:t>
      </w:r>
      <w:r w:rsidR="00E97F55" w:rsidRPr="00E97F55">
        <w:rPr>
          <w:rFonts w:cs="Times New Roman"/>
          <w:color w:val="auto"/>
        </w:rPr>
        <w:t xml:space="preserve">condition, the Board </w:t>
      </w:r>
      <w:r w:rsidR="00E97F55" w:rsidRPr="00140127">
        <w:rPr>
          <w:rFonts w:cs="Times New Roman"/>
          <w:color w:val="auto"/>
        </w:rPr>
        <w:t>unanimously</w:t>
      </w:r>
      <w:r w:rsidR="00E97F55" w:rsidRPr="00E97F55">
        <w:rPr>
          <w:rFonts w:cs="Times New Roman"/>
          <w:color w:val="auto"/>
        </w:rPr>
        <w:t xml:space="preserve"> recommends </w:t>
      </w:r>
      <w:r w:rsidR="00E97F55">
        <w:rPr>
          <w:rFonts w:cs="Times New Roman"/>
          <w:color w:val="auto"/>
        </w:rPr>
        <w:t>a</w:t>
      </w:r>
      <w:r w:rsidR="00E97F55" w:rsidRPr="00E97F55">
        <w:rPr>
          <w:rFonts w:cs="Times New Roman"/>
          <w:color w:val="auto"/>
        </w:rPr>
        <w:t xml:space="preserve"> </w:t>
      </w:r>
      <w:r w:rsidR="00E97F55" w:rsidRPr="00140127">
        <w:rPr>
          <w:rFonts w:cs="Times New Roman"/>
          <w:color w:val="auto"/>
        </w:rPr>
        <w:t xml:space="preserve">rating of 60% during the prescribed </w:t>
      </w:r>
      <w:r w:rsidR="000A21AB" w:rsidRPr="00140127">
        <w:rPr>
          <w:rFonts w:cs="Times New Roman"/>
          <w:color w:val="auto"/>
        </w:rPr>
        <w:t xml:space="preserve">period of </w:t>
      </w:r>
      <w:r w:rsidR="00E97F55" w:rsidRPr="00140127">
        <w:rPr>
          <w:rFonts w:cs="Times New Roman"/>
          <w:color w:val="auto"/>
        </w:rPr>
        <w:t>TDRL</w:t>
      </w:r>
      <w:r w:rsidR="000A21AB" w:rsidRPr="00140127">
        <w:rPr>
          <w:rFonts w:cs="Times New Roman"/>
          <w:color w:val="auto"/>
        </w:rPr>
        <w:t>;</w:t>
      </w:r>
      <w:r w:rsidR="00E97F55" w:rsidRPr="00140127">
        <w:rPr>
          <w:rFonts w:cs="Times New Roman"/>
          <w:color w:val="auto"/>
        </w:rPr>
        <w:t xml:space="preserve"> and</w:t>
      </w:r>
      <w:r w:rsidR="000A21AB" w:rsidRPr="00140127">
        <w:rPr>
          <w:rFonts w:cs="Times New Roman"/>
          <w:color w:val="auto"/>
        </w:rPr>
        <w:t>,</w:t>
      </w:r>
      <w:r w:rsidR="00E97F55">
        <w:rPr>
          <w:rFonts w:cs="Times New Roman"/>
          <w:color w:val="auto"/>
        </w:rPr>
        <w:t xml:space="preserve"> a </w:t>
      </w:r>
      <w:r w:rsidR="000A21AB" w:rsidRPr="00140127">
        <w:rPr>
          <w:rFonts w:cs="Times New Roman"/>
          <w:color w:val="auto"/>
        </w:rPr>
        <w:t>permanent</w:t>
      </w:r>
      <w:r w:rsidR="00F951A4">
        <w:rPr>
          <w:rFonts w:cs="Times New Roman"/>
          <w:color w:val="auto"/>
        </w:rPr>
        <w:t xml:space="preserve"> s</w:t>
      </w:r>
      <w:r w:rsidR="000A21AB">
        <w:rPr>
          <w:rFonts w:cs="Times New Roman"/>
          <w:color w:val="auto"/>
        </w:rPr>
        <w:t xml:space="preserve">ervice disability rating of </w:t>
      </w:r>
      <w:r w:rsidR="000A21AB" w:rsidRPr="00140127">
        <w:rPr>
          <w:rFonts w:cs="Times New Roman"/>
          <w:color w:val="auto"/>
        </w:rPr>
        <w:t>10%</w:t>
      </w:r>
      <w:r w:rsidR="00140127">
        <w:rPr>
          <w:rFonts w:cs="Times New Roman"/>
          <w:color w:val="auto"/>
        </w:rPr>
        <w:t xml:space="preserve"> </w:t>
      </w:r>
      <w:r w:rsidR="00E97F55" w:rsidRPr="00E97F55">
        <w:rPr>
          <w:rFonts w:cs="Times New Roman"/>
          <w:color w:val="auto"/>
        </w:rPr>
        <w:t xml:space="preserve"> </w:t>
      </w:r>
      <w:r w:rsidR="000A21AB">
        <w:rPr>
          <w:rFonts w:cs="Times New Roman"/>
          <w:color w:val="auto"/>
        </w:rPr>
        <w:t xml:space="preserve">coded </w:t>
      </w:r>
      <w:r w:rsidR="000A21AB" w:rsidRPr="00C905A1">
        <w:rPr>
          <w:rFonts w:cs="Times New Roman"/>
          <w:color w:val="auto"/>
        </w:rPr>
        <w:t>6602 IAW VASRD §4.97.</w:t>
      </w:r>
      <w:r w:rsidR="000A21AB">
        <w:rPr>
          <w:rFonts w:cs="Times New Roman"/>
          <w:color w:val="auto"/>
        </w:rPr>
        <w:t xml:space="preserve"> </w:t>
      </w:r>
      <w:r w:rsidR="000A21AB" w:rsidRPr="003C53E8">
        <w:rPr>
          <w:rFonts w:cs="Times New Roman"/>
          <w:color w:val="auto"/>
        </w:rPr>
        <w:t xml:space="preserve"> </w:t>
      </w:r>
      <w:r w:rsidRPr="00C905A1">
        <w:rPr>
          <w:rFonts w:cs="Times New Roman"/>
          <w:color w:val="auto"/>
        </w:rPr>
        <w:t>The Board unanimously agrees that there were no other conditions eligible for Board consideration which could be recommended</w:t>
      </w:r>
      <w:r w:rsidRPr="003C53E8">
        <w:rPr>
          <w:rFonts w:cs="Times New Roman"/>
          <w:color w:val="auto"/>
        </w:rPr>
        <w:t xml:space="preserve"> as additionally unfitting for rating at separation.</w:t>
      </w:r>
    </w:p>
    <w:p w:rsidR="00B50D14" w:rsidRPr="001F29F9" w:rsidRDefault="00B50D14" w:rsidP="00B50D14">
      <w:pPr>
        <w:pBdr>
          <w:bottom w:val="single" w:sz="12" w:space="1" w:color="auto"/>
        </w:pBdr>
        <w:tabs>
          <w:tab w:val="left" w:pos="288"/>
          <w:tab w:val="left" w:pos="4752"/>
        </w:tabs>
        <w:jc w:val="both"/>
        <w:rPr>
          <w:color w:val="000000"/>
        </w:rPr>
      </w:pPr>
    </w:p>
    <w:p w:rsidR="00F0721A" w:rsidRPr="001F29F9" w:rsidRDefault="00F0721A" w:rsidP="006364ED">
      <w:pPr>
        <w:jc w:val="left"/>
        <w:rPr>
          <w:color w:val="000000"/>
        </w:rPr>
      </w:pPr>
    </w:p>
    <w:p w:rsidR="001600AB" w:rsidRDefault="00F0721A" w:rsidP="00BF0E94">
      <w:pPr>
        <w:jc w:val="both"/>
        <w:rPr>
          <w:color w:val="000000"/>
        </w:rPr>
      </w:pPr>
      <w:r w:rsidRPr="001F29F9">
        <w:rPr>
          <w:color w:val="000000"/>
          <w:u w:val="single"/>
        </w:rPr>
        <w:t>RECOMMENDATION</w:t>
      </w:r>
      <w:r w:rsidRPr="001F29F9">
        <w:rPr>
          <w:color w:val="000000"/>
        </w:rPr>
        <w:t>:</w:t>
      </w:r>
      <w:r w:rsidRPr="00F71436">
        <w:rPr>
          <w:color w:val="000000"/>
          <w:sz w:val="22"/>
        </w:rPr>
        <w:t xml:space="preserve"> </w:t>
      </w:r>
      <w:r w:rsidRPr="00140127">
        <w:rPr>
          <w:color w:val="000000"/>
        </w:rPr>
        <w:t>The Board recommends that the CI’s prior determination be modified as follows</w:t>
      </w:r>
      <w:r w:rsidR="00962E63" w:rsidRPr="00140127">
        <w:rPr>
          <w:color w:val="000000"/>
        </w:rPr>
        <w:t>; with a disability rating of 60% for the prescribed period</w:t>
      </w:r>
      <w:r w:rsidRPr="00140127">
        <w:rPr>
          <w:color w:val="000000"/>
        </w:rPr>
        <w:t xml:space="preserve"> </w:t>
      </w:r>
      <w:r w:rsidR="00962E63" w:rsidRPr="00140127">
        <w:rPr>
          <w:color w:val="000000"/>
        </w:rPr>
        <w:t xml:space="preserve">of TDRL </w:t>
      </w:r>
      <w:r w:rsidRPr="00140127">
        <w:rPr>
          <w:color w:val="000000"/>
        </w:rPr>
        <w:t xml:space="preserve">and </w:t>
      </w:r>
      <w:r w:rsidR="00962E63" w:rsidRPr="00140127">
        <w:rPr>
          <w:color w:val="000000"/>
        </w:rPr>
        <w:t xml:space="preserve">a final </w:t>
      </w:r>
      <w:r w:rsidR="00F951A4">
        <w:rPr>
          <w:color w:val="000000"/>
        </w:rPr>
        <w:t>s</w:t>
      </w:r>
      <w:r w:rsidR="00962E63" w:rsidRPr="00140127">
        <w:rPr>
          <w:color w:val="000000"/>
        </w:rPr>
        <w:t>ervice disability rating of 10%</w:t>
      </w:r>
      <w:r w:rsidRPr="00140127">
        <w:rPr>
          <w:color w:val="000000"/>
        </w:rPr>
        <w:t>, effective as of the date of her prior medical separation</w:t>
      </w:r>
      <w:r w:rsidR="00140127">
        <w:rPr>
          <w:color w:val="000000"/>
        </w:rPr>
        <w:t xml:space="preserve">. </w:t>
      </w:r>
    </w:p>
    <w:p w:rsidR="001600AB" w:rsidRDefault="001600AB" w:rsidP="00BF0E94">
      <w:pPr>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90"/>
        <w:gridCol w:w="1530"/>
        <w:gridCol w:w="810"/>
        <w:gridCol w:w="1530"/>
      </w:tblGrid>
      <w:tr w:rsidR="00C52FE1" w:rsidRPr="00C52FE1" w:rsidTr="003F61DC">
        <w:trPr>
          <w:trHeight w:val="206"/>
          <w:jc w:val="center"/>
        </w:trPr>
        <w:tc>
          <w:tcPr>
            <w:tcW w:w="5490" w:type="dxa"/>
            <w:vMerge w:val="restart"/>
            <w:shd w:val="clear" w:color="auto" w:fill="D9D9D9"/>
            <w:vAlign w:val="center"/>
          </w:tcPr>
          <w:p w:rsidR="00C52FE1" w:rsidRPr="00C52FE1" w:rsidRDefault="00C52FE1" w:rsidP="00C52FE1">
            <w:pPr>
              <w:tabs>
                <w:tab w:val="left" w:pos="288"/>
                <w:tab w:val="left" w:pos="4752"/>
              </w:tabs>
              <w:rPr>
                <w:rFonts w:eastAsia="Calibri" w:cs="Times New Roman"/>
                <w:b/>
                <w:color w:val="auto"/>
                <w:szCs w:val="24"/>
              </w:rPr>
            </w:pPr>
            <w:r w:rsidRPr="00C52FE1">
              <w:rPr>
                <w:rFonts w:eastAsia="Calibri" w:cs="Times New Roman"/>
                <w:b/>
                <w:color w:val="auto"/>
                <w:szCs w:val="24"/>
              </w:rPr>
              <w:t>UNFITTING CONDITION</w:t>
            </w:r>
          </w:p>
        </w:tc>
        <w:tc>
          <w:tcPr>
            <w:tcW w:w="1530" w:type="dxa"/>
            <w:vMerge w:val="restart"/>
            <w:shd w:val="clear" w:color="auto" w:fill="D9D9D9"/>
            <w:vAlign w:val="center"/>
          </w:tcPr>
          <w:p w:rsidR="00C52FE1" w:rsidRPr="00C52FE1" w:rsidRDefault="00C52FE1" w:rsidP="00C52FE1">
            <w:pPr>
              <w:tabs>
                <w:tab w:val="left" w:pos="288"/>
                <w:tab w:val="left" w:pos="4752"/>
              </w:tabs>
              <w:rPr>
                <w:rFonts w:eastAsia="Calibri" w:cs="Times New Roman"/>
                <w:b/>
                <w:color w:val="auto"/>
                <w:szCs w:val="24"/>
              </w:rPr>
            </w:pPr>
            <w:r w:rsidRPr="00C52FE1">
              <w:rPr>
                <w:rFonts w:eastAsia="Calibri" w:cs="Times New Roman"/>
                <w:b/>
                <w:color w:val="auto"/>
                <w:szCs w:val="24"/>
              </w:rPr>
              <w:t>VASRD CODE</w:t>
            </w:r>
          </w:p>
        </w:tc>
        <w:tc>
          <w:tcPr>
            <w:tcW w:w="2340" w:type="dxa"/>
            <w:gridSpan w:val="2"/>
            <w:tcBorders>
              <w:bottom w:val="single" w:sz="4" w:space="0" w:color="auto"/>
            </w:tcBorders>
            <w:shd w:val="clear" w:color="auto" w:fill="D9D9D9"/>
            <w:vAlign w:val="center"/>
          </w:tcPr>
          <w:p w:rsidR="00C52FE1" w:rsidRPr="00C52FE1" w:rsidRDefault="00C52FE1" w:rsidP="00C52FE1">
            <w:pPr>
              <w:rPr>
                <w:color w:val="000000"/>
              </w:rPr>
            </w:pPr>
            <w:r w:rsidRPr="00C52FE1">
              <w:rPr>
                <w:rFonts w:eastAsia="Calibri" w:cs="Times New Roman"/>
                <w:b/>
                <w:color w:val="auto"/>
                <w:szCs w:val="24"/>
              </w:rPr>
              <w:t>RATING</w:t>
            </w:r>
          </w:p>
        </w:tc>
      </w:tr>
      <w:tr w:rsidR="00C52FE1" w:rsidRPr="00C52FE1" w:rsidTr="003F61DC">
        <w:trPr>
          <w:trHeight w:val="194"/>
          <w:jc w:val="center"/>
        </w:trPr>
        <w:tc>
          <w:tcPr>
            <w:tcW w:w="5490" w:type="dxa"/>
            <w:vMerge/>
            <w:shd w:val="clear" w:color="auto" w:fill="D9D9D9"/>
            <w:vAlign w:val="center"/>
          </w:tcPr>
          <w:p w:rsidR="00C52FE1" w:rsidRPr="00C52FE1" w:rsidRDefault="00C52FE1" w:rsidP="00C52FE1">
            <w:pPr>
              <w:tabs>
                <w:tab w:val="left" w:pos="288"/>
                <w:tab w:val="left" w:pos="4752"/>
              </w:tabs>
              <w:rPr>
                <w:rFonts w:eastAsia="Calibri" w:cs="Times New Roman"/>
                <w:b/>
                <w:color w:val="auto"/>
                <w:szCs w:val="24"/>
              </w:rPr>
            </w:pPr>
          </w:p>
        </w:tc>
        <w:tc>
          <w:tcPr>
            <w:tcW w:w="1530" w:type="dxa"/>
            <w:vMerge/>
            <w:shd w:val="clear" w:color="auto" w:fill="D9D9D9"/>
            <w:vAlign w:val="center"/>
          </w:tcPr>
          <w:p w:rsidR="00C52FE1" w:rsidRPr="00C52FE1" w:rsidRDefault="00C52FE1" w:rsidP="00C52FE1">
            <w:pPr>
              <w:tabs>
                <w:tab w:val="left" w:pos="288"/>
                <w:tab w:val="left" w:pos="4752"/>
              </w:tabs>
              <w:rPr>
                <w:rFonts w:eastAsia="Calibri" w:cs="Times New Roman"/>
                <w:b/>
                <w:color w:val="auto"/>
                <w:szCs w:val="24"/>
              </w:rPr>
            </w:pPr>
          </w:p>
        </w:tc>
        <w:tc>
          <w:tcPr>
            <w:tcW w:w="810" w:type="dxa"/>
            <w:tcBorders>
              <w:top w:val="single" w:sz="4" w:space="0" w:color="auto"/>
            </w:tcBorders>
            <w:shd w:val="clear" w:color="auto" w:fill="D9D9D9"/>
            <w:vAlign w:val="center"/>
          </w:tcPr>
          <w:p w:rsidR="00C52FE1" w:rsidRPr="00C52FE1" w:rsidRDefault="00C52FE1" w:rsidP="00C52FE1">
            <w:pPr>
              <w:rPr>
                <w:color w:val="000000"/>
              </w:rPr>
            </w:pPr>
            <w:r w:rsidRPr="00C52FE1">
              <w:rPr>
                <w:rFonts w:eastAsia="Calibri" w:cs="Times New Roman"/>
                <w:b/>
                <w:color w:val="auto"/>
                <w:szCs w:val="24"/>
              </w:rPr>
              <w:t>TDRL</w:t>
            </w:r>
          </w:p>
        </w:tc>
        <w:tc>
          <w:tcPr>
            <w:tcW w:w="1530" w:type="dxa"/>
            <w:tcBorders>
              <w:top w:val="single" w:sz="4" w:space="0" w:color="auto"/>
            </w:tcBorders>
            <w:shd w:val="pct15" w:color="auto" w:fill="auto"/>
            <w:vAlign w:val="center"/>
          </w:tcPr>
          <w:p w:rsidR="00C52FE1" w:rsidRPr="00C52FE1" w:rsidRDefault="00C52FE1" w:rsidP="00C52FE1">
            <w:pPr>
              <w:tabs>
                <w:tab w:val="left" w:pos="288"/>
                <w:tab w:val="left" w:pos="4752"/>
              </w:tabs>
              <w:rPr>
                <w:rFonts w:eastAsia="Calibri" w:cs="Times New Roman"/>
                <w:b/>
                <w:color w:val="auto"/>
                <w:szCs w:val="24"/>
              </w:rPr>
            </w:pPr>
            <w:r w:rsidRPr="00C52FE1">
              <w:rPr>
                <w:rFonts w:eastAsia="Calibri" w:cs="Times New Roman"/>
                <w:b/>
                <w:color w:val="auto"/>
                <w:szCs w:val="24"/>
              </w:rPr>
              <w:t>PERMANENT</w:t>
            </w:r>
          </w:p>
        </w:tc>
      </w:tr>
      <w:tr w:rsidR="00C52FE1" w:rsidRPr="00C52FE1" w:rsidTr="003F61DC">
        <w:trPr>
          <w:trHeight w:val="197"/>
          <w:jc w:val="center"/>
        </w:trPr>
        <w:tc>
          <w:tcPr>
            <w:tcW w:w="5490" w:type="dxa"/>
            <w:vAlign w:val="center"/>
          </w:tcPr>
          <w:p w:rsidR="00C52FE1" w:rsidRPr="00C52FE1" w:rsidRDefault="00C52FE1" w:rsidP="00C52FE1">
            <w:pPr>
              <w:tabs>
                <w:tab w:val="left" w:pos="288"/>
                <w:tab w:val="left" w:pos="4752"/>
              </w:tabs>
              <w:jc w:val="left"/>
              <w:rPr>
                <w:rFonts w:eastAsia="Calibri" w:cs="Times New Roman"/>
                <w:color w:val="auto"/>
                <w:szCs w:val="24"/>
              </w:rPr>
            </w:pPr>
            <w:r w:rsidRPr="00C52FE1">
              <w:rPr>
                <w:rFonts w:eastAsia="Calibri" w:cs="Times New Roman"/>
                <w:color w:val="auto"/>
                <w:szCs w:val="24"/>
              </w:rPr>
              <w:t>Asthma</w:t>
            </w:r>
          </w:p>
        </w:tc>
        <w:tc>
          <w:tcPr>
            <w:tcW w:w="1530" w:type="dxa"/>
            <w:tcBorders>
              <w:bottom w:val="single" w:sz="4" w:space="0" w:color="000000"/>
            </w:tcBorders>
            <w:vAlign w:val="center"/>
          </w:tcPr>
          <w:p w:rsidR="00C52FE1" w:rsidRPr="00C52FE1" w:rsidRDefault="00C52FE1" w:rsidP="00C52FE1">
            <w:pPr>
              <w:tabs>
                <w:tab w:val="left" w:pos="288"/>
                <w:tab w:val="left" w:pos="4752"/>
              </w:tabs>
              <w:rPr>
                <w:rFonts w:eastAsia="Calibri" w:cs="Times New Roman"/>
                <w:color w:val="auto"/>
                <w:szCs w:val="24"/>
              </w:rPr>
            </w:pPr>
            <w:r w:rsidRPr="00C52FE1">
              <w:rPr>
                <w:rFonts w:eastAsia="Calibri" w:cs="Times New Roman"/>
                <w:color w:val="auto"/>
                <w:szCs w:val="24"/>
              </w:rPr>
              <w:t>6602</w:t>
            </w:r>
          </w:p>
        </w:tc>
        <w:tc>
          <w:tcPr>
            <w:tcW w:w="810" w:type="dxa"/>
            <w:tcBorders>
              <w:bottom w:val="single" w:sz="4" w:space="0" w:color="000000"/>
            </w:tcBorders>
            <w:vAlign w:val="center"/>
          </w:tcPr>
          <w:p w:rsidR="00C52FE1" w:rsidRPr="00C52FE1" w:rsidRDefault="00C52FE1" w:rsidP="00C52FE1">
            <w:pPr>
              <w:tabs>
                <w:tab w:val="left" w:pos="288"/>
                <w:tab w:val="left" w:pos="4752"/>
              </w:tabs>
              <w:rPr>
                <w:rFonts w:eastAsia="Calibri" w:cs="Times New Roman"/>
                <w:color w:val="auto"/>
                <w:szCs w:val="24"/>
              </w:rPr>
            </w:pPr>
            <w:r>
              <w:rPr>
                <w:rFonts w:eastAsia="Calibri" w:cs="Times New Roman"/>
                <w:color w:val="auto"/>
                <w:szCs w:val="24"/>
              </w:rPr>
              <w:t>6</w:t>
            </w:r>
            <w:r w:rsidRPr="00C52FE1">
              <w:rPr>
                <w:rFonts w:eastAsia="Calibri" w:cs="Times New Roman"/>
                <w:color w:val="auto"/>
                <w:szCs w:val="24"/>
              </w:rPr>
              <w:t>0%</w:t>
            </w:r>
          </w:p>
        </w:tc>
        <w:tc>
          <w:tcPr>
            <w:tcW w:w="1530" w:type="dxa"/>
            <w:tcBorders>
              <w:bottom w:val="single" w:sz="4" w:space="0" w:color="000000"/>
            </w:tcBorders>
            <w:vAlign w:val="center"/>
          </w:tcPr>
          <w:p w:rsidR="00C52FE1" w:rsidRPr="00140127" w:rsidRDefault="00C52FE1" w:rsidP="00140127">
            <w:pPr>
              <w:tabs>
                <w:tab w:val="left" w:pos="288"/>
                <w:tab w:val="left" w:pos="4752"/>
              </w:tabs>
              <w:rPr>
                <w:rFonts w:eastAsia="Calibri" w:cs="Times New Roman"/>
                <w:color w:val="auto"/>
                <w:szCs w:val="24"/>
              </w:rPr>
            </w:pPr>
            <w:r w:rsidRPr="00140127">
              <w:rPr>
                <w:rFonts w:eastAsia="Calibri" w:cs="Times New Roman"/>
                <w:color w:val="auto"/>
                <w:szCs w:val="24"/>
              </w:rPr>
              <w:t xml:space="preserve">10% </w:t>
            </w:r>
            <w:r w:rsidR="00140127" w:rsidRPr="00140127">
              <w:rPr>
                <w:rFonts w:eastAsia="Calibri" w:cs="Times New Roman"/>
                <w:color w:val="auto"/>
                <w:szCs w:val="24"/>
              </w:rPr>
              <w:t xml:space="preserve"> </w:t>
            </w:r>
          </w:p>
        </w:tc>
      </w:tr>
      <w:tr w:rsidR="00C52FE1" w:rsidRPr="00C52FE1" w:rsidTr="003F61DC">
        <w:tblPrEx>
          <w:tblLook w:val="0000"/>
        </w:tblPrEx>
        <w:trPr>
          <w:gridBefore w:val="1"/>
          <w:wBefore w:w="5490" w:type="dxa"/>
          <w:trHeight w:val="161"/>
          <w:jc w:val="center"/>
        </w:trPr>
        <w:tc>
          <w:tcPr>
            <w:tcW w:w="1530" w:type="dxa"/>
            <w:tcBorders>
              <w:left w:val="single" w:sz="4" w:space="0" w:color="auto"/>
            </w:tcBorders>
            <w:shd w:val="pct15" w:color="auto" w:fill="auto"/>
            <w:vAlign w:val="center"/>
          </w:tcPr>
          <w:p w:rsidR="00C52FE1" w:rsidRPr="00C52FE1" w:rsidRDefault="00C52FE1" w:rsidP="00C52FE1">
            <w:pPr>
              <w:tabs>
                <w:tab w:val="left" w:pos="288"/>
                <w:tab w:val="left" w:pos="4752"/>
              </w:tabs>
              <w:rPr>
                <w:rFonts w:eastAsia="Calibri" w:cs="Times New Roman"/>
                <w:b/>
                <w:color w:val="auto"/>
                <w:szCs w:val="24"/>
              </w:rPr>
            </w:pPr>
            <w:r w:rsidRPr="00C52FE1">
              <w:rPr>
                <w:rFonts w:eastAsia="Calibri" w:cs="Times New Roman"/>
                <w:b/>
                <w:color w:val="auto"/>
                <w:szCs w:val="24"/>
              </w:rPr>
              <w:t>COMBINED</w:t>
            </w:r>
          </w:p>
        </w:tc>
        <w:tc>
          <w:tcPr>
            <w:tcW w:w="810" w:type="dxa"/>
            <w:tcBorders>
              <w:left w:val="single" w:sz="4" w:space="0" w:color="auto"/>
            </w:tcBorders>
            <w:shd w:val="pct15" w:color="auto" w:fill="auto"/>
            <w:vAlign w:val="center"/>
          </w:tcPr>
          <w:p w:rsidR="00C52FE1" w:rsidRPr="00C52FE1" w:rsidRDefault="00C52FE1" w:rsidP="00C52FE1">
            <w:pPr>
              <w:tabs>
                <w:tab w:val="left" w:pos="288"/>
                <w:tab w:val="left" w:pos="4752"/>
              </w:tabs>
              <w:rPr>
                <w:rFonts w:eastAsia="Calibri" w:cs="Times New Roman"/>
                <w:b/>
                <w:color w:val="auto"/>
                <w:szCs w:val="24"/>
              </w:rPr>
            </w:pPr>
            <w:r>
              <w:rPr>
                <w:rFonts w:eastAsia="Calibri" w:cs="Times New Roman"/>
                <w:b/>
                <w:color w:val="auto"/>
                <w:szCs w:val="24"/>
              </w:rPr>
              <w:t>6</w:t>
            </w:r>
            <w:r w:rsidRPr="00C52FE1">
              <w:rPr>
                <w:rFonts w:eastAsia="Calibri" w:cs="Times New Roman"/>
                <w:b/>
                <w:color w:val="auto"/>
                <w:szCs w:val="24"/>
              </w:rPr>
              <w:t>0%</w:t>
            </w:r>
          </w:p>
        </w:tc>
        <w:tc>
          <w:tcPr>
            <w:tcW w:w="1530" w:type="dxa"/>
            <w:shd w:val="pct15" w:color="auto" w:fill="auto"/>
            <w:vAlign w:val="center"/>
          </w:tcPr>
          <w:p w:rsidR="00C52FE1" w:rsidRPr="00140127" w:rsidRDefault="00C52FE1" w:rsidP="00140127">
            <w:pPr>
              <w:tabs>
                <w:tab w:val="left" w:pos="288"/>
                <w:tab w:val="left" w:pos="4752"/>
              </w:tabs>
              <w:rPr>
                <w:rFonts w:eastAsia="Calibri" w:cs="Times New Roman"/>
                <w:b/>
                <w:color w:val="auto"/>
                <w:szCs w:val="24"/>
              </w:rPr>
            </w:pPr>
            <w:r w:rsidRPr="00140127">
              <w:rPr>
                <w:rFonts w:eastAsia="Calibri" w:cs="Times New Roman"/>
                <w:b/>
                <w:color w:val="auto"/>
                <w:szCs w:val="24"/>
              </w:rPr>
              <w:t xml:space="preserve">10% </w:t>
            </w:r>
            <w:r w:rsidR="00140127" w:rsidRPr="00140127">
              <w:rPr>
                <w:rFonts w:eastAsia="Calibri" w:cs="Times New Roman"/>
                <w:b/>
                <w:color w:val="auto"/>
                <w:szCs w:val="24"/>
              </w:rPr>
              <w:t xml:space="preserve"> </w:t>
            </w:r>
          </w:p>
        </w:tc>
      </w:tr>
    </w:tbl>
    <w:p w:rsidR="00F0721A" w:rsidRPr="001F29F9" w:rsidRDefault="00F0721A" w:rsidP="00BF0E94">
      <w:pPr>
        <w:pBdr>
          <w:bottom w:val="single" w:sz="12" w:space="1" w:color="auto"/>
        </w:pBdr>
        <w:tabs>
          <w:tab w:val="left" w:pos="288"/>
          <w:tab w:val="left" w:pos="4752"/>
        </w:tabs>
        <w:jc w:val="both"/>
        <w:rPr>
          <w:color w:val="000000"/>
        </w:rPr>
      </w:pPr>
    </w:p>
    <w:p w:rsidR="00F0721A" w:rsidRPr="001F29F9" w:rsidRDefault="00F0721A" w:rsidP="00BF0E94">
      <w:pPr>
        <w:rPr>
          <w:color w:val="000000"/>
        </w:rPr>
      </w:pPr>
    </w:p>
    <w:p w:rsidR="00F0721A" w:rsidRPr="001F29F9" w:rsidRDefault="00F0721A" w:rsidP="00BF0E94">
      <w:pPr>
        <w:tabs>
          <w:tab w:val="left" w:pos="288"/>
          <w:tab w:val="left" w:pos="4752"/>
        </w:tabs>
        <w:jc w:val="both"/>
        <w:rPr>
          <w:color w:val="000000"/>
        </w:rPr>
      </w:pPr>
      <w:r w:rsidRPr="001F29F9">
        <w:rPr>
          <w:color w:val="000000"/>
        </w:rPr>
        <w:t>The following documentary evidence was considered:</w:t>
      </w:r>
    </w:p>
    <w:p w:rsidR="00F0721A" w:rsidRPr="001F29F9" w:rsidRDefault="00F0721A" w:rsidP="00B3575C">
      <w:pPr>
        <w:tabs>
          <w:tab w:val="left" w:pos="288"/>
          <w:tab w:val="left" w:pos="4752"/>
        </w:tabs>
        <w:spacing w:line="440" w:lineRule="exact"/>
        <w:jc w:val="both"/>
        <w:rPr>
          <w:color w:val="000000"/>
        </w:rPr>
      </w:pPr>
      <w:r w:rsidRPr="001F29F9">
        <w:rPr>
          <w:color w:val="000000"/>
        </w:rPr>
        <w:t>Exhibit A.  DD F</w:t>
      </w:r>
      <w:r w:rsidR="00F951A4">
        <w:rPr>
          <w:color w:val="000000"/>
        </w:rPr>
        <w:t>orm 294, dated 20110812 w/atchs</w:t>
      </w:r>
    </w:p>
    <w:p w:rsidR="00F0721A" w:rsidRPr="001F29F9" w:rsidRDefault="00F0721A" w:rsidP="00BF0E94">
      <w:pPr>
        <w:tabs>
          <w:tab w:val="left" w:pos="288"/>
          <w:tab w:val="left" w:pos="4752"/>
        </w:tabs>
        <w:jc w:val="both"/>
        <w:rPr>
          <w:color w:val="000000"/>
        </w:rPr>
      </w:pPr>
      <w:r w:rsidRPr="001F29F9">
        <w:rPr>
          <w:color w:val="000000"/>
        </w:rPr>
        <w:t>Exhib</w:t>
      </w:r>
      <w:r w:rsidR="00F951A4">
        <w:rPr>
          <w:color w:val="000000"/>
        </w:rPr>
        <w:t>it B.  Service Treatment Record</w:t>
      </w:r>
    </w:p>
    <w:p w:rsidR="00F0721A" w:rsidRPr="001F29F9" w:rsidRDefault="00F0721A" w:rsidP="00BF0E94">
      <w:pPr>
        <w:tabs>
          <w:tab w:val="left" w:pos="288"/>
          <w:tab w:val="left" w:pos="4752"/>
        </w:tabs>
        <w:jc w:val="both"/>
        <w:rPr>
          <w:color w:val="000000"/>
        </w:rPr>
      </w:pPr>
      <w:r w:rsidRPr="001F29F9">
        <w:rPr>
          <w:color w:val="000000"/>
        </w:rPr>
        <w:t>Exhibit C.  Department of Ve</w:t>
      </w:r>
      <w:r w:rsidR="00F951A4">
        <w:rPr>
          <w:color w:val="000000"/>
        </w:rPr>
        <w:t>terans Affairs Treatment Record</w:t>
      </w:r>
    </w:p>
    <w:p w:rsidR="00F0721A" w:rsidRPr="001F29F9" w:rsidRDefault="00F0721A" w:rsidP="00BF0E94">
      <w:pPr>
        <w:tabs>
          <w:tab w:val="left" w:pos="288"/>
          <w:tab w:val="left" w:pos="4752"/>
        </w:tabs>
        <w:jc w:val="both"/>
        <w:rPr>
          <w:color w:val="000000"/>
        </w:rPr>
      </w:pPr>
    </w:p>
    <w:p w:rsidR="00F0721A" w:rsidRPr="001F29F9" w:rsidRDefault="00F0721A" w:rsidP="00BF0E94">
      <w:pPr>
        <w:tabs>
          <w:tab w:val="left" w:pos="288"/>
          <w:tab w:val="left" w:pos="4752"/>
        </w:tabs>
        <w:jc w:val="both"/>
        <w:rPr>
          <w:color w:val="000000"/>
        </w:rPr>
      </w:pPr>
    </w:p>
    <w:p w:rsidR="00F0721A" w:rsidRPr="001F29F9" w:rsidRDefault="00F0721A" w:rsidP="00BF0E94">
      <w:pPr>
        <w:tabs>
          <w:tab w:val="left" w:pos="288"/>
          <w:tab w:val="left" w:pos="4752"/>
        </w:tabs>
        <w:jc w:val="both"/>
        <w:rPr>
          <w:color w:val="000000"/>
        </w:rPr>
      </w:pPr>
    </w:p>
    <w:p w:rsidR="00F0721A" w:rsidRPr="001F29F9" w:rsidRDefault="00F0721A" w:rsidP="00BF0E94">
      <w:pPr>
        <w:tabs>
          <w:tab w:val="left" w:pos="288"/>
          <w:tab w:val="left" w:pos="4752"/>
        </w:tabs>
        <w:jc w:val="both"/>
        <w:rPr>
          <w:color w:val="000000"/>
        </w:rPr>
      </w:pPr>
    </w:p>
    <w:p w:rsidR="00F969EC" w:rsidRDefault="00F0721A" w:rsidP="00BF0E94">
      <w:pPr>
        <w:tabs>
          <w:tab w:val="left" w:pos="0"/>
          <w:tab w:val="left" w:pos="4320"/>
        </w:tabs>
        <w:jc w:val="both"/>
        <w:rPr>
          <w:color w:val="000000"/>
        </w:rPr>
      </w:pPr>
      <w:r w:rsidRPr="001F29F9">
        <w:rPr>
          <w:color w:val="000000"/>
        </w:rPr>
        <w:tab/>
        <w:t xml:space="preserve">          </w:t>
      </w:r>
    </w:p>
    <w:p w:rsidR="00F0721A" w:rsidRPr="001F29F9" w:rsidRDefault="00F969EC" w:rsidP="00BF0E94">
      <w:pPr>
        <w:tabs>
          <w:tab w:val="left" w:pos="0"/>
          <w:tab w:val="left" w:pos="4320"/>
        </w:tabs>
        <w:jc w:val="both"/>
        <w:rPr>
          <w:color w:val="000000"/>
        </w:rPr>
      </w:pPr>
      <w:r>
        <w:rPr>
          <w:color w:val="000000"/>
        </w:rPr>
        <w:tab/>
      </w:r>
      <w:r>
        <w:rPr>
          <w:color w:val="000000"/>
        </w:rPr>
        <w:tab/>
      </w:r>
      <w:r w:rsidR="00BA7F1F">
        <w:rPr>
          <w:color w:val="000000"/>
        </w:rPr>
        <w:t>XXXXXXXXXX</w:t>
      </w:r>
    </w:p>
    <w:p w:rsidR="00F0721A" w:rsidRPr="001F29F9" w:rsidRDefault="00F0721A" w:rsidP="00BF0E94">
      <w:pPr>
        <w:tabs>
          <w:tab w:val="left" w:pos="0"/>
          <w:tab w:val="left" w:pos="4320"/>
        </w:tabs>
        <w:jc w:val="both"/>
        <w:rPr>
          <w:color w:val="000000"/>
        </w:rPr>
      </w:pPr>
      <w:r w:rsidRPr="001F29F9">
        <w:rPr>
          <w:color w:val="000000"/>
        </w:rPr>
        <w:tab/>
        <w:t xml:space="preserve">           </w:t>
      </w:r>
      <w:r w:rsidR="00F969EC">
        <w:rPr>
          <w:color w:val="000000"/>
        </w:rPr>
        <w:tab/>
      </w:r>
      <w:r w:rsidRPr="001F29F9">
        <w:rPr>
          <w:color w:val="000000"/>
        </w:rPr>
        <w:t>President</w:t>
      </w:r>
    </w:p>
    <w:p w:rsidR="00F0721A" w:rsidRPr="001F29F9" w:rsidRDefault="00F0721A" w:rsidP="00BF0E94">
      <w:pPr>
        <w:tabs>
          <w:tab w:val="left" w:pos="0"/>
          <w:tab w:val="left" w:pos="4320"/>
        </w:tabs>
        <w:jc w:val="both"/>
        <w:rPr>
          <w:color w:val="000000"/>
        </w:rPr>
      </w:pPr>
      <w:r w:rsidRPr="001F29F9">
        <w:rPr>
          <w:color w:val="000000"/>
        </w:rPr>
        <w:tab/>
        <w:t xml:space="preserve">          </w:t>
      </w:r>
      <w:r w:rsidR="00F969EC">
        <w:rPr>
          <w:color w:val="000000"/>
        </w:rPr>
        <w:tab/>
      </w:r>
      <w:r w:rsidRPr="001F29F9">
        <w:rPr>
          <w:color w:val="000000"/>
        </w:rPr>
        <w:t>Physical Disability Board of Review</w:t>
      </w:r>
    </w:p>
    <w:p w:rsidR="00F0721A" w:rsidRDefault="00F0721A" w:rsidP="00BF0E94">
      <w:pPr>
        <w:rPr>
          <w:color w:val="000000"/>
          <w:u w:val="single"/>
        </w:rPr>
      </w:pPr>
    </w:p>
    <w:p w:rsidR="00482698" w:rsidRDefault="00140127" w:rsidP="00482698">
      <w:pPr>
        <w:spacing w:line="240" w:lineRule="auto"/>
        <w:jc w:val="left"/>
        <w:rPr>
          <w:b/>
          <w:color w:val="000000"/>
        </w:rPr>
      </w:pPr>
      <w:r>
        <w:rPr>
          <w:b/>
          <w:color w:val="000000"/>
        </w:rPr>
        <w:t xml:space="preserve"> </w:t>
      </w:r>
    </w:p>
    <w:p w:rsidR="00C52682" w:rsidRPr="00C52682" w:rsidRDefault="00140127" w:rsidP="00C52682">
      <w:pPr>
        <w:tabs>
          <w:tab w:val="left" w:pos="720"/>
          <w:tab w:val="left" w:pos="1080"/>
          <w:tab w:val="left" w:pos="1440"/>
          <w:tab w:val="left" w:pos="1800"/>
          <w:tab w:val="left" w:pos="2160"/>
          <w:tab w:val="left" w:pos="2520"/>
          <w:tab w:val="right" w:leader="dot" w:pos="9180"/>
        </w:tabs>
        <w:jc w:val="both"/>
        <w:rPr>
          <w:rFonts w:ascii="Times New Roman" w:hAnsi="Times New Roman"/>
          <w:color w:val="auto"/>
          <w:szCs w:val="24"/>
        </w:rPr>
      </w:pPr>
      <w:r>
        <w:rPr>
          <w:b/>
          <w:color w:val="000000"/>
        </w:rPr>
        <w:t xml:space="preserve"> </w:t>
      </w:r>
    </w:p>
    <w:p w:rsidR="00BA7F1F" w:rsidRDefault="00BA7F1F">
      <w:pPr>
        <w:spacing w:line="240" w:lineRule="auto"/>
        <w:jc w:val="left"/>
        <w:rPr>
          <w:rFonts w:ascii="Times New Roman" w:hAnsi="Times New Roman"/>
          <w:color w:val="auto"/>
          <w:szCs w:val="24"/>
        </w:rPr>
      </w:pPr>
      <w:r>
        <w:rPr>
          <w:rFonts w:ascii="Times New Roman" w:hAnsi="Times New Roman"/>
          <w:color w:val="auto"/>
          <w:szCs w:val="24"/>
        </w:rPr>
        <w:br w:type="page"/>
      </w:r>
    </w:p>
    <w:p w:rsidR="00BA7F1F" w:rsidRDefault="00BA7F1F" w:rsidP="00BA7F1F">
      <w:pPr>
        <w:sectPr w:rsidR="00BA7F1F">
          <w:pgSz w:w="12240" w:h="15840"/>
          <w:pgMar w:top="2160" w:right="1440" w:bottom="1440" w:left="1440" w:header="720" w:footer="720" w:gutter="0"/>
          <w:cols w:space="720"/>
        </w:sectPr>
      </w:pPr>
    </w:p>
    <w:p w:rsidR="00BA7F1F" w:rsidRDefault="00BA7F1F" w:rsidP="00BA7F1F">
      <w:pPr>
        <w:pStyle w:val="Header"/>
        <w:tabs>
          <w:tab w:val="left" w:pos="720"/>
        </w:tabs>
        <w:jc w:val="left"/>
      </w:pPr>
      <w:r>
        <w:lastRenderedPageBreak/>
        <w:t>SFMR-RB</w:t>
      </w:r>
      <w:r>
        <w:tab/>
      </w:r>
      <w:r>
        <w:tab/>
      </w:r>
      <w:r>
        <w:tab/>
      </w:r>
      <w:r>
        <w:tab/>
      </w:r>
      <w:r>
        <w:tab/>
      </w:r>
      <w:r>
        <w:tab/>
      </w:r>
      <w:r>
        <w:tab/>
      </w:r>
      <w:r>
        <w:tab/>
      </w:r>
      <w:r>
        <w:tab/>
      </w:r>
    </w:p>
    <w:p w:rsidR="00BA7F1F" w:rsidRDefault="00BA7F1F" w:rsidP="00BA7F1F">
      <w:pPr>
        <w:pStyle w:val="Header"/>
        <w:tabs>
          <w:tab w:val="left" w:pos="720"/>
        </w:tabs>
        <w:jc w:val="left"/>
      </w:pPr>
    </w:p>
    <w:p w:rsidR="00BA7F1F" w:rsidRDefault="00BA7F1F" w:rsidP="00BA7F1F">
      <w:pPr>
        <w:jc w:val="left"/>
      </w:pPr>
    </w:p>
    <w:p w:rsidR="00BA7F1F" w:rsidRDefault="00BA7F1F" w:rsidP="00BA7F1F">
      <w:pPr>
        <w:jc w:val="left"/>
      </w:pPr>
      <w:r>
        <w:t xml:space="preserve">MEMORANDUM FOR Commander, US Army Physical Disability Agency </w:t>
      </w:r>
    </w:p>
    <w:p w:rsidR="00BA7F1F" w:rsidRDefault="00BA7F1F" w:rsidP="00BA7F1F">
      <w:pPr>
        <w:jc w:val="left"/>
      </w:pPr>
      <w:r>
        <w:t>(TAPD-ZB /), 2900 Crystal Drive, Suite 300, Arlington, VA  22202</w:t>
      </w:r>
    </w:p>
    <w:p w:rsidR="00BA7F1F" w:rsidRDefault="00BA7F1F" w:rsidP="00BA7F1F">
      <w:pPr>
        <w:jc w:val="left"/>
      </w:pPr>
    </w:p>
    <w:p w:rsidR="00BA7F1F" w:rsidRDefault="00BA7F1F" w:rsidP="00BA7F1F">
      <w:pPr>
        <w:ind w:right="-180"/>
        <w:jc w:val="left"/>
      </w:pPr>
      <w:r>
        <w:t xml:space="preserve">SUBJECT:  Department of Defense Physical Disability Board of Review Recommendation </w:t>
      </w:r>
    </w:p>
    <w:p w:rsidR="00BA7F1F" w:rsidRDefault="00BA7F1F" w:rsidP="00BA7F1F">
      <w:pPr>
        <w:pStyle w:val="Header"/>
        <w:tabs>
          <w:tab w:val="left" w:pos="720"/>
        </w:tabs>
        <w:jc w:val="left"/>
      </w:pPr>
      <w:proofErr w:type="gramStart"/>
      <w:r>
        <w:t>for</w:t>
      </w:r>
      <w:proofErr w:type="gramEnd"/>
      <w:r>
        <w:t xml:space="preserve"> XXXXXXXXX, AR20120006637 (PD201100618)</w:t>
      </w:r>
    </w:p>
    <w:p w:rsidR="00BA7F1F" w:rsidRDefault="00BA7F1F" w:rsidP="00BA7F1F">
      <w:pPr>
        <w:pStyle w:val="Header"/>
        <w:tabs>
          <w:tab w:val="left" w:pos="720"/>
        </w:tabs>
        <w:jc w:val="left"/>
      </w:pPr>
    </w:p>
    <w:p w:rsidR="00BA7F1F" w:rsidRDefault="00BA7F1F" w:rsidP="00BA7F1F">
      <w:pPr>
        <w:jc w:val="left"/>
      </w:pPr>
    </w:p>
    <w:p w:rsidR="00BA7F1F" w:rsidRDefault="00BA7F1F" w:rsidP="00BA7F1F">
      <w:pPr>
        <w:jc w:val="left"/>
      </w:pPr>
      <w:r>
        <w:t xml:space="preserve">1.  Under the authority of Title 10, United States Code, section 1554(a), I approve the enclosed recommendation of the Department of Defense Physical Disability Board of Review (DoD PDBR) pertaining to the individual named in the subject line above to  constructively place the individual on the Temporary Disability Retired List (TDRL) at </w:t>
      </w:r>
    </w:p>
    <w:p w:rsidR="00BA7F1F" w:rsidRDefault="00BA7F1F" w:rsidP="00BA7F1F">
      <w:pPr>
        <w:jc w:val="left"/>
      </w:pPr>
      <w:r>
        <w:t xml:space="preserve">60% disability instead of 30% disability for the period 23 October 2003 to 23 February 2005 and then following this period no </w:t>
      </w:r>
      <w:proofErr w:type="spellStart"/>
      <w:r>
        <w:t>recharacterization</w:t>
      </w:r>
      <w:proofErr w:type="spellEnd"/>
      <w:r>
        <w:t xml:space="preserve"> of the individual’s separation but a modification of the permanent disability rating from 0% to 10%.</w:t>
      </w:r>
    </w:p>
    <w:p w:rsidR="00BA7F1F" w:rsidRDefault="00BA7F1F" w:rsidP="00BA7F1F">
      <w:pPr>
        <w:jc w:val="left"/>
      </w:pPr>
    </w:p>
    <w:p w:rsidR="00BA7F1F" w:rsidRDefault="00BA7F1F" w:rsidP="00BA7F1F">
      <w:pPr>
        <w:jc w:val="left"/>
      </w:pPr>
      <w:r>
        <w:t xml:space="preserve">2.  I direct that all the Department of the Army records of the individual concerned be corrected accordingly no later than </w:t>
      </w:r>
      <w:bookmarkStart w:id="0" w:name="OLE_LINK10"/>
      <w:bookmarkStart w:id="1" w:name="OLE_LINK9"/>
      <w:r>
        <w:t>120 days from the date of this memorandum as follows:</w:t>
      </w:r>
      <w:bookmarkEnd w:id="0"/>
      <w:bookmarkEnd w:id="1"/>
    </w:p>
    <w:p w:rsidR="00BA7F1F" w:rsidRDefault="00BA7F1F" w:rsidP="00BA7F1F">
      <w:pPr>
        <w:jc w:val="left"/>
      </w:pPr>
    </w:p>
    <w:p w:rsidR="00BA7F1F" w:rsidRDefault="00BA7F1F" w:rsidP="00BA7F1F">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BA7F1F" w:rsidRDefault="00BA7F1F" w:rsidP="00BA7F1F">
      <w:pPr>
        <w:jc w:val="left"/>
      </w:pPr>
    </w:p>
    <w:p w:rsidR="00BA7F1F" w:rsidRDefault="00BA7F1F" w:rsidP="00BA7F1F">
      <w:pPr>
        <w:jc w:val="left"/>
      </w:pPr>
      <w:r>
        <w:tab/>
      </w:r>
      <w:proofErr w:type="gramStart"/>
      <w:r>
        <w:t>b.  Providing</w:t>
      </w:r>
      <w:proofErr w:type="gramEnd"/>
      <w:r>
        <w:t xml:space="preserve"> orders showing that the individual was separated with a permanent combined rating of 10% effective the day following the TDRL period with no </w:t>
      </w:r>
      <w:proofErr w:type="spellStart"/>
      <w:r>
        <w:t>recharacterization</w:t>
      </w:r>
      <w:proofErr w:type="spellEnd"/>
      <w:r>
        <w:t xml:space="preserve"> of the individual’s separation.</w:t>
      </w:r>
    </w:p>
    <w:p w:rsidR="00BA7F1F" w:rsidRDefault="00BA7F1F" w:rsidP="00BA7F1F">
      <w:pPr>
        <w:jc w:val="left"/>
      </w:pPr>
    </w:p>
    <w:p w:rsidR="00BA7F1F" w:rsidRDefault="00BA7F1F" w:rsidP="00BA7F1F">
      <w:pPr>
        <w:jc w:val="left"/>
      </w:pPr>
      <w:r>
        <w:tab/>
      </w:r>
      <w:proofErr w:type="gramStart"/>
      <w:r>
        <w:t>c.  Adjusting</w:t>
      </w:r>
      <w:proofErr w:type="gramEnd"/>
      <w:r>
        <w:t xml:space="preserve"> pay and allowances accordingly.  Pay and allowance adjustment will provide 60% retired pay for the constructive temporary disability retired period effective the date of the individual’s original medical separation and adjusting severance pay as necessary to account for the additional TDRL time in service.</w:t>
      </w:r>
    </w:p>
    <w:p w:rsidR="00BA7F1F" w:rsidRDefault="00BA7F1F" w:rsidP="00BA7F1F">
      <w:pPr>
        <w:jc w:val="left"/>
      </w:pPr>
    </w:p>
    <w:p w:rsidR="00BA7F1F" w:rsidRDefault="00BA7F1F" w:rsidP="00BA7F1F">
      <w:pPr>
        <w:jc w:val="left"/>
      </w:pPr>
      <w:bookmarkStart w:id="2" w:name="OLE_LINK2"/>
      <w:bookmarkStart w:id="3" w:name="OLE_LINK1"/>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2"/>
    <w:bookmarkEnd w:id="3"/>
    <w:p w:rsidR="00BA7F1F" w:rsidRDefault="00BA7F1F" w:rsidP="00BA7F1F">
      <w:pPr>
        <w:jc w:val="left"/>
      </w:pPr>
    </w:p>
    <w:p w:rsidR="00BA7F1F" w:rsidRDefault="00BA7F1F" w:rsidP="00BA7F1F">
      <w:pPr>
        <w:jc w:val="left"/>
      </w:pPr>
      <w:r>
        <w:t>BY ORDER OF THE SECRETARY OF THE ARMY:</w:t>
      </w:r>
    </w:p>
    <w:p w:rsidR="00BA7F1F" w:rsidRDefault="00BA7F1F" w:rsidP="00BA7F1F">
      <w:pPr>
        <w:jc w:val="left"/>
      </w:pPr>
    </w:p>
    <w:p w:rsidR="00BA7F1F" w:rsidRDefault="00BA7F1F" w:rsidP="00BA7F1F">
      <w:pPr>
        <w:jc w:val="left"/>
      </w:pPr>
    </w:p>
    <w:p w:rsidR="00BA7F1F" w:rsidRDefault="00BA7F1F" w:rsidP="00BA7F1F">
      <w:pPr>
        <w:pStyle w:val="Header"/>
        <w:tabs>
          <w:tab w:val="left" w:pos="720"/>
        </w:tabs>
        <w:jc w:val="left"/>
      </w:pPr>
    </w:p>
    <w:p w:rsidR="00BA7F1F" w:rsidRDefault="00BA7F1F" w:rsidP="00BA7F1F">
      <w:pPr>
        <w:jc w:val="left"/>
      </w:pPr>
      <w:bookmarkStart w:id="4" w:name="OLE_LINK4"/>
      <w:bookmarkStart w:id="5" w:name="OLE_LINK3"/>
    </w:p>
    <w:p w:rsidR="00BA7F1F" w:rsidRDefault="00BA7F1F" w:rsidP="00BA7F1F">
      <w:pPr>
        <w:jc w:val="left"/>
      </w:pPr>
      <w:r>
        <w:t>Encl</w:t>
      </w:r>
      <w:r>
        <w:tab/>
      </w:r>
      <w:r>
        <w:tab/>
      </w:r>
      <w:r>
        <w:tab/>
      </w:r>
      <w:r>
        <w:tab/>
      </w:r>
      <w:r>
        <w:tab/>
      </w:r>
      <w:r>
        <w:tab/>
        <w:t xml:space="preserve">     XXXXXXXXXX</w:t>
      </w:r>
    </w:p>
    <w:p w:rsidR="00BA7F1F" w:rsidRDefault="00BA7F1F" w:rsidP="00BA7F1F">
      <w:pPr>
        <w:jc w:val="left"/>
      </w:pPr>
      <w:r>
        <w:tab/>
      </w:r>
      <w:r>
        <w:tab/>
      </w:r>
      <w:r>
        <w:tab/>
      </w:r>
      <w:r>
        <w:tab/>
      </w:r>
      <w:r>
        <w:tab/>
      </w:r>
      <w:r>
        <w:tab/>
        <w:t xml:space="preserve">     Deputy Assistant Secretary</w:t>
      </w:r>
    </w:p>
    <w:p w:rsidR="00BA7F1F" w:rsidRDefault="00BA7F1F" w:rsidP="00BA7F1F">
      <w:pPr>
        <w:jc w:val="left"/>
      </w:pPr>
      <w:r>
        <w:tab/>
      </w:r>
      <w:r>
        <w:tab/>
      </w:r>
      <w:r>
        <w:tab/>
      </w:r>
      <w:r>
        <w:tab/>
      </w:r>
      <w:r>
        <w:tab/>
      </w:r>
      <w:r>
        <w:tab/>
        <w:t xml:space="preserve">         (Army Review Boards)</w:t>
      </w:r>
      <w:bookmarkEnd w:id="4"/>
      <w:bookmarkEnd w:id="5"/>
    </w:p>
    <w:p w:rsidR="00BA7F1F" w:rsidRDefault="00BA7F1F" w:rsidP="00BA7F1F">
      <w:pPr>
        <w:jc w:val="left"/>
      </w:pPr>
    </w:p>
    <w:p w:rsidR="00BA7F1F" w:rsidRDefault="00BA7F1F" w:rsidP="00BA7F1F">
      <w:pPr>
        <w:jc w:val="left"/>
      </w:pPr>
      <w:r>
        <w:t xml:space="preserve">CF: </w:t>
      </w:r>
    </w:p>
    <w:p w:rsidR="00BA7F1F" w:rsidRDefault="00BA7F1F" w:rsidP="00BA7F1F">
      <w:pPr>
        <w:jc w:val="left"/>
      </w:pPr>
      <w:r>
        <w:t xml:space="preserve">(  ) </w:t>
      </w:r>
      <w:proofErr w:type="gramStart"/>
      <w:r>
        <w:t>DoD</w:t>
      </w:r>
      <w:proofErr w:type="gramEnd"/>
      <w:r>
        <w:t xml:space="preserve"> PDBR</w:t>
      </w:r>
    </w:p>
    <w:p w:rsidR="00BA7F1F" w:rsidRDefault="00BA7F1F" w:rsidP="00BA7F1F">
      <w:pPr>
        <w:jc w:val="left"/>
      </w:pPr>
      <w:r>
        <w:t>(  ) DVA</w:t>
      </w:r>
    </w:p>
    <w:p w:rsidR="00BA7F1F" w:rsidRDefault="00BA7F1F" w:rsidP="00BA7F1F">
      <w:pPr>
        <w:jc w:val="left"/>
      </w:pPr>
    </w:p>
    <w:p w:rsidR="00C52682" w:rsidRDefault="00C52682" w:rsidP="00BA7F1F">
      <w:pPr>
        <w:tabs>
          <w:tab w:val="left" w:pos="720"/>
          <w:tab w:val="left" w:pos="1080"/>
          <w:tab w:val="left" w:pos="1440"/>
          <w:tab w:val="left" w:pos="1800"/>
          <w:tab w:val="left" w:pos="2160"/>
          <w:tab w:val="left" w:pos="2520"/>
          <w:tab w:val="right" w:leader="dot" w:pos="9180"/>
        </w:tabs>
        <w:jc w:val="left"/>
        <w:rPr>
          <w:rFonts w:ascii="Times New Roman" w:hAnsi="Times New Roman"/>
          <w:color w:val="auto"/>
          <w:szCs w:val="24"/>
        </w:rPr>
      </w:pPr>
    </w:p>
    <w:sectPr w:rsidR="00C52682" w:rsidSect="00E7016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7C" w:rsidRDefault="00DA297C">
      <w:r>
        <w:separator/>
      </w:r>
    </w:p>
  </w:endnote>
  <w:endnote w:type="continuationSeparator" w:id="0">
    <w:p w:rsidR="00DA297C" w:rsidRDefault="00DA29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FC3" w:rsidRPr="00374247" w:rsidRDefault="00836FC3" w:rsidP="00374247">
    <w:pPr>
      <w:pStyle w:val="Footer"/>
      <w:ind w:firstLine="4320"/>
      <w:rPr>
        <w:color w:val="auto"/>
      </w:rPr>
    </w:pPr>
    <w:r w:rsidRPr="00374247">
      <w:rPr>
        <w:color w:val="auto"/>
      </w:rPr>
      <w:t xml:space="preserve">   </w:t>
    </w:r>
    <w:fldSimple w:instr=" PAGE   \* MERGEFORMAT ">
      <w:r w:rsidR="00A238D9" w:rsidRPr="00A238D9">
        <w:rPr>
          <w:noProof/>
          <w:color w:val="auto"/>
        </w:rPr>
        <w:t>7</w:t>
      </w:r>
    </w:fldSimple>
    <w:r w:rsidRPr="00374247">
      <w:rPr>
        <w:color w:val="auto"/>
      </w:rPr>
      <w:t xml:space="preserve">                                                           </w:t>
    </w:r>
    <w:r w:rsidRPr="001D64F3">
      <w:rPr>
        <w:color w:val="auto"/>
      </w:rPr>
      <w:t>PD</w:t>
    </w:r>
    <w:r w:rsidRPr="00C905A1">
      <w:rPr>
        <w:color w:val="auto"/>
      </w:rPr>
      <w:t>1100</w:t>
    </w:r>
    <w:r w:rsidRPr="001D64F3">
      <w:rPr>
        <w:color w:val="auto"/>
      </w:rPr>
      <w:t>618</w:t>
    </w:r>
  </w:p>
  <w:p w:rsidR="00836FC3" w:rsidRPr="00684CE6" w:rsidRDefault="00836FC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7C" w:rsidRDefault="00DA297C">
      <w:r>
        <w:separator/>
      </w:r>
    </w:p>
  </w:footnote>
  <w:footnote w:type="continuationSeparator" w:id="0">
    <w:p w:rsidR="00DA297C" w:rsidRDefault="00DA2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3C7E"/>
    <w:rsid w:val="000059FA"/>
    <w:rsid w:val="00006186"/>
    <w:rsid w:val="00006F87"/>
    <w:rsid w:val="00007107"/>
    <w:rsid w:val="00010ABA"/>
    <w:rsid w:val="00010AF0"/>
    <w:rsid w:val="00010B0F"/>
    <w:rsid w:val="00011FE8"/>
    <w:rsid w:val="00012428"/>
    <w:rsid w:val="00012733"/>
    <w:rsid w:val="00013417"/>
    <w:rsid w:val="000145C2"/>
    <w:rsid w:val="0001473F"/>
    <w:rsid w:val="000147E7"/>
    <w:rsid w:val="00014A47"/>
    <w:rsid w:val="00014A9E"/>
    <w:rsid w:val="00017778"/>
    <w:rsid w:val="00021361"/>
    <w:rsid w:val="0002146D"/>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D46"/>
    <w:rsid w:val="00036E4B"/>
    <w:rsid w:val="00036EB5"/>
    <w:rsid w:val="00037929"/>
    <w:rsid w:val="000379D0"/>
    <w:rsid w:val="00040FC4"/>
    <w:rsid w:val="000416F8"/>
    <w:rsid w:val="00042C26"/>
    <w:rsid w:val="00043382"/>
    <w:rsid w:val="00044623"/>
    <w:rsid w:val="000452D7"/>
    <w:rsid w:val="00051622"/>
    <w:rsid w:val="00051A11"/>
    <w:rsid w:val="00052234"/>
    <w:rsid w:val="000536F2"/>
    <w:rsid w:val="00053D7C"/>
    <w:rsid w:val="000548DB"/>
    <w:rsid w:val="000575C5"/>
    <w:rsid w:val="000577C9"/>
    <w:rsid w:val="00060FFD"/>
    <w:rsid w:val="0006154E"/>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3C9"/>
    <w:rsid w:val="0008545D"/>
    <w:rsid w:val="00085D7B"/>
    <w:rsid w:val="0008708B"/>
    <w:rsid w:val="00092619"/>
    <w:rsid w:val="00092C66"/>
    <w:rsid w:val="000949DD"/>
    <w:rsid w:val="00094E4F"/>
    <w:rsid w:val="000A048E"/>
    <w:rsid w:val="000A12E0"/>
    <w:rsid w:val="000A21A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C5"/>
    <w:rsid w:val="000D1CF4"/>
    <w:rsid w:val="000D1DBC"/>
    <w:rsid w:val="000D21C7"/>
    <w:rsid w:val="000D248A"/>
    <w:rsid w:val="000D2CFD"/>
    <w:rsid w:val="000D35D8"/>
    <w:rsid w:val="000D4324"/>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0D1"/>
    <w:rsid w:val="001302AF"/>
    <w:rsid w:val="00130756"/>
    <w:rsid w:val="001315DD"/>
    <w:rsid w:val="0013525F"/>
    <w:rsid w:val="00135385"/>
    <w:rsid w:val="00136204"/>
    <w:rsid w:val="001364D1"/>
    <w:rsid w:val="001374C7"/>
    <w:rsid w:val="0014012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00AB"/>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3F4"/>
    <w:rsid w:val="001844D8"/>
    <w:rsid w:val="00185DA8"/>
    <w:rsid w:val="00185ECB"/>
    <w:rsid w:val="001865E0"/>
    <w:rsid w:val="00186CBF"/>
    <w:rsid w:val="00186D9A"/>
    <w:rsid w:val="001870F0"/>
    <w:rsid w:val="00190372"/>
    <w:rsid w:val="00190E48"/>
    <w:rsid w:val="0019114B"/>
    <w:rsid w:val="0019273F"/>
    <w:rsid w:val="00193814"/>
    <w:rsid w:val="00193AAB"/>
    <w:rsid w:val="00193AD5"/>
    <w:rsid w:val="00194930"/>
    <w:rsid w:val="00195AAC"/>
    <w:rsid w:val="00196B0C"/>
    <w:rsid w:val="001A025E"/>
    <w:rsid w:val="001A08CD"/>
    <w:rsid w:val="001A0A1E"/>
    <w:rsid w:val="001A2182"/>
    <w:rsid w:val="001A323E"/>
    <w:rsid w:val="001A5320"/>
    <w:rsid w:val="001A5E62"/>
    <w:rsid w:val="001A5EC1"/>
    <w:rsid w:val="001A6848"/>
    <w:rsid w:val="001A7538"/>
    <w:rsid w:val="001B06FB"/>
    <w:rsid w:val="001B0B1A"/>
    <w:rsid w:val="001B20E6"/>
    <w:rsid w:val="001B355F"/>
    <w:rsid w:val="001B4C0B"/>
    <w:rsid w:val="001B4D12"/>
    <w:rsid w:val="001B4EC2"/>
    <w:rsid w:val="001B5B59"/>
    <w:rsid w:val="001B60E0"/>
    <w:rsid w:val="001B755A"/>
    <w:rsid w:val="001B7C8C"/>
    <w:rsid w:val="001C051D"/>
    <w:rsid w:val="001C0688"/>
    <w:rsid w:val="001C181A"/>
    <w:rsid w:val="001C1877"/>
    <w:rsid w:val="001C1FA1"/>
    <w:rsid w:val="001C2053"/>
    <w:rsid w:val="001C252F"/>
    <w:rsid w:val="001C28D1"/>
    <w:rsid w:val="001C3473"/>
    <w:rsid w:val="001C5BDA"/>
    <w:rsid w:val="001C5CFC"/>
    <w:rsid w:val="001C7231"/>
    <w:rsid w:val="001C7418"/>
    <w:rsid w:val="001C7EBE"/>
    <w:rsid w:val="001D0051"/>
    <w:rsid w:val="001D150B"/>
    <w:rsid w:val="001D169A"/>
    <w:rsid w:val="001D2224"/>
    <w:rsid w:val="001D2326"/>
    <w:rsid w:val="001D31AA"/>
    <w:rsid w:val="001D37B9"/>
    <w:rsid w:val="001D3DC0"/>
    <w:rsid w:val="001D4C4D"/>
    <w:rsid w:val="001D4F88"/>
    <w:rsid w:val="001D64F3"/>
    <w:rsid w:val="001D68CF"/>
    <w:rsid w:val="001D6A8C"/>
    <w:rsid w:val="001D7335"/>
    <w:rsid w:val="001D7A56"/>
    <w:rsid w:val="001E15C0"/>
    <w:rsid w:val="001E18E0"/>
    <w:rsid w:val="001E18E2"/>
    <w:rsid w:val="001E19D0"/>
    <w:rsid w:val="001E2A18"/>
    <w:rsid w:val="001E2A30"/>
    <w:rsid w:val="001E2FF1"/>
    <w:rsid w:val="001E3FE1"/>
    <w:rsid w:val="001E41FE"/>
    <w:rsid w:val="001E4989"/>
    <w:rsid w:val="001E635C"/>
    <w:rsid w:val="001F0297"/>
    <w:rsid w:val="001F0DDC"/>
    <w:rsid w:val="001F287E"/>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00"/>
    <w:rsid w:val="00225080"/>
    <w:rsid w:val="00225196"/>
    <w:rsid w:val="00225CB4"/>
    <w:rsid w:val="00226B1A"/>
    <w:rsid w:val="00227F0B"/>
    <w:rsid w:val="0023049F"/>
    <w:rsid w:val="002310C3"/>
    <w:rsid w:val="002316F6"/>
    <w:rsid w:val="00232C9B"/>
    <w:rsid w:val="00232E73"/>
    <w:rsid w:val="00232F09"/>
    <w:rsid w:val="002335D5"/>
    <w:rsid w:val="0023372A"/>
    <w:rsid w:val="002338CA"/>
    <w:rsid w:val="00233FE5"/>
    <w:rsid w:val="00234B3B"/>
    <w:rsid w:val="00234D98"/>
    <w:rsid w:val="00235AD0"/>
    <w:rsid w:val="00236018"/>
    <w:rsid w:val="002374C9"/>
    <w:rsid w:val="0024162D"/>
    <w:rsid w:val="0024174E"/>
    <w:rsid w:val="00242238"/>
    <w:rsid w:val="0024227D"/>
    <w:rsid w:val="00242D14"/>
    <w:rsid w:val="002432F4"/>
    <w:rsid w:val="00246264"/>
    <w:rsid w:val="00246860"/>
    <w:rsid w:val="002468D9"/>
    <w:rsid w:val="00246995"/>
    <w:rsid w:val="00246DFF"/>
    <w:rsid w:val="00246E89"/>
    <w:rsid w:val="0024713D"/>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15B"/>
    <w:rsid w:val="00277217"/>
    <w:rsid w:val="00277DBF"/>
    <w:rsid w:val="002810A4"/>
    <w:rsid w:val="0028261C"/>
    <w:rsid w:val="00282DB6"/>
    <w:rsid w:val="00284A26"/>
    <w:rsid w:val="00284AE7"/>
    <w:rsid w:val="00285095"/>
    <w:rsid w:val="00287006"/>
    <w:rsid w:val="0029030A"/>
    <w:rsid w:val="00292397"/>
    <w:rsid w:val="00292AB2"/>
    <w:rsid w:val="00292B82"/>
    <w:rsid w:val="00293DB6"/>
    <w:rsid w:val="00293FE8"/>
    <w:rsid w:val="00294437"/>
    <w:rsid w:val="00296686"/>
    <w:rsid w:val="00297A00"/>
    <w:rsid w:val="00297A45"/>
    <w:rsid w:val="00297E20"/>
    <w:rsid w:val="002A17AA"/>
    <w:rsid w:val="002A233F"/>
    <w:rsid w:val="002A3237"/>
    <w:rsid w:val="002A4119"/>
    <w:rsid w:val="002A58B7"/>
    <w:rsid w:val="002A5943"/>
    <w:rsid w:val="002A5C3C"/>
    <w:rsid w:val="002A685E"/>
    <w:rsid w:val="002A72C7"/>
    <w:rsid w:val="002B01A3"/>
    <w:rsid w:val="002B0204"/>
    <w:rsid w:val="002B03B2"/>
    <w:rsid w:val="002B0749"/>
    <w:rsid w:val="002B2645"/>
    <w:rsid w:val="002B303A"/>
    <w:rsid w:val="002B32E9"/>
    <w:rsid w:val="002B4E22"/>
    <w:rsid w:val="002B6FA0"/>
    <w:rsid w:val="002B7710"/>
    <w:rsid w:val="002C0DEA"/>
    <w:rsid w:val="002C2E9B"/>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1EC3"/>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06F"/>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1EF9"/>
    <w:rsid w:val="00344477"/>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4F9"/>
    <w:rsid w:val="003618B6"/>
    <w:rsid w:val="0036199A"/>
    <w:rsid w:val="003620C8"/>
    <w:rsid w:val="0036319E"/>
    <w:rsid w:val="003632A4"/>
    <w:rsid w:val="00363362"/>
    <w:rsid w:val="0036392A"/>
    <w:rsid w:val="00364138"/>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BF4"/>
    <w:rsid w:val="00380FD4"/>
    <w:rsid w:val="00381E16"/>
    <w:rsid w:val="003821E1"/>
    <w:rsid w:val="003840F6"/>
    <w:rsid w:val="00384866"/>
    <w:rsid w:val="003851BA"/>
    <w:rsid w:val="003857D4"/>
    <w:rsid w:val="00385C87"/>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330"/>
    <w:rsid w:val="003A40B4"/>
    <w:rsid w:val="003A41BA"/>
    <w:rsid w:val="003A5491"/>
    <w:rsid w:val="003A5958"/>
    <w:rsid w:val="003A6A99"/>
    <w:rsid w:val="003A6E60"/>
    <w:rsid w:val="003A76AB"/>
    <w:rsid w:val="003A7FF8"/>
    <w:rsid w:val="003B17AC"/>
    <w:rsid w:val="003B2143"/>
    <w:rsid w:val="003B227A"/>
    <w:rsid w:val="003B3A77"/>
    <w:rsid w:val="003B4319"/>
    <w:rsid w:val="003B5570"/>
    <w:rsid w:val="003B5854"/>
    <w:rsid w:val="003B6764"/>
    <w:rsid w:val="003B6B0F"/>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360"/>
    <w:rsid w:val="003F2418"/>
    <w:rsid w:val="003F28DB"/>
    <w:rsid w:val="003F2EEE"/>
    <w:rsid w:val="003F44FD"/>
    <w:rsid w:val="003F58B0"/>
    <w:rsid w:val="003F776F"/>
    <w:rsid w:val="004007E9"/>
    <w:rsid w:val="00400810"/>
    <w:rsid w:val="00401825"/>
    <w:rsid w:val="00401BBC"/>
    <w:rsid w:val="00401F21"/>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8C3"/>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0016"/>
    <w:rsid w:val="004316FD"/>
    <w:rsid w:val="00433F36"/>
    <w:rsid w:val="00434860"/>
    <w:rsid w:val="00434BBD"/>
    <w:rsid w:val="0043503A"/>
    <w:rsid w:val="004370C5"/>
    <w:rsid w:val="00437B8A"/>
    <w:rsid w:val="00437D18"/>
    <w:rsid w:val="00437D77"/>
    <w:rsid w:val="00441D99"/>
    <w:rsid w:val="00442C1C"/>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594E"/>
    <w:rsid w:val="00466CED"/>
    <w:rsid w:val="00466EB5"/>
    <w:rsid w:val="00467592"/>
    <w:rsid w:val="00467690"/>
    <w:rsid w:val="00467A14"/>
    <w:rsid w:val="004718E7"/>
    <w:rsid w:val="00472289"/>
    <w:rsid w:val="00472535"/>
    <w:rsid w:val="004761CC"/>
    <w:rsid w:val="004766C9"/>
    <w:rsid w:val="00480D4A"/>
    <w:rsid w:val="00481DA1"/>
    <w:rsid w:val="00482698"/>
    <w:rsid w:val="00483A2B"/>
    <w:rsid w:val="00484212"/>
    <w:rsid w:val="004848C3"/>
    <w:rsid w:val="00484BA9"/>
    <w:rsid w:val="0048599A"/>
    <w:rsid w:val="00486818"/>
    <w:rsid w:val="00487A96"/>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C61"/>
    <w:rsid w:val="004B24C4"/>
    <w:rsid w:val="004B2536"/>
    <w:rsid w:val="004B46D7"/>
    <w:rsid w:val="004B6AF3"/>
    <w:rsid w:val="004B6F1F"/>
    <w:rsid w:val="004B715E"/>
    <w:rsid w:val="004B7169"/>
    <w:rsid w:val="004B79C9"/>
    <w:rsid w:val="004C00DD"/>
    <w:rsid w:val="004C05CF"/>
    <w:rsid w:val="004C0776"/>
    <w:rsid w:val="004C0974"/>
    <w:rsid w:val="004C1EF8"/>
    <w:rsid w:val="004C2063"/>
    <w:rsid w:val="004C24C5"/>
    <w:rsid w:val="004C2645"/>
    <w:rsid w:val="004C47D5"/>
    <w:rsid w:val="004C4CAF"/>
    <w:rsid w:val="004C5E33"/>
    <w:rsid w:val="004C60A3"/>
    <w:rsid w:val="004C6CDA"/>
    <w:rsid w:val="004C79F5"/>
    <w:rsid w:val="004D10D4"/>
    <w:rsid w:val="004D16BD"/>
    <w:rsid w:val="004D2AAB"/>
    <w:rsid w:val="004D3C7F"/>
    <w:rsid w:val="004D42CB"/>
    <w:rsid w:val="004D57D8"/>
    <w:rsid w:val="004D58E3"/>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16B0"/>
    <w:rsid w:val="005025EE"/>
    <w:rsid w:val="00503401"/>
    <w:rsid w:val="00503DDF"/>
    <w:rsid w:val="00505524"/>
    <w:rsid w:val="005058D5"/>
    <w:rsid w:val="00505FEA"/>
    <w:rsid w:val="00506688"/>
    <w:rsid w:val="00510588"/>
    <w:rsid w:val="00510F9C"/>
    <w:rsid w:val="0051146C"/>
    <w:rsid w:val="0051220B"/>
    <w:rsid w:val="00512253"/>
    <w:rsid w:val="00512484"/>
    <w:rsid w:val="00513BB3"/>
    <w:rsid w:val="00514449"/>
    <w:rsid w:val="00515419"/>
    <w:rsid w:val="005157BD"/>
    <w:rsid w:val="00517ACF"/>
    <w:rsid w:val="005214A3"/>
    <w:rsid w:val="005222E7"/>
    <w:rsid w:val="00523488"/>
    <w:rsid w:val="00523A8B"/>
    <w:rsid w:val="00523E04"/>
    <w:rsid w:val="0052430A"/>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3752D"/>
    <w:rsid w:val="005400C5"/>
    <w:rsid w:val="005404CD"/>
    <w:rsid w:val="00540BE0"/>
    <w:rsid w:val="00540BEF"/>
    <w:rsid w:val="00542B34"/>
    <w:rsid w:val="00542C9A"/>
    <w:rsid w:val="005436C2"/>
    <w:rsid w:val="00543FD7"/>
    <w:rsid w:val="005442D4"/>
    <w:rsid w:val="0054586A"/>
    <w:rsid w:val="00545DB6"/>
    <w:rsid w:val="0054631F"/>
    <w:rsid w:val="00546C24"/>
    <w:rsid w:val="005471BA"/>
    <w:rsid w:val="00547BDA"/>
    <w:rsid w:val="00547BE6"/>
    <w:rsid w:val="0055034F"/>
    <w:rsid w:val="00550476"/>
    <w:rsid w:val="0055288D"/>
    <w:rsid w:val="00555259"/>
    <w:rsid w:val="00555C66"/>
    <w:rsid w:val="005569EF"/>
    <w:rsid w:val="00556BDE"/>
    <w:rsid w:val="0056054B"/>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B5D"/>
    <w:rsid w:val="00573D34"/>
    <w:rsid w:val="00574A1B"/>
    <w:rsid w:val="00575963"/>
    <w:rsid w:val="00575EBE"/>
    <w:rsid w:val="0058039C"/>
    <w:rsid w:val="00580A63"/>
    <w:rsid w:val="00583379"/>
    <w:rsid w:val="0058417C"/>
    <w:rsid w:val="005854F9"/>
    <w:rsid w:val="00586EC6"/>
    <w:rsid w:val="00587DDE"/>
    <w:rsid w:val="00593043"/>
    <w:rsid w:val="00593F32"/>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998"/>
    <w:rsid w:val="005D5E91"/>
    <w:rsid w:val="005D639F"/>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13"/>
    <w:rsid w:val="00606BEB"/>
    <w:rsid w:val="0061014A"/>
    <w:rsid w:val="0061054B"/>
    <w:rsid w:val="006110FB"/>
    <w:rsid w:val="00612FB0"/>
    <w:rsid w:val="0061356D"/>
    <w:rsid w:val="00613E26"/>
    <w:rsid w:val="00615641"/>
    <w:rsid w:val="00615A66"/>
    <w:rsid w:val="00616959"/>
    <w:rsid w:val="006178A0"/>
    <w:rsid w:val="0062036E"/>
    <w:rsid w:val="006211D0"/>
    <w:rsid w:val="00621595"/>
    <w:rsid w:val="0062359D"/>
    <w:rsid w:val="00623634"/>
    <w:rsid w:val="0062448C"/>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5F35"/>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49CD"/>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A81"/>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4DC"/>
    <w:rsid w:val="006B586B"/>
    <w:rsid w:val="006B5923"/>
    <w:rsid w:val="006B67D9"/>
    <w:rsid w:val="006B6C14"/>
    <w:rsid w:val="006B7159"/>
    <w:rsid w:val="006B715E"/>
    <w:rsid w:val="006C1D6E"/>
    <w:rsid w:val="006C288F"/>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4195"/>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798"/>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97871"/>
    <w:rsid w:val="007A0861"/>
    <w:rsid w:val="007A0B39"/>
    <w:rsid w:val="007A14A4"/>
    <w:rsid w:val="007A168F"/>
    <w:rsid w:val="007A2346"/>
    <w:rsid w:val="007A28E4"/>
    <w:rsid w:val="007A3BB3"/>
    <w:rsid w:val="007A3F91"/>
    <w:rsid w:val="007A3F9C"/>
    <w:rsid w:val="007A4B2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70"/>
    <w:rsid w:val="007C11E9"/>
    <w:rsid w:val="007C238B"/>
    <w:rsid w:val="007C2802"/>
    <w:rsid w:val="007C3E5A"/>
    <w:rsid w:val="007C433E"/>
    <w:rsid w:val="007C4449"/>
    <w:rsid w:val="007C4452"/>
    <w:rsid w:val="007C4B3C"/>
    <w:rsid w:val="007C4DB1"/>
    <w:rsid w:val="007C59A8"/>
    <w:rsid w:val="007C5F26"/>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2C0"/>
    <w:rsid w:val="007E71B1"/>
    <w:rsid w:val="007E7B4E"/>
    <w:rsid w:val="007E7F02"/>
    <w:rsid w:val="007F0292"/>
    <w:rsid w:val="007F0722"/>
    <w:rsid w:val="007F0AB7"/>
    <w:rsid w:val="007F0CE2"/>
    <w:rsid w:val="007F0EFF"/>
    <w:rsid w:val="007F1375"/>
    <w:rsid w:val="007F1AFD"/>
    <w:rsid w:val="007F30E4"/>
    <w:rsid w:val="007F3308"/>
    <w:rsid w:val="0080064F"/>
    <w:rsid w:val="00801B85"/>
    <w:rsid w:val="00802136"/>
    <w:rsid w:val="00803850"/>
    <w:rsid w:val="008039E8"/>
    <w:rsid w:val="00803CAB"/>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9FD"/>
    <w:rsid w:val="008220F1"/>
    <w:rsid w:val="0082340B"/>
    <w:rsid w:val="00823D6A"/>
    <w:rsid w:val="00824405"/>
    <w:rsid w:val="00827B29"/>
    <w:rsid w:val="00827DB6"/>
    <w:rsid w:val="008304B2"/>
    <w:rsid w:val="00830999"/>
    <w:rsid w:val="00830D5E"/>
    <w:rsid w:val="00830F69"/>
    <w:rsid w:val="00831940"/>
    <w:rsid w:val="00831AAC"/>
    <w:rsid w:val="008324D9"/>
    <w:rsid w:val="00833418"/>
    <w:rsid w:val="0083387F"/>
    <w:rsid w:val="00834458"/>
    <w:rsid w:val="00834AEA"/>
    <w:rsid w:val="00835841"/>
    <w:rsid w:val="00835BF8"/>
    <w:rsid w:val="00835FB7"/>
    <w:rsid w:val="00836FC3"/>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262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0AED"/>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C6D"/>
    <w:rsid w:val="008A7F7E"/>
    <w:rsid w:val="008B04DB"/>
    <w:rsid w:val="008B09B4"/>
    <w:rsid w:val="008B0BCD"/>
    <w:rsid w:val="008B1B11"/>
    <w:rsid w:val="008B1DF4"/>
    <w:rsid w:val="008B27FD"/>
    <w:rsid w:val="008B2FDB"/>
    <w:rsid w:val="008B3AF2"/>
    <w:rsid w:val="008B446D"/>
    <w:rsid w:val="008B515D"/>
    <w:rsid w:val="008B5D31"/>
    <w:rsid w:val="008B6705"/>
    <w:rsid w:val="008B7D42"/>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17A"/>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1D79"/>
    <w:rsid w:val="00914ADB"/>
    <w:rsid w:val="00916EF9"/>
    <w:rsid w:val="00917182"/>
    <w:rsid w:val="00920251"/>
    <w:rsid w:val="00921CFD"/>
    <w:rsid w:val="00923B25"/>
    <w:rsid w:val="0092402E"/>
    <w:rsid w:val="009259BA"/>
    <w:rsid w:val="00926FCB"/>
    <w:rsid w:val="009303BB"/>
    <w:rsid w:val="0093108A"/>
    <w:rsid w:val="009319EF"/>
    <w:rsid w:val="00931B6D"/>
    <w:rsid w:val="0093311A"/>
    <w:rsid w:val="009346D0"/>
    <w:rsid w:val="0093474A"/>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E63"/>
    <w:rsid w:val="00962F2D"/>
    <w:rsid w:val="00963A7A"/>
    <w:rsid w:val="009672CD"/>
    <w:rsid w:val="00967851"/>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9BD"/>
    <w:rsid w:val="00985D32"/>
    <w:rsid w:val="00986514"/>
    <w:rsid w:val="00986FCC"/>
    <w:rsid w:val="00990FD6"/>
    <w:rsid w:val="009919A2"/>
    <w:rsid w:val="009929F0"/>
    <w:rsid w:val="009935C3"/>
    <w:rsid w:val="0099421F"/>
    <w:rsid w:val="00994FC8"/>
    <w:rsid w:val="009A0DE3"/>
    <w:rsid w:val="009A1643"/>
    <w:rsid w:val="009A1FD0"/>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31F"/>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4CF0"/>
    <w:rsid w:val="009F6292"/>
    <w:rsid w:val="009F6C54"/>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8D9"/>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5DF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09D3"/>
    <w:rsid w:val="00A82C52"/>
    <w:rsid w:val="00A838E8"/>
    <w:rsid w:val="00A83C15"/>
    <w:rsid w:val="00A8445F"/>
    <w:rsid w:val="00A84EC4"/>
    <w:rsid w:val="00A86CB6"/>
    <w:rsid w:val="00A90D55"/>
    <w:rsid w:val="00A9225E"/>
    <w:rsid w:val="00A944D8"/>
    <w:rsid w:val="00A959E7"/>
    <w:rsid w:val="00A95BBA"/>
    <w:rsid w:val="00A9600C"/>
    <w:rsid w:val="00A961EE"/>
    <w:rsid w:val="00A96559"/>
    <w:rsid w:val="00A97B11"/>
    <w:rsid w:val="00A97CD9"/>
    <w:rsid w:val="00AA020A"/>
    <w:rsid w:val="00AA04B3"/>
    <w:rsid w:val="00AA1253"/>
    <w:rsid w:val="00AA1781"/>
    <w:rsid w:val="00AA1ED0"/>
    <w:rsid w:val="00AA1F5B"/>
    <w:rsid w:val="00AA28EF"/>
    <w:rsid w:val="00AA3593"/>
    <w:rsid w:val="00AA38CA"/>
    <w:rsid w:val="00AA493E"/>
    <w:rsid w:val="00AA54F9"/>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B7A"/>
    <w:rsid w:val="00AE4624"/>
    <w:rsid w:val="00AE4B3E"/>
    <w:rsid w:val="00AE4B90"/>
    <w:rsid w:val="00AE5E14"/>
    <w:rsid w:val="00AE6115"/>
    <w:rsid w:val="00AE625B"/>
    <w:rsid w:val="00AF01B2"/>
    <w:rsid w:val="00AF1103"/>
    <w:rsid w:val="00AF1668"/>
    <w:rsid w:val="00AF1DBB"/>
    <w:rsid w:val="00AF25B2"/>
    <w:rsid w:val="00AF28DE"/>
    <w:rsid w:val="00AF41EE"/>
    <w:rsid w:val="00AF4FA5"/>
    <w:rsid w:val="00AF58B4"/>
    <w:rsid w:val="00AF5BB4"/>
    <w:rsid w:val="00AF6ECC"/>
    <w:rsid w:val="00AF7416"/>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554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37FBA"/>
    <w:rsid w:val="00B40A05"/>
    <w:rsid w:val="00B40A3E"/>
    <w:rsid w:val="00B427BB"/>
    <w:rsid w:val="00B43BA2"/>
    <w:rsid w:val="00B449EE"/>
    <w:rsid w:val="00B454AE"/>
    <w:rsid w:val="00B50227"/>
    <w:rsid w:val="00B50510"/>
    <w:rsid w:val="00B505E9"/>
    <w:rsid w:val="00B50D14"/>
    <w:rsid w:val="00B50D90"/>
    <w:rsid w:val="00B52243"/>
    <w:rsid w:val="00B522CD"/>
    <w:rsid w:val="00B5486E"/>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794"/>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4F1"/>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1F"/>
    <w:rsid w:val="00BA7F46"/>
    <w:rsid w:val="00BB0388"/>
    <w:rsid w:val="00BB0A0A"/>
    <w:rsid w:val="00BB133C"/>
    <w:rsid w:val="00BB1F04"/>
    <w:rsid w:val="00BB45B5"/>
    <w:rsid w:val="00BB4DDE"/>
    <w:rsid w:val="00BB6064"/>
    <w:rsid w:val="00BB65CE"/>
    <w:rsid w:val="00BB7012"/>
    <w:rsid w:val="00BC09D1"/>
    <w:rsid w:val="00BC1CF3"/>
    <w:rsid w:val="00BC283F"/>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B3F"/>
    <w:rsid w:val="00BE4039"/>
    <w:rsid w:val="00BE6365"/>
    <w:rsid w:val="00BF01B7"/>
    <w:rsid w:val="00BF0245"/>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07E4B"/>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07"/>
    <w:rsid w:val="00C27827"/>
    <w:rsid w:val="00C30A97"/>
    <w:rsid w:val="00C31DDC"/>
    <w:rsid w:val="00C3223A"/>
    <w:rsid w:val="00C32265"/>
    <w:rsid w:val="00C34168"/>
    <w:rsid w:val="00C34247"/>
    <w:rsid w:val="00C34326"/>
    <w:rsid w:val="00C34CEB"/>
    <w:rsid w:val="00C36201"/>
    <w:rsid w:val="00C368E8"/>
    <w:rsid w:val="00C36C3D"/>
    <w:rsid w:val="00C372C7"/>
    <w:rsid w:val="00C376A7"/>
    <w:rsid w:val="00C378F6"/>
    <w:rsid w:val="00C42443"/>
    <w:rsid w:val="00C42CBA"/>
    <w:rsid w:val="00C4338C"/>
    <w:rsid w:val="00C43C2B"/>
    <w:rsid w:val="00C45B27"/>
    <w:rsid w:val="00C4652E"/>
    <w:rsid w:val="00C472C7"/>
    <w:rsid w:val="00C5019E"/>
    <w:rsid w:val="00C50C8C"/>
    <w:rsid w:val="00C51962"/>
    <w:rsid w:val="00C51A15"/>
    <w:rsid w:val="00C52682"/>
    <w:rsid w:val="00C52FE1"/>
    <w:rsid w:val="00C5377C"/>
    <w:rsid w:val="00C53E8A"/>
    <w:rsid w:val="00C54DF3"/>
    <w:rsid w:val="00C55EC7"/>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05A1"/>
    <w:rsid w:val="00C931FC"/>
    <w:rsid w:val="00C932C5"/>
    <w:rsid w:val="00C934DC"/>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51A"/>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1A3C"/>
    <w:rsid w:val="00CE2CC2"/>
    <w:rsid w:val="00CE3722"/>
    <w:rsid w:val="00CF11B0"/>
    <w:rsid w:val="00CF158D"/>
    <w:rsid w:val="00CF2166"/>
    <w:rsid w:val="00CF2CAD"/>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1289"/>
    <w:rsid w:val="00D12405"/>
    <w:rsid w:val="00D126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51C0"/>
    <w:rsid w:val="00D3654A"/>
    <w:rsid w:val="00D3662E"/>
    <w:rsid w:val="00D373F1"/>
    <w:rsid w:val="00D37567"/>
    <w:rsid w:val="00D40B1F"/>
    <w:rsid w:val="00D40D75"/>
    <w:rsid w:val="00D43978"/>
    <w:rsid w:val="00D43CBD"/>
    <w:rsid w:val="00D449F0"/>
    <w:rsid w:val="00D46026"/>
    <w:rsid w:val="00D462D7"/>
    <w:rsid w:val="00D46A33"/>
    <w:rsid w:val="00D5062C"/>
    <w:rsid w:val="00D50C8C"/>
    <w:rsid w:val="00D52393"/>
    <w:rsid w:val="00D523E4"/>
    <w:rsid w:val="00D5279D"/>
    <w:rsid w:val="00D52A1B"/>
    <w:rsid w:val="00D52AA7"/>
    <w:rsid w:val="00D52FCC"/>
    <w:rsid w:val="00D53F14"/>
    <w:rsid w:val="00D5417F"/>
    <w:rsid w:val="00D54BE4"/>
    <w:rsid w:val="00D54DDB"/>
    <w:rsid w:val="00D554BC"/>
    <w:rsid w:val="00D560DC"/>
    <w:rsid w:val="00D56602"/>
    <w:rsid w:val="00D60483"/>
    <w:rsid w:val="00D61ABB"/>
    <w:rsid w:val="00D62D5C"/>
    <w:rsid w:val="00D63577"/>
    <w:rsid w:val="00D65D70"/>
    <w:rsid w:val="00D67FD7"/>
    <w:rsid w:val="00D704E4"/>
    <w:rsid w:val="00D72410"/>
    <w:rsid w:val="00D73D53"/>
    <w:rsid w:val="00D7402C"/>
    <w:rsid w:val="00D7408A"/>
    <w:rsid w:val="00D74261"/>
    <w:rsid w:val="00D7441B"/>
    <w:rsid w:val="00D75589"/>
    <w:rsid w:val="00D76AB2"/>
    <w:rsid w:val="00D77BF8"/>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C6E"/>
    <w:rsid w:val="00D91DA6"/>
    <w:rsid w:val="00D921A0"/>
    <w:rsid w:val="00D93A41"/>
    <w:rsid w:val="00D93B9A"/>
    <w:rsid w:val="00D95984"/>
    <w:rsid w:val="00D95C64"/>
    <w:rsid w:val="00D9706F"/>
    <w:rsid w:val="00D972D4"/>
    <w:rsid w:val="00DA0FE3"/>
    <w:rsid w:val="00DA195B"/>
    <w:rsid w:val="00DA27F3"/>
    <w:rsid w:val="00DA297C"/>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05F9"/>
    <w:rsid w:val="00DD286D"/>
    <w:rsid w:val="00DD2CAF"/>
    <w:rsid w:val="00DD3593"/>
    <w:rsid w:val="00DD64E0"/>
    <w:rsid w:val="00DD775C"/>
    <w:rsid w:val="00DD7BE0"/>
    <w:rsid w:val="00DE0C67"/>
    <w:rsid w:val="00DE14E8"/>
    <w:rsid w:val="00DE27B2"/>
    <w:rsid w:val="00DE3555"/>
    <w:rsid w:val="00DE3AAD"/>
    <w:rsid w:val="00DE5467"/>
    <w:rsid w:val="00DE598A"/>
    <w:rsid w:val="00DE6952"/>
    <w:rsid w:val="00DE6FBE"/>
    <w:rsid w:val="00DE7A7D"/>
    <w:rsid w:val="00DE7E74"/>
    <w:rsid w:val="00DF071B"/>
    <w:rsid w:val="00DF2293"/>
    <w:rsid w:val="00DF4FB1"/>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72F"/>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4EC2"/>
    <w:rsid w:val="00E6546A"/>
    <w:rsid w:val="00E65C05"/>
    <w:rsid w:val="00E65D39"/>
    <w:rsid w:val="00E670F8"/>
    <w:rsid w:val="00E6741B"/>
    <w:rsid w:val="00E67FAC"/>
    <w:rsid w:val="00E70164"/>
    <w:rsid w:val="00E71485"/>
    <w:rsid w:val="00E7200B"/>
    <w:rsid w:val="00E7329D"/>
    <w:rsid w:val="00E738CB"/>
    <w:rsid w:val="00E73C88"/>
    <w:rsid w:val="00E74437"/>
    <w:rsid w:val="00E7443D"/>
    <w:rsid w:val="00E75ACE"/>
    <w:rsid w:val="00E77042"/>
    <w:rsid w:val="00E771AF"/>
    <w:rsid w:val="00E80386"/>
    <w:rsid w:val="00E809C3"/>
    <w:rsid w:val="00E814D4"/>
    <w:rsid w:val="00E81A1A"/>
    <w:rsid w:val="00E81C3E"/>
    <w:rsid w:val="00E82359"/>
    <w:rsid w:val="00E82B6D"/>
    <w:rsid w:val="00E83187"/>
    <w:rsid w:val="00E831E9"/>
    <w:rsid w:val="00E83ABC"/>
    <w:rsid w:val="00E84DDA"/>
    <w:rsid w:val="00E85322"/>
    <w:rsid w:val="00E8608F"/>
    <w:rsid w:val="00E86C1D"/>
    <w:rsid w:val="00E90703"/>
    <w:rsid w:val="00E90893"/>
    <w:rsid w:val="00E90A62"/>
    <w:rsid w:val="00E91912"/>
    <w:rsid w:val="00E9265E"/>
    <w:rsid w:val="00E956DB"/>
    <w:rsid w:val="00E9763D"/>
    <w:rsid w:val="00E97F55"/>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13F1"/>
    <w:rsid w:val="00EE23DE"/>
    <w:rsid w:val="00EE3BA7"/>
    <w:rsid w:val="00EE48BB"/>
    <w:rsid w:val="00EE5B52"/>
    <w:rsid w:val="00EE6FE0"/>
    <w:rsid w:val="00EE704A"/>
    <w:rsid w:val="00EE7840"/>
    <w:rsid w:val="00EF2E75"/>
    <w:rsid w:val="00EF4C74"/>
    <w:rsid w:val="00EF5268"/>
    <w:rsid w:val="00EF608E"/>
    <w:rsid w:val="00EF6C4A"/>
    <w:rsid w:val="00EF7613"/>
    <w:rsid w:val="00F0044B"/>
    <w:rsid w:val="00F00E60"/>
    <w:rsid w:val="00F020E5"/>
    <w:rsid w:val="00F02F9F"/>
    <w:rsid w:val="00F03525"/>
    <w:rsid w:val="00F039A8"/>
    <w:rsid w:val="00F0424D"/>
    <w:rsid w:val="00F04957"/>
    <w:rsid w:val="00F04CA1"/>
    <w:rsid w:val="00F053F0"/>
    <w:rsid w:val="00F05807"/>
    <w:rsid w:val="00F06451"/>
    <w:rsid w:val="00F07052"/>
    <w:rsid w:val="00F0706C"/>
    <w:rsid w:val="00F0721A"/>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369E8"/>
    <w:rsid w:val="00F41D91"/>
    <w:rsid w:val="00F41F52"/>
    <w:rsid w:val="00F41FA1"/>
    <w:rsid w:val="00F42363"/>
    <w:rsid w:val="00F427C4"/>
    <w:rsid w:val="00F4363B"/>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0BD4"/>
    <w:rsid w:val="00F912A0"/>
    <w:rsid w:val="00F913B9"/>
    <w:rsid w:val="00F93572"/>
    <w:rsid w:val="00F93C74"/>
    <w:rsid w:val="00F93DCC"/>
    <w:rsid w:val="00F9435D"/>
    <w:rsid w:val="00F94BB4"/>
    <w:rsid w:val="00F951A4"/>
    <w:rsid w:val="00F95441"/>
    <w:rsid w:val="00F966F9"/>
    <w:rsid w:val="00F969EC"/>
    <w:rsid w:val="00F96F61"/>
    <w:rsid w:val="00F97740"/>
    <w:rsid w:val="00FA0C8F"/>
    <w:rsid w:val="00FA2B42"/>
    <w:rsid w:val="00FA2DEF"/>
    <w:rsid w:val="00FA2F7B"/>
    <w:rsid w:val="00FA3C90"/>
    <w:rsid w:val="00FA3C97"/>
    <w:rsid w:val="00FA3D30"/>
    <w:rsid w:val="00FA4B49"/>
    <w:rsid w:val="00FA54F8"/>
    <w:rsid w:val="00FA6344"/>
    <w:rsid w:val="00FA78C8"/>
    <w:rsid w:val="00FA7A2F"/>
    <w:rsid w:val="00FB09FE"/>
    <w:rsid w:val="00FB0E80"/>
    <w:rsid w:val="00FB101D"/>
    <w:rsid w:val="00FB1725"/>
    <w:rsid w:val="00FB1988"/>
    <w:rsid w:val="00FB2493"/>
    <w:rsid w:val="00FB42B7"/>
    <w:rsid w:val="00FB4484"/>
    <w:rsid w:val="00FB593A"/>
    <w:rsid w:val="00FB6410"/>
    <w:rsid w:val="00FB6E82"/>
    <w:rsid w:val="00FB792E"/>
    <w:rsid w:val="00FB7CF0"/>
    <w:rsid w:val="00FC0042"/>
    <w:rsid w:val="00FC1E67"/>
    <w:rsid w:val="00FC2A13"/>
    <w:rsid w:val="00FC4284"/>
    <w:rsid w:val="00FC42FE"/>
    <w:rsid w:val="00FC4576"/>
    <w:rsid w:val="00FC5FF5"/>
    <w:rsid w:val="00FC6285"/>
    <w:rsid w:val="00FC78FB"/>
    <w:rsid w:val="00FC7DBC"/>
    <w:rsid w:val="00FD076A"/>
    <w:rsid w:val="00FD0AA0"/>
    <w:rsid w:val="00FD1D5A"/>
    <w:rsid w:val="00FD5059"/>
    <w:rsid w:val="00FD554D"/>
    <w:rsid w:val="00FD5BCC"/>
    <w:rsid w:val="00FD6C2D"/>
    <w:rsid w:val="00FD7B23"/>
    <w:rsid w:val="00FE038C"/>
    <w:rsid w:val="00FE2A48"/>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16D2"/>
    <w:rsid w:val="00FF3A38"/>
    <w:rsid w:val="00FF3C25"/>
    <w:rsid w:val="00FF4129"/>
    <w:rsid w:val="00FF44F7"/>
    <w:rsid w:val="00FF4C90"/>
    <w:rsid w:val="00FF5304"/>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character" w:styleId="Strong">
    <w:name w:val="Strong"/>
    <w:basedOn w:val="DefaultParagraphFont"/>
    <w:uiPriority w:val="22"/>
    <w:qFormat/>
    <w:rsid w:val="00CC051A"/>
    <w:rPr>
      <w:b/>
      <w:bCs/>
    </w:rPr>
  </w:style>
</w:styles>
</file>

<file path=word/webSettings.xml><?xml version="1.0" encoding="utf-8"?>
<w:webSettings xmlns:r="http://schemas.openxmlformats.org/officeDocument/2006/relationships" xmlns:w="http://schemas.openxmlformats.org/wordprocessingml/2006/main">
  <w:divs>
    <w:div w:id="2051832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2012-04-05T14:03:00Z</cp:lastPrinted>
  <dcterms:created xsi:type="dcterms:W3CDTF">2012-05-16T15:13:00Z</dcterms:created>
  <dcterms:modified xsi:type="dcterms:W3CDTF">2012-05-23T13:25:00Z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