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17778F" w:rsidRPr="0017778F" w:rsidRDefault="0017778F" w:rsidP="0017778F">
      <w:pPr>
        <w:tabs>
          <w:tab w:val="left" w:pos="288"/>
          <w:tab w:val="left" w:pos="4680"/>
          <w:tab w:val="left" w:pos="5130"/>
          <w:tab w:val="left" w:pos="6300"/>
          <w:tab w:val="left" w:pos="9270"/>
        </w:tabs>
        <w:jc w:val="both"/>
        <w:rPr>
          <w:rFonts w:cs="Times New Roman"/>
          <w:caps/>
          <w:color w:val="auto"/>
        </w:rPr>
      </w:pPr>
      <w:r w:rsidRPr="0017778F">
        <w:rPr>
          <w:rFonts w:cs="Times New Roman"/>
          <w:caps/>
          <w:color w:val="auto"/>
        </w:rPr>
        <w:t xml:space="preserve">NAME:  </w:t>
      </w:r>
      <w:r w:rsidR="00006D87">
        <w:rPr>
          <w:caps/>
          <w:color w:val="000000" w:themeColor="text1"/>
        </w:rPr>
        <w:t>XXXXXXXXXXX</w:t>
      </w:r>
      <w:r w:rsidR="00083134">
        <w:rPr>
          <w:caps/>
          <w:color w:val="000000" w:themeColor="text1"/>
        </w:rPr>
        <w:t>.</w:t>
      </w:r>
      <w:r w:rsidR="00F3220E">
        <w:rPr>
          <w:rFonts w:cs="Times New Roman"/>
          <w:caps/>
          <w:color w:val="auto"/>
        </w:rPr>
        <w:t xml:space="preserve">               </w:t>
      </w:r>
      <w:r w:rsidR="00F3220E">
        <w:rPr>
          <w:rFonts w:cs="Times New Roman"/>
          <w:caps/>
          <w:color w:val="auto"/>
        </w:rPr>
        <w:tab/>
      </w:r>
      <w:r w:rsidRPr="0017778F">
        <w:rPr>
          <w:rFonts w:cs="Times New Roman"/>
          <w:caps/>
          <w:color w:val="auto"/>
        </w:rPr>
        <w:t xml:space="preserve">BRANCH OF SERVICE:  Army </w:t>
      </w:r>
    </w:p>
    <w:p w:rsidR="0017778F" w:rsidRPr="0017778F" w:rsidRDefault="0017778F" w:rsidP="00F3220E">
      <w:pPr>
        <w:tabs>
          <w:tab w:val="left" w:pos="288"/>
          <w:tab w:val="left" w:pos="4680"/>
          <w:tab w:val="left" w:pos="5130"/>
          <w:tab w:val="left" w:pos="6300"/>
          <w:tab w:val="left" w:pos="9270"/>
        </w:tabs>
        <w:jc w:val="left"/>
        <w:rPr>
          <w:rFonts w:cs="Times New Roman"/>
          <w:caps/>
          <w:color w:val="auto"/>
        </w:rPr>
      </w:pPr>
      <w:r w:rsidRPr="0017778F">
        <w:rPr>
          <w:rFonts w:cs="Times New Roman"/>
          <w:caps/>
          <w:color w:val="auto"/>
        </w:rPr>
        <w:t xml:space="preserve">CASE NUMBER:  </w:t>
      </w:r>
      <w:r w:rsidR="00083134" w:rsidRPr="001929BC">
        <w:rPr>
          <w:caps/>
          <w:color w:val="000000" w:themeColor="text1"/>
        </w:rPr>
        <w:t>PD1100617</w:t>
      </w:r>
      <w:r w:rsidR="00F3220E">
        <w:rPr>
          <w:rFonts w:cs="Times New Roman"/>
          <w:caps/>
          <w:color w:val="auto"/>
        </w:rPr>
        <w:tab/>
      </w:r>
      <w:r w:rsidRPr="0017778F">
        <w:rPr>
          <w:rFonts w:cs="Times New Roman"/>
          <w:color w:val="auto"/>
        </w:rPr>
        <w:t>DATE OF TEMPORARY RETIREMENT:  200</w:t>
      </w:r>
      <w:r w:rsidR="00F3220E">
        <w:rPr>
          <w:rFonts w:cs="Times New Roman"/>
          <w:color w:val="auto"/>
        </w:rPr>
        <w:t>30726</w:t>
      </w:r>
      <w:r w:rsidRPr="0017778F">
        <w:rPr>
          <w:rFonts w:cs="Times New Roman"/>
          <w:color w:val="auto"/>
        </w:rPr>
        <w:tab/>
      </w:r>
    </w:p>
    <w:p w:rsidR="0095270D" w:rsidRDefault="0017778F" w:rsidP="00F3220E">
      <w:pPr>
        <w:pBdr>
          <w:bottom w:val="single" w:sz="12" w:space="1" w:color="auto"/>
        </w:pBdr>
        <w:tabs>
          <w:tab w:val="left" w:pos="288"/>
          <w:tab w:val="left" w:pos="4680"/>
        </w:tabs>
        <w:jc w:val="both"/>
        <w:rPr>
          <w:rFonts w:cs="Times New Roman"/>
          <w:color w:val="auto"/>
        </w:rPr>
      </w:pPr>
      <w:r w:rsidRPr="0017778F">
        <w:rPr>
          <w:rFonts w:cs="Times New Roman"/>
          <w:caps/>
          <w:color w:val="auto"/>
        </w:rPr>
        <w:t>BOARD DATE:  2012</w:t>
      </w:r>
      <w:r w:rsidR="00B713E7">
        <w:rPr>
          <w:rFonts w:cs="Times New Roman"/>
          <w:caps/>
          <w:color w:val="auto"/>
        </w:rPr>
        <w:t>0522</w:t>
      </w:r>
      <w:r w:rsidR="00F3220E">
        <w:rPr>
          <w:rFonts w:cs="Times New Roman"/>
          <w:caps/>
          <w:color w:val="auto"/>
        </w:rPr>
        <w:tab/>
      </w:r>
      <w:r w:rsidRPr="0017778F">
        <w:rPr>
          <w:rFonts w:cs="Times New Roman"/>
          <w:caps/>
          <w:color w:val="auto"/>
        </w:rPr>
        <w:t xml:space="preserve">Date of Permanent </w:t>
      </w:r>
      <w:r w:rsidRPr="0017778F">
        <w:rPr>
          <w:rFonts w:cs="Times New Roman"/>
          <w:color w:val="auto"/>
        </w:rPr>
        <w:t>SEPARATION:  200</w:t>
      </w:r>
      <w:r w:rsidR="00F3220E">
        <w:rPr>
          <w:rFonts w:cs="Times New Roman"/>
          <w:color w:val="auto"/>
        </w:rPr>
        <w:t>50211</w:t>
      </w:r>
    </w:p>
    <w:p w:rsidR="0017778F" w:rsidRPr="001F29F9" w:rsidRDefault="0017778F" w:rsidP="0017778F">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3674A9" w:rsidRPr="00FD7E6C" w:rsidRDefault="00AD2379" w:rsidP="00FD7E6C">
      <w:pPr>
        <w:tabs>
          <w:tab w:val="left" w:pos="288"/>
          <w:tab w:val="left" w:pos="4752"/>
        </w:tabs>
        <w:jc w:val="both"/>
        <w:rPr>
          <w:color w:val="000000"/>
        </w:rPr>
      </w:pPr>
      <w:r w:rsidRPr="001F29F9">
        <w:rPr>
          <w:color w:val="000000"/>
          <w:u w:val="single"/>
        </w:rPr>
        <w:t>SUMMARY OF CASE</w:t>
      </w:r>
      <w:r w:rsidRPr="001F29F9">
        <w:rPr>
          <w:color w:val="000000"/>
        </w:rPr>
        <w:t xml:space="preserve">: </w:t>
      </w:r>
      <w:r w:rsidR="00F52165">
        <w:rPr>
          <w:color w:val="000000"/>
        </w:rPr>
        <w:t xml:space="preserve"> </w:t>
      </w:r>
      <w:r w:rsidRPr="001F29F9">
        <w:rPr>
          <w:color w:val="000000"/>
        </w:rPr>
        <w:t xml:space="preserve">Data extracted from the available evidence of record reflects that this covered individual (CI) was </w:t>
      </w:r>
      <w:r w:rsidR="00A70270">
        <w:rPr>
          <w:color w:val="000000"/>
        </w:rPr>
        <w:t xml:space="preserve">an </w:t>
      </w:r>
      <w:r w:rsidR="00FC4EA6" w:rsidRPr="001929BC">
        <w:rPr>
          <w:color w:val="000000" w:themeColor="text1"/>
          <w:szCs w:val="24"/>
        </w:rPr>
        <w:t>active duty SGT/E-5 (</w:t>
      </w:r>
      <w:r w:rsidR="00FC4EA6">
        <w:rPr>
          <w:color w:val="000000" w:themeColor="text1"/>
          <w:szCs w:val="24"/>
        </w:rPr>
        <w:t xml:space="preserve">95B, </w:t>
      </w:r>
      <w:r w:rsidR="00FC4EA6" w:rsidRPr="001929BC">
        <w:rPr>
          <w:color w:val="000000" w:themeColor="text1"/>
          <w:szCs w:val="24"/>
        </w:rPr>
        <w:t>Dog Handler)</w:t>
      </w:r>
      <w:r w:rsidR="00FC4EA6">
        <w:rPr>
          <w:color w:val="000000" w:themeColor="text1"/>
          <w:szCs w:val="24"/>
        </w:rPr>
        <w:t xml:space="preserve"> </w:t>
      </w:r>
      <w:r w:rsidRPr="001F29F9">
        <w:rPr>
          <w:color w:val="000000"/>
        </w:rPr>
        <w:t xml:space="preserve">medically separated for </w:t>
      </w:r>
      <w:r w:rsidR="00261B7E">
        <w:rPr>
          <w:color w:val="000000"/>
        </w:rPr>
        <w:t xml:space="preserve">a </w:t>
      </w:r>
      <w:r w:rsidR="00FC4EA6">
        <w:rPr>
          <w:color w:val="000000"/>
        </w:rPr>
        <w:t>left (non-dominant) hand</w:t>
      </w:r>
      <w:r w:rsidR="00A11E31">
        <w:rPr>
          <w:color w:val="000000"/>
        </w:rPr>
        <w:t>/wrist</w:t>
      </w:r>
      <w:r w:rsidR="00FC4EA6">
        <w:rPr>
          <w:color w:val="000000"/>
        </w:rPr>
        <w:t xml:space="preserve"> and right ankle </w:t>
      </w:r>
      <w:r w:rsidR="00261B7E">
        <w:rPr>
          <w:color w:val="000000"/>
        </w:rPr>
        <w:t>condition</w:t>
      </w:r>
      <w:r w:rsidR="00FC4EA6">
        <w:rPr>
          <w:color w:val="000000"/>
        </w:rPr>
        <w:t>s</w:t>
      </w:r>
      <w:r w:rsidRPr="001F29F9">
        <w:rPr>
          <w:color w:val="000000"/>
        </w:rPr>
        <w:t xml:space="preserve">. </w:t>
      </w:r>
      <w:r w:rsidR="00261B7E">
        <w:rPr>
          <w:color w:val="000000"/>
        </w:rPr>
        <w:t xml:space="preserve"> </w:t>
      </w:r>
      <w:r w:rsidR="00A11E31">
        <w:rPr>
          <w:color w:val="000000"/>
        </w:rPr>
        <w:t>The right ankle was fractured during training in 1997, and required surgical intervention</w:t>
      </w:r>
      <w:r w:rsidR="00833BC1">
        <w:rPr>
          <w:color w:val="000000"/>
        </w:rPr>
        <w:t xml:space="preserve"> with permanent hardware</w:t>
      </w:r>
      <w:r w:rsidR="00A11E31">
        <w:rPr>
          <w:color w:val="000000"/>
        </w:rPr>
        <w:t>.  The CI was placed on an L3 profile at that time, which remained in</w:t>
      </w:r>
      <w:r w:rsidR="00CF74AF">
        <w:rPr>
          <w:color w:val="000000"/>
        </w:rPr>
        <w:t>-</w:t>
      </w:r>
      <w:r w:rsidR="00A11E31">
        <w:rPr>
          <w:color w:val="000000"/>
        </w:rPr>
        <w:t xml:space="preserve">place as near as can be ascertained from the record.  </w:t>
      </w:r>
      <w:r w:rsidR="00FC4EA6">
        <w:rPr>
          <w:color w:val="000000"/>
        </w:rPr>
        <w:t xml:space="preserve">The hand condition resulted from a dog bite injury sustained on duty in 2001, which required surgical intervention and was complicated by complex regional pain syndrome (CRPS).  </w:t>
      </w:r>
      <w:r w:rsidR="00A11E31">
        <w:rPr>
          <w:color w:val="000000"/>
        </w:rPr>
        <w:t>The condition could</w:t>
      </w:r>
      <w:r w:rsidR="00F566B7" w:rsidRPr="00F566B7">
        <w:rPr>
          <w:color w:val="000000"/>
        </w:rPr>
        <w:t xml:space="preserve"> not be adequately rehabilitated to meet the physical requirements of his Military Occupational Specialty (MOS) or satis</w:t>
      </w:r>
      <w:r w:rsidR="009C12A1">
        <w:rPr>
          <w:color w:val="000000"/>
        </w:rPr>
        <w:t>fy physical fitness standards.</w:t>
      </w:r>
      <w:r w:rsidR="00F566B7" w:rsidRPr="00F566B7">
        <w:rPr>
          <w:color w:val="000000"/>
        </w:rPr>
        <w:t xml:space="preserve"> </w:t>
      </w:r>
      <w:r w:rsidR="009C12A1">
        <w:rPr>
          <w:color w:val="000000"/>
        </w:rPr>
        <w:t xml:space="preserve"> </w:t>
      </w:r>
      <w:r w:rsidR="00A11E31">
        <w:rPr>
          <w:color w:val="000000"/>
        </w:rPr>
        <w:t>A</w:t>
      </w:r>
      <w:r w:rsidR="00F566B7" w:rsidRPr="00F566B7">
        <w:rPr>
          <w:color w:val="000000"/>
        </w:rPr>
        <w:t xml:space="preserve"> </w:t>
      </w:r>
      <w:r w:rsidR="00F566B7" w:rsidRPr="00D86CE1">
        <w:rPr>
          <w:color w:val="000000"/>
        </w:rPr>
        <w:t xml:space="preserve">permanent </w:t>
      </w:r>
      <w:r w:rsidR="00A11E31" w:rsidRPr="00D86CE1">
        <w:rPr>
          <w:color w:val="000000"/>
        </w:rPr>
        <w:t>U</w:t>
      </w:r>
      <w:r w:rsidR="00F566B7" w:rsidRPr="00D86CE1">
        <w:rPr>
          <w:color w:val="000000"/>
        </w:rPr>
        <w:t xml:space="preserve">3 profile </w:t>
      </w:r>
      <w:r w:rsidR="00A11E31" w:rsidRPr="00D86CE1">
        <w:rPr>
          <w:color w:val="000000"/>
        </w:rPr>
        <w:t>was added to the L3 p</w:t>
      </w:r>
      <w:r w:rsidR="00833BC1" w:rsidRPr="00D86CE1">
        <w:rPr>
          <w:color w:val="000000"/>
        </w:rPr>
        <w:t>rofile</w:t>
      </w:r>
      <w:r w:rsidR="00A11E31" w:rsidRPr="00D86CE1">
        <w:rPr>
          <w:color w:val="000000"/>
        </w:rPr>
        <w:t xml:space="preserve">, </w:t>
      </w:r>
      <w:r w:rsidR="00F566B7" w:rsidRPr="00D86CE1">
        <w:rPr>
          <w:color w:val="000000"/>
        </w:rPr>
        <w:t>and</w:t>
      </w:r>
      <w:r w:rsidR="009C12A1" w:rsidRPr="00D86CE1">
        <w:rPr>
          <w:color w:val="000000"/>
        </w:rPr>
        <w:t xml:space="preserve"> </w:t>
      </w:r>
      <w:r w:rsidR="00A11E31" w:rsidRPr="00D86CE1">
        <w:rPr>
          <w:color w:val="000000"/>
        </w:rPr>
        <w:t xml:space="preserve">the CI was </w:t>
      </w:r>
      <w:r w:rsidR="00F566B7" w:rsidRPr="00D86CE1">
        <w:rPr>
          <w:color w:val="000000"/>
        </w:rPr>
        <w:t xml:space="preserve">referred for a Medical Evaluation Board (MEB).  </w:t>
      </w:r>
      <w:r w:rsidR="00A11E31" w:rsidRPr="00D86CE1">
        <w:rPr>
          <w:color w:val="000000"/>
        </w:rPr>
        <w:t>Both the left hand</w:t>
      </w:r>
      <w:r w:rsidR="00833BC1" w:rsidRPr="00D86CE1">
        <w:rPr>
          <w:color w:val="000000"/>
        </w:rPr>
        <w:t>/wrist</w:t>
      </w:r>
      <w:r w:rsidR="00F566B7" w:rsidRPr="00D86CE1">
        <w:rPr>
          <w:color w:val="000000"/>
        </w:rPr>
        <w:t xml:space="preserve"> </w:t>
      </w:r>
      <w:r w:rsidR="00833BC1" w:rsidRPr="00D86CE1">
        <w:rPr>
          <w:color w:val="000000"/>
        </w:rPr>
        <w:t xml:space="preserve">and right ankle </w:t>
      </w:r>
      <w:r w:rsidR="00F566B7" w:rsidRPr="00D86CE1">
        <w:rPr>
          <w:color w:val="000000"/>
        </w:rPr>
        <w:t>condition</w:t>
      </w:r>
      <w:r w:rsidR="00833BC1" w:rsidRPr="00D86CE1">
        <w:rPr>
          <w:color w:val="000000"/>
        </w:rPr>
        <w:t>s</w:t>
      </w:r>
      <w:r w:rsidR="00F566B7" w:rsidRPr="00D86CE1">
        <w:rPr>
          <w:color w:val="000000"/>
        </w:rPr>
        <w:t xml:space="preserve"> </w:t>
      </w:r>
      <w:r w:rsidR="00FD7E6C" w:rsidRPr="00D86CE1">
        <w:rPr>
          <w:color w:val="000000"/>
        </w:rPr>
        <w:t>were</w:t>
      </w:r>
      <w:r w:rsidR="00F566B7" w:rsidRPr="00D86CE1">
        <w:rPr>
          <w:color w:val="000000"/>
        </w:rPr>
        <w:t xml:space="preserve"> forwarded to the Physical Evaluation Board (PEB) as medically unacceptable IAW AR 40-501.  </w:t>
      </w:r>
      <w:r w:rsidR="00FD7E6C" w:rsidRPr="00D86CE1">
        <w:rPr>
          <w:color w:val="000000"/>
        </w:rPr>
        <w:t xml:space="preserve">Gastroesophageal reflux disease </w:t>
      </w:r>
      <w:r w:rsidR="00834E0A">
        <w:rPr>
          <w:color w:val="000000"/>
        </w:rPr>
        <w:t xml:space="preserve">(GERD) </w:t>
      </w:r>
      <w:r w:rsidR="00FD7E6C" w:rsidRPr="00D86CE1">
        <w:rPr>
          <w:color w:val="000000"/>
        </w:rPr>
        <w:t>was</w:t>
      </w:r>
      <w:r w:rsidR="00B144AE" w:rsidRPr="00D86CE1">
        <w:rPr>
          <w:color w:val="000000"/>
        </w:rPr>
        <w:t xml:space="preserve"> addressed by the MEB, and forwarded </w:t>
      </w:r>
      <w:r w:rsidR="00FD7E6C" w:rsidRPr="00D86CE1">
        <w:rPr>
          <w:color w:val="000000"/>
        </w:rPr>
        <w:t xml:space="preserve">on the DA Form 3947 </w:t>
      </w:r>
      <w:r w:rsidR="00B144AE" w:rsidRPr="00D86CE1">
        <w:rPr>
          <w:color w:val="000000"/>
        </w:rPr>
        <w:t xml:space="preserve">as </w:t>
      </w:r>
      <w:r w:rsidR="00FD7E6C" w:rsidRPr="00D86CE1">
        <w:rPr>
          <w:color w:val="000000"/>
        </w:rPr>
        <w:t>“not ratable</w:t>
      </w:r>
      <w:r w:rsidR="00F52165">
        <w:rPr>
          <w:color w:val="000000"/>
        </w:rPr>
        <w:t>.</w:t>
      </w:r>
      <w:r w:rsidR="00FD7E6C" w:rsidRPr="00D86CE1">
        <w:rPr>
          <w:color w:val="000000"/>
        </w:rPr>
        <w:t>”</w:t>
      </w:r>
      <w:r w:rsidR="00380601" w:rsidRPr="00D86CE1">
        <w:rPr>
          <w:color w:val="000000"/>
        </w:rPr>
        <w:t xml:space="preserve">  </w:t>
      </w:r>
      <w:r w:rsidR="00FD7E6C" w:rsidRPr="00D86CE1">
        <w:rPr>
          <w:color w:val="auto"/>
        </w:rPr>
        <w:t xml:space="preserve">The </w:t>
      </w:r>
      <w:r w:rsidR="00F52165">
        <w:rPr>
          <w:color w:val="auto"/>
        </w:rPr>
        <w:t>PEB</w:t>
      </w:r>
      <w:r w:rsidR="00FD7E6C" w:rsidRPr="00D86CE1">
        <w:rPr>
          <w:color w:val="auto"/>
        </w:rPr>
        <w:t xml:space="preserve"> </w:t>
      </w:r>
      <w:r w:rsidR="003674A9" w:rsidRPr="00D86CE1">
        <w:rPr>
          <w:color w:val="auto"/>
        </w:rPr>
        <w:t xml:space="preserve">adjudicated </w:t>
      </w:r>
      <w:r w:rsidR="00FD7E6C" w:rsidRPr="00D86CE1">
        <w:rPr>
          <w:color w:val="auto"/>
        </w:rPr>
        <w:t>both orthopedic conditions as unfitting;</w:t>
      </w:r>
      <w:r w:rsidR="00380601" w:rsidRPr="00D86CE1">
        <w:rPr>
          <w:color w:val="auto"/>
        </w:rPr>
        <w:t xml:space="preserve"> </w:t>
      </w:r>
      <w:r w:rsidR="00FD7E6C" w:rsidRPr="00D86CE1">
        <w:rPr>
          <w:color w:val="auto"/>
        </w:rPr>
        <w:t>rating the left hand/wrist CRPS condition 2</w:t>
      </w:r>
      <w:r w:rsidR="003674A9" w:rsidRPr="00D86CE1">
        <w:rPr>
          <w:color w:val="auto"/>
        </w:rPr>
        <w:t>0%</w:t>
      </w:r>
      <w:r w:rsidR="00FD7E6C" w:rsidRPr="00D86CE1">
        <w:rPr>
          <w:color w:val="auto"/>
        </w:rPr>
        <w:t>,</w:t>
      </w:r>
      <w:r w:rsidR="003674A9" w:rsidRPr="00D86CE1">
        <w:rPr>
          <w:color w:val="auto"/>
        </w:rPr>
        <w:t xml:space="preserve"> </w:t>
      </w:r>
      <w:r w:rsidR="00FD7E6C" w:rsidRPr="00D86CE1">
        <w:rPr>
          <w:color w:val="000000"/>
        </w:rPr>
        <w:t xml:space="preserve">citing criteria </w:t>
      </w:r>
      <w:r w:rsidR="003674A9" w:rsidRPr="00D86CE1">
        <w:rPr>
          <w:color w:val="auto"/>
        </w:rPr>
        <w:t xml:space="preserve">of </w:t>
      </w:r>
      <w:r w:rsidR="00926C0A" w:rsidRPr="00D86CE1">
        <w:rPr>
          <w:color w:val="auto"/>
        </w:rPr>
        <w:t xml:space="preserve">the </w:t>
      </w:r>
      <w:r w:rsidR="00926C0A" w:rsidRPr="00D86CE1">
        <w:rPr>
          <w:color w:val="000000"/>
        </w:rPr>
        <w:t>Veterans</w:t>
      </w:r>
      <w:r w:rsidR="00F52165">
        <w:rPr>
          <w:color w:val="000000"/>
        </w:rPr>
        <w:t>’</w:t>
      </w:r>
      <w:r w:rsidR="00926C0A" w:rsidRPr="00D86CE1">
        <w:rPr>
          <w:color w:val="000000"/>
        </w:rPr>
        <w:t xml:space="preserve"> Administration Schedule for Rating Disabilities (VASRD)</w:t>
      </w:r>
      <w:r w:rsidR="003674A9" w:rsidRPr="00D86CE1">
        <w:rPr>
          <w:color w:val="auto"/>
        </w:rPr>
        <w:t xml:space="preserve">; </w:t>
      </w:r>
      <w:r w:rsidR="00B713E7">
        <w:rPr>
          <w:color w:val="auto"/>
        </w:rPr>
        <w:t xml:space="preserve">and, </w:t>
      </w:r>
      <w:r w:rsidR="00FD7E6C" w:rsidRPr="00D86CE1">
        <w:rPr>
          <w:color w:val="auto"/>
        </w:rPr>
        <w:t>rating</w:t>
      </w:r>
      <w:r w:rsidR="003674A9" w:rsidRPr="00D86CE1">
        <w:rPr>
          <w:color w:val="auto"/>
        </w:rPr>
        <w:t xml:space="preserve"> </w:t>
      </w:r>
      <w:r w:rsidR="00FD7E6C" w:rsidRPr="00D86CE1">
        <w:rPr>
          <w:color w:val="auto"/>
        </w:rPr>
        <w:t xml:space="preserve">the right ankle condition 10%, </w:t>
      </w:r>
      <w:proofErr w:type="gramStart"/>
      <w:r w:rsidR="00FD7E6C" w:rsidRPr="00D86CE1">
        <w:rPr>
          <w:color w:val="000000"/>
        </w:rPr>
        <w:t>citing</w:t>
      </w:r>
      <w:proofErr w:type="gramEnd"/>
      <w:r w:rsidR="00FD7E6C" w:rsidRPr="00D86CE1">
        <w:rPr>
          <w:color w:val="000000"/>
        </w:rPr>
        <w:t xml:space="preserve"> criteria </w:t>
      </w:r>
      <w:r w:rsidR="00FD7E6C" w:rsidRPr="00D86CE1">
        <w:rPr>
          <w:color w:val="auto"/>
        </w:rPr>
        <w:t xml:space="preserve">of the </w:t>
      </w:r>
      <w:r w:rsidR="00FD7E6C" w:rsidRPr="00D86CE1">
        <w:rPr>
          <w:color w:val="000000" w:themeColor="text1"/>
          <w:szCs w:val="24"/>
        </w:rPr>
        <w:t>US Army Physical Disabil</w:t>
      </w:r>
      <w:r w:rsidR="00B713E7">
        <w:rPr>
          <w:color w:val="000000" w:themeColor="text1"/>
          <w:szCs w:val="24"/>
        </w:rPr>
        <w:t>ity Agency (USAPDA) pain policy.</w:t>
      </w:r>
      <w:r w:rsidR="00FD7E6C" w:rsidRPr="00D86CE1">
        <w:rPr>
          <w:color w:val="000000" w:themeColor="text1"/>
          <w:szCs w:val="24"/>
        </w:rPr>
        <w:t xml:space="preserve"> </w:t>
      </w:r>
      <w:r w:rsidR="00B713E7">
        <w:rPr>
          <w:color w:val="000000" w:themeColor="text1"/>
          <w:szCs w:val="24"/>
        </w:rPr>
        <w:t xml:space="preserve"> </w:t>
      </w:r>
      <w:r w:rsidR="00B713E7" w:rsidRPr="00D86CE1">
        <w:rPr>
          <w:color w:val="auto"/>
        </w:rPr>
        <w:t>No comment appeared on the PEB’s DA Form 199 regarding the GERD condition</w:t>
      </w:r>
      <w:r w:rsidR="00B713E7">
        <w:rPr>
          <w:color w:val="auto"/>
        </w:rPr>
        <w:t>,</w:t>
      </w:r>
      <w:r w:rsidR="00B713E7" w:rsidRPr="00D86CE1">
        <w:rPr>
          <w:color w:val="000000" w:themeColor="text1"/>
          <w:szCs w:val="24"/>
        </w:rPr>
        <w:t xml:space="preserve"> </w:t>
      </w:r>
      <w:r w:rsidR="00FD7E6C" w:rsidRPr="00D86CE1">
        <w:rPr>
          <w:color w:val="000000" w:themeColor="text1"/>
          <w:szCs w:val="24"/>
        </w:rPr>
        <w:t xml:space="preserve">and the CI </w:t>
      </w:r>
      <w:r w:rsidR="00B713E7">
        <w:rPr>
          <w:color w:val="000000" w:themeColor="text1"/>
          <w:szCs w:val="24"/>
        </w:rPr>
        <w:t xml:space="preserve">was placed </w:t>
      </w:r>
      <w:r w:rsidR="003674A9" w:rsidRPr="00D86CE1">
        <w:rPr>
          <w:color w:val="auto"/>
        </w:rPr>
        <w:t xml:space="preserve">on the Temporary Disability Retired List (TDRL).  After </w:t>
      </w:r>
      <w:r w:rsidR="00E07880" w:rsidRPr="00D86CE1">
        <w:rPr>
          <w:color w:val="auto"/>
        </w:rPr>
        <w:t>19</w:t>
      </w:r>
      <w:r w:rsidR="00380601" w:rsidRPr="00D86CE1">
        <w:rPr>
          <w:color w:val="auto"/>
        </w:rPr>
        <w:t xml:space="preserve"> </w:t>
      </w:r>
      <w:r w:rsidR="003674A9" w:rsidRPr="00D86CE1">
        <w:rPr>
          <w:color w:val="auto"/>
        </w:rPr>
        <w:t>months on</w:t>
      </w:r>
      <w:r w:rsidR="00CF74AF">
        <w:rPr>
          <w:color w:val="auto"/>
        </w:rPr>
        <w:t xml:space="preserve"> the</w:t>
      </w:r>
      <w:r w:rsidR="003674A9" w:rsidRPr="00D86CE1">
        <w:rPr>
          <w:color w:val="auto"/>
        </w:rPr>
        <w:t xml:space="preserve"> TDRL, the CI’s</w:t>
      </w:r>
      <w:r w:rsidR="003674A9">
        <w:rPr>
          <w:color w:val="auto"/>
        </w:rPr>
        <w:t xml:space="preserve"> condition</w:t>
      </w:r>
      <w:r w:rsidR="00E07880">
        <w:rPr>
          <w:color w:val="auto"/>
        </w:rPr>
        <w:t>s</w:t>
      </w:r>
      <w:r w:rsidR="003674A9">
        <w:rPr>
          <w:color w:val="auto"/>
        </w:rPr>
        <w:t xml:space="preserve"> </w:t>
      </w:r>
      <w:r w:rsidR="00E07880">
        <w:rPr>
          <w:color w:val="auto"/>
        </w:rPr>
        <w:t>were</w:t>
      </w:r>
      <w:r w:rsidR="003674A9">
        <w:rPr>
          <w:color w:val="auto"/>
        </w:rPr>
        <w:t xml:space="preserve"> considered to be stable </w:t>
      </w:r>
      <w:r w:rsidR="00380601">
        <w:rPr>
          <w:color w:val="auto"/>
        </w:rPr>
        <w:t xml:space="preserve">but still unfitting.  </w:t>
      </w:r>
      <w:r w:rsidR="008F22A0">
        <w:rPr>
          <w:color w:val="auto"/>
        </w:rPr>
        <w:t xml:space="preserve">At that time the </w:t>
      </w:r>
      <w:r w:rsidR="00E07880">
        <w:rPr>
          <w:color w:val="auto"/>
        </w:rPr>
        <w:t>PEB retained the 20% CRPS rating, but lowered the ankle rating to 0%.  These determinations were affirmed by a Formal PEB (FPEB)</w:t>
      </w:r>
      <w:r w:rsidR="00B713E7">
        <w:rPr>
          <w:color w:val="auto"/>
        </w:rPr>
        <w:t xml:space="preserve"> on appeal</w:t>
      </w:r>
      <w:r w:rsidR="00E07880">
        <w:rPr>
          <w:color w:val="auto"/>
        </w:rPr>
        <w:t xml:space="preserve">; and, the CI was permanently separated with a </w:t>
      </w:r>
      <w:r w:rsidR="00D670FA">
        <w:rPr>
          <w:color w:val="auto"/>
        </w:rPr>
        <w:t>combined disability</w:t>
      </w:r>
      <w:r w:rsidR="00E07880">
        <w:rPr>
          <w:color w:val="auto"/>
        </w:rPr>
        <w:t xml:space="preserve"> rating of 20%.  </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C494C" w:rsidRPr="004A2728" w:rsidRDefault="00AD2379" w:rsidP="00BF0E94">
      <w:pPr>
        <w:tabs>
          <w:tab w:val="left" w:pos="288"/>
          <w:tab w:val="left" w:pos="4752"/>
        </w:tabs>
        <w:jc w:val="both"/>
        <w:rPr>
          <w:color w:val="000000" w:themeColor="text1"/>
        </w:rPr>
      </w:pPr>
      <w:r w:rsidRPr="001F29F9">
        <w:rPr>
          <w:color w:val="000000"/>
          <w:u w:val="single"/>
        </w:rPr>
        <w:t>CI CONTENTION</w:t>
      </w:r>
      <w:r w:rsidRPr="001F29F9">
        <w:rPr>
          <w:color w:val="000000"/>
        </w:rPr>
        <w:t>:</w:t>
      </w:r>
      <w:r w:rsidRPr="00726F84">
        <w:rPr>
          <w:color w:val="000000"/>
        </w:rPr>
        <w:t xml:space="preserve"> </w:t>
      </w:r>
      <w:r w:rsidR="00773C45">
        <w:rPr>
          <w:color w:val="000000"/>
        </w:rPr>
        <w:t>“</w:t>
      </w:r>
      <w:r w:rsidR="00083134" w:rsidRPr="00654F69">
        <w:rPr>
          <w:color w:val="000000" w:themeColor="text1"/>
        </w:rPr>
        <w:t>The rating should be ch</w:t>
      </w:r>
      <w:r w:rsidR="008F22A0">
        <w:rPr>
          <w:color w:val="000000" w:themeColor="text1"/>
        </w:rPr>
        <w:t>anged as the d</w:t>
      </w:r>
      <w:r w:rsidR="00D670FA">
        <w:rPr>
          <w:color w:val="000000" w:themeColor="text1"/>
        </w:rPr>
        <w:t>octor at [m</w:t>
      </w:r>
      <w:r w:rsidR="00083134">
        <w:rPr>
          <w:color w:val="000000" w:themeColor="text1"/>
        </w:rPr>
        <w:t xml:space="preserve">ilitary </w:t>
      </w:r>
      <w:r w:rsidR="00D670FA">
        <w:rPr>
          <w:color w:val="000000" w:themeColor="text1"/>
        </w:rPr>
        <w:t>treatment f</w:t>
      </w:r>
      <w:r w:rsidR="00083134">
        <w:rPr>
          <w:color w:val="000000" w:themeColor="text1"/>
        </w:rPr>
        <w:t>acility]</w:t>
      </w:r>
      <w:r w:rsidR="00083134" w:rsidRPr="00654F69">
        <w:rPr>
          <w:color w:val="000000" w:themeColor="text1"/>
        </w:rPr>
        <w:t xml:space="preserve"> was negligent in his</w:t>
      </w:r>
      <w:r w:rsidR="00083134">
        <w:rPr>
          <w:color w:val="000000" w:themeColor="text1"/>
        </w:rPr>
        <w:t xml:space="preserve"> duties and did not complete a ful</w:t>
      </w:r>
      <w:r w:rsidR="00083134" w:rsidRPr="00654F69">
        <w:rPr>
          <w:color w:val="000000" w:themeColor="text1"/>
        </w:rPr>
        <w:t>l examination of</w:t>
      </w:r>
      <w:r w:rsidR="00083134">
        <w:rPr>
          <w:color w:val="000000" w:themeColor="text1"/>
        </w:rPr>
        <w:t xml:space="preserve"> </w:t>
      </w:r>
      <w:r w:rsidR="00083134" w:rsidRPr="00654F69">
        <w:rPr>
          <w:color w:val="000000" w:themeColor="text1"/>
        </w:rPr>
        <w:t xml:space="preserve">my injuries. </w:t>
      </w:r>
      <w:r w:rsidR="00083134">
        <w:rPr>
          <w:color w:val="000000" w:themeColor="text1"/>
        </w:rPr>
        <w:t xml:space="preserve"> </w:t>
      </w:r>
      <w:r w:rsidR="00083134" w:rsidRPr="00654F69">
        <w:rPr>
          <w:color w:val="000000" w:themeColor="text1"/>
        </w:rPr>
        <w:t xml:space="preserve">He was more worried about impressing </w:t>
      </w:r>
      <w:r w:rsidR="00083134">
        <w:rPr>
          <w:color w:val="000000" w:themeColor="text1"/>
        </w:rPr>
        <w:t>a</w:t>
      </w:r>
      <w:r w:rsidR="00083134" w:rsidRPr="00654F69">
        <w:rPr>
          <w:color w:val="000000" w:themeColor="text1"/>
        </w:rPr>
        <w:t xml:space="preserve"> young Army lieutenant in training at the hospital that was present during my</w:t>
      </w:r>
      <w:r w:rsidR="00083134">
        <w:rPr>
          <w:color w:val="000000" w:themeColor="text1"/>
        </w:rPr>
        <w:t xml:space="preserve"> </w:t>
      </w:r>
      <w:r w:rsidR="00083134" w:rsidRPr="00654F69">
        <w:rPr>
          <w:color w:val="000000" w:themeColor="text1"/>
        </w:rPr>
        <w:t>appointment</w:t>
      </w:r>
      <w:r w:rsidR="00083134">
        <w:rPr>
          <w:color w:val="000000" w:themeColor="text1"/>
        </w:rPr>
        <w:t xml:space="preserve">. </w:t>
      </w:r>
      <w:r w:rsidR="00083134" w:rsidRPr="00654F69">
        <w:rPr>
          <w:color w:val="000000" w:themeColor="text1"/>
        </w:rPr>
        <w:t xml:space="preserve"> The injuries </w:t>
      </w:r>
      <w:r w:rsidR="00083134">
        <w:rPr>
          <w:color w:val="000000" w:themeColor="text1"/>
        </w:rPr>
        <w:t xml:space="preserve">I </w:t>
      </w:r>
      <w:r w:rsidR="00083134" w:rsidRPr="00654F69">
        <w:rPr>
          <w:color w:val="000000" w:themeColor="text1"/>
        </w:rPr>
        <w:t xml:space="preserve">incurred while on duty stopped my progression in promotion. </w:t>
      </w:r>
      <w:r w:rsidR="00083134">
        <w:rPr>
          <w:color w:val="000000" w:themeColor="text1"/>
        </w:rPr>
        <w:t xml:space="preserve"> </w:t>
      </w:r>
      <w:r w:rsidR="00083134" w:rsidRPr="009C4B32">
        <w:rPr>
          <w:color w:val="000000" w:themeColor="text1"/>
        </w:rPr>
        <w:t xml:space="preserve">Also the doctor stated in his report that I was not taking medication for my condition.  This is false. I was taking medication for the injuries.  I was a career soldier and because of these injuries my career ended.  I am not able to work in my profession in which the military trained me to do.  This is due to the loss of full use of my right ankle and left wrist and hand. </w:t>
      </w:r>
      <w:r w:rsidR="00D670FA">
        <w:rPr>
          <w:color w:val="000000" w:themeColor="text1"/>
        </w:rPr>
        <w:t>… [</w:t>
      </w:r>
      <w:proofErr w:type="gramStart"/>
      <w:r w:rsidR="00D670FA">
        <w:rPr>
          <w:color w:val="000000" w:themeColor="text1"/>
        </w:rPr>
        <w:t>e</w:t>
      </w:r>
      <w:r w:rsidR="009C4B32" w:rsidRPr="009C4B32">
        <w:rPr>
          <w:color w:val="000000" w:themeColor="text1"/>
        </w:rPr>
        <w:t>laborates</w:t>
      </w:r>
      <w:proofErr w:type="gramEnd"/>
      <w:r w:rsidR="009C4B32" w:rsidRPr="009C4B32">
        <w:rPr>
          <w:color w:val="000000" w:themeColor="text1"/>
        </w:rPr>
        <w:t xml:space="preserve"> historical and clinical details</w:t>
      </w:r>
      <w:r w:rsidR="001E20F4">
        <w:rPr>
          <w:color w:val="000000" w:themeColor="text1"/>
        </w:rPr>
        <w:t xml:space="preserve"> of the two orthopedic conditions</w:t>
      </w:r>
      <w:r w:rsidR="009C4B32" w:rsidRPr="009C4B32">
        <w:rPr>
          <w:color w:val="000000" w:themeColor="text1"/>
        </w:rPr>
        <w:t>.]</w:t>
      </w:r>
      <w:r w:rsidR="00083134" w:rsidRPr="009C4B32">
        <w:rPr>
          <w:color w:val="000000" w:themeColor="text1"/>
        </w:rPr>
        <w:t xml:space="preserve"> </w:t>
      </w:r>
      <w:r w:rsidR="009C4B32" w:rsidRPr="009C4B32">
        <w:rPr>
          <w:color w:val="000000" w:themeColor="text1"/>
        </w:rPr>
        <w:t>…</w:t>
      </w:r>
      <w:r w:rsidR="00083134" w:rsidRPr="009C4B32">
        <w:rPr>
          <w:color w:val="000000" w:themeColor="text1"/>
        </w:rPr>
        <w:t xml:space="preserve"> The doctors at the VA hospital are amazed that my injuries were not rated higher by the military.  I was discharged and deemed unfit for duty.</w:t>
      </w:r>
      <w:r w:rsidR="00773C45" w:rsidRPr="009C4B32">
        <w:rPr>
          <w:color w:val="000000"/>
        </w:rPr>
        <w:t>”</w:t>
      </w:r>
      <w:r w:rsidR="004A2728" w:rsidRPr="009C4B32">
        <w:rPr>
          <w:color w:val="000000"/>
        </w:rPr>
        <w:t xml:space="preserve"> </w:t>
      </w:r>
      <w:r w:rsidR="00E74049" w:rsidRPr="009C4B32">
        <w:rPr>
          <w:color w:val="000000" w:themeColor="text1"/>
        </w:rPr>
        <w:t xml:space="preserve">He </w:t>
      </w:r>
      <w:r w:rsidR="009C4B32" w:rsidRPr="009C4B32">
        <w:rPr>
          <w:color w:val="000000" w:themeColor="text1"/>
        </w:rPr>
        <w:t>does not contend for rating of his gastrointestinal disorder or other conditions.</w:t>
      </w:r>
      <w:r w:rsidR="00E74049" w:rsidRPr="009C4B32">
        <w:rPr>
          <w:color w:val="000000" w:themeColor="text1"/>
        </w:rPr>
        <w:t xml:space="preserve"> </w:t>
      </w:r>
      <w:r w:rsidR="009C4B32" w:rsidRPr="009C4B32">
        <w:rPr>
          <w:color w:val="000000" w:themeColor="text1"/>
        </w:rPr>
        <w:t xml:space="preserve"> </w:t>
      </w:r>
      <w:r w:rsidR="0017778F" w:rsidRPr="009C4B32">
        <w:rPr>
          <w:color w:val="000000"/>
        </w:rPr>
        <w:t xml:space="preserve">Subsequently forwarded by the CI, and reviewed by the Board, was a VA revaluation examination dated </w:t>
      </w:r>
      <w:r w:rsidR="00D670FA">
        <w:rPr>
          <w:color w:val="000000"/>
        </w:rPr>
        <w:t>7 December 2011</w:t>
      </w:r>
      <w:r w:rsidR="0017778F" w:rsidRPr="009C4B32">
        <w:rPr>
          <w:color w:val="000000"/>
        </w:rPr>
        <w:t>.</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9C4B32" w:rsidRPr="009C4B32" w:rsidRDefault="00F14638" w:rsidP="009C4B32">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 xml:space="preserve">view as defined in DoDI 6040.44 </w:t>
      </w:r>
      <w:r w:rsidRPr="00C566C9">
        <w:rPr>
          <w:color w:val="auto"/>
        </w:rPr>
        <w:t>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w:t>
      </w:r>
      <w:r w:rsidRPr="009C4B32">
        <w:rPr>
          <w:color w:val="auto"/>
        </w:rPr>
        <w:t>unfitting by the PEB</w:t>
      </w:r>
      <w:r w:rsidR="00F52165">
        <w:rPr>
          <w:color w:val="auto"/>
        </w:rPr>
        <w:t>.</w:t>
      </w:r>
      <w:r w:rsidRPr="009C4B32">
        <w:rPr>
          <w:color w:val="auto"/>
        </w:rPr>
        <w:t xml:space="preserve">”  The ratings for unfitting conditions will be reviewed in all cases.  </w:t>
      </w:r>
      <w:r w:rsidR="009C4B32">
        <w:rPr>
          <w:color w:val="auto"/>
        </w:rPr>
        <w:t xml:space="preserve">The </w:t>
      </w:r>
      <w:r w:rsidR="009C4B32" w:rsidRPr="009C4B32">
        <w:rPr>
          <w:color w:val="000000" w:themeColor="text1"/>
        </w:rPr>
        <w:t>gastrointestinal disorder</w:t>
      </w:r>
      <w:r w:rsidR="00E07880">
        <w:rPr>
          <w:color w:val="000000" w:themeColor="text1"/>
        </w:rPr>
        <w:t xml:space="preserve"> (not requested for review)</w:t>
      </w:r>
      <w:r w:rsidR="009C4B32" w:rsidRPr="009C4B32">
        <w:rPr>
          <w:color w:val="auto"/>
        </w:rPr>
        <w:t xml:space="preserve">, or any </w:t>
      </w:r>
      <w:r w:rsidR="009C4B32" w:rsidRPr="009C4B32">
        <w:rPr>
          <w:color w:val="auto"/>
        </w:rPr>
        <w:lastRenderedPageBreak/>
        <w:t xml:space="preserve">other conditions or contention outside the Board’s defined scope of review, remain eligible for future consideration by the Army Board for the Correction of Military Records (BCMR).  </w:t>
      </w:r>
    </w:p>
    <w:p w:rsidR="009C4B32" w:rsidRPr="001F29F9" w:rsidRDefault="009C4B32" w:rsidP="009C4B32">
      <w:pPr>
        <w:pBdr>
          <w:bottom w:val="single" w:sz="12" w:space="1" w:color="auto"/>
        </w:pBdr>
        <w:tabs>
          <w:tab w:val="left" w:pos="288"/>
          <w:tab w:val="left" w:pos="4752"/>
        </w:tabs>
        <w:jc w:val="both"/>
        <w:rPr>
          <w:color w:val="000000"/>
        </w:rPr>
      </w:pPr>
    </w:p>
    <w:p w:rsidR="004F61A0" w:rsidRPr="001F29F9" w:rsidRDefault="004F61A0" w:rsidP="004F61A0">
      <w:pPr>
        <w:tabs>
          <w:tab w:val="left" w:pos="288"/>
          <w:tab w:val="left" w:pos="4752"/>
        </w:tabs>
        <w:jc w:val="both"/>
        <w:rPr>
          <w:color w:val="000000"/>
        </w:rPr>
      </w:pPr>
    </w:p>
    <w:p w:rsidR="00AD2379" w:rsidRDefault="00AD2379" w:rsidP="00BF0E94">
      <w:pPr>
        <w:jc w:val="left"/>
        <w:rPr>
          <w:color w:val="000000"/>
        </w:rPr>
      </w:pPr>
      <w:r w:rsidRPr="001F29F9">
        <w:rPr>
          <w:color w:val="000000"/>
          <w:u w:val="single"/>
        </w:rPr>
        <w:t>RATING COMPARISON</w:t>
      </w:r>
      <w:r w:rsidRPr="001F29F9">
        <w:rPr>
          <w:color w:val="000000"/>
        </w:rPr>
        <w:t>:</w:t>
      </w:r>
      <w:r w:rsidRPr="00726F84">
        <w:rPr>
          <w:color w:val="000000"/>
        </w:rPr>
        <w:t xml:space="preserve"> </w:t>
      </w:r>
    </w:p>
    <w:p w:rsidR="00F3220E" w:rsidRDefault="00F3220E" w:rsidP="00BF0E94">
      <w:pPr>
        <w:jc w:val="left"/>
        <w:rPr>
          <w:color w:val="000000"/>
        </w:rPr>
      </w:pPr>
    </w:p>
    <w:tbl>
      <w:tblPr>
        <w:tblStyle w:val="TableGrid1"/>
        <w:tblW w:w="9360" w:type="dxa"/>
        <w:tblInd w:w="108" w:type="dxa"/>
        <w:tblLayout w:type="fixed"/>
        <w:tblLook w:val="04A0"/>
      </w:tblPr>
      <w:tblGrid>
        <w:gridCol w:w="1980"/>
        <w:gridCol w:w="1080"/>
        <w:gridCol w:w="630"/>
        <w:gridCol w:w="540"/>
        <w:gridCol w:w="2340"/>
        <w:gridCol w:w="1080"/>
        <w:gridCol w:w="720"/>
        <w:gridCol w:w="990"/>
      </w:tblGrid>
      <w:tr w:rsidR="00F3220E" w:rsidRPr="00F3220E" w:rsidTr="00083134">
        <w:trPr>
          <w:trHeight w:val="107"/>
        </w:trPr>
        <w:tc>
          <w:tcPr>
            <w:tcW w:w="4230" w:type="dxa"/>
            <w:gridSpan w:val="4"/>
            <w:tcBorders>
              <w:right w:val="thinThickThinSmallGap" w:sz="24" w:space="0" w:color="auto"/>
            </w:tcBorders>
            <w:shd w:val="clear" w:color="auto" w:fill="D9D9D9"/>
            <w:vAlign w:val="center"/>
          </w:tcPr>
          <w:p w:rsidR="00F3220E" w:rsidRPr="00F3220E" w:rsidRDefault="00F3220E" w:rsidP="00F3220E">
            <w:pPr>
              <w:contextualSpacing/>
              <w:rPr>
                <w:b/>
                <w:color w:val="auto"/>
                <w:sz w:val="18"/>
                <w:szCs w:val="18"/>
              </w:rPr>
            </w:pPr>
            <w:r w:rsidRPr="00F3220E">
              <w:rPr>
                <w:b/>
                <w:color w:val="auto"/>
                <w:sz w:val="18"/>
                <w:szCs w:val="18"/>
              </w:rPr>
              <w:t xml:space="preserve">Final Service </w:t>
            </w:r>
            <w:r w:rsidR="00984ABD">
              <w:rPr>
                <w:b/>
                <w:color w:val="auto"/>
                <w:sz w:val="18"/>
                <w:szCs w:val="18"/>
              </w:rPr>
              <w:t>F</w:t>
            </w:r>
            <w:r w:rsidRPr="00F3220E">
              <w:rPr>
                <w:b/>
                <w:color w:val="auto"/>
                <w:sz w:val="18"/>
                <w:szCs w:val="18"/>
              </w:rPr>
              <w:t xml:space="preserve">PEB - </w:t>
            </w:r>
            <w:r w:rsidR="00984ABD" w:rsidRPr="00234CDD">
              <w:rPr>
                <w:b/>
                <w:color w:val="auto"/>
                <w:sz w:val="18"/>
                <w:szCs w:val="18"/>
              </w:rPr>
              <w:t>20050105</w:t>
            </w:r>
          </w:p>
        </w:tc>
        <w:tc>
          <w:tcPr>
            <w:tcW w:w="5130" w:type="dxa"/>
            <w:gridSpan w:val="4"/>
            <w:tcBorders>
              <w:left w:val="thinThickThinSmallGap" w:sz="24" w:space="0" w:color="auto"/>
            </w:tcBorders>
            <w:shd w:val="clear" w:color="auto" w:fill="D9D9D9"/>
            <w:vAlign w:val="center"/>
          </w:tcPr>
          <w:p w:rsidR="00F3220E" w:rsidRPr="00F3220E" w:rsidRDefault="00984ABD" w:rsidP="00F3220E">
            <w:pPr>
              <w:contextualSpacing/>
              <w:rPr>
                <w:b/>
                <w:color w:val="auto"/>
                <w:sz w:val="18"/>
                <w:szCs w:val="18"/>
              </w:rPr>
            </w:pPr>
            <w:r>
              <w:rPr>
                <w:b/>
                <w:color w:val="auto"/>
                <w:sz w:val="18"/>
                <w:szCs w:val="18"/>
              </w:rPr>
              <w:t>VA (~3</w:t>
            </w:r>
            <w:r w:rsidR="00F3220E" w:rsidRPr="00F3220E">
              <w:rPr>
                <w:b/>
                <w:color w:val="auto"/>
                <w:sz w:val="18"/>
                <w:szCs w:val="18"/>
              </w:rPr>
              <w:t xml:space="preserve"> Mo. Prior to </w:t>
            </w:r>
            <w:r w:rsidR="00F3220E" w:rsidRPr="00F3220E">
              <w:rPr>
                <w:b/>
                <w:color w:val="000000"/>
                <w:sz w:val="18"/>
                <w:szCs w:val="18"/>
              </w:rPr>
              <w:t>Adjudication Date</w:t>
            </w:r>
            <w:r w:rsidR="00F3220E" w:rsidRPr="00F3220E">
              <w:rPr>
                <w:b/>
                <w:color w:val="auto"/>
                <w:sz w:val="18"/>
                <w:szCs w:val="18"/>
              </w:rPr>
              <w:t xml:space="preserve">)* – All Effective </w:t>
            </w:r>
            <w:r w:rsidRPr="00234CDD">
              <w:rPr>
                <w:b/>
                <w:color w:val="auto"/>
                <w:sz w:val="18"/>
                <w:szCs w:val="18"/>
              </w:rPr>
              <w:t>20030727</w:t>
            </w:r>
          </w:p>
        </w:tc>
      </w:tr>
      <w:tr w:rsidR="00083134" w:rsidRPr="00F3220E" w:rsidTr="00083134">
        <w:trPr>
          <w:trHeight w:val="65"/>
        </w:trPr>
        <w:tc>
          <w:tcPr>
            <w:tcW w:w="1980" w:type="dxa"/>
            <w:tcBorders>
              <w:bottom w:val="single" w:sz="4" w:space="0" w:color="000000"/>
            </w:tcBorders>
            <w:shd w:val="clear" w:color="auto" w:fill="D9D9D9"/>
            <w:vAlign w:val="center"/>
          </w:tcPr>
          <w:p w:rsidR="00F3220E" w:rsidRPr="00F3220E" w:rsidRDefault="00F3220E" w:rsidP="00083134">
            <w:pPr>
              <w:spacing w:line="220" w:lineRule="exact"/>
              <w:contextualSpacing/>
              <w:rPr>
                <w:b/>
                <w:color w:val="auto"/>
                <w:sz w:val="18"/>
                <w:szCs w:val="18"/>
              </w:rPr>
            </w:pPr>
            <w:r w:rsidRPr="00F3220E">
              <w:rPr>
                <w:b/>
                <w:color w:val="auto"/>
                <w:sz w:val="18"/>
                <w:szCs w:val="18"/>
              </w:rPr>
              <w:t>On TDRL - 20030314</w:t>
            </w:r>
          </w:p>
        </w:tc>
        <w:tc>
          <w:tcPr>
            <w:tcW w:w="1080" w:type="dxa"/>
            <w:vMerge w:val="restart"/>
            <w:tcBorders>
              <w:bottom w:val="single" w:sz="4" w:space="0" w:color="000000"/>
            </w:tcBorders>
            <w:shd w:val="clear" w:color="auto" w:fill="D9D9D9"/>
            <w:vAlign w:val="center"/>
          </w:tcPr>
          <w:p w:rsidR="00F3220E" w:rsidRPr="00F3220E" w:rsidRDefault="00F3220E" w:rsidP="00083134">
            <w:pPr>
              <w:spacing w:line="220" w:lineRule="exact"/>
              <w:contextualSpacing/>
              <w:rPr>
                <w:b/>
                <w:color w:val="auto"/>
                <w:sz w:val="18"/>
                <w:szCs w:val="18"/>
              </w:rPr>
            </w:pPr>
            <w:r w:rsidRPr="00F3220E">
              <w:rPr>
                <w:b/>
                <w:color w:val="auto"/>
                <w:sz w:val="18"/>
                <w:szCs w:val="18"/>
              </w:rPr>
              <w:t>Code</w:t>
            </w:r>
          </w:p>
        </w:tc>
        <w:tc>
          <w:tcPr>
            <w:tcW w:w="1170" w:type="dxa"/>
            <w:gridSpan w:val="2"/>
            <w:tcBorders>
              <w:bottom w:val="single" w:sz="4" w:space="0" w:color="000000"/>
              <w:right w:val="thinThickThinSmallGap" w:sz="24" w:space="0" w:color="auto"/>
            </w:tcBorders>
            <w:shd w:val="clear" w:color="auto" w:fill="D9D9D9"/>
            <w:vAlign w:val="center"/>
          </w:tcPr>
          <w:p w:rsidR="00F3220E" w:rsidRPr="00F3220E" w:rsidRDefault="00F3220E" w:rsidP="00083134">
            <w:pPr>
              <w:spacing w:line="220" w:lineRule="exact"/>
              <w:contextualSpacing/>
              <w:rPr>
                <w:b/>
                <w:color w:val="auto"/>
                <w:sz w:val="18"/>
                <w:szCs w:val="18"/>
              </w:rPr>
            </w:pPr>
            <w:r w:rsidRPr="00F3220E">
              <w:rPr>
                <w:b/>
                <w:color w:val="auto"/>
                <w:sz w:val="18"/>
                <w:szCs w:val="18"/>
              </w:rPr>
              <w:t>Rating</w:t>
            </w:r>
          </w:p>
        </w:tc>
        <w:tc>
          <w:tcPr>
            <w:tcW w:w="2340" w:type="dxa"/>
            <w:vMerge w:val="restart"/>
            <w:tcBorders>
              <w:left w:val="thinThickThinSmallGap" w:sz="24" w:space="0" w:color="auto"/>
            </w:tcBorders>
            <w:shd w:val="clear" w:color="auto" w:fill="D9D9D9"/>
            <w:vAlign w:val="center"/>
          </w:tcPr>
          <w:p w:rsidR="00F3220E" w:rsidRPr="00F3220E" w:rsidRDefault="00F3220E" w:rsidP="00083134">
            <w:pPr>
              <w:spacing w:line="220" w:lineRule="exact"/>
              <w:contextualSpacing/>
              <w:rPr>
                <w:b/>
                <w:color w:val="auto"/>
                <w:sz w:val="18"/>
                <w:szCs w:val="18"/>
              </w:rPr>
            </w:pPr>
            <w:r w:rsidRPr="00F3220E">
              <w:rPr>
                <w:b/>
                <w:color w:val="auto"/>
                <w:sz w:val="18"/>
                <w:szCs w:val="18"/>
              </w:rPr>
              <w:t>Condition</w:t>
            </w:r>
          </w:p>
        </w:tc>
        <w:tc>
          <w:tcPr>
            <w:tcW w:w="1080" w:type="dxa"/>
            <w:vMerge w:val="restart"/>
            <w:shd w:val="clear" w:color="auto" w:fill="D9D9D9"/>
            <w:vAlign w:val="center"/>
          </w:tcPr>
          <w:p w:rsidR="00F3220E" w:rsidRPr="00F3220E" w:rsidRDefault="00F3220E" w:rsidP="00083134">
            <w:pPr>
              <w:spacing w:line="220" w:lineRule="exact"/>
              <w:contextualSpacing/>
              <w:rPr>
                <w:b/>
                <w:color w:val="auto"/>
                <w:sz w:val="18"/>
                <w:szCs w:val="18"/>
              </w:rPr>
            </w:pPr>
            <w:r w:rsidRPr="00F3220E">
              <w:rPr>
                <w:b/>
                <w:color w:val="auto"/>
                <w:sz w:val="18"/>
                <w:szCs w:val="18"/>
              </w:rPr>
              <w:t>Code</w:t>
            </w:r>
          </w:p>
        </w:tc>
        <w:tc>
          <w:tcPr>
            <w:tcW w:w="720" w:type="dxa"/>
            <w:vMerge w:val="restart"/>
            <w:shd w:val="clear" w:color="auto" w:fill="D9D9D9"/>
            <w:vAlign w:val="center"/>
          </w:tcPr>
          <w:p w:rsidR="00F3220E" w:rsidRPr="00F3220E" w:rsidRDefault="00F3220E" w:rsidP="00083134">
            <w:pPr>
              <w:spacing w:line="220" w:lineRule="exact"/>
              <w:contextualSpacing/>
              <w:rPr>
                <w:b/>
                <w:color w:val="auto"/>
                <w:sz w:val="18"/>
                <w:szCs w:val="18"/>
              </w:rPr>
            </w:pPr>
            <w:r w:rsidRPr="00F3220E">
              <w:rPr>
                <w:b/>
                <w:color w:val="auto"/>
                <w:sz w:val="18"/>
                <w:szCs w:val="18"/>
              </w:rPr>
              <w:t>Rating</w:t>
            </w:r>
          </w:p>
        </w:tc>
        <w:tc>
          <w:tcPr>
            <w:tcW w:w="990" w:type="dxa"/>
            <w:vMerge w:val="restart"/>
            <w:shd w:val="clear" w:color="auto" w:fill="D9D9D9"/>
            <w:vAlign w:val="center"/>
          </w:tcPr>
          <w:p w:rsidR="00F3220E" w:rsidRPr="00F3220E" w:rsidRDefault="00F3220E" w:rsidP="00083134">
            <w:pPr>
              <w:spacing w:line="220" w:lineRule="exact"/>
              <w:contextualSpacing/>
              <w:rPr>
                <w:b/>
                <w:color w:val="auto"/>
                <w:sz w:val="18"/>
                <w:szCs w:val="18"/>
              </w:rPr>
            </w:pPr>
            <w:r w:rsidRPr="00F3220E">
              <w:rPr>
                <w:b/>
                <w:color w:val="auto"/>
                <w:sz w:val="18"/>
                <w:szCs w:val="18"/>
              </w:rPr>
              <w:t>Exam</w:t>
            </w:r>
          </w:p>
        </w:tc>
      </w:tr>
      <w:tr w:rsidR="00083134" w:rsidRPr="00F3220E" w:rsidTr="00083134">
        <w:trPr>
          <w:trHeight w:val="152"/>
        </w:trPr>
        <w:tc>
          <w:tcPr>
            <w:tcW w:w="1980" w:type="dxa"/>
            <w:shd w:val="clear" w:color="auto" w:fill="D9D9D9"/>
            <w:vAlign w:val="center"/>
          </w:tcPr>
          <w:p w:rsidR="00F3220E" w:rsidRPr="00F3220E" w:rsidRDefault="00F3220E" w:rsidP="00083134">
            <w:pPr>
              <w:spacing w:line="220" w:lineRule="exact"/>
              <w:contextualSpacing/>
              <w:rPr>
                <w:b/>
                <w:color w:val="auto"/>
                <w:sz w:val="18"/>
                <w:szCs w:val="18"/>
              </w:rPr>
            </w:pPr>
            <w:r w:rsidRPr="00F3220E">
              <w:rPr>
                <w:b/>
                <w:color w:val="auto"/>
                <w:sz w:val="18"/>
                <w:szCs w:val="18"/>
              </w:rPr>
              <w:t>Condition</w:t>
            </w:r>
          </w:p>
        </w:tc>
        <w:tc>
          <w:tcPr>
            <w:tcW w:w="1080" w:type="dxa"/>
            <w:vMerge/>
            <w:shd w:val="clear" w:color="auto" w:fill="D9D9D9"/>
            <w:vAlign w:val="center"/>
          </w:tcPr>
          <w:p w:rsidR="00F3220E" w:rsidRPr="00F3220E" w:rsidRDefault="00F3220E" w:rsidP="00083134">
            <w:pPr>
              <w:spacing w:line="220" w:lineRule="exact"/>
              <w:contextualSpacing/>
              <w:rPr>
                <w:color w:val="auto"/>
                <w:sz w:val="18"/>
                <w:szCs w:val="18"/>
              </w:rPr>
            </w:pPr>
          </w:p>
        </w:tc>
        <w:tc>
          <w:tcPr>
            <w:tcW w:w="630" w:type="dxa"/>
            <w:tcBorders>
              <w:right w:val="single" w:sz="4" w:space="0" w:color="auto"/>
            </w:tcBorders>
            <w:shd w:val="clear" w:color="auto" w:fill="D9D9D9"/>
            <w:vAlign w:val="center"/>
          </w:tcPr>
          <w:p w:rsidR="00F3220E" w:rsidRPr="00F3220E" w:rsidRDefault="00F3220E" w:rsidP="00083134">
            <w:pPr>
              <w:spacing w:line="220" w:lineRule="exact"/>
              <w:contextualSpacing/>
              <w:rPr>
                <w:b/>
                <w:color w:val="auto"/>
                <w:sz w:val="18"/>
                <w:szCs w:val="18"/>
              </w:rPr>
            </w:pPr>
            <w:r w:rsidRPr="00F3220E">
              <w:rPr>
                <w:b/>
                <w:color w:val="auto"/>
                <w:sz w:val="18"/>
                <w:szCs w:val="18"/>
              </w:rPr>
              <w:t>TDRL</w:t>
            </w:r>
          </w:p>
        </w:tc>
        <w:tc>
          <w:tcPr>
            <w:tcW w:w="540" w:type="dxa"/>
            <w:tcBorders>
              <w:left w:val="single" w:sz="4" w:space="0" w:color="auto"/>
              <w:right w:val="thinThickThinSmallGap" w:sz="24" w:space="0" w:color="auto"/>
            </w:tcBorders>
            <w:shd w:val="clear" w:color="auto" w:fill="D9D9D9"/>
            <w:vAlign w:val="center"/>
          </w:tcPr>
          <w:p w:rsidR="00F3220E" w:rsidRPr="00F3220E" w:rsidRDefault="00F3220E" w:rsidP="00083134">
            <w:pPr>
              <w:spacing w:line="220" w:lineRule="exact"/>
              <w:contextualSpacing/>
              <w:rPr>
                <w:b/>
                <w:color w:val="auto"/>
                <w:sz w:val="18"/>
                <w:szCs w:val="18"/>
              </w:rPr>
            </w:pPr>
            <w:r w:rsidRPr="00F3220E">
              <w:rPr>
                <w:b/>
                <w:color w:val="auto"/>
                <w:sz w:val="18"/>
                <w:szCs w:val="18"/>
              </w:rPr>
              <w:t>Sep.</w:t>
            </w:r>
          </w:p>
        </w:tc>
        <w:tc>
          <w:tcPr>
            <w:tcW w:w="2340" w:type="dxa"/>
            <w:vMerge/>
            <w:tcBorders>
              <w:left w:val="thinThickThinSmallGap" w:sz="24" w:space="0" w:color="auto"/>
            </w:tcBorders>
            <w:shd w:val="clear" w:color="auto" w:fill="D9D9D9"/>
            <w:vAlign w:val="center"/>
          </w:tcPr>
          <w:p w:rsidR="00F3220E" w:rsidRPr="00F3220E" w:rsidRDefault="00F3220E" w:rsidP="00083134">
            <w:pPr>
              <w:spacing w:line="220" w:lineRule="exact"/>
              <w:contextualSpacing/>
              <w:rPr>
                <w:b/>
                <w:color w:val="auto"/>
                <w:sz w:val="18"/>
                <w:szCs w:val="18"/>
              </w:rPr>
            </w:pPr>
          </w:p>
        </w:tc>
        <w:tc>
          <w:tcPr>
            <w:tcW w:w="1080" w:type="dxa"/>
            <w:vMerge/>
            <w:shd w:val="clear" w:color="auto" w:fill="C6D9F1"/>
            <w:vAlign w:val="center"/>
          </w:tcPr>
          <w:p w:rsidR="00F3220E" w:rsidRPr="00F3220E" w:rsidRDefault="00F3220E" w:rsidP="00083134">
            <w:pPr>
              <w:spacing w:line="220" w:lineRule="exact"/>
              <w:contextualSpacing/>
              <w:rPr>
                <w:color w:val="auto"/>
                <w:sz w:val="18"/>
                <w:szCs w:val="18"/>
              </w:rPr>
            </w:pPr>
          </w:p>
        </w:tc>
        <w:tc>
          <w:tcPr>
            <w:tcW w:w="720" w:type="dxa"/>
            <w:vMerge/>
            <w:shd w:val="clear" w:color="auto" w:fill="C6D9F1"/>
            <w:vAlign w:val="center"/>
          </w:tcPr>
          <w:p w:rsidR="00F3220E" w:rsidRPr="00F3220E" w:rsidRDefault="00F3220E" w:rsidP="00083134">
            <w:pPr>
              <w:spacing w:line="220" w:lineRule="exact"/>
              <w:contextualSpacing/>
              <w:rPr>
                <w:color w:val="auto"/>
                <w:sz w:val="18"/>
                <w:szCs w:val="18"/>
              </w:rPr>
            </w:pPr>
          </w:p>
        </w:tc>
        <w:tc>
          <w:tcPr>
            <w:tcW w:w="990" w:type="dxa"/>
            <w:vMerge/>
            <w:shd w:val="clear" w:color="auto" w:fill="C6D9F1"/>
            <w:vAlign w:val="center"/>
          </w:tcPr>
          <w:p w:rsidR="00F3220E" w:rsidRPr="00F3220E" w:rsidRDefault="00F3220E" w:rsidP="00083134">
            <w:pPr>
              <w:spacing w:line="220" w:lineRule="exact"/>
              <w:contextualSpacing/>
              <w:rPr>
                <w:color w:val="auto"/>
                <w:sz w:val="18"/>
                <w:szCs w:val="18"/>
              </w:rPr>
            </w:pPr>
          </w:p>
        </w:tc>
      </w:tr>
      <w:tr w:rsidR="00083134" w:rsidRPr="00F3220E" w:rsidTr="00083134">
        <w:trPr>
          <w:trHeight w:val="143"/>
        </w:trPr>
        <w:tc>
          <w:tcPr>
            <w:tcW w:w="1980" w:type="dxa"/>
            <w:tcBorders>
              <w:right w:val="single" w:sz="4" w:space="0" w:color="auto"/>
            </w:tcBorders>
            <w:shd w:val="clear" w:color="auto" w:fill="FFFFFF"/>
            <w:vAlign w:val="center"/>
          </w:tcPr>
          <w:p w:rsidR="00984ABD" w:rsidRPr="00234CDD" w:rsidRDefault="00984ABD" w:rsidP="00083134">
            <w:pPr>
              <w:spacing w:line="220" w:lineRule="exact"/>
              <w:contextualSpacing/>
              <w:jc w:val="left"/>
              <w:rPr>
                <w:rFonts w:eastAsia="Times New Roman" w:cstheme="minorHAnsi"/>
                <w:color w:val="auto"/>
                <w:sz w:val="18"/>
                <w:szCs w:val="18"/>
              </w:rPr>
            </w:pPr>
            <w:r w:rsidRPr="00234CDD">
              <w:rPr>
                <w:rFonts w:eastAsia="Times New Roman" w:cstheme="minorHAnsi"/>
                <w:color w:val="auto"/>
                <w:sz w:val="18"/>
                <w:szCs w:val="18"/>
              </w:rPr>
              <w:t>CRPS,</w:t>
            </w:r>
            <w:r>
              <w:rPr>
                <w:rFonts w:eastAsia="Times New Roman" w:cstheme="minorHAnsi"/>
                <w:color w:val="auto"/>
                <w:sz w:val="18"/>
                <w:szCs w:val="18"/>
              </w:rPr>
              <w:t xml:space="preserve"> Left Wrist/</w:t>
            </w:r>
            <w:r w:rsidRPr="00234CDD">
              <w:rPr>
                <w:rFonts w:eastAsia="Times New Roman" w:cstheme="minorHAnsi"/>
                <w:color w:val="auto"/>
                <w:sz w:val="18"/>
                <w:szCs w:val="18"/>
              </w:rPr>
              <w:t>Hand</w:t>
            </w:r>
          </w:p>
        </w:tc>
        <w:tc>
          <w:tcPr>
            <w:tcW w:w="1080" w:type="dxa"/>
            <w:tcBorders>
              <w:left w:val="single" w:sz="4" w:space="0" w:color="auto"/>
            </w:tcBorders>
            <w:shd w:val="clear" w:color="auto" w:fill="FFFFFF"/>
            <w:vAlign w:val="center"/>
          </w:tcPr>
          <w:p w:rsidR="00984ABD" w:rsidRPr="00234CDD" w:rsidRDefault="00984ABD" w:rsidP="00083134">
            <w:pPr>
              <w:spacing w:line="220" w:lineRule="exact"/>
              <w:contextualSpacing/>
              <w:rPr>
                <w:rFonts w:eastAsia="Times New Roman" w:cstheme="minorHAnsi"/>
                <w:color w:val="auto"/>
                <w:sz w:val="18"/>
                <w:szCs w:val="18"/>
              </w:rPr>
            </w:pPr>
            <w:r w:rsidRPr="00234CDD">
              <w:rPr>
                <w:rFonts w:cstheme="minorHAnsi"/>
                <w:color w:val="auto"/>
                <w:sz w:val="18"/>
                <w:szCs w:val="18"/>
              </w:rPr>
              <w:t>8599-8514</w:t>
            </w:r>
          </w:p>
        </w:tc>
        <w:tc>
          <w:tcPr>
            <w:tcW w:w="630" w:type="dxa"/>
            <w:tcBorders>
              <w:right w:val="single" w:sz="4" w:space="0" w:color="auto"/>
            </w:tcBorders>
            <w:shd w:val="clear" w:color="auto" w:fill="FFFFFF"/>
            <w:vAlign w:val="center"/>
          </w:tcPr>
          <w:p w:rsidR="00984ABD" w:rsidRPr="00234CDD" w:rsidRDefault="00984ABD" w:rsidP="00083134">
            <w:pPr>
              <w:spacing w:line="220" w:lineRule="exact"/>
              <w:rPr>
                <w:rFonts w:eastAsia="Times New Roman" w:cstheme="minorHAnsi"/>
                <w:color w:val="auto"/>
                <w:sz w:val="18"/>
                <w:szCs w:val="18"/>
              </w:rPr>
            </w:pPr>
            <w:r w:rsidRPr="00234CDD">
              <w:rPr>
                <w:rFonts w:cstheme="minorHAnsi"/>
                <w:color w:val="auto"/>
                <w:sz w:val="18"/>
                <w:szCs w:val="18"/>
              </w:rPr>
              <w:t>20%</w:t>
            </w:r>
          </w:p>
        </w:tc>
        <w:tc>
          <w:tcPr>
            <w:tcW w:w="540" w:type="dxa"/>
            <w:tcBorders>
              <w:left w:val="single" w:sz="4" w:space="0" w:color="auto"/>
              <w:right w:val="thinThickThinSmallGap" w:sz="24" w:space="0" w:color="auto"/>
            </w:tcBorders>
            <w:shd w:val="clear" w:color="auto" w:fill="FFFFFF"/>
            <w:vAlign w:val="center"/>
          </w:tcPr>
          <w:p w:rsidR="00984ABD" w:rsidRPr="00234CDD" w:rsidRDefault="00984ABD" w:rsidP="00083134">
            <w:pPr>
              <w:spacing w:line="220" w:lineRule="exact"/>
              <w:rPr>
                <w:rFonts w:eastAsia="Times New Roman" w:cstheme="minorHAnsi"/>
                <w:color w:val="auto"/>
                <w:sz w:val="18"/>
                <w:szCs w:val="18"/>
              </w:rPr>
            </w:pPr>
            <w:r w:rsidRPr="00234CDD">
              <w:rPr>
                <w:rFonts w:cstheme="minorHAnsi"/>
                <w:color w:val="auto"/>
                <w:sz w:val="18"/>
                <w:szCs w:val="18"/>
              </w:rPr>
              <w:t>20%</w:t>
            </w:r>
          </w:p>
        </w:tc>
        <w:tc>
          <w:tcPr>
            <w:tcW w:w="2340" w:type="dxa"/>
            <w:tcBorders>
              <w:left w:val="thinThickThinSmallGap" w:sz="24" w:space="0" w:color="auto"/>
            </w:tcBorders>
            <w:shd w:val="clear" w:color="auto" w:fill="FFFFFF"/>
            <w:vAlign w:val="center"/>
          </w:tcPr>
          <w:p w:rsidR="00984ABD" w:rsidRPr="00234CDD" w:rsidRDefault="00984ABD" w:rsidP="00083134">
            <w:pPr>
              <w:spacing w:line="220" w:lineRule="exact"/>
              <w:contextualSpacing/>
              <w:jc w:val="left"/>
              <w:rPr>
                <w:rFonts w:eastAsia="Times New Roman" w:cstheme="minorHAnsi"/>
                <w:color w:val="auto"/>
                <w:sz w:val="18"/>
                <w:szCs w:val="18"/>
              </w:rPr>
            </w:pPr>
            <w:r w:rsidRPr="00234CDD">
              <w:rPr>
                <w:rFonts w:eastAsia="Times New Roman" w:cstheme="minorHAnsi"/>
                <w:color w:val="auto"/>
                <w:sz w:val="18"/>
                <w:szCs w:val="18"/>
              </w:rPr>
              <w:t>CRPS,</w:t>
            </w:r>
            <w:r>
              <w:rPr>
                <w:rFonts w:eastAsia="Times New Roman" w:cstheme="minorHAnsi"/>
                <w:color w:val="auto"/>
                <w:sz w:val="18"/>
                <w:szCs w:val="18"/>
              </w:rPr>
              <w:t xml:space="preserve"> Left Wrist/</w:t>
            </w:r>
            <w:r w:rsidRPr="00234CDD">
              <w:rPr>
                <w:rFonts w:eastAsia="Times New Roman" w:cstheme="minorHAnsi"/>
                <w:color w:val="auto"/>
                <w:sz w:val="18"/>
                <w:szCs w:val="18"/>
              </w:rPr>
              <w:t>Hand</w:t>
            </w:r>
          </w:p>
        </w:tc>
        <w:tc>
          <w:tcPr>
            <w:tcW w:w="1080" w:type="dxa"/>
            <w:shd w:val="clear" w:color="auto" w:fill="FFFFFF"/>
            <w:vAlign w:val="center"/>
          </w:tcPr>
          <w:p w:rsidR="00984ABD" w:rsidRPr="00234CDD" w:rsidRDefault="00984ABD" w:rsidP="00083134">
            <w:pPr>
              <w:spacing w:line="220" w:lineRule="exact"/>
              <w:contextualSpacing/>
              <w:rPr>
                <w:rFonts w:eastAsia="Times New Roman" w:cstheme="minorHAnsi"/>
                <w:color w:val="auto"/>
                <w:sz w:val="18"/>
                <w:szCs w:val="18"/>
              </w:rPr>
            </w:pPr>
            <w:r w:rsidRPr="00234CDD">
              <w:rPr>
                <w:rFonts w:cstheme="minorHAnsi"/>
                <w:color w:val="auto"/>
                <w:sz w:val="18"/>
                <w:szCs w:val="18"/>
              </w:rPr>
              <w:t>8699-8615</w:t>
            </w:r>
          </w:p>
        </w:tc>
        <w:tc>
          <w:tcPr>
            <w:tcW w:w="720" w:type="dxa"/>
            <w:shd w:val="clear" w:color="auto" w:fill="FFFFFF"/>
            <w:vAlign w:val="center"/>
          </w:tcPr>
          <w:p w:rsidR="00984ABD" w:rsidRPr="00234CDD" w:rsidRDefault="00984ABD" w:rsidP="00083134">
            <w:pPr>
              <w:spacing w:line="220" w:lineRule="exact"/>
              <w:contextualSpacing/>
              <w:rPr>
                <w:rFonts w:eastAsia="Times New Roman" w:cstheme="minorHAnsi"/>
                <w:color w:val="auto"/>
                <w:sz w:val="18"/>
                <w:szCs w:val="18"/>
              </w:rPr>
            </w:pPr>
            <w:r w:rsidRPr="00234CDD">
              <w:rPr>
                <w:rFonts w:eastAsia="Times New Roman" w:cstheme="minorHAnsi"/>
                <w:color w:val="auto"/>
                <w:sz w:val="18"/>
                <w:szCs w:val="18"/>
              </w:rPr>
              <w:t>20%</w:t>
            </w:r>
          </w:p>
        </w:tc>
        <w:tc>
          <w:tcPr>
            <w:tcW w:w="990" w:type="dxa"/>
            <w:shd w:val="clear" w:color="auto" w:fill="FFFFFF"/>
            <w:vAlign w:val="center"/>
          </w:tcPr>
          <w:p w:rsidR="00984ABD" w:rsidRPr="00234CDD" w:rsidRDefault="00984ABD" w:rsidP="00083134">
            <w:pPr>
              <w:spacing w:line="220" w:lineRule="exact"/>
              <w:contextualSpacing/>
              <w:rPr>
                <w:rFonts w:eastAsia="Times New Roman" w:cstheme="minorHAnsi"/>
                <w:color w:val="auto"/>
                <w:sz w:val="18"/>
                <w:szCs w:val="18"/>
              </w:rPr>
            </w:pPr>
            <w:r w:rsidRPr="00234CDD">
              <w:rPr>
                <w:rFonts w:eastAsia="Times New Roman" w:cstheme="minorHAnsi"/>
                <w:color w:val="auto"/>
                <w:sz w:val="18"/>
                <w:szCs w:val="18"/>
              </w:rPr>
              <w:t>20041201</w:t>
            </w:r>
          </w:p>
        </w:tc>
      </w:tr>
      <w:tr w:rsidR="00984ABD" w:rsidRPr="00F3220E" w:rsidTr="00083134">
        <w:trPr>
          <w:trHeight w:val="143"/>
        </w:trPr>
        <w:tc>
          <w:tcPr>
            <w:tcW w:w="1980" w:type="dxa"/>
            <w:tcBorders>
              <w:right w:val="single" w:sz="4" w:space="0" w:color="auto"/>
            </w:tcBorders>
            <w:shd w:val="clear" w:color="auto" w:fill="FFFFFF"/>
            <w:vAlign w:val="center"/>
          </w:tcPr>
          <w:p w:rsidR="00984ABD" w:rsidRPr="00234CDD" w:rsidRDefault="00984ABD" w:rsidP="00083134">
            <w:pPr>
              <w:spacing w:line="220" w:lineRule="exact"/>
              <w:contextualSpacing/>
              <w:jc w:val="left"/>
              <w:rPr>
                <w:rFonts w:eastAsia="Times New Roman" w:cstheme="minorHAnsi"/>
                <w:color w:val="auto"/>
                <w:sz w:val="18"/>
                <w:szCs w:val="18"/>
              </w:rPr>
            </w:pPr>
            <w:r>
              <w:rPr>
                <w:rFonts w:eastAsia="Times New Roman" w:cstheme="minorHAnsi"/>
                <w:color w:val="auto"/>
                <w:sz w:val="18"/>
                <w:szCs w:val="18"/>
              </w:rPr>
              <w:t>Chronic R</w:t>
            </w:r>
            <w:r w:rsidRPr="00234CDD">
              <w:rPr>
                <w:rFonts w:eastAsia="Times New Roman" w:cstheme="minorHAnsi"/>
                <w:color w:val="auto"/>
                <w:sz w:val="18"/>
                <w:szCs w:val="18"/>
              </w:rPr>
              <w:t xml:space="preserve"> Ankle Pain</w:t>
            </w:r>
          </w:p>
        </w:tc>
        <w:tc>
          <w:tcPr>
            <w:tcW w:w="1080" w:type="dxa"/>
            <w:tcBorders>
              <w:left w:val="single" w:sz="4" w:space="0" w:color="auto"/>
            </w:tcBorders>
            <w:shd w:val="clear" w:color="auto" w:fill="FFFFFF"/>
            <w:vAlign w:val="center"/>
          </w:tcPr>
          <w:p w:rsidR="00984ABD" w:rsidRPr="00234CDD" w:rsidRDefault="00984ABD" w:rsidP="00083134">
            <w:pPr>
              <w:spacing w:line="220" w:lineRule="exact"/>
              <w:contextualSpacing/>
              <w:rPr>
                <w:rFonts w:eastAsia="Times New Roman" w:cstheme="minorHAnsi"/>
                <w:color w:val="auto"/>
                <w:sz w:val="18"/>
                <w:szCs w:val="18"/>
              </w:rPr>
            </w:pPr>
            <w:r w:rsidRPr="00234CDD">
              <w:rPr>
                <w:rFonts w:cstheme="minorHAnsi"/>
                <w:color w:val="auto"/>
                <w:sz w:val="18"/>
                <w:szCs w:val="18"/>
              </w:rPr>
              <w:t>5099-5003</w:t>
            </w:r>
          </w:p>
        </w:tc>
        <w:tc>
          <w:tcPr>
            <w:tcW w:w="630" w:type="dxa"/>
            <w:tcBorders>
              <w:right w:val="single" w:sz="4" w:space="0" w:color="auto"/>
            </w:tcBorders>
            <w:shd w:val="clear" w:color="auto" w:fill="FFFFFF"/>
            <w:vAlign w:val="center"/>
          </w:tcPr>
          <w:p w:rsidR="00984ABD" w:rsidRPr="00234CDD" w:rsidRDefault="00984ABD" w:rsidP="00083134">
            <w:pPr>
              <w:spacing w:line="220" w:lineRule="exact"/>
              <w:rPr>
                <w:rFonts w:eastAsia="Times New Roman" w:cstheme="minorHAnsi"/>
                <w:color w:val="auto"/>
                <w:sz w:val="18"/>
                <w:szCs w:val="18"/>
              </w:rPr>
            </w:pPr>
            <w:r w:rsidRPr="00234CDD">
              <w:rPr>
                <w:rFonts w:cstheme="minorHAnsi"/>
                <w:color w:val="auto"/>
                <w:sz w:val="18"/>
                <w:szCs w:val="18"/>
              </w:rPr>
              <w:t>10%</w:t>
            </w:r>
          </w:p>
        </w:tc>
        <w:tc>
          <w:tcPr>
            <w:tcW w:w="540" w:type="dxa"/>
            <w:tcBorders>
              <w:left w:val="single" w:sz="4" w:space="0" w:color="auto"/>
              <w:right w:val="thinThickThinSmallGap" w:sz="24" w:space="0" w:color="auto"/>
            </w:tcBorders>
            <w:shd w:val="clear" w:color="auto" w:fill="FFFFFF"/>
            <w:vAlign w:val="center"/>
          </w:tcPr>
          <w:p w:rsidR="00984ABD" w:rsidRPr="00234CDD" w:rsidRDefault="00984ABD" w:rsidP="00083134">
            <w:pPr>
              <w:spacing w:line="220" w:lineRule="exact"/>
              <w:rPr>
                <w:rFonts w:eastAsia="Times New Roman" w:cstheme="minorHAnsi"/>
                <w:color w:val="auto"/>
                <w:sz w:val="18"/>
                <w:szCs w:val="18"/>
              </w:rPr>
            </w:pPr>
            <w:r w:rsidRPr="00234CDD">
              <w:rPr>
                <w:rFonts w:eastAsia="Times New Roman" w:cstheme="minorHAnsi"/>
                <w:color w:val="auto"/>
                <w:sz w:val="18"/>
                <w:szCs w:val="18"/>
              </w:rPr>
              <w:t>0%</w:t>
            </w:r>
          </w:p>
        </w:tc>
        <w:tc>
          <w:tcPr>
            <w:tcW w:w="2340" w:type="dxa"/>
            <w:tcBorders>
              <w:left w:val="thinThickThinSmallGap" w:sz="24" w:space="0" w:color="auto"/>
            </w:tcBorders>
            <w:shd w:val="clear" w:color="auto" w:fill="FFFFFF"/>
            <w:vAlign w:val="center"/>
          </w:tcPr>
          <w:p w:rsidR="00984ABD" w:rsidRPr="00234CDD" w:rsidRDefault="00984ABD" w:rsidP="00083134">
            <w:pPr>
              <w:spacing w:line="220" w:lineRule="exact"/>
              <w:contextualSpacing/>
              <w:jc w:val="left"/>
              <w:rPr>
                <w:rFonts w:eastAsia="Times New Roman" w:cstheme="minorHAnsi"/>
                <w:color w:val="auto"/>
                <w:sz w:val="18"/>
                <w:szCs w:val="18"/>
              </w:rPr>
            </w:pPr>
            <w:r>
              <w:rPr>
                <w:rFonts w:eastAsia="Times New Roman" w:cstheme="minorHAnsi"/>
                <w:color w:val="auto"/>
                <w:sz w:val="18"/>
                <w:szCs w:val="18"/>
              </w:rPr>
              <w:t xml:space="preserve">Traumatic </w:t>
            </w:r>
            <w:r w:rsidRPr="00234CDD">
              <w:rPr>
                <w:rFonts w:eastAsia="Times New Roman" w:cstheme="minorHAnsi"/>
                <w:color w:val="auto"/>
                <w:sz w:val="18"/>
                <w:szCs w:val="18"/>
              </w:rPr>
              <w:t xml:space="preserve">Arthritis, </w:t>
            </w:r>
            <w:r>
              <w:rPr>
                <w:rFonts w:eastAsia="Times New Roman" w:cstheme="minorHAnsi"/>
                <w:color w:val="auto"/>
                <w:sz w:val="18"/>
                <w:szCs w:val="18"/>
              </w:rPr>
              <w:t>R</w:t>
            </w:r>
            <w:r w:rsidRPr="00234CDD">
              <w:rPr>
                <w:rFonts w:eastAsia="Times New Roman" w:cstheme="minorHAnsi"/>
                <w:color w:val="auto"/>
                <w:sz w:val="18"/>
                <w:szCs w:val="18"/>
              </w:rPr>
              <w:t xml:space="preserve"> Ankle</w:t>
            </w:r>
          </w:p>
        </w:tc>
        <w:tc>
          <w:tcPr>
            <w:tcW w:w="1080" w:type="dxa"/>
            <w:shd w:val="clear" w:color="auto" w:fill="FFFFFF"/>
            <w:vAlign w:val="center"/>
          </w:tcPr>
          <w:p w:rsidR="00984ABD" w:rsidRPr="00234CDD" w:rsidRDefault="00984ABD" w:rsidP="00083134">
            <w:pPr>
              <w:spacing w:line="220" w:lineRule="exact"/>
              <w:contextualSpacing/>
              <w:rPr>
                <w:rFonts w:eastAsia="Times New Roman" w:cstheme="minorHAnsi"/>
                <w:color w:val="auto"/>
                <w:sz w:val="18"/>
                <w:szCs w:val="18"/>
              </w:rPr>
            </w:pPr>
            <w:r w:rsidRPr="00234CDD">
              <w:rPr>
                <w:rFonts w:cstheme="minorHAnsi"/>
                <w:color w:val="auto"/>
                <w:sz w:val="18"/>
                <w:szCs w:val="18"/>
              </w:rPr>
              <w:t>5010-5271</w:t>
            </w:r>
          </w:p>
        </w:tc>
        <w:tc>
          <w:tcPr>
            <w:tcW w:w="720" w:type="dxa"/>
            <w:shd w:val="clear" w:color="auto" w:fill="FFFFFF"/>
            <w:vAlign w:val="center"/>
          </w:tcPr>
          <w:p w:rsidR="00984ABD" w:rsidRPr="00234CDD" w:rsidRDefault="00984ABD" w:rsidP="00083134">
            <w:pPr>
              <w:spacing w:line="220" w:lineRule="exact"/>
              <w:contextualSpacing/>
              <w:rPr>
                <w:rFonts w:eastAsia="Times New Roman" w:cstheme="minorHAnsi"/>
                <w:color w:val="auto"/>
                <w:sz w:val="18"/>
                <w:szCs w:val="18"/>
              </w:rPr>
            </w:pPr>
            <w:r w:rsidRPr="00234CDD">
              <w:rPr>
                <w:rFonts w:cstheme="minorHAnsi"/>
                <w:color w:val="auto"/>
                <w:sz w:val="18"/>
                <w:szCs w:val="18"/>
              </w:rPr>
              <w:t>10%</w:t>
            </w:r>
          </w:p>
        </w:tc>
        <w:tc>
          <w:tcPr>
            <w:tcW w:w="990" w:type="dxa"/>
            <w:shd w:val="clear" w:color="auto" w:fill="FFFFFF"/>
            <w:vAlign w:val="center"/>
          </w:tcPr>
          <w:p w:rsidR="00984ABD" w:rsidRPr="00234CDD" w:rsidRDefault="00984ABD" w:rsidP="00083134">
            <w:pPr>
              <w:spacing w:line="220" w:lineRule="exact"/>
              <w:contextualSpacing/>
              <w:rPr>
                <w:rFonts w:eastAsia="Times New Roman" w:cstheme="minorHAnsi"/>
                <w:color w:val="auto"/>
                <w:sz w:val="18"/>
                <w:szCs w:val="18"/>
              </w:rPr>
            </w:pPr>
            <w:r w:rsidRPr="00234CDD">
              <w:rPr>
                <w:rFonts w:eastAsia="Times New Roman" w:cstheme="minorHAnsi"/>
                <w:color w:val="auto"/>
                <w:sz w:val="18"/>
                <w:szCs w:val="18"/>
              </w:rPr>
              <w:t>20041201</w:t>
            </w:r>
          </w:p>
        </w:tc>
      </w:tr>
      <w:tr w:rsidR="00083134" w:rsidRPr="00F3220E" w:rsidTr="00EB04A2">
        <w:trPr>
          <w:trHeight w:val="143"/>
        </w:trPr>
        <w:tc>
          <w:tcPr>
            <w:tcW w:w="1980" w:type="dxa"/>
            <w:tcBorders>
              <w:right w:val="single" w:sz="4" w:space="0" w:color="auto"/>
            </w:tcBorders>
            <w:shd w:val="clear" w:color="auto" w:fill="FFFFFF"/>
            <w:vAlign w:val="center"/>
          </w:tcPr>
          <w:p w:rsidR="00083134" w:rsidRPr="00F3220E" w:rsidRDefault="00083134" w:rsidP="00083134">
            <w:pPr>
              <w:spacing w:line="220" w:lineRule="exact"/>
              <w:contextualSpacing/>
              <w:jc w:val="left"/>
              <w:rPr>
                <w:color w:val="auto"/>
                <w:sz w:val="18"/>
                <w:szCs w:val="18"/>
              </w:rPr>
            </w:pPr>
            <w:r>
              <w:rPr>
                <w:color w:val="auto"/>
                <w:sz w:val="18"/>
                <w:szCs w:val="18"/>
              </w:rPr>
              <w:t>GERD</w:t>
            </w:r>
          </w:p>
        </w:tc>
        <w:tc>
          <w:tcPr>
            <w:tcW w:w="2250" w:type="dxa"/>
            <w:gridSpan w:val="3"/>
            <w:tcBorders>
              <w:left w:val="single" w:sz="4" w:space="0" w:color="auto"/>
              <w:right w:val="thinThickThinSmallGap" w:sz="24" w:space="0" w:color="auto"/>
            </w:tcBorders>
            <w:shd w:val="clear" w:color="auto" w:fill="FFFFFF"/>
            <w:vAlign w:val="center"/>
          </w:tcPr>
          <w:p w:rsidR="00083134" w:rsidRPr="00F3220E" w:rsidRDefault="00083134" w:rsidP="00083134">
            <w:pPr>
              <w:spacing w:line="220" w:lineRule="exact"/>
              <w:contextualSpacing/>
              <w:rPr>
                <w:color w:val="auto"/>
                <w:sz w:val="18"/>
                <w:szCs w:val="18"/>
              </w:rPr>
            </w:pPr>
            <w:r>
              <w:rPr>
                <w:color w:val="auto"/>
                <w:sz w:val="18"/>
                <w:szCs w:val="18"/>
              </w:rPr>
              <w:t>Forwarded “Not Ratable”</w:t>
            </w:r>
          </w:p>
        </w:tc>
        <w:tc>
          <w:tcPr>
            <w:tcW w:w="2340" w:type="dxa"/>
            <w:tcBorders>
              <w:left w:val="thinThickThinSmallGap" w:sz="24" w:space="0" w:color="auto"/>
            </w:tcBorders>
            <w:shd w:val="clear" w:color="auto" w:fill="FFFFFF"/>
            <w:vAlign w:val="center"/>
          </w:tcPr>
          <w:p w:rsidR="00083134" w:rsidRPr="00234CDD" w:rsidRDefault="00083134" w:rsidP="00083134">
            <w:pPr>
              <w:spacing w:line="220" w:lineRule="exact"/>
              <w:contextualSpacing/>
              <w:jc w:val="left"/>
              <w:rPr>
                <w:rFonts w:eastAsia="Times New Roman" w:cstheme="minorHAnsi"/>
                <w:color w:val="auto"/>
                <w:sz w:val="18"/>
                <w:szCs w:val="18"/>
              </w:rPr>
            </w:pPr>
            <w:r w:rsidRPr="00234CDD">
              <w:rPr>
                <w:rFonts w:cstheme="minorHAnsi"/>
                <w:color w:val="auto"/>
                <w:sz w:val="18"/>
                <w:szCs w:val="18"/>
              </w:rPr>
              <w:t>Duodenitis</w:t>
            </w:r>
          </w:p>
        </w:tc>
        <w:tc>
          <w:tcPr>
            <w:tcW w:w="1080" w:type="dxa"/>
            <w:shd w:val="clear" w:color="auto" w:fill="FFFFFF"/>
            <w:vAlign w:val="center"/>
          </w:tcPr>
          <w:p w:rsidR="00083134" w:rsidRPr="00234CDD" w:rsidRDefault="00083134" w:rsidP="00083134">
            <w:pPr>
              <w:spacing w:line="220" w:lineRule="exact"/>
              <w:contextualSpacing/>
              <w:rPr>
                <w:rFonts w:eastAsia="Times New Roman" w:cstheme="minorHAnsi"/>
                <w:color w:val="auto"/>
                <w:sz w:val="18"/>
                <w:szCs w:val="18"/>
              </w:rPr>
            </w:pPr>
            <w:r w:rsidRPr="00234CDD">
              <w:rPr>
                <w:rFonts w:cstheme="minorHAnsi"/>
                <w:color w:val="auto"/>
                <w:sz w:val="18"/>
                <w:szCs w:val="18"/>
              </w:rPr>
              <w:t>7399-7307</w:t>
            </w:r>
          </w:p>
        </w:tc>
        <w:tc>
          <w:tcPr>
            <w:tcW w:w="720" w:type="dxa"/>
            <w:shd w:val="clear" w:color="auto" w:fill="FFFFFF"/>
            <w:vAlign w:val="center"/>
          </w:tcPr>
          <w:p w:rsidR="00083134" w:rsidRPr="00234CDD" w:rsidRDefault="00083134" w:rsidP="00083134">
            <w:pPr>
              <w:spacing w:line="220" w:lineRule="exact"/>
              <w:contextualSpacing/>
              <w:rPr>
                <w:rFonts w:eastAsia="Times New Roman" w:cstheme="minorHAnsi"/>
                <w:color w:val="auto"/>
                <w:sz w:val="18"/>
                <w:szCs w:val="18"/>
              </w:rPr>
            </w:pPr>
            <w:r w:rsidRPr="00234CDD">
              <w:rPr>
                <w:rFonts w:cstheme="minorHAnsi"/>
                <w:color w:val="auto"/>
                <w:sz w:val="18"/>
                <w:szCs w:val="18"/>
              </w:rPr>
              <w:t>10%</w:t>
            </w:r>
          </w:p>
        </w:tc>
        <w:tc>
          <w:tcPr>
            <w:tcW w:w="990" w:type="dxa"/>
            <w:shd w:val="clear" w:color="auto" w:fill="FFFFFF"/>
            <w:vAlign w:val="center"/>
          </w:tcPr>
          <w:p w:rsidR="00083134" w:rsidRPr="00234CDD" w:rsidRDefault="00083134" w:rsidP="00083134">
            <w:pPr>
              <w:spacing w:line="220" w:lineRule="exact"/>
              <w:contextualSpacing/>
              <w:rPr>
                <w:rFonts w:eastAsia="Times New Roman" w:cstheme="minorHAnsi"/>
                <w:color w:val="auto"/>
                <w:sz w:val="18"/>
                <w:szCs w:val="18"/>
              </w:rPr>
            </w:pPr>
            <w:r w:rsidRPr="00234CDD">
              <w:rPr>
                <w:rFonts w:eastAsia="Times New Roman" w:cstheme="minorHAnsi"/>
                <w:color w:val="auto"/>
                <w:sz w:val="18"/>
                <w:szCs w:val="18"/>
              </w:rPr>
              <w:t>20041201</w:t>
            </w:r>
          </w:p>
        </w:tc>
      </w:tr>
      <w:tr w:rsidR="00F3220E" w:rsidRPr="00F3220E" w:rsidTr="00083134">
        <w:trPr>
          <w:trHeight w:val="242"/>
        </w:trPr>
        <w:tc>
          <w:tcPr>
            <w:tcW w:w="4230" w:type="dxa"/>
            <w:gridSpan w:val="4"/>
            <w:tcBorders>
              <w:right w:val="thinThickThinSmallGap" w:sz="24" w:space="0" w:color="auto"/>
            </w:tcBorders>
            <w:shd w:val="clear" w:color="auto" w:fill="D9D9D9"/>
          </w:tcPr>
          <w:p w:rsidR="00F3220E" w:rsidRPr="00F3220E" w:rsidRDefault="00F3220E" w:rsidP="00F3220E">
            <w:pPr>
              <w:contextualSpacing/>
              <w:rPr>
                <w:b/>
                <w:color w:val="auto"/>
                <w:sz w:val="20"/>
                <w:szCs w:val="20"/>
              </w:rPr>
            </w:pPr>
            <w:r w:rsidRPr="00F3220E">
              <w:rPr>
                <w:b/>
                <w:color w:val="auto"/>
                <w:sz w:val="20"/>
                <w:szCs w:val="20"/>
              </w:rPr>
              <w:t xml:space="preserve">Combined:  </w:t>
            </w:r>
            <w:r w:rsidR="00B222D2">
              <w:rPr>
                <w:b/>
                <w:color w:val="auto"/>
                <w:sz w:val="20"/>
                <w:szCs w:val="20"/>
              </w:rPr>
              <w:t>2</w:t>
            </w:r>
            <w:r w:rsidRPr="00F3220E">
              <w:rPr>
                <w:b/>
                <w:color w:val="auto"/>
                <w:sz w:val="20"/>
                <w:szCs w:val="20"/>
              </w:rPr>
              <w:t>0%</w:t>
            </w:r>
          </w:p>
        </w:tc>
        <w:tc>
          <w:tcPr>
            <w:tcW w:w="5130" w:type="dxa"/>
            <w:gridSpan w:val="4"/>
            <w:tcBorders>
              <w:left w:val="thinThickThinSmallGap" w:sz="24" w:space="0" w:color="auto"/>
            </w:tcBorders>
            <w:shd w:val="clear" w:color="auto" w:fill="D9D9D9"/>
          </w:tcPr>
          <w:p w:rsidR="00F3220E" w:rsidRPr="00F3220E" w:rsidRDefault="00F3220E" w:rsidP="00F3220E">
            <w:pPr>
              <w:contextualSpacing/>
              <w:rPr>
                <w:b/>
                <w:color w:val="auto"/>
                <w:sz w:val="20"/>
                <w:szCs w:val="20"/>
              </w:rPr>
            </w:pPr>
            <w:r w:rsidRPr="00F3220E">
              <w:rPr>
                <w:b/>
                <w:color w:val="auto"/>
                <w:sz w:val="20"/>
                <w:szCs w:val="20"/>
              </w:rPr>
              <w:t>Combined: 20%</w:t>
            </w:r>
          </w:p>
        </w:tc>
      </w:tr>
    </w:tbl>
    <w:p w:rsidR="00984ABD" w:rsidRPr="00D670FA" w:rsidRDefault="00984ABD" w:rsidP="00D670FA">
      <w:pPr>
        <w:pBdr>
          <w:bottom w:val="single" w:sz="12" w:space="1" w:color="auto"/>
        </w:pBdr>
        <w:tabs>
          <w:tab w:val="left" w:pos="288"/>
          <w:tab w:val="left" w:pos="4752"/>
        </w:tabs>
        <w:jc w:val="right"/>
        <w:rPr>
          <w:color w:val="auto"/>
          <w:sz w:val="18"/>
          <w:szCs w:val="18"/>
        </w:rPr>
      </w:pPr>
      <w:r w:rsidRPr="00234CDD">
        <w:rPr>
          <w:color w:val="auto"/>
          <w:sz w:val="18"/>
          <w:szCs w:val="18"/>
        </w:rPr>
        <w:t>* VA rating based on exam most proximate to date of permanent separation.</w:t>
      </w:r>
    </w:p>
    <w:p w:rsidR="00AD2379" w:rsidRPr="001F29F9" w:rsidRDefault="00AD2379">
      <w:pPr>
        <w:rPr>
          <w:color w:val="000000"/>
        </w:rPr>
      </w:pPr>
    </w:p>
    <w:p w:rsidR="00AD2379" w:rsidRPr="00726F84" w:rsidRDefault="00AD2379" w:rsidP="00726F84">
      <w:pPr>
        <w:jc w:val="both"/>
        <w:rPr>
          <w:color w:val="000000"/>
        </w:rPr>
      </w:pPr>
      <w:r w:rsidRPr="001F29F9">
        <w:rPr>
          <w:color w:val="000000"/>
          <w:u w:val="single"/>
        </w:rPr>
        <w:t>ANALYSIS SUMMARY</w:t>
      </w:r>
      <w:r w:rsidRPr="001F29F9">
        <w:rPr>
          <w:color w:val="000000"/>
        </w:rPr>
        <w:t>:</w:t>
      </w:r>
      <w:r>
        <w:rPr>
          <w:color w:val="000000"/>
        </w:rPr>
        <w:t xml:space="preserve"> </w:t>
      </w:r>
      <w:r w:rsidR="001E20F4">
        <w:rPr>
          <w:color w:val="000000"/>
        </w:rPr>
        <w:t xml:space="preserve"> </w:t>
      </w:r>
      <w:r w:rsidR="001E20F4" w:rsidRPr="001E20F4">
        <w:rPr>
          <w:color w:val="000000"/>
        </w:rPr>
        <w:t>The Board acknowledges the sentiment expressed in the CI’s application regarding the significant impairment with which his service-connected condition</w:t>
      </w:r>
      <w:r w:rsidR="001E20F4">
        <w:rPr>
          <w:color w:val="000000"/>
        </w:rPr>
        <w:t>s continue</w:t>
      </w:r>
      <w:r w:rsidR="001E20F4" w:rsidRPr="001E20F4">
        <w:rPr>
          <w:color w:val="000000"/>
        </w:rPr>
        <w:t xml:space="preserve"> to burden him</w:t>
      </w:r>
      <w:r w:rsidR="001E20F4">
        <w:rPr>
          <w:color w:val="000000"/>
        </w:rPr>
        <w:t>, as further evidenced in the more recent VA rating evaluation which he forwarded</w:t>
      </w:r>
      <w:r w:rsidR="001E20F4" w:rsidRPr="001E20F4">
        <w:rPr>
          <w:color w:val="000000"/>
        </w:rPr>
        <w:t xml:space="preserve">.  It is a fact, however, that the </w:t>
      </w:r>
      <w:r w:rsidR="00F52165">
        <w:rPr>
          <w:color w:val="000000"/>
        </w:rPr>
        <w:t>Disability Evaluation System (</w:t>
      </w:r>
      <w:r w:rsidR="001E20F4" w:rsidRPr="001E20F4">
        <w:rPr>
          <w:color w:val="000000"/>
        </w:rPr>
        <w:t>DES) has neither the role nor the authority to compensate service members for anticipated future severity or potential complications of conditions resulting in medical separation.  This role and authority is granted by Congress to the Department of Veteran</w:t>
      </w:r>
      <w:r w:rsidR="00D670FA">
        <w:rPr>
          <w:color w:val="000000"/>
        </w:rPr>
        <w:t>s</w:t>
      </w:r>
      <w:r w:rsidR="00BB7C79">
        <w:rPr>
          <w:color w:val="000000"/>
        </w:rPr>
        <w:t>'</w:t>
      </w:r>
      <w:r w:rsidR="001E20F4" w:rsidRPr="001E20F4">
        <w:rPr>
          <w:color w:val="000000"/>
        </w:rPr>
        <w:t xml:space="preserve"> Affairs (DVA).  The DVA, operating under a different set of laws (Title 38, United States Code), is empowered to compensate service</w:t>
      </w:r>
      <w:r w:rsidR="00F52165">
        <w:rPr>
          <w:color w:val="000000"/>
        </w:rPr>
        <w:t>-</w:t>
      </w:r>
      <w:r w:rsidR="001E20F4" w:rsidRPr="001E20F4">
        <w:rPr>
          <w:color w:val="000000"/>
        </w:rPr>
        <w:t>connected conditions and to periodically re-evaluate said conditions for the purpose of adjusting the vetera</w:t>
      </w:r>
      <w:r w:rsidR="00F52165">
        <w:rPr>
          <w:color w:val="000000"/>
        </w:rPr>
        <w:t>n’s disability rating should the</w:t>
      </w:r>
      <w:r w:rsidR="001E20F4" w:rsidRPr="001E20F4">
        <w:rPr>
          <w:color w:val="000000"/>
        </w:rPr>
        <w:t xml:space="preserve"> degree of impairment vary over time.  The Board utilizes VA evidence proximal to separation in arriving at its recommendations; and, DoDI 6040.44 defines a 12-month interval for special consideration to post-separation evidence.  The Board’s authority as defined in DoDI 6044.40, however, resides</w:t>
      </w:r>
      <w:r w:rsidR="00D670FA">
        <w:rPr>
          <w:color w:val="000000"/>
        </w:rPr>
        <w:t xml:space="preserve"> in evaluating the fairness of </w:t>
      </w:r>
      <w:r w:rsidR="001E20F4" w:rsidRPr="001E20F4">
        <w:rPr>
          <w:color w:val="000000"/>
        </w:rPr>
        <w:t xml:space="preserve">DES rating decisions for disability at the time of separation.  </w:t>
      </w:r>
      <w:r w:rsidR="00D86CE1">
        <w:rPr>
          <w:color w:val="000000"/>
        </w:rPr>
        <w:t xml:space="preserve">Although the VA rating evaluations performed proximate to permanent separation (as charted above) are probative to the disability as permanently rated by the PEB, the VA evidence more distant to the date of permanent separation is significantly less probative.  </w:t>
      </w:r>
      <w:r w:rsidR="001E20F4" w:rsidRPr="001E20F4">
        <w:rPr>
          <w:color w:val="000000"/>
        </w:rPr>
        <w:t xml:space="preserve">The Board further </w:t>
      </w:r>
      <w:r w:rsidR="001E20F4">
        <w:rPr>
          <w:color w:val="000000"/>
        </w:rPr>
        <w:t>acknowledges the CI’s assertion</w:t>
      </w:r>
      <w:r w:rsidR="001E20F4" w:rsidRPr="001E20F4">
        <w:rPr>
          <w:color w:val="000000"/>
        </w:rPr>
        <w:t xml:space="preserve"> that </w:t>
      </w:r>
      <w:r w:rsidR="001E20F4">
        <w:rPr>
          <w:color w:val="000000"/>
        </w:rPr>
        <w:t>his medical evaluation was “negligent</w:t>
      </w:r>
      <w:r w:rsidR="00F52165">
        <w:rPr>
          <w:color w:val="000000"/>
        </w:rPr>
        <w:t>;</w:t>
      </w:r>
      <w:r w:rsidR="001E20F4">
        <w:rPr>
          <w:color w:val="000000"/>
        </w:rPr>
        <w:t>”</w:t>
      </w:r>
      <w:r w:rsidR="001E20F4" w:rsidRPr="001E20F4">
        <w:rPr>
          <w:color w:val="000000"/>
        </w:rPr>
        <w:t xml:space="preserve"> but, must note for the record that it has neither the jurisdiction nor authority to scrutinize or render opinions in reference to such allegations.  The Board’s role is confined to the review of medical records and all evidence at hand to assess the fairness of </w:t>
      </w:r>
      <w:r w:rsidR="00F52165">
        <w:rPr>
          <w:color w:val="000000"/>
        </w:rPr>
        <w:t>the</w:t>
      </w:r>
      <w:r w:rsidR="001E20F4" w:rsidRPr="001E20F4">
        <w:rPr>
          <w:color w:val="000000"/>
        </w:rPr>
        <w:t xml:space="preserve"> rating determinations at separation, as elaborated above.</w:t>
      </w:r>
    </w:p>
    <w:p w:rsidR="00AD2379" w:rsidRPr="001F29F9" w:rsidRDefault="00AD2379" w:rsidP="00B22D42">
      <w:pPr>
        <w:jc w:val="both"/>
        <w:rPr>
          <w:color w:val="000000"/>
          <w:highlight w:val="yellow"/>
        </w:rPr>
      </w:pPr>
    </w:p>
    <w:p w:rsidR="007D2C5F" w:rsidRDefault="00D86CE1" w:rsidP="00B22D42">
      <w:pPr>
        <w:jc w:val="both"/>
        <w:rPr>
          <w:color w:val="000000"/>
        </w:rPr>
      </w:pPr>
      <w:r>
        <w:rPr>
          <w:color w:val="000000"/>
          <w:u w:val="single"/>
        </w:rPr>
        <w:t xml:space="preserve">Left Hand/Wrist </w:t>
      </w:r>
      <w:r w:rsidR="00AD2379" w:rsidRPr="009A7578">
        <w:rPr>
          <w:color w:val="000000"/>
          <w:u w:val="single"/>
        </w:rPr>
        <w:t>Condition</w:t>
      </w:r>
      <w:r w:rsidR="00AD2379" w:rsidRPr="009A7578">
        <w:rPr>
          <w:color w:val="000000"/>
        </w:rPr>
        <w:t xml:space="preserve">. </w:t>
      </w:r>
      <w:r w:rsidR="00385708">
        <w:rPr>
          <w:color w:val="000000"/>
        </w:rPr>
        <w:t xml:space="preserve"> </w:t>
      </w:r>
      <w:r w:rsidR="007D2C5F">
        <w:rPr>
          <w:color w:val="000000"/>
        </w:rPr>
        <w:t xml:space="preserve">The CI’s </w:t>
      </w:r>
      <w:r w:rsidR="00B713E7">
        <w:rPr>
          <w:color w:val="000000"/>
        </w:rPr>
        <w:t xml:space="preserve">dog </w:t>
      </w:r>
      <w:r w:rsidR="007D2C5F">
        <w:rPr>
          <w:color w:val="000000"/>
        </w:rPr>
        <w:t xml:space="preserve">bite injury occurred in December 2001 and entailed </w:t>
      </w:r>
      <w:r w:rsidR="00FF65DA">
        <w:rPr>
          <w:color w:val="000000"/>
        </w:rPr>
        <w:t xml:space="preserve">complex lacerations, </w:t>
      </w:r>
      <w:r w:rsidR="007D2C5F">
        <w:rPr>
          <w:color w:val="000000"/>
        </w:rPr>
        <w:t xml:space="preserve">contaminated </w:t>
      </w:r>
      <w:r w:rsidR="00FF65DA">
        <w:rPr>
          <w:color w:val="000000"/>
        </w:rPr>
        <w:t xml:space="preserve">non-displaced </w:t>
      </w:r>
      <w:r w:rsidR="007D2C5F">
        <w:rPr>
          <w:color w:val="000000"/>
        </w:rPr>
        <w:t>fractures</w:t>
      </w:r>
      <w:r w:rsidR="000E2B31">
        <w:rPr>
          <w:color w:val="000000"/>
        </w:rPr>
        <w:t>,</w:t>
      </w:r>
      <w:r w:rsidR="007D2C5F">
        <w:rPr>
          <w:color w:val="000000"/>
        </w:rPr>
        <w:t xml:space="preserve"> and </w:t>
      </w:r>
      <w:r w:rsidR="00913A93">
        <w:rPr>
          <w:color w:val="000000"/>
        </w:rPr>
        <w:t xml:space="preserve">a </w:t>
      </w:r>
      <w:r w:rsidR="007D2C5F">
        <w:rPr>
          <w:color w:val="000000"/>
        </w:rPr>
        <w:t>radial nerve injury</w:t>
      </w:r>
      <w:r w:rsidR="00FF65DA">
        <w:rPr>
          <w:color w:val="000000"/>
        </w:rPr>
        <w:t xml:space="preserve">. </w:t>
      </w:r>
      <w:r w:rsidR="007D2C5F">
        <w:rPr>
          <w:color w:val="000000"/>
        </w:rPr>
        <w:t xml:space="preserve"> </w:t>
      </w:r>
      <w:r w:rsidR="00FF65DA">
        <w:rPr>
          <w:color w:val="000000"/>
        </w:rPr>
        <w:t>Prompt surgical intervention included irrigation and debridement, but no tendon repair or hardware</w:t>
      </w:r>
      <w:r w:rsidR="000E2B31">
        <w:rPr>
          <w:color w:val="000000"/>
        </w:rPr>
        <w:t xml:space="preserve"> </w:t>
      </w:r>
      <w:r w:rsidR="00913A93">
        <w:rPr>
          <w:color w:val="000000"/>
        </w:rPr>
        <w:t>placement</w:t>
      </w:r>
      <w:r w:rsidR="000E2B31">
        <w:rPr>
          <w:color w:val="000000"/>
        </w:rPr>
        <w:t>.</w:t>
      </w:r>
      <w:r w:rsidR="00F04170">
        <w:rPr>
          <w:color w:val="000000"/>
        </w:rPr>
        <w:t xml:space="preserve"> </w:t>
      </w:r>
      <w:r w:rsidR="000E2B31">
        <w:rPr>
          <w:color w:val="000000"/>
        </w:rPr>
        <w:t xml:space="preserve"> </w:t>
      </w:r>
      <w:r w:rsidR="003B25EB">
        <w:rPr>
          <w:color w:val="000000"/>
        </w:rPr>
        <w:t>Although the precise</w:t>
      </w:r>
      <w:r w:rsidR="000E2B31">
        <w:rPr>
          <w:color w:val="000000"/>
        </w:rPr>
        <w:t xml:space="preserve"> timing </w:t>
      </w:r>
      <w:r w:rsidR="003B25EB">
        <w:rPr>
          <w:color w:val="000000"/>
        </w:rPr>
        <w:t>i</w:t>
      </w:r>
      <w:r w:rsidR="000E2B31">
        <w:rPr>
          <w:color w:val="000000"/>
        </w:rPr>
        <w:t xml:space="preserve">s not clear from the record, </w:t>
      </w:r>
      <w:r w:rsidR="003B25EB">
        <w:rPr>
          <w:color w:val="000000"/>
        </w:rPr>
        <w:t>the complication of CRPS was recognized in 2002</w:t>
      </w:r>
      <w:r w:rsidR="00B713E7">
        <w:rPr>
          <w:color w:val="000000"/>
        </w:rPr>
        <w:t>;</w:t>
      </w:r>
      <w:r w:rsidR="003B25EB">
        <w:rPr>
          <w:color w:val="000000"/>
        </w:rPr>
        <w:t xml:space="preserve"> and the CI was referred to a regional pain center.  </w:t>
      </w:r>
      <w:r w:rsidR="00290B29">
        <w:rPr>
          <w:color w:val="000000"/>
        </w:rPr>
        <w:t xml:space="preserve">A nerve block procedure was discussed and deferred.  CRPS </w:t>
      </w:r>
      <w:r w:rsidR="00290B29" w:rsidRPr="00290B29">
        <w:rPr>
          <w:color w:val="000000"/>
        </w:rPr>
        <w:t>is a fairly uncommon, but well recognized, peripheral nerve dysfunction following trauma.  It is characterized by hypersensitivity of the involved nerves</w:t>
      </w:r>
      <w:r w:rsidR="00290B29">
        <w:rPr>
          <w:color w:val="000000"/>
        </w:rPr>
        <w:t>,</w:t>
      </w:r>
      <w:r w:rsidR="00290B29" w:rsidRPr="00290B29">
        <w:rPr>
          <w:color w:val="000000"/>
        </w:rPr>
        <w:t xml:space="preserve"> and results in severe persistent pain out of proportion to that expected from the injury.  There are no ancillary or exam findings which are expected to be abnormal or diagnostic.  The CI’s case is typical for the diagnosis, and his reported severity of symptoms is concordant with the condition.  </w:t>
      </w:r>
      <w:r w:rsidR="003B25EB">
        <w:rPr>
          <w:color w:val="000000"/>
        </w:rPr>
        <w:t>The 2003 MEB examination noted radial hand and wrist tenderness</w:t>
      </w:r>
      <w:r w:rsidR="00913A93">
        <w:rPr>
          <w:color w:val="000000"/>
        </w:rPr>
        <w:t>,</w:t>
      </w:r>
      <w:r w:rsidR="003B25EB">
        <w:rPr>
          <w:color w:val="000000"/>
        </w:rPr>
        <w:t xml:space="preserve"> with decreased </w:t>
      </w:r>
      <w:r w:rsidR="00001266">
        <w:rPr>
          <w:color w:val="000000"/>
        </w:rPr>
        <w:t xml:space="preserve">range of </w:t>
      </w:r>
      <w:r w:rsidR="00490CFC">
        <w:rPr>
          <w:color w:val="000000"/>
        </w:rPr>
        <w:t>motion (</w:t>
      </w:r>
      <w:r w:rsidR="003B25EB">
        <w:rPr>
          <w:color w:val="000000"/>
        </w:rPr>
        <w:t>ROM</w:t>
      </w:r>
      <w:r w:rsidR="00490CFC">
        <w:rPr>
          <w:color w:val="000000"/>
        </w:rPr>
        <w:t>)</w:t>
      </w:r>
      <w:r w:rsidR="003B25EB">
        <w:rPr>
          <w:color w:val="000000"/>
        </w:rPr>
        <w:t xml:space="preserve"> of the thumb and index fingers (non-compensable)</w:t>
      </w:r>
      <w:r w:rsidR="00913A93">
        <w:rPr>
          <w:color w:val="000000"/>
        </w:rPr>
        <w:t>,</w:t>
      </w:r>
      <w:r w:rsidR="003B25EB">
        <w:rPr>
          <w:color w:val="000000"/>
        </w:rPr>
        <w:t xml:space="preserve"> </w:t>
      </w:r>
      <w:r w:rsidR="003A3EF0">
        <w:rPr>
          <w:color w:val="000000"/>
        </w:rPr>
        <w:t xml:space="preserve">and significant ROM limitations at the wrist.  Documented limitations included </w:t>
      </w:r>
      <w:r w:rsidR="00B64261">
        <w:rPr>
          <w:color w:val="000000"/>
        </w:rPr>
        <w:t>essential</w:t>
      </w:r>
      <w:r w:rsidR="003A3EF0">
        <w:rPr>
          <w:color w:val="000000"/>
        </w:rPr>
        <w:t xml:space="preserve"> MOS impediments</w:t>
      </w:r>
      <w:r w:rsidR="00B64261">
        <w:rPr>
          <w:color w:val="000000"/>
        </w:rPr>
        <w:t>,</w:t>
      </w:r>
      <w:r w:rsidR="003A3EF0">
        <w:rPr>
          <w:color w:val="000000"/>
        </w:rPr>
        <w:t xml:space="preserve"> as well as some activities of daily living.  </w:t>
      </w:r>
      <w:proofErr w:type="gramStart"/>
      <w:r w:rsidR="003A3EF0">
        <w:rPr>
          <w:color w:val="000000"/>
        </w:rPr>
        <w:t>The TDRL reevaluation proximate to separation noted interim occupational therapy at the VA which was “coming along well</w:t>
      </w:r>
      <w:r w:rsidR="00001266">
        <w:rPr>
          <w:color w:val="000000"/>
        </w:rPr>
        <w:t>.</w:t>
      </w:r>
      <w:r w:rsidR="003A3EF0">
        <w:rPr>
          <w:color w:val="000000"/>
        </w:rPr>
        <w:t>”</w:t>
      </w:r>
      <w:proofErr w:type="gramEnd"/>
      <w:r w:rsidR="003A3EF0">
        <w:rPr>
          <w:color w:val="000000"/>
        </w:rPr>
        <w:t xml:space="preserve">  Specific residual limitations were not elaborated.  The physical examination was </w:t>
      </w:r>
      <w:r w:rsidR="003A3EF0">
        <w:rPr>
          <w:color w:val="000000"/>
        </w:rPr>
        <w:lastRenderedPageBreak/>
        <w:t xml:space="preserve">likewise not detailed.  It noted “a hypersensitive scar on the dorsum of his left wrist </w:t>
      </w:r>
      <w:r w:rsidR="00490CFC">
        <w:rPr>
          <w:color w:val="000000"/>
        </w:rPr>
        <w:t xml:space="preserve">secondary to </w:t>
      </w:r>
      <w:r w:rsidR="002A22B3">
        <w:rPr>
          <w:color w:val="000000"/>
        </w:rPr>
        <w:t>an</w:t>
      </w:r>
      <w:r w:rsidR="00490CFC">
        <w:rPr>
          <w:color w:val="000000"/>
        </w:rPr>
        <w:t xml:space="preserve"> injury to the superficial radial nerve</w:t>
      </w:r>
      <w:r w:rsidR="00001266">
        <w:rPr>
          <w:color w:val="000000"/>
        </w:rPr>
        <w:t>;</w:t>
      </w:r>
      <w:r w:rsidR="00490CFC">
        <w:rPr>
          <w:color w:val="000000"/>
        </w:rPr>
        <w:t>” and, documented the following comments on ROM.</w:t>
      </w:r>
    </w:p>
    <w:p w:rsidR="00490CFC" w:rsidRDefault="00490CFC" w:rsidP="00B22D42">
      <w:pPr>
        <w:jc w:val="both"/>
        <w:rPr>
          <w:color w:val="000000"/>
        </w:rPr>
      </w:pPr>
    </w:p>
    <w:p w:rsidR="00490CFC" w:rsidRPr="00490CFC" w:rsidRDefault="00490CFC" w:rsidP="00490CFC">
      <w:pPr>
        <w:spacing w:line="200" w:lineRule="exact"/>
        <w:ind w:left="720" w:right="720"/>
        <w:jc w:val="both"/>
        <w:rPr>
          <w:color w:val="000000"/>
          <w:sz w:val="20"/>
        </w:rPr>
      </w:pPr>
      <w:r w:rsidRPr="00490CFC">
        <w:rPr>
          <w:color w:val="000000"/>
          <w:sz w:val="20"/>
        </w:rPr>
        <w:t>Passively he has full range of motion of wrist and all of his fingers.  Actively he has virtually full range of motion of all but his index finger, which he holds in full extension.  He states that he is unable to move it except with a great deal of thought and discomfort [</w:t>
      </w:r>
      <w:r w:rsidR="00B64261">
        <w:rPr>
          <w:color w:val="000000"/>
          <w:sz w:val="20"/>
        </w:rPr>
        <w:t>followed by expressed</w:t>
      </w:r>
      <w:r w:rsidRPr="00490CFC">
        <w:rPr>
          <w:color w:val="000000"/>
          <w:sz w:val="20"/>
        </w:rPr>
        <w:t xml:space="preserve"> skepticism regarding this </w:t>
      </w:r>
      <w:r w:rsidR="00B64261">
        <w:rPr>
          <w:color w:val="000000"/>
          <w:sz w:val="20"/>
        </w:rPr>
        <w:t>limitation, based on the passive ROM</w:t>
      </w:r>
      <w:r w:rsidRPr="00490CFC">
        <w:rPr>
          <w:color w:val="000000"/>
          <w:sz w:val="20"/>
        </w:rPr>
        <w:t>].</w:t>
      </w:r>
    </w:p>
    <w:p w:rsidR="007D2C5F" w:rsidRDefault="007D2C5F" w:rsidP="00B22D42">
      <w:pPr>
        <w:jc w:val="both"/>
        <w:rPr>
          <w:color w:val="000000"/>
        </w:rPr>
      </w:pPr>
    </w:p>
    <w:p w:rsidR="00490CFC" w:rsidRDefault="00490CFC" w:rsidP="00B22D42">
      <w:pPr>
        <w:jc w:val="both"/>
        <w:rPr>
          <w:color w:val="000000"/>
        </w:rPr>
      </w:pPr>
      <w:r>
        <w:rPr>
          <w:color w:val="000000"/>
        </w:rPr>
        <w:t>The TDRL examiner’s overall impression was that the condition “has become quite stable” with “no adverse or change” and “if anything things have probably improved slightly since the last examination of July 2003</w:t>
      </w:r>
      <w:r w:rsidR="00001266">
        <w:rPr>
          <w:color w:val="000000"/>
        </w:rPr>
        <w:t>.</w:t>
      </w:r>
      <w:r>
        <w:rPr>
          <w:color w:val="000000"/>
        </w:rPr>
        <w:t xml:space="preserve">”  </w:t>
      </w:r>
      <w:r w:rsidR="00E87568">
        <w:rPr>
          <w:color w:val="000000"/>
        </w:rPr>
        <w:t xml:space="preserve">A VA </w:t>
      </w:r>
      <w:r w:rsidR="00E87568" w:rsidRPr="00CF0280">
        <w:rPr>
          <w:color w:val="000000"/>
          <w:szCs w:val="24"/>
        </w:rPr>
        <w:t>Compensation and Pension (C&amp;P)</w:t>
      </w:r>
      <w:r w:rsidR="00001266">
        <w:rPr>
          <w:color w:val="000000"/>
          <w:szCs w:val="24"/>
        </w:rPr>
        <w:t xml:space="preserve"> examination performed two</w:t>
      </w:r>
      <w:r w:rsidR="00E87568">
        <w:rPr>
          <w:color w:val="000000"/>
          <w:szCs w:val="24"/>
        </w:rPr>
        <w:t xml:space="preserve"> mon</w:t>
      </w:r>
      <w:r w:rsidR="00B64261">
        <w:rPr>
          <w:color w:val="000000"/>
          <w:szCs w:val="24"/>
        </w:rPr>
        <w:t>ths after the TDRL reevaluation</w:t>
      </w:r>
      <w:r w:rsidR="00E87568">
        <w:rPr>
          <w:color w:val="000000"/>
          <w:szCs w:val="24"/>
        </w:rPr>
        <w:t xml:space="preserve"> </w:t>
      </w:r>
      <w:r w:rsidR="00B64261">
        <w:rPr>
          <w:color w:val="000000"/>
          <w:szCs w:val="24"/>
        </w:rPr>
        <w:t>(</w:t>
      </w:r>
      <w:r w:rsidR="00E87568">
        <w:rPr>
          <w:color w:val="000000"/>
          <w:szCs w:val="24"/>
        </w:rPr>
        <w:t xml:space="preserve">and </w:t>
      </w:r>
      <w:r w:rsidR="00B64261">
        <w:rPr>
          <w:color w:val="000000"/>
          <w:szCs w:val="24"/>
        </w:rPr>
        <w:t>closer</w:t>
      </w:r>
      <w:r w:rsidR="00E87568">
        <w:rPr>
          <w:color w:val="000000"/>
          <w:szCs w:val="24"/>
        </w:rPr>
        <w:t xml:space="preserve"> to t</w:t>
      </w:r>
      <w:r w:rsidR="00B64261">
        <w:rPr>
          <w:color w:val="000000"/>
          <w:szCs w:val="24"/>
        </w:rPr>
        <w:t>he date of permanent separation)</w:t>
      </w:r>
      <w:r w:rsidR="00E87568">
        <w:rPr>
          <w:color w:val="000000"/>
          <w:szCs w:val="24"/>
        </w:rPr>
        <w:t xml:space="preserve"> was significantly more detailed</w:t>
      </w:r>
      <w:r w:rsidR="00B64261">
        <w:rPr>
          <w:color w:val="000000"/>
          <w:szCs w:val="24"/>
        </w:rPr>
        <w:t>,</w:t>
      </w:r>
      <w:r w:rsidR="00E87568">
        <w:rPr>
          <w:color w:val="000000"/>
          <w:szCs w:val="24"/>
        </w:rPr>
        <w:t xml:space="preserve"> and did not corroborate the relatively benign findings of the TDRL examiner.  </w:t>
      </w:r>
      <w:r w:rsidR="00AA3EB9">
        <w:rPr>
          <w:color w:val="000000"/>
          <w:szCs w:val="24"/>
        </w:rPr>
        <w:t>This was supplemented</w:t>
      </w:r>
      <w:r w:rsidR="00B64261">
        <w:rPr>
          <w:color w:val="000000"/>
          <w:szCs w:val="24"/>
        </w:rPr>
        <w:t xml:space="preserve"> </w:t>
      </w:r>
      <w:r w:rsidR="00C574DB">
        <w:rPr>
          <w:color w:val="000000"/>
          <w:szCs w:val="24"/>
        </w:rPr>
        <w:t xml:space="preserve">and </w:t>
      </w:r>
      <w:r w:rsidR="00B64261">
        <w:rPr>
          <w:color w:val="000000"/>
          <w:szCs w:val="24"/>
        </w:rPr>
        <w:t>corroborated</w:t>
      </w:r>
      <w:r w:rsidR="00AA3EB9">
        <w:rPr>
          <w:color w:val="000000"/>
          <w:szCs w:val="24"/>
        </w:rPr>
        <w:t xml:space="preserve"> by a joint </w:t>
      </w:r>
      <w:r w:rsidR="00C574DB">
        <w:rPr>
          <w:color w:val="000000"/>
          <w:szCs w:val="24"/>
        </w:rPr>
        <w:t xml:space="preserve">C&amp;P </w:t>
      </w:r>
      <w:r w:rsidR="00AA3EB9">
        <w:rPr>
          <w:color w:val="000000"/>
          <w:szCs w:val="24"/>
        </w:rPr>
        <w:t>exam performed the same day</w:t>
      </w:r>
      <w:r w:rsidR="00DA2B49">
        <w:rPr>
          <w:color w:val="000000"/>
          <w:szCs w:val="24"/>
        </w:rPr>
        <w:t>,</w:t>
      </w:r>
      <w:r w:rsidR="00AA3EB9">
        <w:rPr>
          <w:color w:val="000000"/>
          <w:szCs w:val="24"/>
        </w:rPr>
        <w:t xml:space="preserve"> and </w:t>
      </w:r>
      <w:r w:rsidR="00C574DB">
        <w:rPr>
          <w:color w:val="000000"/>
          <w:szCs w:val="24"/>
        </w:rPr>
        <w:t xml:space="preserve">a VA </w:t>
      </w:r>
      <w:r w:rsidR="00AA3EB9">
        <w:rPr>
          <w:color w:val="000000"/>
          <w:szCs w:val="24"/>
        </w:rPr>
        <w:t xml:space="preserve">neurological consultation </w:t>
      </w:r>
      <w:r w:rsidR="00DA2B49">
        <w:rPr>
          <w:color w:val="000000"/>
          <w:szCs w:val="24"/>
        </w:rPr>
        <w:t xml:space="preserve">performed </w:t>
      </w:r>
      <w:r w:rsidR="00001266">
        <w:rPr>
          <w:color w:val="000000"/>
          <w:szCs w:val="24"/>
        </w:rPr>
        <w:t>seven</w:t>
      </w:r>
      <w:r w:rsidR="00AA3EB9">
        <w:rPr>
          <w:color w:val="000000"/>
          <w:szCs w:val="24"/>
        </w:rPr>
        <w:t xml:space="preserve"> days later.  </w:t>
      </w:r>
      <w:r w:rsidR="00B64261">
        <w:rPr>
          <w:color w:val="000000"/>
          <w:szCs w:val="24"/>
        </w:rPr>
        <w:t xml:space="preserve">The VA evidence </w:t>
      </w:r>
      <w:r w:rsidR="00E87568">
        <w:rPr>
          <w:color w:val="000000"/>
          <w:szCs w:val="24"/>
        </w:rPr>
        <w:t>noted chronic pain associated with “weakness and stiffness</w:t>
      </w:r>
      <w:r w:rsidR="00001266">
        <w:rPr>
          <w:color w:val="000000"/>
          <w:szCs w:val="24"/>
        </w:rPr>
        <w:t>,</w:t>
      </w:r>
      <w:r w:rsidR="00E87568">
        <w:rPr>
          <w:color w:val="000000"/>
          <w:szCs w:val="24"/>
        </w:rPr>
        <w:t xml:space="preserve">” which had forced an occupational change from law enforcement to </w:t>
      </w:r>
      <w:r w:rsidR="00E10EDF">
        <w:rPr>
          <w:color w:val="000000"/>
          <w:szCs w:val="24"/>
        </w:rPr>
        <w:t>a supervisory role</w:t>
      </w:r>
      <w:r w:rsidR="00913A93">
        <w:rPr>
          <w:color w:val="000000"/>
          <w:szCs w:val="24"/>
        </w:rPr>
        <w:t xml:space="preserve"> </w:t>
      </w:r>
      <w:r w:rsidR="00F04170">
        <w:rPr>
          <w:color w:val="000000"/>
          <w:szCs w:val="24"/>
        </w:rPr>
        <w:t>with</w:t>
      </w:r>
      <w:r w:rsidR="00913A93">
        <w:rPr>
          <w:color w:val="000000"/>
          <w:szCs w:val="24"/>
        </w:rPr>
        <w:t xml:space="preserve">in </w:t>
      </w:r>
      <w:proofErr w:type="gramStart"/>
      <w:r w:rsidR="00913A93">
        <w:rPr>
          <w:color w:val="000000"/>
          <w:szCs w:val="24"/>
        </w:rPr>
        <w:t xml:space="preserve">his </w:t>
      </w:r>
      <w:r w:rsidR="00DA2B49">
        <w:rPr>
          <w:color w:val="000000"/>
          <w:szCs w:val="24"/>
        </w:rPr>
        <w:t>own</w:t>
      </w:r>
      <w:proofErr w:type="gramEnd"/>
      <w:r w:rsidR="00DA2B49">
        <w:rPr>
          <w:color w:val="000000"/>
          <w:szCs w:val="24"/>
        </w:rPr>
        <w:t xml:space="preserve"> business</w:t>
      </w:r>
      <w:r w:rsidR="00E10EDF">
        <w:rPr>
          <w:color w:val="000000"/>
          <w:szCs w:val="24"/>
        </w:rPr>
        <w:t xml:space="preserve">.  </w:t>
      </w:r>
      <w:r w:rsidR="00C574DB">
        <w:rPr>
          <w:color w:val="000000"/>
          <w:szCs w:val="24"/>
        </w:rPr>
        <w:t>Cited e</w:t>
      </w:r>
      <w:r w:rsidR="00E10EDF">
        <w:rPr>
          <w:color w:val="000000"/>
          <w:szCs w:val="24"/>
        </w:rPr>
        <w:t xml:space="preserve">xamples of impairment were use of some yard tools and difficulty with buttons.  </w:t>
      </w:r>
      <w:r w:rsidR="00C574DB">
        <w:rPr>
          <w:color w:val="000000"/>
          <w:szCs w:val="24"/>
        </w:rPr>
        <w:t xml:space="preserve">Dorsal hand/wrist tenderness and some hand/forearm atrophy were documented.  </w:t>
      </w:r>
      <w:r w:rsidR="00E10EDF">
        <w:rPr>
          <w:color w:val="000000"/>
          <w:szCs w:val="24"/>
        </w:rPr>
        <w:t xml:space="preserve">Measured grip strength on the left was reduced to 18-20 pounds </w:t>
      </w:r>
      <w:proofErr w:type="spellStart"/>
      <w:r w:rsidR="00E10EDF">
        <w:rPr>
          <w:color w:val="000000"/>
          <w:szCs w:val="24"/>
        </w:rPr>
        <w:t>vs</w:t>
      </w:r>
      <w:proofErr w:type="spellEnd"/>
      <w:r w:rsidR="00E10EDF">
        <w:rPr>
          <w:color w:val="000000"/>
          <w:szCs w:val="24"/>
        </w:rPr>
        <w:t xml:space="preserve"> 150</w:t>
      </w:r>
      <w:r w:rsidR="00C574DB">
        <w:rPr>
          <w:color w:val="000000"/>
          <w:szCs w:val="24"/>
        </w:rPr>
        <w:t xml:space="preserve"> pounds on the right (dominant); and, the neurologist documented </w:t>
      </w:r>
      <w:r w:rsidR="0094083F">
        <w:rPr>
          <w:color w:val="000000"/>
          <w:szCs w:val="24"/>
        </w:rPr>
        <w:t>motor deficits of 3/5 hand flexion and 2/5</w:t>
      </w:r>
      <w:r w:rsidR="00AA3EB9">
        <w:rPr>
          <w:color w:val="000000"/>
          <w:szCs w:val="24"/>
        </w:rPr>
        <w:t xml:space="preserve"> </w:t>
      </w:r>
      <w:r w:rsidR="0094083F">
        <w:rPr>
          <w:color w:val="000000"/>
          <w:szCs w:val="24"/>
        </w:rPr>
        <w:t>extension, with sensory deficits of the hand and first 3 digits.  Finger ROM limitations of flexion “only halfway to the palmar crease” were documented</w:t>
      </w:r>
      <w:r w:rsidR="00DA2B49">
        <w:rPr>
          <w:color w:val="000000"/>
          <w:szCs w:val="24"/>
        </w:rPr>
        <w:t>;</w:t>
      </w:r>
      <w:r w:rsidR="0094083F">
        <w:rPr>
          <w:color w:val="000000"/>
          <w:szCs w:val="24"/>
        </w:rPr>
        <w:t xml:space="preserve"> as were modest reductions in goniometric measurements of all 4 planes of wrist motion.  </w:t>
      </w:r>
    </w:p>
    <w:p w:rsidR="0094083F" w:rsidRDefault="0094083F" w:rsidP="00B22D42">
      <w:pPr>
        <w:jc w:val="both"/>
        <w:rPr>
          <w:color w:val="000000"/>
        </w:rPr>
      </w:pPr>
    </w:p>
    <w:p w:rsidR="00076498" w:rsidRDefault="00ED0615" w:rsidP="00076498">
      <w:pPr>
        <w:jc w:val="both"/>
        <w:rPr>
          <w:rFonts w:eastAsia="Calibri" w:cs="Times New Roman"/>
          <w:color w:val="auto"/>
          <w:szCs w:val="24"/>
        </w:rPr>
      </w:pPr>
      <w:r w:rsidRPr="009A7578">
        <w:rPr>
          <w:rFonts w:cs="Times New Roman"/>
          <w:color w:val="auto"/>
        </w:rPr>
        <w:t>The Board directs attenti</w:t>
      </w:r>
      <w:r>
        <w:rPr>
          <w:rFonts w:cs="Times New Roman"/>
          <w:color w:val="auto"/>
        </w:rPr>
        <w:t>on to its rating recommendations</w:t>
      </w:r>
      <w:r w:rsidRPr="009A7578">
        <w:rPr>
          <w:rFonts w:cs="Times New Roman"/>
          <w:color w:val="auto"/>
        </w:rPr>
        <w:t xml:space="preserve"> </w:t>
      </w:r>
      <w:r>
        <w:rPr>
          <w:rFonts w:cs="Times New Roman"/>
          <w:color w:val="auto"/>
        </w:rPr>
        <w:t xml:space="preserve">based on the </w:t>
      </w:r>
      <w:r w:rsidRPr="001533D1">
        <w:rPr>
          <w:rFonts w:cs="Times New Roman"/>
          <w:color w:val="auto"/>
        </w:rPr>
        <w:t>above evidence.</w:t>
      </w:r>
      <w:r w:rsidRPr="009A7578">
        <w:rPr>
          <w:rFonts w:cs="Times New Roman"/>
          <w:color w:val="auto"/>
        </w:rPr>
        <w:t xml:space="preserve"> </w:t>
      </w:r>
      <w:r>
        <w:rPr>
          <w:rFonts w:cs="Times New Roman"/>
          <w:color w:val="auto"/>
        </w:rPr>
        <w:t xml:space="preserve"> </w:t>
      </w:r>
      <w:r w:rsidR="00290B29">
        <w:rPr>
          <w:rFonts w:cs="Times New Roman"/>
          <w:color w:val="auto"/>
        </w:rPr>
        <w:t>By virtue of its clinical features, CRPS should be rated as neuralgia under the applicable §4.124</w:t>
      </w:r>
      <w:r w:rsidR="00B64261">
        <w:rPr>
          <w:rFonts w:cs="Times New Roman"/>
          <w:color w:val="auto"/>
        </w:rPr>
        <w:t>a peripheral nerve code; unless</w:t>
      </w:r>
      <w:r w:rsidR="00290B29">
        <w:rPr>
          <w:rFonts w:cs="Times New Roman"/>
          <w:color w:val="auto"/>
        </w:rPr>
        <w:t xml:space="preserve"> </w:t>
      </w:r>
      <w:r w:rsidR="00DA2B49">
        <w:rPr>
          <w:rFonts w:cs="Times New Roman"/>
          <w:color w:val="auto"/>
        </w:rPr>
        <w:t xml:space="preserve">disabilities such as ROM limitation </w:t>
      </w:r>
      <w:r w:rsidR="00290B29">
        <w:rPr>
          <w:rFonts w:cs="Times New Roman"/>
          <w:color w:val="auto"/>
        </w:rPr>
        <w:t xml:space="preserve">associated </w:t>
      </w:r>
      <w:r w:rsidR="00913A93">
        <w:rPr>
          <w:rFonts w:cs="Times New Roman"/>
          <w:color w:val="auto"/>
        </w:rPr>
        <w:t xml:space="preserve">with coexistent </w:t>
      </w:r>
      <w:r w:rsidR="00290B29">
        <w:rPr>
          <w:rFonts w:cs="Times New Roman"/>
          <w:color w:val="auto"/>
        </w:rPr>
        <w:t>orthopedic structural injuries achieve a higher rating</w:t>
      </w:r>
      <w:r w:rsidR="00DA2B49">
        <w:rPr>
          <w:rFonts w:cs="Times New Roman"/>
          <w:color w:val="auto"/>
        </w:rPr>
        <w:t xml:space="preserve"> under alternate criteria</w:t>
      </w:r>
      <w:r w:rsidR="00290B29">
        <w:rPr>
          <w:rFonts w:cs="Times New Roman"/>
          <w:color w:val="auto"/>
        </w:rPr>
        <w:t xml:space="preserve">.  </w:t>
      </w:r>
      <w:r w:rsidR="00EE4FB8">
        <w:rPr>
          <w:rFonts w:cs="Times New Roman"/>
          <w:color w:val="auto"/>
        </w:rPr>
        <w:t xml:space="preserve">The associated structural injuries in this case did not </w:t>
      </w:r>
      <w:r w:rsidR="00B64261">
        <w:rPr>
          <w:rFonts w:cs="Times New Roman"/>
          <w:color w:val="auto"/>
        </w:rPr>
        <w:t>result in</w:t>
      </w:r>
      <w:r w:rsidR="00EE4FB8">
        <w:rPr>
          <w:rFonts w:cs="Times New Roman"/>
          <w:color w:val="auto"/>
        </w:rPr>
        <w:t xml:space="preserve"> ratable impairments which would achieve a rating</w:t>
      </w:r>
      <w:r w:rsidR="00B95CFF">
        <w:rPr>
          <w:rFonts w:cs="Times New Roman"/>
          <w:color w:val="auto"/>
        </w:rPr>
        <w:t xml:space="preserve"> higher than 10%</w:t>
      </w:r>
      <w:r w:rsidR="00EE4FB8">
        <w:rPr>
          <w:rFonts w:cs="Times New Roman"/>
          <w:color w:val="auto"/>
        </w:rPr>
        <w:t xml:space="preserve">; nor, were any such impairments </w:t>
      </w:r>
      <w:r w:rsidR="00B95CFF">
        <w:rPr>
          <w:rFonts w:cs="Times New Roman"/>
          <w:color w:val="auto"/>
        </w:rPr>
        <w:t xml:space="preserve">separately ratable without violation of VASRD </w:t>
      </w:r>
      <w:r w:rsidR="00E576DC" w:rsidRPr="00E576DC">
        <w:rPr>
          <w:rFonts w:eastAsia="Calibri" w:cs="Times New Roman"/>
          <w:color w:val="auto"/>
          <w:szCs w:val="24"/>
        </w:rPr>
        <w:t>§4.14 (avoidance of pyramiding)</w:t>
      </w:r>
      <w:r w:rsidR="00F04170">
        <w:rPr>
          <w:rFonts w:eastAsia="Calibri" w:cs="Times New Roman"/>
          <w:color w:val="auto"/>
          <w:szCs w:val="24"/>
        </w:rPr>
        <w:t>.</w:t>
      </w:r>
      <w:r w:rsidR="00E576DC">
        <w:rPr>
          <w:rFonts w:eastAsia="Calibri" w:cs="Times New Roman"/>
          <w:color w:val="auto"/>
          <w:szCs w:val="24"/>
        </w:rPr>
        <w:t xml:space="preserve">  </w:t>
      </w:r>
      <w:r w:rsidR="00C475A8">
        <w:rPr>
          <w:rFonts w:eastAsia="Calibri" w:cs="Times New Roman"/>
          <w:color w:val="auto"/>
          <w:szCs w:val="24"/>
        </w:rPr>
        <w:t>The Board is thus in agreement with rating the CRPS condition a</w:t>
      </w:r>
      <w:r w:rsidR="00EB04A2">
        <w:rPr>
          <w:rFonts w:eastAsia="Calibri" w:cs="Times New Roman"/>
          <w:color w:val="auto"/>
          <w:szCs w:val="24"/>
        </w:rPr>
        <w:t>nalogously for</w:t>
      </w:r>
      <w:r w:rsidR="00C475A8">
        <w:rPr>
          <w:rFonts w:eastAsia="Calibri" w:cs="Times New Roman"/>
          <w:color w:val="auto"/>
          <w:szCs w:val="24"/>
        </w:rPr>
        <w:t xml:space="preserve"> radial nerve </w:t>
      </w:r>
      <w:r w:rsidR="00EB04A2">
        <w:rPr>
          <w:rFonts w:eastAsia="Calibri" w:cs="Times New Roman"/>
          <w:color w:val="auto"/>
          <w:szCs w:val="24"/>
        </w:rPr>
        <w:t>impairment</w:t>
      </w:r>
      <w:r w:rsidR="00EA3B53">
        <w:rPr>
          <w:rFonts w:eastAsia="Calibri" w:cs="Times New Roman"/>
          <w:color w:val="auto"/>
          <w:szCs w:val="24"/>
        </w:rPr>
        <w:t xml:space="preserve"> (8515</w:t>
      </w:r>
      <w:r w:rsidR="00EB04A2">
        <w:rPr>
          <w:rFonts w:eastAsia="Calibri" w:cs="Times New Roman"/>
          <w:color w:val="auto"/>
          <w:szCs w:val="24"/>
        </w:rPr>
        <w:t>, incomplete paralysis;</w:t>
      </w:r>
      <w:r w:rsidR="00EA3B53">
        <w:rPr>
          <w:rFonts w:eastAsia="Calibri" w:cs="Times New Roman"/>
          <w:color w:val="auto"/>
          <w:szCs w:val="24"/>
        </w:rPr>
        <w:t xml:space="preserve"> or</w:t>
      </w:r>
      <w:r w:rsidR="00EB04A2">
        <w:rPr>
          <w:rFonts w:eastAsia="Calibri" w:cs="Times New Roman"/>
          <w:color w:val="auto"/>
          <w:szCs w:val="24"/>
        </w:rPr>
        <w:t xml:space="preserve"> 8715</w:t>
      </w:r>
      <w:r w:rsidR="00C475A8">
        <w:rPr>
          <w:rFonts w:eastAsia="Calibri" w:cs="Times New Roman"/>
          <w:color w:val="auto"/>
          <w:szCs w:val="24"/>
        </w:rPr>
        <w:t xml:space="preserve">, </w:t>
      </w:r>
      <w:r w:rsidR="00EB04A2">
        <w:rPr>
          <w:rFonts w:eastAsia="Calibri" w:cs="Times New Roman"/>
          <w:color w:val="auto"/>
          <w:szCs w:val="24"/>
        </w:rPr>
        <w:t xml:space="preserve">neuralgia), </w:t>
      </w:r>
      <w:r w:rsidR="00C475A8">
        <w:rPr>
          <w:rFonts w:eastAsia="Calibri" w:cs="Times New Roman"/>
          <w:color w:val="auto"/>
          <w:szCs w:val="24"/>
        </w:rPr>
        <w:t xml:space="preserve">concordant with the PEB’s choice.  The VA coding was analogous </w:t>
      </w:r>
      <w:r w:rsidR="00EA3B53">
        <w:rPr>
          <w:rFonts w:eastAsia="Calibri" w:cs="Times New Roman"/>
          <w:color w:val="auto"/>
          <w:szCs w:val="24"/>
        </w:rPr>
        <w:t xml:space="preserve">to </w:t>
      </w:r>
      <w:r w:rsidR="00C475A8">
        <w:rPr>
          <w:rFonts w:eastAsia="Calibri" w:cs="Times New Roman"/>
          <w:color w:val="auto"/>
          <w:szCs w:val="24"/>
        </w:rPr>
        <w:t>median nerve</w:t>
      </w:r>
      <w:r w:rsidR="00EB04A2">
        <w:rPr>
          <w:rFonts w:eastAsia="Calibri" w:cs="Times New Roman"/>
          <w:color w:val="auto"/>
          <w:szCs w:val="24"/>
        </w:rPr>
        <w:t xml:space="preserve"> impairment</w:t>
      </w:r>
      <w:r w:rsidR="00EA3B53">
        <w:rPr>
          <w:rFonts w:eastAsia="Calibri" w:cs="Times New Roman"/>
          <w:color w:val="auto"/>
          <w:szCs w:val="24"/>
        </w:rPr>
        <w:t xml:space="preserve">, </w:t>
      </w:r>
      <w:r w:rsidR="00213B85">
        <w:rPr>
          <w:rFonts w:eastAsia="Calibri" w:cs="Times New Roman"/>
          <w:color w:val="auto"/>
          <w:szCs w:val="24"/>
        </w:rPr>
        <w:t xml:space="preserve">of no import to rating, but </w:t>
      </w:r>
      <w:r w:rsidR="00EA3B53">
        <w:rPr>
          <w:rFonts w:eastAsia="Calibri" w:cs="Times New Roman"/>
          <w:color w:val="auto"/>
          <w:szCs w:val="24"/>
        </w:rPr>
        <w:t xml:space="preserve">not </w:t>
      </w:r>
      <w:r w:rsidR="00213B85">
        <w:rPr>
          <w:rFonts w:eastAsia="Calibri" w:cs="Times New Roman"/>
          <w:color w:val="auto"/>
          <w:szCs w:val="24"/>
        </w:rPr>
        <w:t xml:space="preserve">anatomically consistent with </w:t>
      </w:r>
      <w:r w:rsidR="00EA3B53">
        <w:rPr>
          <w:rFonts w:eastAsia="Calibri" w:cs="Times New Roman"/>
          <w:color w:val="auto"/>
          <w:szCs w:val="24"/>
        </w:rPr>
        <w:t xml:space="preserve">the clinical evidence.  For the non-dominant extremity, 8515 </w:t>
      </w:r>
      <w:r w:rsidR="00EB04A2">
        <w:rPr>
          <w:rFonts w:eastAsia="Calibri" w:cs="Times New Roman"/>
          <w:color w:val="auto"/>
          <w:szCs w:val="24"/>
        </w:rPr>
        <w:t xml:space="preserve">(or 8715) </w:t>
      </w:r>
      <w:r w:rsidR="00EA3B53">
        <w:rPr>
          <w:rFonts w:cs="Times New Roman"/>
          <w:color w:val="auto"/>
        </w:rPr>
        <w:t xml:space="preserve">yields a 20% rating for ‘mild’ or ‘moderate’ </w:t>
      </w:r>
      <w:r w:rsidR="00EB04A2">
        <w:rPr>
          <w:rFonts w:cs="Times New Roman"/>
          <w:color w:val="auto"/>
        </w:rPr>
        <w:t>impairment</w:t>
      </w:r>
      <w:r w:rsidR="00EA3B53">
        <w:rPr>
          <w:rFonts w:cs="Times New Roman"/>
          <w:color w:val="auto"/>
        </w:rPr>
        <w:t xml:space="preserve">; and the </w:t>
      </w:r>
      <w:r w:rsidR="00EB04A2">
        <w:rPr>
          <w:rFonts w:cs="Times New Roman"/>
          <w:color w:val="auto"/>
        </w:rPr>
        <w:t xml:space="preserve">next higher rating is 40% </w:t>
      </w:r>
      <w:r w:rsidR="00EA3B53">
        <w:rPr>
          <w:rFonts w:cs="Times New Roman"/>
          <w:color w:val="auto"/>
        </w:rPr>
        <w:t>for ‘severe’</w:t>
      </w:r>
      <w:r w:rsidR="00EB04A2">
        <w:rPr>
          <w:rFonts w:cs="Times New Roman"/>
          <w:color w:val="auto"/>
        </w:rPr>
        <w:t xml:space="preserve"> impairment</w:t>
      </w:r>
      <w:r w:rsidR="00EA3B53" w:rsidRPr="009A7578">
        <w:rPr>
          <w:rFonts w:cs="Times New Roman"/>
          <w:color w:val="auto"/>
        </w:rPr>
        <w:t xml:space="preserve">. </w:t>
      </w:r>
      <w:r w:rsidR="00EA3B53">
        <w:rPr>
          <w:rFonts w:cs="Times New Roman"/>
          <w:color w:val="auto"/>
        </w:rPr>
        <w:t xml:space="preserve"> </w:t>
      </w:r>
      <w:r w:rsidR="007D7A0F">
        <w:rPr>
          <w:rFonts w:cs="Times New Roman"/>
          <w:color w:val="auto"/>
        </w:rPr>
        <w:t xml:space="preserve">The only higher rating (60%) would essentially represent a flaccid useless extremity.  </w:t>
      </w:r>
      <w:r w:rsidR="00EB04A2">
        <w:rPr>
          <w:rFonts w:cs="Times New Roman"/>
          <w:color w:val="auto"/>
        </w:rPr>
        <w:t>The</w:t>
      </w:r>
      <w:r w:rsidR="00001266">
        <w:rPr>
          <w:rFonts w:cs="Times New Roman"/>
          <w:color w:val="auto"/>
        </w:rPr>
        <w:t xml:space="preserve"> DA Form 199 from the pre-TDRL </w:t>
      </w:r>
      <w:r w:rsidR="00EB04A2">
        <w:rPr>
          <w:rFonts w:cs="Times New Roman"/>
          <w:color w:val="auto"/>
        </w:rPr>
        <w:t xml:space="preserve">PEB assessed ‘mild’ impairment, although paradoxically that from the FPEB noted ‘moderate’ impairment.  The evidence confined to the </w:t>
      </w:r>
      <w:r w:rsidR="007646CF">
        <w:rPr>
          <w:rFonts w:cs="Times New Roman"/>
          <w:color w:val="auto"/>
        </w:rPr>
        <w:t>TDRL examination would actually support a ‘mild’ characterization, although all members agreed that the proximate VA evidence was significantly more probative; both temporally and qualitatively.  With the VA findings in mind, deliberations settled on whether ‘moderate’ (20%) or ‘severe’ (40%) most fairly ch</w:t>
      </w:r>
      <w:r w:rsidR="00213B85">
        <w:rPr>
          <w:rFonts w:cs="Times New Roman"/>
          <w:color w:val="auto"/>
        </w:rPr>
        <w:t xml:space="preserve">aracterized the CRPS impairment (for </w:t>
      </w:r>
      <w:r w:rsidR="007646CF">
        <w:rPr>
          <w:rFonts w:cs="Times New Roman"/>
          <w:color w:val="auto"/>
        </w:rPr>
        <w:t>TDRL and at permanent separation</w:t>
      </w:r>
      <w:r w:rsidR="00213B85">
        <w:rPr>
          <w:rFonts w:cs="Times New Roman"/>
          <w:color w:val="auto"/>
        </w:rPr>
        <w:t>)</w:t>
      </w:r>
      <w:r w:rsidR="007646CF">
        <w:rPr>
          <w:rFonts w:cs="Times New Roman"/>
          <w:color w:val="auto"/>
        </w:rPr>
        <w:t xml:space="preserve">.  </w:t>
      </w:r>
      <w:r w:rsidR="001F3188" w:rsidRPr="001F3188">
        <w:rPr>
          <w:rFonts w:cs="Times New Roman"/>
          <w:color w:val="auto"/>
        </w:rPr>
        <w:t xml:space="preserve">Severe </w:t>
      </w:r>
      <w:r w:rsidR="001F3188">
        <w:rPr>
          <w:rFonts w:cs="Times New Roman"/>
          <w:color w:val="auto"/>
        </w:rPr>
        <w:t>impairment</w:t>
      </w:r>
      <w:r w:rsidR="001F3188" w:rsidRPr="001F3188">
        <w:rPr>
          <w:rFonts w:cs="Times New Roman"/>
          <w:color w:val="auto"/>
        </w:rPr>
        <w:t xml:space="preserve"> connote</w:t>
      </w:r>
      <w:r w:rsidR="001F3188">
        <w:rPr>
          <w:rFonts w:cs="Times New Roman"/>
          <w:color w:val="auto"/>
        </w:rPr>
        <w:t>s</w:t>
      </w:r>
      <w:r w:rsidR="001F3188" w:rsidRPr="001F3188">
        <w:rPr>
          <w:rFonts w:cs="Times New Roman"/>
          <w:color w:val="auto"/>
        </w:rPr>
        <w:t xml:space="preserve"> debilitating pain </w:t>
      </w:r>
      <w:r w:rsidR="001F3188">
        <w:rPr>
          <w:rFonts w:cs="Times New Roman"/>
          <w:color w:val="auto"/>
        </w:rPr>
        <w:t>with functional limitations on</w:t>
      </w:r>
      <w:r w:rsidR="001F3188" w:rsidRPr="001F3188">
        <w:rPr>
          <w:rFonts w:cs="Times New Roman"/>
          <w:color w:val="auto"/>
        </w:rPr>
        <w:t xml:space="preserve"> </w:t>
      </w:r>
      <w:r w:rsidR="007D7A0F">
        <w:rPr>
          <w:rFonts w:cs="Times New Roman"/>
          <w:color w:val="auto"/>
        </w:rPr>
        <w:t>most</w:t>
      </w:r>
      <w:r w:rsidR="001F3188">
        <w:rPr>
          <w:rFonts w:cs="Times New Roman"/>
          <w:color w:val="auto"/>
        </w:rPr>
        <w:t xml:space="preserve"> occupational tasks and domestic chores, and on </w:t>
      </w:r>
      <w:r w:rsidR="001F3188" w:rsidRPr="001F3188">
        <w:rPr>
          <w:rFonts w:cs="Times New Roman"/>
          <w:color w:val="auto"/>
        </w:rPr>
        <w:t xml:space="preserve">some essential activities </w:t>
      </w:r>
      <w:r w:rsidR="001F3188">
        <w:rPr>
          <w:rFonts w:cs="Times New Roman"/>
          <w:color w:val="auto"/>
        </w:rPr>
        <w:t xml:space="preserve">of </w:t>
      </w:r>
      <w:r w:rsidR="001F3188" w:rsidRPr="001F3188">
        <w:rPr>
          <w:rFonts w:cs="Times New Roman"/>
          <w:color w:val="auto"/>
        </w:rPr>
        <w:t>daily</w:t>
      </w:r>
      <w:r w:rsidR="001F3188">
        <w:rPr>
          <w:rFonts w:cs="Times New Roman"/>
          <w:color w:val="auto"/>
        </w:rPr>
        <w:t xml:space="preserve"> living</w:t>
      </w:r>
      <w:r w:rsidR="001F3188" w:rsidRPr="001F3188">
        <w:rPr>
          <w:rFonts w:cs="Times New Roman"/>
          <w:color w:val="auto"/>
        </w:rPr>
        <w:t>.  M</w:t>
      </w:r>
      <w:r w:rsidR="001F3188">
        <w:rPr>
          <w:rFonts w:cs="Times New Roman"/>
          <w:color w:val="auto"/>
        </w:rPr>
        <w:t>oderate</w:t>
      </w:r>
      <w:r w:rsidR="001F3188" w:rsidRPr="001F3188">
        <w:rPr>
          <w:rFonts w:cs="Times New Roman"/>
          <w:color w:val="auto"/>
        </w:rPr>
        <w:t xml:space="preserve"> </w:t>
      </w:r>
      <w:r w:rsidR="001F3188">
        <w:rPr>
          <w:rFonts w:cs="Times New Roman"/>
          <w:color w:val="auto"/>
        </w:rPr>
        <w:t>impairment</w:t>
      </w:r>
      <w:r w:rsidR="001F3188" w:rsidRPr="001F3188">
        <w:rPr>
          <w:rFonts w:cs="Times New Roman"/>
          <w:color w:val="auto"/>
        </w:rPr>
        <w:t xml:space="preserve"> connotes significant </w:t>
      </w:r>
      <w:r w:rsidR="001F3188">
        <w:rPr>
          <w:rFonts w:cs="Times New Roman"/>
          <w:color w:val="auto"/>
        </w:rPr>
        <w:t>and constant pain with functional limitations on</w:t>
      </w:r>
      <w:r w:rsidR="001F3188" w:rsidRPr="001F3188">
        <w:rPr>
          <w:rFonts w:cs="Times New Roman"/>
          <w:color w:val="auto"/>
        </w:rPr>
        <w:t xml:space="preserve"> </w:t>
      </w:r>
      <w:r w:rsidR="007D7A0F">
        <w:rPr>
          <w:rFonts w:cs="Times New Roman"/>
          <w:color w:val="auto"/>
        </w:rPr>
        <w:t>some</w:t>
      </w:r>
      <w:r w:rsidR="001F3188">
        <w:rPr>
          <w:rFonts w:cs="Times New Roman"/>
          <w:color w:val="auto"/>
        </w:rPr>
        <w:t xml:space="preserve"> occupational tasks and domestic chores, </w:t>
      </w:r>
      <w:r w:rsidR="007D7A0F">
        <w:rPr>
          <w:rFonts w:cs="Times New Roman"/>
          <w:color w:val="auto"/>
        </w:rPr>
        <w:t xml:space="preserve">but little interference with </w:t>
      </w:r>
      <w:r w:rsidR="001F3188" w:rsidRPr="001F3188">
        <w:rPr>
          <w:rFonts w:cs="Times New Roman"/>
          <w:color w:val="auto"/>
        </w:rPr>
        <w:t xml:space="preserve">essential activities </w:t>
      </w:r>
      <w:r w:rsidR="001F3188">
        <w:rPr>
          <w:rFonts w:cs="Times New Roman"/>
          <w:color w:val="auto"/>
        </w:rPr>
        <w:t xml:space="preserve">of </w:t>
      </w:r>
      <w:r w:rsidR="001F3188" w:rsidRPr="001F3188">
        <w:rPr>
          <w:rFonts w:cs="Times New Roman"/>
          <w:color w:val="auto"/>
        </w:rPr>
        <w:t>daily</w:t>
      </w:r>
      <w:r w:rsidR="001F3188">
        <w:rPr>
          <w:rFonts w:cs="Times New Roman"/>
          <w:color w:val="auto"/>
        </w:rPr>
        <w:t xml:space="preserve"> living</w:t>
      </w:r>
      <w:r w:rsidR="001F3188" w:rsidRPr="001F3188">
        <w:rPr>
          <w:rFonts w:cs="Times New Roman"/>
          <w:color w:val="auto"/>
        </w:rPr>
        <w:t>.</w:t>
      </w:r>
      <w:r w:rsidR="007D7A0F">
        <w:rPr>
          <w:rFonts w:cs="Times New Roman"/>
          <w:color w:val="auto"/>
        </w:rPr>
        <w:t xml:space="preserve">  Members concluded that the </w:t>
      </w:r>
      <w:r w:rsidR="00076498">
        <w:rPr>
          <w:rFonts w:cs="Times New Roman"/>
          <w:color w:val="auto"/>
        </w:rPr>
        <w:t xml:space="preserve">‘moderate’ characterization was the closest representation of the impairment in evidence.  </w:t>
      </w:r>
      <w:r w:rsidR="00076498" w:rsidRPr="00626902">
        <w:rPr>
          <w:rFonts w:eastAsia="Calibri" w:cs="Times New Roman"/>
          <w:color w:val="auto"/>
          <w:szCs w:val="24"/>
        </w:rPr>
        <w:t xml:space="preserve">After due deliberation, considering all of the evidence and mindful of VASRD §4.3 (reasonable doubt), the Board concluded that there was insufficient cause </w:t>
      </w:r>
      <w:r w:rsidR="00076498">
        <w:rPr>
          <w:rFonts w:eastAsia="Calibri" w:cs="Times New Roman"/>
          <w:color w:val="auto"/>
          <w:szCs w:val="24"/>
        </w:rPr>
        <w:t>to recommend a change in the TDRL or permanent rating determinations</w:t>
      </w:r>
      <w:r w:rsidR="00076498" w:rsidRPr="00626902">
        <w:rPr>
          <w:rFonts w:eastAsia="Calibri" w:cs="Times New Roman"/>
          <w:color w:val="auto"/>
          <w:szCs w:val="24"/>
        </w:rPr>
        <w:t xml:space="preserve"> for the </w:t>
      </w:r>
      <w:r w:rsidR="00076498">
        <w:rPr>
          <w:rFonts w:eastAsia="Calibri" w:cs="Times New Roman"/>
          <w:color w:val="auto"/>
          <w:szCs w:val="24"/>
        </w:rPr>
        <w:t>left hand/wrist CRPS</w:t>
      </w:r>
      <w:r w:rsidR="00076498" w:rsidRPr="00626902">
        <w:rPr>
          <w:rFonts w:eastAsia="Calibri" w:cs="Times New Roman"/>
          <w:color w:val="auto"/>
          <w:szCs w:val="24"/>
        </w:rPr>
        <w:t xml:space="preserve"> condition.</w:t>
      </w:r>
      <w:r w:rsidR="00076498" w:rsidRPr="00076498">
        <w:rPr>
          <w:rFonts w:eastAsia="Calibri" w:cs="Times New Roman"/>
          <w:color w:val="auto"/>
          <w:szCs w:val="24"/>
        </w:rPr>
        <w:t xml:space="preserve"> </w:t>
      </w:r>
      <w:r w:rsidR="00076498">
        <w:rPr>
          <w:rFonts w:eastAsia="Calibri" w:cs="Times New Roman"/>
          <w:color w:val="auto"/>
          <w:szCs w:val="24"/>
        </w:rPr>
        <w:t xml:space="preserve"> </w:t>
      </w:r>
      <w:r w:rsidR="00107043">
        <w:rPr>
          <w:rFonts w:eastAsia="Calibri" w:cs="Times New Roman"/>
          <w:color w:val="auto"/>
          <w:szCs w:val="24"/>
        </w:rPr>
        <w:t xml:space="preserve">The </w:t>
      </w:r>
      <w:r w:rsidR="00BB7C79">
        <w:rPr>
          <w:rFonts w:eastAsia="Calibri" w:cs="Times New Roman"/>
          <w:color w:val="auto"/>
          <w:szCs w:val="24"/>
        </w:rPr>
        <w:t>a</w:t>
      </w:r>
      <w:r w:rsidR="00107043">
        <w:rPr>
          <w:rFonts w:eastAsia="Calibri" w:cs="Times New Roman"/>
          <w:color w:val="auto"/>
          <w:szCs w:val="24"/>
        </w:rPr>
        <w:t xml:space="preserve">ction </w:t>
      </w:r>
      <w:r w:rsidR="00BB7C79">
        <w:rPr>
          <w:rFonts w:eastAsia="Calibri" w:cs="Times New Roman"/>
          <w:color w:val="auto"/>
          <w:szCs w:val="24"/>
        </w:rPr>
        <w:t>o</w:t>
      </w:r>
      <w:r w:rsidR="00107043">
        <w:rPr>
          <w:rFonts w:eastAsia="Calibri" w:cs="Times New Roman"/>
          <w:color w:val="auto"/>
          <w:szCs w:val="24"/>
        </w:rPr>
        <w:t xml:space="preserve">fficer recommended, and the Board concurred with, application of the code 8799-8714 to reflect rating for neuralgia rather than partial paralysis. </w:t>
      </w:r>
    </w:p>
    <w:p w:rsidR="00792790" w:rsidRDefault="00D13F43" w:rsidP="001554E4">
      <w:pPr>
        <w:jc w:val="both"/>
        <w:rPr>
          <w:color w:val="000000"/>
        </w:rPr>
      </w:pPr>
      <w:r w:rsidRPr="00D13F43">
        <w:rPr>
          <w:color w:val="000000"/>
          <w:u w:val="single"/>
        </w:rPr>
        <w:lastRenderedPageBreak/>
        <w:t>Right Ankle Condition</w:t>
      </w:r>
      <w:r>
        <w:rPr>
          <w:color w:val="000000"/>
        </w:rPr>
        <w:t xml:space="preserve">.  </w:t>
      </w:r>
      <w:r w:rsidR="00B231F4">
        <w:rPr>
          <w:color w:val="000000"/>
        </w:rPr>
        <w:t xml:space="preserve">The right ankle suffered spiral fractures at the distal tibia and fibula in 1997 from an injury </w:t>
      </w:r>
      <w:r w:rsidR="00B1420C">
        <w:rPr>
          <w:color w:val="000000"/>
        </w:rPr>
        <w:t>during physical combat</w:t>
      </w:r>
      <w:r w:rsidR="00B231F4">
        <w:rPr>
          <w:color w:val="000000"/>
        </w:rPr>
        <w:t xml:space="preserve"> </w:t>
      </w:r>
      <w:r w:rsidR="00B1420C">
        <w:rPr>
          <w:color w:val="000000"/>
        </w:rPr>
        <w:t>drills</w:t>
      </w:r>
      <w:r w:rsidR="00B231F4">
        <w:rPr>
          <w:color w:val="000000"/>
        </w:rPr>
        <w:t xml:space="preserve">.  The CI underwent an open reduction and internal fixation at the time, </w:t>
      </w:r>
      <w:r w:rsidR="00B1420C">
        <w:rPr>
          <w:color w:val="000000"/>
        </w:rPr>
        <w:t>and</w:t>
      </w:r>
      <w:r w:rsidR="00B231F4">
        <w:rPr>
          <w:color w:val="000000"/>
        </w:rPr>
        <w:t xml:space="preserve"> </w:t>
      </w:r>
      <w:r w:rsidR="00B1420C">
        <w:rPr>
          <w:color w:val="000000"/>
        </w:rPr>
        <w:t xml:space="preserve">he </w:t>
      </w:r>
      <w:r w:rsidR="00B231F4">
        <w:rPr>
          <w:color w:val="000000"/>
        </w:rPr>
        <w:t xml:space="preserve">continued to suffer pain attributed to irritation from the hardware.  </w:t>
      </w:r>
      <w:r w:rsidR="00B1420C">
        <w:rPr>
          <w:color w:val="000000"/>
        </w:rPr>
        <w:t xml:space="preserve">An L3 profile was imposed post-operatively, and all subsequent profiles in evidence carried the same designation.  </w:t>
      </w:r>
      <w:r w:rsidR="00BB382E">
        <w:rPr>
          <w:color w:val="000000"/>
        </w:rPr>
        <w:t>Other than emergency room visits for a re-injury in 1998 and blisters from the hardware in 2001, there is no evidence in the medical record of ongoin</w:t>
      </w:r>
      <w:r w:rsidR="00213B85">
        <w:rPr>
          <w:color w:val="000000"/>
        </w:rPr>
        <w:t>g treatment or complications.  Per t</w:t>
      </w:r>
      <w:r w:rsidR="00BB382E">
        <w:rPr>
          <w:color w:val="000000"/>
        </w:rPr>
        <w:t xml:space="preserve">he </w:t>
      </w:r>
      <w:r w:rsidR="00213B85">
        <w:rPr>
          <w:color w:val="000000"/>
        </w:rPr>
        <w:t>MEB examiner,</w:t>
      </w:r>
      <w:r w:rsidR="00BB382E">
        <w:rPr>
          <w:color w:val="000000"/>
        </w:rPr>
        <w:t xml:space="preserve"> discussions regarding hardware removal </w:t>
      </w:r>
      <w:r w:rsidR="00213B85">
        <w:rPr>
          <w:color w:val="000000"/>
        </w:rPr>
        <w:t xml:space="preserve">for relief of symptoms </w:t>
      </w:r>
      <w:r w:rsidR="00BB382E">
        <w:rPr>
          <w:color w:val="000000"/>
        </w:rPr>
        <w:t xml:space="preserve">had been pre-empted by the </w:t>
      </w:r>
      <w:r w:rsidR="00213B85">
        <w:rPr>
          <w:color w:val="000000"/>
        </w:rPr>
        <w:t>hand injury;</w:t>
      </w:r>
      <w:r w:rsidR="00BB382E">
        <w:rPr>
          <w:color w:val="000000"/>
        </w:rPr>
        <w:t xml:space="preserve"> and</w:t>
      </w:r>
      <w:r w:rsidR="00213B85">
        <w:rPr>
          <w:color w:val="000000"/>
        </w:rPr>
        <w:t>,</w:t>
      </w:r>
      <w:r w:rsidR="00BB382E">
        <w:rPr>
          <w:color w:val="000000"/>
        </w:rPr>
        <w:t xml:space="preserve"> the CI </w:t>
      </w:r>
      <w:r w:rsidR="00EC48A1">
        <w:rPr>
          <w:color w:val="000000"/>
        </w:rPr>
        <w:t>elected to defer</w:t>
      </w:r>
      <w:r w:rsidR="00BB382E">
        <w:rPr>
          <w:color w:val="000000"/>
        </w:rPr>
        <w:t xml:space="preserve"> that option </w:t>
      </w:r>
      <w:r w:rsidR="00EC48A1">
        <w:rPr>
          <w:color w:val="000000"/>
        </w:rPr>
        <w:t>at the time of TDRL placement</w:t>
      </w:r>
      <w:r w:rsidR="00BB382E">
        <w:rPr>
          <w:color w:val="000000"/>
        </w:rPr>
        <w:t>.  That examination documented the same limitations that were apparent in the longstanding profile.  The physical exam noted tenderness over the hardware, with ankle plantar flexion of 55⁰ (normal 45⁰) and dorsiflexion of 15⁰ (normal 20⁰).  T</w:t>
      </w:r>
      <w:r w:rsidR="00454F91">
        <w:rPr>
          <w:color w:val="000000"/>
        </w:rPr>
        <w:t>he pre-separation TDRL examiner documented the following physical exam, “</w:t>
      </w:r>
      <w:r w:rsidR="00B222D2">
        <w:rPr>
          <w:color w:val="000000"/>
        </w:rPr>
        <w:t>h</w:t>
      </w:r>
      <w:r w:rsidR="00454F91" w:rsidRPr="00454F91">
        <w:rPr>
          <w:color w:val="000000"/>
        </w:rPr>
        <w:t>is ankle on the right</w:t>
      </w:r>
      <w:r w:rsidR="00454F91">
        <w:rPr>
          <w:color w:val="000000"/>
        </w:rPr>
        <w:t xml:space="preserve"> </w:t>
      </w:r>
      <w:r w:rsidR="00454F91" w:rsidRPr="00454F91">
        <w:rPr>
          <w:color w:val="000000"/>
        </w:rPr>
        <w:t>side has full motion, no instability, no edema, no effusion and no irritability that I can detect.</w:t>
      </w:r>
      <w:r w:rsidR="00454F91">
        <w:rPr>
          <w:color w:val="000000"/>
        </w:rPr>
        <w:t>”  The overall conclusion was identical to that quoted above for the left upper extremity condition.  The pre-separ</w:t>
      </w:r>
      <w:r w:rsidR="00EC48A1">
        <w:rPr>
          <w:color w:val="000000"/>
        </w:rPr>
        <w:t>ation VA C&amp;P joint examination, cited above for the hand condition</w:t>
      </w:r>
      <w:r w:rsidR="00454F91">
        <w:rPr>
          <w:color w:val="000000"/>
        </w:rPr>
        <w:t xml:space="preserve">, </w:t>
      </w:r>
      <w:r w:rsidR="00036629">
        <w:rPr>
          <w:color w:val="000000"/>
        </w:rPr>
        <w:t xml:space="preserve">noted that the CI had to rest his foot at work </w:t>
      </w:r>
      <w:r w:rsidR="00EC48A1">
        <w:rPr>
          <w:color w:val="000000"/>
        </w:rPr>
        <w:t>and</w:t>
      </w:r>
      <w:r w:rsidR="00036629">
        <w:rPr>
          <w:color w:val="000000"/>
        </w:rPr>
        <w:t xml:space="preserve"> was able to “do his job satisfactorily but is uncomfortable</w:t>
      </w:r>
      <w:r w:rsidR="00B222D2">
        <w:rPr>
          <w:color w:val="000000"/>
        </w:rPr>
        <w:t>.</w:t>
      </w:r>
      <w:r w:rsidR="00036629">
        <w:rPr>
          <w:color w:val="000000"/>
        </w:rPr>
        <w:t xml:space="preserve">”  </w:t>
      </w:r>
      <w:r w:rsidR="00EC48A1">
        <w:rPr>
          <w:color w:val="000000"/>
        </w:rPr>
        <w:t xml:space="preserve">The hardware remained in place.  </w:t>
      </w:r>
      <w:r w:rsidR="00036629">
        <w:rPr>
          <w:color w:val="000000"/>
        </w:rPr>
        <w:t xml:space="preserve">The physical exam noted a normal gait and no impairment of repetitive motion at the foot; tenderness and mild edema at the lateral malleolus; and, ROMs </w:t>
      </w:r>
      <w:r w:rsidR="006D0DDB">
        <w:rPr>
          <w:color w:val="000000"/>
        </w:rPr>
        <w:t xml:space="preserve">“with some discomfort” </w:t>
      </w:r>
      <w:r w:rsidR="00036629">
        <w:rPr>
          <w:color w:val="000000"/>
        </w:rPr>
        <w:t xml:space="preserve">of </w:t>
      </w:r>
      <w:r w:rsidR="006D0DDB">
        <w:rPr>
          <w:color w:val="000000"/>
        </w:rPr>
        <w:t>30-40⁰</w:t>
      </w:r>
      <w:r w:rsidR="00036629">
        <w:rPr>
          <w:color w:val="000000"/>
        </w:rPr>
        <w:t xml:space="preserve"> plantar flexion and </w:t>
      </w:r>
      <w:r w:rsidR="006D0DDB">
        <w:rPr>
          <w:color w:val="000000"/>
        </w:rPr>
        <w:t>10-20⁰</w:t>
      </w:r>
      <w:r w:rsidR="00036629">
        <w:rPr>
          <w:color w:val="000000"/>
        </w:rPr>
        <w:t xml:space="preserve"> of dorsiflexion.</w:t>
      </w:r>
    </w:p>
    <w:p w:rsidR="00036629" w:rsidRDefault="00036629" w:rsidP="001554E4">
      <w:pPr>
        <w:jc w:val="both"/>
        <w:rPr>
          <w:color w:val="000000"/>
        </w:rPr>
      </w:pPr>
    </w:p>
    <w:p w:rsidR="00036629" w:rsidRDefault="00036629" w:rsidP="001554E4">
      <w:pPr>
        <w:jc w:val="both"/>
        <w:rPr>
          <w:color w:val="000000"/>
        </w:rPr>
      </w:pPr>
      <w:r w:rsidRPr="009A7578">
        <w:rPr>
          <w:rFonts w:cs="Times New Roman"/>
          <w:color w:val="auto"/>
        </w:rPr>
        <w:t>The Board directs attenti</w:t>
      </w:r>
      <w:r>
        <w:rPr>
          <w:rFonts w:cs="Times New Roman"/>
          <w:color w:val="auto"/>
        </w:rPr>
        <w:t>on to its rating recommendations</w:t>
      </w:r>
      <w:r w:rsidRPr="009A7578">
        <w:rPr>
          <w:rFonts w:cs="Times New Roman"/>
          <w:color w:val="auto"/>
        </w:rPr>
        <w:t xml:space="preserve"> </w:t>
      </w:r>
      <w:r>
        <w:rPr>
          <w:rFonts w:cs="Times New Roman"/>
          <w:color w:val="auto"/>
        </w:rPr>
        <w:t xml:space="preserve">based on the </w:t>
      </w:r>
      <w:r w:rsidRPr="001533D1">
        <w:rPr>
          <w:rFonts w:cs="Times New Roman"/>
          <w:color w:val="auto"/>
        </w:rPr>
        <w:t>above evidence.</w:t>
      </w:r>
      <w:r w:rsidRPr="009A7578">
        <w:rPr>
          <w:rFonts w:cs="Times New Roman"/>
          <w:color w:val="auto"/>
        </w:rPr>
        <w:t xml:space="preserve"> </w:t>
      </w:r>
      <w:r>
        <w:rPr>
          <w:rFonts w:cs="Times New Roman"/>
          <w:color w:val="auto"/>
        </w:rPr>
        <w:t xml:space="preserve"> </w:t>
      </w:r>
      <w:r w:rsidR="00B222D2">
        <w:rPr>
          <w:rFonts w:cs="Times New Roman"/>
          <w:color w:val="auto"/>
        </w:rPr>
        <w:t xml:space="preserve">The pre-TDRL </w:t>
      </w:r>
      <w:r w:rsidR="004739F9">
        <w:rPr>
          <w:rFonts w:cs="Times New Roman"/>
          <w:color w:val="auto"/>
        </w:rPr>
        <w:t>PEB coded the ankle analogously to 5003 (degenerative arthritis) and rated it 10% for slight and frequent pain IAW the USAPDA pain policy.  The DA Form 199 from the FPEB was silent regarding a rationale for its 0% rating.  The VA conferred a 10% rating for ‘moderate’ limitation of motion under the single ROM based code for the ankle, 5271.  All member</w:t>
      </w:r>
      <w:r w:rsidR="00EC48A1">
        <w:rPr>
          <w:rFonts w:cs="Times New Roman"/>
          <w:color w:val="auto"/>
        </w:rPr>
        <w:t>s agreed that the initial PEB</w:t>
      </w:r>
      <w:r w:rsidR="004739F9">
        <w:rPr>
          <w:rFonts w:cs="Times New Roman"/>
          <w:color w:val="auto"/>
        </w:rPr>
        <w:t xml:space="preserve"> </w:t>
      </w:r>
      <w:r w:rsidR="00EC48A1">
        <w:rPr>
          <w:rFonts w:cs="Times New Roman"/>
          <w:color w:val="auto"/>
        </w:rPr>
        <w:t xml:space="preserve">fitness </w:t>
      </w:r>
      <w:r w:rsidR="004739F9">
        <w:rPr>
          <w:rFonts w:cs="Times New Roman"/>
          <w:color w:val="auto"/>
        </w:rPr>
        <w:t xml:space="preserve">determination was quite open to challenge, given the preceding </w:t>
      </w:r>
      <w:r w:rsidR="00B222D2">
        <w:rPr>
          <w:rFonts w:cs="Times New Roman"/>
          <w:color w:val="auto"/>
        </w:rPr>
        <w:t>five</w:t>
      </w:r>
      <w:r w:rsidR="004739F9">
        <w:rPr>
          <w:rFonts w:cs="Times New Roman"/>
          <w:color w:val="auto"/>
        </w:rPr>
        <w:t xml:space="preserve"> years of success in the MOS under the same profile </w:t>
      </w:r>
      <w:r w:rsidR="006C241F">
        <w:rPr>
          <w:rFonts w:cs="Times New Roman"/>
          <w:color w:val="auto"/>
        </w:rPr>
        <w:t xml:space="preserve">and stable clinical features.  By firm precedent and legal opinion, however, the Board does not make an unfavorable recommendation with regard to a fitness determination.  The permanent rating of 0% was presumably supported by the USAPDA pain policy, although the evidence from the TDRL reevaluation would not in itself support a compensable rating IAW VASRD §4.71a.  The </w:t>
      </w:r>
      <w:r w:rsidR="006D0DDB">
        <w:rPr>
          <w:rFonts w:cs="Times New Roman"/>
          <w:color w:val="auto"/>
        </w:rPr>
        <w:t xml:space="preserve">contemporary </w:t>
      </w:r>
      <w:r w:rsidR="006C241F">
        <w:rPr>
          <w:rFonts w:cs="Times New Roman"/>
          <w:color w:val="auto"/>
        </w:rPr>
        <w:t>VA examination</w:t>
      </w:r>
      <w:r w:rsidR="006D0DDB">
        <w:rPr>
          <w:rFonts w:cs="Times New Roman"/>
          <w:color w:val="auto"/>
        </w:rPr>
        <w:t xml:space="preserve">, however, was more complete and more proximate to date of final separation; and, reflected a clinical severity and ratable findings fairly equivalent to those documented in the original MEB examination.  As per the discussion in the preceding section, members agreed that more probative value weight should go to the VA evidence proximate to permanent separation.  </w:t>
      </w:r>
      <w:r w:rsidR="00C7441E">
        <w:rPr>
          <w:rFonts w:cs="Times New Roman"/>
          <w:color w:val="auto"/>
        </w:rPr>
        <w:t>Board consensus was that the</w:t>
      </w:r>
      <w:r w:rsidR="00FC02E1">
        <w:rPr>
          <w:rFonts w:cs="Times New Roman"/>
          <w:color w:val="auto"/>
        </w:rPr>
        <w:t xml:space="preserve"> ROM evidence from that exam could be fairly rated as ‘moderate’ </w:t>
      </w:r>
      <w:r w:rsidR="00EC48A1">
        <w:rPr>
          <w:rFonts w:cs="Times New Roman"/>
          <w:color w:val="auto"/>
        </w:rPr>
        <w:t xml:space="preserve">limitation </w:t>
      </w:r>
      <w:r w:rsidR="00FC02E1">
        <w:rPr>
          <w:rFonts w:cs="Times New Roman"/>
          <w:color w:val="auto"/>
        </w:rPr>
        <w:t xml:space="preserve">under 5271; and, regardless, either §4.59 (painful </w:t>
      </w:r>
      <w:r w:rsidR="00FC02E1" w:rsidRPr="00FC02E1">
        <w:rPr>
          <w:rFonts w:cs="Times New Roman"/>
          <w:color w:val="auto"/>
        </w:rPr>
        <w:t xml:space="preserve">motion) or §4.40 (functional loss) were supported to achieve a minimal compensable rating of 10%.  </w:t>
      </w:r>
      <w:r w:rsidR="00FC02E1" w:rsidRPr="00FC02E1">
        <w:rPr>
          <w:rFonts w:eastAsia="Calibri" w:cs="Times New Roman"/>
          <w:color w:val="auto"/>
          <w:szCs w:val="24"/>
        </w:rPr>
        <w:t xml:space="preserve">After due deliberation, considering all of the evidence and mindful of VASRD §4.3 (reasonable doubt), the Board recommends a disability rating of </w:t>
      </w:r>
      <w:r w:rsidR="00FC02E1">
        <w:rPr>
          <w:rFonts w:eastAsia="Calibri" w:cs="Times New Roman"/>
          <w:color w:val="auto"/>
          <w:szCs w:val="24"/>
        </w:rPr>
        <w:t>1</w:t>
      </w:r>
      <w:r w:rsidR="00FC02E1" w:rsidRPr="00FC02E1">
        <w:rPr>
          <w:rFonts w:eastAsia="Calibri" w:cs="Times New Roman"/>
          <w:color w:val="auto"/>
          <w:szCs w:val="24"/>
        </w:rPr>
        <w:t xml:space="preserve">0% for the </w:t>
      </w:r>
      <w:r w:rsidR="00FC02E1">
        <w:rPr>
          <w:rFonts w:eastAsia="Calibri" w:cs="Times New Roman"/>
          <w:color w:val="auto"/>
          <w:szCs w:val="24"/>
        </w:rPr>
        <w:t>right ankle</w:t>
      </w:r>
      <w:r w:rsidR="00FC02E1" w:rsidRPr="00FC02E1">
        <w:rPr>
          <w:rFonts w:eastAsia="Calibri" w:cs="Times New Roman"/>
          <w:color w:val="auto"/>
          <w:szCs w:val="24"/>
        </w:rPr>
        <w:t xml:space="preserve"> condition during the period of TDRL and at final separation.</w:t>
      </w:r>
      <w:r w:rsidR="00FC02E1">
        <w:rPr>
          <w:rFonts w:eastAsia="Calibri" w:cs="Times New Roman"/>
          <w:color w:val="auto"/>
          <w:szCs w:val="24"/>
        </w:rPr>
        <w:t xml:space="preserve">  </w:t>
      </w:r>
      <w:r w:rsidR="00107043">
        <w:rPr>
          <w:rFonts w:eastAsia="Calibri" w:cs="Times New Roman"/>
          <w:color w:val="auto"/>
          <w:szCs w:val="24"/>
        </w:rPr>
        <w:t>The Board agreed on application of the code 5299-5271.</w:t>
      </w:r>
      <w:r w:rsidR="00BB20C1">
        <w:rPr>
          <w:rFonts w:eastAsia="Calibri" w:cs="Times New Roman"/>
          <w:color w:val="auto"/>
          <w:szCs w:val="24"/>
        </w:rPr>
        <w:t xml:space="preserve">  </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107043" w:rsidRPr="00F04170" w:rsidRDefault="00AD2379" w:rsidP="00107043">
      <w:pPr>
        <w:jc w:val="both"/>
        <w:rPr>
          <w:rFonts w:eastAsia="Calibri" w:cs="Times New Roman"/>
          <w:color w:val="auto"/>
          <w:szCs w:val="24"/>
        </w:rPr>
      </w:pPr>
      <w:r w:rsidRPr="001F29F9">
        <w:rPr>
          <w:color w:val="000000"/>
          <w:u w:val="single"/>
        </w:rPr>
        <w:t>BOARD FINDINGS</w:t>
      </w:r>
      <w:r w:rsidRPr="001F29F9">
        <w:rPr>
          <w:color w:val="000000"/>
        </w:rPr>
        <w:t xml:space="preserve">:  </w:t>
      </w:r>
      <w:r w:rsidRPr="00D8352E">
        <w:rPr>
          <w:color w:val="000000"/>
        </w:rPr>
        <w:t>IAW DoDI 6040.44, provisions of DoD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sidR="008734E7">
        <w:rPr>
          <w:rFonts w:cs="Times New Roman"/>
          <w:color w:val="auto"/>
        </w:rPr>
        <w:t xml:space="preserve"> </w:t>
      </w:r>
      <w:r w:rsidR="00241B01" w:rsidRPr="00241B01">
        <w:rPr>
          <w:rFonts w:eastAsia="Calibri" w:cs="Times New Roman"/>
          <w:color w:val="auto"/>
          <w:szCs w:val="24"/>
        </w:rPr>
        <w:t xml:space="preserve">As discussed above, PEB reliance on the USAPDA pain policy for rating </w:t>
      </w:r>
      <w:r w:rsidR="00D44AF3">
        <w:rPr>
          <w:rFonts w:eastAsia="Calibri" w:cs="Times New Roman"/>
          <w:color w:val="auto"/>
          <w:szCs w:val="24"/>
        </w:rPr>
        <w:t xml:space="preserve">the right ankle </w:t>
      </w:r>
      <w:r w:rsidR="00D44AF3" w:rsidRPr="00F04170">
        <w:rPr>
          <w:rFonts w:eastAsia="Calibri" w:cs="Times New Roman"/>
          <w:color w:val="auto"/>
          <w:szCs w:val="24"/>
        </w:rPr>
        <w:t>condition</w:t>
      </w:r>
      <w:r w:rsidR="00241B01" w:rsidRPr="00F04170">
        <w:rPr>
          <w:rFonts w:eastAsia="Calibri" w:cs="Times New Roman"/>
          <w:color w:val="auto"/>
          <w:szCs w:val="24"/>
        </w:rPr>
        <w:t xml:space="preserve"> was operant in this case and the condition was adjudicated independently of that policy by the Board. </w:t>
      </w:r>
      <w:r w:rsidR="00D44AF3" w:rsidRPr="00F04170">
        <w:rPr>
          <w:rFonts w:cs="Times New Roman"/>
          <w:color w:val="auto"/>
        </w:rPr>
        <w:t xml:space="preserve"> </w:t>
      </w:r>
      <w:r w:rsidR="00241B01" w:rsidRPr="00F04170">
        <w:rPr>
          <w:rFonts w:eastAsia="Calibri" w:cs="Times New Roman"/>
          <w:color w:val="auto"/>
          <w:szCs w:val="24"/>
        </w:rPr>
        <w:t xml:space="preserve">In the matter of the </w:t>
      </w:r>
      <w:r w:rsidR="00882D81" w:rsidRPr="00F04170">
        <w:rPr>
          <w:rFonts w:eastAsia="Calibri" w:cs="Times New Roman"/>
          <w:color w:val="auto"/>
          <w:szCs w:val="24"/>
        </w:rPr>
        <w:t>complex regional pain syndrome affecting the left hand and wrist</w:t>
      </w:r>
      <w:r w:rsidR="00241B01" w:rsidRPr="00F04170">
        <w:rPr>
          <w:rFonts w:eastAsia="Calibri" w:cs="Times New Roman"/>
          <w:color w:val="auto"/>
          <w:szCs w:val="24"/>
        </w:rPr>
        <w:t xml:space="preserve">, the Board unanimously recommends </w:t>
      </w:r>
      <w:r w:rsidR="00882D81" w:rsidRPr="00F04170">
        <w:rPr>
          <w:rFonts w:eastAsia="Calibri" w:cs="Times New Roman"/>
          <w:color w:val="auto"/>
          <w:szCs w:val="24"/>
        </w:rPr>
        <w:t>TDRL and permanent</w:t>
      </w:r>
      <w:r w:rsidR="00241B01" w:rsidRPr="00F04170">
        <w:rPr>
          <w:rFonts w:eastAsia="Calibri" w:cs="Times New Roman"/>
          <w:color w:val="auto"/>
          <w:szCs w:val="24"/>
        </w:rPr>
        <w:t xml:space="preserve"> disability rating</w:t>
      </w:r>
      <w:r w:rsidR="00882D81" w:rsidRPr="00F04170">
        <w:rPr>
          <w:rFonts w:eastAsia="Calibri" w:cs="Times New Roman"/>
          <w:color w:val="auto"/>
          <w:szCs w:val="24"/>
        </w:rPr>
        <w:t>s</w:t>
      </w:r>
      <w:r w:rsidR="00241B01" w:rsidRPr="00F04170">
        <w:rPr>
          <w:rFonts w:eastAsia="Calibri" w:cs="Times New Roman"/>
          <w:color w:val="auto"/>
          <w:szCs w:val="24"/>
        </w:rPr>
        <w:t xml:space="preserve"> of </w:t>
      </w:r>
      <w:r w:rsidR="00882D81" w:rsidRPr="00F04170">
        <w:rPr>
          <w:rFonts w:eastAsia="Calibri" w:cs="Times New Roman"/>
          <w:color w:val="auto"/>
          <w:szCs w:val="24"/>
        </w:rPr>
        <w:t>2</w:t>
      </w:r>
      <w:r w:rsidR="00241B01" w:rsidRPr="00F04170">
        <w:rPr>
          <w:rFonts w:eastAsia="Calibri" w:cs="Times New Roman"/>
          <w:color w:val="auto"/>
          <w:szCs w:val="24"/>
        </w:rPr>
        <w:t xml:space="preserve">0%, coded </w:t>
      </w:r>
      <w:r w:rsidR="00882D81" w:rsidRPr="00F04170">
        <w:rPr>
          <w:rFonts w:eastAsia="Calibri" w:cs="Times New Roman"/>
          <w:color w:val="auto"/>
          <w:szCs w:val="24"/>
        </w:rPr>
        <w:t xml:space="preserve">8799-8714 </w:t>
      </w:r>
      <w:r w:rsidR="00241B01" w:rsidRPr="00F04170">
        <w:rPr>
          <w:rFonts w:eastAsia="Calibri" w:cs="Times New Roman"/>
          <w:color w:val="auto"/>
          <w:szCs w:val="24"/>
        </w:rPr>
        <w:t>IAW VASRD §4.</w:t>
      </w:r>
      <w:r w:rsidR="00882D81" w:rsidRPr="00F04170">
        <w:rPr>
          <w:rFonts w:eastAsia="Calibri" w:cs="Times New Roman"/>
          <w:color w:val="auto"/>
          <w:szCs w:val="24"/>
        </w:rPr>
        <w:t>124</w:t>
      </w:r>
      <w:r w:rsidR="00241B01" w:rsidRPr="00F04170">
        <w:rPr>
          <w:rFonts w:eastAsia="Calibri" w:cs="Times New Roman"/>
          <w:color w:val="auto"/>
          <w:szCs w:val="24"/>
        </w:rPr>
        <w:t>a.</w:t>
      </w:r>
      <w:r w:rsidR="00107043" w:rsidRPr="00F04170">
        <w:rPr>
          <w:rFonts w:eastAsia="Calibri" w:cs="Times New Roman"/>
          <w:color w:val="auto"/>
          <w:szCs w:val="24"/>
        </w:rPr>
        <w:t xml:space="preserve">  In the matter of the right ankle condition, the Board </w:t>
      </w:r>
      <w:r w:rsidR="00C7441E" w:rsidRPr="00C7441E">
        <w:rPr>
          <w:rFonts w:eastAsia="Calibri" w:cs="Times New Roman"/>
          <w:color w:val="auto"/>
          <w:szCs w:val="24"/>
        </w:rPr>
        <w:t xml:space="preserve">by a vote of 2:1 </w:t>
      </w:r>
      <w:r w:rsidR="00107043" w:rsidRPr="00F04170">
        <w:rPr>
          <w:rFonts w:eastAsia="Calibri" w:cs="Times New Roman"/>
          <w:color w:val="auto"/>
          <w:szCs w:val="24"/>
        </w:rPr>
        <w:t xml:space="preserve">recommends </w:t>
      </w:r>
      <w:r w:rsidR="00107043" w:rsidRPr="00F04170">
        <w:rPr>
          <w:rFonts w:eastAsia="Calibri" w:cs="Times New Roman"/>
          <w:color w:val="auto"/>
          <w:szCs w:val="24"/>
        </w:rPr>
        <w:lastRenderedPageBreak/>
        <w:t xml:space="preserve">TDRL and permanent disability ratings of 10%, coded 5299-5271 IAW VASRD §4.71a.  </w:t>
      </w:r>
      <w:r w:rsidR="00C7441E" w:rsidRPr="00C7441E">
        <w:rPr>
          <w:rFonts w:eastAsia="Calibri" w:cs="Times New Roman"/>
          <w:color w:val="auto"/>
          <w:szCs w:val="24"/>
        </w:rPr>
        <w:t xml:space="preserve">The single voter for dissent (who </w:t>
      </w:r>
      <w:r w:rsidR="00C7441E">
        <w:rPr>
          <w:rFonts w:eastAsia="Calibri" w:cs="Times New Roman"/>
          <w:color w:val="auto"/>
          <w:szCs w:val="24"/>
        </w:rPr>
        <w:t>did not believe that a compensable rating at permanent separation was supported by the evidence</w:t>
      </w:r>
      <w:r w:rsidR="00C7441E" w:rsidRPr="00C7441E">
        <w:rPr>
          <w:rFonts w:eastAsia="Calibri" w:cs="Times New Roman"/>
          <w:color w:val="auto"/>
          <w:szCs w:val="24"/>
        </w:rPr>
        <w:t xml:space="preserve">) did not elect to submit a minority opinion. </w:t>
      </w:r>
      <w:r w:rsidR="00C7441E">
        <w:rPr>
          <w:rFonts w:eastAsia="Calibri" w:cs="Times New Roman"/>
          <w:color w:val="auto"/>
          <w:szCs w:val="24"/>
        </w:rPr>
        <w:t xml:space="preserve"> </w:t>
      </w:r>
      <w:r w:rsidR="00107043" w:rsidRPr="00F04170">
        <w:rPr>
          <w:rFonts w:eastAsia="Calibri" w:cs="Times New Roman"/>
          <w:color w:val="auto"/>
          <w:szCs w:val="24"/>
        </w:rPr>
        <w:t>There were no other conditions within the Board’s scope of review for consideration.</w:t>
      </w:r>
    </w:p>
    <w:p w:rsidR="00AD2379" w:rsidRPr="00F04170" w:rsidRDefault="00AD2379" w:rsidP="00BF0E94">
      <w:pPr>
        <w:pBdr>
          <w:bottom w:val="single" w:sz="12" w:space="1" w:color="auto"/>
        </w:pBdr>
        <w:tabs>
          <w:tab w:val="left" w:pos="288"/>
          <w:tab w:val="left" w:pos="4752"/>
        </w:tabs>
        <w:jc w:val="both"/>
        <w:rPr>
          <w:color w:val="000000"/>
        </w:rPr>
      </w:pPr>
    </w:p>
    <w:p w:rsidR="00AD2379" w:rsidRPr="00F04170" w:rsidRDefault="00AD2379" w:rsidP="006364ED">
      <w:pPr>
        <w:jc w:val="left"/>
        <w:rPr>
          <w:color w:val="000000"/>
        </w:rPr>
      </w:pPr>
    </w:p>
    <w:p w:rsidR="00107043" w:rsidRPr="00F04170" w:rsidRDefault="00AD2379" w:rsidP="00107043">
      <w:pPr>
        <w:tabs>
          <w:tab w:val="left" w:pos="288"/>
          <w:tab w:val="left" w:pos="4752"/>
        </w:tabs>
        <w:jc w:val="both"/>
        <w:rPr>
          <w:rFonts w:eastAsia="Calibri" w:cs="Times New Roman"/>
          <w:color w:val="auto"/>
          <w:szCs w:val="24"/>
        </w:rPr>
      </w:pPr>
      <w:r w:rsidRPr="00F04170">
        <w:rPr>
          <w:color w:val="000000"/>
          <w:u w:val="single"/>
        </w:rPr>
        <w:t>RECOMMENDATION</w:t>
      </w:r>
      <w:r w:rsidRPr="00F04170">
        <w:rPr>
          <w:color w:val="000000"/>
        </w:rPr>
        <w:t xml:space="preserve">: </w:t>
      </w:r>
      <w:r w:rsidR="00107043" w:rsidRPr="00F04170">
        <w:rPr>
          <w:rFonts w:eastAsia="Calibri" w:cs="Times New Roman"/>
          <w:color w:val="auto"/>
          <w:szCs w:val="24"/>
        </w:rPr>
        <w:t>The Board recommends that the CI’s prior TDRL and permanent separation determinations be modified as follows; and, that the discharge with severance pay be recharacterized to reflect permanent disability retirement, effective as of the date of his prior medical separation.</w:t>
      </w:r>
    </w:p>
    <w:p w:rsidR="00071071" w:rsidRPr="00F04170" w:rsidRDefault="00071071" w:rsidP="00BF0E94">
      <w:pPr>
        <w:jc w:val="both"/>
        <w:rPr>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0"/>
        <w:gridCol w:w="1350"/>
        <w:gridCol w:w="810"/>
        <w:gridCol w:w="900"/>
      </w:tblGrid>
      <w:tr w:rsidR="00071071" w:rsidRPr="00F04170" w:rsidTr="00BB20C1">
        <w:trPr>
          <w:trHeight w:val="206"/>
          <w:jc w:val="center"/>
        </w:trPr>
        <w:tc>
          <w:tcPr>
            <w:tcW w:w="6300" w:type="dxa"/>
            <w:vMerge w:val="restart"/>
            <w:shd w:val="clear" w:color="auto" w:fill="D9D9D9"/>
            <w:vAlign w:val="center"/>
          </w:tcPr>
          <w:p w:rsidR="00071071" w:rsidRPr="00F04170" w:rsidRDefault="00071071" w:rsidP="00071071">
            <w:pPr>
              <w:tabs>
                <w:tab w:val="left" w:pos="288"/>
                <w:tab w:val="left" w:pos="4752"/>
              </w:tabs>
              <w:rPr>
                <w:rFonts w:eastAsia="Calibri" w:cs="Times New Roman"/>
                <w:b/>
                <w:color w:val="auto"/>
                <w:szCs w:val="24"/>
              </w:rPr>
            </w:pPr>
            <w:r w:rsidRPr="00F04170">
              <w:rPr>
                <w:rFonts w:eastAsia="Calibri" w:cs="Times New Roman"/>
                <w:b/>
                <w:color w:val="auto"/>
                <w:szCs w:val="24"/>
              </w:rPr>
              <w:t>UNFITTING CONDITION</w:t>
            </w:r>
          </w:p>
        </w:tc>
        <w:tc>
          <w:tcPr>
            <w:tcW w:w="1350" w:type="dxa"/>
            <w:vMerge w:val="restart"/>
            <w:shd w:val="clear" w:color="auto" w:fill="D9D9D9"/>
            <w:vAlign w:val="center"/>
          </w:tcPr>
          <w:p w:rsidR="00071071" w:rsidRPr="00F04170" w:rsidRDefault="00071071" w:rsidP="00071071">
            <w:pPr>
              <w:tabs>
                <w:tab w:val="left" w:pos="288"/>
                <w:tab w:val="left" w:pos="4752"/>
              </w:tabs>
              <w:rPr>
                <w:rFonts w:eastAsia="Calibri" w:cs="Times New Roman"/>
                <w:b/>
                <w:color w:val="auto"/>
                <w:szCs w:val="24"/>
              </w:rPr>
            </w:pPr>
            <w:r w:rsidRPr="00F04170">
              <w:rPr>
                <w:rFonts w:eastAsia="Calibri" w:cs="Times New Roman"/>
                <w:b/>
                <w:color w:val="auto"/>
                <w:szCs w:val="24"/>
              </w:rPr>
              <w:t>VASRD CODE</w:t>
            </w:r>
          </w:p>
        </w:tc>
        <w:tc>
          <w:tcPr>
            <w:tcW w:w="1710" w:type="dxa"/>
            <w:gridSpan w:val="2"/>
            <w:tcBorders>
              <w:bottom w:val="single" w:sz="4" w:space="0" w:color="auto"/>
            </w:tcBorders>
            <w:shd w:val="clear" w:color="auto" w:fill="D9D9D9"/>
            <w:vAlign w:val="center"/>
          </w:tcPr>
          <w:p w:rsidR="00071071" w:rsidRPr="00F04170" w:rsidRDefault="00071071" w:rsidP="00071071">
            <w:pPr>
              <w:rPr>
                <w:color w:val="000000"/>
              </w:rPr>
            </w:pPr>
            <w:r w:rsidRPr="00F04170">
              <w:rPr>
                <w:rFonts w:eastAsia="Calibri" w:cs="Times New Roman"/>
                <w:b/>
                <w:color w:val="auto"/>
                <w:szCs w:val="24"/>
              </w:rPr>
              <w:t>RATING</w:t>
            </w:r>
          </w:p>
        </w:tc>
      </w:tr>
      <w:tr w:rsidR="00071071" w:rsidRPr="00F04170" w:rsidTr="00BB20C1">
        <w:trPr>
          <w:trHeight w:val="194"/>
          <w:jc w:val="center"/>
        </w:trPr>
        <w:tc>
          <w:tcPr>
            <w:tcW w:w="6300" w:type="dxa"/>
            <w:vMerge/>
            <w:shd w:val="clear" w:color="auto" w:fill="D9D9D9"/>
            <w:vAlign w:val="center"/>
          </w:tcPr>
          <w:p w:rsidR="00071071" w:rsidRPr="00F04170" w:rsidRDefault="00071071" w:rsidP="00071071">
            <w:pPr>
              <w:tabs>
                <w:tab w:val="left" w:pos="288"/>
                <w:tab w:val="left" w:pos="4752"/>
              </w:tabs>
              <w:rPr>
                <w:rFonts w:eastAsia="Calibri" w:cs="Times New Roman"/>
                <w:b/>
                <w:color w:val="auto"/>
                <w:szCs w:val="24"/>
              </w:rPr>
            </w:pPr>
          </w:p>
        </w:tc>
        <w:tc>
          <w:tcPr>
            <w:tcW w:w="1350" w:type="dxa"/>
            <w:vMerge/>
            <w:shd w:val="clear" w:color="auto" w:fill="D9D9D9"/>
            <w:vAlign w:val="center"/>
          </w:tcPr>
          <w:p w:rsidR="00071071" w:rsidRPr="00F04170" w:rsidRDefault="00071071" w:rsidP="00071071">
            <w:pPr>
              <w:tabs>
                <w:tab w:val="left" w:pos="288"/>
                <w:tab w:val="left" w:pos="4752"/>
              </w:tabs>
              <w:rPr>
                <w:rFonts w:eastAsia="Calibri" w:cs="Times New Roman"/>
                <w:b/>
                <w:color w:val="auto"/>
                <w:szCs w:val="24"/>
              </w:rPr>
            </w:pPr>
          </w:p>
        </w:tc>
        <w:tc>
          <w:tcPr>
            <w:tcW w:w="810" w:type="dxa"/>
            <w:tcBorders>
              <w:top w:val="single" w:sz="4" w:space="0" w:color="auto"/>
            </w:tcBorders>
            <w:shd w:val="clear" w:color="auto" w:fill="D9D9D9"/>
            <w:vAlign w:val="center"/>
          </w:tcPr>
          <w:p w:rsidR="00071071" w:rsidRPr="00F04170" w:rsidRDefault="00071071" w:rsidP="00071071">
            <w:pPr>
              <w:rPr>
                <w:color w:val="000000"/>
              </w:rPr>
            </w:pPr>
            <w:r w:rsidRPr="00F04170">
              <w:rPr>
                <w:rFonts w:eastAsia="Calibri" w:cs="Times New Roman"/>
                <w:b/>
                <w:color w:val="auto"/>
                <w:szCs w:val="24"/>
              </w:rPr>
              <w:t>TDRL</w:t>
            </w:r>
          </w:p>
        </w:tc>
        <w:tc>
          <w:tcPr>
            <w:tcW w:w="900" w:type="dxa"/>
            <w:tcBorders>
              <w:top w:val="single" w:sz="4" w:space="0" w:color="auto"/>
            </w:tcBorders>
            <w:shd w:val="pct15" w:color="auto" w:fill="auto"/>
            <w:vAlign w:val="center"/>
          </w:tcPr>
          <w:p w:rsidR="00071071" w:rsidRPr="00F04170" w:rsidRDefault="00BB20C1" w:rsidP="00071071">
            <w:pPr>
              <w:tabs>
                <w:tab w:val="left" w:pos="288"/>
                <w:tab w:val="left" w:pos="4752"/>
              </w:tabs>
              <w:rPr>
                <w:rFonts w:eastAsia="Calibri" w:cs="Times New Roman"/>
                <w:b/>
                <w:color w:val="auto"/>
                <w:szCs w:val="24"/>
              </w:rPr>
            </w:pPr>
            <w:r w:rsidRPr="00F04170">
              <w:rPr>
                <w:rFonts w:eastAsia="Calibri" w:cs="Times New Roman"/>
                <w:b/>
                <w:color w:val="auto"/>
                <w:szCs w:val="24"/>
              </w:rPr>
              <w:t>FINAL</w:t>
            </w:r>
          </w:p>
        </w:tc>
      </w:tr>
      <w:tr w:rsidR="00071071" w:rsidRPr="00F04170" w:rsidTr="00BB20C1">
        <w:trPr>
          <w:trHeight w:val="197"/>
          <w:jc w:val="center"/>
        </w:trPr>
        <w:tc>
          <w:tcPr>
            <w:tcW w:w="6300" w:type="dxa"/>
            <w:vAlign w:val="center"/>
          </w:tcPr>
          <w:p w:rsidR="00071071" w:rsidRPr="00F04170" w:rsidRDefault="00BB20C1" w:rsidP="00071071">
            <w:pPr>
              <w:tabs>
                <w:tab w:val="left" w:pos="288"/>
                <w:tab w:val="left" w:pos="4752"/>
              </w:tabs>
              <w:jc w:val="left"/>
              <w:rPr>
                <w:rFonts w:eastAsia="Calibri" w:cs="Times New Roman"/>
                <w:color w:val="auto"/>
                <w:szCs w:val="24"/>
              </w:rPr>
            </w:pPr>
            <w:r w:rsidRPr="00F04170">
              <w:rPr>
                <w:color w:val="000000"/>
              </w:rPr>
              <w:t>Complex Regional Pain Syndrome, Left Hand and Wrist</w:t>
            </w:r>
          </w:p>
        </w:tc>
        <w:tc>
          <w:tcPr>
            <w:tcW w:w="1350" w:type="dxa"/>
            <w:tcBorders>
              <w:bottom w:val="single" w:sz="4" w:space="0" w:color="000000"/>
            </w:tcBorders>
            <w:vAlign w:val="center"/>
          </w:tcPr>
          <w:p w:rsidR="00071071" w:rsidRPr="00F04170" w:rsidRDefault="00BB20C1" w:rsidP="00071071">
            <w:pPr>
              <w:tabs>
                <w:tab w:val="left" w:pos="288"/>
                <w:tab w:val="left" w:pos="4752"/>
              </w:tabs>
              <w:rPr>
                <w:color w:val="000000"/>
              </w:rPr>
            </w:pPr>
            <w:r w:rsidRPr="00F04170">
              <w:rPr>
                <w:rFonts w:eastAsia="Calibri" w:cs="Times New Roman"/>
                <w:color w:val="auto"/>
                <w:szCs w:val="24"/>
              </w:rPr>
              <w:t>8799-8714</w:t>
            </w:r>
          </w:p>
        </w:tc>
        <w:tc>
          <w:tcPr>
            <w:tcW w:w="810" w:type="dxa"/>
            <w:tcBorders>
              <w:bottom w:val="single" w:sz="4" w:space="0" w:color="000000"/>
            </w:tcBorders>
            <w:vAlign w:val="center"/>
          </w:tcPr>
          <w:p w:rsidR="00071071" w:rsidRPr="00F04170" w:rsidRDefault="00BB20C1" w:rsidP="00071071">
            <w:pPr>
              <w:tabs>
                <w:tab w:val="left" w:pos="288"/>
                <w:tab w:val="left" w:pos="4752"/>
              </w:tabs>
              <w:rPr>
                <w:color w:val="000000"/>
              </w:rPr>
            </w:pPr>
            <w:r w:rsidRPr="00F04170">
              <w:rPr>
                <w:color w:val="000000"/>
              </w:rPr>
              <w:t>2</w:t>
            </w:r>
            <w:r w:rsidR="00071071" w:rsidRPr="00F04170">
              <w:rPr>
                <w:color w:val="000000"/>
              </w:rPr>
              <w:t>0%</w:t>
            </w:r>
          </w:p>
        </w:tc>
        <w:tc>
          <w:tcPr>
            <w:tcW w:w="900" w:type="dxa"/>
            <w:tcBorders>
              <w:bottom w:val="single" w:sz="4" w:space="0" w:color="000000"/>
            </w:tcBorders>
            <w:vAlign w:val="center"/>
          </w:tcPr>
          <w:p w:rsidR="00071071" w:rsidRPr="00F04170" w:rsidRDefault="00BB20C1" w:rsidP="00071071">
            <w:pPr>
              <w:tabs>
                <w:tab w:val="left" w:pos="288"/>
                <w:tab w:val="left" w:pos="4752"/>
              </w:tabs>
              <w:rPr>
                <w:rFonts w:eastAsia="Calibri" w:cs="Times New Roman"/>
                <w:color w:val="auto"/>
                <w:szCs w:val="24"/>
              </w:rPr>
            </w:pPr>
            <w:r w:rsidRPr="00F04170">
              <w:rPr>
                <w:rFonts w:eastAsia="Calibri" w:cs="Times New Roman"/>
                <w:color w:val="auto"/>
                <w:szCs w:val="24"/>
              </w:rPr>
              <w:t>2</w:t>
            </w:r>
            <w:r w:rsidR="00071071" w:rsidRPr="00F04170">
              <w:rPr>
                <w:rFonts w:eastAsia="Calibri" w:cs="Times New Roman"/>
                <w:color w:val="auto"/>
                <w:szCs w:val="24"/>
              </w:rPr>
              <w:t>0%</w:t>
            </w:r>
          </w:p>
        </w:tc>
      </w:tr>
      <w:tr w:rsidR="00BB20C1" w:rsidRPr="00F04170" w:rsidTr="00BB20C1">
        <w:trPr>
          <w:trHeight w:val="197"/>
          <w:jc w:val="center"/>
        </w:trPr>
        <w:tc>
          <w:tcPr>
            <w:tcW w:w="6300" w:type="dxa"/>
            <w:vAlign w:val="center"/>
          </w:tcPr>
          <w:p w:rsidR="00BB20C1" w:rsidRPr="00F04170" w:rsidRDefault="00BB20C1" w:rsidP="00071071">
            <w:pPr>
              <w:tabs>
                <w:tab w:val="left" w:pos="288"/>
                <w:tab w:val="left" w:pos="4752"/>
              </w:tabs>
              <w:jc w:val="left"/>
              <w:rPr>
                <w:color w:val="000000"/>
              </w:rPr>
            </w:pPr>
            <w:r w:rsidRPr="00F04170">
              <w:rPr>
                <w:color w:val="000000"/>
              </w:rPr>
              <w:t>Surgical Residuals, Right Ankle</w:t>
            </w:r>
          </w:p>
        </w:tc>
        <w:tc>
          <w:tcPr>
            <w:tcW w:w="1350" w:type="dxa"/>
            <w:tcBorders>
              <w:bottom w:val="single" w:sz="4" w:space="0" w:color="000000"/>
            </w:tcBorders>
            <w:vAlign w:val="center"/>
          </w:tcPr>
          <w:p w:rsidR="00BB20C1" w:rsidRPr="00F04170" w:rsidRDefault="00BB20C1" w:rsidP="00071071">
            <w:pPr>
              <w:tabs>
                <w:tab w:val="left" w:pos="288"/>
                <w:tab w:val="left" w:pos="4752"/>
              </w:tabs>
              <w:rPr>
                <w:color w:val="000000"/>
              </w:rPr>
            </w:pPr>
            <w:r w:rsidRPr="00F04170">
              <w:rPr>
                <w:rFonts w:eastAsia="Calibri" w:cs="Times New Roman"/>
                <w:color w:val="auto"/>
                <w:szCs w:val="24"/>
              </w:rPr>
              <w:t>5299-5271</w:t>
            </w:r>
          </w:p>
        </w:tc>
        <w:tc>
          <w:tcPr>
            <w:tcW w:w="810" w:type="dxa"/>
            <w:tcBorders>
              <w:bottom w:val="single" w:sz="4" w:space="0" w:color="000000"/>
            </w:tcBorders>
            <w:vAlign w:val="center"/>
          </w:tcPr>
          <w:p w:rsidR="00BB20C1" w:rsidRPr="00F04170" w:rsidRDefault="00BB20C1" w:rsidP="00B66AF6">
            <w:pPr>
              <w:tabs>
                <w:tab w:val="left" w:pos="288"/>
                <w:tab w:val="left" w:pos="4752"/>
              </w:tabs>
              <w:rPr>
                <w:color w:val="000000"/>
              </w:rPr>
            </w:pPr>
            <w:r w:rsidRPr="00F04170">
              <w:rPr>
                <w:color w:val="000000"/>
              </w:rPr>
              <w:t>10%</w:t>
            </w:r>
          </w:p>
        </w:tc>
        <w:tc>
          <w:tcPr>
            <w:tcW w:w="900" w:type="dxa"/>
            <w:tcBorders>
              <w:bottom w:val="single" w:sz="4" w:space="0" w:color="000000"/>
            </w:tcBorders>
            <w:vAlign w:val="center"/>
          </w:tcPr>
          <w:p w:rsidR="00BB20C1" w:rsidRPr="00F04170" w:rsidRDefault="00BB20C1" w:rsidP="00B66AF6">
            <w:pPr>
              <w:tabs>
                <w:tab w:val="left" w:pos="288"/>
                <w:tab w:val="left" w:pos="4752"/>
              </w:tabs>
              <w:rPr>
                <w:rFonts w:eastAsia="Calibri" w:cs="Times New Roman"/>
                <w:color w:val="auto"/>
                <w:szCs w:val="24"/>
              </w:rPr>
            </w:pPr>
            <w:r w:rsidRPr="00F04170">
              <w:rPr>
                <w:rFonts w:eastAsia="Calibri" w:cs="Times New Roman"/>
                <w:color w:val="auto"/>
                <w:szCs w:val="24"/>
              </w:rPr>
              <w:t>10%</w:t>
            </w:r>
          </w:p>
        </w:tc>
      </w:tr>
      <w:tr w:rsidR="00071071" w:rsidRPr="00071071" w:rsidTr="00BB20C1">
        <w:tblPrEx>
          <w:tblLook w:val="0000"/>
        </w:tblPrEx>
        <w:trPr>
          <w:gridBefore w:val="1"/>
          <w:wBefore w:w="6300" w:type="dxa"/>
          <w:trHeight w:val="161"/>
          <w:jc w:val="center"/>
        </w:trPr>
        <w:tc>
          <w:tcPr>
            <w:tcW w:w="1350" w:type="dxa"/>
            <w:tcBorders>
              <w:left w:val="single" w:sz="4" w:space="0" w:color="auto"/>
            </w:tcBorders>
            <w:shd w:val="pct15" w:color="auto" w:fill="auto"/>
            <w:vAlign w:val="center"/>
          </w:tcPr>
          <w:p w:rsidR="00071071" w:rsidRPr="00F04170" w:rsidRDefault="00071071" w:rsidP="00071071">
            <w:pPr>
              <w:tabs>
                <w:tab w:val="left" w:pos="288"/>
                <w:tab w:val="left" w:pos="4752"/>
              </w:tabs>
              <w:rPr>
                <w:rFonts w:eastAsia="Calibri" w:cs="Times New Roman"/>
                <w:b/>
                <w:color w:val="auto"/>
                <w:szCs w:val="24"/>
              </w:rPr>
            </w:pPr>
            <w:r w:rsidRPr="00F04170">
              <w:rPr>
                <w:rFonts w:eastAsia="Calibri" w:cs="Times New Roman"/>
                <w:b/>
                <w:color w:val="auto"/>
                <w:szCs w:val="24"/>
              </w:rPr>
              <w:t>COMBINED</w:t>
            </w:r>
          </w:p>
        </w:tc>
        <w:tc>
          <w:tcPr>
            <w:tcW w:w="810" w:type="dxa"/>
            <w:tcBorders>
              <w:left w:val="single" w:sz="4" w:space="0" w:color="auto"/>
            </w:tcBorders>
            <w:shd w:val="pct15" w:color="auto" w:fill="auto"/>
            <w:vAlign w:val="center"/>
          </w:tcPr>
          <w:p w:rsidR="00071071" w:rsidRPr="00F04170" w:rsidRDefault="00BB20C1" w:rsidP="00071071">
            <w:pPr>
              <w:tabs>
                <w:tab w:val="left" w:pos="288"/>
                <w:tab w:val="left" w:pos="4752"/>
              </w:tabs>
              <w:rPr>
                <w:rFonts w:eastAsia="Calibri" w:cs="Times New Roman"/>
                <w:b/>
                <w:color w:val="auto"/>
                <w:szCs w:val="24"/>
              </w:rPr>
            </w:pPr>
            <w:r w:rsidRPr="00F04170">
              <w:rPr>
                <w:rFonts w:eastAsia="Calibri" w:cs="Times New Roman"/>
                <w:b/>
                <w:color w:val="auto"/>
                <w:szCs w:val="24"/>
              </w:rPr>
              <w:t>3</w:t>
            </w:r>
            <w:r w:rsidR="00071071" w:rsidRPr="00F04170">
              <w:rPr>
                <w:rFonts w:eastAsia="Calibri" w:cs="Times New Roman"/>
                <w:b/>
                <w:color w:val="auto"/>
                <w:szCs w:val="24"/>
              </w:rPr>
              <w:t>0%</w:t>
            </w:r>
          </w:p>
        </w:tc>
        <w:tc>
          <w:tcPr>
            <w:tcW w:w="900" w:type="dxa"/>
            <w:shd w:val="pct15" w:color="auto" w:fill="auto"/>
            <w:vAlign w:val="center"/>
          </w:tcPr>
          <w:p w:rsidR="00071071" w:rsidRPr="00071071" w:rsidRDefault="00BB20C1" w:rsidP="00071071">
            <w:pPr>
              <w:tabs>
                <w:tab w:val="left" w:pos="288"/>
                <w:tab w:val="left" w:pos="4752"/>
              </w:tabs>
              <w:rPr>
                <w:rFonts w:eastAsia="Calibri" w:cs="Times New Roman"/>
                <w:b/>
                <w:color w:val="auto"/>
                <w:szCs w:val="24"/>
              </w:rPr>
            </w:pPr>
            <w:r w:rsidRPr="00F04170">
              <w:rPr>
                <w:rFonts w:eastAsia="Calibri" w:cs="Times New Roman"/>
                <w:b/>
                <w:color w:val="auto"/>
                <w:szCs w:val="24"/>
              </w:rPr>
              <w:t>3</w:t>
            </w:r>
            <w:r w:rsidR="00071071" w:rsidRPr="00F04170">
              <w:rPr>
                <w:rFonts w:eastAsia="Calibri" w:cs="Times New Roman"/>
                <w:b/>
                <w:color w:val="auto"/>
                <w:szCs w:val="24"/>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AD2379" w:rsidRDefault="00AD2379" w:rsidP="00BF0E94">
      <w:pPr>
        <w:tabs>
          <w:tab w:val="left" w:pos="288"/>
          <w:tab w:val="left" w:pos="4752"/>
        </w:tabs>
        <w:jc w:val="both"/>
        <w:rPr>
          <w:color w:val="000000"/>
        </w:rPr>
      </w:pPr>
      <w:r w:rsidRPr="001F29F9">
        <w:rPr>
          <w:color w:val="000000"/>
        </w:rPr>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294, dated </w:t>
      </w:r>
      <w:r w:rsidR="00984ABD" w:rsidRPr="001F29F9">
        <w:rPr>
          <w:color w:val="000000" w:themeColor="text1"/>
          <w:szCs w:val="24"/>
        </w:rPr>
        <w:t>201</w:t>
      </w:r>
      <w:r w:rsidR="00984ABD">
        <w:rPr>
          <w:color w:val="000000" w:themeColor="text1"/>
          <w:szCs w:val="24"/>
        </w:rPr>
        <w:t>10725</w:t>
      </w:r>
      <w:r w:rsidR="005C2F9A">
        <w:rPr>
          <w:color w:val="000000"/>
        </w:rPr>
        <w:t>, w/atchs</w:t>
      </w:r>
    </w:p>
    <w:p w:rsidR="00AD2379" w:rsidRPr="001F29F9" w:rsidRDefault="00AD2379" w:rsidP="005144A7">
      <w:pPr>
        <w:tabs>
          <w:tab w:val="left" w:pos="288"/>
          <w:tab w:val="left" w:pos="4752"/>
        </w:tabs>
        <w:jc w:val="both"/>
        <w:rPr>
          <w:color w:val="000000"/>
        </w:rPr>
      </w:pPr>
      <w:r w:rsidRPr="001F29F9">
        <w:rPr>
          <w:color w:val="000000"/>
        </w:rPr>
        <w:t>Exhib</w:t>
      </w:r>
      <w:r w:rsidR="005C2F9A">
        <w:rPr>
          <w:color w:val="000000"/>
        </w:rPr>
        <w:t>it B.  Service Treatment Record</w:t>
      </w:r>
    </w:p>
    <w:p w:rsidR="00AD2379" w:rsidRPr="001F29F9" w:rsidRDefault="00AD2379" w:rsidP="005144A7">
      <w:pPr>
        <w:tabs>
          <w:tab w:val="left" w:pos="288"/>
          <w:tab w:val="left" w:pos="4752"/>
        </w:tabs>
        <w:jc w:val="both"/>
        <w:rPr>
          <w:color w:val="000000"/>
        </w:rPr>
      </w:pPr>
      <w:r w:rsidRPr="001F29F9">
        <w:rPr>
          <w:color w:val="000000"/>
        </w:rPr>
        <w:t>Exhibit C.  Department of Ve</w:t>
      </w:r>
      <w:r w:rsidR="005C2F9A">
        <w:rPr>
          <w:color w:val="000000"/>
        </w:rPr>
        <w:t>terans Affairs 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006D87">
        <w:rPr>
          <w:color w:val="000000"/>
        </w:rPr>
        <w:t>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95270D" w:rsidRPr="006235F5" w:rsidRDefault="00AD2379" w:rsidP="00F04170">
      <w:pPr>
        <w:tabs>
          <w:tab w:val="left" w:pos="0"/>
          <w:tab w:val="left" w:pos="4320"/>
        </w:tabs>
        <w:jc w:val="both"/>
        <w:rPr>
          <w:rFonts w:eastAsia="Calibri" w:cs="Times New Roman"/>
          <w:color w:val="auto"/>
          <w:szCs w:val="24"/>
        </w:rPr>
      </w:pPr>
      <w:r w:rsidRPr="001F29F9">
        <w:rPr>
          <w:color w:val="000000"/>
        </w:rPr>
        <w:tab/>
        <w:t xml:space="preserve">           Physical Disability Board of Review</w:t>
      </w:r>
    </w:p>
    <w:p w:rsidR="00006D87" w:rsidRDefault="00006D87" w:rsidP="006235F5">
      <w:pPr>
        <w:tabs>
          <w:tab w:val="left" w:pos="288"/>
          <w:tab w:val="left" w:pos="4752"/>
        </w:tabs>
        <w:jc w:val="both"/>
        <w:rPr>
          <w:rFonts w:eastAsia="Calibri" w:cs="Times New Roman"/>
          <w:color w:val="auto"/>
          <w:szCs w:val="24"/>
        </w:rPr>
      </w:pPr>
    </w:p>
    <w:p w:rsidR="00006D87" w:rsidRDefault="00006D87">
      <w:pPr>
        <w:spacing w:line="240" w:lineRule="auto"/>
        <w:jc w:val="left"/>
        <w:rPr>
          <w:rFonts w:eastAsia="Calibri" w:cs="Times New Roman"/>
          <w:color w:val="auto"/>
          <w:szCs w:val="24"/>
        </w:rPr>
      </w:pPr>
      <w:r>
        <w:rPr>
          <w:rFonts w:eastAsia="Calibri" w:cs="Times New Roman"/>
          <w:color w:val="auto"/>
          <w:szCs w:val="24"/>
        </w:rPr>
        <w:br w:type="page"/>
      </w:r>
    </w:p>
    <w:p w:rsidR="00006D87" w:rsidRDefault="00006D87" w:rsidP="00006D87">
      <w:pPr>
        <w:pStyle w:val="Header"/>
        <w:tabs>
          <w:tab w:val="left" w:pos="720"/>
        </w:tabs>
        <w:jc w:val="left"/>
      </w:pPr>
      <w:r>
        <w:lastRenderedPageBreak/>
        <w:t>SFMR-RB</w:t>
      </w:r>
      <w:r>
        <w:tab/>
      </w:r>
      <w:r>
        <w:tab/>
      </w:r>
      <w:r>
        <w:tab/>
      </w:r>
      <w:r>
        <w:tab/>
      </w:r>
      <w:r>
        <w:tab/>
      </w:r>
      <w:r>
        <w:tab/>
      </w:r>
      <w:r>
        <w:tab/>
      </w:r>
      <w:r>
        <w:tab/>
      </w:r>
      <w:r>
        <w:tab/>
      </w:r>
    </w:p>
    <w:p w:rsidR="00006D87" w:rsidRDefault="00006D87" w:rsidP="00006D87">
      <w:pPr>
        <w:pStyle w:val="Header"/>
        <w:tabs>
          <w:tab w:val="left" w:pos="720"/>
        </w:tabs>
        <w:jc w:val="left"/>
      </w:pPr>
    </w:p>
    <w:p w:rsidR="00006D87" w:rsidRDefault="00006D87" w:rsidP="00006D87">
      <w:pPr>
        <w:jc w:val="left"/>
      </w:pPr>
    </w:p>
    <w:p w:rsidR="00006D87" w:rsidRDefault="00006D87" w:rsidP="00006D87">
      <w:pPr>
        <w:jc w:val="left"/>
      </w:pPr>
      <w:r>
        <w:t xml:space="preserve">MEMORANDUM FOR Commander, US Army Physical Disability Agency </w:t>
      </w:r>
    </w:p>
    <w:p w:rsidR="00006D87" w:rsidRDefault="00006D87" w:rsidP="00006D87">
      <w:pPr>
        <w:jc w:val="left"/>
      </w:pPr>
      <w:r>
        <w:t xml:space="preserve">(TAPD-ZB </w:t>
      </w:r>
      <w:proofErr w:type="gramStart"/>
      <w:r>
        <w:t>/  )</w:t>
      </w:r>
      <w:proofErr w:type="gramEnd"/>
      <w:r>
        <w:t>, 2900 Crystal Drive, Suite 300, Arlington, VA  22202</w:t>
      </w:r>
    </w:p>
    <w:p w:rsidR="00006D87" w:rsidRDefault="00006D87" w:rsidP="00006D87">
      <w:pPr>
        <w:jc w:val="left"/>
      </w:pPr>
    </w:p>
    <w:p w:rsidR="00006D87" w:rsidRDefault="00006D87" w:rsidP="00006D87">
      <w:pPr>
        <w:ind w:right="-180"/>
        <w:jc w:val="left"/>
      </w:pPr>
      <w:r>
        <w:t xml:space="preserve">SUBJECT:  Department of Defense Physical Disability Board of Review Recommendation </w:t>
      </w:r>
    </w:p>
    <w:p w:rsidR="00006D87" w:rsidRDefault="00006D87" w:rsidP="00006D87">
      <w:pPr>
        <w:pStyle w:val="Header"/>
        <w:tabs>
          <w:tab w:val="left" w:pos="720"/>
        </w:tabs>
        <w:jc w:val="left"/>
      </w:pPr>
      <w:proofErr w:type="gramStart"/>
      <w:r>
        <w:t>for</w:t>
      </w:r>
      <w:proofErr w:type="gramEnd"/>
      <w:r>
        <w:t xml:space="preserve"> XXXXXXXXXXXXXXX, AR20120010166 (PD201100617)</w:t>
      </w:r>
    </w:p>
    <w:p w:rsidR="00006D87" w:rsidRDefault="00006D87" w:rsidP="00006D87">
      <w:pPr>
        <w:pStyle w:val="Header"/>
        <w:tabs>
          <w:tab w:val="left" w:pos="720"/>
        </w:tabs>
        <w:jc w:val="left"/>
      </w:pPr>
    </w:p>
    <w:p w:rsidR="00006D87" w:rsidRDefault="00006D87" w:rsidP="00006D87">
      <w:pPr>
        <w:jc w:val="left"/>
      </w:pPr>
    </w:p>
    <w:p w:rsidR="00006D87" w:rsidRDefault="00006D87" w:rsidP="00006D87">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 effective the date of the individual’s original medical separation for disability with severance pay.  </w:t>
      </w:r>
    </w:p>
    <w:p w:rsidR="00006D87" w:rsidRDefault="00006D87" w:rsidP="00006D87">
      <w:pPr>
        <w:jc w:val="left"/>
      </w:pPr>
    </w:p>
    <w:p w:rsidR="00006D87" w:rsidRDefault="00006D87" w:rsidP="00006D87">
      <w:pPr>
        <w:jc w:val="left"/>
      </w:pPr>
      <w:r>
        <w:t>2.  I direct that all the Department of the Army records of the individual concerned be corrected accordingly no later than 120 days from the date of this memorandum:</w:t>
      </w:r>
    </w:p>
    <w:p w:rsidR="00006D87" w:rsidRDefault="00006D87" w:rsidP="00006D87">
      <w:pPr>
        <w:jc w:val="left"/>
      </w:pPr>
    </w:p>
    <w:p w:rsidR="00006D87" w:rsidRDefault="00006D87" w:rsidP="00006D87">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006D87" w:rsidRDefault="00006D87" w:rsidP="00006D87">
      <w:pPr>
        <w:jc w:val="left"/>
      </w:pPr>
    </w:p>
    <w:p w:rsidR="00006D87" w:rsidRDefault="00006D87" w:rsidP="00006D87">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006D87" w:rsidRDefault="00006D87" w:rsidP="00006D87">
      <w:pPr>
        <w:jc w:val="left"/>
      </w:pPr>
    </w:p>
    <w:p w:rsidR="00006D87" w:rsidRDefault="00006D87" w:rsidP="00006D87">
      <w:pPr>
        <w:jc w:val="left"/>
      </w:pPr>
      <w:r>
        <w:tab/>
      </w:r>
      <w:proofErr w:type="gramStart"/>
      <w:r>
        <w:t>c.  Adjusting</w:t>
      </w:r>
      <w:proofErr w:type="gramEnd"/>
      <w:r>
        <w:t xml:space="preserve"> pay and allowances accordingly.  Pay and allowance adjustment will account for recoupment of severance pay, and payment of permanent retired pay at 30% effective the date of the original medical separation for disability with severance pay.</w:t>
      </w:r>
    </w:p>
    <w:p w:rsidR="00006D87" w:rsidRDefault="00006D87" w:rsidP="00006D87">
      <w:pPr>
        <w:jc w:val="left"/>
      </w:pPr>
    </w:p>
    <w:p w:rsidR="00006D87" w:rsidRDefault="00006D87" w:rsidP="00006D87">
      <w:pPr>
        <w:jc w:val="left"/>
      </w:pPr>
      <w:r>
        <w:tab/>
      </w:r>
      <w:proofErr w:type="gramStart"/>
      <w:r>
        <w:t>d.  Affording</w:t>
      </w:r>
      <w:proofErr w:type="gramEnd"/>
      <w:r>
        <w:t xml:space="preserve"> the individual the opportunity to elect Survivor Benefit Plan (SBP) and medical TRICARE retiree options.</w:t>
      </w:r>
    </w:p>
    <w:p w:rsidR="00006D87" w:rsidRDefault="00006D87" w:rsidP="00006D87">
      <w:pPr>
        <w:jc w:val="left"/>
      </w:pPr>
    </w:p>
    <w:p w:rsidR="00006D87" w:rsidRDefault="00006D87" w:rsidP="00006D87">
      <w:pPr>
        <w:jc w:val="left"/>
      </w:pPr>
    </w:p>
    <w:p w:rsidR="00006D87" w:rsidRDefault="00006D87" w:rsidP="00006D87">
      <w:pPr>
        <w:jc w:val="left"/>
      </w:pPr>
    </w:p>
    <w:p w:rsidR="00006D87" w:rsidRDefault="00006D87" w:rsidP="00006D87">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006D87" w:rsidRDefault="00006D87" w:rsidP="00006D87">
      <w:pPr>
        <w:jc w:val="left"/>
      </w:pPr>
    </w:p>
    <w:p w:rsidR="00006D87" w:rsidRDefault="00006D87" w:rsidP="00006D87">
      <w:pPr>
        <w:jc w:val="left"/>
      </w:pPr>
      <w:r>
        <w:t>BY ORDER OF THE SECRETARY OF THE ARMY:</w:t>
      </w:r>
    </w:p>
    <w:p w:rsidR="00006D87" w:rsidRDefault="00006D87" w:rsidP="00006D87">
      <w:pPr>
        <w:jc w:val="left"/>
      </w:pPr>
    </w:p>
    <w:p w:rsidR="00006D87" w:rsidRDefault="00006D87" w:rsidP="00006D87">
      <w:pPr>
        <w:jc w:val="left"/>
      </w:pPr>
    </w:p>
    <w:p w:rsidR="00006D87" w:rsidRDefault="00006D87" w:rsidP="00006D87">
      <w:pPr>
        <w:pStyle w:val="Header"/>
        <w:tabs>
          <w:tab w:val="left" w:pos="720"/>
        </w:tabs>
        <w:jc w:val="left"/>
      </w:pPr>
    </w:p>
    <w:p w:rsidR="00006D87" w:rsidRDefault="00006D87" w:rsidP="00006D87">
      <w:pPr>
        <w:jc w:val="left"/>
      </w:pPr>
    </w:p>
    <w:p w:rsidR="00006D87" w:rsidRDefault="00006D87" w:rsidP="00006D87">
      <w:pPr>
        <w:jc w:val="left"/>
      </w:pPr>
      <w:bookmarkStart w:id="0" w:name="OLE_LINK4"/>
      <w:bookmarkStart w:id="1" w:name="OLE_LINK3"/>
      <w:r>
        <w:t>Encl</w:t>
      </w:r>
      <w:r>
        <w:tab/>
      </w:r>
      <w:r>
        <w:tab/>
      </w:r>
      <w:r>
        <w:tab/>
      </w:r>
      <w:r>
        <w:tab/>
      </w:r>
      <w:r>
        <w:tab/>
      </w:r>
      <w:r>
        <w:tab/>
        <w:t xml:space="preserve">     XXXXXXXXXXXX</w:t>
      </w:r>
    </w:p>
    <w:p w:rsidR="00006D87" w:rsidRDefault="00006D87" w:rsidP="00006D87">
      <w:pPr>
        <w:jc w:val="left"/>
      </w:pPr>
      <w:r>
        <w:tab/>
      </w:r>
      <w:r>
        <w:tab/>
      </w:r>
      <w:r>
        <w:tab/>
      </w:r>
      <w:r>
        <w:tab/>
      </w:r>
      <w:r>
        <w:tab/>
      </w:r>
      <w:r>
        <w:tab/>
        <w:t xml:space="preserve">     Deputy Assistant Secretary</w:t>
      </w:r>
    </w:p>
    <w:p w:rsidR="00006D87" w:rsidRDefault="00006D87" w:rsidP="00006D87">
      <w:pPr>
        <w:jc w:val="left"/>
      </w:pPr>
      <w:r>
        <w:tab/>
      </w:r>
      <w:r>
        <w:tab/>
      </w:r>
      <w:r>
        <w:tab/>
      </w:r>
      <w:r>
        <w:tab/>
      </w:r>
      <w:r>
        <w:tab/>
      </w:r>
      <w:r>
        <w:tab/>
        <w:t xml:space="preserve">         (Army Review Boards)</w:t>
      </w:r>
      <w:bookmarkEnd w:id="0"/>
      <w:bookmarkEnd w:id="1"/>
    </w:p>
    <w:p w:rsidR="00006D87" w:rsidRDefault="00006D87" w:rsidP="00006D87">
      <w:pPr>
        <w:jc w:val="left"/>
      </w:pPr>
    </w:p>
    <w:p w:rsidR="00006D87" w:rsidRDefault="00006D87" w:rsidP="00006D87">
      <w:pPr>
        <w:jc w:val="left"/>
      </w:pPr>
      <w:r>
        <w:t xml:space="preserve">CF: </w:t>
      </w:r>
    </w:p>
    <w:p w:rsidR="00006D87" w:rsidRDefault="00006D87" w:rsidP="00006D87">
      <w:pPr>
        <w:jc w:val="left"/>
      </w:pPr>
      <w:r>
        <w:t xml:space="preserve">(  ) </w:t>
      </w:r>
      <w:proofErr w:type="spellStart"/>
      <w:proofErr w:type="gramStart"/>
      <w:r>
        <w:t>DoD</w:t>
      </w:r>
      <w:proofErr w:type="spellEnd"/>
      <w:proofErr w:type="gramEnd"/>
      <w:r>
        <w:t xml:space="preserve"> PDBR</w:t>
      </w:r>
    </w:p>
    <w:p w:rsidR="00FE7EB9" w:rsidRPr="00006D87" w:rsidRDefault="00006D87" w:rsidP="00006D87">
      <w:pPr>
        <w:jc w:val="left"/>
      </w:pPr>
      <w:r>
        <w:t>(  ) DVA</w:t>
      </w:r>
    </w:p>
    <w:sectPr w:rsidR="00FE7EB9" w:rsidRPr="00006D87"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C8D" w:rsidRDefault="009E7C8D">
      <w:r>
        <w:separator/>
      </w:r>
    </w:p>
  </w:endnote>
  <w:endnote w:type="continuationSeparator" w:id="0">
    <w:p w:rsidR="009E7C8D" w:rsidRDefault="009E7C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4A2" w:rsidRPr="00374247" w:rsidRDefault="00EB04A2" w:rsidP="00726F84">
    <w:pPr>
      <w:pStyle w:val="Footer"/>
      <w:ind w:firstLine="4320"/>
      <w:rPr>
        <w:color w:val="auto"/>
      </w:rPr>
    </w:pPr>
    <w:r w:rsidRPr="00374247">
      <w:rPr>
        <w:color w:val="auto"/>
      </w:rPr>
      <w:t xml:space="preserve">   </w:t>
    </w:r>
    <w:fldSimple w:instr=" PAGE   \* MERGEFORMAT ">
      <w:r w:rsidR="00006D87" w:rsidRPr="00006D87">
        <w:rPr>
          <w:noProof/>
          <w:color w:val="auto"/>
        </w:rPr>
        <w:t>6</w:t>
      </w:r>
    </w:fldSimple>
    <w:r w:rsidRPr="00374247">
      <w:rPr>
        <w:color w:val="auto"/>
      </w:rPr>
      <w:t xml:space="preserve">                                                           </w:t>
    </w:r>
    <w:r w:rsidRPr="001D64F3">
      <w:rPr>
        <w:color w:val="auto"/>
      </w:rPr>
      <w:t>PD1</w:t>
    </w:r>
    <w:r w:rsidRPr="009369A6">
      <w:rPr>
        <w:color w:val="auto"/>
      </w:rPr>
      <w:t>1006</w:t>
    </w:r>
    <w:r w:rsidR="00CF74AF">
      <w:rPr>
        <w:color w:val="auto"/>
      </w:rPr>
      <w:t>1</w:t>
    </w:r>
    <w:r w:rsidRPr="009369A6">
      <w:rPr>
        <w:color w:val="auto"/>
      </w:rPr>
      <w:t>7</w:t>
    </w:r>
  </w:p>
  <w:p w:rsidR="00EB04A2" w:rsidRPr="00684CE6" w:rsidRDefault="00EB04A2">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C8D" w:rsidRDefault="009E7C8D">
      <w:r>
        <w:separator/>
      </w:r>
    </w:p>
  </w:footnote>
  <w:footnote w:type="continuationSeparator" w:id="0">
    <w:p w:rsidR="009E7C8D" w:rsidRDefault="009E7C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266"/>
    <w:rsid w:val="000024F5"/>
    <w:rsid w:val="000059FA"/>
    <w:rsid w:val="00006186"/>
    <w:rsid w:val="00006D87"/>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941"/>
    <w:rsid w:val="00021361"/>
    <w:rsid w:val="00022CF3"/>
    <w:rsid w:val="00023913"/>
    <w:rsid w:val="00023D43"/>
    <w:rsid w:val="00024002"/>
    <w:rsid w:val="00024DE7"/>
    <w:rsid w:val="00026092"/>
    <w:rsid w:val="0002667F"/>
    <w:rsid w:val="00030776"/>
    <w:rsid w:val="00031F4D"/>
    <w:rsid w:val="00032DCE"/>
    <w:rsid w:val="00032E07"/>
    <w:rsid w:val="00032EDA"/>
    <w:rsid w:val="00033287"/>
    <w:rsid w:val="000332CA"/>
    <w:rsid w:val="0003374E"/>
    <w:rsid w:val="000344D8"/>
    <w:rsid w:val="000344E6"/>
    <w:rsid w:val="00035C3A"/>
    <w:rsid w:val="00036629"/>
    <w:rsid w:val="00036E4B"/>
    <w:rsid w:val="00037929"/>
    <w:rsid w:val="000379D0"/>
    <w:rsid w:val="00040FC4"/>
    <w:rsid w:val="000416F8"/>
    <w:rsid w:val="00042C26"/>
    <w:rsid w:val="00043382"/>
    <w:rsid w:val="00044623"/>
    <w:rsid w:val="000452D7"/>
    <w:rsid w:val="00051622"/>
    <w:rsid w:val="00051A11"/>
    <w:rsid w:val="00051F89"/>
    <w:rsid w:val="00052234"/>
    <w:rsid w:val="00053D7C"/>
    <w:rsid w:val="000544F6"/>
    <w:rsid w:val="000575C5"/>
    <w:rsid w:val="000577C9"/>
    <w:rsid w:val="00060C18"/>
    <w:rsid w:val="00060FFD"/>
    <w:rsid w:val="00061D69"/>
    <w:rsid w:val="0006431E"/>
    <w:rsid w:val="000652EA"/>
    <w:rsid w:val="00065E21"/>
    <w:rsid w:val="000673ED"/>
    <w:rsid w:val="00067854"/>
    <w:rsid w:val="00070DED"/>
    <w:rsid w:val="00071071"/>
    <w:rsid w:val="00072433"/>
    <w:rsid w:val="00072B3E"/>
    <w:rsid w:val="0007488B"/>
    <w:rsid w:val="00075702"/>
    <w:rsid w:val="00075A0C"/>
    <w:rsid w:val="00076498"/>
    <w:rsid w:val="000775C2"/>
    <w:rsid w:val="00077835"/>
    <w:rsid w:val="000801EF"/>
    <w:rsid w:val="000806AD"/>
    <w:rsid w:val="00080BDF"/>
    <w:rsid w:val="00080C57"/>
    <w:rsid w:val="00082482"/>
    <w:rsid w:val="00082CA0"/>
    <w:rsid w:val="00083134"/>
    <w:rsid w:val="00083F73"/>
    <w:rsid w:val="00084CF2"/>
    <w:rsid w:val="00085D7B"/>
    <w:rsid w:val="0008708B"/>
    <w:rsid w:val="00092619"/>
    <w:rsid w:val="00092C66"/>
    <w:rsid w:val="00092CC9"/>
    <w:rsid w:val="000949DD"/>
    <w:rsid w:val="00094E4F"/>
    <w:rsid w:val="00097B9B"/>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371"/>
    <w:rsid w:val="000D35D8"/>
    <w:rsid w:val="000D43F9"/>
    <w:rsid w:val="000D4717"/>
    <w:rsid w:val="000D5DBE"/>
    <w:rsid w:val="000D6457"/>
    <w:rsid w:val="000D7D55"/>
    <w:rsid w:val="000E0993"/>
    <w:rsid w:val="000E2B31"/>
    <w:rsid w:val="000E2E50"/>
    <w:rsid w:val="000E37E0"/>
    <w:rsid w:val="000E3F20"/>
    <w:rsid w:val="000E4C25"/>
    <w:rsid w:val="000E4CBF"/>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15AD"/>
    <w:rsid w:val="001023DB"/>
    <w:rsid w:val="00102B8D"/>
    <w:rsid w:val="001031F4"/>
    <w:rsid w:val="001031FC"/>
    <w:rsid w:val="00103948"/>
    <w:rsid w:val="00103CCF"/>
    <w:rsid w:val="0010417F"/>
    <w:rsid w:val="001042D2"/>
    <w:rsid w:val="0010530E"/>
    <w:rsid w:val="001058BF"/>
    <w:rsid w:val="00105C07"/>
    <w:rsid w:val="00106920"/>
    <w:rsid w:val="00106AD8"/>
    <w:rsid w:val="00107043"/>
    <w:rsid w:val="001078DB"/>
    <w:rsid w:val="001079FA"/>
    <w:rsid w:val="00107EC5"/>
    <w:rsid w:val="001103CD"/>
    <w:rsid w:val="00111D3F"/>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50B8A"/>
    <w:rsid w:val="00150DCB"/>
    <w:rsid w:val="00151912"/>
    <w:rsid w:val="00152466"/>
    <w:rsid w:val="001533D1"/>
    <w:rsid w:val="00153740"/>
    <w:rsid w:val="001537D8"/>
    <w:rsid w:val="00153D88"/>
    <w:rsid w:val="001541C5"/>
    <w:rsid w:val="001554E4"/>
    <w:rsid w:val="0015623F"/>
    <w:rsid w:val="00156585"/>
    <w:rsid w:val="00156BA9"/>
    <w:rsid w:val="00161642"/>
    <w:rsid w:val="00161761"/>
    <w:rsid w:val="00164413"/>
    <w:rsid w:val="00166182"/>
    <w:rsid w:val="0017038B"/>
    <w:rsid w:val="00170C94"/>
    <w:rsid w:val="0017139A"/>
    <w:rsid w:val="001724C8"/>
    <w:rsid w:val="001732C4"/>
    <w:rsid w:val="001745DD"/>
    <w:rsid w:val="00174FDE"/>
    <w:rsid w:val="00174FE3"/>
    <w:rsid w:val="00176D63"/>
    <w:rsid w:val="00177659"/>
    <w:rsid w:val="0017778F"/>
    <w:rsid w:val="001779E5"/>
    <w:rsid w:val="00180826"/>
    <w:rsid w:val="00181240"/>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6235"/>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0F4"/>
    <w:rsid w:val="001E2A30"/>
    <w:rsid w:val="001E2FF1"/>
    <w:rsid w:val="001E3FE1"/>
    <w:rsid w:val="001E41FE"/>
    <w:rsid w:val="001E4989"/>
    <w:rsid w:val="001E635C"/>
    <w:rsid w:val="001E6A77"/>
    <w:rsid w:val="001F0297"/>
    <w:rsid w:val="001F29F9"/>
    <w:rsid w:val="001F3188"/>
    <w:rsid w:val="001F6E0B"/>
    <w:rsid w:val="00200AA0"/>
    <w:rsid w:val="00202325"/>
    <w:rsid w:val="00202459"/>
    <w:rsid w:val="00202736"/>
    <w:rsid w:val="00202D1C"/>
    <w:rsid w:val="00203652"/>
    <w:rsid w:val="00204562"/>
    <w:rsid w:val="00205B4F"/>
    <w:rsid w:val="002060B6"/>
    <w:rsid w:val="002066B5"/>
    <w:rsid w:val="00210EAC"/>
    <w:rsid w:val="00211612"/>
    <w:rsid w:val="002119B6"/>
    <w:rsid w:val="00212389"/>
    <w:rsid w:val="002129C1"/>
    <w:rsid w:val="00212B40"/>
    <w:rsid w:val="00213B85"/>
    <w:rsid w:val="00213BD0"/>
    <w:rsid w:val="00214DBA"/>
    <w:rsid w:val="00214EED"/>
    <w:rsid w:val="002151AB"/>
    <w:rsid w:val="0021548C"/>
    <w:rsid w:val="00215C4C"/>
    <w:rsid w:val="00215ED6"/>
    <w:rsid w:val="00216049"/>
    <w:rsid w:val="002163FA"/>
    <w:rsid w:val="00217606"/>
    <w:rsid w:val="00217C09"/>
    <w:rsid w:val="00220F5C"/>
    <w:rsid w:val="00220FA9"/>
    <w:rsid w:val="002216BF"/>
    <w:rsid w:val="00221B9B"/>
    <w:rsid w:val="00222268"/>
    <w:rsid w:val="0022375F"/>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0C6"/>
    <w:rsid w:val="00277217"/>
    <w:rsid w:val="002810A4"/>
    <w:rsid w:val="0028261C"/>
    <w:rsid w:val="00282DB6"/>
    <w:rsid w:val="002833E3"/>
    <w:rsid w:val="00284A26"/>
    <w:rsid w:val="00285095"/>
    <w:rsid w:val="00287006"/>
    <w:rsid w:val="0029030A"/>
    <w:rsid w:val="00290B29"/>
    <w:rsid w:val="00292397"/>
    <w:rsid w:val="00292AB2"/>
    <w:rsid w:val="00292B82"/>
    <w:rsid w:val="00293DB6"/>
    <w:rsid w:val="00293FE8"/>
    <w:rsid w:val="00294437"/>
    <w:rsid w:val="00295929"/>
    <w:rsid w:val="00296686"/>
    <w:rsid w:val="00297A00"/>
    <w:rsid w:val="00297A45"/>
    <w:rsid w:val="00297E20"/>
    <w:rsid w:val="002A22B3"/>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3128"/>
    <w:rsid w:val="002D5330"/>
    <w:rsid w:val="002D5F57"/>
    <w:rsid w:val="002D73D4"/>
    <w:rsid w:val="002D7787"/>
    <w:rsid w:val="002E058C"/>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6AD8"/>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3F03"/>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1C5"/>
    <w:rsid w:val="00347D0D"/>
    <w:rsid w:val="00351498"/>
    <w:rsid w:val="00352B22"/>
    <w:rsid w:val="00352CBF"/>
    <w:rsid w:val="00354547"/>
    <w:rsid w:val="003549F5"/>
    <w:rsid w:val="003554B7"/>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EF0"/>
    <w:rsid w:val="003A40B4"/>
    <w:rsid w:val="003A41BA"/>
    <w:rsid w:val="003A5491"/>
    <w:rsid w:val="003A5958"/>
    <w:rsid w:val="003A6A99"/>
    <w:rsid w:val="003A6E60"/>
    <w:rsid w:val="003A76AB"/>
    <w:rsid w:val="003A7FF8"/>
    <w:rsid w:val="003B17AC"/>
    <w:rsid w:val="003B2143"/>
    <w:rsid w:val="003B227A"/>
    <w:rsid w:val="003B25EB"/>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71E"/>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4FD7"/>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7B8A"/>
    <w:rsid w:val="00437D18"/>
    <w:rsid w:val="00437D77"/>
    <w:rsid w:val="00440698"/>
    <w:rsid w:val="00441D9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4F91"/>
    <w:rsid w:val="0045645D"/>
    <w:rsid w:val="0045707D"/>
    <w:rsid w:val="004574C6"/>
    <w:rsid w:val="00457743"/>
    <w:rsid w:val="00457BCF"/>
    <w:rsid w:val="00457DCE"/>
    <w:rsid w:val="00460E3F"/>
    <w:rsid w:val="0046111A"/>
    <w:rsid w:val="004613A3"/>
    <w:rsid w:val="00462F68"/>
    <w:rsid w:val="00463478"/>
    <w:rsid w:val="0046369B"/>
    <w:rsid w:val="004640E9"/>
    <w:rsid w:val="004644B7"/>
    <w:rsid w:val="004647EB"/>
    <w:rsid w:val="00466CED"/>
    <w:rsid w:val="00466EB5"/>
    <w:rsid w:val="00467592"/>
    <w:rsid w:val="00467690"/>
    <w:rsid w:val="00467A14"/>
    <w:rsid w:val="004718E7"/>
    <w:rsid w:val="00472289"/>
    <w:rsid w:val="00472535"/>
    <w:rsid w:val="004739F9"/>
    <w:rsid w:val="004761CC"/>
    <w:rsid w:val="00476229"/>
    <w:rsid w:val="004766C9"/>
    <w:rsid w:val="00480D4A"/>
    <w:rsid w:val="00481DA1"/>
    <w:rsid w:val="00482B19"/>
    <w:rsid w:val="00483A2B"/>
    <w:rsid w:val="00484212"/>
    <w:rsid w:val="004848C3"/>
    <w:rsid w:val="00484BA9"/>
    <w:rsid w:val="0048599A"/>
    <w:rsid w:val="00486818"/>
    <w:rsid w:val="00490CFC"/>
    <w:rsid w:val="0049255F"/>
    <w:rsid w:val="0049445D"/>
    <w:rsid w:val="00494D39"/>
    <w:rsid w:val="00495350"/>
    <w:rsid w:val="00495AD7"/>
    <w:rsid w:val="00495E3C"/>
    <w:rsid w:val="00496041"/>
    <w:rsid w:val="00497156"/>
    <w:rsid w:val="004A0C79"/>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26C"/>
    <w:rsid w:val="004D362B"/>
    <w:rsid w:val="004D3C7F"/>
    <w:rsid w:val="004D42CB"/>
    <w:rsid w:val="004D4A0C"/>
    <w:rsid w:val="004D55D3"/>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1A0"/>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220B"/>
    <w:rsid w:val="00512253"/>
    <w:rsid w:val="00512484"/>
    <w:rsid w:val="00514449"/>
    <w:rsid w:val="005144A7"/>
    <w:rsid w:val="00515419"/>
    <w:rsid w:val="005157BD"/>
    <w:rsid w:val="005214A3"/>
    <w:rsid w:val="005222E7"/>
    <w:rsid w:val="00523488"/>
    <w:rsid w:val="00523A8B"/>
    <w:rsid w:val="00523E04"/>
    <w:rsid w:val="00524D3A"/>
    <w:rsid w:val="00525003"/>
    <w:rsid w:val="0052590B"/>
    <w:rsid w:val="0052592B"/>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0F1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0ACF"/>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5C5"/>
    <w:rsid w:val="005B5B3D"/>
    <w:rsid w:val="005B5E8F"/>
    <w:rsid w:val="005B64CF"/>
    <w:rsid w:val="005B72DA"/>
    <w:rsid w:val="005C0E87"/>
    <w:rsid w:val="005C1398"/>
    <w:rsid w:val="005C16F3"/>
    <w:rsid w:val="005C2F9A"/>
    <w:rsid w:val="005C3758"/>
    <w:rsid w:val="005C4D72"/>
    <w:rsid w:val="005C50C1"/>
    <w:rsid w:val="005C62C2"/>
    <w:rsid w:val="005D0ABC"/>
    <w:rsid w:val="005D2306"/>
    <w:rsid w:val="005D2562"/>
    <w:rsid w:val="005D2666"/>
    <w:rsid w:val="005D3755"/>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F57"/>
    <w:rsid w:val="005F5342"/>
    <w:rsid w:val="005F55F5"/>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62CF"/>
    <w:rsid w:val="006770AA"/>
    <w:rsid w:val="00680450"/>
    <w:rsid w:val="0068098E"/>
    <w:rsid w:val="006810BD"/>
    <w:rsid w:val="00682486"/>
    <w:rsid w:val="006833A7"/>
    <w:rsid w:val="00684CE6"/>
    <w:rsid w:val="00684E2B"/>
    <w:rsid w:val="006857A0"/>
    <w:rsid w:val="006870CE"/>
    <w:rsid w:val="00687C7E"/>
    <w:rsid w:val="00687D3D"/>
    <w:rsid w:val="00690569"/>
    <w:rsid w:val="00690FDA"/>
    <w:rsid w:val="00691E61"/>
    <w:rsid w:val="00692180"/>
    <w:rsid w:val="006937C6"/>
    <w:rsid w:val="00693C1B"/>
    <w:rsid w:val="00693C5E"/>
    <w:rsid w:val="00693CEE"/>
    <w:rsid w:val="00694EEA"/>
    <w:rsid w:val="006955B4"/>
    <w:rsid w:val="00695DEF"/>
    <w:rsid w:val="00696476"/>
    <w:rsid w:val="0069687C"/>
    <w:rsid w:val="00696C74"/>
    <w:rsid w:val="00697C9B"/>
    <w:rsid w:val="006A10FA"/>
    <w:rsid w:val="006A12E0"/>
    <w:rsid w:val="006A3D6C"/>
    <w:rsid w:val="006A40E6"/>
    <w:rsid w:val="006A516B"/>
    <w:rsid w:val="006A5362"/>
    <w:rsid w:val="006A543A"/>
    <w:rsid w:val="006A5C07"/>
    <w:rsid w:val="006A714F"/>
    <w:rsid w:val="006A75FA"/>
    <w:rsid w:val="006B07D5"/>
    <w:rsid w:val="006B1309"/>
    <w:rsid w:val="006B1E84"/>
    <w:rsid w:val="006B31E6"/>
    <w:rsid w:val="006B3923"/>
    <w:rsid w:val="006B3F3E"/>
    <w:rsid w:val="006B4AA2"/>
    <w:rsid w:val="006B4C4D"/>
    <w:rsid w:val="006B53C4"/>
    <w:rsid w:val="006B586B"/>
    <w:rsid w:val="006B5923"/>
    <w:rsid w:val="006B67D9"/>
    <w:rsid w:val="006B6C14"/>
    <w:rsid w:val="006B7159"/>
    <w:rsid w:val="006B715E"/>
    <w:rsid w:val="006B7BE0"/>
    <w:rsid w:val="006C1D6E"/>
    <w:rsid w:val="006C241F"/>
    <w:rsid w:val="006C2EF6"/>
    <w:rsid w:val="006C3A68"/>
    <w:rsid w:val="006C3B08"/>
    <w:rsid w:val="006C6AB1"/>
    <w:rsid w:val="006C6E6B"/>
    <w:rsid w:val="006C714C"/>
    <w:rsid w:val="006C73D4"/>
    <w:rsid w:val="006D0DDB"/>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CAE"/>
    <w:rsid w:val="00763F95"/>
    <w:rsid w:val="007646CF"/>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90"/>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2C5F"/>
    <w:rsid w:val="007D3882"/>
    <w:rsid w:val="007D39E4"/>
    <w:rsid w:val="007D3FE7"/>
    <w:rsid w:val="007D4CFC"/>
    <w:rsid w:val="007D568A"/>
    <w:rsid w:val="007D574E"/>
    <w:rsid w:val="007D57C0"/>
    <w:rsid w:val="007D67CB"/>
    <w:rsid w:val="007D6BFE"/>
    <w:rsid w:val="007D7A0F"/>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7BD"/>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3BC1"/>
    <w:rsid w:val="00834458"/>
    <w:rsid w:val="00834AEA"/>
    <w:rsid w:val="00834E0A"/>
    <w:rsid w:val="00835841"/>
    <w:rsid w:val="00835BF8"/>
    <w:rsid w:val="00835FB7"/>
    <w:rsid w:val="00837465"/>
    <w:rsid w:val="0084002E"/>
    <w:rsid w:val="00840159"/>
    <w:rsid w:val="00840621"/>
    <w:rsid w:val="00840DCC"/>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6428"/>
    <w:rsid w:val="00856AC7"/>
    <w:rsid w:val="00856FA4"/>
    <w:rsid w:val="00857B4F"/>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2CC2"/>
    <w:rsid w:val="00882D81"/>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22A0"/>
    <w:rsid w:val="008F30F4"/>
    <w:rsid w:val="008F58E1"/>
    <w:rsid w:val="008F6E05"/>
    <w:rsid w:val="008F6FC8"/>
    <w:rsid w:val="009001FA"/>
    <w:rsid w:val="0090045D"/>
    <w:rsid w:val="00900906"/>
    <w:rsid w:val="00900D8F"/>
    <w:rsid w:val="00901229"/>
    <w:rsid w:val="009014E3"/>
    <w:rsid w:val="009020ED"/>
    <w:rsid w:val="009026E8"/>
    <w:rsid w:val="00902FDD"/>
    <w:rsid w:val="00905EEF"/>
    <w:rsid w:val="00906EB7"/>
    <w:rsid w:val="0090720E"/>
    <w:rsid w:val="00907FE6"/>
    <w:rsid w:val="009102BF"/>
    <w:rsid w:val="00911490"/>
    <w:rsid w:val="009115F2"/>
    <w:rsid w:val="00911B11"/>
    <w:rsid w:val="00913A93"/>
    <w:rsid w:val="00914ADB"/>
    <w:rsid w:val="00915196"/>
    <w:rsid w:val="00917182"/>
    <w:rsid w:val="00920251"/>
    <w:rsid w:val="00920259"/>
    <w:rsid w:val="00921CFD"/>
    <w:rsid w:val="009228D1"/>
    <w:rsid w:val="00923B25"/>
    <w:rsid w:val="0092402E"/>
    <w:rsid w:val="009259BA"/>
    <w:rsid w:val="00926C0A"/>
    <w:rsid w:val="00926FCB"/>
    <w:rsid w:val="0092763A"/>
    <w:rsid w:val="009303BB"/>
    <w:rsid w:val="0093108A"/>
    <w:rsid w:val="009319EF"/>
    <w:rsid w:val="00931B6D"/>
    <w:rsid w:val="0093311A"/>
    <w:rsid w:val="009346D0"/>
    <w:rsid w:val="009369A6"/>
    <w:rsid w:val="00936E38"/>
    <w:rsid w:val="009374E6"/>
    <w:rsid w:val="00937F57"/>
    <w:rsid w:val="0094031E"/>
    <w:rsid w:val="0094083F"/>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091B"/>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ABD"/>
    <w:rsid w:val="00984EBF"/>
    <w:rsid w:val="00985099"/>
    <w:rsid w:val="00985D32"/>
    <w:rsid w:val="00986514"/>
    <w:rsid w:val="00986FCC"/>
    <w:rsid w:val="00990FD6"/>
    <w:rsid w:val="009935C3"/>
    <w:rsid w:val="0099421F"/>
    <w:rsid w:val="00994D33"/>
    <w:rsid w:val="00994FC8"/>
    <w:rsid w:val="009A0346"/>
    <w:rsid w:val="009A0DE3"/>
    <w:rsid w:val="009A1643"/>
    <w:rsid w:val="009A215A"/>
    <w:rsid w:val="009A26B9"/>
    <w:rsid w:val="009A49D3"/>
    <w:rsid w:val="009A4F1B"/>
    <w:rsid w:val="009A55E4"/>
    <w:rsid w:val="009A66C5"/>
    <w:rsid w:val="009A66E7"/>
    <w:rsid w:val="009A7578"/>
    <w:rsid w:val="009A79BA"/>
    <w:rsid w:val="009B10F9"/>
    <w:rsid w:val="009B14D1"/>
    <w:rsid w:val="009B1534"/>
    <w:rsid w:val="009B4963"/>
    <w:rsid w:val="009B4A3B"/>
    <w:rsid w:val="009B6023"/>
    <w:rsid w:val="009B69D3"/>
    <w:rsid w:val="009B721E"/>
    <w:rsid w:val="009B7BA7"/>
    <w:rsid w:val="009B7C01"/>
    <w:rsid w:val="009C0938"/>
    <w:rsid w:val="009C0C22"/>
    <w:rsid w:val="009C12A1"/>
    <w:rsid w:val="009C15D9"/>
    <w:rsid w:val="009C1A1D"/>
    <w:rsid w:val="009C22C8"/>
    <w:rsid w:val="009C3F82"/>
    <w:rsid w:val="009C4B3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E7C8D"/>
    <w:rsid w:val="009F020F"/>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1E31"/>
    <w:rsid w:val="00A1213C"/>
    <w:rsid w:val="00A12553"/>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3EB9"/>
    <w:rsid w:val="00AA493E"/>
    <w:rsid w:val="00AA73AF"/>
    <w:rsid w:val="00AB062D"/>
    <w:rsid w:val="00AB0A8A"/>
    <w:rsid w:val="00AB1754"/>
    <w:rsid w:val="00AB1F8D"/>
    <w:rsid w:val="00AB27DD"/>
    <w:rsid w:val="00AB4BA4"/>
    <w:rsid w:val="00AB592E"/>
    <w:rsid w:val="00AC0C1C"/>
    <w:rsid w:val="00AC1305"/>
    <w:rsid w:val="00AC37BE"/>
    <w:rsid w:val="00AC439D"/>
    <w:rsid w:val="00AC4BA1"/>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6CA3"/>
    <w:rsid w:val="00AD7F8F"/>
    <w:rsid w:val="00AE0BF9"/>
    <w:rsid w:val="00AE1273"/>
    <w:rsid w:val="00AE18C5"/>
    <w:rsid w:val="00AE2540"/>
    <w:rsid w:val="00AE2CF4"/>
    <w:rsid w:val="00AE2D29"/>
    <w:rsid w:val="00AE2F15"/>
    <w:rsid w:val="00AE4624"/>
    <w:rsid w:val="00AE48DA"/>
    <w:rsid w:val="00AE4B1D"/>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4562"/>
    <w:rsid w:val="00B0472F"/>
    <w:rsid w:val="00B06930"/>
    <w:rsid w:val="00B0773A"/>
    <w:rsid w:val="00B07955"/>
    <w:rsid w:val="00B1176B"/>
    <w:rsid w:val="00B11858"/>
    <w:rsid w:val="00B13A51"/>
    <w:rsid w:val="00B140B8"/>
    <w:rsid w:val="00B1420C"/>
    <w:rsid w:val="00B144AE"/>
    <w:rsid w:val="00B14FAA"/>
    <w:rsid w:val="00B15BED"/>
    <w:rsid w:val="00B15D30"/>
    <w:rsid w:val="00B15F09"/>
    <w:rsid w:val="00B16D18"/>
    <w:rsid w:val="00B177DE"/>
    <w:rsid w:val="00B20624"/>
    <w:rsid w:val="00B21F2F"/>
    <w:rsid w:val="00B222D2"/>
    <w:rsid w:val="00B22D42"/>
    <w:rsid w:val="00B231F4"/>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1F5"/>
    <w:rsid w:val="00B50227"/>
    <w:rsid w:val="00B50510"/>
    <w:rsid w:val="00B505E9"/>
    <w:rsid w:val="00B522CD"/>
    <w:rsid w:val="00B55143"/>
    <w:rsid w:val="00B553B2"/>
    <w:rsid w:val="00B555C8"/>
    <w:rsid w:val="00B55917"/>
    <w:rsid w:val="00B55D87"/>
    <w:rsid w:val="00B55FB5"/>
    <w:rsid w:val="00B5646A"/>
    <w:rsid w:val="00B56F3D"/>
    <w:rsid w:val="00B57921"/>
    <w:rsid w:val="00B57E78"/>
    <w:rsid w:val="00B57EB8"/>
    <w:rsid w:val="00B609F6"/>
    <w:rsid w:val="00B60E75"/>
    <w:rsid w:val="00B63EAE"/>
    <w:rsid w:val="00B64261"/>
    <w:rsid w:val="00B643A6"/>
    <w:rsid w:val="00B64DD6"/>
    <w:rsid w:val="00B66505"/>
    <w:rsid w:val="00B6710C"/>
    <w:rsid w:val="00B67E84"/>
    <w:rsid w:val="00B713E7"/>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95CFF"/>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20C1"/>
    <w:rsid w:val="00BB382E"/>
    <w:rsid w:val="00BB45B5"/>
    <w:rsid w:val="00BB4DDE"/>
    <w:rsid w:val="00BB6064"/>
    <w:rsid w:val="00BB65CE"/>
    <w:rsid w:val="00BB7012"/>
    <w:rsid w:val="00BB7C79"/>
    <w:rsid w:val="00BC09D1"/>
    <w:rsid w:val="00BC10C6"/>
    <w:rsid w:val="00BC1CF3"/>
    <w:rsid w:val="00BC2BE0"/>
    <w:rsid w:val="00BC3573"/>
    <w:rsid w:val="00BC5860"/>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1AE"/>
    <w:rsid w:val="00C3223A"/>
    <w:rsid w:val="00C33808"/>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475A8"/>
    <w:rsid w:val="00C5019E"/>
    <w:rsid w:val="00C50C8C"/>
    <w:rsid w:val="00C51962"/>
    <w:rsid w:val="00C5377C"/>
    <w:rsid w:val="00C53E8A"/>
    <w:rsid w:val="00C54DF3"/>
    <w:rsid w:val="00C55F3B"/>
    <w:rsid w:val="00C560A7"/>
    <w:rsid w:val="00C56FC8"/>
    <w:rsid w:val="00C574DB"/>
    <w:rsid w:val="00C60F23"/>
    <w:rsid w:val="00C6170B"/>
    <w:rsid w:val="00C62EB2"/>
    <w:rsid w:val="00C62F5A"/>
    <w:rsid w:val="00C63431"/>
    <w:rsid w:val="00C64C87"/>
    <w:rsid w:val="00C65414"/>
    <w:rsid w:val="00C665FE"/>
    <w:rsid w:val="00C71BEC"/>
    <w:rsid w:val="00C73942"/>
    <w:rsid w:val="00C73A83"/>
    <w:rsid w:val="00C7441E"/>
    <w:rsid w:val="00C74D3A"/>
    <w:rsid w:val="00C75E62"/>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6414"/>
    <w:rsid w:val="00CD76F8"/>
    <w:rsid w:val="00CD78A5"/>
    <w:rsid w:val="00CE02E8"/>
    <w:rsid w:val="00CE069E"/>
    <w:rsid w:val="00CE0DE0"/>
    <w:rsid w:val="00CE2B1F"/>
    <w:rsid w:val="00CE2CC2"/>
    <w:rsid w:val="00CE3722"/>
    <w:rsid w:val="00CF0280"/>
    <w:rsid w:val="00CF158D"/>
    <w:rsid w:val="00CF2166"/>
    <w:rsid w:val="00CF4340"/>
    <w:rsid w:val="00CF4394"/>
    <w:rsid w:val="00CF48B4"/>
    <w:rsid w:val="00CF5C12"/>
    <w:rsid w:val="00CF74AF"/>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3F43"/>
    <w:rsid w:val="00D14BAE"/>
    <w:rsid w:val="00D15107"/>
    <w:rsid w:val="00D1648B"/>
    <w:rsid w:val="00D16819"/>
    <w:rsid w:val="00D17DD9"/>
    <w:rsid w:val="00D20AC0"/>
    <w:rsid w:val="00D20D2B"/>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4AF3"/>
    <w:rsid w:val="00D45319"/>
    <w:rsid w:val="00D462D7"/>
    <w:rsid w:val="00D46A33"/>
    <w:rsid w:val="00D5062C"/>
    <w:rsid w:val="00D50C8C"/>
    <w:rsid w:val="00D52097"/>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0FA"/>
    <w:rsid w:val="00D677D2"/>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2FF"/>
    <w:rsid w:val="00D8545C"/>
    <w:rsid w:val="00D86AB5"/>
    <w:rsid w:val="00D86CE1"/>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EE2"/>
    <w:rsid w:val="00DA0FE3"/>
    <w:rsid w:val="00DA195B"/>
    <w:rsid w:val="00DA27F3"/>
    <w:rsid w:val="00DA2B49"/>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A3C"/>
    <w:rsid w:val="00DC4FA4"/>
    <w:rsid w:val="00DC5028"/>
    <w:rsid w:val="00DC5B37"/>
    <w:rsid w:val="00DD286D"/>
    <w:rsid w:val="00DD2CAF"/>
    <w:rsid w:val="00DD3593"/>
    <w:rsid w:val="00DD462A"/>
    <w:rsid w:val="00DD64E0"/>
    <w:rsid w:val="00DD775C"/>
    <w:rsid w:val="00DD7BE0"/>
    <w:rsid w:val="00DE0C67"/>
    <w:rsid w:val="00DE3555"/>
    <w:rsid w:val="00DE3AAD"/>
    <w:rsid w:val="00DE598A"/>
    <w:rsid w:val="00DE5A80"/>
    <w:rsid w:val="00DE6952"/>
    <w:rsid w:val="00DE6FBE"/>
    <w:rsid w:val="00DE7A7D"/>
    <w:rsid w:val="00DE7E74"/>
    <w:rsid w:val="00DF071B"/>
    <w:rsid w:val="00DF50BF"/>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07880"/>
    <w:rsid w:val="00E100E3"/>
    <w:rsid w:val="00E1012B"/>
    <w:rsid w:val="00E103C8"/>
    <w:rsid w:val="00E1085B"/>
    <w:rsid w:val="00E10EDF"/>
    <w:rsid w:val="00E10FA5"/>
    <w:rsid w:val="00E12DE9"/>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64F0"/>
    <w:rsid w:val="00E46EF3"/>
    <w:rsid w:val="00E47370"/>
    <w:rsid w:val="00E473E9"/>
    <w:rsid w:val="00E47B47"/>
    <w:rsid w:val="00E50BEB"/>
    <w:rsid w:val="00E523FB"/>
    <w:rsid w:val="00E53460"/>
    <w:rsid w:val="00E54846"/>
    <w:rsid w:val="00E548FA"/>
    <w:rsid w:val="00E55CD9"/>
    <w:rsid w:val="00E576DC"/>
    <w:rsid w:val="00E57703"/>
    <w:rsid w:val="00E57ED4"/>
    <w:rsid w:val="00E57FED"/>
    <w:rsid w:val="00E6092F"/>
    <w:rsid w:val="00E61EE9"/>
    <w:rsid w:val="00E62049"/>
    <w:rsid w:val="00E629DA"/>
    <w:rsid w:val="00E64374"/>
    <w:rsid w:val="00E6451F"/>
    <w:rsid w:val="00E6469F"/>
    <w:rsid w:val="00E6546A"/>
    <w:rsid w:val="00E65985"/>
    <w:rsid w:val="00E65C05"/>
    <w:rsid w:val="00E65D39"/>
    <w:rsid w:val="00E670F8"/>
    <w:rsid w:val="00E6741B"/>
    <w:rsid w:val="00E67FAC"/>
    <w:rsid w:val="00E70164"/>
    <w:rsid w:val="00E71485"/>
    <w:rsid w:val="00E7200B"/>
    <w:rsid w:val="00E738CB"/>
    <w:rsid w:val="00E73C88"/>
    <w:rsid w:val="00E73E21"/>
    <w:rsid w:val="00E74049"/>
    <w:rsid w:val="00E74437"/>
    <w:rsid w:val="00E7443D"/>
    <w:rsid w:val="00E75ACE"/>
    <w:rsid w:val="00E771AF"/>
    <w:rsid w:val="00E80386"/>
    <w:rsid w:val="00E809C3"/>
    <w:rsid w:val="00E814D4"/>
    <w:rsid w:val="00E814DB"/>
    <w:rsid w:val="00E81A1A"/>
    <w:rsid w:val="00E81C3E"/>
    <w:rsid w:val="00E82359"/>
    <w:rsid w:val="00E82B6D"/>
    <w:rsid w:val="00E83187"/>
    <w:rsid w:val="00E831E9"/>
    <w:rsid w:val="00E83230"/>
    <w:rsid w:val="00E84DDA"/>
    <w:rsid w:val="00E8608F"/>
    <w:rsid w:val="00E86C1D"/>
    <w:rsid w:val="00E87568"/>
    <w:rsid w:val="00E90703"/>
    <w:rsid w:val="00E90A62"/>
    <w:rsid w:val="00E91CB8"/>
    <w:rsid w:val="00E9265E"/>
    <w:rsid w:val="00E956DB"/>
    <w:rsid w:val="00E957D7"/>
    <w:rsid w:val="00E9763D"/>
    <w:rsid w:val="00EA00A4"/>
    <w:rsid w:val="00EA1177"/>
    <w:rsid w:val="00EA118B"/>
    <w:rsid w:val="00EA11B6"/>
    <w:rsid w:val="00EA2181"/>
    <w:rsid w:val="00EA2DD8"/>
    <w:rsid w:val="00EA30FC"/>
    <w:rsid w:val="00EA3B53"/>
    <w:rsid w:val="00EA4475"/>
    <w:rsid w:val="00EA52FE"/>
    <w:rsid w:val="00EA681F"/>
    <w:rsid w:val="00EB04A2"/>
    <w:rsid w:val="00EB04C6"/>
    <w:rsid w:val="00EB06A6"/>
    <w:rsid w:val="00EB29EA"/>
    <w:rsid w:val="00EB3307"/>
    <w:rsid w:val="00EB3823"/>
    <w:rsid w:val="00EB3CBB"/>
    <w:rsid w:val="00EB47D8"/>
    <w:rsid w:val="00EB57D3"/>
    <w:rsid w:val="00EB5B19"/>
    <w:rsid w:val="00EB5EFD"/>
    <w:rsid w:val="00EB679F"/>
    <w:rsid w:val="00EB76E4"/>
    <w:rsid w:val="00EC0E65"/>
    <w:rsid w:val="00EC1251"/>
    <w:rsid w:val="00EC2938"/>
    <w:rsid w:val="00EC337D"/>
    <w:rsid w:val="00EC38EF"/>
    <w:rsid w:val="00EC48A1"/>
    <w:rsid w:val="00EC50C9"/>
    <w:rsid w:val="00EC58B4"/>
    <w:rsid w:val="00EC5BB2"/>
    <w:rsid w:val="00EC75AF"/>
    <w:rsid w:val="00ED05B1"/>
    <w:rsid w:val="00ED0615"/>
    <w:rsid w:val="00ED0BCD"/>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4FB8"/>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170"/>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638"/>
    <w:rsid w:val="00F14933"/>
    <w:rsid w:val="00F1516A"/>
    <w:rsid w:val="00F15EE5"/>
    <w:rsid w:val="00F171F9"/>
    <w:rsid w:val="00F1737C"/>
    <w:rsid w:val="00F173AA"/>
    <w:rsid w:val="00F22A26"/>
    <w:rsid w:val="00F24072"/>
    <w:rsid w:val="00F26432"/>
    <w:rsid w:val="00F3197A"/>
    <w:rsid w:val="00F32139"/>
    <w:rsid w:val="00F3220E"/>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2165"/>
    <w:rsid w:val="00F531D9"/>
    <w:rsid w:val="00F54D8E"/>
    <w:rsid w:val="00F5580D"/>
    <w:rsid w:val="00F566B7"/>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24F2"/>
    <w:rsid w:val="00FA2B96"/>
    <w:rsid w:val="00FA2DEF"/>
    <w:rsid w:val="00FA2F7B"/>
    <w:rsid w:val="00FA36CC"/>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42B7"/>
    <w:rsid w:val="00FB4484"/>
    <w:rsid w:val="00FB593A"/>
    <w:rsid w:val="00FB6410"/>
    <w:rsid w:val="00FB6E82"/>
    <w:rsid w:val="00FB792E"/>
    <w:rsid w:val="00FB7CF0"/>
    <w:rsid w:val="00FC0042"/>
    <w:rsid w:val="00FC02E1"/>
    <w:rsid w:val="00FC1E67"/>
    <w:rsid w:val="00FC2A13"/>
    <w:rsid w:val="00FC4284"/>
    <w:rsid w:val="00FC4576"/>
    <w:rsid w:val="00FC494C"/>
    <w:rsid w:val="00FC4EA6"/>
    <w:rsid w:val="00FC5FF5"/>
    <w:rsid w:val="00FC6285"/>
    <w:rsid w:val="00FC78FB"/>
    <w:rsid w:val="00FC7DBC"/>
    <w:rsid w:val="00FD076A"/>
    <w:rsid w:val="00FD0AA0"/>
    <w:rsid w:val="00FD1D5A"/>
    <w:rsid w:val="00FD4B85"/>
    <w:rsid w:val="00FD5059"/>
    <w:rsid w:val="00FD554D"/>
    <w:rsid w:val="00FD5BCC"/>
    <w:rsid w:val="00FD5EB8"/>
    <w:rsid w:val="00FD6C2D"/>
    <w:rsid w:val="00FD7B23"/>
    <w:rsid w:val="00FD7E6C"/>
    <w:rsid w:val="00FE1A5F"/>
    <w:rsid w:val="00FE2A48"/>
    <w:rsid w:val="00FE2DEF"/>
    <w:rsid w:val="00FE323C"/>
    <w:rsid w:val="00FE3A27"/>
    <w:rsid w:val="00FE48A6"/>
    <w:rsid w:val="00FE5D0A"/>
    <w:rsid w:val="00FE6469"/>
    <w:rsid w:val="00FE7C22"/>
    <w:rsid w:val="00FE7C6D"/>
    <w:rsid w:val="00FE7EB9"/>
    <w:rsid w:val="00FF05D0"/>
    <w:rsid w:val="00FF06CE"/>
    <w:rsid w:val="00FF0DC2"/>
    <w:rsid w:val="00FF0FF7"/>
    <w:rsid w:val="00FF1022"/>
    <w:rsid w:val="00FF10A2"/>
    <w:rsid w:val="00FF1438"/>
    <w:rsid w:val="00FF223A"/>
    <w:rsid w:val="00FF28D3"/>
    <w:rsid w:val="00FF3A38"/>
    <w:rsid w:val="00FF3C25"/>
    <w:rsid w:val="00FF4129"/>
    <w:rsid w:val="00FF44F7"/>
    <w:rsid w:val="00FF4C90"/>
    <w:rsid w:val="00FF5806"/>
    <w:rsid w:val="00FF61BD"/>
    <w:rsid w:val="00FF65D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table" w:customStyle="1" w:styleId="TableGrid1">
    <w:name w:val="Table Grid1"/>
    <w:basedOn w:val="TableNormal"/>
    <w:uiPriority w:val="59"/>
    <w:rsid w:val="00F3220E"/>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429670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3049</Words>
  <Characters>17380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2012-05-30T14:30:00Z</cp:lastPrinted>
  <dcterms:created xsi:type="dcterms:W3CDTF">2012-07-16T19:35:00Z</dcterms:created>
  <dcterms:modified xsi:type="dcterms:W3CDTF">2012-07-16T19:35:00Z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