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52A4B" w:rsidRDefault="00F629C0" w:rsidP="00AC5C65">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AC5C65">
        <w:rPr>
          <w:caps/>
          <w:color w:val="000000" w:themeColor="text1"/>
        </w:rPr>
        <w:t xml:space="preserve"> </w:t>
      </w:r>
      <w:r w:rsidR="004216DA" w:rsidRPr="00652A4B">
        <w:rPr>
          <w:caps/>
          <w:color w:val="000000" w:themeColor="text1"/>
        </w:rPr>
        <w:t xml:space="preserve">          </w:t>
      </w:r>
      <w:r w:rsidR="00332DE3" w:rsidRPr="00652A4B">
        <w:rPr>
          <w:caps/>
          <w:color w:val="000000" w:themeColor="text1"/>
        </w:rPr>
        <w:t xml:space="preserve"> </w:t>
      </w:r>
      <w:r w:rsidR="004216DA" w:rsidRPr="00652A4B">
        <w:rPr>
          <w:caps/>
          <w:color w:val="000000" w:themeColor="text1"/>
        </w:rPr>
        <w:t xml:space="preserve">  </w:t>
      </w:r>
      <w:r w:rsidR="002D62AE" w:rsidRPr="00652A4B">
        <w:rPr>
          <w:caps/>
          <w:color w:val="000000" w:themeColor="text1"/>
        </w:rPr>
        <w:t xml:space="preserve">                    </w:t>
      </w:r>
      <w:r w:rsidR="00C67F5C" w:rsidRPr="00652A4B">
        <w:rPr>
          <w:caps/>
          <w:color w:val="000000" w:themeColor="text1"/>
        </w:rPr>
        <w:t xml:space="preserve">                         </w:t>
      </w:r>
      <w:r w:rsidR="00652A4B">
        <w:rPr>
          <w:caps/>
          <w:color w:val="000000" w:themeColor="text1"/>
        </w:rPr>
        <w:t xml:space="preserve">    </w:t>
      </w:r>
      <w:r w:rsidR="00AC5C65">
        <w:rPr>
          <w:caps/>
          <w:color w:val="000000" w:themeColor="text1"/>
        </w:rPr>
        <w:tab/>
      </w:r>
      <w:r w:rsidR="00AC5C65">
        <w:rPr>
          <w:caps/>
          <w:color w:val="000000" w:themeColor="text1"/>
        </w:rPr>
        <w:tab/>
      </w:r>
      <w:r w:rsidRPr="00652A4B">
        <w:rPr>
          <w:caps/>
          <w:color w:val="000000" w:themeColor="text1"/>
        </w:rPr>
        <w:t xml:space="preserve">BRANCH OF SERVICE: </w:t>
      </w:r>
      <w:r w:rsidR="004C24C5" w:rsidRPr="00652A4B">
        <w:rPr>
          <w:caps/>
          <w:color w:val="000000" w:themeColor="text1"/>
        </w:rPr>
        <w:t xml:space="preserve"> </w:t>
      </w:r>
      <w:r w:rsidR="006C1513" w:rsidRPr="00652A4B">
        <w:rPr>
          <w:caps/>
          <w:color w:val="000000" w:themeColor="text1"/>
        </w:rPr>
        <w:t>Army</w:t>
      </w:r>
    </w:p>
    <w:p w:rsidR="00DE3AAD" w:rsidRPr="00652A4B" w:rsidRDefault="00012733" w:rsidP="0068098E">
      <w:pPr>
        <w:tabs>
          <w:tab w:val="left" w:pos="288"/>
          <w:tab w:val="left" w:pos="4166"/>
          <w:tab w:val="left" w:pos="4752"/>
          <w:tab w:val="left" w:pos="5130"/>
          <w:tab w:val="left" w:pos="9270"/>
        </w:tabs>
        <w:jc w:val="both"/>
        <w:rPr>
          <w:caps/>
          <w:color w:val="000000" w:themeColor="text1"/>
        </w:rPr>
      </w:pPr>
      <w:r w:rsidRPr="00652A4B">
        <w:rPr>
          <w:caps/>
          <w:color w:val="000000" w:themeColor="text1"/>
        </w:rPr>
        <w:t>C</w:t>
      </w:r>
      <w:r w:rsidR="00DE3AAD" w:rsidRPr="00652A4B">
        <w:rPr>
          <w:caps/>
          <w:color w:val="000000" w:themeColor="text1"/>
        </w:rPr>
        <w:t>ASE NUMBER:  PD</w:t>
      </w:r>
      <w:r w:rsidR="008F58E1" w:rsidRPr="00652A4B">
        <w:rPr>
          <w:caps/>
          <w:color w:val="000000" w:themeColor="text1"/>
        </w:rPr>
        <w:t>11</w:t>
      </w:r>
      <w:r w:rsidR="00DE3AAD" w:rsidRPr="00652A4B">
        <w:rPr>
          <w:caps/>
          <w:color w:val="000000" w:themeColor="text1"/>
        </w:rPr>
        <w:t>00</w:t>
      </w:r>
      <w:r w:rsidR="002D62AE" w:rsidRPr="00652A4B">
        <w:rPr>
          <w:caps/>
          <w:color w:val="000000" w:themeColor="text1"/>
        </w:rPr>
        <w:t>616</w:t>
      </w:r>
      <w:r w:rsidR="00DE3AAD" w:rsidRPr="00652A4B">
        <w:rPr>
          <w:color w:val="000000" w:themeColor="text1"/>
        </w:rPr>
        <w:t xml:space="preserve"> </w:t>
      </w:r>
      <w:r w:rsidR="00DE3AAD" w:rsidRPr="00652A4B">
        <w:rPr>
          <w:color w:val="000000" w:themeColor="text1"/>
        </w:rPr>
        <w:tab/>
      </w:r>
      <w:r w:rsidR="0068098E" w:rsidRPr="00652A4B">
        <w:rPr>
          <w:color w:val="000000" w:themeColor="text1"/>
        </w:rPr>
        <w:tab/>
      </w:r>
      <w:r w:rsidR="00DE3AAD" w:rsidRPr="00652A4B">
        <w:rPr>
          <w:color w:val="000000" w:themeColor="text1"/>
        </w:rPr>
        <w:t xml:space="preserve">         </w:t>
      </w:r>
      <w:r w:rsidR="00E0346A" w:rsidRPr="00652A4B">
        <w:rPr>
          <w:color w:val="000000" w:themeColor="text1"/>
        </w:rPr>
        <w:t xml:space="preserve">               </w:t>
      </w:r>
      <w:r w:rsidR="006C1513" w:rsidRPr="00652A4B">
        <w:rPr>
          <w:color w:val="000000" w:themeColor="text1"/>
        </w:rPr>
        <w:t xml:space="preserve"> </w:t>
      </w:r>
      <w:r w:rsidR="00E0346A" w:rsidRPr="00652A4B">
        <w:rPr>
          <w:color w:val="000000" w:themeColor="text1"/>
        </w:rPr>
        <w:t xml:space="preserve">     </w:t>
      </w:r>
      <w:r w:rsidR="00DE3AAD" w:rsidRPr="00652A4B">
        <w:rPr>
          <w:color w:val="000000" w:themeColor="text1"/>
        </w:rPr>
        <w:t>SEPARATION DATE:  200</w:t>
      </w:r>
      <w:r w:rsidR="002D62AE" w:rsidRPr="00652A4B">
        <w:rPr>
          <w:color w:val="000000" w:themeColor="text1"/>
        </w:rPr>
        <w:t>11217</w:t>
      </w:r>
    </w:p>
    <w:p w:rsidR="003B2143" w:rsidRPr="00652A4B" w:rsidRDefault="004F3639" w:rsidP="00BF0E94">
      <w:pPr>
        <w:tabs>
          <w:tab w:val="left" w:pos="288"/>
          <w:tab w:val="left" w:pos="5130"/>
        </w:tabs>
        <w:jc w:val="both"/>
        <w:rPr>
          <w:color w:val="000000" w:themeColor="text1"/>
        </w:rPr>
      </w:pPr>
      <w:r w:rsidRPr="00652A4B">
        <w:rPr>
          <w:caps/>
          <w:color w:val="000000" w:themeColor="text1"/>
        </w:rPr>
        <w:t>BOARD DATE:  2011</w:t>
      </w:r>
      <w:r w:rsidR="00CF45CB" w:rsidRPr="00652A4B">
        <w:rPr>
          <w:caps/>
          <w:color w:val="000000" w:themeColor="text1"/>
        </w:rPr>
        <w:t>0322</w:t>
      </w:r>
    </w:p>
    <w:p w:rsidR="00C67F5C" w:rsidRPr="00652A4B" w:rsidRDefault="00C67F5C" w:rsidP="00C67F5C">
      <w:pPr>
        <w:pBdr>
          <w:bottom w:val="single" w:sz="12" w:space="1" w:color="auto"/>
        </w:pBdr>
        <w:tabs>
          <w:tab w:val="left" w:pos="288"/>
          <w:tab w:val="left" w:pos="4752"/>
        </w:tabs>
        <w:jc w:val="both"/>
        <w:rPr>
          <w:color w:val="000000" w:themeColor="text1"/>
        </w:rPr>
      </w:pPr>
    </w:p>
    <w:p w:rsidR="00C67F5C" w:rsidRPr="00652A4B" w:rsidRDefault="00C67F5C" w:rsidP="00C67F5C">
      <w:pPr>
        <w:tabs>
          <w:tab w:val="left" w:pos="288"/>
          <w:tab w:val="left" w:pos="4752"/>
        </w:tabs>
        <w:jc w:val="both"/>
        <w:rPr>
          <w:color w:val="000000" w:themeColor="text1"/>
        </w:rPr>
      </w:pPr>
    </w:p>
    <w:p w:rsidR="002F2981" w:rsidRPr="00652A4B" w:rsidRDefault="00FB0E80" w:rsidP="00BF0E94">
      <w:pPr>
        <w:tabs>
          <w:tab w:val="left" w:pos="288"/>
          <w:tab w:val="left" w:pos="4752"/>
        </w:tabs>
        <w:jc w:val="both"/>
        <w:rPr>
          <w:color w:val="000000" w:themeColor="text1"/>
        </w:rPr>
      </w:pPr>
      <w:r w:rsidRPr="00652A4B">
        <w:rPr>
          <w:color w:val="000000" w:themeColor="text1"/>
          <w:u w:val="single"/>
        </w:rPr>
        <w:t>SUMMARY OF CASE</w:t>
      </w:r>
      <w:r w:rsidRPr="00652A4B">
        <w:rPr>
          <w:color w:val="000000" w:themeColor="text1"/>
        </w:rPr>
        <w:t xml:space="preserve">:  </w:t>
      </w:r>
      <w:r w:rsidR="009759C2" w:rsidRPr="00652A4B">
        <w:rPr>
          <w:color w:val="000000" w:themeColor="text1"/>
        </w:rPr>
        <w:t>Data extracted from the available evidence of record reflects that this covered individual (CI)</w:t>
      </w:r>
      <w:r w:rsidR="00570754" w:rsidRPr="00652A4B">
        <w:rPr>
          <w:color w:val="000000" w:themeColor="text1"/>
        </w:rPr>
        <w:t xml:space="preserve"> </w:t>
      </w:r>
      <w:r w:rsidR="002C6E5B" w:rsidRPr="00652A4B">
        <w:rPr>
          <w:color w:val="000000" w:themeColor="text1"/>
          <w:szCs w:val="24"/>
        </w:rPr>
        <w:t xml:space="preserve">was </w:t>
      </w:r>
      <w:r w:rsidR="00E322F7" w:rsidRPr="00652A4B">
        <w:rPr>
          <w:color w:val="000000" w:themeColor="text1"/>
          <w:szCs w:val="24"/>
        </w:rPr>
        <w:t>an active duty</w:t>
      </w:r>
      <w:r w:rsidR="002D62AE" w:rsidRPr="00652A4B">
        <w:rPr>
          <w:color w:val="000000" w:themeColor="text1"/>
          <w:szCs w:val="24"/>
        </w:rPr>
        <w:t xml:space="preserve">, SSG/E6 </w:t>
      </w:r>
      <w:r w:rsidR="00C67F5C" w:rsidRPr="00652A4B">
        <w:rPr>
          <w:color w:val="000000" w:themeColor="text1"/>
          <w:szCs w:val="24"/>
        </w:rPr>
        <w:t>(</w:t>
      </w:r>
      <w:r w:rsidR="002D62AE" w:rsidRPr="00652A4B">
        <w:rPr>
          <w:color w:val="000000" w:themeColor="text1"/>
          <w:szCs w:val="24"/>
        </w:rPr>
        <w:t>11B, Infantryman</w:t>
      </w:r>
      <w:r w:rsidR="00C67F5C" w:rsidRPr="00652A4B">
        <w:rPr>
          <w:color w:val="000000" w:themeColor="text1"/>
          <w:szCs w:val="24"/>
        </w:rPr>
        <w:t>)</w:t>
      </w:r>
      <w:r w:rsidR="00C75F3D" w:rsidRPr="00652A4B">
        <w:rPr>
          <w:color w:val="000000" w:themeColor="text1"/>
          <w:szCs w:val="24"/>
        </w:rPr>
        <w:t xml:space="preserve">, </w:t>
      </w:r>
      <w:r w:rsidR="002C6E5B" w:rsidRPr="00652A4B">
        <w:rPr>
          <w:color w:val="000000" w:themeColor="text1"/>
          <w:szCs w:val="24"/>
        </w:rPr>
        <w:t xml:space="preserve">medically separated for </w:t>
      </w:r>
      <w:r w:rsidR="002D62AE" w:rsidRPr="00652A4B">
        <w:rPr>
          <w:color w:val="000000" w:themeColor="text1"/>
          <w:szCs w:val="24"/>
        </w:rPr>
        <w:t xml:space="preserve">bilateral </w:t>
      </w:r>
      <w:proofErr w:type="spellStart"/>
      <w:r w:rsidR="002D62AE" w:rsidRPr="00652A4B">
        <w:rPr>
          <w:color w:val="000000" w:themeColor="text1"/>
          <w:szCs w:val="24"/>
        </w:rPr>
        <w:t>sensorineural</w:t>
      </w:r>
      <w:proofErr w:type="spellEnd"/>
      <w:r w:rsidR="002D62AE" w:rsidRPr="00652A4B">
        <w:rPr>
          <w:color w:val="000000" w:themeColor="text1"/>
          <w:szCs w:val="24"/>
        </w:rPr>
        <w:t xml:space="preserve"> hearing loss with tinnitus.</w:t>
      </w:r>
      <w:r w:rsidR="00FD59F8" w:rsidRPr="00652A4B">
        <w:rPr>
          <w:color w:val="000000" w:themeColor="text1"/>
          <w:szCs w:val="24"/>
        </w:rPr>
        <w:t xml:space="preserve">  </w:t>
      </w:r>
      <w:r w:rsidR="00C67F5C" w:rsidRPr="00652A4B">
        <w:rPr>
          <w:color w:val="000000" w:themeColor="text1"/>
          <w:szCs w:val="24"/>
        </w:rPr>
        <w:t>He was a boxer training for the U</w:t>
      </w:r>
      <w:r w:rsidR="002D7EF1">
        <w:rPr>
          <w:color w:val="000000" w:themeColor="text1"/>
          <w:szCs w:val="24"/>
        </w:rPr>
        <w:t>.</w:t>
      </w:r>
      <w:r w:rsidR="00C67F5C" w:rsidRPr="00652A4B">
        <w:rPr>
          <w:color w:val="000000" w:themeColor="text1"/>
          <w:szCs w:val="24"/>
        </w:rPr>
        <w:t>S</w:t>
      </w:r>
      <w:r w:rsidR="002D7EF1">
        <w:rPr>
          <w:color w:val="000000" w:themeColor="text1"/>
          <w:szCs w:val="24"/>
        </w:rPr>
        <w:t xml:space="preserve">. </w:t>
      </w:r>
      <w:proofErr w:type="spellStart"/>
      <w:proofErr w:type="gramStart"/>
      <w:r w:rsidR="002D7EF1">
        <w:rPr>
          <w:color w:val="000000" w:themeColor="text1"/>
          <w:szCs w:val="24"/>
        </w:rPr>
        <w:t>o</w:t>
      </w:r>
      <w:r w:rsidR="00C67F5C" w:rsidRPr="00652A4B">
        <w:rPr>
          <w:color w:val="000000" w:themeColor="text1"/>
          <w:szCs w:val="24"/>
        </w:rPr>
        <w:t>lympic</w:t>
      </w:r>
      <w:proofErr w:type="spellEnd"/>
      <w:proofErr w:type="gramEnd"/>
      <w:r w:rsidR="00C67F5C" w:rsidRPr="00652A4B">
        <w:rPr>
          <w:color w:val="000000" w:themeColor="text1"/>
          <w:szCs w:val="24"/>
        </w:rPr>
        <w:t xml:space="preserve"> team and had exposure to loud noise prior to sudden onset of auditory symptoms.  </w:t>
      </w:r>
      <w:r w:rsidR="00643C8F" w:rsidRPr="00652A4B">
        <w:rPr>
          <w:color w:val="000000" w:themeColor="text1"/>
          <w:szCs w:val="24"/>
        </w:rPr>
        <w:t xml:space="preserve">He did not respond adequately to treatment </w:t>
      </w:r>
      <w:r w:rsidR="007A2682" w:rsidRPr="00652A4B">
        <w:rPr>
          <w:color w:val="000000" w:themeColor="text1"/>
          <w:szCs w:val="24"/>
        </w:rPr>
        <w:t xml:space="preserve">and hearing aids </w:t>
      </w:r>
      <w:r w:rsidR="00643C8F" w:rsidRPr="00652A4B">
        <w:rPr>
          <w:color w:val="000000" w:themeColor="text1"/>
          <w:szCs w:val="24"/>
        </w:rPr>
        <w:t xml:space="preserve">and was unable to perform within his Military Occupational Specialty (MOS).  He was issued a permanent </w:t>
      </w:r>
      <w:r w:rsidR="002D62AE" w:rsidRPr="00652A4B">
        <w:rPr>
          <w:color w:val="000000" w:themeColor="text1"/>
          <w:szCs w:val="24"/>
        </w:rPr>
        <w:t>H</w:t>
      </w:r>
      <w:r w:rsidR="00643C8F" w:rsidRPr="00652A4B">
        <w:rPr>
          <w:color w:val="000000" w:themeColor="text1"/>
          <w:szCs w:val="24"/>
        </w:rPr>
        <w:t>4 profile</w:t>
      </w:r>
      <w:r w:rsidR="002D62AE" w:rsidRPr="002D62AE">
        <w:rPr>
          <w:color w:val="000000" w:themeColor="text1"/>
          <w:szCs w:val="24"/>
        </w:rPr>
        <w:t xml:space="preserve"> </w:t>
      </w:r>
      <w:r w:rsidR="00643C8F" w:rsidRPr="002D62AE">
        <w:rPr>
          <w:color w:val="000000" w:themeColor="text1"/>
          <w:szCs w:val="24"/>
        </w:rPr>
        <w:t>and underwent a Medical Evaluation Board (MEB).</w:t>
      </w:r>
      <w:r w:rsidR="00FD59F8">
        <w:rPr>
          <w:color w:val="000000" w:themeColor="text1"/>
          <w:szCs w:val="24"/>
        </w:rPr>
        <w:t xml:space="preserve"> </w:t>
      </w:r>
      <w:r w:rsidR="00C67F5C">
        <w:rPr>
          <w:color w:val="000000" w:themeColor="text1"/>
          <w:szCs w:val="24"/>
        </w:rPr>
        <w:t xml:space="preserve"> </w:t>
      </w:r>
      <w:r w:rsidR="002D62AE" w:rsidRPr="002D62AE">
        <w:rPr>
          <w:color w:val="000000" w:themeColor="text1"/>
          <w:szCs w:val="24"/>
        </w:rPr>
        <w:t xml:space="preserve">Flat bilateral </w:t>
      </w:r>
      <w:proofErr w:type="spellStart"/>
      <w:r w:rsidR="002D62AE" w:rsidRPr="002D62AE">
        <w:rPr>
          <w:color w:val="000000" w:themeColor="text1"/>
          <w:szCs w:val="24"/>
        </w:rPr>
        <w:t>sensorineural</w:t>
      </w:r>
      <w:proofErr w:type="spellEnd"/>
      <w:r w:rsidR="002D62AE" w:rsidRPr="002D62AE">
        <w:rPr>
          <w:color w:val="000000" w:themeColor="text1"/>
          <w:szCs w:val="24"/>
        </w:rPr>
        <w:t xml:space="preserve"> hearing loss, moderately severe with tinnitus was </w:t>
      </w:r>
      <w:r w:rsidR="000A33C8" w:rsidRPr="002D62AE">
        <w:rPr>
          <w:color w:val="000000" w:themeColor="text1"/>
          <w:szCs w:val="24"/>
        </w:rPr>
        <w:t>forwarded to the Physical Evaluation Board (PEB) as medically unacceptable IAW AR 40-501</w:t>
      </w:r>
      <w:r w:rsidR="002D62AE" w:rsidRPr="002D62AE">
        <w:rPr>
          <w:color w:val="000000" w:themeColor="text1"/>
          <w:szCs w:val="24"/>
        </w:rPr>
        <w:t>.</w:t>
      </w:r>
      <w:r w:rsidR="00FD59F8">
        <w:rPr>
          <w:color w:val="000000" w:themeColor="text1"/>
          <w:szCs w:val="24"/>
        </w:rPr>
        <w:t xml:space="preserve">  </w:t>
      </w:r>
      <w:r w:rsidR="001A5E62" w:rsidRPr="001F29F9">
        <w:rPr>
          <w:color w:val="000000" w:themeColor="text1"/>
          <w:szCs w:val="24"/>
        </w:rPr>
        <w:t xml:space="preserve">No other conditions appeared on the MEB’s submission.  Other conditions </w:t>
      </w:r>
      <w:r w:rsidR="001A5E62" w:rsidRPr="00652A4B">
        <w:rPr>
          <w:color w:val="000000" w:themeColor="text1"/>
          <w:szCs w:val="24"/>
        </w:rPr>
        <w:t>included in the</w:t>
      </w:r>
      <w:r w:rsidR="00DC17F2" w:rsidRPr="00652A4B">
        <w:rPr>
          <w:color w:val="000000" w:themeColor="text1"/>
          <w:szCs w:val="24"/>
        </w:rPr>
        <w:t xml:space="preserve"> </w:t>
      </w:r>
      <w:r w:rsidR="00555C66" w:rsidRPr="00652A4B">
        <w:rPr>
          <w:color w:val="000000" w:themeColor="text1"/>
          <w:szCs w:val="24"/>
        </w:rPr>
        <w:t xml:space="preserve">Disability Evaluation System (DES) </w:t>
      </w:r>
      <w:r w:rsidR="001A5E62" w:rsidRPr="00652A4B">
        <w:rPr>
          <w:color w:val="000000" w:themeColor="text1"/>
          <w:szCs w:val="24"/>
        </w:rPr>
        <w:t>packet will be discussed below.</w:t>
      </w:r>
      <w:r w:rsidR="00FD59F8" w:rsidRPr="00652A4B">
        <w:rPr>
          <w:color w:val="000000" w:themeColor="text1"/>
          <w:szCs w:val="24"/>
        </w:rPr>
        <w:t xml:space="preserve">  </w:t>
      </w:r>
      <w:r w:rsidR="00842BAA" w:rsidRPr="00652A4B">
        <w:rPr>
          <w:color w:val="000000" w:themeColor="text1"/>
          <w:szCs w:val="24"/>
        </w:rPr>
        <w:t xml:space="preserve">The PEB adjudicated the </w:t>
      </w:r>
      <w:r w:rsidR="00C67F5C" w:rsidRPr="00652A4B">
        <w:rPr>
          <w:color w:val="000000" w:themeColor="text1"/>
          <w:szCs w:val="24"/>
        </w:rPr>
        <w:t xml:space="preserve">combined </w:t>
      </w:r>
      <w:r w:rsidR="002D62AE" w:rsidRPr="00652A4B">
        <w:rPr>
          <w:color w:val="000000" w:themeColor="text1"/>
          <w:szCs w:val="24"/>
        </w:rPr>
        <w:t xml:space="preserve">bilateral </w:t>
      </w:r>
      <w:proofErr w:type="spellStart"/>
      <w:r w:rsidR="002D62AE" w:rsidRPr="00652A4B">
        <w:rPr>
          <w:color w:val="000000" w:themeColor="text1"/>
          <w:szCs w:val="24"/>
        </w:rPr>
        <w:t>sensorineural</w:t>
      </w:r>
      <w:proofErr w:type="spellEnd"/>
      <w:r w:rsidR="002D62AE" w:rsidRPr="00652A4B">
        <w:rPr>
          <w:color w:val="000000" w:themeColor="text1"/>
          <w:szCs w:val="24"/>
        </w:rPr>
        <w:t xml:space="preserve"> hearing loss with tinnitus</w:t>
      </w:r>
      <w:r w:rsidR="00842BAA" w:rsidRPr="00652A4B">
        <w:rPr>
          <w:color w:val="000000" w:themeColor="text1"/>
          <w:szCs w:val="24"/>
        </w:rPr>
        <w:t xml:space="preserve"> as unfitting, rated </w:t>
      </w:r>
      <w:r w:rsidR="002D62AE" w:rsidRPr="00652A4B">
        <w:rPr>
          <w:color w:val="000000" w:themeColor="text1"/>
          <w:szCs w:val="24"/>
        </w:rPr>
        <w:t xml:space="preserve">10%, </w:t>
      </w:r>
      <w:r w:rsidR="00842BAA" w:rsidRPr="00652A4B">
        <w:rPr>
          <w:color w:val="000000" w:themeColor="text1"/>
          <w:szCs w:val="24"/>
        </w:rPr>
        <w:t xml:space="preserve">with application </w:t>
      </w:r>
      <w:r w:rsidR="003121DC" w:rsidRPr="00652A4B">
        <w:rPr>
          <w:color w:val="000000" w:themeColor="text1"/>
          <w:szCs w:val="24"/>
        </w:rPr>
        <w:t>the</w:t>
      </w:r>
      <w:r w:rsidR="00842BAA" w:rsidRPr="00652A4B">
        <w:rPr>
          <w:color w:val="000000" w:themeColor="text1"/>
          <w:szCs w:val="24"/>
        </w:rPr>
        <w:t xml:space="preserve"> Veterans Administration Schedule </w:t>
      </w:r>
      <w:r w:rsidR="00C67F5C" w:rsidRPr="00652A4B">
        <w:rPr>
          <w:color w:val="000000" w:themeColor="text1"/>
          <w:szCs w:val="24"/>
        </w:rPr>
        <w:t>for Rating Disabilities (VASRD)</w:t>
      </w:r>
      <w:r w:rsidR="00842BAA" w:rsidRPr="00652A4B">
        <w:rPr>
          <w:color w:val="000000" w:themeColor="text1"/>
          <w:szCs w:val="24"/>
        </w:rPr>
        <w:t>.</w:t>
      </w:r>
      <w:r w:rsidR="00215FDB" w:rsidRPr="00652A4B">
        <w:rPr>
          <w:color w:val="000000" w:themeColor="text1"/>
          <w:szCs w:val="24"/>
        </w:rPr>
        <w:t xml:space="preserve">  </w:t>
      </w:r>
      <w:r w:rsidR="00437D77" w:rsidRPr="00652A4B">
        <w:rPr>
          <w:color w:val="000000" w:themeColor="text1"/>
        </w:rPr>
        <w:t xml:space="preserve">The CI appealed to </w:t>
      </w:r>
      <w:r w:rsidR="00C67F5C" w:rsidRPr="00652A4B">
        <w:rPr>
          <w:color w:val="000000" w:themeColor="text1"/>
        </w:rPr>
        <w:t xml:space="preserve">the </w:t>
      </w:r>
      <w:r w:rsidR="007E106D">
        <w:rPr>
          <w:color w:val="000000" w:themeColor="text1"/>
        </w:rPr>
        <w:t>F</w:t>
      </w:r>
      <w:r w:rsidR="00C67F5C" w:rsidRPr="00652A4B">
        <w:rPr>
          <w:color w:val="000000" w:themeColor="text1"/>
        </w:rPr>
        <w:t xml:space="preserve">ormal </w:t>
      </w:r>
      <w:r w:rsidR="00437D77" w:rsidRPr="00652A4B">
        <w:rPr>
          <w:color w:val="000000" w:themeColor="text1"/>
        </w:rPr>
        <w:t>PEB</w:t>
      </w:r>
      <w:r w:rsidR="007E106D">
        <w:rPr>
          <w:color w:val="000000" w:themeColor="text1"/>
        </w:rPr>
        <w:t xml:space="preserve"> (FPEB)</w:t>
      </w:r>
      <w:r w:rsidR="00437D77" w:rsidRPr="00652A4B">
        <w:rPr>
          <w:color w:val="000000" w:themeColor="text1"/>
        </w:rPr>
        <w:t>,</w:t>
      </w:r>
      <w:r w:rsidR="00435B6D" w:rsidRPr="00652A4B">
        <w:rPr>
          <w:color w:val="000000" w:themeColor="text1"/>
        </w:rPr>
        <w:t xml:space="preserve"> but then withdrew</w:t>
      </w:r>
      <w:r w:rsidR="00046C36">
        <w:rPr>
          <w:color w:val="000000" w:themeColor="text1"/>
        </w:rPr>
        <w:t xml:space="preserve"> his demand, accepting the </w:t>
      </w:r>
      <w:r w:rsidR="00435B6D" w:rsidRPr="00652A4B">
        <w:rPr>
          <w:color w:val="000000" w:themeColor="text1"/>
        </w:rPr>
        <w:t xml:space="preserve">PEB findings and recommendations. </w:t>
      </w:r>
      <w:r w:rsidR="00215FDB" w:rsidRPr="00652A4B">
        <w:rPr>
          <w:color w:val="000000" w:themeColor="text1"/>
        </w:rPr>
        <w:t xml:space="preserve"> </w:t>
      </w:r>
      <w:r w:rsidR="00435B6D" w:rsidRPr="00652A4B">
        <w:rPr>
          <w:color w:val="000000" w:themeColor="text1"/>
        </w:rPr>
        <w:t xml:space="preserve">He </w:t>
      </w:r>
      <w:r w:rsidR="00437D77" w:rsidRPr="00652A4B">
        <w:rPr>
          <w:color w:val="000000" w:themeColor="text1"/>
        </w:rPr>
        <w:t xml:space="preserve">was then medically separated with a </w:t>
      </w:r>
      <w:r w:rsidR="00435B6D" w:rsidRPr="00652A4B">
        <w:rPr>
          <w:color w:val="000000" w:themeColor="text1"/>
        </w:rPr>
        <w:t>10</w:t>
      </w:r>
      <w:r w:rsidR="00437D77" w:rsidRPr="00652A4B">
        <w:rPr>
          <w:color w:val="000000" w:themeColor="text1"/>
        </w:rPr>
        <w:t>% disability rating.</w:t>
      </w:r>
      <w:r w:rsidR="00C67F5C" w:rsidRPr="00652A4B">
        <w:rPr>
          <w:color w:val="000000" w:themeColor="text1"/>
        </w:rPr>
        <w:t xml:space="preserve"> </w:t>
      </w:r>
      <w:r w:rsidR="00652A4B">
        <w:rPr>
          <w:color w:val="000000" w:themeColor="text1"/>
        </w:rPr>
        <w:t xml:space="preserve"> </w:t>
      </w:r>
    </w:p>
    <w:p w:rsidR="004174F0" w:rsidRPr="00652A4B" w:rsidRDefault="004174F0" w:rsidP="00BF0E94">
      <w:pPr>
        <w:pBdr>
          <w:bottom w:val="single" w:sz="12" w:space="1" w:color="auto"/>
        </w:pBdr>
        <w:tabs>
          <w:tab w:val="left" w:pos="288"/>
          <w:tab w:val="left" w:pos="4752"/>
        </w:tabs>
        <w:jc w:val="both"/>
        <w:rPr>
          <w:color w:val="000000" w:themeColor="text1"/>
        </w:rPr>
      </w:pPr>
    </w:p>
    <w:p w:rsidR="004174F0" w:rsidRPr="00652A4B" w:rsidRDefault="004174F0" w:rsidP="00BF0E94">
      <w:pPr>
        <w:tabs>
          <w:tab w:val="left" w:pos="288"/>
          <w:tab w:val="left" w:pos="4752"/>
        </w:tabs>
        <w:jc w:val="both"/>
        <w:rPr>
          <w:color w:val="000000" w:themeColor="text1"/>
        </w:rPr>
      </w:pPr>
    </w:p>
    <w:p w:rsidR="00ED5284" w:rsidRPr="005006F4" w:rsidRDefault="002C6E5B" w:rsidP="00BF0E94">
      <w:pPr>
        <w:tabs>
          <w:tab w:val="left" w:pos="288"/>
          <w:tab w:val="left" w:pos="4752"/>
        </w:tabs>
        <w:jc w:val="both"/>
        <w:rPr>
          <w:rFonts w:eastAsiaTheme="minorHAnsi"/>
          <w:color w:val="auto"/>
          <w:szCs w:val="24"/>
        </w:rPr>
      </w:pPr>
      <w:r w:rsidRPr="00652A4B">
        <w:rPr>
          <w:color w:val="000000" w:themeColor="text1"/>
          <w:u w:val="single"/>
        </w:rPr>
        <w:t>CI CONTENTION</w:t>
      </w:r>
      <w:r w:rsidRPr="00652A4B">
        <w:rPr>
          <w:color w:val="000000" w:themeColor="text1"/>
        </w:rPr>
        <w:t>:</w:t>
      </w:r>
      <w:r w:rsidR="00435B6D" w:rsidRPr="00652A4B">
        <w:rPr>
          <w:color w:val="000000" w:themeColor="text1"/>
        </w:rPr>
        <w:t xml:space="preserve"> </w:t>
      </w:r>
      <w:r w:rsidR="00C67F5C" w:rsidRPr="00652A4B">
        <w:rPr>
          <w:color w:val="000000" w:themeColor="text1"/>
        </w:rPr>
        <w:t xml:space="preserve"> </w:t>
      </w:r>
      <w:r w:rsidR="00435B6D" w:rsidRPr="00652A4B">
        <w:rPr>
          <w:color w:val="000000" w:themeColor="text1"/>
        </w:rPr>
        <w:t>“Bi-lateral hearing loss and tinnitus.”</w:t>
      </w:r>
      <w:r w:rsidR="00C67F5C" w:rsidRPr="00652A4B">
        <w:rPr>
          <w:color w:val="000000" w:themeColor="text1"/>
        </w:rPr>
        <w:t xml:space="preserve">  </w:t>
      </w:r>
      <w:r w:rsidR="00ED5284" w:rsidRPr="00652A4B">
        <w:rPr>
          <w:rFonts w:eastAsiaTheme="minorHAnsi"/>
          <w:color w:val="000000" w:themeColor="text1"/>
          <w:szCs w:val="24"/>
        </w:rPr>
        <w:t>He</w:t>
      </w:r>
      <w:r w:rsidR="00435B6D" w:rsidRPr="00652A4B">
        <w:rPr>
          <w:rFonts w:eastAsiaTheme="minorHAnsi"/>
          <w:color w:val="000000" w:themeColor="text1"/>
          <w:szCs w:val="24"/>
        </w:rPr>
        <w:t xml:space="preserve"> </w:t>
      </w:r>
      <w:r w:rsidR="00ED5284" w:rsidRPr="00652A4B">
        <w:rPr>
          <w:rFonts w:eastAsiaTheme="minorHAnsi"/>
          <w:color w:val="000000" w:themeColor="text1"/>
          <w:szCs w:val="24"/>
        </w:rPr>
        <w:t>elaborates no specific contentions regarding rating or coding</w:t>
      </w:r>
      <w:r w:rsidR="00C67F5C">
        <w:rPr>
          <w:rFonts w:eastAsiaTheme="minorHAnsi"/>
          <w:color w:val="000000" w:themeColor="text1"/>
          <w:szCs w:val="24"/>
        </w:rPr>
        <w:t xml:space="preserve"> aside from his VA ratings (10% + 10%), </w:t>
      </w:r>
      <w:r w:rsidR="00ED5284" w:rsidRPr="001F29F9">
        <w:rPr>
          <w:rFonts w:eastAsiaTheme="minorHAnsi"/>
          <w:color w:val="000000" w:themeColor="text1"/>
          <w:szCs w:val="24"/>
        </w:rPr>
        <w:t>and mentions no additionally contended conditions.</w:t>
      </w:r>
      <w:r w:rsidR="005C2953">
        <w:rPr>
          <w:rFonts w:eastAsiaTheme="minorHAnsi"/>
          <w:color w:val="000000" w:themeColor="text1"/>
          <w:szCs w:val="24"/>
        </w:rPr>
        <w:t xml:space="preserve">  </w:t>
      </w:r>
    </w:p>
    <w:p w:rsidR="004174F0" w:rsidRPr="005006F4" w:rsidRDefault="004174F0" w:rsidP="00BF0E94">
      <w:pPr>
        <w:pBdr>
          <w:bottom w:val="single" w:sz="12" w:space="1" w:color="auto"/>
        </w:pBdr>
        <w:tabs>
          <w:tab w:val="left" w:pos="288"/>
          <w:tab w:val="left" w:pos="4752"/>
        </w:tabs>
        <w:jc w:val="both"/>
        <w:rPr>
          <w:color w:val="auto"/>
        </w:rPr>
      </w:pPr>
    </w:p>
    <w:p w:rsidR="004174F0" w:rsidRPr="005006F4" w:rsidRDefault="004174F0" w:rsidP="00BF0E94">
      <w:pPr>
        <w:tabs>
          <w:tab w:val="left" w:pos="288"/>
          <w:tab w:val="left" w:pos="4752"/>
        </w:tabs>
        <w:jc w:val="both"/>
        <w:rPr>
          <w:color w:val="auto"/>
        </w:rPr>
      </w:pPr>
    </w:p>
    <w:p w:rsidR="00C8590C" w:rsidRPr="005006F4" w:rsidRDefault="007F0AB7" w:rsidP="00BF0E94">
      <w:pPr>
        <w:jc w:val="left"/>
        <w:rPr>
          <w:color w:val="auto"/>
          <w:szCs w:val="28"/>
        </w:rPr>
      </w:pPr>
      <w:r w:rsidRPr="005006F4">
        <w:rPr>
          <w:color w:val="auto"/>
          <w:u w:val="single"/>
        </w:rPr>
        <w:t>R</w:t>
      </w:r>
      <w:r w:rsidR="002C6E5B" w:rsidRPr="005006F4">
        <w:rPr>
          <w:color w:val="auto"/>
          <w:u w:val="single"/>
        </w:rPr>
        <w:t>ATING COMPARISON</w:t>
      </w:r>
      <w:r w:rsidR="002C6E5B" w:rsidRPr="005006F4">
        <w:rPr>
          <w:color w:val="auto"/>
        </w:rPr>
        <w:t>:</w:t>
      </w:r>
    </w:p>
    <w:p w:rsidR="002151AB" w:rsidRPr="005006F4" w:rsidRDefault="002151AB" w:rsidP="00C67F5C">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5006F4" w:rsidTr="00C67F5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5006F4" w:rsidRDefault="00B731E4" w:rsidP="00C67F5C">
            <w:pPr>
              <w:contextualSpacing/>
              <w:rPr>
                <w:rFonts w:ascii="Calibri" w:hAnsi="Calibri" w:cs="Calibri"/>
                <w:b/>
                <w:color w:val="auto"/>
                <w:sz w:val="18"/>
                <w:szCs w:val="18"/>
              </w:rPr>
            </w:pPr>
            <w:r w:rsidRPr="005006F4">
              <w:rPr>
                <w:rFonts w:ascii="Calibri" w:hAnsi="Calibri" w:cs="Calibri"/>
                <w:b/>
                <w:color w:val="auto"/>
                <w:sz w:val="18"/>
                <w:szCs w:val="18"/>
              </w:rPr>
              <w:t>Service PEB – Dated 200</w:t>
            </w:r>
            <w:r w:rsidR="002D62AE" w:rsidRPr="005006F4">
              <w:rPr>
                <w:rFonts w:ascii="Calibri" w:hAnsi="Calibri" w:cs="Calibri"/>
                <w:b/>
                <w:color w:val="auto"/>
                <w:sz w:val="18"/>
                <w:szCs w:val="18"/>
              </w:rPr>
              <w:t>10910</w:t>
            </w:r>
          </w:p>
        </w:tc>
        <w:tc>
          <w:tcPr>
            <w:tcW w:w="5220" w:type="dxa"/>
            <w:gridSpan w:val="4"/>
            <w:tcBorders>
              <w:left w:val="thinThickThinSmallGap" w:sz="24" w:space="0" w:color="auto"/>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VA (</w:t>
            </w:r>
            <w:r w:rsidR="00435B6D" w:rsidRPr="005006F4">
              <w:rPr>
                <w:rFonts w:ascii="Calibri" w:hAnsi="Calibri" w:cs="Calibri"/>
                <w:b/>
                <w:color w:val="auto"/>
                <w:sz w:val="18"/>
                <w:szCs w:val="18"/>
              </w:rPr>
              <w:t xml:space="preserve">4 days </w:t>
            </w:r>
            <w:r w:rsidRPr="005006F4">
              <w:rPr>
                <w:rFonts w:ascii="Calibri" w:hAnsi="Calibri" w:cs="Calibri"/>
                <w:b/>
                <w:color w:val="auto"/>
                <w:sz w:val="18"/>
                <w:szCs w:val="18"/>
              </w:rPr>
              <w:t>Pr</w:t>
            </w:r>
            <w:r w:rsidR="007272F1" w:rsidRPr="005006F4">
              <w:rPr>
                <w:rFonts w:ascii="Calibri" w:hAnsi="Calibri" w:cs="Calibri"/>
                <w:b/>
                <w:color w:val="auto"/>
                <w:sz w:val="18"/>
                <w:szCs w:val="18"/>
              </w:rPr>
              <w:t>e</w:t>
            </w:r>
            <w:r w:rsidRPr="005006F4">
              <w:rPr>
                <w:rFonts w:ascii="Calibri" w:hAnsi="Calibri" w:cs="Calibri"/>
                <w:b/>
                <w:color w:val="auto"/>
                <w:sz w:val="18"/>
                <w:szCs w:val="18"/>
              </w:rPr>
              <w:t xml:space="preserve"> Separation) – All Effective Date </w:t>
            </w:r>
            <w:r w:rsidR="002D08F3" w:rsidRPr="005006F4">
              <w:rPr>
                <w:rFonts w:ascii="Calibri" w:hAnsi="Calibri" w:cs="Calibri"/>
                <w:b/>
                <w:color w:val="auto"/>
                <w:sz w:val="18"/>
                <w:szCs w:val="18"/>
              </w:rPr>
              <w:t>200</w:t>
            </w:r>
            <w:r w:rsidR="00435B6D" w:rsidRPr="005006F4">
              <w:rPr>
                <w:rFonts w:ascii="Calibri" w:hAnsi="Calibri" w:cs="Calibri"/>
                <w:b/>
                <w:color w:val="auto"/>
                <w:sz w:val="18"/>
                <w:szCs w:val="18"/>
              </w:rPr>
              <w:t>11218</w:t>
            </w:r>
          </w:p>
        </w:tc>
      </w:tr>
      <w:tr w:rsidR="002B4E22" w:rsidRPr="005006F4" w:rsidTr="00C67F5C">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5006F4" w:rsidRDefault="002B4E22" w:rsidP="00C67F5C">
            <w:pPr>
              <w:contextualSpacing/>
              <w:rPr>
                <w:rFonts w:ascii="Calibri" w:hAnsi="Calibri" w:cs="Calibri"/>
                <w:b/>
                <w:color w:val="auto"/>
                <w:sz w:val="18"/>
                <w:szCs w:val="18"/>
              </w:rPr>
            </w:pPr>
            <w:r w:rsidRPr="005006F4">
              <w:rPr>
                <w:rFonts w:ascii="Calibri" w:hAnsi="Calibri" w:cs="Calibri"/>
                <w:b/>
                <w:color w:val="auto"/>
                <w:sz w:val="18"/>
                <w:szCs w:val="18"/>
              </w:rPr>
              <w:t>Exam</w:t>
            </w:r>
          </w:p>
        </w:tc>
      </w:tr>
      <w:tr w:rsidR="00435B6D" w:rsidRPr="005006F4" w:rsidTr="00C67F5C">
        <w:trPr>
          <w:trHeight w:val="287"/>
          <w:jc w:val="center"/>
        </w:trPr>
        <w:tc>
          <w:tcPr>
            <w:tcW w:w="2178" w:type="dxa"/>
            <w:vMerge w:val="restart"/>
            <w:tcBorders>
              <w:right w:val="single" w:sz="4" w:space="0" w:color="auto"/>
            </w:tcBorders>
            <w:shd w:val="clear" w:color="auto" w:fill="FFFFFF" w:themeFill="background1"/>
            <w:vAlign w:val="center"/>
          </w:tcPr>
          <w:p w:rsidR="00435B6D" w:rsidRPr="005006F4" w:rsidRDefault="00435B6D" w:rsidP="00652A4B">
            <w:pPr>
              <w:spacing w:line="180" w:lineRule="exact"/>
              <w:contextualSpacing/>
              <w:jc w:val="left"/>
              <w:rPr>
                <w:rFonts w:ascii="Calibri" w:eastAsia="Times New Roman" w:hAnsi="Calibri" w:cs="Calibri"/>
                <w:color w:val="auto"/>
                <w:sz w:val="18"/>
                <w:szCs w:val="18"/>
              </w:rPr>
            </w:pPr>
            <w:proofErr w:type="spellStart"/>
            <w:r w:rsidRPr="005006F4">
              <w:rPr>
                <w:rFonts w:ascii="Calibri" w:hAnsi="Calibri" w:cs="Calibri"/>
                <w:color w:val="auto"/>
                <w:sz w:val="18"/>
                <w:szCs w:val="18"/>
              </w:rPr>
              <w:t>Sensorineural</w:t>
            </w:r>
            <w:proofErr w:type="spellEnd"/>
            <w:r w:rsidRPr="005006F4">
              <w:rPr>
                <w:rFonts w:ascii="Calibri" w:hAnsi="Calibri" w:cs="Calibri"/>
                <w:color w:val="auto"/>
                <w:sz w:val="18"/>
                <w:szCs w:val="18"/>
              </w:rPr>
              <w:t xml:space="preserve"> Hearing </w:t>
            </w:r>
            <w:r w:rsidR="00652A4B" w:rsidRPr="005006F4">
              <w:rPr>
                <w:rFonts w:ascii="Calibri" w:hAnsi="Calibri" w:cs="Calibri"/>
                <w:color w:val="auto"/>
                <w:sz w:val="18"/>
                <w:szCs w:val="18"/>
              </w:rPr>
              <w:t>L</w:t>
            </w:r>
            <w:r w:rsidRPr="005006F4">
              <w:rPr>
                <w:rFonts w:ascii="Calibri" w:hAnsi="Calibri" w:cs="Calibri"/>
                <w:color w:val="auto"/>
                <w:sz w:val="18"/>
                <w:szCs w:val="18"/>
              </w:rPr>
              <w:t xml:space="preserve">oss with </w:t>
            </w:r>
            <w:r w:rsidR="00652A4B" w:rsidRPr="005006F4">
              <w:rPr>
                <w:rFonts w:ascii="Calibri" w:hAnsi="Calibri" w:cs="Calibri"/>
                <w:color w:val="auto"/>
                <w:sz w:val="18"/>
                <w:szCs w:val="18"/>
              </w:rPr>
              <w:t>T</w:t>
            </w:r>
            <w:r w:rsidRPr="005006F4">
              <w:rPr>
                <w:rFonts w:ascii="Calibri" w:hAnsi="Calibri" w:cs="Calibri"/>
                <w:color w:val="auto"/>
                <w:sz w:val="18"/>
                <w:szCs w:val="18"/>
              </w:rPr>
              <w:t>innitus</w:t>
            </w:r>
          </w:p>
        </w:tc>
        <w:tc>
          <w:tcPr>
            <w:tcW w:w="1080" w:type="dxa"/>
            <w:vMerge w:val="restart"/>
            <w:tcBorders>
              <w:left w:val="single" w:sz="4" w:space="0" w:color="auto"/>
            </w:tcBorders>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6100-6260</w:t>
            </w:r>
          </w:p>
        </w:tc>
        <w:tc>
          <w:tcPr>
            <w:tcW w:w="900" w:type="dxa"/>
            <w:vMerge w:val="restart"/>
            <w:tcBorders>
              <w:right w:val="thinThickThinSmallGap" w:sz="24" w:space="0" w:color="auto"/>
            </w:tcBorders>
            <w:shd w:val="clear" w:color="auto" w:fill="FFFFFF" w:themeFill="background1"/>
            <w:vAlign w:val="center"/>
          </w:tcPr>
          <w:p w:rsidR="00435B6D" w:rsidRPr="005006F4" w:rsidRDefault="00435B6D" w:rsidP="00C67F5C">
            <w:pPr>
              <w:spacing w:line="180" w:lineRule="exact"/>
              <w:rPr>
                <w:rFonts w:ascii="Calibri" w:eastAsia="Times New Roman" w:hAnsi="Calibri" w:cs="Calibri"/>
                <w:color w:val="auto"/>
                <w:sz w:val="18"/>
                <w:szCs w:val="18"/>
              </w:rPr>
            </w:pPr>
            <w:r w:rsidRPr="005006F4">
              <w:rPr>
                <w:rFonts w:ascii="Calibri" w:hAnsi="Calibri"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435B6D" w:rsidRPr="005006F4" w:rsidRDefault="00435B6D" w:rsidP="00C67F5C">
            <w:pPr>
              <w:spacing w:line="180" w:lineRule="exact"/>
              <w:contextualSpacing/>
              <w:jc w:val="left"/>
              <w:rPr>
                <w:rFonts w:ascii="Calibri" w:eastAsia="Times New Roman" w:hAnsi="Calibri" w:cs="Calibri"/>
                <w:color w:val="auto"/>
                <w:sz w:val="18"/>
                <w:szCs w:val="18"/>
              </w:rPr>
            </w:pPr>
            <w:r w:rsidRPr="005006F4">
              <w:rPr>
                <w:rFonts w:ascii="Calibri" w:hAnsi="Calibri" w:cs="Calibri"/>
                <w:color w:val="auto"/>
                <w:sz w:val="18"/>
                <w:szCs w:val="18"/>
              </w:rPr>
              <w:t>Bilateral Hearing Loss</w:t>
            </w:r>
          </w:p>
        </w:tc>
        <w:tc>
          <w:tcPr>
            <w:tcW w:w="1080" w:type="dxa"/>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6100</w:t>
            </w:r>
          </w:p>
        </w:tc>
        <w:tc>
          <w:tcPr>
            <w:tcW w:w="828" w:type="dxa"/>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10%</w:t>
            </w:r>
            <w:r w:rsidR="00E2560B" w:rsidRPr="005006F4">
              <w:rPr>
                <w:rFonts w:ascii="Calibri" w:hAnsi="Calibri" w:cs="Calibri"/>
                <w:color w:val="auto"/>
                <w:sz w:val="18"/>
                <w:szCs w:val="18"/>
              </w:rPr>
              <w:t>*</w:t>
            </w:r>
          </w:p>
        </w:tc>
        <w:tc>
          <w:tcPr>
            <w:tcW w:w="990" w:type="dxa"/>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20011214</w:t>
            </w:r>
          </w:p>
        </w:tc>
      </w:tr>
      <w:tr w:rsidR="00435B6D" w:rsidRPr="005006F4" w:rsidTr="00C67F5C">
        <w:trPr>
          <w:trHeight w:val="287"/>
          <w:jc w:val="center"/>
        </w:trPr>
        <w:tc>
          <w:tcPr>
            <w:tcW w:w="2178" w:type="dxa"/>
            <w:vMerge/>
            <w:tcBorders>
              <w:right w:val="single" w:sz="4" w:space="0" w:color="auto"/>
            </w:tcBorders>
            <w:shd w:val="clear" w:color="auto" w:fill="FFFFFF" w:themeFill="background1"/>
            <w:vAlign w:val="center"/>
          </w:tcPr>
          <w:p w:rsidR="00435B6D" w:rsidRPr="005006F4" w:rsidRDefault="00435B6D" w:rsidP="00C67F5C">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435B6D" w:rsidRPr="005006F4" w:rsidRDefault="00435B6D" w:rsidP="00C67F5C">
            <w:pPr>
              <w:spacing w:line="180" w:lineRule="exact"/>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435B6D" w:rsidRPr="005006F4" w:rsidRDefault="00435B6D" w:rsidP="00C67F5C">
            <w:pPr>
              <w:spacing w:line="180" w:lineRule="exact"/>
              <w:contextualSpacing/>
              <w:jc w:val="left"/>
              <w:rPr>
                <w:rFonts w:ascii="Calibri" w:eastAsia="Times New Roman" w:hAnsi="Calibri" w:cs="Calibri"/>
                <w:color w:val="auto"/>
                <w:sz w:val="18"/>
                <w:szCs w:val="18"/>
              </w:rPr>
            </w:pPr>
            <w:r w:rsidRPr="005006F4">
              <w:rPr>
                <w:rFonts w:ascii="Calibri"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6260</w:t>
            </w:r>
          </w:p>
        </w:tc>
        <w:tc>
          <w:tcPr>
            <w:tcW w:w="828" w:type="dxa"/>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10%</w:t>
            </w:r>
          </w:p>
        </w:tc>
        <w:tc>
          <w:tcPr>
            <w:tcW w:w="990" w:type="dxa"/>
            <w:shd w:val="clear" w:color="auto" w:fill="FFFFFF" w:themeFill="background1"/>
            <w:vAlign w:val="center"/>
          </w:tcPr>
          <w:p w:rsidR="00435B6D" w:rsidRPr="005006F4" w:rsidRDefault="00435B6D"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20011214</w:t>
            </w:r>
          </w:p>
        </w:tc>
      </w:tr>
      <w:tr w:rsidR="0091214B" w:rsidRPr="005006F4" w:rsidTr="00C67F5C">
        <w:trPr>
          <w:trHeight w:val="530"/>
          <w:jc w:val="center"/>
        </w:trPr>
        <w:tc>
          <w:tcPr>
            <w:tcW w:w="4158" w:type="dxa"/>
            <w:gridSpan w:val="3"/>
            <w:tcBorders>
              <w:right w:val="thinThickThinSmallGap" w:sz="24" w:space="0" w:color="auto"/>
            </w:tcBorders>
            <w:shd w:val="clear" w:color="auto" w:fill="FFFFFF" w:themeFill="background1"/>
            <w:vAlign w:val="center"/>
          </w:tcPr>
          <w:p w:rsidR="0091214B" w:rsidRPr="005006F4" w:rsidRDefault="0091214B"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91214B" w:rsidRPr="005006F4" w:rsidRDefault="0091214B"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0% x 2/Not Service Connected x 3</w:t>
            </w:r>
          </w:p>
        </w:tc>
        <w:tc>
          <w:tcPr>
            <w:tcW w:w="990" w:type="dxa"/>
            <w:shd w:val="clear" w:color="auto" w:fill="FFFFFF" w:themeFill="background1"/>
            <w:vAlign w:val="center"/>
          </w:tcPr>
          <w:p w:rsidR="0091214B" w:rsidRPr="005006F4" w:rsidRDefault="0091214B" w:rsidP="00C67F5C">
            <w:pPr>
              <w:spacing w:line="180" w:lineRule="exact"/>
              <w:contextualSpacing/>
              <w:rPr>
                <w:rFonts w:ascii="Calibri" w:eastAsia="Times New Roman" w:hAnsi="Calibri" w:cs="Calibri"/>
                <w:color w:val="auto"/>
                <w:sz w:val="18"/>
                <w:szCs w:val="18"/>
              </w:rPr>
            </w:pPr>
            <w:r w:rsidRPr="005006F4">
              <w:rPr>
                <w:rFonts w:ascii="Calibri" w:hAnsi="Calibri" w:cs="Calibri"/>
                <w:color w:val="auto"/>
                <w:sz w:val="18"/>
                <w:szCs w:val="18"/>
              </w:rPr>
              <w:t>20011214</w:t>
            </w:r>
          </w:p>
        </w:tc>
      </w:tr>
      <w:tr w:rsidR="007A65A9" w:rsidRPr="005006F4" w:rsidTr="00C67F5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5006F4" w:rsidRDefault="007A65A9" w:rsidP="00C67F5C">
            <w:pPr>
              <w:contextualSpacing/>
              <w:rPr>
                <w:rFonts w:ascii="Calibri" w:hAnsi="Calibri" w:cs="Calibri"/>
                <w:b/>
                <w:color w:val="auto"/>
                <w:sz w:val="18"/>
                <w:szCs w:val="18"/>
              </w:rPr>
            </w:pPr>
            <w:r w:rsidRPr="005006F4">
              <w:rPr>
                <w:rFonts w:ascii="Calibri" w:hAnsi="Calibri" w:cs="Calibri"/>
                <w:b/>
                <w:color w:val="auto"/>
                <w:sz w:val="18"/>
                <w:szCs w:val="18"/>
              </w:rPr>
              <w:t xml:space="preserve">Combined: </w:t>
            </w:r>
            <w:r w:rsidR="002D62AE" w:rsidRPr="005006F4">
              <w:rPr>
                <w:rFonts w:ascii="Calibri" w:hAnsi="Calibri" w:cs="Calibri"/>
                <w:b/>
                <w:color w:val="auto"/>
                <w:sz w:val="18"/>
                <w:szCs w:val="18"/>
              </w:rPr>
              <w:t>10</w:t>
            </w:r>
            <w:r w:rsidRPr="005006F4">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5006F4" w:rsidRDefault="007A65A9" w:rsidP="00C67F5C">
            <w:pPr>
              <w:contextualSpacing/>
              <w:rPr>
                <w:rFonts w:ascii="Calibri" w:hAnsi="Calibri" w:cs="Calibri"/>
                <w:b/>
                <w:color w:val="auto"/>
                <w:sz w:val="18"/>
                <w:szCs w:val="18"/>
              </w:rPr>
            </w:pPr>
            <w:r w:rsidRPr="005006F4">
              <w:rPr>
                <w:rFonts w:ascii="Calibri" w:hAnsi="Calibri" w:cs="Calibri"/>
                <w:b/>
                <w:color w:val="auto"/>
                <w:sz w:val="18"/>
                <w:szCs w:val="18"/>
              </w:rPr>
              <w:t xml:space="preserve">Combined:  </w:t>
            </w:r>
            <w:r w:rsidR="00435B6D" w:rsidRPr="005006F4">
              <w:rPr>
                <w:rFonts w:ascii="Calibri" w:hAnsi="Calibri" w:cs="Calibri"/>
                <w:b/>
                <w:color w:val="auto"/>
                <w:sz w:val="18"/>
                <w:szCs w:val="18"/>
              </w:rPr>
              <w:t>20</w:t>
            </w:r>
            <w:r w:rsidRPr="005006F4">
              <w:rPr>
                <w:rFonts w:ascii="Calibri" w:hAnsi="Calibri" w:cs="Calibri"/>
                <w:b/>
                <w:color w:val="auto"/>
                <w:sz w:val="18"/>
                <w:szCs w:val="18"/>
              </w:rPr>
              <w:t>%</w:t>
            </w:r>
            <w:r w:rsidR="00C67F5C" w:rsidRPr="005006F4">
              <w:rPr>
                <w:rFonts w:ascii="Calibri" w:hAnsi="Calibri" w:cs="Calibri"/>
                <w:b/>
                <w:color w:val="auto"/>
                <w:sz w:val="18"/>
                <w:szCs w:val="18"/>
              </w:rPr>
              <w:t>*</w:t>
            </w:r>
          </w:p>
        </w:tc>
      </w:tr>
    </w:tbl>
    <w:p w:rsidR="00FD59F8" w:rsidRPr="00652A4B" w:rsidRDefault="00A57C35" w:rsidP="00C67F5C">
      <w:pPr>
        <w:pBdr>
          <w:bottom w:val="single" w:sz="12" w:space="1" w:color="auto"/>
        </w:pBdr>
        <w:tabs>
          <w:tab w:val="left" w:pos="288"/>
          <w:tab w:val="left" w:pos="4752"/>
        </w:tabs>
        <w:spacing w:line="200" w:lineRule="exact"/>
        <w:jc w:val="both"/>
        <w:rPr>
          <w:color w:val="auto"/>
          <w:sz w:val="20"/>
        </w:rPr>
      </w:pPr>
      <w:r w:rsidRPr="005006F4">
        <w:rPr>
          <w:color w:val="auto"/>
          <w:sz w:val="20"/>
        </w:rPr>
        <w:t xml:space="preserve">* </w:t>
      </w:r>
      <w:r w:rsidR="00E2560B" w:rsidRPr="005006F4">
        <w:rPr>
          <w:color w:val="auto"/>
          <w:sz w:val="20"/>
        </w:rPr>
        <w:t xml:space="preserve">This rating was decreased to 0% effective June 1, 2005 </w:t>
      </w:r>
      <w:r w:rsidR="00C67F5C" w:rsidRPr="005006F4">
        <w:rPr>
          <w:color w:val="auto"/>
          <w:sz w:val="20"/>
        </w:rPr>
        <w:t>(combined 1</w:t>
      </w:r>
      <w:r w:rsidR="00C67F5C" w:rsidRPr="00652A4B">
        <w:rPr>
          <w:color w:val="auto"/>
          <w:sz w:val="20"/>
        </w:rPr>
        <w:t xml:space="preserve">0%) </w:t>
      </w:r>
      <w:r w:rsidR="00E2560B" w:rsidRPr="00652A4B">
        <w:rPr>
          <w:color w:val="auto"/>
          <w:sz w:val="20"/>
        </w:rPr>
        <w:t xml:space="preserve">due to a clear and unmistakable error in </w:t>
      </w:r>
      <w:r w:rsidR="00C67F5C" w:rsidRPr="00652A4B">
        <w:rPr>
          <w:color w:val="auto"/>
          <w:sz w:val="20"/>
        </w:rPr>
        <w:t xml:space="preserve">the </w:t>
      </w:r>
      <w:r w:rsidR="00E2560B" w:rsidRPr="00652A4B">
        <w:rPr>
          <w:color w:val="auto"/>
          <w:sz w:val="20"/>
        </w:rPr>
        <w:t>initial rating.</w:t>
      </w:r>
      <w:r w:rsidR="005C2953" w:rsidRPr="00652A4B">
        <w:rPr>
          <w:color w:val="auto"/>
          <w:sz w:val="20"/>
        </w:rPr>
        <w:t xml:space="preserve">  </w:t>
      </w:r>
    </w:p>
    <w:p w:rsidR="00524364" w:rsidRPr="00652A4B" w:rsidRDefault="00524364" w:rsidP="00A97CD9">
      <w:pPr>
        <w:pBdr>
          <w:bottom w:val="single" w:sz="12" w:space="1" w:color="auto"/>
        </w:pBdr>
        <w:tabs>
          <w:tab w:val="left" w:pos="288"/>
          <w:tab w:val="left" w:pos="4752"/>
        </w:tabs>
        <w:jc w:val="both"/>
        <w:rPr>
          <w:color w:val="auto"/>
          <w:szCs w:val="24"/>
        </w:rPr>
      </w:pPr>
    </w:p>
    <w:p w:rsidR="00C67F5C" w:rsidRPr="00652A4B" w:rsidRDefault="00C67F5C" w:rsidP="009369A6">
      <w:pPr>
        <w:jc w:val="left"/>
        <w:rPr>
          <w:color w:val="000000" w:themeColor="text1"/>
          <w:szCs w:val="24"/>
          <w:u w:val="single"/>
        </w:rPr>
      </w:pPr>
    </w:p>
    <w:p w:rsidR="002C6E5B" w:rsidRPr="00652A4B" w:rsidRDefault="002C6E5B" w:rsidP="009369A6">
      <w:pPr>
        <w:jc w:val="left"/>
        <w:rPr>
          <w:color w:val="000000" w:themeColor="text1"/>
          <w:szCs w:val="24"/>
          <w:u w:val="single"/>
        </w:rPr>
      </w:pPr>
      <w:r w:rsidRPr="00652A4B">
        <w:rPr>
          <w:color w:val="000000" w:themeColor="text1"/>
          <w:szCs w:val="24"/>
          <w:u w:val="single"/>
        </w:rPr>
        <w:t>ANALYSIS SUMMARY</w:t>
      </w:r>
      <w:r w:rsidRPr="00652A4B">
        <w:rPr>
          <w:color w:val="000000" w:themeColor="text1"/>
          <w:szCs w:val="24"/>
        </w:rPr>
        <w:t>:</w:t>
      </w:r>
    </w:p>
    <w:p w:rsidR="004C60A3" w:rsidRPr="00652A4B" w:rsidRDefault="004C60A3" w:rsidP="00BF0E94">
      <w:pPr>
        <w:jc w:val="left"/>
        <w:rPr>
          <w:color w:val="000000" w:themeColor="text1"/>
          <w:szCs w:val="24"/>
        </w:rPr>
      </w:pPr>
    </w:p>
    <w:p w:rsidR="00941D32" w:rsidRPr="00652A4B" w:rsidRDefault="00E2560B" w:rsidP="00731790">
      <w:pPr>
        <w:jc w:val="both"/>
        <w:rPr>
          <w:color w:val="auto"/>
          <w:szCs w:val="24"/>
        </w:rPr>
      </w:pPr>
      <w:proofErr w:type="spellStart"/>
      <w:proofErr w:type="gramStart"/>
      <w:r w:rsidRPr="00652A4B">
        <w:rPr>
          <w:color w:val="000000" w:themeColor="text1"/>
          <w:szCs w:val="24"/>
          <w:u w:val="single"/>
        </w:rPr>
        <w:t>Sensorineural</w:t>
      </w:r>
      <w:proofErr w:type="spellEnd"/>
      <w:r w:rsidRPr="00652A4B">
        <w:rPr>
          <w:color w:val="000000" w:themeColor="text1"/>
          <w:szCs w:val="24"/>
          <w:u w:val="single"/>
        </w:rPr>
        <w:t xml:space="preserve"> Hearing </w:t>
      </w:r>
      <w:r w:rsidR="00DC592E" w:rsidRPr="00652A4B">
        <w:rPr>
          <w:color w:val="000000" w:themeColor="text1"/>
          <w:szCs w:val="24"/>
          <w:u w:val="single"/>
        </w:rPr>
        <w:t>Loss with Tinnitus Condition</w:t>
      </w:r>
      <w:r w:rsidR="00DC592E" w:rsidRPr="00652A4B">
        <w:rPr>
          <w:color w:val="000000" w:themeColor="text1"/>
          <w:szCs w:val="24"/>
        </w:rPr>
        <w:t>.</w:t>
      </w:r>
      <w:proofErr w:type="gramEnd"/>
      <w:r w:rsidR="00C67F5C" w:rsidRPr="00652A4B">
        <w:rPr>
          <w:color w:val="000000" w:themeColor="text1"/>
          <w:szCs w:val="24"/>
        </w:rPr>
        <w:t xml:space="preserve">  The Board considered the PEB determination for bilateral </w:t>
      </w:r>
      <w:proofErr w:type="spellStart"/>
      <w:r w:rsidR="00C67F5C" w:rsidRPr="00652A4B">
        <w:rPr>
          <w:color w:val="000000" w:themeColor="text1"/>
          <w:szCs w:val="24"/>
        </w:rPr>
        <w:t>senisorineural</w:t>
      </w:r>
      <w:proofErr w:type="spellEnd"/>
      <w:r w:rsidR="00C67F5C" w:rsidRPr="00652A4B">
        <w:rPr>
          <w:color w:val="000000" w:themeColor="text1"/>
          <w:szCs w:val="24"/>
        </w:rPr>
        <w:t xml:space="preserve"> hearing loss and tinnitus as </w:t>
      </w:r>
      <w:r w:rsidR="00C67F5C" w:rsidRPr="00652A4B">
        <w:rPr>
          <w:color w:val="auto"/>
          <w:szCs w:val="24"/>
        </w:rPr>
        <w:t xml:space="preserve">administratively final.  The </w:t>
      </w:r>
      <w:r w:rsidR="007E106D">
        <w:rPr>
          <w:color w:val="auto"/>
          <w:szCs w:val="24"/>
        </w:rPr>
        <w:t>narrative summary (</w:t>
      </w:r>
      <w:r w:rsidR="00C67F5C" w:rsidRPr="00652A4B">
        <w:rPr>
          <w:color w:val="auto"/>
          <w:szCs w:val="24"/>
        </w:rPr>
        <w:t>NARSUM</w:t>
      </w:r>
      <w:r w:rsidR="007E106D">
        <w:rPr>
          <w:color w:val="auto"/>
          <w:szCs w:val="24"/>
        </w:rPr>
        <w:t>)</w:t>
      </w:r>
      <w:r w:rsidR="00C67F5C" w:rsidRPr="00652A4B">
        <w:rPr>
          <w:color w:val="auto"/>
          <w:szCs w:val="24"/>
        </w:rPr>
        <w:t xml:space="preserve"> indicated the CI’s sudden hearing loss correlated with poor speech discrimination.</w:t>
      </w:r>
      <w:r w:rsidR="007A2682" w:rsidRPr="00652A4B">
        <w:rPr>
          <w:color w:val="auto"/>
          <w:szCs w:val="24"/>
        </w:rPr>
        <w:t xml:space="preserve">  Brain imaging was normal.  </w:t>
      </w:r>
      <w:r w:rsidR="00652C9E" w:rsidRPr="00652A4B">
        <w:rPr>
          <w:color w:val="auto"/>
          <w:szCs w:val="24"/>
        </w:rPr>
        <w:t xml:space="preserve">The CI’s initial severe speech discrimination was slightly improved with treatment.  </w:t>
      </w:r>
      <w:r w:rsidR="00731790" w:rsidRPr="00652A4B">
        <w:rPr>
          <w:color w:val="auto"/>
          <w:szCs w:val="24"/>
        </w:rPr>
        <w:t xml:space="preserve">The PEB specified hearing decibel </w:t>
      </w:r>
      <w:r w:rsidR="00652C9E" w:rsidRPr="00652A4B">
        <w:rPr>
          <w:color w:val="auto"/>
          <w:szCs w:val="24"/>
        </w:rPr>
        <w:t xml:space="preserve">average </w:t>
      </w:r>
      <w:r w:rsidR="00731790" w:rsidRPr="00652A4B">
        <w:rPr>
          <w:color w:val="auto"/>
          <w:szCs w:val="24"/>
        </w:rPr>
        <w:t xml:space="preserve">and speech discrimination values </w:t>
      </w:r>
      <w:r w:rsidR="00731790" w:rsidRPr="00652A4B">
        <w:rPr>
          <w:color w:val="000000" w:themeColor="text1"/>
          <w:szCs w:val="24"/>
        </w:rPr>
        <w:t>as</w:t>
      </w:r>
      <w:r w:rsidR="00652C9E" w:rsidRPr="00652A4B">
        <w:rPr>
          <w:color w:val="000000" w:themeColor="text1"/>
          <w:szCs w:val="24"/>
        </w:rPr>
        <w:t xml:space="preserve">: </w:t>
      </w:r>
      <w:r w:rsidR="003121DC" w:rsidRPr="00652A4B">
        <w:rPr>
          <w:color w:val="000000" w:themeColor="text1"/>
          <w:szCs w:val="24"/>
        </w:rPr>
        <w:t xml:space="preserve"> </w:t>
      </w:r>
      <w:r w:rsidR="00652C9E" w:rsidRPr="00652A4B">
        <w:rPr>
          <w:color w:val="000000" w:themeColor="text1"/>
          <w:szCs w:val="24"/>
        </w:rPr>
        <w:t>“</w:t>
      </w:r>
      <w:r w:rsidR="002F277B" w:rsidRPr="00652A4B">
        <w:rPr>
          <w:color w:val="000000" w:themeColor="text1"/>
          <w:szCs w:val="24"/>
        </w:rPr>
        <w:t>Hearing, average pure tone loss and percent discrimination</w:t>
      </w:r>
      <w:r w:rsidR="003121DC" w:rsidRPr="00652A4B">
        <w:rPr>
          <w:color w:val="000000" w:themeColor="text1"/>
          <w:szCs w:val="24"/>
        </w:rPr>
        <w:t xml:space="preserve">, right ear - 42.5 db/84%, </w:t>
      </w:r>
      <w:r w:rsidR="007E106D">
        <w:rPr>
          <w:color w:val="000000" w:themeColor="text1"/>
          <w:szCs w:val="24"/>
        </w:rPr>
        <w:t>l</w:t>
      </w:r>
      <w:r w:rsidR="003121DC" w:rsidRPr="00652A4B">
        <w:rPr>
          <w:color w:val="000000" w:themeColor="text1"/>
          <w:szCs w:val="24"/>
        </w:rPr>
        <w:t>eft ear - 45 db/80%.</w:t>
      </w:r>
      <w:r w:rsidR="00652C9E" w:rsidRPr="00652A4B">
        <w:rPr>
          <w:color w:val="000000" w:themeColor="text1"/>
          <w:szCs w:val="24"/>
        </w:rPr>
        <w:t>”</w:t>
      </w:r>
      <w:r w:rsidR="003121DC" w:rsidRPr="00652A4B">
        <w:rPr>
          <w:color w:val="000000" w:themeColor="text1"/>
          <w:szCs w:val="24"/>
        </w:rPr>
        <w:t xml:space="preserve">  </w:t>
      </w:r>
      <w:r w:rsidR="00652C9E" w:rsidRPr="00652A4B">
        <w:rPr>
          <w:color w:val="000000" w:themeColor="text1"/>
          <w:szCs w:val="24"/>
        </w:rPr>
        <w:t>The source</w:t>
      </w:r>
      <w:r w:rsidR="00652C9E">
        <w:rPr>
          <w:color w:val="000000" w:themeColor="text1"/>
          <w:szCs w:val="24"/>
        </w:rPr>
        <w:t xml:space="preserve"> </w:t>
      </w:r>
      <w:proofErr w:type="spellStart"/>
      <w:r w:rsidR="00652C9E">
        <w:rPr>
          <w:color w:val="000000" w:themeColor="text1"/>
          <w:szCs w:val="24"/>
        </w:rPr>
        <w:t>audiologic</w:t>
      </w:r>
      <w:proofErr w:type="spellEnd"/>
      <w:r w:rsidR="00652C9E">
        <w:rPr>
          <w:color w:val="000000" w:themeColor="text1"/>
          <w:szCs w:val="24"/>
        </w:rPr>
        <w:t xml:space="preserve"> evaluation for the </w:t>
      </w:r>
      <w:r w:rsidR="002F277B">
        <w:rPr>
          <w:color w:val="000000" w:themeColor="text1"/>
          <w:szCs w:val="24"/>
        </w:rPr>
        <w:t xml:space="preserve">quoted </w:t>
      </w:r>
      <w:r w:rsidR="00652C9E">
        <w:rPr>
          <w:color w:val="000000" w:themeColor="text1"/>
          <w:szCs w:val="24"/>
        </w:rPr>
        <w:t xml:space="preserve">speech discrimination </w:t>
      </w:r>
      <w:r w:rsidR="002F277B">
        <w:rPr>
          <w:color w:val="000000" w:themeColor="text1"/>
          <w:szCs w:val="24"/>
        </w:rPr>
        <w:t xml:space="preserve">values </w:t>
      </w:r>
      <w:r w:rsidR="00652C9E">
        <w:rPr>
          <w:color w:val="000000" w:themeColor="text1"/>
          <w:szCs w:val="24"/>
        </w:rPr>
        <w:t xml:space="preserve">was not found in the record, although </w:t>
      </w:r>
      <w:r w:rsidR="00652C9E" w:rsidRPr="00652A4B">
        <w:rPr>
          <w:color w:val="000000" w:themeColor="text1"/>
          <w:szCs w:val="24"/>
        </w:rPr>
        <w:t xml:space="preserve">the </w:t>
      </w:r>
      <w:proofErr w:type="spellStart"/>
      <w:r w:rsidR="00652C9E" w:rsidRPr="00652A4B">
        <w:rPr>
          <w:color w:val="000000" w:themeColor="text1"/>
          <w:szCs w:val="24"/>
        </w:rPr>
        <w:t>puretone</w:t>
      </w:r>
      <w:proofErr w:type="spellEnd"/>
      <w:r w:rsidR="00652C9E" w:rsidRPr="00652A4B">
        <w:rPr>
          <w:color w:val="000000" w:themeColor="text1"/>
          <w:szCs w:val="24"/>
        </w:rPr>
        <w:t xml:space="preserve"> </w:t>
      </w:r>
      <w:r w:rsidR="00A40BBC" w:rsidRPr="00652A4B">
        <w:rPr>
          <w:color w:val="000000" w:themeColor="text1"/>
          <w:szCs w:val="24"/>
        </w:rPr>
        <w:t xml:space="preserve">values for the PEB </w:t>
      </w:r>
      <w:r w:rsidR="00652C9E" w:rsidRPr="00652A4B">
        <w:rPr>
          <w:color w:val="000000" w:themeColor="text1"/>
          <w:szCs w:val="24"/>
        </w:rPr>
        <w:lastRenderedPageBreak/>
        <w:t>averages were noted on the MEB DD</w:t>
      </w:r>
      <w:r w:rsidR="007E106D">
        <w:rPr>
          <w:color w:val="000000" w:themeColor="text1"/>
          <w:szCs w:val="24"/>
        </w:rPr>
        <w:t xml:space="preserve"> Form </w:t>
      </w:r>
      <w:r w:rsidR="00652C9E" w:rsidRPr="00652A4B">
        <w:rPr>
          <w:color w:val="000000" w:themeColor="text1"/>
          <w:szCs w:val="24"/>
        </w:rPr>
        <w:t>2808</w:t>
      </w:r>
      <w:r w:rsidR="002F277B" w:rsidRPr="00652A4B">
        <w:rPr>
          <w:color w:val="000000" w:themeColor="text1"/>
          <w:szCs w:val="24"/>
        </w:rPr>
        <w:t xml:space="preserve"> as from </w:t>
      </w:r>
      <w:r w:rsidR="00A40BBC" w:rsidRPr="00652A4B">
        <w:rPr>
          <w:color w:val="000000" w:themeColor="text1"/>
          <w:szCs w:val="24"/>
        </w:rPr>
        <w:t xml:space="preserve">an evaluation of </w:t>
      </w:r>
      <w:r w:rsidR="002F277B" w:rsidRPr="00652A4B">
        <w:rPr>
          <w:color w:val="000000" w:themeColor="text1"/>
          <w:szCs w:val="24"/>
        </w:rPr>
        <w:t>March 2001 (</w:t>
      </w:r>
      <w:r w:rsidR="00A40BBC" w:rsidRPr="00652A4B">
        <w:rPr>
          <w:color w:val="000000" w:themeColor="text1"/>
          <w:szCs w:val="24"/>
        </w:rPr>
        <w:t>“</w:t>
      </w:r>
      <w:r w:rsidR="002F277B" w:rsidRPr="00652A4B">
        <w:rPr>
          <w:color w:val="000000" w:themeColor="text1"/>
          <w:szCs w:val="24"/>
        </w:rPr>
        <w:t>03/01</w:t>
      </w:r>
      <w:r w:rsidR="00A40BBC" w:rsidRPr="00652A4B">
        <w:rPr>
          <w:color w:val="000000" w:themeColor="text1"/>
          <w:szCs w:val="24"/>
        </w:rPr>
        <w:t>”</w:t>
      </w:r>
      <w:r w:rsidR="002F277B" w:rsidRPr="00652A4B">
        <w:rPr>
          <w:color w:val="000000" w:themeColor="text1"/>
          <w:szCs w:val="24"/>
        </w:rPr>
        <w:t>)</w:t>
      </w:r>
      <w:r w:rsidR="00652C9E" w:rsidRPr="00652A4B">
        <w:rPr>
          <w:color w:val="000000" w:themeColor="text1"/>
          <w:szCs w:val="24"/>
        </w:rPr>
        <w:t xml:space="preserve">.  </w:t>
      </w:r>
      <w:r w:rsidR="00A40BBC" w:rsidRPr="00652A4B">
        <w:rPr>
          <w:color w:val="000000" w:themeColor="text1"/>
          <w:szCs w:val="24"/>
        </w:rPr>
        <w:t xml:space="preserve">There were two </w:t>
      </w:r>
      <w:proofErr w:type="spellStart"/>
      <w:r w:rsidR="00A40BBC" w:rsidRPr="00652A4B">
        <w:rPr>
          <w:color w:val="000000" w:themeColor="text1"/>
          <w:szCs w:val="24"/>
        </w:rPr>
        <w:t>audiologic</w:t>
      </w:r>
      <w:proofErr w:type="spellEnd"/>
      <w:r w:rsidR="00A40BBC" w:rsidRPr="00652A4B">
        <w:rPr>
          <w:color w:val="000000" w:themeColor="text1"/>
          <w:szCs w:val="24"/>
        </w:rPr>
        <w:t xml:space="preserve"> evaluations including pure tone audiograms and speech discrimination, proximate to separation, which the Board weighed in arriving at its rating </w:t>
      </w:r>
      <w:r w:rsidR="00A40BBC" w:rsidRPr="00652A4B">
        <w:rPr>
          <w:color w:val="auto"/>
          <w:szCs w:val="24"/>
        </w:rPr>
        <w:t xml:space="preserve">recommendation.  These exams are summarized in the chart below including a more distant </w:t>
      </w:r>
      <w:r w:rsidR="007E106D">
        <w:rPr>
          <w:color w:val="auto"/>
          <w:szCs w:val="24"/>
        </w:rPr>
        <w:t>Department of Veterans’ Affairs (D</w:t>
      </w:r>
      <w:r w:rsidR="00A40BBC" w:rsidRPr="00652A4B">
        <w:rPr>
          <w:color w:val="auto"/>
          <w:szCs w:val="24"/>
        </w:rPr>
        <w:t>VA</w:t>
      </w:r>
      <w:r w:rsidR="007E106D">
        <w:rPr>
          <w:color w:val="auto"/>
          <w:szCs w:val="24"/>
        </w:rPr>
        <w:t>)</w:t>
      </w:r>
      <w:r w:rsidR="00A40BBC" w:rsidRPr="00652A4B">
        <w:rPr>
          <w:color w:val="auto"/>
          <w:szCs w:val="24"/>
        </w:rPr>
        <w:t xml:space="preserve"> evaluation.</w:t>
      </w:r>
    </w:p>
    <w:p w:rsidR="003121DC" w:rsidRPr="005006F4" w:rsidRDefault="003121DC" w:rsidP="001F4523">
      <w:pPr>
        <w:jc w:val="left"/>
        <w:rPr>
          <w:color w:val="auto"/>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540"/>
        <w:gridCol w:w="630"/>
        <w:gridCol w:w="648"/>
        <w:gridCol w:w="720"/>
        <w:gridCol w:w="630"/>
        <w:gridCol w:w="630"/>
        <w:gridCol w:w="2862"/>
        <w:gridCol w:w="954"/>
      </w:tblGrid>
      <w:tr w:rsidR="003121DC" w:rsidRPr="005006F4" w:rsidTr="004C1C63">
        <w:trPr>
          <w:jc w:val="center"/>
        </w:trPr>
        <w:tc>
          <w:tcPr>
            <w:tcW w:w="9108" w:type="dxa"/>
            <w:gridSpan w:val="9"/>
            <w:shd w:val="clear" w:color="auto" w:fill="D9D9D9"/>
            <w:vAlign w:val="center"/>
          </w:tcPr>
          <w:p w:rsidR="003121DC" w:rsidRPr="005006F4" w:rsidRDefault="003121DC" w:rsidP="00E47403">
            <w:pPr>
              <w:spacing w:line="180" w:lineRule="exact"/>
              <w:contextualSpacing/>
              <w:rPr>
                <w:bCs/>
                <w:color w:val="auto"/>
                <w:sz w:val="18"/>
                <w:szCs w:val="23"/>
              </w:rPr>
            </w:pPr>
            <w:r w:rsidRPr="005006F4">
              <w:rPr>
                <w:rFonts w:eastAsia="Calibri"/>
                <w:color w:val="auto"/>
                <w:sz w:val="18"/>
                <w:szCs w:val="18"/>
              </w:rPr>
              <w:t>Separation Date:  December 17, 2001</w:t>
            </w:r>
          </w:p>
        </w:tc>
      </w:tr>
      <w:tr w:rsidR="00941D32" w:rsidRPr="005006F4" w:rsidTr="00E47403">
        <w:trPr>
          <w:jc w:val="center"/>
        </w:trPr>
        <w:tc>
          <w:tcPr>
            <w:tcW w:w="1494"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 xml:space="preserve">Audiometric Threshold (Hz) </w:t>
            </w:r>
            <w:r w:rsidRPr="005006F4">
              <w:rPr>
                <w:rFonts w:eastAsia="Calibri" w:cs="Calibri"/>
                <w:color w:val="auto"/>
                <w:sz w:val="18"/>
                <w:szCs w:val="18"/>
              </w:rPr>
              <w:t>→</w:t>
            </w:r>
          </w:p>
        </w:tc>
        <w:tc>
          <w:tcPr>
            <w:tcW w:w="540"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500</w:t>
            </w:r>
          </w:p>
        </w:tc>
        <w:tc>
          <w:tcPr>
            <w:tcW w:w="630"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1000</w:t>
            </w:r>
          </w:p>
        </w:tc>
        <w:tc>
          <w:tcPr>
            <w:tcW w:w="648"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2000</w:t>
            </w:r>
          </w:p>
        </w:tc>
        <w:tc>
          <w:tcPr>
            <w:tcW w:w="720"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3000</w:t>
            </w:r>
          </w:p>
        </w:tc>
        <w:tc>
          <w:tcPr>
            <w:tcW w:w="630"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4000</w:t>
            </w:r>
          </w:p>
        </w:tc>
        <w:tc>
          <w:tcPr>
            <w:tcW w:w="630"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6000</w:t>
            </w:r>
          </w:p>
        </w:tc>
        <w:tc>
          <w:tcPr>
            <w:tcW w:w="2862" w:type="dxa"/>
            <w:shd w:val="clear" w:color="auto" w:fill="D9D9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Comments</w:t>
            </w:r>
          </w:p>
        </w:tc>
        <w:tc>
          <w:tcPr>
            <w:tcW w:w="954" w:type="dxa"/>
            <w:shd w:val="clear" w:color="auto" w:fill="D9D9D9"/>
          </w:tcPr>
          <w:p w:rsidR="00941D32" w:rsidRPr="005006F4" w:rsidRDefault="00941D32" w:rsidP="00E47403">
            <w:pPr>
              <w:spacing w:line="180" w:lineRule="exact"/>
              <w:contextualSpacing/>
              <w:rPr>
                <w:rFonts w:eastAsia="Calibri"/>
                <w:color w:val="auto"/>
                <w:sz w:val="18"/>
                <w:szCs w:val="18"/>
              </w:rPr>
            </w:pPr>
            <w:r w:rsidRPr="005006F4">
              <w:rPr>
                <w:bCs/>
                <w:color w:val="auto"/>
                <w:sz w:val="18"/>
                <w:szCs w:val="23"/>
              </w:rPr>
              <w:t>§ 4.85/6 Rating</w:t>
            </w:r>
          </w:p>
        </w:tc>
      </w:tr>
      <w:tr w:rsidR="00941D32" w:rsidRPr="005006F4" w:rsidTr="003121DC">
        <w:trPr>
          <w:jc w:val="center"/>
        </w:trPr>
        <w:tc>
          <w:tcPr>
            <w:tcW w:w="5292" w:type="dxa"/>
            <w:gridSpan w:val="7"/>
            <w:vAlign w:val="center"/>
          </w:tcPr>
          <w:p w:rsidR="00941D32" w:rsidRPr="005006F4" w:rsidRDefault="00941D32" w:rsidP="00E47403">
            <w:pPr>
              <w:spacing w:line="180" w:lineRule="exact"/>
              <w:contextualSpacing/>
              <w:jc w:val="left"/>
              <w:rPr>
                <w:rFonts w:eastAsia="Calibri"/>
                <w:color w:val="auto"/>
                <w:sz w:val="18"/>
                <w:szCs w:val="18"/>
              </w:rPr>
            </w:pPr>
            <w:r w:rsidRPr="005006F4">
              <w:rPr>
                <w:color w:val="auto"/>
                <w:sz w:val="18"/>
                <w:szCs w:val="18"/>
              </w:rPr>
              <w:t>MEB/DD 2808 April 11, 2001 (~8mos Pre-Sep)</w:t>
            </w:r>
          </w:p>
        </w:tc>
        <w:tc>
          <w:tcPr>
            <w:tcW w:w="2862" w:type="dxa"/>
            <w:shd w:val="clear" w:color="auto" w:fill="D9D9D9" w:themeFill="background1" w:themeFillShade="D9"/>
            <w:vAlign w:val="center"/>
          </w:tcPr>
          <w:p w:rsidR="00941D32"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Tinnitus bilaterally</w:t>
            </w:r>
          </w:p>
        </w:tc>
        <w:tc>
          <w:tcPr>
            <w:tcW w:w="954" w:type="dxa"/>
            <w:shd w:val="clear" w:color="auto" w:fill="D9D9D9" w:themeFill="background1" w:themeFillShade="D9"/>
            <w:vAlign w:val="center"/>
          </w:tcPr>
          <w:p w:rsidR="00941D32"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10%</w:t>
            </w:r>
          </w:p>
        </w:tc>
      </w:tr>
      <w:tr w:rsidR="00E47403" w:rsidRPr="005006F4" w:rsidTr="00E47403">
        <w:trPr>
          <w:jc w:val="center"/>
        </w:trPr>
        <w:tc>
          <w:tcPr>
            <w:tcW w:w="1494"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Right</w:t>
            </w:r>
          </w:p>
        </w:tc>
        <w:tc>
          <w:tcPr>
            <w:tcW w:w="54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648"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50</w:t>
            </w:r>
          </w:p>
        </w:tc>
        <w:tc>
          <w:tcPr>
            <w:tcW w:w="720" w:type="dxa"/>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40</w:t>
            </w:r>
          </w:p>
        </w:tc>
        <w:tc>
          <w:tcPr>
            <w:tcW w:w="630" w:type="dxa"/>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25</w:t>
            </w:r>
          </w:p>
        </w:tc>
        <w:tc>
          <w:tcPr>
            <w:tcW w:w="630" w:type="dxa"/>
            <w:shd w:val="pct15" w:color="auto" w:fill="auto"/>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15</w:t>
            </w:r>
          </w:p>
        </w:tc>
        <w:tc>
          <w:tcPr>
            <w:tcW w:w="2862" w:type="dxa"/>
            <w:vMerge w:val="restart"/>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Average R=42.5, L=45;</w:t>
            </w:r>
          </w:p>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 xml:space="preserve">Speech </w:t>
            </w:r>
            <w:proofErr w:type="spellStart"/>
            <w:r w:rsidRPr="005006F4">
              <w:rPr>
                <w:rFonts w:eastAsia="Calibri"/>
                <w:color w:val="auto"/>
                <w:sz w:val="18"/>
                <w:szCs w:val="18"/>
              </w:rPr>
              <w:t>Descrim</w:t>
            </w:r>
            <w:proofErr w:type="spellEnd"/>
            <w:r w:rsidRPr="005006F4">
              <w:rPr>
                <w:rFonts w:eastAsia="Calibri"/>
                <w:color w:val="auto"/>
                <w:sz w:val="18"/>
                <w:szCs w:val="18"/>
              </w:rPr>
              <w:t xml:space="preserve">  R=84%, L=80%</w:t>
            </w:r>
          </w:p>
        </w:tc>
        <w:tc>
          <w:tcPr>
            <w:tcW w:w="954" w:type="dxa"/>
            <w:vMerge w:val="restart"/>
            <w:vAlign w:val="center"/>
          </w:tcPr>
          <w:p w:rsidR="00E47403" w:rsidRPr="005006F4" w:rsidRDefault="00E47403" w:rsidP="00731790">
            <w:pPr>
              <w:spacing w:line="180" w:lineRule="exact"/>
              <w:contextualSpacing/>
              <w:rPr>
                <w:rFonts w:eastAsia="Calibri"/>
                <w:color w:val="auto"/>
                <w:sz w:val="18"/>
                <w:szCs w:val="18"/>
              </w:rPr>
            </w:pPr>
            <w:r w:rsidRPr="005006F4">
              <w:rPr>
                <w:rFonts w:eastAsia="Calibri"/>
                <w:color w:val="auto"/>
                <w:sz w:val="18"/>
                <w:szCs w:val="18"/>
              </w:rPr>
              <w:t>0%</w:t>
            </w:r>
          </w:p>
        </w:tc>
      </w:tr>
      <w:tr w:rsidR="00E47403" w:rsidRPr="005006F4" w:rsidTr="00E47403">
        <w:trPr>
          <w:jc w:val="center"/>
        </w:trPr>
        <w:tc>
          <w:tcPr>
            <w:tcW w:w="1494" w:type="dxa"/>
            <w:vAlign w:val="center"/>
          </w:tcPr>
          <w:p w:rsidR="00E47403" w:rsidRPr="005006F4" w:rsidRDefault="00E47403" w:rsidP="00E47403">
            <w:pPr>
              <w:tabs>
                <w:tab w:val="left" w:pos="288"/>
                <w:tab w:val="left" w:pos="4752"/>
              </w:tabs>
              <w:spacing w:line="180" w:lineRule="exact"/>
              <w:rPr>
                <w:color w:val="auto"/>
                <w:sz w:val="18"/>
                <w:szCs w:val="18"/>
              </w:rPr>
            </w:pPr>
            <w:r w:rsidRPr="005006F4">
              <w:rPr>
                <w:color w:val="auto"/>
                <w:sz w:val="18"/>
                <w:szCs w:val="18"/>
              </w:rPr>
              <w:t>Left</w:t>
            </w:r>
          </w:p>
        </w:tc>
        <w:tc>
          <w:tcPr>
            <w:tcW w:w="540" w:type="dxa"/>
            <w:tcBorders>
              <w:bottom w:val="single" w:sz="4" w:space="0" w:color="000000"/>
            </w:tcBorders>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50</w:t>
            </w:r>
          </w:p>
        </w:tc>
        <w:tc>
          <w:tcPr>
            <w:tcW w:w="630"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648"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720" w:type="dxa"/>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630" w:type="dxa"/>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40</w:t>
            </w:r>
          </w:p>
        </w:tc>
        <w:tc>
          <w:tcPr>
            <w:tcW w:w="630" w:type="dxa"/>
            <w:tcBorders>
              <w:bottom w:val="single" w:sz="4" w:space="0" w:color="000000"/>
            </w:tcBorders>
            <w:shd w:val="pct15" w:color="auto" w:fill="auto"/>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70</w:t>
            </w:r>
          </w:p>
        </w:tc>
        <w:tc>
          <w:tcPr>
            <w:tcW w:w="2862" w:type="dxa"/>
            <w:vMerge/>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p>
        </w:tc>
        <w:tc>
          <w:tcPr>
            <w:tcW w:w="954" w:type="dxa"/>
            <w:vMerge/>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p>
        </w:tc>
      </w:tr>
      <w:tr w:rsidR="00941D32" w:rsidRPr="005006F4" w:rsidTr="003121DC">
        <w:trPr>
          <w:jc w:val="center"/>
        </w:trPr>
        <w:tc>
          <w:tcPr>
            <w:tcW w:w="5292" w:type="dxa"/>
            <w:gridSpan w:val="7"/>
            <w:vAlign w:val="center"/>
          </w:tcPr>
          <w:p w:rsidR="00941D32" w:rsidRPr="005006F4" w:rsidRDefault="00941D32" w:rsidP="00941D32">
            <w:pPr>
              <w:spacing w:line="180" w:lineRule="exact"/>
              <w:contextualSpacing/>
              <w:jc w:val="left"/>
              <w:rPr>
                <w:rFonts w:eastAsia="Calibri"/>
                <w:color w:val="auto"/>
                <w:sz w:val="18"/>
                <w:szCs w:val="18"/>
              </w:rPr>
            </w:pPr>
            <w:r w:rsidRPr="005006F4">
              <w:rPr>
                <w:color w:val="auto"/>
                <w:sz w:val="18"/>
                <w:szCs w:val="18"/>
              </w:rPr>
              <w:t xml:space="preserve">VA </w:t>
            </w:r>
            <w:proofErr w:type="spellStart"/>
            <w:r w:rsidRPr="005006F4">
              <w:rPr>
                <w:color w:val="auto"/>
                <w:sz w:val="18"/>
                <w:szCs w:val="18"/>
              </w:rPr>
              <w:t>Audiological</w:t>
            </w:r>
            <w:proofErr w:type="spellEnd"/>
            <w:r w:rsidRPr="005006F4">
              <w:rPr>
                <w:color w:val="auto"/>
                <w:sz w:val="18"/>
                <w:szCs w:val="18"/>
              </w:rPr>
              <w:t xml:space="preserve"> Evaluation December 14, 2001 (&lt;1 </w:t>
            </w:r>
            <w:proofErr w:type="spellStart"/>
            <w:r w:rsidRPr="005006F4">
              <w:rPr>
                <w:color w:val="auto"/>
                <w:sz w:val="18"/>
                <w:szCs w:val="18"/>
              </w:rPr>
              <w:t>mos</w:t>
            </w:r>
            <w:proofErr w:type="spellEnd"/>
            <w:r w:rsidRPr="005006F4">
              <w:rPr>
                <w:color w:val="auto"/>
                <w:sz w:val="18"/>
                <w:szCs w:val="18"/>
              </w:rPr>
              <w:t xml:space="preserve"> Pre-Sep)</w:t>
            </w:r>
          </w:p>
        </w:tc>
        <w:tc>
          <w:tcPr>
            <w:tcW w:w="2862" w:type="dxa"/>
            <w:shd w:val="clear" w:color="auto" w:fill="D9D9D9" w:themeFill="background1" w:themeFillShade="D9"/>
            <w:vAlign w:val="center"/>
          </w:tcPr>
          <w:p w:rsidR="00941D32" w:rsidRPr="005006F4" w:rsidRDefault="00941D32" w:rsidP="00E47403">
            <w:pPr>
              <w:spacing w:line="180" w:lineRule="exact"/>
              <w:contextualSpacing/>
              <w:rPr>
                <w:rFonts w:eastAsia="Calibri"/>
                <w:color w:val="auto"/>
                <w:sz w:val="18"/>
                <w:szCs w:val="18"/>
              </w:rPr>
            </w:pPr>
            <w:r w:rsidRPr="005006F4">
              <w:rPr>
                <w:rFonts w:eastAsia="Calibri"/>
                <w:color w:val="auto"/>
                <w:sz w:val="18"/>
                <w:szCs w:val="18"/>
              </w:rPr>
              <w:t>Tinnitus bilaterally</w:t>
            </w:r>
          </w:p>
        </w:tc>
        <w:tc>
          <w:tcPr>
            <w:tcW w:w="954" w:type="dxa"/>
            <w:shd w:val="clear" w:color="auto" w:fill="D9D9D9" w:themeFill="background1" w:themeFillShade="D9"/>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10%</w:t>
            </w:r>
          </w:p>
        </w:tc>
      </w:tr>
      <w:tr w:rsidR="00E47403" w:rsidRPr="005006F4" w:rsidTr="00E47403">
        <w:trPr>
          <w:jc w:val="center"/>
        </w:trPr>
        <w:tc>
          <w:tcPr>
            <w:tcW w:w="1494" w:type="dxa"/>
            <w:vAlign w:val="center"/>
          </w:tcPr>
          <w:p w:rsidR="00E47403" w:rsidRPr="005006F4" w:rsidRDefault="00E47403" w:rsidP="00E47403">
            <w:pPr>
              <w:tabs>
                <w:tab w:val="left" w:pos="288"/>
                <w:tab w:val="left" w:pos="4752"/>
              </w:tabs>
              <w:spacing w:line="180" w:lineRule="exact"/>
              <w:rPr>
                <w:color w:val="auto"/>
                <w:sz w:val="18"/>
                <w:szCs w:val="18"/>
              </w:rPr>
            </w:pPr>
            <w:r w:rsidRPr="005006F4">
              <w:rPr>
                <w:color w:val="auto"/>
                <w:sz w:val="18"/>
                <w:szCs w:val="18"/>
              </w:rPr>
              <w:t>Right</w:t>
            </w:r>
          </w:p>
        </w:tc>
        <w:tc>
          <w:tcPr>
            <w:tcW w:w="54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648"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72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63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50</w:t>
            </w:r>
          </w:p>
        </w:tc>
        <w:tc>
          <w:tcPr>
            <w:tcW w:w="2862" w:type="dxa"/>
            <w:vMerge w:val="restart"/>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 xml:space="preserve">Average </w:t>
            </w:r>
            <w:proofErr w:type="spellStart"/>
            <w:r w:rsidRPr="005006F4">
              <w:rPr>
                <w:rFonts w:eastAsia="Calibri"/>
                <w:color w:val="auto"/>
                <w:sz w:val="18"/>
                <w:szCs w:val="18"/>
              </w:rPr>
              <w:t>Avg</w:t>
            </w:r>
            <w:proofErr w:type="spellEnd"/>
            <w:r w:rsidRPr="005006F4">
              <w:rPr>
                <w:rFonts w:eastAsia="Calibri"/>
                <w:color w:val="auto"/>
                <w:sz w:val="18"/>
                <w:szCs w:val="18"/>
              </w:rPr>
              <w:t xml:space="preserve"> R=55, L=</w:t>
            </w:r>
            <w:r w:rsidR="003121DC" w:rsidRPr="005006F4">
              <w:rPr>
                <w:rFonts w:eastAsia="Calibri"/>
                <w:color w:val="auto"/>
                <w:sz w:val="18"/>
                <w:szCs w:val="18"/>
              </w:rPr>
              <w:t>60</w:t>
            </w:r>
            <w:r w:rsidR="00731790" w:rsidRPr="005006F4">
              <w:rPr>
                <w:rFonts w:eastAsia="Calibri"/>
                <w:color w:val="auto"/>
                <w:sz w:val="18"/>
                <w:szCs w:val="18"/>
              </w:rPr>
              <w:t>*</w:t>
            </w:r>
            <w:r w:rsidRPr="005006F4">
              <w:rPr>
                <w:rFonts w:eastAsia="Calibri"/>
                <w:color w:val="auto"/>
                <w:sz w:val="18"/>
                <w:szCs w:val="18"/>
              </w:rPr>
              <w:t xml:space="preserve">; </w:t>
            </w:r>
          </w:p>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 xml:space="preserve">Speech </w:t>
            </w:r>
            <w:proofErr w:type="spellStart"/>
            <w:r w:rsidRPr="005006F4">
              <w:rPr>
                <w:rFonts w:eastAsia="Calibri"/>
                <w:color w:val="auto"/>
                <w:sz w:val="18"/>
                <w:szCs w:val="18"/>
              </w:rPr>
              <w:t>Descrim</w:t>
            </w:r>
            <w:proofErr w:type="spellEnd"/>
            <w:r w:rsidRPr="005006F4">
              <w:rPr>
                <w:rFonts w:eastAsia="Calibri"/>
                <w:color w:val="auto"/>
                <w:sz w:val="18"/>
                <w:szCs w:val="18"/>
              </w:rPr>
              <w:t xml:space="preserve">  R=96%, L=96%</w:t>
            </w:r>
          </w:p>
        </w:tc>
        <w:tc>
          <w:tcPr>
            <w:tcW w:w="954" w:type="dxa"/>
            <w:vMerge w:val="restart"/>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0%</w:t>
            </w:r>
          </w:p>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(VA 10%)</w:t>
            </w:r>
          </w:p>
        </w:tc>
      </w:tr>
      <w:tr w:rsidR="00E47403" w:rsidRPr="005006F4" w:rsidTr="00E47403">
        <w:trPr>
          <w:jc w:val="center"/>
        </w:trPr>
        <w:tc>
          <w:tcPr>
            <w:tcW w:w="1494" w:type="dxa"/>
            <w:vAlign w:val="center"/>
          </w:tcPr>
          <w:p w:rsidR="00E47403" w:rsidRPr="005006F4" w:rsidRDefault="00E47403" w:rsidP="00E47403">
            <w:pPr>
              <w:tabs>
                <w:tab w:val="left" w:pos="288"/>
                <w:tab w:val="left" w:pos="4752"/>
              </w:tabs>
              <w:spacing w:line="180" w:lineRule="exact"/>
              <w:rPr>
                <w:color w:val="auto"/>
                <w:sz w:val="18"/>
                <w:szCs w:val="18"/>
              </w:rPr>
            </w:pPr>
            <w:r w:rsidRPr="005006F4">
              <w:rPr>
                <w:color w:val="auto"/>
                <w:sz w:val="18"/>
                <w:szCs w:val="18"/>
              </w:rPr>
              <w:t>Left</w:t>
            </w:r>
          </w:p>
        </w:tc>
        <w:tc>
          <w:tcPr>
            <w:tcW w:w="54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648"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72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65</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63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2862" w:type="dxa"/>
            <w:vMerge/>
          </w:tcPr>
          <w:p w:rsidR="00E47403" w:rsidRPr="005006F4" w:rsidRDefault="00E47403" w:rsidP="00E47403">
            <w:pPr>
              <w:spacing w:line="180" w:lineRule="exact"/>
              <w:contextualSpacing/>
              <w:rPr>
                <w:rFonts w:eastAsia="Calibri"/>
                <w:color w:val="auto"/>
                <w:sz w:val="18"/>
                <w:szCs w:val="18"/>
              </w:rPr>
            </w:pPr>
          </w:p>
        </w:tc>
        <w:tc>
          <w:tcPr>
            <w:tcW w:w="954" w:type="dxa"/>
            <w:vMerge/>
          </w:tcPr>
          <w:p w:rsidR="00E47403" w:rsidRPr="005006F4" w:rsidRDefault="00E47403" w:rsidP="00E47403">
            <w:pPr>
              <w:spacing w:line="180" w:lineRule="exact"/>
              <w:contextualSpacing/>
              <w:rPr>
                <w:rFonts w:eastAsia="Calibri"/>
                <w:color w:val="auto"/>
                <w:sz w:val="18"/>
                <w:szCs w:val="18"/>
              </w:rPr>
            </w:pPr>
          </w:p>
        </w:tc>
      </w:tr>
      <w:tr w:rsidR="00941D32" w:rsidRPr="005006F4" w:rsidTr="003121DC">
        <w:trPr>
          <w:jc w:val="center"/>
        </w:trPr>
        <w:tc>
          <w:tcPr>
            <w:tcW w:w="5292" w:type="dxa"/>
            <w:gridSpan w:val="7"/>
            <w:vAlign w:val="center"/>
          </w:tcPr>
          <w:p w:rsidR="00941D32" w:rsidRPr="005006F4" w:rsidRDefault="00941D32" w:rsidP="00E47403">
            <w:pPr>
              <w:spacing w:line="180" w:lineRule="exact"/>
              <w:contextualSpacing/>
              <w:jc w:val="left"/>
              <w:rPr>
                <w:rFonts w:eastAsia="Calibri"/>
                <w:color w:val="auto"/>
                <w:sz w:val="18"/>
                <w:szCs w:val="18"/>
              </w:rPr>
            </w:pPr>
            <w:r w:rsidRPr="005006F4">
              <w:rPr>
                <w:rFonts w:eastAsia="Calibri"/>
                <w:color w:val="auto"/>
                <w:sz w:val="18"/>
                <w:szCs w:val="18"/>
              </w:rPr>
              <w:t>C&amp;P Audiology August 19, 2</w:t>
            </w:r>
            <w:r w:rsidR="00E47403" w:rsidRPr="005006F4">
              <w:rPr>
                <w:rFonts w:eastAsia="Calibri"/>
                <w:color w:val="auto"/>
                <w:sz w:val="18"/>
                <w:szCs w:val="18"/>
              </w:rPr>
              <w:t>00</w:t>
            </w:r>
            <w:r w:rsidRPr="005006F4">
              <w:rPr>
                <w:rFonts w:eastAsia="Calibri"/>
                <w:color w:val="auto"/>
                <w:sz w:val="18"/>
                <w:szCs w:val="18"/>
              </w:rPr>
              <w:t>4 (~4 years Post-Sep)</w:t>
            </w:r>
          </w:p>
        </w:tc>
        <w:tc>
          <w:tcPr>
            <w:tcW w:w="2862" w:type="dxa"/>
            <w:shd w:val="clear" w:color="auto" w:fill="D9D9D9" w:themeFill="background1" w:themeFillShade="D9"/>
            <w:vAlign w:val="center"/>
          </w:tcPr>
          <w:p w:rsidR="00941D32"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Tinnitus bilaterally</w:t>
            </w:r>
          </w:p>
        </w:tc>
        <w:tc>
          <w:tcPr>
            <w:tcW w:w="954" w:type="dxa"/>
            <w:shd w:val="clear" w:color="auto" w:fill="D9D9D9" w:themeFill="background1" w:themeFillShade="D9"/>
            <w:vAlign w:val="center"/>
          </w:tcPr>
          <w:p w:rsidR="00941D32"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10%</w:t>
            </w:r>
          </w:p>
        </w:tc>
      </w:tr>
      <w:tr w:rsidR="00E47403" w:rsidRPr="005006F4" w:rsidTr="00E47403">
        <w:trPr>
          <w:jc w:val="center"/>
        </w:trPr>
        <w:tc>
          <w:tcPr>
            <w:tcW w:w="1494"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Right</w:t>
            </w:r>
          </w:p>
        </w:tc>
        <w:tc>
          <w:tcPr>
            <w:tcW w:w="54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60</w:t>
            </w:r>
          </w:p>
        </w:tc>
        <w:tc>
          <w:tcPr>
            <w:tcW w:w="648"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72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55</w:t>
            </w:r>
          </w:p>
        </w:tc>
        <w:tc>
          <w:tcPr>
            <w:tcW w:w="630" w:type="dxa"/>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45</w:t>
            </w:r>
          </w:p>
        </w:tc>
        <w:tc>
          <w:tcPr>
            <w:tcW w:w="630" w:type="dxa"/>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w:t>
            </w:r>
          </w:p>
        </w:tc>
        <w:tc>
          <w:tcPr>
            <w:tcW w:w="2862" w:type="dxa"/>
            <w:vMerge w:val="restart"/>
          </w:tcPr>
          <w:p w:rsidR="00731790" w:rsidRPr="005006F4" w:rsidRDefault="00731790" w:rsidP="00731790">
            <w:pPr>
              <w:spacing w:line="180" w:lineRule="exact"/>
              <w:contextualSpacing/>
              <w:rPr>
                <w:rFonts w:eastAsia="Calibri"/>
                <w:color w:val="auto"/>
                <w:sz w:val="18"/>
                <w:szCs w:val="18"/>
              </w:rPr>
            </w:pPr>
            <w:r w:rsidRPr="005006F4">
              <w:rPr>
                <w:rFonts w:eastAsia="Calibri"/>
                <w:color w:val="auto"/>
                <w:sz w:val="18"/>
                <w:szCs w:val="18"/>
              </w:rPr>
              <w:t xml:space="preserve">Average R=51, L=67.5*; </w:t>
            </w:r>
          </w:p>
          <w:p w:rsidR="00E47403" w:rsidRPr="005006F4" w:rsidRDefault="00731790" w:rsidP="00731790">
            <w:pPr>
              <w:spacing w:line="180" w:lineRule="exact"/>
              <w:contextualSpacing/>
              <w:rPr>
                <w:rFonts w:eastAsia="Calibri"/>
                <w:color w:val="auto"/>
                <w:sz w:val="18"/>
                <w:szCs w:val="18"/>
              </w:rPr>
            </w:pPr>
            <w:r w:rsidRPr="005006F4">
              <w:rPr>
                <w:rFonts w:eastAsia="Calibri"/>
                <w:color w:val="auto"/>
                <w:sz w:val="18"/>
                <w:szCs w:val="18"/>
              </w:rPr>
              <w:t xml:space="preserve">Speech </w:t>
            </w:r>
            <w:proofErr w:type="spellStart"/>
            <w:r w:rsidRPr="005006F4">
              <w:rPr>
                <w:rFonts w:eastAsia="Calibri"/>
                <w:color w:val="auto"/>
                <w:sz w:val="18"/>
                <w:szCs w:val="18"/>
              </w:rPr>
              <w:t>Descrim</w:t>
            </w:r>
            <w:proofErr w:type="spellEnd"/>
            <w:r w:rsidRPr="005006F4">
              <w:rPr>
                <w:rFonts w:eastAsia="Calibri"/>
                <w:color w:val="auto"/>
                <w:sz w:val="18"/>
                <w:szCs w:val="18"/>
              </w:rPr>
              <w:t xml:space="preserve">  R=96%, L=92%</w:t>
            </w:r>
          </w:p>
        </w:tc>
        <w:tc>
          <w:tcPr>
            <w:tcW w:w="954" w:type="dxa"/>
            <w:vMerge w:val="restart"/>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0%</w:t>
            </w:r>
          </w:p>
        </w:tc>
      </w:tr>
      <w:tr w:rsidR="00E47403" w:rsidRPr="005006F4" w:rsidTr="00E47403">
        <w:trPr>
          <w:jc w:val="center"/>
        </w:trPr>
        <w:tc>
          <w:tcPr>
            <w:tcW w:w="1494" w:type="dxa"/>
            <w:vAlign w:val="center"/>
          </w:tcPr>
          <w:p w:rsidR="00E47403" w:rsidRPr="005006F4" w:rsidRDefault="00E47403" w:rsidP="00E47403">
            <w:pPr>
              <w:tabs>
                <w:tab w:val="left" w:pos="288"/>
                <w:tab w:val="left" w:pos="4752"/>
              </w:tabs>
              <w:spacing w:line="180" w:lineRule="exact"/>
              <w:rPr>
                <w:color w:val="auto"/>
                <w:sz w:val="18"/>
                <w:szCs w:val="18"/>
              </w:rPr>
            </w:pPr>
            <w:r w:rsidRPr="005006F4">
              <w:rPr>
                <w:color w:val="auto"/>
                <w:sz w:val="18"/>
                <w:szCs w:val="18"/>
              </w:rPr>
              <w:t>Left</w:t>
            </w:r>
          </w:p>
        </w:tc>
        <w:tc>
          <w:tcPr>
            <w:tcW w:w="540" w:type="dxa"/>
            <w:tcBorders>
              <w:bottom w:val="single" w:sz="4" w:space="0" w:color="000000"/>
            </w:tcBorders>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w:t>
            </w:r>
          </w:p>
        </w:tc>
        <w:tc>
          <w:tcPr>
            <w:tcW w:w="630"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70</w:t>
            </w:r>
          </w:p>
        </w:tc>
        <w:tc>
          <w:tcPr>
            <w:tcW w:w="648"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65</w:t>
            </w:r>
          </w:p>
        </w:tc>
        <w:tc>
          <w:tcPr>
            <w:tcW w:w="720"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70</w:t>
            </w:r>
          </w:p>
        </w:tc>
        <w:tc>
          <w:tcPr>
            <w:tcW w:w="630" w:type="dxa"/>
            <w:tcBorders>
              <w:bottom w:val="single" w:sz="4" w:space="0" w:color="000000"/>
            </w:tcBorders>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65</w:t>
            </w:r>
          </w:p>
        </w:tc>
        <w:tc>
          <w:tcPr>
            <w:tcW w:w="630" w:type="dxa"/>
            <w:tcBorders>
              <w:bottom w:val="single" w:sz="4" w:space="0" w:color="000000"/>
            </w:tcBorders>
            <w:shd w:val="pct15" w:color="auto" w:fill="auto"/>
            <w:vAlign w:val="center"/>
          </w:tcPr>
          <w:p w:rsidR="00E47403" w:rsidRPr="005006F4" w:rsidRDefault="00E47403" w:rsidP="00E47403">
            <w:pPr>
              <w:spacing w:line="180" w:lineRule="exact"/>
              <w:contextualSpacing/>
              <w:rPr>
                <w:rFonts w:eastAsia="Calibri"/>
                <w:color w:val="auto"/>
                <w:sz w:val="18"/>
                <w:szCs w:val="18"/>
              </w:rPr>
            </w:pPr>
            <w:r w:rsidRPr="005006F4">
              <w:rPr>
                <w:rFonts w:eastAsia="Calibri"/>
                <w:color w:val="auto"/>
                <w:sz w:val="18"/>
                <w:szCs w:val="18"/>
              </w:rPr>
              <w:t>--</w:t>
            </w:r>
          </w:p>
        </w:tc>
        <w:tc>
          <w:tcPr>
            <w:tcW w:w="2862" w:type="dxa"/>
            <w:vMerge/>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p>
        </w:tc>
        <w:tc>
          <w:tcPr>
            <w:tcW w:w="954" w:type="dxa"/>
            <w:vMerge/>
            <w:tcBorders>
              <w:bottom w:val="single" w:sz="4" w:space="0" w:color="000000"/>
            </w:tcBorders>
          </w:tcPr>
          <w:p w:rsidR="00E47403" w:rsidRPr="005006F4" w:rsidRDefault="00E47403" w:rsidP="00E47403">
            <w:pPr>
              <w:spacing w:line="180" w:lineRule="exact"/>
              <w:contextualSpacing/>
              <w:rPr>
                <w:rFonts w:eastAsia="Calibri"/>
                <w:color w:val="auto"/>
                <w:sz w:val="18"/>
                <w:szCs w:val="18"/>
              </w:rPr>
            </w:pPr>
          </w:p>
        </w:tc>
      </w:tr>
    </w:tbl>
    <w:p w:rsidR="00731790" w:rsidRPr="005006F4" w:rsidRDefault="00731790" w:rsidP="00731790">
      <w:pPr>
        <w:spacing w:line="180" w:lineRule="exact"/>
        <w:contextualSpacing/>
        <w:jc w:val="both"/>
        <w:rPr>
          <w:rFonts w:asciiTheme="minorHAnsi" w:hAnsiTheme="minorHAnsi"/>
          <w:color w:val="auto"/>
          <w:sz w:val="20"/>
        </w:rPr>
      </w:pPr>
      <w:r w:rsidRPr="005006F4">
        <w:rPr>
          <w:rFonts w:asciiTheme="minorHAnsi" w:hAnsiTheme="minorHAnsi"/>
          <w:color w:val="auto"/>
          <w:sz w:val="20"/>
        </w:rPr>
        <w:t xml:space="preserve">* Table </w:t>
      </w:r>
      <w:proofErr w:type="spellStart"/>
      <w:r w:rsidRPr="005006F4">
        <w:rPr>
          <w:rFonts w:asciiTheme="minorHAnsi" w:hAnsiTheme="minorHAnsi"/>
          <w:color w:val="auto"/>
          <w:sz w:val="20"/>
        </w:rPr>
        <w:t>VIa</w:t>
      </w:r>
      <w:proofErr w:type="spellEnd"/>
      <w:r w:rsidRPr="005006F4">
        <w:rPr>
          <w:rFonts w:asciiTheme="minorHAnsi" w:hAnsiTheme="minorHAnsi"/>
          <w:color w:val="auto"/>
          <w:sz w:val="20"/>
        </w:rPr>
        <w:t xml:space="preserve"> applied IAW §4.86</w:t>
      </w:r>
      <w:r w:rsidR="004C1C63" w:rsidRPr="005006F4">
        <w:rPr>
          <w:rFonts w:asciiTheme="minorHAnsi" w:hAnsiTheme="minorHAnsi"/>
          <w:color w:val="auto"/>
          <w:sz w:val="20"/>
        </w:rPr>
        <w:t>,</w:t>
      </w:r>
      <w:r w:rsidRPr="005006F4">
        <w:rPr>
          <w:rFonts w:asciiTheme="minorHAnsi" w:hAnsiTheme="minorHAnsi"/>
          <w:color w:val="auto"/>
          <w:sz w:val="20"/>
        </w:rPr>
        <w:t xml:space="preserve"> Exceptional patterns of hearing impairment, note (a) </w:t>
      </w:r>
    </w:p>
    <w:p w:rsidR="00731790" w:rsidRPr="005006F4" w:rsidRDefault="00731790" w:rsidP="00731790">
      <w:pPr>
        <w:spacing w:line="180" w:lineRule="exact"/>
        <w:contextualSpacing/>
        <w:jc w:val="both"/>
        <w:rPr>
          <w:color w:val="auto"/>
          <w:szCs w:val="24"/>
        </w:rPr>
      </w:pPr>
    </w:p>
    <w:p w:rsidR="003121DC" w:rsidRPr="00652A4B" w:rsidRDefault="00997289" w:rsidP="00FF12C3">
      <w:pPr>
        <w:jc w:val="both"/>
        <w:rPr>
          <w:color w:val="auto"/>
          <w:szCs w:val="24"/>
        </w:rPr>
      </w:pPr>
      <w:r w:rsidRPr="00652A4B">
        <w:rPr>
          <w:color w:val="000000" w:themeColor="text1"/>
          <w:szCs w:val="24"/>
        </w:rPr>
        <w:t xml:space="preserve">The Board noted that earlier </w:t>
      </w:r>
      <w:proofErr w:type="spellStart"/>
      <w:r w:rsidRPr="00652A4B">
        <w:rPr>
          <w:color w:val="000000" w:themeColor="text1"/>
          <w:szCs w:val="24"/>
        </w:rPr>
        <w:t>a</w:t>
      </w:r>
      <w:r w:rsidR="00D820DF" w:rsidRPr="00652A4B">
        <w:rPr>
          <w:color w:val="000000" w:themeColor="text1"/>
          <w:szCs w:val="24"/>
        </w:rPr>
        <w:t>udio</w:t>
      </w:r>
      <w:r w:rsidR="00652C9E" w:rsidRPr="00652A4B">
        <w:rPr>
          <w:color w:val="000000" w:themeColor="text1"/>
          <w:szCs w:val="24"/>
        </w:rPr>
        <w:t>logic</w:t>
      </w:r>
      <w:proofErr w:type="spellEnd"/>
      <w:r w:rsidR="00652C9E" w:rsidRPr="00652A4B">
        <w:rPr>
          <w:color w:val="000000" w:themeColor="text1"/>
          <w:szCs w:val="24"/>
        </w:rPr>
        <w:t xml:space="preserve"> evaluation from 8 January </w:t>
      </w:r>
      <w:r w:rsidR="00D820DF" w:rsidRPr="00652A4B">
        <w:rPr>
          <w:color w:val="000000" w:themeColor="text1"/>
          <w:szCs w:val="24"/>
        </w:rPr>
        <w:t>2001</w:t>
      </w:r>
      <w:r w:rsidR="007E106D">
        <w:rPr>
          <w:color w:val="000000" w:themeColor="text1"/>
          <w:szCs w:val="24"/>
        </w:rPr>
        <w:t xml:space="preserve">, 11 months prior to </w:t>
      </w:r>
      <w:r w:rsidRPr="00652A4B">
        <w:rPr>
          <w:color w:val="000000" w:themeColor="text1"/>
          <w:szCs w:val="24"/>
        </w:rPr>
        <w:t xml:space="preserve">separation, </w:t>
      </w:r>
      <w:r w:rsidR="00652C9E" w:rsidRPr="00652A4B">
        <w:rPr>
          <w:color w:val="000000" w:themeColor="text1"/>
          <w:szCs w:val="24"/>
        </w:rPr>
        <w:t xml:space="preserve">indicated speech </w:t>
      </w:r>
      <w:r w:rsidR="00D820DF" w:rsidRPr="00652A4B">
        <w:rPr>
          <w:color w:val="000000" w:themeColor="text1"/>
          <w:szCs w:val="24"/>
        </w:rPr>
        <w:t>disc</w:t>
      </w:r>
      <w:r w:rsidR="00652C9E" w:rsidRPr="00652A4B">
        <w:rPr>
          <w:color w:val="000000" w:themeColor="text1"/>
          <w:szCs w:val="24"/>
        </w:rPr>
        <w:t xml:space="preserve">rimination of </w:t>
      </w:r>
      <w:r w:rsidR="00D820DF" w:rsidRPr="00652A4B">
        <w:rPr>
          <w:color w:val="000000" w:themeColor="text1"/>
          <w:szCs w:val="24"/>
        </w:rPr>
        <w:t xml:space="preserve">72% </w:t>
      </w:r>
      <w:r w:rsidR="00652C9E" w:rsidRPr="00652A4B">
        <w:rPr>
          <w:color w:val="000000" w:themeColor="text1"/>
          <w:szCs w:val="24"/>
        </w:rPr>
        <w:t>for both ears</w:t>
      </w:r>
      <w:r w:rsidRPr="00652A4B">
        <w:rPr>
          <w:color w:val="000000" w:themeColor="text1"/>
          <w:szCs w:val="24"/>
        </w:rPr>
        <w:t>,</w:t>
      </w:r>
      <w:r w:rsidR="00652C9E" w:rsidRPr="00652A4B">
        <w:rPr>
          <w:color w:val="000000" w:themeColor="text1"/>
          <w:szCs w:val="24"/>
        </w:rPr>
        <w:t xml:space="preserve"> </w:t>
      </w:r>
      <w:r w:rsidRPr="00652A4B">
        <w:rPr>
          <w:color w:val="000000" w:themeColor="text1"/>
          <w:szCs w:val="24"/>
        </w:rPr>
        <w:t xml:space="preserve">as was noted in the NARSUM, </w:t>
      </w:r>
      <w:r w:rsidR="00652C9E" w:rsidRPr="00652A4B">
        <w:rPr>
          <w:color w:val="auto"/>
          <w:szCs w:val="24"/>
        </w:rPr>
        <w:t xml:space="preserve">with average decibel loss </w:t>
      </w:r>
      <w:r w:rsidRPr="00652A4B">
        <w:rPr>
          <w:color w:val="auto"/>
          <w:szCs w:val="24"/>
        </w:rPr>
        <w:t xml:space="preserve">less than 50 </w:t>
      </w:r>
      <w:proofErr w:type="gramStart"/>
      <w:r w:rsidRPr="00652A4B">
        <w:rPr>
          <w:color w:val="auto"/>
          <w:szCs w:val="24"/>
        </w:rPr>
        <w:t>average</w:t>
      </w:r>
      <w:proofErr w:type="gramEnd"/>
      <w:r w:rsidRPr="00652A4B">
        <w:rPr>
          <w:color w:val="auto"/>
          <w:szCs w:val="24"/>
        </w:rPr>
        <w:t xml:space="preserve"> which met the 10%</w:t>
      </w:r>
      <w:r w:rsidR="00652C9E" w:rsidRPr="00652A4B">
        <w:rPr>
          <w:color w:val="auto"/>
          <w:szCs w:val="24"/>
        </w:rPr>
        <w:t xml:space="preserve"> rat</w:t>
      </w:r>
      <w:r w:rsidRPr="00652A4B">
        <w:rPr>
          <w:color w:val="auto"/>
          <w:szCs w:val="24"/>
        </w:rPr>
        <w:t xml:space="preserve">ing criteria.  </w:t>
      </w:r>
      <w:r w:rsidR="00B270D4" w:rsidRPr="00652A4B">
        <w:rPr>
          <w:color w:val="auto"/>
          <w:szCs w:val="24"/>
        </w:rPr>
        <w:t xml:space="preserve">There was a history of a perforated ear drum that had resolved as documented by </w:t>
      </w:r>
      <w:proofErr w:type="spellStart"/>
      <w:r w:rsidR="00B270D4" w:rsidRPr="00652A4B">
        <w:rPr>
          <w:color w:val="auto"/>
          <w:szCs w:val="24"/>
        </w:rPr>
        <w:t>impedence</w:t>
      </w:r>
      <w:proofErr w:type="spellEnd"/>
      <w:r w:rsidR="00B270D4" w:rsidRPr="00652A4B">
        <w:rPr>
          <w:color w:val="auto"/>
          <w:szCs w:val="24"/>
        </w:rPr>
        <w:t xml:space="preserve"> </w:t>
      </w:r>
      <w:proofErr w:type="spellStart"/>
      <w:r w:rsidR="00B270D4" w:rsidRPr="00652A4B">
        <w:rPr>
          <w:color w:val="auto"/>
          <w:szCs w:val="24"/>
        </w:rPr>
        <w:t>tympanogram</w:t>
      </w:r>
      <w:proofErr w:type="spellEnd"/>
      <w:r w:rsidR="00B270D4" w:rsidRPr="00652A4B">
        <w:rPr>
          <w:color w:val="auto"/>
          <w:szCs w:val="24"/>
        </w:rPr>
        <w:t xml:space="preserve"> exams.</w:t>
      </w:r>
      <w:r w:rsidR="005C2953" w:rsidRPr="00652A4B">
        <w:rPr>
          <w:color w:val="auto"/>
          <w:szCs w:val="24"/>
        </w:rPr>
        <w:t xml:space="preserve">  </w:t>
      </w:r>
    </w:p>
    <w:p w:rsidR="00D820DF" w:rsidRPr="00652A4B" w:rsidRDefault="00D820DF" w:rsidP="00FF12C3">
      <w:pPr>
        <w:jc w:val="both"/>
        <w:rPr>
          <w:color w:val="auto"/>
          <w:szCs w:val="24"/>
        </w:rPr>
      </w:pPr>
    </w:p>
    <w:p w:rsidR="00B270D4" w:rsidRPr="00652A4B" w:rsidRDefault="007E106D" w:rsidP="00B270D4">
      <w:pPr>
        <w:jc w:val="both"/>
        <w:rPr>
          <w:color w:val="auto"/>
          <w:szCs w:val="24"/>
        </w:rPr>
      </w:pPr>
      <w:r>
        <w:rPr>
          <w:color w:val="auto"/>
          <w:szCs w:val="24"/>
        </w:rPr>
        <w:t xml:space="preserve">The </w:t>
      </w:r>
      <w:r w:rsidR="005006F4">
        <w:rPr>
          <w:color w:val="auto"/>
          <w:szCs w:val="24"/>
        </w:rPr>
        <w:t>PEB-</w:t>
      </w:r>
      <w:r w:rsidR="00FF12C3" w:rsidRPr="00652A4B">
        <w:rPr>
          <w:color w:val="auto"/>
          <w:szCs w:val="24"/>
        </w:rPr>
        <w:t xml:space="preserve">referenced </w:t>
      </w:r>
      <w:proofErr w:type="spellStart"/>
      <w:r w:rsidR="00FF12C3" w:rsidRPr="00652A4B">
        <w:rPr>
          <w:color w:val="auto"/>
          <w:szCs w:val="24"/>
        </w:rPr>
        <w:t>audiologic</w:t>
      </w:r>
      <w:proofErr w:type="spellEnd"/>
      <w:r w:rsidR="00FF12C3" w:rsidRPr="00652A4B">
        <w:rPr>
          <w:color w:val="auto"/>
          <w:szCs w:val="24"/>
        </w:rPr>
        <w:t xml:space="preserve"> data and </w:t>
      </w:r>
      <w:r w:rsidR="004C1C63" w:rsidRPr="00652A4B">
        <w:rPr>
          <w:color w:val="auto"/>
          <w:szCs w:val="24"/>
        </w:rPr>
        <w:t xml:space="preserve">both </w:t>
      </w:r>
      <w:r w:rsidR="00FF12C3" w:rsidRPr="00652A4B">
        <w:rPr>
          <w:color w:val="auto"/>
          <w:szCs w:val="24"/>
        </w:rPr>
        <w:t xml:space="preserve">the VA </w:t>
      </w:r>
      <w:r>
        <w:rPr>
          <w:color w:val="auto"/>
          <w:szCs w:val="24"/>
        </w:rPr>
        <w:t>Compensation and Pension (</w:t>
      </w:r>
      <w:r w:rsidR="00FF12C3" w:rsidRPr="00652A4B">
        <w:rPr>
          <w:color w:val="auto"/>
          <w:szCs w:val="24"/>
        </w:rPr>
        <w:t>C&amp;P</w:t>
      </w:r>
      <w:r>
        <w:rPr>
          <w:color w:val="auto"/>
          <w:szCs w:val="24"/>
        </w:rPr>
        <w:t>)</w:t>
      </w:r>
      <w:r w:rsidR="00FF12C3" w:rsidRPr="00652A4B">
        <w:rPr>
          <w:color w:val="auto"/>
          <w:szCs w:val="24"/>
        </w:rPr>
        <w:t xml:space="preserve"> exam, </w:t>
      </w:r>
      <w:r w:rsidR="00FB7ECC">
        <w:rPr>
          <w:color w:val="auto"/>
          <w:szCs w:val="24"/>
        </w:rPr>
        <w:t>one</w:t>
      </w:r>
      <w:r>
        <w:rPr>
          <w:color w:val="auto"/>
          <w:szCs w:val="24"/>
        </w:rPr>
        <w:t xml:space="preserve"> month prior to </w:t>
      </w:r>
      <w:r w:rsidR="00FF12C3" w:rsidRPr="00652A4B">
        <w:rPr>
          <w:color w:val="auto"/>
          <w:szCs w:val="24"/>
        </w:rPr>
        <w:t>separation</w:t>
      </w:r>
      <w:r w:rsidR="004C1C63" w:rsidRPr="00652A4B">
        <w:rPr>
          <w:color w:val="auto"/>
          <w:szCs w:val="24"/>
        </w:rPr>
        <w:t xml:space="preserve"> and remote from separation</w:t>
      </w:r>
      <w:r w:rsidR="00FF12C3" w:rsidRPr="00652A4B">
        <w:rPr>
          <w:color w:val="auto"/>
          <w:szCs w:val="24"/>
        </w:rPr>
        <w:t xml:space="preserve">, </w:t>
      </w:r>
      <w:r w:rsidR="004C1C63" w:rsidRPr="00652A4B">
        <w:rPr>
          <w:color w:val="auto"/>
          <w:szCs w:val="24"/>
        </w:rPr>
        <w:t xml:space="preserve">all </w:t>
      </w:r>
      <w:r w:rsidR="00FF12C3" w:rsidRPr="00652A4B">
        <w:rPr>
          <w:color w:val="auto"/>
          <w:szCs w:val="24"/>
        </w:rPr>
        <w:t xml:space="preserve">demonstrated pure tone and speech discrimination loss that did not rise to the 10% rating criteria under VASRD </w:t>
      </w:r>
      <w:r w:rsidR="004C1C63" w:rsidRPr="00652A4B">
        <w:rPr>
          <w:color w:val="auto"/>
          <w:szCs w:val="24"/>
        </w:rPr>
        <w:t>§4.85 or §4.86.  All exams indicated tinnitus which meets the 10% rating criteria under code 6260</w:t>
      </w:r>
      <w:r>
        <w:rPr>
          <w:color w:val="auto"/>
          <w:szCs w:val="24"/>
        </w:rPr>
        <w:t xml:space="preserve"> (t</w:t>
      </w:r>
      <w:r w:rsidR="004C1C63" w:rsidRPr="00652A4B">
        <w:rPr>
          <w:color w:val="auto"/>
          <w:szCs w:val="24"/>
        </w:rPr>
        <w:t>innitus, recurrent</w:t>
      </w:r>
      <w:r w:rsidR="00B270D4" w:rsidRPr="00652A4B">
        <w:rPr>
          <w:color w:val="auto"/>
          <w:szCs w:val="24"/>
        </w:rPr>
        <w:t>)</w:t>
      </w:r>
      <w:r w:rsidR="004C1C63" w:rsidRPr="00652A4B">
        <w:rPr>
          <w:color w:val="auto"/>
          <w:szCs w:val="24"/>
        </w:rPr>
        <w:t xml:space="preserve">.  </w:t>
      </w:r>
      <w:r w:rsidR="00FF12C3" w:rsidRPr="00652A4B">
        <w:rPr>
          <w:color w:val="auto"/>
          <w:szCs w:val="24"/>
        </w:rPr>
        <w:t xml:space="preserve">The Board adjudged that the </w:t>
      </w:r>
      <w:r w:rsidR="004C1C63" w:rsidRPr="00652A4B">
        <w:rPr>
          <w:color w:val="auto"/>
          <w:szCs w:val="24"/>
        </w:rPr>
        <w:t xml:space="preserve">VA </w:t>
      </w:r>
      <w:r w:rsidR="00B270D4" w:rsidRPr="00652A4B">
        <w:rPr>
          <w:color w:val="auto"/>
          <w:szCs w:val="24"/>
        </w:rPr>
        <w:t>exam</w:t>
      </w:r>
      <w:r w:rsidR="004C1C63" w:rsidRPr="00652A4B">
        <w:rPr>
          <w:color w:val="auto"/>
          <w:szCs w:val="24"/>
        </w:rPr>
        <w:t xml:space="preserve"> </w:t>
      </w:r>
      <w:r>
        <w:rPr>
          <w:color w:val="auto"/>
          <w:szCs w:val="24"/>
        </w:rPr>
        <w:t xml:space="preserve">prior to separation supported the </w:t>
      </w:r>
      <w:r w:rsidR="004C1C63" w:rsidRPr="00652A4B">
        <w:rPr>
          <w:color w:val="auto"/>
          <w:szCs w:val="24"/>
        </w:rPr>
        <w:t>PEB-stated values</w:t>
      </w:r>
      <w:r w:rsidR="00B270D4" w:rsidRPr="00652A4B">
        <w:rPr>
          <w:color w:val="auto"/>
          <w:szCs w:val="24"/>
        </w:rPr>
        <w:t>, was closest to separation,</w:t>
      </w:r>
      <w:r w:rsidR="004C1C63" w:rsidRPr="00652A4B">
        <w:rPr>
          <w:color w:val="auto"/>
          <w:szCs w:val="24"/>
        </w:rPr>
        <w:t xml:space="preserve"> and had the highest probative value for rating.  </w:t>
      </w:r>
    </w:p>
    <w:p w:rsidR="005C2953" w:rsidRPr="00652A4B" w:rsidRDefault="005C2953" w:rsidP="00B270D4">
      <w:pPr>
        <w:jc w:val="both"/>
        <w:rPr>
          <w:color w:val="auto"/>
          <w:szCs w:val="24"/>
        </w:rPr>
      </w:pPr>
    </w:p>
    <w:p w:rsidR="00B270D4" w:rsidRPr="00652A4B" w:rsidRDefault="00B270D4" w:rsidP="005C2953">
      <w:pPr>
        <w:jc w:val="both"/>
        <w:rPr>
          <w:color w:val="auto"/>
          <w:szCs w:val="24"/>
        </w:rPr>
      </w:pPr>
      <w:r w:rsidRPr="00652A4B">
        <w:rPr>
          <w:color w:val="auto"/>
          <w:szCs w:val="24"/>
        </w:rPr>
        <w:t>All evidence considered</w:t>
      </w:r>
      <w:proofErr w:type="gramStart"/>
      <w:r w:rsidRPr="00652A4B">
        <w:rPr>
          <w:color w:val="auto"/>
          <w:szCs w:val="24"/>
        </w:rPr>
        <w:t>,</w:t>
      </w:r>
      <w:proofErr w:type="gramEnd"/>
      <w:r w:rsidRPr="00652A4B">
        <w:rPr>
          <w:color w:val="auto"/>
          <w:szCs w:val="24"/>
        </w:rPr>
        <w:t xml:space="preserve"> there is not reasonable doubt in the CI’s favor supporting a change from the PEB’s 10% rating and coding decision for the bilateral </w:t>
      </w:r>
      <w:proofErr w:type="spellStart"/>
      <w:r w:rsidRPr="00652A4B">
        <w:rPr>
          <w:color w:val="auto"/>
          <w:szCs w:val="24"/>
        </w:rPr>
        <w:t>sensorineural</w:t>
      </w:r>
      <w:proofErr w:type="spellEnd"/>
      <w:r w:rsidRPr="00652A4B">
        <w:rPr>
          <w:color w:val="auto"/>
          <w:szCs w:val="24"/>
        </w:rPr>
        <w:t xml:space="preserve"> </w:t>
      </w:r>
      <w:r w:rsidR="007E106D">
        <w:rPr>
          <w:color w:val="auto"/>
          <w:szCs w:val="24"/>
        </w:rPr>
        <w:t>h</w:t>
      </w:r>
      <w:r w:rsidRPr="00652A4B">
        <w:rPr>
          <w:color w:val="auto"/>
          <w:szCs w:val="24"/>
        </w:rPr>
        <w:t>earing loss with tinnitus condition.</w:t>
      </w:r>
      <w:r w:rsidR="005C2953" w:rsidRPr="00652A4B">
        <w:rPr>
          <w:color w:val="auto"/>
          <w:szCs w:val="24"/>
        </w:rPr>
        <w:t xml:space="preserve">  </w:t>
      </w:r>
    </w:p>
    <w:p w:rsidR="005C2953" w:rsidRPr="00652A4B" w:rsidRDefault="005C2953" w:rsidP="00A02AA8">
      <w:pPr>
        <w:jc w:val="both"/>
        <w:rPr>
          <w:color w:val="000000" w:themeColor="text1"/>
          <w:szCs w:val="24"/>
          <w:u w:val="single"/>
        </w:rPr>
      </w:pPr>
    </w:p>
    <w:p w:rsidR="00A02AA8" w:rsidRPr="001F29F9" w:rsidRDefault="003C5B54" w:rsidP="00A02AA8">
      <w:pPr>
        <w:jc w:val="both"/>
        <w:rPr>
          <w:color w:val="000000" w:themeColor="text1"/>
          <w:szCs w:val="24"/>
        </w:rPr>
      </w:pPr>
      <w:proofErr w:type="gramStart"/>
      <w:r w:rsidRPr="00652A4B">
        <w:rPr>
          <w:color w:val="000000" w:themeColor="text1"/>
          <w:szCs w:val="24"/>
          <w:u w:val="single"/>
        </w:rPr>
        <w:t>Remaining Conditions</w:t>
      </w:r>
      <w:r w:rsidRPr="00652A4B">
        <w:rPr>
          <w:color w:val="000000" w:themeColor="text1"/>
          <w:szCs w:val="24"/>
        </w:rPr>
        <w:t>.</w:t>
      </w:r>
      <w:proofErr w:type="gramEnd"/>
      <w:r w:rsidRPr="00652A4B">
        <w:rPr>
          <w:color w:val="000000" w:themeColor="text1"/>
          <w:szCs w:val="24"/>
        </w:rPr>
        <w:t xml:space="preserve">  </w:t>
      </w:r>
      <w:r w:rsidR="00280670" w:rsidRPr="00652A4B">
        <w:rPr>
          <w:color w:val="000000" w:themeColor="text1"/>
          <w:szCs w:val="24"/>
        </w:rPr>
        <w:t>Ano</w:t>
      </w:r>
      <w:r w:rsidR="00A02AA8" w:rsidRPr="00652A4B">
        <w:rPr>
          <w:color w:val="000000" w:themeColor="text1"/>
          <w:szCs w:val="24"/>
        </w:rPr>
        <w:t>ther condition</w:t>
      </w:r>
      <w:r w:rsidR="00280670" w:rsidRPr="00652A4B">
        <w:rPr>
          <w:color w:val="000000" w:themeColor="text1"/>
          <w:szCs w:val="24"/>
        </w:rPr>
        <w:t xml:space="preserve"> identified in the DES file was </w:t>
      </w:r>
      <w:r w:rsidR="00D820DF" w:rsidRPr="00652A4B">
        <w:rPr>
          <w:color w:val="000000" w:themeColor="text1"/>
          <w:szCs w:val="24"/>
        </w:rPr>
        <w:t xml:space="preserve">a </w:t>
      </w:r>
      <w:r w:rsidR="00280670" w:rsidRPr="00652A4B">
        <w:rPr>
          <w:color w:val="000000" w:themeColor="text1"/>
          <w:szCs w:val="24"/>
        </w:rPr>
        <w:t xml:space="preserve">right hand </w:t>
      </w:r>
      <w:r w:rsidR="005C2953" w:rsidRPr="00652A4B">
        <w:rPr>
          <w:color w:val="000000" w:themeColor="text1"/>
          <w:szCs w:val="24"/>
        </w:rPr>
        <w:t xml:space="preserve">(index finger) </w:t>
      </w:r>
      <w:r w:rsidR="00D820DF" w:rsidRPr="00652A4B">
        <w:rPr>
          <w:color w:val="000000" w:themeColor="text1"/>
          <w:szCs w:val="24"/>
        </w:rPr>
        <w:t xml:space="preserve">condition </w:t>
      </w:r>
      <w:r w:rsidR="00280670" w:rsidRPr="00652A4B">
        <w:rPr>
          <w:color w:val="000000" w:themeColor="text1"/>
          <w:szCs w:val="24"/>
        </w:rPr>
        <w:t xml:space="preserve">and </w:t>
      </w:r>
      <w:r w:rsidR="00A02AA8" w:rsidRPr="00652A4B">
        <w:rPr>
          <w:color w:val="000000" w:themeColor="text1"/>
          <w:szCs w:val="24"/>
        </w:rPr>
        <w:t>additional non-acute conditions or medical complaints were also documented.  None of these conditions were significantly clinically or occupationally active during the MEB period</w:t>
      </w:r>
      <w:r w:rsidR="0080588E" w:rsidRPr="00652A4B">
        <w:rPr>
          <w:color w:val="000000" w:themeColor="text1"/>
          <w:szCs w:val="24"/>
        </w:rPr>
        <w:t>,</w:t>
      </w:r>
      <w:r w:rsidR="00A02AA8" w:rsidRPr="00652A4B">
        <w:rPr>
          <w:color w:val="000000" w:themeColor="text1"/>
          <w:szCs w:val="24"/>
        </w:rPr>
        <w:t xml:space="preserve"> none carried attached profiles</w:t>
      </w:r>
      <w:r w:rsidR="0080588E" w:rsidRPr="00652A4B">
        <w:rPr>
          <w:color w:val="000000" w:themeColor="text1"/>
          <w:szCs w:val="24"/>
        </w:rPr>
        <w:t>,</w:t>
      </w:r>
      <w:r w:rsidR="00A02AA8" w:rsidRPr="00652A4B">
        <w:rPr>
          <w:color w:val="000000" w:themeColor="text1"/>
          <w:szCs w:val="24"/>
        </w:rPr>
        <w:t xml:space="preserve"> and none </w:t>
      </w:r>
      <w:r w:rsidR="00280670" w:rsidRPr="00652A4B">
        <w:rPr>
          <w:color w:val="000000" w:themeColor="text1"/>
          <w:szCs w:val="24"/>
        </w:rPr>
        <w:t>w</w:t>
      </w:r>
      <w:r w:rsidR="00A02AA8" w:rsidRPr="00652A4B">
        <w:rPr>
          <w:color w:val="000000" w:themeColor="text1"/>
          <w:szCs w:val="24"/>
        </w:rPr>
        <w:t xml:space="preserve">ere implicated in the </w:t>
      </w:r>
      <w:r w:rsidR="007E106D">
        <w:rPr>
          <w:color w:val="000000" w:themeColor="text1"/>
          <w:szCs w:val="24"/>
        </w:rPr>
        <w:t>c</w:t>
      </w:r>
      <w:r w:rsidR="00A02AA8" w:rsidRPr="00652A4B">
        <w:rPr>
          <w:color w:val="000000" w:themeColor="text1"/>
          <w:szCs w:val="24"/>
        </w:rPr>
        <w:t xml:space="preserve">ommander’s statement.  These conditions were reviewed by the </w:t>
      </w:r>
      <w:r w:rsidR="0080588E" w:rsidRPr="00652A4B">
        <w:rPr>
          <w:color w:val="000000" w:themeColor="text1"/>
          <w:szCs w:val="24"/>
        </w:rPr>
        <w:t xml:space="preserve">action officer </w:t>
      </w:r>
      <w:r w:rsidR="00A02AA8" w:rsidRPr="00652A4B">
        <w:rPr>
          <w:color w:val="000000" w:themeColor="text1"/>
          <w:szCs w:val="24"/>
        </w:rPr>
        <w:t>and considered by the Board.  It was determined that none</w:t>
      </w:r>
      <w:r w:rsidR="00F07560" w:rsidRPr="00652A4B">
        <w:rPr>
          <w:color w:val="000000" w:themeColor="text1"/>
          <w:szCs w:val="24"/>
        </w:rPr>
        <w:t xml:space="preserve"> could be argued as unfitting a</w:t>
      </w:r>
      <w:r w:rsidR="00A02AA8" w:rsidRPr="00652A4B">
        <w:rPr>
          <w:color w:val="000000" w:themeColor="text1"/>
          <w:szCs w:val="24"/>
        </w:rPr>
        <w:t xml:space="preserve"> subject to separation rating.  Additionally</w:t>
      </w:r>
      <w:r w:rsidR="009E5B2B" w:rsidRPr="00652A4B">
        <w:rPr>
          <w:color w:val="000000" w:themeColor="text1"/>
          <w:szCs w:val="24"/>
        </w:rPr>
        <w:t xml:space="preserve"> </w:t>
      </w:r>
      <w:r w:rsidR="00A02AA8" w:rsidRPr="00652A4B">
        <w:rPr>
          <w:color w:val="000000" w:themeColor="text1"/>
          <w:szCs w:val="24"/>
        </w:rPr>
        <w:t xml:space="preserve">other non-acute conditions were noted in the VA </w:t>
      </w:r>
      <w:r w:rsidR="005C2953" w:rsidRPr="00652A4B">
        <w:rPr>
          <w:color w:val="000000" w:themeColor="text1"/>
          <w:szCs w:val="24"/>
        </w:rPr>
        <w:t xml:space="preserve">exams </w:t>
      </w:r>
      <w:r w:rsidR="00A02AA8" w:rsidRPr="00652A4B">
        <w:rPr>
          <w:color w:val="000000" w:themeColor="text1"/>
          <w:szCs w:val="24"/>
        </w:rPr>
        <w:t xml:space="preserve">proximal to separation, but were not documented in the DES file.  The Board does not have the authority under </w:t>
      </w:r>
      <w:proofErr w:type="spellStart"/>
      <w:r w:rsidR="00A02AA8" w:rsidRPr="00652A4B">
        <w:rPr>
          <w:color w:val="000000" w:themeColor="text1"/>
          <w:szCs w:val="24"/>
        </w:rPr>
        <w:t>DoDI</w:t>
      </w:r>
      <w:proofErr w:type="spellEnd"/>
      <w:r w:rsidR="00A02AA8" w:rsidRPr="00652A4B">
        <w:rPr>
          <w:color w:val="000000" w:themeColor="text1"/>
          <w:szCs w:val="24"/>
        </w:rPr>
        <w:t xml:space="preserve"> 6040.44 to render fitness or rating recommendations for any conditions not considered by the DES.  The Board therefore has no reasonable basis for recommending any additional unfitting conditions for separation</w:t>
      </w:r>
      <w:r w:rsidR="00A02AA8" w:rsidRPr="001F29F9">
        <w:rPr>
          <w:color w:val="000000" w:themeColor="text1"/>
          <w:szCs w:val="24"/>
        </w:rPr>
        <w:t xml:space="preserve"> rating.</w:t>
      </w:r>
      <w:r w:rsidR="005C2953">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270D4" w:rsidRDefault="00C56FC8" w:rsidP="005C2953">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C67F5C">
        <w:rPr>
          <w:rFonts w:eastAsiaTheme="minorHAnsi"/>
          <w:color w:val="000000" w:themeColor="text1"/>
          <w:szCs w:val="24"/>
        </w:rPr>
        <w:t xml:space="preserve">  </w:t>
      </w:r>
      <w:r w:rsidR="005C2953">
        <w:rPr>
          <w:rFonts w:cs="Calibri"/>
          <w:color w:val="000000"/>
          <w:szCs w:val="24"/>
        </w:rPr>
        <w:t>T</w:t>
      </w:r>
      <w:r w:rsidR="00B270D4">
        <w:rPr>
          <w:rFonts w:cs="Calibri"/>
          <w:color w:val="000000"/>
          <w:szCs w:val="24"/>
        </w:rPr>
        <w:t xml:space="preserve">he Board </w:t>
      </w:r>
      <w:r w:rsidR="00B270D4" w:rsidRPr="005C2953">
        <w:rPr>
          <w:rFonts w:eastAsiaTheme="minorHAnsi"/>
          <w:color w:val="000000" w:themeColor="text1"/>
          <w:szCs w:val="24"/>
        </w:rPr>
        <w:t>did not surmise from the record or PEB ruling in this case that any</w:t>
      </w:r>
      <w:r w:rsidR="005C2953">
        <w:rPr>
          <w:rFonts w:eastAsiaTheme="minorHAnsi"/>
          <w:color w:val="000000" w:themeColor="text1"/>
          <w:szCs w:val="24"/>
        </w:rPr>
        <w:t xml:space="preserve"> </w:t>
      </w:r>
      <w:r w:rsidR="00B270D4" w:rsidRPr="005C2953">
        <w:rPr>
          <w:rFonts w:eastAsiaTheme="minorHAnsi"/>
          <w:color w:val="000000" w:themeColor="text1"/>
          <w:szCs w:val="24"/>
        </w:rPr>
        <w:t>prerogatives outside the VASRD were exercised.</w:t>
      </w:r>
      <w:r w:rsidR="005C2953">
        <w:rPr>
          <w:rFonts w:eastAsiaTheme="minorHAnsi"/>
          <w:color w:val="000000" w:themeColor="text1"/>
          <w:szCs w:val="24"/>
        </w:rPr>
        <w:t xml:space="preserve">  </w:t>
      </w:r>
      <w:r w:rsidR="00B270D4" w:rsidRPr="005C2953">
        <w:rPr>
          <w:rFonts w:eastAsiaTheme="minorHAnsi"/>
          <w:color w:val="000000" w:themeColor="text1"/>
          <w:szCs w:val="24"/>
        </w:rPr>
        <w:t xml:space="preserve">In the matter of the </w:t>
      </w:r>
      <w:r w:rsidR="005C2953" w:rsidRPr="005C2953">
        <w:rPr>
          <w:rFonts w:eastAsiaTheme="minorHAnsi"/>
          <w:color w:val="000000" w:themeColor="text1"/>
          <w:szCs w:val="24"/>
        </w:rPr>
        <w:t xml:space="preserve">bilateral </w:t>
      </w:r>
      <w:proofErr w:type="spellStart"/>
      <w:r w:rsidR="005C2953" w:rsidRPr="005C2953">
        <w:rPr>
          <w:rFonts w:eastAsiaTheme="minorHAnsi"/>
          <w:color w:val="000000" w:themeColor="text1"/>
          <w:szCs w:val="24"/>
        </w:rPr>
        <w:t>sensorineural</w:t>
      </w:r>
      <w:proofErr w:type="spellEnd"/>
      <w:r w:rsidR="005C2953" w:rsidRPr="005C2953">
        <w:rPr>
          <w:rFonts w:eastAsiaTheme="minorHAnsi"/>
          <w:color w:val="000000" w:themeColor="text1"/>
          <w:szCs w:val="24"/>
        </w:rPr>
        <w:t xml:space="preserve"> </w:t>
      </w:r>
      <w:r w:rsidR="007E106D">
        <w:rPr>
          <w:rFonts w:eastAsiaTheme="minorHAnsi"/>
          <w:color w:val="000000" w:themeColor="text1"/>
          <w:szCs w:val="24"/>
        </w:rPr>
        <w:t>h</w:t>
      </w:r>
      <w:r w:rsidR="005C2953" w:rsidRPr="005C2953">
        <w:rPr>
          <w:rFonts w:eastAsiaTheme="minorHAnsi"/>
          <w:color w:val="000000" w:themeColor="text1"/>
          <w:szCs w:val="24"/>
        </w:rPr>
        <w:t xml:space="preserve">earing Loss with </w:t>
      </w:r>
      <w:r w:rsidR="007E106D">
        <w:rPr>
          <w:rFonts w:eastAsiaTheme="minorHAnsi"/>
          <w:color w:val="000000" w:themeColor="text1"/>
          <w:szCs w:val="24"/>
        </w:rPr>
        <w:t>t</w:t>
      </w:r>
      <w:r w:rsidR="005C2953" w:rsidRPr="005C2953">
        <w:rPr>
          <w:rFonts w:eastAsiaTheme="minorHAnsi"/>
          <w:color w:val="000000" w:themeColor="text1"/>
          <w:szCs w:val="24"/>
        </w:rPr>
        <w:t>innitus</w:t>
      </w:r>
      <w:r w:rsidR="00B270D4" w:rsidRPr="005C2953">
        <w:rPr>
          <w:rFonts w:eastAsiaTheme="minorHAnsi"/>
          <w:color w:val="000000" w:themeColor="text1"/>
          <w:szCs w:val="24"/>
        </w:rPr>
        <w:t xml:space="preserve"> condition and IAW VASRD </w:t>
      </w:r>
      <w:r w:rsidR="005C2953" w:rsidRPr="005C2953">
        <w:rPr>
          <w:rFonts w:eastAsiaTheme="minorHAnsi"/>
          <w:color w:val="000000" w:themeColor="text1"/>
          <w:szCs w:val="24"/>
        </w:rPr>
        <w:t>§4.85 and §4.86</w:t>
      </w:r>
      <w:r w:rsidR="00B270D4" w:rsidRPr="005C2953">
        <w:rPr>
          <w:rFonts w:eastAsiaTheme="minorHAnsi"/>
          <w:color w:val="000000" w:themeColor="text1"/>
          <w:szCs w:val="24"/>
        </w:rPr>
        <w:t>, the Board unanimously</w:t>
      </w:r>
      <w:r w:rsidR="005C2953" w:rsidRPr="005C2953">
        <w:rPr>
          <w:rFonts w:eastAsiaTheme="minorHAnsi"/>
          <w:color w:val="000000" w:themeColor="text1"/>
          <w:szCs w:val="24"/>
        </w:rPr>
        <w:t xml:space="preserve"> </w:t>
      </w:r>
      <w:r w:rsidR="00B270D4" w:rsidRPr="005C2953">
        <w:rPr>
          <w:rFonts w:eastAsiaTheme="minorHAnsi"/>
          <w:color w:val="000000" w:themeColor="text1"/>
          <w:szCs w:val="24"/>
        </w:rPr>
        <w:t xml:space="preserve">recommends no change in the PEB </w:t>
      </w:r>
      <w:r w:rsidR="00B270D4" w:rsidRPr="005C2953">
        <w:rPr>
          <w:rFonts w:eastAsiaTheme="minorHAnsi"/>
          <w:color w:val="000000" w:themeColor="text1"/>
          <w:szCs w:val="24"/>
        </w:rPr>
        <w:lastRenderedPageBreak/>
        <w:t>adjudication at separation</w:t>
      </w:r>
      <w:r w:rsidR="005C2953">
        <w:rPr>
          <w:rFonts w:eastAsiaTheme="minorHAnsi"/>
          <w:color w:val="000000" w:themeColor="text1"/>
          <w:szCs w:val="24"/>
        </w:rPr>
        <w:t xml:space="preserve">.  </w:t>
      </w:r>
      <w:r w:rsidR="005C2953" w:rsidRPr="005C2953">
        <w:rPr>
          <w:rFonts w:eastAsiaTheme="minorHAnsi"/>
          <w:color w:val="000000" w:themeColor="text1"/>
          <w:szCs w:val="24"/>
        </w:rPr>
        <w:t>I</w:t>
      </w:r>
      <w:r w:rsidR="00B270D4" w:rsidRPr="005C2953">
        <w:rPr>
          <w:rFonts w:eastAsiaTheme="minorHAnsi"/>
          <w:color w:val="000000" w:themeColor="text1"/>
          <w:szCs w:val="24"/>
        </w:rPr>
        <w:t xml:space="preserve">n the matter of the </w:t>
      </w:r>
      <w:r w:rsidR="005C2953" w:rsidRPr="005C2953">
        <w:rPr>
          <w:rFonts w:eastAsiaTheme="minorHAnsi"/>
          <w:color w:val="000000" w:themeColor="text1"/>
          <w:szCs w:val="24"/>
        </w:rPr>
        <w:t>left hand (index finger) condition</w:t>
      </w:r>
      <w:r w:rsidR="00B270D4" w:rsidRPr="005C2953">
        <w:rPr>
          <w:rFonts w:eastAsiaTheme="minorHAnsi"/>
          <w:color w:val="000000" w:themeColor="text1"/>
          <w:szCs w:val="24"/>
        </w:rPr>
        <w:t xml:space="preserve"> or any</w:t>
      </w:r>
      <w:r w:rsidR="005C2953" w:rsidRPr="005C2953">
        <w:rPr>
          <w:rFonts w:eastAsiaTheme="minorHAnsi"/>
          <w:color w:val="000000" w:themeColor="text1"/>
          <w:szCs w:val="24"/>
        </w:rPr>
        <w:t xml:space="preserve"> </w:t>
      </w:r>
      <w:r w:rsidR="00B270D4" w:rsidRPr="005C2953">
        <w:rPr>
          <w:rFonts w:eastAsiaTheme="minorHAnsi"/>
          <w:color w:val="000000" w:themeColor="text1"/>
          <w:szCs w:val="24"/>
        </w:rPr>
        <w:t>other medical conditions eligible for Board consideration, the Board unanimously agrees that it cannot</w:t>
      </w:r>
      <w:r w:rsidR="005C2953" w:rsidRPr="005C2953">
        <w:rPr>
          <w:rFonts w:eastAsiaTheme="minorHAnsi"/>
          <w:color w:val="000000" w:themeColor="text1"/>
          <w:szCs w:val="24"/>
        </w:rPr>
        <w:t xml:space="preserve"> </w:t>
      </w:r>
      <w:r w:rsidR="00B270D4" w:rsidRPr="005C2953">
        <w:rPr>
          <w:rFonts w:eastAsiaTheme="minorHAnsi"/>
          <w:color w:val="000000" w:themeColor="text1"/>
          <w:szCs w:val="24"/>
        </w:rPr>
        <w:t>recommend any findings of unfit for additional rating at separation.</w:t>
      </w:r>
      <w:r w:rsidR="005C2953">
        <w:rPr>
          <w:rFonts w:eastAsiaTheme="minorHAnsi"/>
          <w:color w:val="000000" w:themeColor="text1"/>
          <w:szCs w:val="24"/>
        </w:rPr>
        <w:t xml:space="preserve">  </w:t>
      </w:r>
    </w:p>
    <w:p w:rsidR="00F1737C" w:rsidRPr="001F29F9" w:rsidRDefault="00F1737C" w:rsidP="005C2953">
      <w:pPr>
        <w:pBdr>
          <w:bottom w:val="single" w:sz="12" w:space="1" w:color="auto"/>
        </w:pBdr>
        <w:tabs>
          <w:tab w:val="left" w:pos="288"/>
          <w:tab w:val="left" w:pos="4752"/>
        </w:tabs>
        <w:jc w:val="both"/>
        <w:rPr>
          <w:color w:val="000000" w:themeColor="text1"/>
        </w:rPr>
      </w:pPr>
    </w:p>
    <w:p w:rsidR="00F1737C" w:rsidRPr="001F29F9" w:rsidRDefault="00F1737C" w:rsidP="005C2953">
      <w:pPr>
        <w:jc w:val="both"/>
        <w:rPr>
          <w:color w:val="000000" w:themeColor="text1"/>
          <w:szCs w:val="24"/>
        </w:rPr>
      </w:pPr>
    </w:p>
    <w:p w:rsidR="006B4AA2" w:rsidRPr="005006F4" w:rsidRDefault="00C56FC8" w:rsidP="005C2953">
      <w:pPr>
        <w:jc w:val="both"/>
        <w:rPr>
          <w:color w:val="auto"/>
        </w:rPr>
      </w:pPr>
      <w:r w:rsidRPr="001F29F9">
        <w:rPr>
          <w:color w:val="000000" w:themeColor="text1"/>
          <w:szCs w:val="24"/>
          <w:u w:val="single"/>
        </w:rPr>
        <w:t>RECOMMENDATION</w:t>
      </w:r>
      <w:r w:rsidRPr="001F29F9">
        <w:rPr>
          <w:color w:val="000000" w:themeColor="text1"/>
          <w:szCs w:val="24"/>
        </w:rPr>
        <w:t xml:space="preserve">: </w:t>
      </w:r>
      <w:r w:rsidR="00E53460" w:rsidRPr="001F29F9">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5006F4">
        <w:rPr>
          <w:color w:val="auto"/>
          <w:szCs w:val="24"/>
        </w:rPr>
        <w:t>recharacterization</w:t>
      </w:r>
      <w:proofErr w:type="spellEnd"/>
      <w:r w:rsidRPr="005006F4">
        <w:rPr>
          <w:color w:val="auto"/>
          <w:szCs w:val="24"/>
        </w:rPr>
        <w:t xml:space="preserve"> of the CI’s disability and separation determination</w:t>
      </w:r>
      <w:r w:rsidR="008C3FD0" w:rsidRPr="005006F4">
        <w:rPr>
          <w:color w:val="auto"/>
          <w:szCs w:val="24"/>
        </w:rPr>
        <w:t>,</w:t>
      </w:r>
      <w:r w:rsidR="00BD2A49" w:rsidRPr="005006F4">
        <w:rPr>
          <w:color w:val="auto"/>
          <w:szCs w:val="24"/>
        </w:rPr>
        <w:t xml:space="preserve"> as follows:</w:t>
      </w:r>
      <w:r w:rsidR="003604A5" w:rsidRPr="005006F4">
        <w:rPr>
          <w:color w:val="auto"/>
          <w:szCs w:val="24"/>
        </w:rPr>
        <w:t xml:space="preserve"> </w:t>
      </w:r>
    </w:p>
    <w:p w:rsidR="00BA6A9C" w:rsidRPr="005006F4"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5006F4" w:rsidTr="0080588E">
        <w:trPr>
          <w:trHeight w:val="233"/>
          <w:jc w:val="center"/>
        </w:trPr>
        <w:tc>
          <w:tcPr>
            <w:tcW w:w="6282" w:type="dxa"/>
            <w:shd w:val="clear" w:color="auto" w:fill="D9D9D9"/>
            <w:vAlign w:val="center"/>
          </w:tcPr>
          <w:p w:rsidR="00A95BBA" w:rsidRPr="005006F4" w:rsidRDefault="00A95BBA" w:rsidP="00BF0E94">
            <w:pPr>
              <w:tabs>
                <w:tab w:val="left" w:pos="288"/>
                <w:tab w:val="left" w:pos="4752"/>
              </w:tabs>
              <w:rPr>
                <w:b/>
                <w:color w:val="auto"/>
                <w:szCs w:val="24"/>
              </w:rPr>
            </w:pPr>
            <w:r w:rsidRPr="005006F4">
              <w:rPr>
                <w:b/>
                <w:color w:val="auto"/>
                <w:szCs w:val="24"/>
              </w:rPr>
              <w:t>UNFITTING CONDITION</w:t>
            </w:r>
          </w:p>
        </w:tc>
        <w:tc>
          <w:tcPr>
            <w:tcW w:w="1710" w:type="dxa"/>
            <w:shd w:val="clear" w:color="auto" w:fill="D9D9D9"/>
            <w:vAlign w:val="center"/>
          </w:tcPr>
          <w:p w:rsidR="00A95BBA" w:rsidRPr="005006F4" w:rsidRDefault="00A95BBA" w:rsidP="00BF0E94">
            <w:pPr>
              <w:tabs>
                <w:tab w:val="left" w:pos="288"/>
                <w:tab w:val="left" w:pos="4752"/>
              </w:tabs>
              <w:rPr>
                <w:b/>
                <w:color w:val="auto"/>
                <w:szCs w:val="24"/>
              </w:rPr>
            </w:pPr>
            <w:r w:rsidRPr="005006F4">
              <w:rPr>
                <w:b/>
                <w:color w:val="auto"/>
                <w:szCs w:val="24"/>
              </w:rPr>
              <w:t>VASRD CODE</w:t>
            </w:r>
          </w:p>
        </w:tc>
        <w:tc>
          <w:tcPr>
            <w:tcW w:w="1170" w:type="dxa"/>
            <w:shd w:val="clear" w:color="auto" w:fill="D9D9D9"/>
            <w:vAlign w:val="center"/>
          </w:tcPr>
          <w:p w:rsidR="00A95BBA" w:rsidRPr="005006F4" w:rsidRDefault="00A95BBA" w:rsidP="00BF0E94">
            <w:pPr>
              <w:tabs>
                <w:tab w:val="left" w:pos="288"/>
                <w:tab w:val="left" w:pos="4752"/>
              </w:tabs>
              <w:rPr>
                <w:b/>
                <w:color w:val="auto"/>
                <w:szCs w:val="24"/>
              </w:rPr>
            </w:pPr>
            <w:r w:rsidRPr="005006F4">
              <w:rPr>
                <w:b/>
                <w:color w:val="auto"/>
                <w:szCs w:val="24"/>
              </w:rPr>
              <w:t>RATING</w:t>
            </w:r>
          </w:p>
        </w:tc>
      </w:tr>
      <w:tr w:rsidR="00843E4E" w:rsidRPr="005006F4" w:rsidTr="0080588E">
        <w:trPr>
          <w:jc w:val="center"/>
        </w:trPr>
        <w:tc>
          <w:tcPr>
            <w:tcW w:w="6282" w:type="dxa"/>
            <w:vAlign w:val="center"/>
          </w:tcPr>
          <w:p w:rsidR="00843E4E" w:rsidRPr="005006F4" w:rsidRDefault="00B80AE2" w:rsidP="00843E4E">
            <w:pPr>
              <w:contextualSpacing/>
              <w:jc w:val="left"/>
              <w:rPr>
                <w:rFonts w:cs="Calibri"/>
                <w:color w:val="auto"/>
                <w:szCs w:val="24"/>
              </w:rPr>
            </w:pPr>
            <w:proofErr w:type="spellStart"/>
            <w:r w:rsidRPr="005006F4">
              <w:rPr>
                <w:rFonts w:cs="Calibri"/>
                <w:color w:val="auto"/>
                <w:szCs w:val="24"/>
              </w:rPr>
              <w:t>Sensorineural</w:t>
            </w:r>
            <w:proofErr w:type="spellEnd"/>
            <w:r w:rsidRPr="005006F4">
              <w:rPr>
                <w:rFonts w:cs="Calibri"/>
                <w:color w:val="auto"/>
                <w:szCs w:val="24"/>
              </w:rPr>
              <w:t xml:space="preserve"> Hearing Loss with T</w:t>
            </w:r>
            <w:r w:rsidR="00843E4E" w:rsidRPr="005006F4">
              <w:rPr>
                <w:rFonts w:cs="Calibri"/>
                <w:color w:val="auto"/>
                <w:szCs w:val="24"/>
              </w:rPr>
              <w:t>innitus</w:t>
            </w:r>
          </w:p>
        </w:tc>
        <w:tc>
          <w:tcPr>
            <w:tcW w:w="1710" w:type="dxa"/>
            <w:vAlign w:val="center"/>
          </w:tcPr>
          <w:p w:rsidR="00843E4E" w:rsidRPr="005006F4" w:rsidRDefault="00843E4E" w:rsidP="00843E4E">
            <w:pPr>
              <w:contextualSpacing/>
              <w:rPr>
                <w:rFonts w:cs="Calibri"/>
                <w:color w:val="auto"/>
                <w:szCs w:val="24"/>
              </w:rPr>
            </w:pPr>
            <w:r w:rsidRPr="005006F4">
              <w:rPr>
                <w:rFonts w:cs="Calibri"/>
                <w:color w:val="auto"/>
                <w:szCs w:val="24"/>
              </w:rPr>
              <w:t>6100-6260</w:t>
            </w:r>
          </w:p>
        </w:tc>
        <w:tc>
          <w:tcPr>
            <w:tcW w:w="1170" w:type="dxa"/>
            <w:vAlign w:val="center"/>
          </w:tcPr>
          <w:p w:rsidR="00843E4E" w:rsidRPr="005006F4" w:rsidRDefault="00843E4E" w:rsidP="00843E4E">
            <w:pPr>
              <w:rPr>
                <w:rFonts w:cs="Calibri"/>
                <w:color w:val="auto"/>
                <w:szCs w:val="24"/>
              </w:rPr>
            </w:pPr>
            <w:r w:rsidRPr="005006F4">
              <w:rPr>
                <w:rFonts w:cs="Calibri"/>
                <w:color w:val="auto"/>
                <w:szCs w:val="24"/>
              </w:rPr>
              <w:t>10%</w:t>
            </w:r>
          </w:p>
        </w:tc>
      </w:tr>
      <w:tr w:rsidR="00A95BBA" w:rsidRPr="005006F4"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006F4" w:rsidRDefault="00A95BBA" w:rsidP="00BF0E94">
            <w:pPr>
              <w:tabs>
                <w:tab w:val="left" w:pos="288"/>
                <w:tab w:val="left" w:pos="4752"/>
              </w:tabs>
              <w:rPr>
                <w:b/>
                <w:color w:val="auto"/>
                <w:szCs w:val="24"/>
              </w:rPr>
            </w:pPr>
            <w:r w:rsidRPr="005006F4">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5006F4" w:rsidRDefault="00843E4E" w:rsidP="00BF0E94">
            <w:pPr>
              <w:tabs>
                <w:tab w:val="left" w:pos="288"/>
                <w:tab w:val="left" w:pos="4752"/>
              </w:tabs>
              <w:rPr>
                <w:b/>
                <w:color w:val="auto"/>
                <w:szCs w:val="24"/>
              </w:rPr>
            </w:pPr>
            <w:r w:rsidRPr="005006F4">
              <w:rPr>
                <w:b/>
                <w:color w:val="auto"/>
                <w:szCs w:val="24"/>
              </w:rPr>
              <w:t>1</w:t>
            </w:r>
            <w:r w:rsidR="00A95BBA" w:rsidRPr="005006F4">
              <w:rPr>
                <w:b/>
                <w:color w:val="auto"/>
                <w:szCs w:val="24"/>
              </w:rPr>
              <w:t>0%</w:t>
            </w:r>
          </w:p>
        </w:tc>
      </w:tr>
    </w:tbl>
    <w:p w:rsidR="005B1D09" w:rsidRPr="005006F4" w:rsidRDefault="005B1D09" w:rsidP="00C67F5C">
      <w:pPr>
        <w:pBdr>
          <w:bottom w:val="single" w:sz="12" w:space="1" w:color="auto"/>
        </w:pBdr>
        <w:tabs>
          <w:tab w:val="left" w:pos="288"/>
          <w:tab w:val="left" w:pos="4752"/>
        </w:tabs>
        <w:jc w:val="both"/>
        <w:rPr>
          <w:color w:val="auto"/>
        </w:rPr>
      </w:pPr>
    </w:p>
    <w:p w:rsidR="005B1D09" w:rsidRPr="005006F4" w:rsidRDefault="005B1D09" w:rsidP="00C67F5C">
      <w:pPr>
        <w:jc w:val="both"/>
        <w:rPr>
          <w:color w:val="auto"/>
          <w:szCs w:val="24"/>
        </w:rPr>
      </w:pPr>
    </w:p>
    <w:p w:rsidR="00D91DA6" w:rsidRPr="001F29F9" w:rsidRDefault="00FB1725" w:rsidP="00C67F5C">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C67F5C">
      <w:pPr>
        <w:tabs>
          <w:tab w:val="left" w:pos="288"/>
          <w:tab w:val="left" w:pos="4752"/>
        </w:tabs>
        <w:jc w:val="both"/>
        <w:rPr>
          <w:color w:val="000000" w:themeColor="text1"/>
        </w:rPr>
      </w:pPr>
    </w:p>
    <w:p w:rsidR="00114F20" w:rsidRPr="001F29F9" w:rsidRDefault="00FB1725" w:rsidP="00C67F5C">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2D62AE">
        <w:rPr>
          <w:color w:val="000000" w:themeColor="text1"/>
          <w:szCs w:val="24"/>
        </w:rPr>
        <w:t>10808</w:t>
      </w:r>
      <w:r w:rsidR="007E106D">
        <w:rPr>
          <w:color w:val="000000" w:themeColor="text1"/>
        </w:rPr>
        <w:t>, w/</w:t>
      </w:r>
      <w:proofErr w:type="spellStart"/>
      <w:r w:rsidR="007E106D">
        <w:rPr>
          <w:color w:val="000000" w:themeColor="text1"/>
        </w:rPr>
        <w:t>atchs</w:t>
      </w:r>
      <w:proofErr w:type="spellEnd"/>
    </w:p>
    <w:p w:rsidR="00114F20" w:rsidRPr="001F29F9" w:rsidRDefault="00FB1725" w:rsidP="00C67F5C">
      <w:pPr>
        <w:tabs>
          <w:tab w:val="left" w:pos="288"/>
          <w:tab w:val="left" w:pos="4752"/>
        </w:tabs>
        <w:jc w:val="both"/>
        <w:rPr>
          <w:color w:val="000000" w:themeColor="text1"/>
        </w:rPr>
      </w:pPr>
      <w:r w:rsidRPr="001F29F9">
        <w:rPr>
          <w:color w:val="000000" w:themeColor="text1"/>
        </w:rPr>
        <w:t>Exhib</w:t>
      </w:r>
      <w:r w:rsidR="007E106D">
        <w:rPr>
          <w:color w:val="000000" w:themeColor="text1"/>
        </w:rPr>
        <w:t>it B.  Service Treatment Record</w:t>
      </w:r>
    </w:p>
    <w:p w:rsidR="00114F20" w:rsidRPr="001F29F9" w:rsidRDefault="00FB1725" w:rsidP="00C67F5C">
      <w:pPr>
        <w:tabs>
          <w:tab w:val="left" w:pos="288"/>
          <w:tab w:val="left" w:pos="4752"/>
        </w:tabs>
        <w:jc w:val="both"/>
        <w:rPr>
          <w:color w:val="000000" w:themeColor="text1"/>
        </w:rPr>
      </w:pPr>
      <w:r w:rsidRPr="001F29F9">
        <w:rPr>
          <w:color w:val="000000" w:themeColor="text1"/>
        </w:rPr>
        <w:t>Exhibit C.  Department of Ve</w:t>
      </w:r>
      <w:r w:rsidR="007E106D">
        <w:rPr>
          <w:color w:val="000000" w:themeColor="text1"/>
        </w:rPr>
        <w:t>terans Affairs Treatment Record</w:t>
      </w:r>
    </w:p>
    <w:p w:rsidR="00D91DA6" w:rsidRPr="001F29F9" w:rsidRDefault="00D91DA6" w:rsidP="00C67F5C">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C5C65" w:rsidRDefault="002F195B" w:rsidP="00652A4B">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C5C65" w:rsidRDefault="00AC5C65">
      <w:pPr>
        <w:rPr>
          <w:color w:val="000000" w:themeColor="text1"/>
          <w:szCs w:val="24"/>
        </w:rPr>
      </w:pPr>
      <w:r>
        <w:rPr>
          <w:color w:val="000000" w:themeColor="text1"/>
          <w:szCs w:val="24"/>
        </w:rPr>
        <w:br w:type="page"/>
      </w:r>
    </w:p>
    <w:p w:rsidR="00AC5C65" w:rsidRDefault="00AC5C65" w:rsidP="00AC5C65">
      <w:pPr>
        <w:pStyle w:val="Header"/>
        <w:tabs>
          <w:tab w:val="clear" w:pos="4320"/>
          <w:tab w:val="clear" w:pos="8640"/>
        </w:tabs>
        <w:jc w:val="left"/>
      </w:pPr>
      <w:r>
        <w:lastRenderedPageBreak/>
        <w:t>SFMR-RB</w:t>
      </w:r>
      <w:r>
        <w:tab/>
      </w:r>
      <w:r>
        <w:tab/>
      </w:r>
      <w:r>
        <w:tab/>
      </w:r>
      <w:r>
        <w:tab/>
      </w:r>
      <w:r>
        <w:tab/>
      </w:r>
      <w:r>
        <w:tab/>
      </w:r>
      <w:r>
        <w:tab/>
      </w:r>
      <w:r>
        <w:tab/>
      </w:r>
      <w:r>
        <w:tab/>
      </w:r>
    </w:p>
    <w:p w:rsidR="00AC5C65" w:rsidRDefault="00AC5C65" w:rsidP="00AC5C65">
      <w:pPr>
        <w:pStyle w:val="Header"/>
        <w:tabs>
          <w:tab w:val="clear" w:pos="4320"/>
          <w:tab w:val="clear" w:pos="8640"/>
        </w:tabs>
        <w:jc w:val="left"/>
      </w:pPr>
    </w:p>
    <w:p w:rsidR="00AC5C65" w:rsidRDefault="00AC5C65" w:rsidP="00AC5C65">
      <w:pPr>
        <w:jc w:val="left"/>
      </w:pPr>
    </w:p>
    <w:p w:rsidR="00AC5C65" w:rsidRDefault="00AC5C65" w:rsidP="00AC5C65">
      <w:pPr>
        <w:jc w:val="left"/>
      </w:pPr>
      <w:r>
        <w:t xml:space="preserve">MEMORANDUM FOR Commander, US Army Physical Disability Agency </w:t>
      </w:r>
    </w:p>
    <w:p w:rsidR="00AC5C65" w:rsidRDefault="00AC5C65" w:rsidP="00AC5C65">
      <w:pPr>
        <w:jc w:val="left"/>
      </w:pPr>
      <w:r>
        <w:t xml:space="preserve"> </w:t>
      </w:r>
    </w:p>
    <w:p w:rsidR="00AC5C65" w:rsidRDefault="00AC5C65" w:rsidP="00AC5C65">
      <w:pPr>
        <w:jc w:val="left"/>
      </w:pPr>
    </w:p>
    <w:p w:rsidR="00AC5C65" w:rsidRDefault="00AC5C65" w:rsidP="00AC5C65">
      <w:pPr>
        <w:ind w:right="-180"/>
        <w:jc w:val="left"/>
      </w:pPr>
      <w:r>
        <w:t xml:space="preserve">SUBJECT:  Department of Defense Physical Disability Board of Review Recommendation  </w:t>
      </w:r>
    </w:p>
    <w:p w:rsidR="00AC5C65" w:rsidRDefault="00AC5C65" w:rsidP="00AC5C65">
      <w:pPr>
        <w:jc w:val="left"/>
      </w:pPr>
    </w:p>
    <w:p w:rsidR="00AC5C65" w:rsidRDefault="00AC5C65" w:rsidP="00AC5C6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C5C65" w:rsidRDefault="00AC5C65" w:rsidP="00AC5C65">
      <w:pPr>
        <w:jc w:val="left"/>
      </w:pPr>
    </w:p>
    <w:p w:rsidR="00AC5C65" w:rsidRDefault="00AC5C65" w:rsidP="00AC5C65">
      <w:pPr>
        <w:jc w:val="left"/>
      </w:pPr>
      <w:r>
        <w:t>This decision is final.  The individual concerned, counsel (if any), and any Members of Congress who have shown interest in this application have been notified of this decision by mail.</w:t>
      </w:r>
    </w:p>
    <w:p w:rsidR="00AC5C65" w:rsidRDefault="00AC5C65" w:rsidP="00AC5C65">
      <w:pPr>
        <w:jc w:val="left"/>
      </w:pPr>
    </w:p>
    <w:p w:rsidR="00AC5C65" w:rsidRDefault="00AC5C65" w:rsidP="00AC5C65">
      <w:pPr>
        <w:jc w:val="left"/>
      </w:pPr>
      <w:r>
        <w:t xml:space="preserve"> BY ORDER OF THE SECRETARY OF THE ARMY:</w:t>
      </w:r>
    </w:p>
    <w:p w:rsidR="00AC5C65" w:rsidRDefault="00AC5C65" w:rsidP="00AC5C65">
      <w:pPr>
        <w:jc w:val="left"/>
      </w:pPr>
    </w:p>
    <w:p w:rsidR="00AC5C65" w:rsidRDefault="00AC5C65" w:rsidP="00AC5C65">
      <w:pPr>
        <w:jc w:val="left"/>
      </w:pPr>
    </w:p>
    <w:p w:rsidR="00AC5C65" w:rsidRDefault="00AC5C65" w:rsidP="00AC5C65">
      <w:pPr>
        <w:pStyle w:val="Header"/>
        <w:tabs>
          <w:tab w:val="clear" w:pos="4320"/>
          <w:tab w:val="clear" w:pos="8640"/>
        </w:tabs>
        <w:jc w:val="left"/>
      </w:pPr>
    </w:p>
    <w:p w:rsidR="00AC5C65" w:rsidRDefault="00AC5C65" w:rsidP="00AC5C65">
      <w:pPr>
        <w:jc w:val="left"/>
      </w:pPr>
    </w:p>
    <w:p w:rsidR="00AC5C65" w:rsidRDefault="00AC5C65" w:rsidP="00AC5C65">
      <w:pPr>
        <w:jc w:val="left"/>
      </w:pPr>
      <w:bookmarkStart w:id="0" w:name="OLE_LINK3"/>
      <w:bookmarkStart w:id="1" w:name="OLE_LINK4"/>
      <w:r>
        <w:t>Encl</w:t>
      </w:r>
      <w:r>
        <w:tab/>
      </w:r>
      <w:r>
        <w:tab/>
      </w:r>
      <w:r>
        <w:tab/>
      </w:r>
      <w:r>
        <w:tab/>
      </w:r>
      <w:r>
        <w:tab/>
      </w:r>
      <w:r>
        <w:tab/>
        <w:t xml:space="preserve">     </w:t>
      </w:r>
    </w:p>
    <w:p w:rsidR="00AC5C65" w:rsidRDefault="00AC5C65" w:rsidP="00AC5C65">
      <w:pPr>
        <w:jc w:val="left"/>
      </w:pPr>
      <w:r>
        <w:tab/>
      </w:r>
      <w:r>
        <w:tab/>
      </w:r>
      <w:r>
        <w:tab/>
      </w:r>
      <w:r>
        <w:tab/>
      </w:r>
      <w:r>
        <w:tab/>
      </w:r>
      <w:r>
        <w:tab/>
        <w:t xml:space="preserve">     Deputy Assistant Secretary</w:t>
      </w:r>
    </w:p>
    <w:p w:rsidR="00AC5C65" w:rsidRDefault="00AC5C65" w:rsidP="00AC5C65">
      <w:pPr>
        <w:jc w:val="left"/>
      </w:pPr>
      <w:r>
        <w:tab/>
      </w:r>
      <w:r>
        <w:tab/>
      </w:r>
      <w:r>
        <w:tab/>
      </w:r>
      <w:r>
        <w:tab/>
      </w:r>
      <w:r>
        <w:tab/>
      </w:r>
      <w:r>
        <w:tab/>
        <w:t xml:space="preserve">         (Army Review Boards)</w:t>
      </w:r>
      <w:bookmarkEnd w:id="0"/>
      <w:bookmarkEnd w:id="1"/>
    </w:p>
    <w:p w:rsidR="00731790" w:rsidRDefault="00731790" w:rsidP="00652A4B">
      <w:pPr>
        <w:tabs>
          <w:tab w:val="left" w:pos="0"/>
          <w:tab w:val="left" w:pos="4320"/>
        </w:tabs>
        <w:jc w:val="both"/>
        <w:rPr>
          <w:color w:val="000000" w:themeColor="text1"/>
          <w:szCs w:val="24"/>
        </w:rPr>
      </w:pPr>
    </w:p>
    <w:sectPr w:rsidR="0073179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33" w:rsidRDefault="00391E33">
      <w:r>
        <w:separator/>
      </w:r>
    </w:p>
  </w:endnote>
  <w:endnote w:type="continuationSeparator" w:id="0">
    <w:p w:rsidR="00391E33" w:rsidRDefault="00391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F45CB" w:rsidRPr="00374247" w:rsidRDefault="00CF45CB" w:rsidP="00374247">
        <w:pPr>
          <w:pStyle w:val="Footer"/>
          <w:ind w:firstLine="4320"/>
          <w:rPr>
            <w:color w:val="auto"/>
            <w:szCs w:val="24"/>
          </w:rPr>
        </w:pPr>
        <w:r w:rsidRPr="002D62AE">
          <w:rPr>
            <w:color w:val="auto"/>
            <w:szCs w:val="24"/>
          </w:rPr>
          <w:t xml:space="preserve">   </w:t>
        </w:r>
        <w:r w:rsidR="009C0094" w:rsidRPr="002D62AE">
          <w:rPr>
            <w:color w:val="auto"/>
            <w:szCs w:val="24"/>
          </w:rPr>
          <w:fldChar w:fldCharType="begin"/>
        </w:r>
        <w:r w:rsidRPr="002D62AE">
          <w:rPr>
            <w:color w:val="auto"/>
            <w:szCs w:val="24"/>
          </w:rPr>
          <w:instrText xml:space="preserve"> PAGE   \* MERGEFORMAT </w:instrText>
        </w:r>
        <w:r w:rsidR="009C0094" w:rsidRPr="002D62AE">
          <w:rPr>
            <w:color w:val="auto"/>
            <w:szCs w:val="24"/>
          </w:rPr>
          <w:fldChar w:fldCharType="separate"/>
        </w:r>
        <w:r w:rsidR="00AC5C65" w:rsidRPr="00AC5C65">
          <w:rPr>
            <w:noProof/>
            <w:color w:val="auto"/>
          </w:rPr>
          <w:t>4</w:t>
        </w:r>
        <w:r w:rsidR="009C0094" w:rsidRPr="002D62AE">
          <w:rPr>
            <w:color w:val="auto"/>
            <w:szCs w:val="24"/>
          </w:rPr>
          <w:fldChar w:fldCharType="end"/>
        </w:r>
        <w:r w:rsidRPr="002D62AE">
          <w:rPr>
            <w:color w:val="auto"/>
            <w:szCs w:val="24"/>
          </w:rPr>
          <w:t xml:space="preserve">                                                           PD1100616</w:t>
        </w:r>
      </w:p>
    </w:sdtContent>
  </w:sdt>
  <w:p w:rsidR="00CF45CB" w:rsidRPr="00684CE6" w:rsidRDefault="00CF45C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33" w:rsidRDefault="00391E33">
      <w:r>
        <w:separator/>
      </w:r>
    </w:p>
  </w:footnote>
  <w:footnote w:type="continuationSeparator" w:id="0">
    <w:p w:rsidR="00391E33" w:rsidRDefault="00391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7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C36"/>
    <w:rsid w:val="00051622"/>
    <w:rsid w:val="00051A11"/>
    <w:rsid w:val="00052234"/>
    <w:rsid w:val="00053D7C"/>
    <w:rsid w:val="00056763"/>
    <w:rsid w:val="000575C5"/>
    <w:rsid w:val="000577C9"/>
    <w:rsid w:val="00060FFD"/>
    <w:rsid w:val="00061D69"/>
    <w:rsid w:val="0006431E"/>
    <w:rsid w:val="000652EA"/>
    <w:rsid w:val="00065E21"/>
    <w:rsid w:val="000673ED"/>
    <w:rsid w:val="00067854"/>
    <w:rsid w:val="00067BEE"/>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355"/>
    <w:rsid w:val="000A2BCE"/>
    <w:rsid w:val="000A31E2"/>
    <w:rsid w:val="000A33C8"/>
    <w:rsid w:val="000A41E3"/>
    <w:rsid w:val="000A4BBA"/>
    <w:rsid w:val="000A5071"/>
    <w:rsid w:val="000B0AD2"/>
    <w:rsid w:val="000B1022"/>
    <w:rsid w:val="000B2901"/>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6CF4"/>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17E1"/>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B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0D5"/>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883"/>
    <w:rsid w:val="001C181A"/>
    <w:rsid w:val="001C1877"/>
    <w:rsid w:val="001C2053"/>
    <w:rsid w:val="001C252F"/>
    <w:rsid w:val="001C28D1"/>
    <w:rsid w:val="001C3473"/>
    <w:rsid w:val="001C5BDA"/>
    <w:rsid w:val="001C5CFC"/>
    <w:rsid w:val="001C6DFE"/>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4523"/>
    <w:rsid w:val="001F6E0B"/>
    <w:rsid w:val="00200AA0"/>
    <w:rsid w:val="00202325"/>
    <w:rsid w:val="00202736"/>
    <w:rsid w:val="00203652"/>
    <w:rsid w:val="00204562"/>
    <w:rsid w:val="00205B4F"/>
    <w:rsid w:val="002060B6"/>
    <w:rsid w:val="002066B5"/>
    <w:rsid w:val="00210EAC"/>
    <w:rsid w:val="002113DC"/>
    <w:rsid w:val="00211612"/>
    <w:rsid w:val="002119B6"/>
    <w:rsid w:val="00212389"/>
    <w:rsid w:val="00212B40"/>
    <w:rsid w:val="00213BD0"/>
    <w:rsid w:val="00214DBA"/>
    <w:rsid w:val="002151AB"/>
    <w:rsid w:val="0021548C"/>
    <w:rsid w:val="00215C4C"/>
    <w:rsid w:val="00215ED6"/>
    <w:rsid w:val="00215FDB"/>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B4D"/>
    <w:rsid w:val="00242D14"/>
    <w:rsid w:val="002432F4"/>
    <w:rsid w:val="00246860"/>
    <w:rsid w:val="002468D9"/>
    <w:rsid w:val="00246995"/>
    <w:rsid w:val="00246DFF"/>
    <w:rsid w:val="00246E89"/>
    <w:rsid w:val="0025183C"/>
    <w:rsid w:val="00252351"/>
    <w:rsid w:val="002528EC"/>
    <w:rsid w:val="00253EAA"/>
    <w:rsid w:val="00255049"/>
    <w:rsid w:val="00256C71"/>
    <w:rsid w:val="00257538"/>
    <w:rsid w:val="00257AFF"/>
    <w:rsid w:val="00257DE5"/>
    <w:rsid w:val="00260531"/>
    <w:rsid w:val="00260B9A"/>
    <w:rsid w:val="00262EA5"/>
    <w:rsid w:val="0026318D"/>
    <w:rsid w:val="00264148"/>
    <w:rsid w:val="002660AF"/>
    <w:rsid w:val="00266FF4"/>
    <w:rsid w:val="00270864"/>
    <w:rsid w:val="002712F7"/>
    <w:rsid w:val="0027159C"/>
    <w:rsid w:val="002722F2"/>
    <w:rsid w:val="00274549"/>
    <w:rsid w:val="00274E46"/>
    <w:rsid w:val="002752AE"/>
    <w:rsid w:val="00275AFD"/>
    <w:rsid w:val="002769AF"/>
    <w:rsid w:val="00276C86"/>
    <w:rsid w:val="00276FD0"/>
    <w:rsid w:val="00277217"/>
    <w:rsid w:val="00280670"/>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6E7"/>
    <w:rsid w:val="002C6E5B"/>
    <w:rsid w:val="002D08F3"/>
    <w:rsid w:val="002D18B4"/>
    <w:rsid w:val="002D2058"/>
    <w:rsid w:val="002D231A"/>
    <w:rsid w:val="002D5330"/>
    <w:rsid w:val="002D5F57"/>
    <w:rsid w:val="002D62AE"/>
    <w:rsid w:val="002D73D4"/>
    <w:rsid w:val="002D7787"/>
    <w:rsid w:val="002D7EF1"/>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77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21DC"/>
    <w:rsid w:val="00313C3A"/>
    <w:rsid w:val="00313D7A"/>
    <w:rsid w:val="003155FB"/>
    <w:rsid w:val="00316010"/>
    <w:rsid w:val="0032136A"/>
    <w:rsid w:val="003224D8"/>
    <w:rsid w:val="003229CF"/>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69E"/>
    <w:rsid w:val="00341A54"/>
    <w:rsid w:val="00344A4F"/>
    <w:rsid w:val="00344D17"/>
    <w:rsid w:val="003457B8"/>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49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4F0E"/>
    <w:rsid w:val="003851BA"/>
    <w:rsid w:val="003857D4"/>
    <w:rsid w:val="00385D6F"/>
    <w:rsid w:val="00386D43"/>
    <w:rsid w:val="00387095"/>
    <w:rsid w:val="00387E95"/>
    <w:rsid w:val="00390092"/>
    <w:rsid w:val="00390CFA"/>
    <w:rsid w:val="00391858"/>
    <w:rsid w:val="00391E33"/>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4E7"/>
    <w:rsid w:val="003A76AB"/>
    <w:rsid w:val="003A7BFA"/>
    <w:rsid w:val="003A7FF8"/>
    <w:rsid w:val="003B0F47"/>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3EAA"/>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706"/>
    <w:rsid w:val="00403BFB"/>
    <w:rsid w:val="00404B45"/>
    <w:rsid w:val="00405BCF"/>
    <w:rsid w:val="004068E0"/>
    <w:rsid w:val="00406CC5"/>
    <w:rsid w:val="00406FCA"/>
    <w:rsid w:val="004074A4"/>
    <w:rsid w:val="00407B95"/>
    <w:rsid w:val="004101B2"/>
    <w:rsid w:val="004115FA"/>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481"/>
    <w:rsid w:val="00434860"/>
    <w:rsid w:val="00434BBD"/>
    <w:rsid w:val="0043503A"/>
    <w:rsid w:val="0043549C"/>
    <w:rsid w:val="00435B6D"/>
    <w:rsid w:val="00437B8A"/>
    <w:rsid w:val="00437D18"/>
    <w:rsid w:val="00437D77"/>
    <w:rsid w:val="00441D99"/>
    <w:rsid w:val="004435BE"/>
    <w:rsid w:val="0044384F"/>
    <w:rsid w:val="00443EB1"/>
    <w:rsid w:val="0044411E"/>
    <w:rsid w:val="00444472"/>
    <w:rsid w:val="00444B93"/>
    <w:rsid w:val="00444F80"/>
    <w:rsid w:val="00445599"/>
    <w:rsid w:val="00446018"/>
    <w:rsid w:val="0044769D"/>
    <w:rsid w:val="0045027B"/>
    <w:rsid w:val="004504E7"/>
    <w:rsid w:val="00451F9D"/>
    <w:rsid w:val="00452A41"/>
    <w:rsid w:val="00453167"/>
    <w:rsid w:val="0045361D"/>
    <w:rsid w:val="004543BC"/>
    <w:rsid w:val="00454F28"/>
    <w:rsid w:val="0045645D"/>
    <w:rsid w:val="0045707D"/>
    <w:rsid w:val="004574C6"/>
    <w:rsid w:val="00457743"/>
    <w:rsid w:val="00457BCF"/>
    <w:rsid w:val="00457DCE"/>
    <w:rsid w:val="00460977"/>
    <w:rsid w:val="00460E3F"/>
    <w:rsid w:val="0046111A"/>
    <w:rsid w:val="00462F68"/>
    <w:rsid w:val="0046369B"/>
    <w:rsid w:val="004640E9"/>
    <w:rsid w:val="004647EB"/>
    <w:rsid w:val="00465EC0"/>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2A9D"/>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C63"/>
    <w:rsid w:val="004C1EF8"/>
    <w:rsid w:val="004C2063"/>
    <w:rsid w:val="004C24C5"/>
    <w:rsid w:val="004C2645"/>
    <w:rsid w:val="004C382C"/>
    <w:rsid w:val="004C3E3F"/>
    <w:rsid w:val="004C4790"/>
    <w:rsid w:val="004C47D5"/>
    <w:rsid w:val="004C4CAF"/>
    <w:rsid w:val="004C5E33"/>
    <w:rsid w:val="004C60A3"/>
    <w:rsid w:val="004C64B5"/>
    <w:rsid w:val="004C6CDA"/>
    <w:rsid w:val="004D10D4"/>
    <w:rsid w:val="004D16BD"/>
    <w:rsid w:val="004D2AAB"/>
    <w:rsid w:val="004D3C7F"/>
    <w:rsid w:val="004D42CB"/>
    <w:rsid w:val="004D6E90"/>
    <w:rsid w:val="004D6F2B"/>
    <w:rsid w:val="004E0248"/>
    <w:rsid w:val="004E1496"/>
    <w:rsid w:val="004E21A3"/>
    <w:rsid w:val="004E32EA"/>
    <w:rsid w:val="004E3517"/>
    <w:rsid w:val="004E6866"/>
    <w:rsid w:val="004F0C58"/>
    <w:rsid w:val="004F3222"/>
    <w:rsid w:val="004F3639"/>
    <w:rsid w:val="004F3BFA"/>
    <w:rsid w:val="004F4E3C"/>
    <w:rsid w:val="004F5A1A"/>
    <w:rsid w:val="004F77A3"/>
    <w:rsid w:val="005000AB"/>
    <w:rsid w:val="005006F4"/>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36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377B7"/>
    <w:rsid w:val="005400C5"/>
    <w:rsid w:val="005404CD"/>
    <w:rsid w:val="00540BE0"/>
    <w:rsid w:val="00540BEF"/>
    <w:rsid w:val="00541AC4"/>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44A8"/>
    <w:rsid w:val="005701C1"/>
    <w:rsid w:val="005703BF"/>
    <w:rsid w:val="00570754"/>
    <w:rsid w:val="005709F7"/>
    <w:rsid w:val="00570EAA"/>
    <w:rsid w:val="005710A9"/>
    <w:rsid w:val="005716B0"/>
    <w:rsid w:val="00571B11"/>
    <w:rsid w:val="00571D1B"/>
    <w:rsid w:val="00571DA3"/>
    <w:rsid w:val="00572A07"/>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2953"/>
    <w:rsid w:val="005C3758"/>
    <w:rsid w:val="005C4D72"/>
    <w:rsid w:val="005C50C1"/>
    <w:rsid w:val="005C62C2"/>
    <w:rsid w:val="005D2306"/>
    <w:rsid w:val="005D2562"/>
    <w:rsid w:val="005D2666"/>
    <w:rsid w:val="005D4548"/>
    <w:rsid w:val="005D4A74"/>
    <w:rsid w:val="005D5E91"/>
    <w:rsid w:val="005D67EF"/>
    <w:rsid w:val="005E0739"/>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8C9"/>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2167"/>
    <w:rsid w:val="00634C4A"/>
    <w:rsid w:val="0063532E"/>
    <w:rsid w:val="0063579F"/>
    <w:rsid w:val="006364ED"/>
    <w:rsid w:val="00637063"/>
    <w:rsid w:val="0063737C"/>
    <w:rsid w:val="00637BDC"/>
    <w:rsid w:val="00640363"/>
    <w:rsid w:val="00640622"/>
    <w:rsid w:val="0064100C"/>
    <w:rsid w:val="006418C9"/>
    <w:rsid w:val="00642BD6"/>
    <w:rsid w:val="00643C8F"/>
    <w:rsid w:val="00645046"/>
    <w:rsid w:val="0064527A"/>
    <w:rsid w:val="006458FD"/>
    <w:rsid w:val="00645DE8"/>
    <w:rsid w:val="00645EA2"/>
    <w:rsid w:val="00651E6D"/>
    <w:rsid w:val="0065237D"/>
    <w:rsid w:val="00652943"/>
    <w:rsid w:val="00652A4B"/>
    <w:rsid w:val="00652C9E"/>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0F6"/>
    <w:rsid w:val="006A516B"/>
    <w:rsid w:val="006A5362"/>
    <w:rsid w:val="006A543A"/>
    <w:rsid w:val="006A5C07"/>
    <w:rsid w:val="006A75FA"/>
    <w:rsid w:val="006B07D5"/>
    <w:rsid w:val="006B1309"/>
    <w:rsid w:val="006B2F18"/>
    <w:rsid w:val="006B31E6"/>
    <w:rsid w:val="006B3923"/>
    <w:rsid w:val="006B3F3E"/>
    <w:rsid w:val="006B4AA2"/>
    <w:rsid w:val="006B4C4D"/>
    <w:rsid w:val="006B53C4"/>
    <w:rsid w:val="006B586B"/>
    <w:rsid w:val="006B5923"/>
    <w:rsid w:val="006B67D9"/>
    <w:rsid w:val="006B6C14"/>
    <w:rsid w:val="006B7159"/>
    <w:rsid w:val="006B715E"/>
    <w:rsid w:val="006C1513"/>
    <w:rsid w:val="006C1D6E"/>
    <w:rsid w:val="006C2EF6"/>
    <w:rsid w:val="006C3A68"/>
    <w:rsid w:val="006C3B08"/>
    <w:rsid w:val="006C6AB1"/>
    <w:rsid w:val="006C6E6B"/>
    <w:rsid w:val="006C73D4"/>
    <w:rsid w:val="006D145F"/>
    <w:rsid w:val="006D2000"/>
    <w:rsid w:val="006D2D39"/>
    <w:rsid w:val="006D2F31"/>
    <w:rsid w:val="006D3E64"/>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790"/>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CF9"/>
    <w:rsid w:val="00794F3D"/>
    <w:rsid w:val="00795CE9"/>
    <w:rsid w:val="00796045"/>
    <w:rsid w:val="007968AC"/>
    <w:rsid w:val="007969AB"/>
    <w:rsid w:val="007973D8"/>
    <w:rsid w:val="00797801"/>
    <w:rsid w:val="007A0861"/>
    <w:rsid w:val="007A0B39"/>
    <w:rsid w:val="007A14A4"/>
    <w:rsid w:val="007A168F"/>
    <w:rsid w:val="007A2346"/>
    <w:rsid w:val="007A2682"/>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06D"/>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60F"/>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3E4E"/>
    <w:rsid w:val="00844842"/>
    <w:rsid w:val="0084493E"/>
    <w:rsid w:val="00844A53"/>
    <w:rsid w:val="00844B99"/>
    <w:rsid w:val="00844DD0"/>
    <w:rsid w:val="008455C8"/>
    <w:rsid w:val="00846407"/>
    <w:rsid w:val="0085006A"/>
    <w:rsid w:val="00850127"/>
    <w:rsid w:val="0085089F"/>
    <w:rsid w:val="0085206E"/>
    <w:rsid w:val="00852273"/>
    <w:rsid w:val="00852924"/>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729C"/>
    <w:rsid w:val="00882CC2"/>
    <w:rsid w:val="00883103"/>
    <w:rsid w:val="0088325A"/>
    <w:rsid w:val="00883930"/>
    <w:rsid w:val="00884535"/>
    <w:rsid w:val="008902BE"/>
    <w:rsid w:val="0089038F"/>
    <w:rsid w:val="00890CDA"/>
    <w:rsid w:val="00891BBA"/>
    <w:rsid w:val="00892079"/>
    <w:rsid w:val="00892B90"/>
    <w:rsid w:val="00893849"/>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AB7"/>
    <w:rsid w:val="008A7F7E"/>
    <w:rsid w:val="008B04DB"/>
    <w:rsid w:val="008B09B4"/>
    <w:rsid w:val="008B1B11"/>
    <w:rsid w:val="008B1DF4"/>
    <w:rsid w:val="008B27FD"/>
    <w:rsid w:val="008B2FDB"/>
    <w:rsid w:val="008B3AF2"/>
    <w:rsid w:val="008B446D"/>
    <w:rsid w:val="008B515D"/>
    <w:rsid w:val="008B5D31"/>
    <w:rsid w:val="008B6705"/>
    <w:rsid w:val="008C0360"/>
    <w:rsid w:val="008C22F3"/>
    <w:rsid w:val="008C3223"/>
    <w:rsid w:val="008C3FD0"/>
    <w:rsid w:val="008C4F01"/>
    <w:rsid w:val="008C4F1D"/>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905"/>
    <w:rsid w:val="00902FDD"/>
    <w:rsid w:val="00905EEF"/>
    <w:rsid w:val="00906EB7"/>
    <w:rsid w:val="00907FE6"/>
    <w:rsid w:val="009102BF"/>
    <w:rsid w:val="00911490"/>
    <w:rsid w:val="009115F2"/>
    <w:rsid w:val="00911B11"/>
    <w:rsid w:val="0091214B"/>
    <w:rsid w:val="00914319"/>
    <w:rsid w:val="00914ADB"/>
    <w:rsid w:val="00914C70"/>
    <w:rsid w:val="00917182"/>
    <w:rsid w:val="00920251"/>
    <w:rsid w:val="00921CFD"/>
    <w:rsid w:val="00922418"/>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1D32"/>
    <w:rsid w:val="00942645"/>
    <w:rsid w:val="00943A61"/>
    <w:rsid w:val="009461E6"/>
    <w:rsid w:val="00950A3A"/>
    <w:rsid w:val="00952CC5"/>
    <w:rsid w:val="0095340A"/>
    <w:rsid w:val="00953AF6"/>
    <w:rsid w:val="0095423E"/>
    <w:rsid w:val="00954581"/>
    <w:rsid w:val="0095466C"/>
    <w:rsid w:val="00954E5B"/>
    <w:rsid w:val="00955100"/>
    <w:rsid w:val="00955316"/>
    <w:rsid w:val="00955E45"/>
    <w:rsid w:val="00957488"/>
    <w:rsid w:val="009576BC"/>
    <w:rsid w:val="00957899"/>
    <w:rsid w:val="00957927"/>
    <w:rsid w:val="00960357"/>
    <w:rsid w:val="0096168C"/>
    <w:rsid w:val="00961840"/>
    <w:rsid w:val="00961B46"/>
    <w:rsid w:val="009625E3"/>
    <w:rsid w:val="00962F2D"/>
    <w:rsid w:val="00963A7A"/>
    <w:rsid w:val="009672CD"/>
    <w:rsid w:val="00967FC8"/>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F5D"/>
    <w:rsid w:val="009842F3"/>
    <w:rsid w:val="00984EBF"/>
    <w:rsid w:val="00985099"/>
    <w:rsid w:val="00985D32"/>
    <w:rsid w:val="00986514"/>
    <w:rsid w:val="00986FCC"/>
    <w:rsid w:val="00990FD6"/>
    <w:rsid w:val="009935C3"/>
    <w:rsid w:val="0099421F"/>
    <w:rsid w:val="00994FC8"/>
    <w:rsid w:val="00997289"/>
    <w:rsid w:val="009A0DE3"/>
    <w:rsid w:val="009A1643"/>
    <w:rsid w:val="009A215A"/>
    <w:rsid w:val="009A26B9"/>
    <w:rsid w:val="009A49D3"/>
    <w:rsid w:val="009A4F1B"/>
    <w:rsid w:val="009A66C5"/>
    <w:rsid w:val="009A66E7"/>
    <w:rsid w:val="009A6AB6"/>
    <w:rsid w:val="009A6FDB"/>
    <w:rsid w:val="009A79BA"/>
    <w:rsid w:val="009B10F9"/>
    <w:rsid w:val="009B14D1"/>
    <w:rsid w:val="009B1534"/>
    <w:rsid w:val="009B4963"/>
    <w:rsid w:val="009B4A3B"/>
    <w:rsid w:val="009B6023"/>
    <w:rsid w:val="009B69D3"/>
    <w:rsid w:val="009B6B14"/>
    <w:rsid w:val="009B721E"/>
    <w:rsid w:val="009B7BA7"/>
    <w:rsid w:val="009B7C01"/>
    <w:rsid w:val="009C0094"/>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337"/>
    <w:rsid w:val="009E3A7F"/>
    <w:rsid w:val="009E4C9B"/>
    <w:rsid w:val="009E4DFC"/>
    <w:rsid w:val="009E5789"/>
    <w:rsid w:val="009E57B1"/>
    <w:rsid w:val="009E5B2B"/>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28A"/>
    <w:rsid w:val="00A40356"/>
    <w:rsid w:val="00A40BBC"/>
    <w:rsid w:val="00A40FFB"/>
    <w:rsid w:val="00A41468"/>
    <w:rsid w:val="00A414A9"/>
    <w:rsid w:val="00A43E3B"/>
    <w:rsid w:val="00A44141"/>
    <w:rsid w:val="00A44CCA"/>
    <w:rsid w:val="00A44D75"/>
    <w:rsid w:val="00A47CF1"/>
    <w:rsid w:val="00A50418"/>
    <w:rsid w:val="00A50B17"/>
    <w:rsid w:val="00A53A9B"/>
    <w:rsid w:val="00A53D58"/>
    <w:rsid w:val="00A54A47"/>
    <w:rsid w:val="00A56D26"/>
    <w:rsid w:val="00A571A7"/>
    <w:rsid w:val="00A5749A"/>
    <w:rsid w:val="00A575E1"/>
    <w:rsid w:val="00A57BA8"/>
    <w:rsid w:val="00A57C35"/>
    <w:rsid w:val="00A60507"/>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1FFA"/>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5B4"/>
    <w:rsid w:val="00AA493E"/>
    <w:rsid w:val="00AA73AF"/>
    <w:rsid w:val="00AB062D"/>
    <w:rsid w:val="00AB0A8A"/>
    <w:rsid w:val="00AB1754"/>
    <w:rsid w:val="00AB1F8D"/>
    <w:rsid w:val="00AB27DD"/>
    <w:rsid w:val="00AB4BA4"/>
    <w:rsid w:val="00AB592E"/>
    <w:rsid w:val="00AC0C1C"/>
    <w:rsid w:val="00AC1305"/>
    <w:rsid w:val="00AC37BE"/>
    <w:rsid w:val="00AC439D"/>
    <w:rsid w:val="00AC5C65"/>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32E7"/>
    <w:rsid w:val="00AF41EE"/>
    <w:rsid w:val="00AF4FA5"/>
    <w:rsid w:val="00AF5BB4"/>
    <w:rsid w:val="00AF6590"/>
    <w:rsid w:val="00AF6ECC"/>
    <w:rsid w:val="00B02145"/>
    <w:rsid w:val="00B022DC"/>
    <w:rsid w:val="00B04562"/>
    <w:rsid w:val="00B0472F"/>
    <w:rsid w:val="00B06930"/>
    <w:rsid w:val="00B0773A"/>
    <w:rsid w:val="00B07955"/>
    <w:rsid w:val="00B1176B"/>
    <w:rsid w:val="00B13D75"/>
    <w:rsid w:val="00B140B8"/>
    <w:rsid w:val="00B14FAA"/>
    <w:rsid w:val="00B15BED"/>
    <w:rsid w:val="00B15D30"/>
    <w:rsid w:val="00B15F09"/>
    <w:rsid w:val="00B16D18"/>
    <w:rsid w:val="00B177DE"/>
    <w:rsid w:val="00B20400"/>
    <w:rsid w:val="00B20624"/>
    <w:rsid w:val="00B21F2F"/>
    <w:rsid w:val="00B23436"/>
    <w:rsid w:val="00B237F1"/>
    <w:rsid w:val="00B23F10"/>
    <w:rsid w:val="00B24328"/>
    <w:rsid w:val="00B24ED4"/>
    <w:rsid w:val="00B24F33"/>
    <w:rsid w:val="00B26354"/>
    <w:rsid w:val="00B26CA0"/>
    <w:rsid w:val="00B270D4"/>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E41"/>
    <w:rsid w:val="00B72076"/>
    <w:rsid w:val="00B72303"/>
    <w:rsid w:val="00B727A9"/>
    <w:rsid w:val="00B72C72"/>
    <w:rsid w:val="00B72ED9"/>
    <w:rsid w:val="00B731E4"/>
    <w:rsid w:val="00B751CE"/>
    <w:rsid w:val="00B75A8B"/>
    <w:rsid w:val="00B75B61"/>
    <w:rsid w:val="00B76796"/>
    <w:rsid w:val="00B771E0"/>
    <w:rsid w:val="00B7793B"/>
    <w:rsid w:val="00B77EE7"/>
    <w:rsid w:val="00B80AE2"/>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3C5E"/>
    <w:rsid w:val="00C05C6D"/>
    <w:rsid w:val="00C072D7"/>
    <w:rsid w:val="00C10302"/>
    <w:rsid w:val="00C104DB"/>
    <w:rsid w:val="00C10A22"/>
    <w:rsid w:val="00C10F5B"/>
    <w:rsid w:val="00C1122B"/>
    <w:rsid w:val="00C11FA0"/>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804"/>
    <w:rsid w:val="00C31DDC"/>
    <w:rsid w:val="00C3223A"/>
    <w:rsid w:val="00C34168"/>
    <w:rsid w:val="00C34247"/>
    <w:rsid w:val="00C34326"/>
    <w:rsid w:val="00C344F7"/>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F5C"/>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06F1"/>
    <w:rsid w:val="00CB1B18"/>
    <w:rsid w:val="00CB20DC"/>
    <w:rsid w:val="00CB23DC"/>
    <w:rsid w:val="00CB2487"/>
    <w:rsid w:val="00CB28E2"/>
    <w:rsid w:val="00CB2F20"/>
    <w:rsid w:val="00CB30B2"/>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8CA"/>
    <w:rsid w:val="00CD76F8"/>
    <w:rsid w:val="00CD78A5"/>
    <w:rsid w:val="00CE02E8"/>
    <w:rsid w:val="00CE069E"/>
    <w:rsid w:val="00CE0DE0"/>
    <w:rsid w:val="00CE2CC2"/>
    <w:rsid w:val="00CE3722"/>
    <w:rsid w:val="00CF158D"/>
    <w:rsid w:val="00CF2166"/>
    <w:rsid w:val="00CF4340"/>
    <w:rsid w:val="00CF4394"/>
    <w:rsid w:val="00CF45CB"/>
    <w:rsid w:val="00CF48B4"/>
    <w:rsid w:val="00CF5C12"/>
    <w:rsid w:val="00CF631E"/>
    <w:rsid w:val="00CF7B72"/>
    <w:rsid w:val="00D000A9"/>
    <w:rsid w:val="00D00384"/>
    <w:rsid w:val="00D005DB"/>
    <w:rsid w:val="00D0064E"/>
    <w:rsid w:val="00D00981"/>
    <w:rsid w:val="00D01DB2"/>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69E6"/>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2A4"/>
    <w:rsid w:val="00D6471A"/>
    <w:rsid w:val="00D67FD7"/>
    <w:rsid w:val="00D70301"/>
    <w:rsid w:val="00D704E4"/>
    <w:rsid w:val="00D72410"/>
    <w:rsid w:val="00D73D53"/>
    <w:rsid w:val="00D7402C"/>
    <w:rsid w:val="00D7408A"/>
    <w:rsid w:val="00D74261"/>
    <w:rsid w:val="00D7441B"/>
    <w:rsid w:val="00D750DB"/>
    <w:rsid w:val="00D75589"/>
    <w:rsid w:val="00D76AB2"/>
    <w:rsid w:val="00D80490"/>
    <w:rsid w:val="00D82078"/>
    <w:rsid w:val="00D820DF"/>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F21"/>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92E"/>
    <w:rsid w:val="00DC5B37"/>
    <w:rsid w:val="00DC6641"/>
    <w:rsid w:val="00DD286D"/>
    <w:rsid w:val="00DD2CAF"/>
    <w:rsid w:val="00DD3593"/>
    <w:rsid w:val="00DD64E0"/>
    <w:rsid w:val="00DD6FFA"/>
    <w:rsid w:val="00DD775C"/>
    <w:rsid w:val="00DD7BE0"/>
    <w:rsid w:val="00DE0C67"/>
    <w:rsid w:val="00DE3AAD"/>
    <w:rsid w:val="00DE598A"/>
    <w:rsid w:val="00DE6952"/>
    <w:rsid w:val="00DE6FBE"/>
    <w:rsid w:val="00DE7A7D"/>
    <w:rsid w:val="00DE7E74"/>
    <w:rsid w:val="00DF071B"/>
    <w:rsid w:val="00DF29D8"/>
    <w:rsid w:val="00DF5C84"/>
    <w:rsid w:val="00DF5EC0"/>
    <w:rsid w:val="00DF6EF8"/>
    <w:rsid w:val="00DF6EFE"/>
    <w:rsid w:val="00E00A69"/>
    <w:rsid w:val="00E01407"/>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C6C"/>
    <w:rsid w:val="00E2421B"/>
    <w:rsid w:val="00E242AF"/>
    <w:rsid w:val="00E24849"/>
    <w:rsid w:val="00E2536E"/>
    <w:rsid w:val="00E2560B"/>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403"/>
    <w:rsid w:val="00E47B47"/>
    <w:rsid w:val="00E50BEB"/>
    <w:rsid w:val="00E53460"/>
    <w:rsid w:val="00E539E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6FF5"/>
    <w:rsid w:val="00EB04C6"/>
    <w:rsid w:val="00EB06A6"/>
    <w:rsid w:val="00EB1B27"/>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2C3"/>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1789"/>
    <w:rsid w:val="00F02F9F"/>
    <w:rsid w:val="00F03525"/>
    <w:rsid w:val="00F039A8"/>
    <w:rsid w:val="00F03E7A"/>
    <w:rsid w:val="00F0424D"/>
    <w:rsid w:val="00F04957"/>
    <w:rsid w:val="00F053F0"/>
    <w:rsid w:val="00F05807"/>
    <w:rsid w:val="00F06451"/>
    <w:rsid w:val="00F07052"/>
    <w:rsid w:val="00F0706C"/>
    <w:rsid w:val="00F07560"/>
    <w:rsid w:val="00F10F79"/>
    <w:rsid w:val="00F11EBE"/>
    <w:rsid w:val="00F12293"/>
    <w:rsid w:val="00F12BA8"/>
    <w:rsid w:val="00F12D7A"/>
    <w:rsid w:val="00F130D0"/>
    <w:rsid w:val="00F13AC6"/>
    <w:rsid w:val="00F13D45"/>
    <w:rsid w:val="00F14933"/>
    <w:rsid w:val="00F14DDB"/>
    <w:rsid w:val="00F1516A"/>
    <w:rsid w:val="00F15EE5"/>
    <w:rsid w:val="00F171F9"/>
    <w:rsid w:val="00F1737C"/>
    <w:rsid w:val="00F173AA"/>
    <w:rsid w:val="00F223C1"/>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3A4"/>
    <w:rsid w:val="00F54D8E"/>
    <w:rsid w:val="00F5580D"/>
    <w:rsid w:val="00F56EA1"/>
    <w:rsid w:val="00F606D5"/>
    <w:rsid w:val="00F611B3"/>
    <w:rsid w:val="00F6196E"/>
    <w:rsid w:val="00F61CCC"/>
    <w:rsid w:val="00F624DD"/>
    <w:rsid w:val="00F629C0"/>
    <w:rsid w:val="00F62F6A"/>
    <w:rsid w:val="00F63FC7"/>
    <w:rsid w:val="00F657D5"/>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48F"/>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4832"/>
    <w:rsid w:val="00FB593A"/>
    <w:rsid w:val="00FB6410"/>
    <w:rsid w:val="00FB6E82"/>
    <w:rsid w:val="00FB792E"/>
    <w:rsid w:val="00FB7CF0"/>
    <w:rsid w:val="00FB7ECC"/>
    <w:rsid w:val="00FC0042"/>
    <w:rsid w:val="00FC1E67"/>
    <w:rsid w:val="00FC2A13"/>
    <w:rsid w:val="00FC35CE"/>
    <w:rsid w:val="00FC4284"/>
    <w:rsid w:val="00FC4576"/>
    <w:rsid w:val="00FC5FF5"/>
    <w:rsid w:val="00FC6285"/>
    <w:rsid w:val="00FC72D7"/>
    <w:rsid w:val="00FC78FB"/>
    <w:rsid w:val="00FC7DBC"/>
    <w:rsid w:val="00FD076A"/>
    <w:rsid w:val="00FD0AA0"/>
    <w:rsid w:val="00FD1D5A"/>
    <w:rsid w:val="00FD5059"/>
    <w:rsid w:val="00FD554D"/>
    <w:rsid w:val="00FD59F8"/>
    <w:rsid w:val="00FD5BCC"/>
    <w:rsid w:val="00FD7B23"/>
    <w:rsid w:val="00FE1A52"/>
    <w:rsid w:val="00FE2A48"/>
    <w:rsid w:val="00FE2DEF"/>
    <w:rsid w:val="00FE323C"/>
    <w:rsid w:val="00FE3A27"/>
    <w:rsid w:val="00FE5D0A"/>
    <w:rsid w:val="00FE6469"/>
    <w:rsid w:val="00FE7C6D"/>
    <w:rsid w:val="00FF05D0"/>
    <w:rsid w:val="00FF06CE"/>
    <w:rsid w:val="00FF0DC2"/>
    <w:rsid w:val="00FF0FF7"/>
    <w:rsid w:val="00FF1022"/>
    <w:rsid w:val="00FF10A2"/>
    <w:rsid w:val="00FF12C3"/>
    <w:rsid w:val="00FF1438"/>
    <w:rsid w:val="00FF3A38"/>
    <w:rsid w:val="00FF3C25"/>
    <w:rsid w:val="00FF4129"/>
    <w:rsid w:val="00FF4372"/>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HTMLPreformatted">
    <w:name w:val="HTML Preformatted"/>
    <w:basedOn w:val="Normal"/>
    <w:link w:val="HTMLPreformattedChar"/>
    <w:uiPriority w:val="99"/>
    <w:unhideWhenUsed/>
    <w:rsid w:val="0034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3457B8"/>
    <w:rPr>
      <w:rFonts w:ascii="Courier New" w:hAnsi="Courier New" w:cs="Courier New"/>
      <w:color w:val="auto"/>
      <w:sz w:val="20"/>
    </w:rPr>
  </w:style>
  <w:style w:type="character" w:customStyle="1" w:styleId="HeaderChar">
    <w:name w:val="Header Char"/>
    <w:basedOn w:val="DefaultParagraphFont"/>
    <w:link w:val="Header"/>
    <w:uiPriority w:val="99"/>
    <w:locked/>
    <w:rsid w:val="00AC5C6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8460752">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2935812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52821187">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22155699">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5688046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9921-C9D4-4FDC-8729-77187EBF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2012-03-26T16:37:00Z</cp:lastPrinted>
  <dcterms:created xsi:type="dcterms:W3CDTF">2012-03-22T12:42:00Z</dcterms:created>
  <dcterms:modified xsi:type="dcterms:W3CDTF">2012-04-09T17:10:00Z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