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3C53E8">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E91DF4">
        <w:rPr>
          <w:caps/>
          <w:color w:val="000000" w:themeColor="text1"/>
        </w:rPr>
        <w:t xml:space="preserve"> </w:t>
      </w:r>
      <w:r w:rsidR="004216DA" w:rsidRPr="001F29F9">
        <w:rPr>
          <w:caps/>
          <w:color w:val="000000" w:themeColor="text1"/>
        </w:rPr>
        <w:t xml:space="preserve">     </w:t>
      </w:r>
      <w:r w:rsidR="00332DE3" w:rsidRPr="001F29F9">
        <w:rPr>
          <w:caps/>
          <w:color w:val="000000" w:themeColor="text1"/>
        </w:rPr>
        <w:t xml:space="preserve"> </w:t>
      </w:r>
      <w:r w:rsidR="004216DA" w:rsidRPr="001F29F9">
        <w:rPr>
          <w:caps/>
          <w:color w:val="000000" w:themeColor="text1"/>
        </w:rPr>
        <w:t xml:space="preserve">  </w:t>
      </w:r>
      <w:r w:rsidR="00367E5B">
        <w:rPr>
          <w:caps/>
          <w:color w:val="000000" w:themeColor="text1"/>
        </w:rPr>
        <w:tab/>
        <w:t xml:space="preserve">                             </w:t>
      </w:r>
      <w:r w:rsidRPr="001F29F9">
        <w:rPr>
          <w:caps/>
          <w:color w:val="000000" w:themeColor="text1"/>
        </w:rPr>
        <w:t>BRANCH OF SERVICE</w:t>
      </w:r>
      <w:r w:rsidRPr="00363209">
        <w:rPr>
          <w:caps/>
          <w:color w:val="000000" w:themeColor="text1"/>
        </w:rPr>
        <w:t xml:space="preserve">: </w:t>
      </w:r>
      <w:r w:rsidR="004C24C5" w:rsidRPr="00363209">
        <w:rPr>
          <w:caps/>
          <w:color w:val="000000" w:themeColor="text1"/>
        </w:rPr>
        <w:t xml:space="preserve"> </w:t>
      </w:r>
      <w:r w:rsidR="00363209" w:rsidRPr="00363209">
        <w:rPr>
          <w:caps/>
          <w:color w:val="000000" w:themeColor="text1"/>
        </w:rPr>
        <w:t>navy</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11</w:t>
      </w:r>
      <w:r w:rsidR="00363209">
        <w:rPr>
          <w:caps/>
          <w:color w:val="000000" w:themeColor="text1"/>
        </w:rPr>
        <w:t>00615</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E0346A" w:rsidRPr="001F29F9">
        <w:rPr>
          <w:color w:val="000000" w:themeColor="text1"/>
        </w:rPr>
        <w:t xml:space="preserve">                    </w:t>
      </w:r>
      <w:r w:rsidR="00DE3AAD" w:rsidRPr="001F29F9">
        <w:rPr>
          <w:color w:val="000000" w:themeColor="text1"/>
        </w:rPr>
        <w:t>SEPARATION DATE</w:t>
      </w:r>
      <w:r w:rsidR="00DE3AAD" w:rsidRPr="00A83CEF">
        <w:rPr>
          <w:color w:val="000000" w:themeColor="text1"/>
        </w:rPr>
        <w:t>:  200</w:t>
      </w:r>
      <w:r w:rsidR="00E41E56" w:rsidRPr="00A83CEF">
        <w:rPr>
          <w:color w:val="000000" w:themeColor="text1"/>
        </w:rPr>
        <w:t>9</w:t>
      </w:r>
      <w:r w:rsidR="008C0E32" w:rsidRPr="00A83CEF">
        <w:rPr>
          <w:color w:val="000000" w:themeColor="text1"/>
        </w:rPr>
        <w:t>030</w:t>
      </w:r>
      <w:r w:rsidR="00E41E56" w:rsidRPr="00A83CEF">
        <w:rPr>
          <w:color w:val="000000" w:themeColor="text1"/>
        </w:rPr>
        <w:t>6</w:t>
      </w:r>
    </w:p>
    <w:p w:rsidR="003B2143" w:rsidRPr="001F29F9" w:rsidRDefault="004F3639" w:rsidP="00BF0E94">
      <w:pPr>
        <w:tabs>
          <w:tab w:val="left" w:pos="288"/>
          <w:tab w:val="left" w:pos="5130"/>
        </w:tabs>
        <w:jc w:val="both"/>
        <w:rPr>
          <w:color w:val="000000" w:themeColor="text1"/>
        </w:rPr>
      </w:pPr>
      <w:r w:rsidRPr="001F29F9">
        <w:rPr>
          <w:caps/>
          <w:color w:val="000000" w:themeColor="text1"/>
        </w:rPr>
        <w:t>BOARD DATE:  201</w:t>
      </w:r>
      <w:r w:rsidR="00945FB2">
        <w:rPr>
          <w:caps/>
          <w:color w:val="000000" w:themeColor="text1"/>
        </w:rPr>
        <w:t>2</w:t>
      </w:r>
      <w:r w:rsidR="008722B6">
        <w:rPr>
          <w:caps/>
          <w:color w:val="000000" w:themeColor="text1"/>
        </w:rPr>
        <w:t>0329</w:t>
      </w:r>
    </w:p>
    <w:p w:rsidR="00F73FF8" w:rsidRPr="001F29F9" w:rsidRDefault="00F73FF8" w:rsidP="003C53E8">
      <w:pPr>
        <w:pBdr>
          <w:bottom w:val="single" w:sz="12" w:space="1" w:color="auto"/>
        </w:pBdr>
        <w:tabs>
          <w:tab w:val="left" w:pos="288"/>
          <w:tab w:val="left" w:pos="4752"/>
        </w:tabs>
        <w:jc w:val="both"/>
        <w:rPr>
          <w:color w:val="000000" w:themeColor="text1"/>
        </w:rPr>
      </w:pPr>
    </w:p>
    <w:p w:rsidR="00F571C3" w:rsidRDefault="00F571C3" w:rsidP="00F571C3">
      <w:pPr>
        <w:tabs>
          <w:tab w:val="left" w:pos="288"/>
          <w:tab w:val="left" w:pos="4752"/>
        </w:tabs>
        <w:jc w:val="both"/>
        <w:rPr>
          <w:color w:val="000000" w:themeColor="text1"/>
        </w:rPr>
      </w:pPr>
    </w:p>
    <w:p w:rsidR="0049482E" w:rsidRPr="001F29F9" w:rsidRDefault="00FB0E80" w:rsidP="0049482E">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46284A" w:rsidRPr="00E73B80">
        <w:rPr>
          <w:color w:val="auto"/>
          <w:szCs w:val="24"/>
        </w:rPr>
        <w:t xml:space="preserve">Reserve </w:t>
      </w:r>
      <w:r w:rsidR="00363209">
        <w:rPr>
          <w:color w:val="000000" w:themeColor="text1"/>
          <w:szCs w:val="24"/>
        </w:rPr>
        <w:t>HM</w:t>
      </w:r>
      <w:r w:rsidR="0070516F">
        <w:rPr>
          <w:color w:val="000000" w:themeColor="text1"/>
          <w:szCs w:val="24"/>
        </w:rPr>
        <w:t>2</w:t>
      </w:r>
      <w:r w:rsidR="00661BA2" w:rsidRPr="001F29F9">
        <w:rPr>
          <w:color w:val="000000" w:themeColor="text1"/>
          <w:szCs w:val="24"/>
        </w:rPr>
        <w:t>/E-</w:t>
      </w:r>
      <w:r w:rsidR="0070516F">
        <w:rPr>
          <w:color w:val="000000" w:themeColor="text1"/>
          <w:szCs w:val="24"/>
        </w:rPr>
        <w:t>5</w:t>
      </w:r>
      <w:r w:rsidR="00705C40" w:rsidRPr="001F29F9">
        <w:rPr>
          <w:color w:val="000000" w:themeColor="text1"/>
          <w:szCs w:val="24"/>
        </w:rPr>
        <w:t xml:space="preserve"> (</w:t>
      </w:r>
      <w:r w:rsidR="0070516F" w:rsidRPr="0070516F">
        <w:rPr>
          <w:color w:val="000000" w:themeColor="text1"/>
          <w:szCs w:val="24"/>
        </w:rPr>
        <w:t>HN/8404</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 xml:space="preserve">medically separated for </w:t>
      </w:r>
      <w:proofErr w:type="spellStart"/>
      <w:r w:rsidR="0070516F">
        <w:rPr>
          <w:color w:val="000000" w:themeColor="text1"/>
          <w:szCs w:val="24"/>
        </w:rPr>
        <w:t>discogenic</w:t>
      </w:r>
      <w:proofErr w:type="spellEnd"/>
      <w:r w:rsidR="0070516F">
        <w:rPr>
          <w:color w:val="000000" w:themeColor="text1"/>
          <w:szCs w:val="24"/>
        </w:rPr>
        <w:t xml:space="preserve"> low back pain</w:t>
      </w:r>
      <w:r w:rsidR="0049482E">
        <w:rPr>
          <w:color w:val="000000" w:themeColor="text1"/>
          <w:szCs w:val="24"/>
        </w:rPr>
        <w:t xml:space="preserve"> (LBP)</w:t>
      </w:r>
      <w:r w:rsidR="0070516F">
        <w:rPr>
          <w:color w:val="000000" w:themeColor="text1"/>
          <w:szCs w:val="24"/>
        </w:rPr>
        <w:t xml:space="preserve">.  </w:t>
      </w:r>
      <w:r w:rsidR="00537A25">
        <w:rPr>
          <w:color w:val="000000" w:themeColor="text1"/>
          <w:szCs w:val="24"/>
        </w:rPr>
        <w:t xml:space="preserve">He suffered an impact injury to the buttocks and lumbar spine in July 2008 that subsequently required </w:t>
      </w:r>
      <w:r w:rsidR="005546C8">
        <w:rPr>
          <w:color w:val="000000" w:themeColor="text1"/>
          <w:szCs w:val="24"/>
        </w:rPr>
        <w:t xml:space="preserve">an </w:t>
      </w:r>
      <w:proofErr w:type="spellStart"/>
      <w:r w:rsidR="00537A25">
        <w:rPr>
          <w:color w:val="000000" w:themeColor="text1"/>
          <w:szCs w:val="24"/>
        </w:rPr>
        <w:t>aeroevacuation</w:t>
      </w:r>
      <w:proofErr w:type="spellEnd"/>
      <w:r w:rsidR="00537A25">
        <w:rPr>
          <w:color w:val="000000" w:themeColor="text1"/>
          <w:szCs w:val="24"/>
        </w:rPr>
        <w:t xml:space="preserve">.  He was later diagnosed with lumbar spinal </w:t>
      </w:r>
      <w:proofErr w:type="spellStart"/>
      <w:r w:rsidR="00537A25">
        <w:rPr>
          <w:color w:val="000000" w:themeColor="text1"/>
          <w:szCs w:val="24"/>
        </w:rPr>
        <w:t>stenosis</w:t>
      </w:r>
      <w:proofErr w:type="spellEnd"/>
      <w:r w:rsidR="00537A25">
        <w:rPr>
          <w:color w:val="000000" w:themeColor="text1"/>
          <w:szCs w:val="24"/>
        </w:rPr>
        <w:t xml:space="preserve"> and left </w:t>
      </w:r>
      <w:proofErr w:type="spellStart"/>
      <w:r w:rsidR="00537A25" w:rsidRPr="0049482E">
        <w:rPr>
          <w:color w:val="000000" w:themeColor="text1"/>
          <w:szCs w:val="24"/>
        </w:rPr>
        <w:t>radiculopathy</w:t>
      </w:r>
      <w:proofErr w:type="spellEnd"/>
      <w:r w:rsidR="00537A25" w:rsidRPr="0049482E">
        <w:rPr>
          <w:color w:val="000000" w:themeColor="text1"/>
          <w:szCs w:val="24"/>
        </w:rPr>
        <w:t>.  He was treated conservatively and declined an epidural steroid injection</w:t>
      </w:r>
      <w:r w:rsidR="0019039B" w:rsidRPr="0049482E">
        <w:rPr>
          <w:color w:val="000000" w:themeColor="text1"/>
          <w:szCs w:val="24"/>
        </w:rPr>
        <w:t xml:space="preserve"> as a temporizing measure for pain relief.  He did not respond adequately to treatment and was unable to perform within his </w:t>
      </w:r>
      <w:r w:rsidR="002D28F2">
        <w:rPr>
          <w:color w:val="000000" w:themeColor="text1"/>
          <w:szCs w:val="24"/>
        </w:rPr>
        <w:t>r</w:t>
      </w:r>
      <w:r w:rsidR="0019039B" w:rsidRPr="0049482E">
        <w:rPr>
          <w:color w:val="000000" w:themeColor="text1"/>
          <w:szCs w:val="24"/>
        </w:rPr>
        <w:t xml:space="preserve">ating or meet physical fitness standards.  He was placed on </w:t>
      </w:r>
      <w:r w:rsidR="0019039B" w:rsidRPr="00A83CEF">
        <w:rPr>
          <w:color w:val="000000" w:themeColor="text1"/>
          <w:szCs w:val="24"/>
        </w:rPr>
        <w:t>restricted</w:t>
      </w:r>
      <w:r w:rsidR="0019039B" w:rsidRPr="0049482E">
        <w:rPr>
          <w:color w:val="000000" w:themeColor="text1"/>
          <w:szCs w:val="24"/>
        </w:rPr>
        <w:t xml:space="preserve"> duty and underwent a Medical Evaluation Board (MEB).</w:t>
      </w:r>
      <w:r w:rsidR="0049482E" w:rsidRPr="0049482E">
        <w:rPr>
          <w:color w:val="000000" w:themeColor="text1"/>
          <w:szCs w:val="24"/>
        </w:rPr>
        <w:t xml:space="preserve">  </w:t>
      </w:r>
      <w:r w:rsidR="0019039B" w:rsidRPr="0049482E">
        <w:rPr>
          <w:color w:val="000000" w:themeColor="text1"/>
          <w:szCs w:val="24"/>
        </w:rPr>
        <w:t xml:space="preserve">“Lumbago; other and unspecified disc disorder of lumbar region and thoracic or </w:t>
      </w:r>
      <w:proofErr w:type="spellStart"/>
      <w:r w:rsidR="0049482E" w:rsidRPr="0049482E">
        <w:rPr>
          <w:color w:val="000000" w:themeColor="text1"/>
          <w:szCs w:val="24"/>
        </w:rPr>
        <w:t>l</w:t>
      </w:r>
      <w:r w:rsidR="0019039B" w:rsidRPr="0049482E">
        <w:rPr>
          <w:color w:val="000000" w:themeColor="text1"/>
          <w:szCs w:val="24"/>
        </w:rPr>
        <w:t>umbosacral</w:t>
      </w:r>
      <w:proofErr w:type="spellEnd"/>
      <w:r w:rsidR="0019039B" w:rsidRPr="0049482E">
        <w:rPr>
          <w:color w:val="000000" w:themeColor="text1"/>
          <w:szCs w:val="24"/>
        </w:rPr>
        <w:t xml:space="preserve"> neuritis or </w:t>
      </w:r>
      <w:proofErr w:type="spellStart"/>
      <w:r w:rsidR="0019039B" w:rsidRPr="0049482E">
        <w:rPr>
          <w:color w:val="000000" w:themeColor="text1"/>
          <w:szCs w:val="24"/>
        </w:rPr>
        <w:t>radiculitis</w:t>
      </w:r>
      <w:proofErr w:type="spellEnd"/>
      <w:r w:rsidR="0019039B" w:rsidRPr="0049482E">
        <w:rPr>
          <w:color w:val="000000" w:themeColor="text1"/>
          <w:szCs w:val="24"/>
        </w:rPr>
        <w:t>, unspecified” were forwarded to the Physical Evaluation Board (PEB) as medically unacceptable IAW SECNAVINST 1850.4E</w:t>
      </w:r>
      <w:r w:rsidR="0049482E" w:rsidRPr="0049482E">
        <w:rPr>
          <w:color w:val="000000" w:themeColor="text1"/>
          <w:szCs w:val="24"/>
        </w:rPr>
        <w:t xml:space="preserve">. </w:t>
      </w:r>
      <w:r w:rsidR="0049482E">
        <w:rPr>
          <w:color w:val="000000" w:themeColor="text1"/>
          <w:szCs w:val="24"/>
        </w:rPr>
        <w:t xml:space="preserve"> </w:t>
      </w:r>
      <w:r w:rsidR="0049482E" w:rsidRPr="0049482E">
        <w:rPr>
          <w:color w:val="000000" w:themeColor="text1"/>
          <w:szCs w:val="24"/>
        </w:rPr>
        <w:t xml:space="preserve">No other conditions appeared on the MEB’s submission.  Other conditions included in the Disability Evaluation System (DES) packet will be discussed below. The PEB adjudicated the </w:t>
      </w:r>
      <w:proofErr w:type="spellStart"/>
      <w:r w:rsidR="0049482E" w:rsidRPr="0049482E">
        <w:rPr>
          <w:color w:val="000000" w:themeColor="text1"/>
          <w:szCs w:val="24"/>
        </w:rPr>
        <w:t>discogenic</w:t>
      </w:r>
      <w:proofErr w:type="spellEnd"/>
      <w:r w:rsidR="0049482E" w:rsidRPr="0049482E">
        <w:rPr>
          <w:color w:val="000000" w:themeColor="text1"/>
          <w:szCs w:val="24"/>
        </w:rPr>
        <w:t xml:space="preserve"> </w:t>
      </w:r>
      <w:r w:rsidR="002D28F2">
        <w:rPr>
          <w:color w:val="000000" w:themeColor="text1"/>
          <w:szCs w:val="24"/>
        </w:rPr>
        <w:t>lower back pain (</w:t>
      </w:r>
      <w:r w:rsidR="0049482E" w:rsidRPr="0049482E">
        <w:rPr>
          <w:color w:val="000000" w:themeColor="text1"/>
          <w:szCs w:val="24"/>
        </w:rPr>
        <w:t>LBP</w:t>
      </w:r>
      <w:r w:rsidR="002D28F2">
        <w:rPr>
          <w:color w:val="000000" w:themeColor="text1"/>
          <w:szCs w:val="24"/>
        </w:rPr>
        <w:t>)</w:t>
      </w:r>
      <w:r w:rsidR="0049482E" w:rsidRPr="0049482E">
        <w:rPr>
          <w:color w:val="000000" w:themeColor="text1"/>
          <w:szCs w:val="24"/>
        </w:rPr>
        <w:t xml:space="preserve"> condition as unfitting, rated 10%;</w:t>
      </w:r>
      <w:r w:rsidR="0049482E">
        <w:rPr>
          <w:color w:val="000000" w:themeColor="text1"/>
          <w:szCs w:val="24"/>
        </w:rPr>
        <w:t xml:space="preserve"> </w:t>
      </w:r>
      <w:r w:rsidR="0049482E" w:rsidRPr="0049482E">
        <w:rPr>
          <w:color w:val="000000" w:themeColor="text1"/>
          <w:szCs w:val="24"/>
        </w:rPr>
        <w:t xml:space="preserve">additionally possible left lower extremity </w:t>
      </w:r>
      <w:proofErr w:type="spellStart"/>
      <w:r w:rsidR="0049482E" w:rsidRPr="0049482E">
        <w:rPr>
          <w:color w:val="000000" w:themeColor="text1"/>
          <w:szCs w:val="24"/>
        </w:rPr>
        <w:t>radiculopathy</w:t>
      </w:r>
      <w:proofErr w:type="spellEnd"/>
      <w:r w:rsidR="0049482E" w:rsidRPr="0049482E">
        <w:rPr>
          <w:color w:val="000000" w:themeColor="text1"/>
          <w:szCs w:val="24"/>
        </w:rPr>
        <w:t xml:space="preserve"> and annular tear at L4/5 and L5/S1 conditions were rated </w:t>
      </w:r>
      <w:r w:rsidR="002D28F2">
        <w:rPr>
          <w:color w:val="000000" w:themeColor="text1"/>
          <w:szCs w:val="24"/>
        </w:rPr>
        <w:t>c</w:t>
      </w:r>
      <w:r w:rsidR="0049482E" w:rsidRPr="0049482E">
        <w:rPr>
          <w:color w:val="000000" w:themeColor="text1"/>
          <w:szCs w:val="24"/>
        </w:rPr>
        <w:t>at</w:t>
      </w:r>
      <w:r w:rsidR="00C261E9">
        <w:rPr>
          <w:color w:val="000000" w:themeColor="text1"/>
          <w:szCs w:val="24"/>
        </w:rPr>
        <w:t>egory</w:t>
      </w:r>
      <w:r w:rsidR="0049482E" w:rsidRPr="0049482E">
        <w:rPr>
          <w:color w:val="000000" w:themeColor="text1"/>
          <w:szCs w:val="24"/>
        </w:rPr>
        <w:t xml:space="preserve"> II, (contributing to the unfitting condition) with application of the Veterans Administration Schedule for Rating Disabilities (VASRD).</w:t>
      </w:r>
      <w:r w:rsidR="0049482E" w:rsidRPr="0049482E">
        <w:rPr>
          <w:color w:val="000000" w:themeColor="text1"/>
        </w:rPr>
        <w:t xml:space="preserve"> </w:t>
      </w:r>
      <w:r w:rsidR="0049482E">
        <w:rPr>
          <w:color w:val="000000" w:themeColor="text1"/>
        </w:rPr>
        <w:t xml:space="preserve"> </w:t>
      </w:r>
      <w:r w:rsidR="0049482E" w:rsidRPr="0049482E">
        <w:rPr>
          <w:color w:val="000000" w:themeColor="text1"/>
        </w:rPr>
        <w:t xml:space="preserve">The CI made no appeals, and was medically separated </w:t>
      </w:r>
      <w:r w:rsidR="0049482E" w:rsidRPr="00A83CEF">
        <w:rPr>
          <w:color w:val="000000" w:themeColor="text1"/>
        </w:rPr>
        <w:t>with a 10% combined</w:t>
      </w:r>
      <w:r w:rsidR="0049482E" w:rsidRPr="0049482E">
        <w:rPr>
          <w:color w:val="000000" w:themeColor="text1"/>
        </w:rPr>
        <w:t xml:space="preserve"> disability rating.</w:t>
      </w:r>
      <w:r w:rsidR="00A83CEF">
        <w:rPr>
          <w:color w:val="000000" w:themeColor="text1"/>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70516F" w:rsidRPr="001F29F9" w:rsidRDefault="002C6E5B" w:rsidP="0070516F">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70516F" w:rsidRPr="0070516F">
        <w:t xml:space="preserve"> </w:t>
      </w:r>
      <w:r w:rsidR="0070516F">
        <w:t xml:space="preserve"> </w:t>
      </w:r>
      <w:r w:rsidR="0070516F" w:rsidRPr="0070516F">
        <w:rPr>
          <w:color w:val="auto"/>
        </w:rPr>
        <w:t>The CI states:</w:t>
      </w:r>
      <w:r w:rsidR="0070516F">
        <w:t xml:space="preserve">  </w:t>
      </w:r>
      <w:r w:rsidR="0070516F" w:rsidRPr="0070516F">
        <w:rPr>
          <w:color w:val="000000" w:themeColor="text1"/>
        </w:rPr>
        <w:t>“I had put in almost 15 years in t</w:t>
      </w:r>
      <w:r w:rsidR="00252F6B">
        <w:rPr>
          <w:color w:val="000000" w:themeColor="text1"/>
        </w:rPr>
        <w:t xml:space="preserve">he US Navy and Naval Reserve.  </w:t>
      </w:r>
      <w:r w:rsidR="0070516F" w:rsidRPr="0070516F">
        <w:rPr>
          <w:color w:val="000000" w:themeColor="text1"/>
        </w:rPr>
        <w:t xml:space="preserve">I was injured while on active duty for training and have to have a Medical Board determination to find me fit or unfit for duty.  I believe that I should have been given a Medical Retirement based on my time in service, due to the injury being while on active duty and the Department Of Defense having to do </w:t>
      </w:r>
      <w:proofErr w:type="gramStart"/>
      <w:r w:rsidR="0070516F" w:rsidRPr="0070516F">
        <w:rPr>
          <w:color w:val="000000" w:themeColor="text1"/>
        </w:rPr>
        <w:t>a</w:t>
      </w:r>
      <w:proofErr w:type="gramEnd"/>
      <w:r w:rsidR="0070516F" w:rsidRPr="0070516F">
        <w:rPr>
          <w:color w:val="000000" w:themeColor="text1"/>
        </w:rPr>
        <w:t xml:space="preserve"> evaluation board while on active duty</w:t>
      </w:r>
      <w:r w:rsidR="0070516F">
        <w:rPr>
          <w:color w:val="000000" w:themeColor="text1"/>
        </w:rPr>
        <w:t>”</w:t>
      </w:r>
      <w:r w:rsidR="0070516F" w:rsidRPr="0070516F">
        <w:rPr>
          <w:color w:val="000000" w:themeColor="text1"/>
        </w:rPr>
        <w:t>.</w:t>
      </w:r>
      <w:r w:rsidR="0070516F">
        <w:rPr>
          <w:color w:val="000000" w:themeColor="text1"/>
        </w:rPr>
        <w:t xml:space="preserve">  </w:t>
      </w:r>
      <w:r w:rsidR="0070516F" w:rsidRPr="001F29F9">
        <w:rPr>
          <w:rFonts w:eastAsiaTheme="minorHAnsi"/>
          <w:color w:val="000000" w:themeColor="text1"/>
          <w:szCs w:val="24"/>
        </w:rPr>
        <w:t>He elaborates no specific contentions regarding rating or coding and mentions no additionally contended conditions.</w:t>
      </w:r>
      <w:r w:rsidR="00367E5B">
        <w:rPr>
          <w:rFonts w:eastAsiaTheme="minorHAnsi"/>
          <w:color w:val="000000" w:themeColor="text1"/>
          <w:szCs w:val="24"/>
        </w:rPr>
        <w:t xml:space="preserve">  </w:t>
      </w:r>
    </w:p>
    <w:p w:rsidR="00363209" w:rsidRDefault="00363209" w:rsidP="00BF0E94">
      <w:pPr>
        <w:pBdr>
          <w:bottom w:val="single" w:sz="12" w:space="1" w:color="auto"/>
        </w:pBdr>
        <w:tabs>
          <w:tab w:val="left" w:pos="288"/>
          <w:tab w:val="left" w:pos="4752"/>
        </w:tabs>
        <w:jc w:val="both"/>
        <w:rPr>
          <w:color w:val="000000" w:themeColor="text1"/>
        </w:rPr>
      </w:pPr>
    </w:p>
    <w:p w:rsidR="0049482E" w:rsidRDefault="0049482E" w:rsidP="00363209">
      <w:pPr>
        <w:tabs>
          <w:tab w:val="left" w:pos="288"/>
          <w:tab w:val="left" w:pos="4752"/>
          <w:tab w:val="left" w:pos="5130"/>
          <w:tab w:val="left" w:pos="9270"/>
        </w:tabs>
        <w:jc w:val="both"/>
        <w:rPr>
          <w:b/>
          <w:caps/>
          <w:color w:val="auto"/>
        </w:rPr>
      </w:pPr>
    </w:p>
    <w:p w:rsidR="001537D8" w:rsidRPr="00367E5B" w:rsidRDefault="007F0AB7" w:rsidP="00BF0E94">
      <w:pPr>
        <w:jc w:val="left"/>
        <w:rPr>
          <w:color w:val="auto"/>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r w:rsidR="00A83CEF">
        <w:rPr>
          <w:color w:val="000000" w:themeColor="text1"/>
        </w:rPr>
        <w:t xml:space="preserve">  </w:t>
      </w:r>
    </w:p>
    <w:p w:rsidR="002151AB" w:rsidRPr="00367E5B" w:rsidRDefault="002151AB" w:rsidP="00FE7C22">
      <w:pPr>
        <w:jc w:val="both"/>
        <w:rPr>
          <w:color w:val="auto"/>
          <w:sz w:val="20"/>
        </w:rPr>
      </w:pPr>
    </w:p>
    <w:tbl>
      <w:tblPr>
        <w:tblStyle w:val="TableGrid"/>
        <w:tblW w:w="9378" w:type="dxa"/>
        <w:jc w:val="center"/>
        <w:tblLayout w:type="fixed"/>
        <w:tblLook w:val="04A0"/>
      </w:tblPr>
      <w:tblGrid>
        <w:gridCol w:w="2176"/>
        <w:gridCol w:w="1080"/>
        <w:gridCol w:w="900"/>
        <w:gridCol w:w="2321"/>
        <w:gridCol w:w="1080"/>
        <w:gridCol w:w="828"/>
        <w:gridCol w:w="993"/>
      </w:tblGrid>
      <w:tr w:rsidR="002B4E22" w:rsidRPr="00367E5B" w:rsidTr="00AC2E88">
        <w:trPr>
          <w:trHeight w:val="170"/>
          <w:jc w:val="center"/>
        </w:trPr>
        <w:tc>
          <w:tcPr>
            <w:tcW w:w="4156" w:type="dxa"/>
            <w:gridSpan w:val="3"/>
            <w:tcBorders>
              <w:right w:val="thinThickThinSmallGap" w:sz="24" w:space="0" w:color="auto"/>
            </w:tcBorders>
            <w:shd w:val="clear" w:color="auto" w:fill="D9D9D9" w:themeFill="background1" w:themeFillShade="D9"/>
          </w:tcPr>
          <w:p w:rsidR="002B4E22" w:rsidRPr="00367E5B" w:rsidRDefault="00B731E4" w:rsidP="00AC2E88">
            <w:pPr>
              <w:spacing w:line="200" w:lineRule="exact"/>
              <w:contextualSpacing/>
              <w:rPr>
                <w:rFonts w:ascii="Calibri" w:hAnsi="Calibri" w:cs="Calibri"/>
                <w:b/>
                <w:color w:val="auto"/>
                <w:sz w:val="18"/>
                <w:szCs w:val="18"/>
              </w:rPr>
            </w:pPr>
            <w:r w:rsidRPr="00367E5B">
              <w:rPr>
                <w:rFonts w:ascii="Calibri" w:hAnsi="Calibri" w:cs="Calibri"/>
                <w:b/>
                <w:color w:val="auto"/>
                <w:sz w:val="18"/>
                <w:szCs w:val="18"/>
              </w:rPr>
              <w:t>Service PEB – Dated 200</w:t>
            </w:r>
            <w:r w:rsidR="00AC6F73" w:rsidRPr="00367E5B">
              <w:rPr>
                <w:rFonts w:ascii="Calibri" w:hAnsi="Calibri" w:cs="Calibri"/>
                <w:b/>
                <w:color w:val="auto"/>
                <w:sz w:val="18"/>
                <w:szCs w:val="18"/>
              </w:rPr>
              <w:t>90126</w:t>
            </w:r>
          </w:p>
        </w:tc>
        <w:tc>
          <w:tcPr>
            <w:tcW w:w="5222" w:type="dxa"/>
            <w:gridSpan w:val="4"/>
            <w:tcBorders>
              <w:left w:val="thinThickThinSmallGap" w:sz="24" w:space="0" w:color="auto"/>
            </w:tcBorders>
            <w:shd w:val="clear" w:color="auto" w:fill="D9D9D9" w:themeFill="background1" w:themeFillShade="D9"/>
          </w:tcPr>
          <w:p w:rsidR="002B4E22" w:rsidRPr="00367E5B" w:rsidRDefault="002B4E22" w:rsidP="00AC2E88">
            <w:pPr>
              <w:spacing w:line="200" w:lineRule="exact"/>
              <w:contextualSpacing/>
              <w:rPr>
                <w:rFonts w:ascii="Calibri" w:hAnsi="Calibri" w:cs="Calibri"/>
                <w:b/>
                <w:color w:val="auto"/>
                <w:sz w:val="18"/>
                <w:szCs w:val="18"/>
              </w:rPr>
            </w:pPr>
            <w:r w:rsidRPr="00367E5B">
              <w:rPr>
                <w:rFonts w:ascii="Calibri" w:hAnsi="Calibri" w:cs="Calibri"/>
                <w:b/>
                <w:color w:val="auto"/>
                <w:sz w:val="18"/>
                <w:szCs w:val="18"/>
              </w:rPr>
              <w:t>VA (</w:t>
            </w:r>
            <w:r w:rsidR="00177FBB" w:rsidRPr="00367E5B">
              <w:rPr>
                <w:rFonts w:ascii="Calibri" w:hAnsi="Calibri" w:cs="Calibri"/>
                <w:b/>
                <w:color w:val="auto"/>
                <w:sz w:val="18"/>
                <w:szCs w:val="18"/>
              </w:rPr>
              <w:t>1</w:t>
            </w:r>
            <w:r w:rsidR="00A933DF" w:rsidRPr="00367E5B">
              <w:rPr>
                <w:rFonts w:ascii="Calibri" w:hAnsi="Calibri" w:cs="Calibri"/>
                <w:b/>
                <w:color w:val="auto"/>
                <w:sz w:val="18"/>
                <w:szCs w:val="18"/>
              </w:rPr>
              <w:t>1</w:t>
            </w:r>
            <w:r w:rsidR="0079154B" w:rsidRPr="00367E5B">
              <w:rPr>
                <w:rFonts w:ascii="Calibri" w:hAnsi="Calibri" w:cs="Calibri"/>
                <w:b/>
                <w:color w:val="auto"/>
                <w:sz w:val="18"/>
                <w:szCs w:val="18"/>
              </w:rPr>
              <w:t xml:space="preserve"> </w:t>
            </w:r>
            <w:r w:rsidRPr="00367E5B">
              <w:rPr>
                <w:rFonts w:ascii="Calibri" w:hAnsi="Calibri" w:cs="Calibri"/>
                <w:b/>
                <w:color w:val="auto"/>
                <w:sz w:val="18"/>
                <w:szCs w:val="18"/>
              </w:rPr>
              <w:t>Mo</w:t>
            </w:r>
            <w:r w:rsidR="00177FBB" w:rsidRPr="00367E5B">
              <w:rPr>
                <w:rFonts w:ascii="Calibri" w:hAnsi="Calibri" w:cs="Calibri"/>
                <w:b/>
                <w:color w:val="auto"/>
                <w:sz w:val="18"/>
                <w:szCs w:val="18"/>
              </w:rPr>
              <w:t>s</w:t>
            </w:r>
            <w:r w:rsidRPr="00367E5B">
              <w:rPr>
                <w:rFonts w:ascii="Calibri" w:hAnsi="Calibri" w:cs="Calibri"/>
                <w:b/>
                <w:color w:val="auto"/>
                <w:sz w:val="18"/>
                <w:szCs w:val="18"/>
              </w:rPr>
              <w:t xml:space="preserve">. After Separation) – All Effective </w:t>
            </w:r>
            <w:r w:rsidR="00AC6F73" w:rsidRPr="00367E5B">
              <w:rPr>
                <w:rFonts w:ascii="Calibri" w:hAnsi="Calibri" w:cs="Calibri"/>
                <w:b/>
                <w:color w:val="auto"/>
                <w:sz w:val="18"/>
                <w:szCs w:val="18"/>
              </w:rPr>
              <w:t>20080804</w:t>
            </w:r>
          </w:p>
        </w:tc>
      </w:tr>
      <w:tr w:rsidR="002B4E22" w:rsidRPr="00367E5B" w:rsidTr="00AC2E88">
        <w:trPr>
          <w:trHeight w:val="97"/>
          <w:jc w:val="center"/>
        </w:trPr>
        <w:tc>
          <w:tcPr>
            <w:tcW w:w="2176" w:type="dxa"/>
            <w:tcBorders>
              <w:bottom w:val="single" w:sz="4" w:space="0" w:color="000000" w:themeColor="text1"/>
              <w:right w:val="single" w:sz="4" w:space="0" w:color="auto"/>
            </w:tcBorders>
            <w:shd w:val="clear" w:color="auto" w:fill="D9D9D9" w:themeFill="background1" w:themeFillShade="D9"/>
          </w:tcPr>
          <w:p w:rsidR="002B4E22" w:rsidRPr="00367E5B" w:rsidRDefault="002B4E22" w:rsidP="00AC2E88">
            <w:pPr>
              <w:spacing w:line="200" w:lineRule="exact"/>
              <w:contextualSpacing/>
              <w:rPr>
                <w:rFonts w:ascii="Calibri" w:hAnsi="Calibri" w:cs="Calibri"/>
                <w:b/>
                <w:color w:val="auto"/>
                <w:sz w:val="18"/>
                <w:szCs w:val="18"/>
              </w:rPr>
            </w:pPr>
            <w:r w:rsidRPr="00367E5B">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tcPr>
          <w:p w:rsidR="002B4E22" w:rsidRPr="00367E5B" w:rsidRDefault="002B4E22" w:rsidP="00AC2E88">
            <w:pPr>
              <w:spacing w:line="200" w:lineRule="exact"/>
              <w:contextualSpacing/>
              <w:rPr>
                <w:rFonts w:ascii="Calibri" w:hAnsi="Calibri" w:cs="Calibri"/>
                <w:b/>
                <w:color w:val="auto"/>
                <w:sz w:val="18"/>
                <w:szCs w:val="18"/>
              </w:rPr>
            </w:pPr>
            <w:r w:rsidRPr="00367E5B">
              <w:rPr>
                <w:rFonts w:ascii="Calibri" w:hAnsi="Calibri"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tcPr>
          <w:p w:rsidR="002B4E22" w:rsidRPr="00367E5B" w:rsidRDefault="002B4E22" w:rsidP="00AC2E88">
            <w:pPr>
              <w:spacing w:line="200" w:lineRule="exact"/>
              <w:contextualSpacing/>
              <w:rPr>
                <w:rFonts w:ascii="Calibri" w:hAnsi="Calibri" w:cs="Calibri"/>
                <w:b/>
                <w:color w:val="auto"/>
                <w:sz w:val="18"/>
                <w:szCs w:val="18"/>
              </w:rPr>
            </w:pPr>
            <w:r w:rsidRPr="00367E5B">
              <w:rPr>
                <w:rFonts w:ascii="Calibri" w:hAnsi="Calibri" w:cs="Calibri"/>
                <w:b/>
                <w:color w:val="auto"/>
                <w:sz w:val="18"/>
                <w:szCs w:val="18"/>
              </w:rPr>
              <w:t>Rating</w:t>
            </w:r>
          </w:p>
        </w:tc>
        <w:tc>
          <w:tcPr>
            <w:tcW w:w="2321" w:type="dxa"/>
            <w:tcBorders>
              <w:left w:val="thinThickThinSmallGap" w:sz="24" w:space="0" w:color="auto"/>
              <w:bottom w:val="single" w:sz="4" w:space="0" w:color="000000" w:themeColor="text1"/>
            </w:tcBorders>
            <w:shd w:val="clear" w:color="auto" w:fill="D9D9D9" w:themeFill="background1" w:themeFillShade="D9"/>
          </w:tcPr>
          <w:p w:rsidR="002B4E22" w:rsidRPr="00367E5B" w:rsidRDefault="002B4E22" w:rsidP="00AC2E88">
            <w:pPr>
              <w:spacing w:line="200" w:lineRule="exact"/>
              <w:contextualSpacing/>
              <w:rPr>
                <w:rFonts w:ascii="Calibri" w:hAnsi="Calibri" w:cs="Calibri"/>
                <w:b/>
                <w:color w:val="auto"/>
                <w:sz w:val="18"/>
                <w:szCs w:val="18"/>
              </w:rPr>
            </w:pPr>
            <w:r w:rsidRPr="00367E5B">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tcPr>
          <w:p w:rsidR="002B4E22" w:rsidRPr="00367E5B" w:rsidRDefault="002B4E22" w:rsidP="00AC2E88">
            <w:pPr>
              <w:spacing w:line="200" w:lineRule="exact"/>
              <w:contextualSpacing/>
              <w:rPr>
                <w:rFonts w:ascii="Calibri" w:hAnsi="Calibri" w:cs="Calibri"/>
                <w:b/>
                <w:color w:val="auto"/>
                <w:sz w:val="18"/>
                <w:szCs w:val="18"/>
              </w:rPr>
            </w:pPr>
            <w:r w:rsidRPr="00367E5B">
              <w:rPr>
                <w:rFonts w:ascii="Calibri" w:hAnsi="Calibri" w:cs="Calibri"/>
                <w:b/>
                <w:color w:val="auto"/>
                <w:sz w:val="18"/>
                <w:szCs w:val="18"/>
              </w:rPr>
              <w:t>Code</w:t>
            </w:r>
          </w:p>
        </w:tc>
        <w:tc>
          <w:tcPr>
            <w:tcW w:w="828" w:type="dxa"/>
            <w:tcBorders>
              <w:bottom w:val="single" w:sz="4" w:space="0" w:color="000000" w:themeColor="text1"/>
            </w:tcBorders>
            <w:shd w:val="clear" w:color="auto" w:fill="D9D9D9" w:themeFill="background1" w:themeFillShade="D9"/>
          </w:tcPr>
          <w:p w:rsidR="002B4E22" w:rsidRPr="00367E5B" w:rsidRDefault="002B4E22" w:rsidP="00AC2E88">
            <w:pPr>
              <w:spacing w:line="200" w:lineRule="exact"/>
              <w:contextualSpacing/>
              <w:rPr>
                <w:rFonts w:ascii="Calibri" w:hAnsi="Calibri" w:cs="Calibri"/>
                <w:b/>
                <w:color w:val="auto"/>
                <w:sz w:val="18"/>
                <w:szCs w:val="18"/>
              </w:rPr>
            </w:pPr>
            <w:r w:rsidRPr="00367E5B">
              <w:rPr>
                <w:rFonts w:ascii="Calibri" w:hAnsi="Calibri" w:cs="Calibri"/>
                <w:b/>
                <w:color w:val="auto"/>
                <w:sz w:val="18"/>
                <w:szCs w:val="18"/>
              </w:rPr>
              <w:t>Rating</w:t>
            </w:r>
          </w:p>
        </w:tc>
        <w:tc>
          <w:tcPr>
            <w:tcW w:w="993" w:type="dxa"/>
            <w:tcBorders>
              <w:bottom w:val="single" w:sz="4" w:space="0" w:color="000000" w:themeColor="text1"/>
            </w:tcBorders>
            <w:shd w:val="clear" w:color="auto" w:fill="D9D9D9" w:themeFill="background1" w:themeFillShade="D9"/>
          </w:tcPr>
          <w:p w:rsidR="002B4E22" w:rsidRPr="00367E5B" w:rsidRDefault="002B4E22" w:rsidP="00AC2E88">
            <w:pPr>
              <w:spacing w:line="200" w:lineRule="exact"/>
              <w:contextualSpacing/>
              <w:rPr>
                <w:rFonts w:ascii="Calibri" w:hAnsi="Calibri" w:cs="Calibri"/>
                <w:b/>
                <w:color w:val="auto"/>
                <w:sz w:val="18"/>
                <w:szCs w:val="18"/>
              </w:rPr>
            </w:pPr>
            <w:r w:rsidRPr="00367E5B">
              <w:rPr>
                <w:rFonts w:ascii="Calibri" w:hAnsi="Calibri" w:cs="Calibri"/>
                <w:b/>
                <w:color w:val="auto"/>
                <w:sz w:val="18"/>
                <w:szCs w:val="18"/>
              </w:rPr>
              <w:t>Exam</w:t>
            </w:r>
          </w:p>
        </w:tc>
      </w:tr>
      <w:tr w:rsidR="008C0E32" w:rsidRPr="00367E5B" w:rsidTr="00252F6B">
        <w:trPr>
          <w:trHeight w:val="115"/>
          <w:jc w:val="center"/>
        </w:trPr>
        <w:tc>
          <w:tcPr>
            <w:tcW w:w="2176" w:type="dxa"/>
            <w:tcBorders>
              <w:right w:val="single" w:sz="4" w:space="0" w:color="auto"/>
            </w:tcBorders>
            <w:shd w:val="clear" w:color="auto" w:fill="FFFFFF" w:themeFill="background1"/>
            <w:vAlign w:val="center"/>
          </w:tcPr>
          <w:p w:rsidR="008C0E32" w:rsidRPr="00367E5B" w:rsidRDefault="008C0E32" w:rsidP="00252F6B">
            <w:pPr>
              <w:spacing w:line="200" w:lineRule="exact"/>
              <w:contextualSpacing/>
              <w:jc w:val="left"/>
              <w:rPr>
                <w:rFonts w:ascii="Calibri" w:eastAsia="Times New Roman" w:hAnsi="Calibri" w:cs="Calibri"/>
                <w:color w:val="auto"/>
                <w:sz w:val="18"/>
                <w:szCs w:val="18"/>
              </w:rPr>
            </w:pPr>
            <w:proofErr w:type="spellStart"/>
            <w:r w:rsidRPr="00367E5B">
              <w:rPr>
                <w:rFonts w:ascii="Calibri" w:eastAsia="Times New Roman" w:hAnsi="Calibri" w:cs="Calibri"/>
                <w:color w:val="auto"/>
                <w:sz w:val="18"/>
                <w:szCs w:val="18"/>
              </w:rPr>
              <w:t>Discogenic</w:t>
            </w:r>
            <w:proofErr w:type="spellEnd"/>
            <w:r w:rsidRPr="00367E5B">
              <w:rPr>
                <w:rFonts w:ascii="Calibri" w:eastAsia="Times New Roman" w:hAnsi="Calibri" w:cs="Calibri"/>
                <w:color w:val="auto"/>
                <w:sz w:val="18"/>
                <w:szCs w:val="18"/>
              </w:rPr>
              <w:t xml:space="preserve"> Low Back Pain</w:t>
            </w:r>
          </w:p>
        </w:tc>
        <w:tc>
          <w:tcPr>
            <w:tcW w:w="1080" w:type="dxa"/>
            <w:tcBorders>
              <w:left w:val="single" w:sz="4" w:space="0" w:color="auto"/>
            </w:tcBorders>
            <w:shd w:val="clear" w:color="auto" w:fill="FFFFFF" w:themeFill="background1"/>
            <w:vAlign w:val="center"/>
          </w:tcPr>
          <w:p w:rsidR="008C0E32" w:rsidRPr="00367E5B" w:rsidRDefault="008C0E32" w:rsidP="00252F6B">
            <w:pPr>
              <w:spacing w:line="200" w:lineRule="exact"/>
              <w:contextualSpacing/>
              <w:rPr>
                <w:rFonts w:ascii="Calibri" w:eastAsia="Times New Roman" w:hAnsi="Calibri" w:cs="Calibri"/>
                <w:color w:val="auto"/>
                <w:sz w:val="18"/>
                <w:szCs w:val="18"/>
              </w:rPr>
            </w:pPr>
            <w:r w:rsidRPr="00367E5B">
              <w:rPr>
                <w:rFonts w:ascii="Calibri" w:eastAsia="Times New Roman" w:hAnsi="Calibri" w:cs="Calibri"/>
                <w:color w:val="auto"/>
                <w:sz w:val="18"/>
                <w:szCs w:val="18"/>
              </w:rPr>
              <w:t>5237</w:t>
            </w:r>
          </w:p>
        </w:tc>
        <w:tc>
          <w:tcPr>
            <w:tcW w:w="900" w:type="dxa"/>
            <w:tcBorders>
              <w:right w:val="thinThickThinSmallGap" w:sz="24" w:space="0" w:color="auto"/>
            </w:tcBorders>
            <w:shd w:val="clear" w:color="auto" w:fill="FFFFFF" w:themeFill="background1"/>
            <w:vAlign w:val="center"/>
          </w:tcPr>
          <w:p w:rsidR="008C0E32" w:rsidRPr="00367E5B" w:rsidRDefault="008C0E32" w:rsidP="00252F6B">
            <w:pPr>
              <w:spacing w:line="200" w:lineRule="exact"/>
              <w:rPr>
                <w:rFonts w:ascii="Calibri" w:eastAsia="Times New Roman" w:hAnsi="Calibri" w:cs="Calibri"/>
                <w:color w:val="auto"/>
                <w:sz w:val="18"/>
                <w:szCs w:val="18"/>
              </w:rPr>
            </w:pPr>
            <w:r w:rsidRPr="00367E5B">
              <w:rPr>
                <w:rFonts w:ascii="Calibri" w:eastAsia="Times New Roman" w:hAnsi="Calibri" w:cs="Calibri"/>
                <w:color w:val="auto"/>
                <w:sz w:val="18"/>
                <w:szCs w:val="18"/>
              </w:rPr>
              <w:t>10%</w:t>
            </w:r>
          </w:p>
        </w:tc>
        <w:tc>
          <w:tcPr>
            <w:tcW w:w="2321" w:type="dxa"/>
            <w:vMerge w:val="restart"/>
            <w:tcBorders>
              <w:left w:val="thinThickThinSmallGap" w:sz="24" w:space="0" w:color="auto"/>
            </w:tcBorders>
            <w:shd w:val="clear" w:color="auto" w:fill="FFFFFF" w:themeFill="background1"/>
            <w:vAlign w:val="center"/>
          </w:tcPr>
          <w:p w:rsidR="008C0E32" w:rsidRPr="00367E5B" w:rsidRDefault="008C0E32" w:rsidP="00252F6B">
            <w:pPr>
              <w:spacing w:line="200" w:lineRule="exact"/>
              <w:contextualSpacing/>
              <w:jc w:val="left"/>
              <w:rPr>
                <w:rFonts w:ascii="Calibri" w:eastAsia="Times New Roman" w:hAnsi="Calibri" w:cs="Calibri"/>
                <w:color w:val="auto"/>
                <w:sz w:val="18"/>
                <w:szCs w:val="18"/>
              </w:rPr>
            </w:pPr>
            <w:r w:rsidRPr="00367E5B">
              <w:rPr>
                <w:rFonts w:ascii="Calibri" w:eastAsia="Times New Roman" w:hAnsi="Calibri" w:cs="Calibri"/>
                <w:color w:val="auto"/>
                <w:sz w:val="18"/>
                <w:szCs w:val="18"/>
              </w:rPr>
              <w:t xml:space="preserve">Spinal </w:t>
            </w:r>
            <w:proofErr w:type="spellStart"/>
            <w:r w:rsidRPr="00367E5B">
              <w:rPr>
                <w:rFonts w:ascii="Calibri" w:eastAsia="Times New Roman" w:hAnsi="Calibri" w:cs="Calibri"/>
                <w:color w:val="auto"/>
                <w:sz w:val="18"/>
                <w:szCs w:val="18"/>
              </w:rPr>
              <w:t>Stenosis</w:t>
            </w:r>
            <w:proofErr w:type="spellEnd"/>
            <w:r w:rsidRPr="00367E5B">
              <w:rPr>
                <w:rFonts w:ascii="Calibri" w:eastAsia="Times New Roman" w:hAnsi="Calibri" w:cs="Calibri"/>
                <w:color w:val="auto"/>
                <w:sz w:val="18"/>
                <w:szCs w:val="18"/>
              </w:rPr>
              <w:t xml:space="preserve"> with Degenerative Disc Disease</w:t>
            </w:r>
          </w:p>
        </w:tc>
        <w:tc>
          <w:tcPr>
            <w:tcW w:w="1080" w:type="dxa"/>
            <w:vMerge w:val="restart"/>
            <w:shd w:val="clear" w:color="auto" w:fill="FFFFFF" w:themeFill="background1"/>
            <w:vAlign w:val="center"/>
          </w:tcPr>
          <w:p w:rsidR="008C0E32" w:rsidRPr="00367E5B" w:rsidRDefault="008C0E32" w:rsidP="00252F6B">
            <w:pPr>
              <w:spacing w:line="200" w:lineRule="exact"/>
              <w:contextualSpacing/>
              <w:rPr>
                <w:rFonts w:ascii="Calibri" w:eastAsia="Times New Roman" w:hAnsi="Calibri" w:cs="Calibri"/>
                <w:color w:val="auto"/>
                <w:sz w:val="18"/>
                <w:szCs w:val="18"/>
              </w:rPr>
            </w:pPr>
            <w:r w:rsidRPr="00367E5B">
              <w:rPr>
                <w:rFonts w:ascii="Calibri" w:eastAsia="Times New Roman" w:hAnsi="Calibri" w:cs="Calibri"/>
                <w:color w:val="auto"/>
                <w:sz w:val="18"/>
                <w:szCs w:val="18"/>
              </w:rPr>
              <w:t>5238</w:t>
            </w:r>
          </w:p>
        </w:tc>
        <w:tc>
          <w:tcPr>
            <w:tcW w:w="828" w:type="dxa"/>
            <w:vMerge w:val="restart"/>
            <w:shd w:val="clear" w:color="auto" w:fill="FFFFFF" w:themeFill="background1"/>
            <w:vAlign w:val="center"/>
          </w:tcPr>
          <w:p w:rsidR="008C0E32" w:rsidRPr="00367E5B" w:rsidRDefault="008C0E32" w:rsidP="00252F6B">
            <w:pPr>
              <w:spacing w:line="200" w:lineRule="exact"/>
              <w:contextualSpacing/>
              <w:rPr>
                <w:rFonts w:ascii="Calibri" w:eastAsia="Times New Roman" w:hAnsi="Calibri" w:cs="Calibri"/>
                <w:color w:val="auto"/>
                <w:sz w:val="18"/>
                <w:szCs w:val="18"/>
              </w:rPr>
            </w:pPr>
            <w:r w:rsidRPr="00367E5B">
              <w:rPr>
                <w:rFonts w:ascii="Calibri" w:eastAsia="Times New Roman" w:hAnsi="Calibri" w:cs="Calibri"/>
                <w:color w:val="auto"/>
                <w:sz w:val="18"/>
                <w:szCs w:val="18"/>
              </w:rPr>
              <w:t>20%</w:t>
            </w:r>
          </w:p>
        </w:tc>
        <w:tc>
          <w:tcPr>
            <w:tcW w:w="993" w:type="dxa"/>
            <w:vMerge w:val="restart"/>
            <w:shd w:val="clear" w:color="auto" w:fill="FFFFFF" w:themeFill="background1"/>
            <w:vAlign w:val="center"/>
          </w:tcPr>
          <w:p w:rsidR="008C0E32" w:rsidRPr="00367E5B" w:rsidRDefault="00CD5FE7" w:rsidP="00252F6B">
            <w:pPr>
              <w:spacing w:line="200" w:lineRule="exact"/>
              <w:contextualSpacing/>
              <w:rPr>
                <w:rFonts w:ascii="Calibri" w:eastAsia="Times New Roman" w:hAnsi="Calibri" w:cs="Calibri"/>
                <w:color w:val="auto"/>
                <w:sz w:val="18"/>
                <w:szCs w:val="18"/>
              </w:rPr>
            </w:pPr>
            <w:r w:rsidRPr="00367E5B">
              <w:rPr>
                <w:rFonts w:ascii="Calibri" w:eastAsia="Times New Roman" w:hAnsi="Calibri" w:cs="Calibri"/>
                <w:color w:val="auto"/>
                <w:sz w:val="18"/>
                <w:szCs w:val="18"/>
              </w:rPr>
              <w:t>20100202</w:t>
            </w:r>
          </w:p>
        </w:tc>
      </w:tr>
      <w:tr w:rsidR="008C0E32" w:rsidRPr="00367E5B" w:rsidTr="00252F6B">
        <w:trPr>
          <w:trHeight w:val="106"/>
          <w:jc w:val="center"/>
        </w:trPr>
        <w:tc>
          <w:tcPr>
            <w:tcW w:w="2176" w:type="dxa"/>
            <w:tcBorders>
              <w:right w:val="single" w:sz="4" w:space="0" w:color="auto"/>
            </w:tcBorders>
            <w:shd w:val="clear" w:color="auto" w:fill="FFFFFF" w:themeFill="background1"/>
            <w:vAlign w:val="center"/>
          </w:tcPr>
          <w:p w:rsidR="008C0E32" w:rsidRPr="00367E5B" w:rsidRDefault="008C0E32" w:rsidP="00252F6B">
            <w:pPr>
              <w:spacing w:line="200" w:lineRule="exact"/>
              <w:contextualSpacing/>
              <w:jc w:val="left"/>
              <w:rPr>
                <w:rFonts w:ascii="Calibri" w:eastAsia="Times New Roman" w:hAnsi="Calibri" w:cs="Calibri"/>
                <w:color w:val="auto"/>
                <w:sz w:val="18"/>
                <w:szCs w:val="18"/>
              </w:rPr>
            </w:pPr>
            <w:r w:rsidRPr="00367E5B">
              <w:rPr>
                <w:rFonts w:ascii="Calibri" w:eastAsia="Times New Roman" w:hAnsi="Calibri" w:cs="Calibri"/>
                <w:color w:val="auto"/>
                <w:sz w:val="18"/>
                <w:szCs w:val="18"/>
              </w:rPr>
              <w:t xml:space="preserve">Possible Left Lower Extremity </w:t>
            </w:r>
            <w:proofErr w:type="spellStart"/>
            <w:r w:rsidRPr="00367E5B">
              <w:rPr>
                <w:rFonts w:ascii="Calibri" w:eastAsia="Times New Roman" w:hAnsi="Calibri" w:cs="Calibri"/>
                <w:color w:val="auto"/>
                <w:sz w:val="18"/>
                <w:szCs w:val="18"/>
              </w:rPr>
              <w:t>Radiculopathy</w:t>
            </w:r>
            <w:proofErr w:type="spellEnd"/>
          </w:p>
        </w:tc>
        <w:tc>
          <w:tcPr>
            <w:tcW w:w="1980" w:type="dxa"/>
            <w:gridSpan w:val="2"/>
            <w:tcBorders>
              <w:left w:val="single" w:sz="4" w:space="0" w:color="auto"/>
              <w:right w:val="thinThickThinSmallGap" w:sz="24" w:space="0" w:color="auto"/>
            </w:tcBorders>
            <w:shd w:val="clear" w:color="auto" w:fill="FFFFFF" w:themeFill="background1"/>
            <w:vAlign w:val="center"/>
          </w:tcPr>
          <w:p w:rsidR="008C0E32" w:rsidRPr="00367E5B" w:rsidRDefault="008C0E32" w:rsidP="00252F6B">
            <w:pPr>
              <w:spacing w:line="200" w:lineRule="exact"/>
              <w:rPr>
                <w:rFonts w:ascii="Calibri" w:eastAsia="Times New Roman" w:hAnsi="Calibri" w:cs="Calibri"/>
                <w:color w:val="auto"/>
                <w:sz w:val="18"/>
                <w:szCs w:val="18"/>
              </w:rPr>
            </w:pPr>
            <w:r w:rsidRPr="00367E5B">
              <w:rPr>
                <w:rFonts w:ascii="Calibri" w:eastAsia="Times New Roman" w:hAnsi="Calibri" w:cs="Calibri"/>
                <w:color w:val="auto"/>
                <w:sz w:val="18"/>
                <w:szCs w:val="18"/>
              </w:rPr>
              <w:t>Category 2</w:t>
            </w:r>
          </w:p>
        </w:tc>
        <w:tc>
          <w:tcPr>
            <w:tcW w:w="2321" w:type="dxa"/>
            <w:vMerge/>
            <w:tcBorders>
              <w:left w:val="thinThickThinSmallGap" w:sz="24" w:space="0" w:color="auto"/>
            </w:tcBorders>
            <w:shd w:val="clear" w:color="auto" w:fill="FFFFFF" w:themeFill="background1"/>
            <w:vAlign w:val="center"/>
          </w:tcPr>
          <w:p w:rsidR="008C0E32" w:rsidRPr="00367E5B" w:rsidRDefault="008C0E32" w:rsidP="00252F6B">
            <w:pPr>
              <w:spacing w:line="200" w:lineRule="exact"/>
              <w:contextualSpacing/>
              <w:jc w:val="left"/>
              <w:rPr>
                <w:rFonts w:ascii="Calibri" w:eastAsia="Times New Roman" w:hAnsi="Calibri" w:cs="Calibri"/>
                <w:color w:val="auto"/>
                <w:sz w:val="18"/>
                <w:szCs w:val="18"/>
              </w:rPr>
            </w:pPr>
          </w:p>
        </w:tc>
        <w:tc>
          <w:tcPr>
            <w:tcW w:w="1080" w:type="dxa"/>
            <w:vMerge/>
            <w:shd w:val="clear" w:color="auto" w:fill="FFFFFF" w:themeFill="background1"/>
            <w:vAlign w:val="center"/>
          </w:tcPr>
          <w:p w:rsidR="008C0E32" w:rsidRPr="00367E5B" w:rsidRDefault="008C0E32" w:rsidP="00252F6B">
            <w:pPr>
              <w:spacing w:line="200" w:lineRule="exact"/>
              <w:contextualSpacing/>
              <w:rPr>
                <w:rFonts w:ascii="Calibri" w:eastAsia="Times New Roman" w:hAnsi="Calibri" w:cs="Calibri"/>
                <w:color w:val="auto"/>
                <w:sz w:val="18"/>
                <w:szCs w:val="18"/>
              </w:rPr>
            </w:pPr>
          </w:p>
        </w:tc>
        <w:tc>
          <w:tcPr>
            <w:tcW w:w="828" w:type="dxa"/>
            <w:vMerge/>
            <w:shd w:val="clear" w:color="auto" w:fill="FFFFFF" w:themeFill="background1"/>
            <w:vAlign w:val="center"/>
          </w:tcPr>
          <w:p w:rsidR="008C0E32" w:rsidRPr="00367E5B" w:rsidRDefault="008C0E32" w:rsidP="00252F6B">
            <w:pPr>
              <w:spacing w:line="200" w:lineRule="exact"/>
              <w:contextualSpacing/>
              <w:rPr>
                <w:rFonts w:ascii="Calibri" w:eastAsia="Times New Roman" w:hAnsi="Calibri" w:cs="Calibri"/>
                <w:color w:val="auto"/>
                <w:sz w:val="18"/>
                <w:szCs w:val="18"/>
              </w:rPr>
            </w:pPr>
          </w:p>
        </w:tc>
        <w:tc>
          <w:tcPr>
            <w:tcW w:w="993" w:type="dxa"/>
            <w:vMerge/>
            <w:shd w:val="clear" w:color="auto" w:fill="FFFFFF" w:themeFill="background1"/>
            <w:vAlign w:val="center"/>
          </w:tcPr>
          <w:p w:rsidR="008C0E32" w:rsidRPr="00367E5B" w:rsidRDefault="008C0E32" w:rsidP="00252F6B">
            <w:pPr>
              <w:spacing w:line="200" w:lineRule="exact"/>
              <w:contextualSpacing/>
              <w:rPr>
                <w:rFonts w:ascii="Calibri" w:eastAsia="Times New Roman" w:hAnsi="Calibri" w:cs="Calibri"/>
                <w:color w:val="auto"/>
                <w:sz w:val="18"/>
                <w:szCs w:val="18"/>
              </w:rPr>
            </w:pPr>
          </w:p>
        </w:tc>
      </w:tr>
      <w:tr w:rsidR="008C0E32" w:rsidRPr="00367E5B" w:rsidTr="00252F6B">
        <w:trPr>
          <w:trHeight w:val="97"/>
          <w:jc w:val="center"/>
        </w:trPr>
        <w:tc>
          <w:tcPr>
            <w:tcW w:w="2176" w:type="dxa"/>
            <w:tcBorders>
              <w:right w:val="single" w:sz="4" w:space="0" w:color="auto"/>
            </w:tcBorders>
            <w:shd w:val="clear" w:color="auto" w:fill="FFFFFF" w:themeFill="background1"/>
            <w:vAlign w:val="center"/>
          </w:tcPr>
          <w:p w:rsidR="008C0E32" w:rsidRPr="00367E5B" w:rsidRDefault="008C0E32" w:rsidP="00252F6B">
            <w:pPr>
              <w:spacing w:line="200" w:lineRule="exact"/>
              <w:contextualSpacing/>
              <w:jc w:val="left"/>
              <w:rPr>
                <w:rFonts w:ascii="Calibri" w:eastAsia="Times New Roman" w:hAnsi="Calibri" w:cs="Calibri"/>
                <w:color w:val="auto"/>
                <w:sz w:val="18"/>
                <w:szCs w:val="18"/>
              </w:rPr>
            </w:pPr>
            <w:r w:rsidRPr="00367E5B">
              <w:rPr>
                <w:rFonts w:ascii="Calibri" w:eastAsia="Times New Roman" w:hAnsi="Calibri" w:cs="Calibri"/>
                <w:color w:val="auto"/>
                <w:sz w:val="18"/>
                <w:szCs w:val="18"/>
              </w:rPr>
              <w:t>Annular Tea</w:t>
            </w:r>
            <w:r w:rsidR="00B2589A" w:rsidRPr="00367E5B">
              <w:rPr>
                <w:rFonts w:ascii="Calibri" w:eastAsia="Times New Roman" w:hAnsi="Calibri" w:cs="Calibri"/>
                <w:color w:val="auto"/>
                <w:sz w:val="18"/>
                <w:szCs w:val="18"/>
              </w:rPr>
              <w:t>r</w:t>
            </w:r>
            <w:r w:rsidRPr="00367E5B">
              <w:rPr>
                <w:rFonts w:ascii="Calibri" w:eastAsia="Times New Roman" w:hAnsi="Calibri" w:cs="Calibri"/>
                <w:color w:val="auto"/>
                <w:sz w:val="18"/>
                <w:szCs w:val="18"/>
              </w:rPr>
              <w:t xml:space="preserve"> at L4/5 and L5/S1</w:t>
            </w:r>
          </w:p>
        </w:tc>
        <w:tc>
          <w:tcPr>
            <w:tcW w:w="1980" w:type="dxa"/>
            <w:gridSpan w:val="2"/>
            <w:tcBorders>
              <w:left w:val="single" w:sz="4" w:space="0" w:color="auto"/>
              <w:right w:val="thinThickThinSmallGap" w:sz="24" w:space="0" w:color="auto"/>
            </w:tcBorders>
            <w:shd w:val="clear" w:color="auto" w:fill="FFFFFF" w:themeFill="background1"/>
            <w:vAlign w:val="center"/>
          </w:tcPr>
          <w:p w:rsidR="008C0E32" w:rsidRPr="00367E5B" w:rsidRDefault="00E11A93" w:rsidP="00252F6B">
            <w:pPr>
              <w:spacing w:line="200" w:lineRule="exact"/>
              <w:contextualSpacing/>
              <w:rPr>
                <w:rFonts w:ascii="Calibri" w:eastAsia="Times New Roman" w:hAnsi="Calibri" w:cs="Calibri"/>
                <w:color w:val="auto"/>
                <w:sz w:val="18"/>
                <w:szCs w:val="18"/>
                <w:highlight w:val="yellow"/>
              </w:rPr>
            </w:pPr>
            <w:r w:rsidRPr="00367E5B">
              <w:rPr>
                <w:rFonts w:ascii="Calibri" w:eastAsia="Times New Roman" w:hAnsi="Calibri" w:cs="Calibri"/>
                <w:color w:val="auto"/>
                <w:sz w:val="18"/>
                <w:szCs w:val="18"/>
              </w:rPr>
              <w:t xml:space="preserve">Category </w:t>
            </w:r>
            <w:r w:rsidR="008C0E32" w:rsidRPr="00367E5B">
              <w:rPr>
                <w:rFonts w:ascii="Calibri" w:eastAsia="Times New Roman" w:hAnsi="Calibri" w:cs="Calibri"/>
                <w:color w:val="auto"/>
                <w:sz w:val="18"/>
                <w:szCs w:val="18"/>
              </w:rPr>
              <w:t>2</w:t>
            </w:r>
          </w:p>
        </w:tc>
        <w:tc>
          <w:tcPr>
            <w:tcW w:w="2321" w:type="dxa"/>
            <w:vMerge/>
            <w:tcBorders>
              <w:left w:val="thinThickThinSmallGap" w:sz="24" w:space="0" w:color="auto"/>
            </w:tcBorders>
            <w:shd w:val="clear" w:color="auto" w:fill="FFFFFF" w:themeFill="background1"/>
            <w:vAlign w:val="center"/>
          </w:tcPr>
          <w:p w:rsidR="008C0E32" w:rsidRPr="00367E5B" w:rsidRDefault="008C0E32" w:rsidP="00252F6B">
            <w:pPr>
              <w:spacing w:line="200" w:lineRule="exact"/>
              <w:contextualSpacing/>
              <w:jc w:val="left"/>
              <w:rPr>
                <w:rFonts w:ascii="Calibri" w:eastAsia="Times New Roman" w:hAnsi="Calibri" w:cs="Calibri"/>
                <w:color w:val="auto"/>
                <w:sz w:val="18"/>
                <w:szCs w:val="18"/>
              </w:rPr>
            </w:pPr>
          </w:p>
        </w:tc>
        <w:tc>
          <w:tcPr>
            <w:tcW w:w="1080" w:type="dxa"/>
            <w:vMerge/>
            <w:shd w:val="clear" w:color="auto" w:fill="FFFFFF" w:themeFill="background1"/>
            <w:vAlign w:val="center"/>
          </w:tcPr>
          <w:p w:rsidR="008C0E32" w:rsidRPr="00367E5B" w:rsidRDefault="008C0E32" w:rsidP="00252F6B">
            <w:pPr>
              <w:spacing w:line="200" w:lineRule="exact"/>
              <w:contextualSpacing/>
              <w:rPr>
                <w:rFonts w:ascii="Calibri" w:eastAsia="Times New Roman" w:hAnsi="Calibri" w:cs="Calibri"/>
                <w:color w:val="auto"/>
                <w:sz w:val="18"/>
                <w:szCs w:val="18"/>
              </w:rPr>
            </w:pPr>
          </w:p>
        </w:tc>
        <w:tc>
          <w:tcPr>
            <w:tcW w:w="828" w:type="dxa"/>
            <w:vMerge/>
            <w:shd w:val="clear" w:color="auto" w:fill="FFFFFF" w:themeFill="background1"/>
            <w:vAlign w:val="center"/>
          </w:tcPr>
          <w:p w:rsidR="008C0E32" w:rsidRPr="00367E5B" w:rsidRDefault="008C0E32" w:rsidP="00252F6B">
            <w:pPr>
              <w:spacing w:line="200" w:lineRule="exact"/>
              <w:contextualSpacing/>
              <w:rPr>
                <w:rFonts w:ascii="Calibri" w:eastAsia="Times New Roman" w:hAnsi="Calibri" w:cs="Calibri"/>
                <w:color w:val="auto"/>
                <w:sz w:val="18"/>
                <w:szCs w:val="18"/>
              </w:rPr>
            </w:pPr>
          </w:p>
        </w:tc>
        <w:tc>
          <w:tcPr>
            <w:tcW w:w="993" w:type="dxa"/>
            <w:vMerge/>
            <w:shd w:val="clear" w:color="auto" w:fill="FFFFFF" w:themeFill="background1"/>
            <w:vAlign w:val="center"/>
          </w:tcPr>
          <w:p w:rsidR="008C0E32" w:rsidRPr="00367E5B" w:rsidRDefault="008C0E32" w:rsidP="00252F6B">
            <w:pPr>
              <w:spacing w:line="200" w:lineRule="exact"/>
              <w:contextualSpacing/>
              <w:rPr>
                <w:rFonts w:ascii="Calibri" w:eastAsia="Times New Roman" w:hAnsi="Calibri" w:cs="Calibri"/>
                <w:color w:val="auto"/>
                <w:sz w:val="18"/>
                <w:szCs w:val="18"/>
                <w:highlight w:val="yellow"/>
              </w:rPr>
            </w:pPr>
          </w:p>
        </w:tc>
      </w:tr>
      <w:tr w:rsidR="00252F6B" w:rsidRPr="00367E5B" w:rsidTr="00252F6B">
        <w:trPr>
          <w:trHeight w:val="178"/>
          <w:jc w:val="center"/>
        </w:trPr>
        <w:tc>
          <w:tcPr>
            <w:tcW w:w="4156" w:type="dxa"/>
            <w:gridSpan w:val="3"/>
            <w:vMerge w:val="restart"/>
            <w:tcBorders>
              <w:right w:val="thinThickThinSmallGap" w:sz="24" w:space="0" w:color="auto"/>
            </w:tcBorders>
            <w:shd w:val="clear" w:color="auto" w:fill="FFFFFF" w:themeFill="background1"/>
            <w:vAlign w:val="center"/>
          </w:tcPr>
          <w:p w:rsidR="00252F6B" w:rsidRPr="00367E5B" w:rsidRDefault="00252F6B" w:rsidP="00252F6B">
            <w:pPr>
              <w:spacing w:line="200" w:lineRule="exact"/>
              <w:contextualSpacing/>
              <w:rPr>
                <w:rFonts w:ascii="Calibri" w:eastAsia="Times New Roman" w:hAnsi="Calibri" w:cs="Calibri"/>
                <w:color w:val="auto"/>
                <w:sz w:val="18"/>
                <w:szCs w:val="18"/>
                <w:highlight w:val="yellow"/>
              </w:rPr>
            </w:pPr>
            <w:r w:rsidRPr="00367E5B">
              <w:rPr>
                <w:rFonts w:ascii="Calibri" w:hAnsi="Calibri" w:cs="Calibri"/>
                <w:color w:val="auto"/>
                <w:sz w:val="18"/>
                <w:szCs w:val="18"/>
              </w:rPr>
              <w:t>↓No Additional MEB/PEB Entries↓</w:t>
            </w:r>
          </w:p>
        </w:tc>
        <w:tc>
          <w:tcPr>
            <w:tcW w:w="2321" w:type="dxa"/>
            <w:tcBorders>
              <w:left w:val="thinThickThinSmallGap" w:sz="24" w:space="0" w:color="auto"/>
              <w:right w:val="single" w:sz="4" w:space="0" w:color="auto"/>
            </w:tcBorders>
            <w:shd w:val="clear" w:color="auto" w:fill="FFFFFF" w:themeFill="background1"/>
            <w:vAlign w:val="center"/>
          </w:tcPr>
          <w:p w:rsidR="00252F6B" w:rsidRPr="00367E5B" w:rsidRDefault="00252F6B" w:rsidP="00252F6B">
            <w:pPr>
              <w:spacing w:line="200" w:lineRule="exact"/>
              <w:contextualSpacing/>
              <w:jc w:val="left"/>
              <w:rPr>
                <w:rFonts w:ascii="Calibri" w:eastAsia="Times New Roman" w:hAnsi="Calibri" w:cs="Calibri"/>
                <w:color w:val="auto"/>
                <w:sz w:val="18"/>
                <w:szCs w:val="18"/>
              </w:rPr>
            </w:pPr>
            <w:r w:rsidRPr="00367E5B">
              <w:rPr>
                <w:rFonts w:ascii="Calibri" w:eastAsia="Times New Roman" w:hAnsi="Calibri" w:cs="Calibri"/>
                <w:color w:val="auto"/>
                <w:sz w:val="18"/>
                <w:szCs w:val="18"/>
              </w:rPr>
              <w:t>Chronic Left Hip Strain</w:t>
            </w:r>
          </w:p>
        </w:tc>
        <w:tc>
          <w:tcPr>
            <w:tcW w:w="1080" w:type="dxa"/>
            <w:tcBorders>
              <w:left w:val="single" w:sz="4" w:space="0" w:color="auto"/>
            </w:tcBorders>
            <w:shd w:val="clear" w:color="auto" w:fill="FFFFFF" w:themeFill="background1"/>
            <w:vAlign w:val="center"/>
          </w:tcPr>
          <w:p w:rsidR="00252F6B" w:rsidRPr="00367E5B" w:rsidRDefault="00252F6B" w:rsidP="00252F6B">
            <w:pPr>
              <w:spacing w:line="200" w:lineRule="exact"/>
              <w:contextualSpacing/>
              <w:rPr>
                <w:rFonts w:ascii="Calibri" w:eastAsia="Times New Roman" w:hAnsi="Calibri" w:cs="Calibri"/>
                <w:color w:val="auto"/>
                <w:sz w:val="18"/>
                <w:szCs w:val="18"/>
              </w:rPr>
            </w:pPr>
            <w:r w:rsidRPr="00367E5B">
              <w:rPr>
                <w:rFonts w:ascii="Calibri" w:eastAsia="Times New Roman" w:hAnsi="Calibri" w:cs="Calibri"/>
                <w:color w:val="auto"/>
                <w:sz w:val="18"/>
                <w:szCs w:val="18"/>
              </w:rPr>
              <w:t>5299-5252</w:t>
            </w:r>
          </w:p>
        </w:tc>
        <w:tc>
          <w:tcPr>
            <w:tcW w:w="828" w:type="dxa"/>
            <w:tcBorders>
              <w:right w:val="single" w:sz="4" w:space="0" w:color="auto"/>
            </w:tcBorders>
            <w:shd w:val="clear" w:color="auto" w:fill="FFFFFF" w:themeFill="background1"/>
            <w:vAlign w:val="center"/>
          </w:tcPr>
          <w:p w:rsidR="00252F6B" w:rsidRPr="00367E5B" w:rsidRDefault="00252F6B" w:rsidP="00252F6B">
            <w:pPr>
              <w:spacing w:line="200" w:lineRule="exact"/>
              <w:contextualSpacing/>
              <w:rPr>
                <w:rFonts w:ascii="Calibri" w:eastAsia="Times New Roman" w:hAnsi="Calibri" w:cs="Calibri"/>
                <w:color w:val="auto"/>
                <w:sz w:val="18"/>
                <w:szCs w:val="18"/>
              </w:rPr>
            </w:pPr>
            <w:r w:rsidRPr="00367E5B">
              <w:rPr>
                <w:rFonts w:ascii="Calibri" w:eastAsia="Times New Roman" w:hAnsi="Calibri" w:cs="Calibri"/>
                <w:color w:val="auto"/>
                <w:sz w:val="18"/>
                <w:szCs w:val="18"/>
              </w:rPr>
              <w:t>10%</w:t>
            </w:r>
          </w:p>
        </w:tc>
        <w:tc>
          <w:tcPr>
            <w:tcW w:w="993" w:type="dxa"/>
            <w:tcBorders>
              <w:left w:val="single" w:sz="4" w:space="0" w:color="auto"/>
            </w:tcBorders>
            <w:shd w:val="clear" w:color="auto" w:fill="FFFFFF" w:themeFill="background1"/>
            <w:vAlign w:val="center"/>
          </w:tcPr>
          <w:p w:rsidR="00252F6B" w:rsidRPr="00367E5B" w:rsidRDefault="00252F6B" w:rsidP="00252F6B">
            <w:pPr>
              <w:spacing w:line="200" w:lineRule="exact"/>
              <w:contextualSpacing/>
              <w:rPr>
                <w:rFonts w:ascii="Calibri" w:eastAsia="Times New Roman" w:hAnsi="Calibri" w:cs="Calibri"/>
                <w:color w:val="auto"/>
                <w:sz w:val="18"/>
                <w:szCs w:val="18"/>
                <w:highlight w:val="yellow"/>
              </w:rPr>
            </w:pPr>
            <w:r w:rsidRPr="00367E5B">
              <w:rPr>
                <w:rFonts w:ascii="Calibri" w:eastAsia="Times New Roman" w:hAnsi="Calibri" w:cs="Calibri"/>
                <w:color w:val="auto"/>
                <w:sz w:val="18"/>
                <w:szCs w:val="18"/>
              </w:rPr>
              <w:t>20100202</w:t>
            </w:r>
          </w:p>
        </w:tc>
      </w:tr>
      <w:tr w:rsidR="00252F6B" w:rsidRPr="00367E5B" w:rsidTr="00252F6B">
        <w:trPr>
          <w:trHeight w:val="70"/>
          <w:jc w:val="center"/>
        </w:trPr>
        <w:tc>
          <w:tcPr>
            <w:tcW w:w="4156" w:type="dxa"/>
            <w:gridSpan w:val="3"/>
            <w:vMerge/>
            <w:tcBorders>
              <w:right w:val="thinThickThinSmallGap" w:sz="24" w:space="0" w:color="auto"/>
            </w:tcBorders>
            <w:shd w:val="clear" w:color="auto" w:fill="FFFFFF" w:themeFill="background1"/>
            <w:vAlign w:val="center"/>
          </w:tcPr>
          <w:p w:rsidR="00252F6B" w:rsidRPr="00367E5B" w:rsidRDefault="00252F6B" w:rsidP="00252F6B">
            <w:pPr>
              <w:spacing w:line="200" w:lineRule="exact"/>
              <w:contextualSpacing/>
              <w:rPr>
                <w:rFonts w:ascii="Calibri" w:eastAsia="Times New Roman" w:hAnsi="Calibri" w:cs="Calibri"/>
                <w:color w:val="auto"/>
                <w:sz w:val="18"/>
                <w:szCs w:val="18"/>
              </w:rPr>
            </w:pPr>
          </w:p>
        </w:tc>
        <w:tc>
          <w:tcPr>
            <w:tcW w:w="4229" w:type="dxa"/>
            <w:gridSpan w:val="3"/>
            <w:tcBorders>
              <w:left w:val="thinThickThinSmallGap" w:sz="24" w:space="0" w:color="auto"/>
              <w:right w:val="single" w:sz="4" w:space="0" w:color="auto"/>
            </w:tcBorders>
            <w:shd w:val="clear" w:color="auto" w:fill="FFFFFF" w:themeFill="background1"/>
            <w:vAlign w:val="center"/>
          </w:tcPr>
          <w:p w:rsidR="00252F6B" w:rsidRPr="00367E5B" w:rsidRDefault="00252F6B" w:rsidP="00252F6B">
            <w:pPr>
              <w:spacing w:line="200" w:lineRule="exact"/>
              <w:contextualSpacing/>
              <w:rPr>
                <w:rFonts w:ascii="Calibri" w:eastAsia="Times New Roman" w:hAnsi="Calibri" w:cs="Calibri"/>
                <w:color w:val="auto"/>
                <w:sz w:val="18"/>
                <w:szCs w:val="18"/>
                <w:highlight w:val="yellow"/>
              </w:rPr>
            </w:pPr>
            <w:r w:rsidRPr="00367E5B">
              <w:rPr>
                <w:rFonts w:ascii="Calibri" w:hAnsi="Calibri" w:cs="Calibri"/>
                <w:color w:val="auto"/>
                <w:sz w:val="18"/>
                <w:szCs w:val="18"/>
              </w:rPr>
              <w:t>0% x 0/Not Service Connected x 3</w:t>
            </w:r>
          </w:p>
        </w:tc>
        <w:tc>
          <w:tcPr>
            <w:tcW w:w="993" w:type="dxa"/>
            <w:tcBorders>
              <w:left w:val="single" w:sz="4" w:space="0" w:color="auto"/>
            </w:tcBorders>
            <w:shd w:val="clear" w:color="auto" w:fill="FFFFFF" w:themeFill="background1"/>
            <w:vAlign w:val="center"/>
          </w:tcPr>
          <w:p w:rsidR="00252F6B" w:rsidRPr="00367E5B" w:rsidRDefault="00252F6B" w:rsidP="00252F6B">
            <w:pPr>
              <w:spacing w:line="200" w:lineRule="exact"/>
              <w:contextualSpacing/>
              <w:rPr>
                <w:rFonts w:cs="Calibri"/>
                <w:color w:val="auto"/>
                <w:sz w:val="18"/>
                <w:szCs w:val="18"/>
                <w:highlight w:val="yellow"/>
              </w:rPr>
            </w:pPr>
            <w:r w:rsidRPr="00367E5B">
              <w:rPr>
                <w:rFonts w:ascii="Calibri" w:eastAsia="Times New Roman" w:hAnsi="Calibri" w:cs="Calibri"/>
                <w:color w:val="auto"/>
                <w:sz w:val="18"/>
                <w:szCs w:val="18"/>
              </w:rPr>
              <w:t>20100202</w:t>
            </w:r>
          </w:p>
        </w:tc>
      </w:tr>
      <w:tr w:rsidR="007A65A9" w:rsidRPr="00367E5B" w:rsidTr="00AC2E88">
        <w:trPr>
          <w:trHeight w:val="152"/>
          <w:jc w:val="center"/>
        </w:trPr>
        <w:tc>
          <w:tcPr>
            <w:tcW w:w="4156" w:type="dxa"/>
            <w:gridSpan w:val="3"/>
            <w:tcBorders>
              <w:right w:val="thinThickThinSmallGap" w:sz="24" w:space="0" w:color="auto"/>
            </w:tcBorders>
            <w:shd w:val="clear" w:color="auto" w:fill="D9D9D9" w:themeFill="background1" w:themeFillShade="D9"/>
          </w:tcPr>
          <w:p w:rsidR="007A65A9" w:rsidRPr="00367E5B" w:rsidRDefault="007A65A9" w:rsidP="00AC2E88">
            <w:pPr>
              <w:contextualSpacing/>
              <w:rPr>
                <w:rFonts w:ascii="Calibri" w:hAnsi="Calibri" w:cs="Calibri"/>
                <w:b/>
                <w:color w:val="auto"/>
                <w:sz w:val="18"/>
                <w:szCs w:val="18"/>
              </w:rPr>
            </w:pPr>
            <w:r w:rsidRPr="00367E5B">
              <w:rPr>
                <w:rFonts w:ascii="Calibri" w:hAnsi="Calibri" w:cs="Calibri"/>
                <w:b/>
                <w:color w:val="auto"/>
                <w:sz w:val="18"/>
                <w:szCs w:val="18"/>
              </w:rPr>
              <w:t xml:space="preserve">Combined: </w:t>
            </w:r>
            <w:r w:rsidR="006458FD" w:rsidRPr="00367E5B">
              <w:rPr>
                <w:rFonts w:ascii="Calibri" w:hAnsi="Calibri" w:cs="Calibri"/>
                <w:b/>
                <w:color w:val="auto"/>
                <w:sz w:val="18"/>
                <w:szCs w:val="18"/>
              </w:rPr>
              <w:t xml:space="preserve"> </w:t>
            </w:r>
            <w:r w:rsidR="008C0E32" w:rsidRPr="00367E5B">
              <w:rPr>
                <w:rFonts w:ascii="Calibri" w:hAnsi="Calibri" w:cs="Calibri"/>
                <w:b/>
                <w:color w:val="auto"/>
                <w:sz w:val="18"/>
                <w:szCs w:val="18"/>
              </w:rPr>
              <w:t>10</w:t>
            </w:r>
            <w:r w:rsidRPr="00367E5B">
              <w:rPr>
                <w:rFonts w:ascii="Calibri" w:hAnsi="Calibri" w:cs="Calibri"/>
                <w:b/>
                <w:color w:val="auto"/>
                <w:sz w:val="18"/>
                <w:szCs w:val="18"/>
              </w:rPr>
              <w:t>%</w:t>
            </w:r>
          </w:p>
        </w:tc>
        <w:tc>
          <w:tcPr>
            <w:tcW w:w="5222" w:type="dxa"/>
            <w:gridSpan w:val="4"/>
            <w:tcBorders>
              <w:left w:val="thinThickThinSmallGap" w:sz="24" w:space="0" w:color="auto"/>
            </w:tcBorders>
            <w:shd w:val="clear" w:color="auto" w:fill="D9D9D9" w:themeFill="background1" w:themeFillShade="D9"/>
          </w:tcPr>
          <w:p w:rsidR="007A65A9" w:rsidRPr="00367E5B" w:rsidRDefault="007A65A9" w:rsidP="00AC2E88">
            <w:pPr>
              <w:contextualSpacing/>
              <w:rPr>
                <w:rFonts w:ascii="Calibri" w:hAnsi="Calibri" w:cs="Calibri"/>
                <w:b/>
                <w:color w:val="auto"/>
                <w:sz w:val="18"/>
                <w:szCs w:val="18"/>
              </w:rPr>
            </w:pPr>
            <w:r w:rsidRPr="00367E5B">
              <w:rPr>
                <w:rFonts w:ascii="Calibri" w:hAnsi="Calibri" w:cs="Calibri"/>
                <w:b/>
                <w:color w:val="auto"/>
                <w:sz w:val="18"/>
                <w:szCs w:val="18"/>
              </w:rPr>
              <w:t xml:space="preserve">Combined:  </w:t>
            </w:r>
            <w:r w:rsidR="008C0E32" w:rsidRPr="00367E5B">
              <w:rPr>
                <w:rFonts w:ascii="Calibri" w:hAnsi="Calibri" w:cs="Calibri"/>
                <w:b/>
                <w:color w:val="auto"/>
                <w:sz w:val="18"/>
                <w:szCs w:val="18"/>
              </w:rPr>
              <w:t>3</w:t>
            </w:r>
            <w:r w:rsidR="006F0F9C" w:rsidRPr="00367E5B">
              <w:rPr>
                <w:rFonts w:ascii="Calibri" w:hAnsi="Calibri" w:cs="Calibri"/>
                <w:b/>
                <w:color w:val="auto"/>
                <w:sz w:val="18"/>
                <w:szCs w:val="18"/>
              </w:rPr>
              <w:t>0</w:t>
            </w:r>
            <w:r w:rsidRPr="00367E5B">
              <w:rPr>
                <w:rFonts w:ascii="Calibri" w:hAnsi="Calibri" w:cs="Calibri"/>
                <w:b/>
                <w:color w:val="auto"/>
                <w:sz w:val="18"/>
                <w:szCs w:val="18"/>
              </w:rPr>
              <w:t>%</w:t>
            </w:r>
          </w:p>
        </w:tc>
      </w:tr>
    </w:tbl>
    <w:p w:rsidR="004174F0" w:rsidRPr="00367E5B" w:rsidRDefault="004174F0" w:rsidP="00BF0E94">
      <w:pPr>
        <w:pBdr>
          <w:bottom w:val="single" w:sz="12" w:space="1" w:color="auto"/>
        </w:pBdr>
        <w:tabs>
          <w:tab w:val="left" w:pos="288"/>
          <w:tab w:val="left" w:pos="4752"/>
        </w:tabs>
        <w:jc w:val="both"/>
        <w:rPr>
          <w:color w:val="auto"/>
        </w:rPr>
      </w:pPr>
    </w:p>
    <w:p w:rsidR="009369A6" w:rsidRPr="001F29F9" w:rsidRDefault="009369A6" w:rsidP="00252F6B">
      <w:pPr>
        <w:jc w:val="both"/>
        <w:rPr>
          <w:color w:val="000000" w:themeColor="text1"/>
          <w:szCs w:val="24"/>
          <w:u w:val="single"/>
        </w:rPr>
      </w:pPr>
    </w:p>
    <w:p w:rsidR="00B505E9" w:rsidRPr="00B505E9" w:rsidRDefault="002C6E5B" w:rsidP="00252F6B">
      <w:pPr>
        <w:jc w:val="both"/>
        <w:rPr>
          <w:color w:val="000000" w:themeColor="text1"/>
          <w:szCs w:val="24"/>
        </w:rPr>
      </w:pPr>
      <w:r w:rsidRPr="001F29F9">
        <w:rPr>
          <w:color w:val="000000" w:themeColor="text1"/>
          <w:szCs w:val="24"/>
          <w:u w:val="single"/>
        </w:rPr>
        <w:t>ANALYSIS SUMMARY</w:t>
      </w:r>
      <w:r w:rsidRPr="001F29F9">
        <w:rPr>
          <w:color w:val="000000" w:themeColor="text1"/>
          <w:szCs w:val="24"/>
        </w:rPr>
        <w:t>:</w:t>
      </w:r>
      <w:r w:rsidR="00B505E9">
        <w:rPr>
          <w:color w:val="000000" w:themeColor="text1"/>
          <w:szCs w:val="24"/>
        </w:rPr>
        <w:t xml:space="preserve">  </w:t>
      </w:r>
      <w:r w:rsidR="005546C8" w:rsidRPr="005546C8">
        <w:rPr>
          <w:color w:val="000000" w:themeColor="text1"/>
          <w:szCs w:val="24"/>
        </w:rPr>
        <w:t xml:space="preserve">The Board utilizes </w:t>
      </w:r>
      <w:r w:rsidR="002D28F2">
        <w:rPr>
          <w:color w:val="000000" w:themeColor="text1"/>
          <w:szCs w:val="24"/>
        </w:rPr>
        <w:t xml:space="preserve">Department of Veterans’ Affairs </w:t>
      </w:r>
      <w:r w:rsidR="005546C8" w:rsidRPr="005546C8">
        <w:rPr>
          <w:color w:val="000000" w:themeColor="text1"/>
          <w:szCs w:val="24"/>
        </w:rPr>
        <w:t xml:space="preserve">evidence proximal to separation in arriving at its recommendations; and, </w:t>
      </w:r>
      <w:proofErr w:type="spellStart"/>
      <w:r w:rsidR="005546C8" w:rsidRPr="005546C8">
        <w:rPr>
          <w:color w:val="000000" w:themeColor="text1"/>
          <w:szCs w:val="24"/>
        </w:rPr>
        <w:t>DoDI</w:t>
      </w:r>
      <w:proofErr w:type="spellEnd"/>
      <w:r w:rsidR="005546C8" w:rsidRPr="005546C8">
        <w:rPr>
          <w:color w:val="000000" w:themeColor="text1"/>
          <w:szCs w:val="24"/>
        </w:rPr>
        <w:t xml:space="preserve"> 6040.44 defines a 12-month interval for special consideration to post-separation evidence. </w:t>
      </w:r>
      <w:r w:rsidR="003657D3">
        <w:rPr>
          <w:color w:val="000000" w:themeColor="text1"/>
          <w:szCs w:val="24"/>
        </w:rPr>
        <w:t xml:space="preserve"> </w:t>
      </w:r>
      <w:r w:rsidR="005546C8" w:rsidRPr="005546C8">
        <w:rPr>
          <w:color w:val="000000" w:themeColor="text1"/>
          <w:szCs w:val="24"/>
        </w:rPr>
        <w:t xml:space="preserve">The Board’s authority as defined in </w:t>
      </w:r>
      <w:proofErr w:type="spellStart"/>
      <w:r w:rsidR="005546C8" w:rsidRPr="005546C8">
        <w:rPr>
          <w:color w:val="000000" w:themeColor="text1"/>
          <w:szCs w:val="24"/>
        </w:rPr>
        <w:t>DoDI</w:t>
      </w:r>
      <w:proofErr w:type="spellEnd"/>
      <w:r w:rsidR="005546C8" w:rsidRPr="005546C8">
        <w:rPr>
          <w:color w:val="000000" w:themeColor="text1"/>
          <w:szCs w:val="24"/>
        </w:rPr>
        <w:t xml:space="preserve"> 6040.44, however, resides in evaluating the fairness of DES fitness determinations and rating decisions for disability at the time of separation. </w:t>
      </w:r>
      <w:r w:rsidR="003657D3">
        <w:rPr>
          <w:color w:val="000000" w:themeColor="text1"/>
          <w:szCs w:val="24"/>
        </w:rPr>
        <w:t xml:space="preserve"> </w:t>
      </w:r>
      <w:r w:rsidR="005546C8" w:rsidRPr="005546C8">
        <w:rPr>
          <w:color w:val="000000" w:themeColor="text1"/>
          <w:szCs w:val="24"/>
        </w:rPr>
        <w:t xml:space="preserve">Post-separation evidence therefore is </w:t>
      </w:r>
      <w:r w:rsidR="005546C8" w:rsidRPr="005546C8">
        <w:rPr>
          <w:color w:val="000000" w:themeColor="text1"/>
          <w:szCs w:val="24"/>
        </w:rPr>
        <w:lastRenderedPageBreak/>
        <w:t>probative only to the extent that it reasonably reflects the disability and fitness implications at the time of separation.</w:t>
      </w:r>
      <w:r w:rsidR="00367E5B">
        <w:rPr>
          <w:color w:val="000000" w:themeColor="text1"/>
          <w:szCs w:val="24"/>
        </w:rPr>
        <w:t xml:space="preserve">  </w:t>
      </w:r>
    </w:p>
    <w:p w:rsidR="002C6E5B" w:rsidRPr="00960224" w:rsidRDefault="002C6E5B" w:rsidP="009369A6">
      <w:pPr>
        <w:jc w:val="left"/>
        <w:rPr>
          <w:b/>
          <w:color w:val="000000" w:themeColor="text1"/>
          <w:szCs w:val="24"/>
          <w:u w:val="single"/>
        </w:rPr>
      </w:pPr>
    </w:p>
    <w:p w:rsidR="003C53E8" w:rsidRPr="001A038E" w:rsidRDefault="009104C6" w:rsidP="00367E5B">
      <w:pPr>
        <w:autoSpaceDE w:val="0"/>
        <w:autoSpaceDN w:val="0"/>
        <w:adjustRightInd w:val="0"/>
        <w:jc w:val="both"/>
        <w:rPr>
          <w:rFonts w:asciiTheme="minorHAnsi" w:hAnsiTheme="minorHAnsi" w:cs="Times New Roman"/>
          <w:color w:val="auto"/>
          <w:szCs w:val="24"/>
        </w:rPr>
      </w:pPr>
      <w:proofErr w:type="spellStart"/>
      <w:proofErr w:type="gramStart"/>
      <w:r w:rsidRPr="009104C6">
        <w:rPr>
          <w:color w:val="000000" w:themeColor="text1"/>
          <w:szCs w:val="24"/>
          <w:u w:val="single"/>
        </w:rPr>
        <w:t>Discogenic</w:t>
      </w:r>
      <w:proofErr w:type="spellEnd"/>
      <w:r w:rsidRPr="009104C6">
        <w:rPr>
          <w:color w:val="000000" w:themeColor="text1"/>
          <w:szCs w:val="24"/>
          <w:u w:val="single"/>
        </w:rPr>
        <w:t xml:space="preserve"> Low Back </w:t>
      </w:r>
      <w:r w:rsidRPr="00BE56B0">
        <w:rPr>
          <w:color w:val="000000" w:themeColor="text1"/>
          <w:szCs w:val="24"/>
          <w:u w:val="single"/>
        </w:rPr>
        <w:t xml:space="preserve">Pain </w:t>
      </w:r>
      <w:r w:rsidR="003F2EEE" w:rsidRPr="00BE56B0">
        <w:rPr>
          <w:color w:val="000000" w:themeColor="text1"/>
          <w:szCs w:val="24"/>
          <w:u w:val="single"/>
        </w:rPr>
        <w:t>Condition</w:t>
      </w:r>
      <w:r w:rsidR="00252F6B" w:rsidRPr="00520DE4">
        <w:rPr>
          <w:color w:val="000000" w:themeColor="text1"/>
          <w:szCs w:val="24"/>
        </w:rPr>
        <w:t>.</w:t>
      </w:r>
      <w:proofErr w:type="gramEnd"/>
      <w:r w:rsidR="00252F6B" w:rsidRPr="00520DE4">
        <w:rPr>
          <w:color w:val="000000" w:themeColor="text1"/>
          <w:szCs w:val="24"/>
        </w:rPr>
        <w:t xml:space="preserve">  </w:t>
      </w:r>
      <w:r w:rsidR="001A038E" w:rsidRPr="00520DE4">
        <w:rPr>
          <w:color w:val="auto"/>
          <w:szCs w:val="24"/>
        </w:rPr>
        <w:t xml:space="preserve">At his </w:t>
      </w:r>
      <w:r w:rsidR="002D28F2">
        <w:rPr>
          <w:color w:val="auto"/>
          <w:szCs w:val="24"/>
        </w:rPr>
        <w:t>narrative summary (</w:t>
      </w:r>
      <w:r w:rsidR="00520DE4" w:rsidRPr="00520DE4">
        <w:rPr>
          <w:color w:val="auto"/>
          <w:szCs w:val="24"/>
        </w:rPr>
        <w:t>NARSUM</w:t>
      </w:r>
      <w:r w:rsidR="002D28F2">
        <w:rPr>
          <w:color w:val="auto"/>
          <w:szCs w:val="24"/>
        </w:rPr>
        <w:t>)</w:t>
      </w:r>
      <w:r w:rsidR="001A038E" w:rsidRPr="00520DE4">
        <w:rPr>
          <w:color w:val="auto"/>
          <w:szCs w:val="24"/>
        </w:rPr>
        <w:t xml:space="preserve">, </w:t>
      </w:r>
      <w:r w:rsidR="002D28F2">
        <w:rPr>
          <w:color w:val="auto"/>
          <w:szCs w:val="24"/>
        </w:rPr>
        <w:t>4</w:t>
      </w:r>
      <w:r w:rsidR="001A038E" w:rsidRPr="00520DE4">
        <w:rPr>
          <w:color w:val="auto"/>
          <w:szCs w:val="24"/>
        </w:rPr>
        <w:t xml:space="preserve"> months prior to separation, the CI complained of LBP and </w:t>
      </w:r>
      <w:r w:rsidR="00520DE4">
        <w:rPr>
          <w:color w:val="auto"/>
          <w:szCs w:val="24"/>
        </w:rPr>
        <w:t xml:space="preserve">the NARSUM indicated </w:t>
      </w:r>
      <w:r w:rsidR="00520DE4" w:rsidRPr="00520DE4">
        <w:rPr>
          <w:color w:val="auto"/>
          <w:szCs w:val="24"/>
        </w:rPr>
        <w:t xml:space="preserve">all prior </w:t>
      </w:r>
      <w:r w:rsidR="00E41E56">
        <w:rPr>
          <w:color w:val="auto"/>
          <w:szCs w:val="24"/>
        </w:rPr>
        <w:t xml:space="preserve">right leg numbness </w:t>
      </w:r>
      <w:r w:rsidR="00520DE4" w:rsidRPr="00520DE4">
        <w:rPr>
          <w:color w:val="auto"/>
          <w:szCs w:val="24"/>
        </w:rPr>
        <w:t xml:space="preserve">symptoms had resolved.  </w:t>
      </w:r>
      <w:r w:rsidR="00520DE4">
        <w:rPr>
          <w:color w:val="auto"/>
          <w:szCs w:val="24"/>
        </w:rPr>
        <w:t xml:space="preserve">The MEB exam accomplished two weeks prior indicated left great toe weakness on extension and radiating left leg pain.  MRI indicated mild central </w:t>
      </w:r>
      <w:r w:rsidR="00E41E56">
        <w:rPr>
          <w:color w:val="auto"/>
          <w:szCs w:val="24"/>
        </w:rPr>
        <w:t xml:space="preserve">canal </w:t>
      </w:r>
      <w:proofErr w:type="spellStart"/>
      <w:r w:rsidR="00520DE4">
        <w:rPr>
          <w:color w:val="auto"/>
          <w:szCs w:val="24"/>
        </w:rPr>
        <w:t>stenosis</w:t>
      </w:r>
      <w:proofErr w:type="spellEnd"/>
      <w:r w:rsidR="00520DE4">
        <w:rPr>
          <w:color w:val="auto"/>
          <w:szCs w:val="24"/>
        </w:rPr>
        <w:t xml:space="preserve"> </w:t>
      </w:r>
      <w:r w:rsidR="00E41E56">
        <w:rPr>
          <w:color w:val="auto"/>
          <w:szCs w:val="24"/>
        </w:rPr>
        <w:t xml:space="preserve">without nerve impingement </w:t>
      </w:r>
      <w:r w:rsidR="00520DE4">
        <w:rPr>
          <w:color w:val="auto"/>
          <w:szCs w:val="24"/>
        </w:rPr>
        <w:t xml:space="preserve">and bulging discs </w:t>
      </w:r>
      <w:r w:rsidR="00E41E56">
        <w:rPr>
          <w:color w:val="auto"/>
          <w:szCs w:val="24"/>
        </w:rPr>
        <w:t xml:space="preserve">(not frank </w:t>
      </w:r>
      <w:proofErr w:type="spellStart"/>
      <w:r w:rsidR="00E41E56">
        <w:rPr>
          <w:color w:val="auto"/>
          <w:szCs w:val="24"/>
        </w:rPr>
        <w:t>herniation</w:t>
      </w:r>
      <w:proofErr w:type="spellEnd"/>
      <w:r w:rsidR="00E41E56">
        <w:rPr>
          <w:color w:val="auto"/>
          <w:szCs w:val="24"/>
        </w:rPr>
        <w:t xml:space="preserve">) </w:t>
      </w:r>
      <w:r w:rsidR="00520DE4">
        <w:rPr>
          <w:color w:val="auto"/>
          <w:szCs w:val="24"/>
        </w:rPr>
        <w:t xml:space="preserve">at L4-5 and L5-S1.  </w:t>
      </w:r>
      <w:r w:rsidR="001A038E" w:rsidRPr="00E41E56">
        <w:rPr>
          <w:color w:val="auto"/>
          <w:szCs w:val="24"/>
        </w:rPr>
        <w:t xml:space="preserve">On physical exam, there was </w:t>
      </w:r>
      <w:r w:rsidR="00E41E56" w:rsidRPr="00E41E56">
        <w:rPr>
          <w:color w:val="auto"/>
          <w:szCs w:val="24"/>
        </w:rPr>
        <w:t xml:space="preserve">no specific </w:t>
      </w:r>
      <w:r w:rsidR="001A038E" w:rsidRPr="00E41E56">
        <w:rPr>
          <w:color w:val="auto"/>
          <w:szCs w:val="24"/>
        </w:rPr>
        <w:t xml:space="preserve">tenderness to palpation (TTP) of the </w:t>
      </w:r>
      <w:proofErr w:type="spellStart"/>
      <w:r w:rsidR="001A038E" w:rsidRPr="00E41E56">
        <w:rPr>
          <w:color w:val="auto"/>
          <w:szCs w:val="24"/>
        </w:rPr>
        <w:t>lumbosacral</w:t>
      </w:r>
      <w:proofErr w:type="spellEnd"/>
      <w:r w:rsidR="001A038E" w:rsidRPr="00E41E56">
        <w:rPr>
          <w:color w:val="auto"/>
          <w:szCs w:val="24"/>
        </w:rPr>
        <w:t xml:space="preserve"> spine and </w:t>
      </w:r>
      <w:r w:rsidR="00E41E56" w:rsidRPr="00E41E56">
        <w:rPr>
          <w:color w:val="auto"/>
          <w:szCs w:val="24"/>
        </w:rPr>
        <w:t xml:space="preserve">no significant muscular spasms.  No specific pain was elicited by any maneuvers.  </w:t>
      </w:r>
      <w:r w:rsidR="001A038E" w:rsidRPr="00E41E56">
        <w:rPr>
          <w:color w:val="auto"/>
          <w:szCs w:val="24"/>
        </w:rPr>
        <w:t xml:space="preserve">No motor weakness was noted.  Deep tendon reflex (DTR) testing was normal bilaterally.  </w:t>
      </w:r>
      <w:r w:rsidR="00E41E56" w:rsidRPr="00E41E56">
        <w:rPr>
          <w:color w:val="auto"/>
          <w:szCs w:val="24"/>
        </w:rPr>
        <w:t xml:space="preserve">Gait was normal including walking on toes and heels.  </w:t>
      </w:r>
      <w:r w:rsidR="001A038E" w:rsidRPr="00E41E56">
        <w:rPr>
          <w:color w:val="auto"/>
          <w:szCs w:val="24"/>
        </w:rPr>
        <w:t>Range-of-</w:t>
      </w:r>
      <w:r w:rsidR="00AC2E88" w:rsidRPr="00E41E56">
        <w:rPr>
          <w:color w:val="auto"/>
          <w:szCs w:val="24"/>
        </w:rPr>
        <w:t>mo</w:t>
      </w:r>
      <w:r w:rsidR="00AC2E88">
        <w:rPr>
          <w:color w:val="auto"/>
          <w:szCs w:val="24"/>
        </w:rPr>
        <w:t>t</w:t>
      </w:r>
      <w:r w:rsidR="00AC2E88" w:rsidRPr="00E41E56">
        <w:rPr>
          <w:color w:val="auto"/>
          <w:szCs w:val="24"/>
        </w:rPr>
        <w:t>ion</w:t>
      </w:r>
      <w:r w:rsidR="001A038E" w:rsidRPr="00E41E56">
        <w:rPr>
          <w:color w:val="auto"/>
          <w:szCs w:val="24"/>
        </w:rPr>
        <w:t xml:space="preserve"> (ROM) measurements were done, </w:t>
      </w:r>
      <w:r w:rsidR="00E41E56" w:rsidRPr="00E41E56">
        <w:rPr>
          <w:color w:val="auto"/>
          <w:szCs w:val="24"/>
        </w:rPr>
        <w:t>but were lacking rotation measurements or indication of repetition</w:t>
      </w:r>
      <w:r w:rsidR="00367E5B">
        <w:rPr>
          <w:color w:val="auto"/>
          <w:szCs w:val="24"/>
        </w:rPr>
        <w:t xml:space="preserve"> (see chart)</w:t>
      </w:r>
      <w:r w:rsidR="00E41E56" w:rsidRPr="00E41E56">
        <w:rPr>
          <w:color w:val="auto"/>
          <w:szCs w:val="24"/>
        </w:rPr>
        <w:t xml:space="preserve">.  </w:t>
      </w:r>
      <w:r w:rsidR="001A038E" w:rsidRPr="00A933DF">
        <w:rPr>
          <w:rFonts w:asciiTheme="minorHAnsi" w:hAnsiTheme="minorHAnsi"/>
          <w:color w:val="auto"/>
          <w:szCs w:val="24"/>
        </w:rPr>
        <w:t xml:space="preserve">At his </w:t>
      </w:r>
      <w:r w:rsidR="00A933DF" w:rsidRPr="00A933DF">
        <w:rPr>
          <w:rFonts w:asciiTheme="minorHAnsi" w:hAnsiTheme="minorHAnsi"/>
          <w:color w:val="auto"/>
          <w:szCs w:val="24"/>
        </w:rPr>
        <w:t>February</w:t>
      </w:r>
      <w:r w:rsidR="001A038E" w:rsidRPr="00A933DF">
        <w:rPr>
          <w:rFonts w:asciiTheme="minorHAnsi" w:hAnsiTheme="minorHAnsi"/>
          <w:color w:val="auto"/>
          <w:szCs w:val="24"/>
        </w:rPr>
        <w:t xml:space="preserve"> 20</w:t>
      </w:r>
      <w:r w:rsidR="00A933DF" w:rsidRPr="00A933DF">
        <w:rPr>
          <w:rFonts w:asciiTheme="minorHAnsi" w:hAnsiTheme="minorHAnsi"/>
          <w:color w:val="auto"/>
          <w:szCs w:val="24"/>
        </w:rPr>
        <w:t>10</w:t>
      </w:r>
      <w:r w:rsidR="001A038E" w:rsidRPr="00A933DF">
        <w:rPr>
          <w:rFonts w:asciiTheme="minorHAnsi" w:hAnsiTheme="minorHAnsi"/>
          <w:color w:val="auto"/>
          <w:szCs w:val="24"/>
        </w:rPr>
        <w:t xml:space="preserve"> Compensation and Pension (C&amp;P) exam, </w:t>
      </w:r>
      <w:r w:rsidR="00A933DF" w:rsidRPr="00A933DF">
        <w:rPr>
          <w:rFonts w:asciiTheme="minorHAnsi" w:hAnsiTheme="minorHAnsi"/>
          <w:color w:val="auto"/>
          <w:szCs w:val="24"/>
        </w:rPr>
        <w:t xml:space="preserve">11 months after separation, </w:t>
      </w:r>
      <w:r w:rsidR="00A933DF">
        <w:rPr>
          <w:rFonts w:asciiTheme="minorHAnsi" w:hAnsiTheme="minorHAnsi"/>
          <w:color w:val="auto"/>
          <w:szCs w:val="24"/>
        </w:rPr>
        <w:t xml:space="preserve">the CI complained of persistent back pain with radiating pain into the right lower extremity.  </w:t>
      </w:r>
      <w:r w:rsidR="00E35CC6">
        <w:rPr>
          <w:rFonts w:asciiTheme="minorHAnsi" w:hAnsiTheme="minorHAnsi"/>
          <w:color w:val="auto"/>
          <w:szCs w:val="24"/>
        </w:rPr>
        <w:t>There were n</w:t>
      </w:r>
      <w:r w:rsidR="00E35CC6" w:rsidRPr="00E01488">
        <w:rPr>
          <w:color w:val="000000" w:themeColor="text1"/>
          <w:szCs w:val="24"/>
        </w:rPr>
        <w:t>o incapacitating periods for the past 12 months</w:t>
      </w:r>
      <w:r w:rsidR="00E35CC6">
        <w:rPr>
          <w:color w:val="000000" w:themeColor="text1"/>
          <w:szCs w:val="24"/>
        </w:rPr>
        <w:t>.</w:t>
      </w:r>
      <w:r w:rsidR="00E35CC6">
        <w:rPr>
          <w:rFonts w:asciiTheme="minorHAnsi" w:hAnsiTheme="minorHAnsi"/>
          <w:color w:val="auto"/>
          <w:szCs w:val="24"/>
        </w:rPr>
        <w:t xml:space="preserve">  Gait and spinal contour were normal.  </w:t>
      </w:r>
      <w:r w:rsidR="00A933DF">
        <w:rPr>
          <w:rFonts w:asciiTheme="minorHAnsi" w:hAnsiTheme="minorHAnsi"/>
          <w:color w:val="auto"/>
          <w:szCs w:val="24"/>
        </w:rPr>
        <w:t xml:space="preserve">There was some tightness of the </w:t>
      </w:r>
      <w:proofErr w:type="spellStart"/>
      <w:r w:rsidR="00C261E9">
        <w:rPr>
          <w:rFonts w:asciiTheme="minorHAnsi" w:hAnsiTheme="minorHAnsi"/>
          <w:color w:val="auto"/>
          <w:szCs w:val="24"/>
        </w:rPr>
        <w:t>p</w:t>
      </w:r>
      <w:r w:rsidR="00A933DF">
        <w:rPr>
          <w:rFonts w:asciiTheme="minorHAnsi" w:hAnsiTheme="minorHAnsi"/>
          <w:color w:val="auto"/>
          <w:szCs w:val="24"/>
        </w:rPr>
        <w:t>aravertebral</w:t>
      </w:r>
      <w:proofErr w:type="spellEnd"/>
      <w:r w:rsidR="00A933DF">
        <w:rPr>
          <w:rFonts w:asciiTheme="minorHAnsi" w:hAnsiTheme="minorHAnsi"/>
          <w:color w:val="auto"/>
          <w:szCs w:val="24"/>
        </w:rPr>
        <w:t xml:space="preserve"> muscles at L4-5.  </w:t>
      </w:r>
      <w:r w:rsidR="00E35CC6">
        <w:rPr>
          <w:color w:val="auto"/>
          <w:szCs w:val="24"/>
        </w:rPr>
        <w:t xml:space="preserve">Straight leg raises were negative and muscle strength, reflexes and sensory testing were normal.  </w:t>
      </w:r>
      <w:r w:rsidR="00A933DF">
        <w:rPr>
          <w:rFonts w:asciiTheme="minorHAnsi" w:hAnsiTheme="minorHAnsi"/>
          <w:color w:val="auto"/>
          <w:szCs w:val="24"/>
        </w:rPr>
        <w:t xml:space="preserve">ROMs were specified with </w:t>
      </w:r>
      <w:proofErr w:type="spellStart"/>
      <w:r w:rsidR="00A933DF">
        <w:rPr>
          <w:rFonts w:asciiTheme="minorHAnsi" w:hAnsiTheme="minorHAnsi"/>
          <w:color w:val="auto"/>
          <w:szCs w:val="24"/>
        </w:rPr>
        <w:t>DeLuca</w:t>
      </w:r>
      <w:proofErr w:type="spellEnd"/>
      <w:r w:rsidR="00A933DF">
        <w:rPr>
          <w:rFonts w:asciiTheme="minorHAnsi" w:hAnsiTheme="minorHAnsi"/>
          <w:color w:val="auto"/>
          <w:szCs w:val="24"/>
        </w:rPr>
        <w:t xml:space="preserve"> criteria and specified painful motion with ROMs as charted below.  </w:t>
      </w:r>
      <w:r w:rsidR="00A57C35" w:rsidRPr="00BE56B0">
        <w:rPr>
          <w:color w:val="000000" w:themeColor="text1"/>
          <w:szCs w:val="24"/>
        </w:rPr>
        <w:t xml:space="preserve">There were </w:t>
      </w:r>
      <w:r w:rsidR="00BE56B0" w:rsidRPr="00BE56B0">
        <w:rPr>
          <w:color w:val="000000" w:themeColor="text1"/>
          <w:szCs w:val="24"/>
        </w:rPr>
        <w:t>two</w:t>
      </w:r>
      <w:r w:rsidR="00A57C35" w:rsidRPr="00BE56B0">
        <w:rPr>
          <w:color w:val="000000" w:themeColor="text1"/>
          <w:szCs w:val="24"/>
        </w:rPr>
        <w:t xml:space="preserve"> ROM evaluations in evidence</w:t>
      </w:r>
      <w:r w:rsidR="00E35CC6">
        <w:rPr>
          <w:color w:val="000000" w:themeColor="text1"/>
          <w:szCs w:val="24"/>
        </w:rPr>
        <w:t xml:space="preserve"> </w:t>
      </w:r>
      <w:r w:rsidR="00A57C35" w:rsidRPr="00BE56B0">
        <w:rPr>
          <w:color w:val="000000" w:themeColor="text1"/>
          <w:szCs w:val="24"/>
        </w:rPr>
        <w:t>which the Board weighed in arriving at its rating recommendation</w:t>
      </w:r>
      <w:r w:rsidR="00E35CC6">
        <w:rPr>
          <w:color w:val="000000" w:themeColor="text1"/>
          <w:szCs w:val="24"/>
        </w:rPr>
        <w:t xml:space="preserve"> and they are summarized below</w:t>
      </w:r>
      <w:r w:rsidR="003C53E8" w:rsidRPr="00BE56B0">
        <w:rPr>
          <w:rFonts w:asciiTheme="minorHAnsi" w:hAnsiTheme="minorHAnsi" w:cs="Times New Roman"/>
          <w:color w:val="auto"/>
          <w:szCs w:val="24"/>
        </w:rPr>
        <w:t>.</w:t>
      </w:r>
      <w:r w:rsidR="00252F6B">
        <w:rPr>
          <w:rFonts w:asciiTheme="minorHAnsi" w:hAnsiTheme="minorHAnsi" w:cs="Times New Roman"/>
          <w:color w:val="auto"/>
          <w:szCs w:val="24"/>
        </w:rPr>
        <w:t xml:space="preserve">  </w:t>
      </w:r>
    </w:p>
    <w:p w:rsidR="001A038E" w:rsidRPr="00367E5B" w:rsidRDefault="001A038E" w:rsidP="001A038E">
      <w:pPr>
        <w:jc w:val="both"/>
        <w:rPr>
          <w:rFonts w:asciiTheme="minorHAnsi" w:hAnsiTheme="minorHAnsi"/>
          <w:color w:val="auto"/>
          <w:szCs w:val="24"/>
          <w:u w:val="single"/>
        </w:rPr>
      </w:pPr>
    </w:p>
    <w:tbl>
      <w:tblPr>
        <w:tblW w:w="74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0"/>
        <w:gridCol w:w="2475"/>
        <w:gridCol w:w="2565"/>
      </w:tblGrid>
      <w:tr w:rsidR="001A038E" w:rsidRPr="00367E5B" w:rsidTr="00520DE4">
        <w:trPr>
          <w:jc w:val="center"/>
        </w:trPr>
        <w:tc>
          <w:tcPr>
            <w:tcW w:w="24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A038E" w:rsidRPr="00367E5B" w:rsidRDefault="001A038E" w:rsidP="001A038E">
            <w:pPr>
              <w:spacing w:line="180" w:lineRule="exact"/>
              <w:rPr>
                <w:rFonts w:eastAsia="Calibri"/>
                <w:color w:val="auto"/>
                <w:sz w:val="18"/>
                <w:szCs w:val="22"/>
              </w:rPr>
            </w:pPr>
            <w:proofErr w:type="spellStart"/>
            <w:r w:rsidRPr="00367E5B">
              <w:rPr>
                <w:rFonts w:eastAsia="Calibri"/>
                <w:color w:val="auto"/>
                <w:sz w:val="18"/>
                <w:szCs w:val="22"/>
              </w:rPr>
              <w:t>Thoracolumbar</w:t>
            </w:r>
            <w:proofErr w:type="spellEnd"/>
          </w:p>
        </w:tc>
        <w:tc>
          <w:tcPr>
            <w:tcW w:w="50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A038E" w:rsidRPr="00367E5B" w:rsidRDefault="00081382" w:rsidP="00081382">
            <w:pPr>
              <w:spacing w:line="180" w:lineRule="exact"/>
              <w:rPr>
                <w:rFonts w:eastAsia="Calibri"/>
                <w:color w:val="auto"/>
                <w:sz w:val="18"/>
                <w:szCs w:val="22"/>
              </w:rPr>
            </w:pPr>
            <w:r w:rsidRPr="00367E5B">
              <w:rPr>
                <w:rFonts w:eastAsia="Calibri"/>
                <w:color w:val="auto"/>
                <w:sz w:val="18"/>
                <w:szCs w:val="22"/>
              </w:rPr>
              <w:t>Separation Date:  2009</w:t>
            </w:r>
            <w:r w:rsidR="001A038E" w:rsidRPr="00367E5B">
              <w:rPr>
                <w:rFonts w:eastAsia="Calibri"/>
                <w:color w:val="auto"/>
                <w:sz w:val="18"/>
                <w:szCs w:val="22"/>
              </w:rPr>
              <w:t>030</w:t>
            </w:r>
            <w:r w:rsidRPr="00367E5B">
              <w:rPr>
                <w:rFonts w:eastAsia="Calibri"/>
                <w:color w:val="auto"/>
                <w:sz w:val="18"/>
                <w:szCs w:val="22"/>
              </w:rPr>
              <w:t>6</w:t>
            </w:r>
          </w:p>
        </w:tc>
      </w:tr>
      <w:tr w:rsidR="001A038E" w:rsidRPr="00367E5B" w:rsidTr="00520DE4">
        <w:trPr>
          <w:jc w:val="center"/>
        </w:trPr>
        <w:tc>
          <w:tcPr>
            <w:tcW w:w="24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A038E" w:rsidRPr="00367E5B" w:rsidRDefault="001A038E" w:rsidP="001A038E">
            <w:pPr>
              <w:spacing w:line="180" w:lineRule="exact"/>
              <w:rPr>
                <w:rFonts w:eastAsia="Calibri"/>
                <w:color w:val="auto"/>
                <w:sz w:val="18"/>
                <w:szCs w:val="22"/>
              </w:rPr>
            </w:pPr>
            <w:r w:rsidRPr="00367E5B">
              <w:rPr>
                <w:rFonts w:eastAsia="Calibri"/>
                <w:color w:val="auto"/>
                <w:sz w:val="18"/>
                <w:szCs w:val="22"/>
              </w:rPr>
              <w:t>Goniometric ROM</w:t>
            </w:r>
          </w:p>
        </w:tc>
        <w:tc>
          <w:tcPr>
            <w:tcW w:w="24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A038E" w:rsidRPr="00367E5B" w:rsidRDefault="001A038E" w:rsidP="00A933DF">
            <w:pPr>
              <w:spacing w:line="180" w:lineRule="exact"/>
              <w:rPr>
                <w:rFonts w:eastAsia="Calibri"/>
                <w:color w:val="auto"/>
                <w:sz w:val="18"/>
                <w:szCs w:val="22"/>
              </w:rPr>
            </w:pPr>
            <w:r w:rsidRPr="00367E5B">
              <w:rPr>
                <w:rFonts w:eastAsia="Calibri"/>
                <w:color w:val="auto"/>
                <w:sz w:val="18"/>
                <w:szCs w:val="22"/>
              </w:rPr>
              <w:t xml:space="preserve">MEB PT – </w:t>
            </w:r>
            <w:r w:rsidR="00A933DF" w:rsidRPr="00367E5B">
              <w:rPr>
                <w:rFonts w:eastAsia="Calibri"/>
                <w:color w:val="auto"/>
                <w:sz w:val="18"/>
                <w:szCs w:val="22"/>
              </w:rPr>
              <w:t>3</w:t>
            </w:r>
            <w:r w:rsidRPr="00367E5B">
              <w:rPr>
                <w:rFonts w:eastAsia="Calibri"/>
                <w:color w:val="auto"/>
                <w:sz w:val="18"/>
                <w:szCs w:val="22"/>
              </w:rPr>
              <w:t xml:space="preserve"> mo. Pre-Sep</w:t>
            </w:r>
          </w:p>
          <w:p w:rsidR="00081382" w:rsidRPr="00367E5B" w:rsidRDefault="00081382" w:rsidP="00A933DF">
            <w:pPr>
              <w:spacing w:line="180" w:lineRule="exact"/>
              <w:rPr>
                <w:rFonts w:eastAsia="Calibri"/>
                <w:color w:val="auto"/>
                <w:sz w:val="18"/>
                <w:szCs w:val="22"/>
              </w:rPr>
            </w:pPr>
            <w:r w:rsidRPr="00367E5B">
              <w:rPr>
                <w:rFonts w:asciiTheme="minorHAnsi" w:eastAsia="Calibri" w:hAnsiTheme="minorHAnsi"/>
                <w:color w:val="auto"/>
                <w:sz w:val="18"/>
                <w:szCs w:val="18"/>
              </w:rPr>
              <w:t>(20081024)</w:t>
            </w:r>
          </w:p>
        </w:tc>
        <w:tc>
          <w:tcPr>
            <w:tcW w:w="25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A038E" w:rsidRPr="00367E5B" w:rsidRDefault="001A038E" w:rsidP="00A933DF">
            <w:pPr>
              <w:spacing w:line="180" w:lineRule="exact"/>
              <w:rPr>
                <w:rFonts w:eastAsia="Calibri"/>
                <w:color w:val="auto"/>
                <w:sz w:val="18"/>
                <w:szCs w:val="22"/>
              </w:rPr>
            </w:pPr>
            <w:r w:rsidRPr="00367E5B">
              <w:rPr>
                <w:rFonts w:eastAsia="Calibri"/>
                <w:color w:val="auto"/>
                <w:sz w:val="18"/>
                <w:szCs w:val="22"/>
              </w:rPr>
              <w:t xml:space="preserve">VA C&amp;P – </w:t>
            </w:r>
            <w:r w:rsidR="00A933DF" w:rsidRPr="00367E5B">
              <w:rPr>
                <w:rFonts w:eastAsia="Calibri"/>
                <w:color w:val="auto"/>
                <w:sz w:val="18"/>
                <w:szCs w:val="22"/>
              </w:rPr>
              <w:t>11</w:t>
            </w:r>
            <w:r w:rsidRPr="00367E5B">
              <w:rPr>
                <w:rFonts w:eastAsia="Calibri"/>
                <w:color w:val="auto"/>
                <w:sz w:val="18"/>
                <w:szCs w:val="22"/>
              </w:rPr>
              <w:t xml:space="preserve"> mo. </w:t>
            </w:r>
            <w:r w:rsidR="00A933DF" w:rsidRPr="00367E5B">
              <w:rPr>
                <w:rFonts w:eastAsia="Calibri"/>
                <w:color w:val="auto"/>
                <w:sz w:val="18"/>
                <w:szCs w:val="22"/>
              </w:rPr>
              <w:t>After</w:t>
            </w:r>
            <w:r w:rsidRPr="00367E5B">
              <w:rPr>
                <w:rFonts w:eastAsia="Calibri"/>
                <w:color w:val="auto"/>
                <w:sz w:val="18"/>
                <w:szCs w:val="22"/>
              </w:rPr>
              <w:t>-Sep</w:t>
            </w:r>
          </w:p>
          <w:p w:rsidR="00081382" w:rsidRPr="00367E5B" w:rsidRDefault="00081382" w:rsidP="00A933DF">
            <w:pPr>
              <w:spacing w:line="180" w:lineRule="exact"/>
              <w:rPr>
                <w:rFonts w:eastAsiaTheme="minorHAnsi" w:cstheme="minorBidi"/>
                <w:color w:val="auto"/>
                <w:sz w:val="18"/>
                <w:szCs w:val="22"/>
              </w:rPr>
            </w:pPr>
            <w:r w:rsidRPr="00367E5B">
              <w:rPr>
                <w:rFonts w:asciiTheme="minorHAnsi" w:eastAsia="Calibri" w:hAnsiTheme="minorHAnsi"/>
                <w:color w:val="auto"/>
                <w:sz w:val="18"/>
                <w:szCs w:val="18"/>
              </w:rPr>
              <w:t>(2010202)</w:t>
            </w:r>
          </w:p>
        </w:tc>
      </w:tr>
      <w:tr w:rsidR="001A038E" w:rsidRPr="00367E5B" w:rsidTr="00520DE4">
        <w:trPr>
          <w:jc w:val="center"/>
        </w:trPr>
        <w:tc>
          <w:tcPr>
            <w:tcW w:w="2430" w:type="dxa"/>
            <w:tcBorders>
              <w:top w:val="single" w:sz="4" w:space="0" w:color="000000"/>
              <w:left w:val="single" w:sz="4" w:space="0" w:color="000000"/>
              <w:bottom w:val="single" w:sz="4" w:space="0" w:color="000000"/>
              <w:right w:val="single" w:sz="4" w:space="0" w:color="000000"/>
            </w:tcBorders>
            <w:hideMark/>
          </w:tcPr>
          <w:p w:rsidR="001A038E" w:rsidRPr="00367E5B" w:rsidRDefault="001A038E" w:rsidP="001A038E">
            <w:pPr>
              <w:spacing w:line="180" w:lineRule="exact"/>
              <w:rPr>
                <w:rFonts w:eastAsia="Calibri"/>
                <w:color w:val="auto"/>
                <w:sz w:val="18"/>
                <w:szCs w:val="22"/>
              </w:rPr>
            </w:pPr>
            <w:r w:rsidRPr="00367E5B">
              <w:rPr>
                <w:rFonts w:eastAsia="Calibri"/>
                <w:color w:val="auto"/>
                <w:sz w:val="18"/>
                <w:szCs w:val="22"/>
              </w:rPr>
              <w:t>Flexion (90⁰ is normal)</w:t>
            </w:r>
          </w:p>
        </w:tc>
        <w:tc>
          <w:tcPr>
            <w:tcW w:w="2475" w:type="dxa"/>
            <w:tcBorders>
              <w:top w:val="single" w:sz="4" w:space="0" w:color="000000"/>
              <w:left w:val="single" w:sz="4" w:space="0" w:color="000000"/>
              <w:bottom w:val="single" w:sz="4" w:space="0" w:color="000000"/>
              <w:right w:val="single" w:sz="4" w:space="0" w:color="000000"/>
            </w:tcBorders>
            <w:hideMark/>
          </w:tcPr>
          <w:p w:rsidR="001A038E" w:rsidRPr="00367E5B" w:rsidRDefault="001A038E" w:rsidP="001A038E">
            <w:pPr>
              <w:spacing w:line="180" w:lineRule="exact"/>
              <w:rPr>
                <w:rFonts w:eastAsia="Calibri"/>
                <w:color w:val="auto"/>
                <w:sz w:val="18"/>
                <w:szCs w:val="22"/>
              </w:rPr>
            </w:pPr>
            <w:r w:rsidRPr="00367E5B">
              <w:rPr>
                <w:rFonts w:eastAsia="Calibri"/>
                <w:color w:val="auto"/>
                <w:sz w:val="18"/>
                <w:szCs w:val="22"/>
              </w:rPr>
              <w:t>75⁰</w:t>
            </w:r>
          </w:p>
        </w:tc>
        <w:tc>
          <w:tcPr>
            <w:tcW w:w="2565" w:type="dxa"/>
            <w:tcBorders>
              <w:top w:val="single" w:sz="4" w:space="0" w:color="000000"/>
              <w:left w:val="single" w:sz="4" w:space="0" w:color="000000"/>
              <w:bottom w:val="single" w:sz="4" w:space="0" w:color="000000"/>
              <w:right w:val="single" w:sz="4" w:space="0" w:color="000000"/>
            </w:tcBorders>
            <w:hideMark/>
          </w:tcPr>
          <w:p w:rsidR="001A038E" w:rsidRPr="00367E5B" w:rsidRDefault="001A038E" w:rsidP="001A038E">
            <w:pPr>
              <w:spacing w:line="180" w:lineRule="exact"/>
              <w:rPr>
                <w:rFonts w:eastAsia="Calibri"/>
                <w:color w:val="auto"/>
                <w:sz w:val="18"/>
                <w:szCs w:val="22"/>
              </w:rPr>
            </w:pPr>
            <w:r w:rsidRPr="00367E5B">
              <w:rPr>
                <w:rFonts w:eastAsia="Calibri"/>
                <w:color w:val="auto"/>
                <w:sz w:val="18"/>
                <w:szCs w:val="22"/>
              </w:rPr>
              <w:t>50⁰</w:t>
            </w:r>
          </w:p>
        </w:tc>
      </w:tr>
      <w:tr w:rsidR="001A038E" w:rsidRPr="00367E5B" w:rsidTr="00FC26E6">
        <w:trPr>
          <w:jc w:val="center"/>
        </w:trPr>
        <w:tc>
          <w:tcPr>
            <w:tcW w:w="2430" w:type="dxa"/>
            <w:tcBorders>
              <w:top w:val="single" w:sz="4" w:space="0" w:color="000000"/>
              <w:left w:val="single" w:sz="4" w:space="0" w:color="000000"/>
              <w:bottom w:val="single" w:sz="4" w:space="0" w:color="000000"/>
              <w:right w:val="single" w:sz="4" w:space="0" w:color="000000"/>
            </w:tcBorders>
            <w:hideMark/>
          </w:tcPr>
          <w:p w:rsidR="001A038E" w:rsidRPr="00367E5B" w:rsidRDefault="001A038E" w:rsidP="001A038E">
            <w:pPr>
              <w:spacing w:line="180" w:lineRule="exact"/>
              <w:rPr>
                <w:rFonts w:eastAsia="Calibri"/>
                <w:color w:val="auto"/>
                <w:sz w:val="18"/>
                <w:szCs w:val="22"/>
              </w:rPr>
            </w:pPr>
            <w:r w:rsidRPr="00367E5B">
              <w:rPr>
                <w:rFonts w:eastAsia="Calibri"/>
                <w:color w:val="auto"/>
                <w:sz w:val="18"/>
                <w:szCs w:val="22"/>
              </w:rPr>
              <w:t>Combined (240⁰ normal)</w:t>
            </w:r>
          </w:p>
        </w:tc>
        <w:tc>
          <w:tcPr>
            <w:tcW w:w="2475" w:type="dxa"/>
            <w:tcBorders>
              <w:top w:val="single" w:sz="4" w:space="0" w:color="000000"/>
              <w:left w:val="single" w:sz="4" w:space="0" w:color="000000"/>
              <w:bottom w:val="single" w:sz="4" w:space="0" w:color="000000"/>
              <w:right w:val="single" w:sz="4" w:space="0" w:color="000000"/>
            </w:tcBorders>
            <w:hideMark/>
          </w:tcPr>
          <w:p w:rsidR="00E35CC6" w:rsidRPr="00367E5B" w:rsidRDefault="00520DE4" w:rsidP="001A038E">
            <w:pPr>
              <w:spacing w:line="180" w:lineRule="exact"/>
              <w:rPr>
                <w:rFonts w:eastAsia="Calibri"/>
                <w:color w:val="auto"/>
                <w:sz w:val="18"/>
                <w:szCs w:val="22"/>
              </w:rPr>
            </w:pPr>
            <w:r w:rsidRPr="00367E5B">
              <w:rPr>
                <w:rFonts w:eastAsia="Calibri"/>
                <w:color w:val="auto"/>
                <w:sz w:val="18"/>
                <w:szCs w:val="22"/>
              </w:rPr>
              <w:t>I</w:t>
            </w:r>
            <w:r w:rsidR="001A038E" w:rsidRPr="00367E5B">
              <w:rPr>
                <w:rFonts w:eastAsia="Calibri"/>
                <w:color w:val="auto"/>
                <w:sz w:val="18"/>
                <w:szCs w:val="22"/>
              </w:rPr>
              <w:t>ncomplete</w:t>
            </w:r>
            <w:r w:rsidRPr="00367E5B">
              <w:rPr>
                <w:rFonts w:eastAsia="Calibri"/>
                <w:color w:val="auto"/>
                <w:sz w:val="18"/>
                <w:szCs w:val="22"/>
              </w:rPr>
              <w:t xml:space="preserve"> (no rotation)</w:t>
            </w:r>
            <w:r w:rsidR="00E35CC6" w:rsidRPr="00367E5B">
              <w:rPr>
                <w:rFonts w:eastAsia="Calibri"/>
                <w:color w:val="auto"/>
                <w:sz w:val="18"/>
                <w:szCs w:val="22"/>
              </w:rPr>
              <w:t xml:space="preserve"> </w:t>
            </w:r>
          </w:p>
          <w:p w:rsidR="001A038E" w:rsidRPr="00367E5B" w:rsidRDefault="00FC26E6" w:rsidP="00E35CC6">
            <w:pPr>
              <w:spacing w:line="180" w:lineRule="exact"/>
              <w:rPr>
                <w:rFonts w:eastAsia="Calibri"/>
                <w:color w:val="auto"/>
                <w:sz w:val="18"/>
                <w:szCs w:val="22"/>
              </w:rPr>
            </w:pPr>
            <w:r w:rsidRPr="00367E5B">
              <w:rPr>
                <w:rFonts w:eastAsia="Calibri"/>
                <w:color w:val="auto"/>
                <w:sz w:val="18"/>
                <w:szCs w:val="22"/>
              </w:rPr>
              <w:t>[</w:t>
            </w:r>
            <w:r w:rsidR="00E35CC6" w:rsidRPr="00367E5B">
              <w:rPr>
                <w:rFonts w:eastAsia="Calibri"/>
                <w:color w:val="auto"/>
                <w:sz w:val="18"/>
                <w:szCs w:val="22"/>
              </w:rPr>
              <w:t>Min 125⁰, Max 185⁰</w:t>
            </w:r>
            <w:r w:rsidRPr="00367E5B">
              <w:rPr>
                <w:rFonts w:eastAsia="Calibri"/>
                <w:color w:val="auto"/>
                <w:sz w:val="18"/>
                <w:szCs w:val="22"/>
              </w:rPr>
              <w:t>]</w:t>
            </w:r>
          </w:p>
        </w:tc>
        <w:tc>
          <w:tcPr>
            <w:tcW w:w="2565" w:type="dxa"/>
            <w:tcBorders>
              <w:top w:val="single" w:sz="4" w:space="0" w:color="000000"/>
              <w:left w:val="single" w:sz="4" w:space="0" w:color="000000"/>
              <w:bottom w:val="single" w:sz="4" w:space="0" w:color="000000"/>
              <w:right w:val="single" w:sz="4" w:space="0" w:color="000000"/>
            </w:tcBorders>
            <w:vAlign w:val="center"/>
            <w:hideMark/>
          </w:tcPr>
          <w:p w:rsidR="001A038E" w:rsidRPr="00367E5B" w:rsidRDefault="001A038E" w:rsidP="00FC26E6">
            <w:pPr>
              <w:spacing w:line="180" w:lineRule="exact"/>
              <w:rPr>
                <w:rFonts w:eastAsia="Calibri"/>
                <w:color w:val="auto"/>
                <w:sz w:val="18"/>
                <w:szCs w:val="22"/>
              </w:rPr>
            </w:pPr>
            <w:r w:rsidRPr="00367E5B">
              <w:rPr>
                <w:rFonts w:eastAsia="Calibri"/>
                <w:color w:val="auto"/>
                <w:sz w:val="18"/>
                <w:szCs w:val="22"/>
              </w:rPr>
              <w:t>190⁰</w:t>
            </w:r>
          </w:p>
        </w:tc>
      </w:tr>
      <w:tr w:rsidR="001A038E" w:rsidRPr="00367E5B" w:rsidTr="00520DE4">
        <w:trPr>
          <w:trHeight w:val="70"/>
          <w:jc w:val="center"/>
        </w:trPr>
        <w:tc>
          <w:tcPr>
            <w:tcW w:w="2430" w:type="dxa"/>
            <w:tcBorders>
              <w:top w:val="single" w:sz="4" w:space="0" w:color="000000"/>
              <w:left w:val="single" w:sz="4" w:space="0" w:color="000000"/>
              <w:bottom w:val="single" w:sz="4" w:space="0" w:color="000000"/>
              <w:right w:val="single" w:sz="4" w:space="0" w:color="000000"/>
            </w:tcBorders>
            <w:vAlign w:val="center"/>
            <w:hideMark/>
          </w:tcPr>
          <w:p w:rsidR="001A038E" w:rsidRPr="00367E5B" w:rsidRDefault="001A038E" w:rsidP="001A038E">
            <w:pPr>
              <w:tabs>
                <w:tab w:val="left" w:pos="288"/>
                <w:tab w:val="left" w:pos="4752"/>
              </w:tabs>
              <w:spacing w:line="180" w:lineRule="exact"/>
              <w:rPr>
                <w:rFonts w:asciiTheme="minorHAnsi" w:eastAsiaTheme="minorHAnsi" w:hAnsiTheme="minorHAnsi"/>
                <w:color w:val="auto"/>
                <w:sz w:val="18"/>
                <w:szCs w:val="22"/>
              </w:rPr>
            </w:pPr>
            <w:r w:rsidRPr="00367E5B">
              <w:rPr>
                <w:rFonts w:asciiTheme="minorHAnsi" w:eastAsiaTheme="minorHAnsi" w:hAnsiTheme="minorHAnsi"/>
                <w:color w:val="auto"/>
                <w:sz w:val="18"/>
                <w:szCs w:val="22"/>
              </w:rPr>
              <w:t>Comments</w:t>
            </w:r>
          </w:p>
        </w:tc>
        <w:tc>
          <w:tcPr>
            <w:tcW w:w="2475" w:type="dxa"/>
            <w:tcBorders>
              <w:top w:val="single" w:sz="4" w:space="0" w:color="000000"/>
              <w:left w:val="single" w:sz="4" w:space="0" w:color="000000"/>
              <w:bottom w:val="single" w:sz="4" w:space="0" w:color="000000"/>
              <w:right w:val="single" w:sz="4" w:space="0" w:color="000000"/>
            </w:tcBorders>
          </w:tcPr>
          <w:p w:rsidR="001A038E" w:rsidRPr="00367E5B" w:rsidRDefault="001A038E" w:rsidP="001A038E">
            <w:pPr>
              <w:tabs>
                <w:tab w:val="left" w:pos="288"/>
                <w:tab w:val="left" w:pos="4752"/>
              </w:tabs>
              <w:spacing w:line="180" w:lineRule="exact"/>
              <w:jc w:val="left"/>
              <w:rPr>
                <w:rFonts w:asciiTheme="minorHAnsi" w:eastAsiaTheme="minorHAnsi" w:hAnsiTheme="minorHAnsi"/>
                <w:color w:val="auto"/>
                <w:sz w:val="18"/>
                <w:szCs w:val="22"/>
              </w:rPr>
            </w:pPr>
            <w:r w:rsidRPr="00367E5B">
              <w:rPr>
                <w:rFonts w:asciiTheme="minorHAnsi" w:eastAsiaTheme="minorHAnsi" w:hAnsiTheme="minorHAnsi"/>
                <w:color w:val="auto"/>
                <w:sz w:val="18"/>
                <w:szCs w:val="22"/>
              </w:rPr>
              <w:t>Normal gait; no significant muscle spasm or pain on maneuvers</w:t>
            </w:r>
          </w:p>
        </w:tc>
        <w:tc>
          <w:tcPr>
            <w:tcW w:w="2565" w:type="dxa"/>
            <w:tcBorders>
              <w:top w:val="single" w:sz="4" w:space="0" w:color="000000"/>
              <w:left w:val="single" w:sz="4" w:space="0" w:color="000000"/>
              <w:bottom w:val="single" w:sz="4" w:space="0" w:color="000000"/>
              <w:right w:val="single" w:sz="4" w:space="0" w:color="000000"/>
            </w:tcBorders>
          </w:tcPr>
          <w:p w:rsidR="001A038E" w:rsidRPr="00367E5B" w:rsidRDefault="001A038E" w:rsidP="001A038E">
            <w:pPr>
              <w:tabs>
                <w:tab w:val="left" w:pos="288"/>
                <w:tab w:val="left" w:pos="4752"/>
              </w:tabs>
              <w:spacing w:line="180" w:lineRule="exact"/>
              <w:jc w:val="left"/>
              <w:rPr>
                <w:rFonts w:asciiTheme="minorHAnsi" w:eastAsiaTheme="minorHAnsi" w:hAnsiTheme="minorHAnsi"/>
                <w:color w:val="auto"/>
                <w:sz w:val="18"/>
                <w:szCs w:val="22"/>
              </w:rPr>
            </w:pPr>
            <w:r w:rsidRPr="00367E5B">
              <w:rPr>
                <w:rFonts w:asciiTheme="minorHAnsi" w:eastAsiaTheme="minorHAnsi" w:hAnsiTheme="minorHAnsi"/>
                <w:color w:val="auto"/>
                <w:sz w:val="18"/>
                <w:szCs w:val="22"/>
              </w:rPr>
              <w:t>Pain on movement; no spasm or weakness</w:t>
            </w:r>
            <w:r w:rsidR="00A933DF" w:rsidRPr="00367E5B">
              <w:rPr>
                <w:rFonts w:asciiTheme="minorHAnsi" w:eastAsiaTheme="minorHAnsi" w:hAnsiTheme="minorHAnsi"/>
                <w:color w:val="auto"/>
                <w:sz w:val="18"/>
                <w:szCs w:val="22"/>
              </w:rPr>
              <w:t>; same ROM with repetition</w:t>
            </w:r>
          </w:p>
        </w:tc>
      </w:tr>
      <w:tr w:rsidR="001A038E" w:rsidRPr="00367E5B" w:rsidTr="00520DE4">
        <w:trPr>
          <w:trHeight w:val="70"/>
          <w:jc w:val="center"/>
        </w:trPr>
        <w:tc>
          <w:tcPr>
            <w:tcW w:w="2430" w:type="dxa"/>
            <w:tcBorders>
              <w:top w:val="single" w:sz="4" w:space="0" w:color="000000"/>
              <w:left w:val="single" w:sz="4" w:space="0" w:color="000000"/>
              <w:bottom w:val="single" w:sz="4" w:space="0" w:color="000000"/>
              <w:right w:val="single" w:sz="4" w:space="0" w:color="000000"/>
            </w:tcBorders>
            <w:vAlign w:val="center"/>
            <w:hideMark/>
          </w:tcPr>
          <w:p w:rsidR="001A038E" w:rsidRPr="00367E5B" w:rsidRDefault="001A038E" w:rsidP="001A038E">
            <w:pPr>
              <w:tabs>
                <w:tab w:val="left" w:pos="288"/>
                <w:tab w:val="left" w:pos="4752"/>
              </w:tabs>
              <w:spacing w:line="180" w:lineRule="exact"/>
              <w:rPr>
                <w:rFonts w:asciiTheme="minorHAnsi" w:eastAsiaTheme="minorHAnsi" w:hAnsiTheme="minorHAnsi"/>
                <w:color w:val="auto"/>
                <w:sz w:val="18"/>
                <w:szCs w:val="22"/>
              </w:rPr>
            </w:pPr>
            <w:r w:rsidRPr="00367E5B">
              <w:rPr>
                <w:rFonts w:eastAsia="Calibri"/>
                <w:color w:val="auto"/>
                <w:sz w:val="18"/>
                <w:szCs w:val="18"/>
              </w:rPr>
              <w:t>§4.71a Rating</w:t>
            </w:r>
          </w:p>
        </w:tc>
        <w:tc>
          <w:tcPr>
            <w:tcW w:w="2475" w:type="dxa"/>
            <w:tcBorders>
              <w:top w:val="single" w:sz="4" w:space="0" w:color="000000"/>
              <w:left w:val="single" w:sz="4" w:space="0" w:color="000000"/>
              <w:bottom w:val="single" w:sz="4" w:space="0" w:color="000000"/>
              <w:right w:val="single" w:sz="4" w:space="0" w:color="000000"/>
            </w:tcBorders>
          </w:tcPr>
          <w:p w:rsidR="001A038E" w:rsidRPr="00367E5B" w:rsidRDefault="001A038E" w:rsidP="001A038E">
            <w:pPr>
              <w:tabs>
                <w:tab w:val="left" w:pos="288"/>
                <w:tab w:val="left" w:pos="4752"/>
              </w:tabs>
              <w:spacing w:line="180" w:lineRule="exact"/>
              <w:rPr>
                <w:rFonts w:asciiTheme="minorHAnsi" w:eastAsiaTheme="minorHAnsi" w:hAnsiTheme="minorHAnsi"/>
                <w:color w:val="auto"/>
                <w:sz w:val="18"/>
                <w:szCs w:val="22"/>
              </w:rPr>
            </w:pPr>
            <w:r w:rsidRPr="00367E5B">
              <w:rPr>
                <w:rFonts w:asciiTheme="minorHAnsi" w:eastAsiaTheme="minorHAnsi" w:hAnsiTheme="minorHAnsi"/>
                <w:color w:val="auto"/>
                <w:sz w:val="18"/>
                <w:szCs w:val="22"/>
              </w:rPr>
              <w:t>10%</w:t>
            </w:r>
          </w:p>
        </w:tc>
        <w:tc>
          <w:tcPr>
            <w:tcW w:w="2565" w:type="dxa"/>
            <w:tcBorders>
              <w:top w:val="single" w:sz="4" w:space="0" w:color="000000"/>
              <w:left w:val="single" w:sz="4" w:space="0" w:color="000000"/>
              <w:bottom w:val="single" w:sz="4" w:space="0" w:color="000000"/>
              <w:right w:val="single" w:sz="4" w:space="0" w:color="000000"/>
            </w:tcBorders>
          </w:tcPr>
          <w:p w:rsidR="001A038E" w:rsidRPr="00367E5B" w:rsidRDefault="001A038E" w:rsidP="001A038E">
            <w:pPr>
              <w:tabs>
                <w:tab w:val="left" w:pos="288"/>
                <w:tab w:val="left" w:pos="4752"/>
              </w:tabs>
              <w:spacing w:line="180" w:lineRule="exact"/>
              <w:rPr>
                <w:rFonts w:asciiTheme="minorHAnsi" w:eastAsiaTheme="minorHAnsi" w:hAnsiTheme="minorHAnsi"/>
                <w:color w:val="auto"/>
                <w:sz w:val="18"/>
                <w:szCs w:val="22"/>
              </w:rPr>
            </w:pPr>
            <w:r w:rsidRPr="00367E5B">
              <w:rPr>
                <w:rFonts w:asciiTheme="minorHAnsi" w:eastAsiaTheme="minorHAnsi" w:hAnsiTheme="minorHAnsi"/>
                <w:color w:val="auto"/>
                <w:sz w:val="18"/>
                <w:szCs w:val="22"/>
              </w:rPr>
              <w:t>20%</w:t>
            </w:r>
          </w:p>
        </w:tc>
      </w:tr>
    </w:tbl>
    <w:p w:rsidR="001A038E" w:rsidRPr="00367E5B" w:rsidRDefault="001A038E" w:rsidP="00252F6B">
      <w:pPr>
        <w:jc w:val="both"/>
        <w:rPr>
          <w:rFonts w:eastAsiaTheme="minorHAnsi" w:cs="Calibri"/>
          <w:color w:val="auto"/>
          <w:szCs w:val="24"/>
        </w:rPr>
      </w:pPr>
    </w:p>
    <w:p w:rsidR="001A038E" w:rsidRPr="009A72A5" w:rsidRDefault="001A038E" w:rsidP="001A038E">
      <w:pPr>
        <w:jc w:val="both"/>
        <w:rPr>
          <w:color w:val="auto"/>
          <w:szCs w:val="24"/>
        </w:rPr>
      </w:pPr>
      <w:r w:rsidRPr="00E35CC6">
        <w:rPr>
          <w:rFonts w:asciiTheme="minorHAnsi" w:hAnsiTheme="minorHAnsi"/>
          <w:color w:val="auto"/>
          <w:szCs w:val="24"/>
        </w:rPr>
        <w:t xml:space="preserve">The PEB and the </w:t>
      </w:r>
      <w:r w:rsidR="002D28F2">
        <w:rPr>
          <w:rFonts w:asciiTheme="minorHAnsi" w:hAnsiTheme="minorHAnsi"/>
          <w:color w:val="auto"/>
          <w:szCs w:val="24"/>
        </w:rPr>
        <w:t>VA</w:t>
      </w:r>
      <w:r w:rsidRPr="00E35CC6">
        <w:rPr>
          <w:rFonts w:asciiTheme="minorHAnsi" w:hAnsiTheme="minorHAnsi"/>
          <w:color w:val="auto"/>
          <w:szCs w:val="24"/>
        </w:rPr>
        <w:t xml:space="preserve"> used similar codes for the back pain, but they assigned different rating percentages.  The MEB ROM values were </w:t>
      </w:r>
      <w:r w:rsidR="00E35CC6" w:rsidRPr="00E35CC6">
        <w:rPr>
          <w:rFonts w:asciiTheme="minorHAnsi" w:hAnsiTheme="minorHAnsi"/>
          <w:color w:val="auto"/>
          <w:szCs w:val="24"/>
        </w:rPr>
        <w:t>incomplete as there was no measurement of rotation</w:t>
      </w:r>
      <w:r w:rsidRPr="00E35CC6">
        <w:rPr>
          <w:rFonts w:asciiTheme="minorHAnsi" w:hAnsiTheme="minorHAnsi"/>
          <w:color w:val="auto"/>
          <w:szCs w:val="24"/>
        </w:rPr>
        <w:t xml:space="preserve">.  </w:t>
      </w:r>
      <w:r w:rsidR="00E35CC6" w:rsidRPr="00E35CC6">
        <w:rPr>
          <w:rFonts w:asciiTheme="minorHAnsi" w:hAnsiTheme="minorHAnsi"/>
          <w:color w:val="auto"/>
          <w:szCs w:val="24"/>
        </w:rPr>
        <w:t>However, if rotation measurements were zero, the combined ROM of 125⁰ would still be within the</w:t>
      </w:r>
      <w:r w:rsidR="00E35CC6">
        <w:rPr>
          <w:rFonts w:asciiTheme="minorHAnsi" w:hAnsiTheme="minorHAnsi"/>
          <w:color w:val="auto"/>
          <w:szCs w:val="24"/>
        </w:rPr>
        <w:t xml:space="preserve"> 10% rating level.  The VA exam completed multiple repetitions and </w:t>
      </w:r>
      <w:r w:rsidR="00E35CC6" w:rsidRPr="00E11A93">
        <w:rPr>
          <w:rFonts w:asciiTheme="minorHAnsi" w:hAnsiTheme="minorHAnsi"/>
          <w:color w:val="auto"/>
          <w:szCs w:val="24"/>
        </w:rPr>
        <w:t xml:space="preserve">specified </w:t>
      </w:r>
      <w:proofErr w:type="spellStart"/>
      <w:r w:rsidR="00E35CC6" w:rsidRPr="00E11A93">
        <w:rPr>
          <w:rFonts w:asciiTheme="minorHAnsi" w:hAnsiTheme="minorHAnsi"/>
          <w:color w:val="auto"/>
          <w:szCs w:val="24"/>
        </w:rPr>
        <w:t>DeLuca</w:t>
      </w:r>
      <w:proofErr w:type="spellEnd"/>
      <w:r w:rsidR="00E35CC6" w:rsidRPr="00E11A93">
        <w:rPr>
          <w:rFonts w:asciiTheme="minorHAnsi" w:hAnsiTheme="minorHAnsi"/>
          <w:color w:val="auto"/>
          <w:szCs w:val="24"/>
        </w:rPr>
        <w:t xml:space="preserve"> criteria did not change</w:t>
      </w:r>
      <w:r w:rsidR="00E11A93" w:rsidRPr="00E11A93">
        <w:rPr>
          <w:rFonts w:asciiTheme="minorHAnsi" w:hAnsiTheme="minorHAnsi"/>
          <w:color w:val="auto"/>
          <w:szCs w:val="24"/>
        </w:rPr>
        <w:t xml:space="preserve"> the ROM values.  </w:t>
      </w:r>
      <w:r w:rsidR="00E35CC6" w:rsidRPr="00E11A93">
        <w:rPr>
          <w:rFonts w:asciiTheme="minorHAnsi" w:hAnsiTheme="minorHAnsi"/>
          <w:color w:val="auto"/>
          <w:szCs w:val="24"/>
        </w:rPr>
        <w:t xml:space="preserve">The MEB exam was closest to separation, more consistent with outpatient notes, and more reflective of the anticipated severity suggested by the clinical pathology.  </w:t>
      </w:r>
      <w:r w:rsidR="00E11A93" w:rsidRPr="00415ADF">
        <w:rPr>
          <w:rFonts w:asciiTheme="minorHAnsi" w:hAnsiTheme="minorHAnsi"/>
          <w:color w:val="auto"/>
          <w:szCs w:val="24"/>
        </w:rPr>
        <w:t xml:space="preserve">Although the MEB </w:t>
      </w:r>
      <w:r w:rsidR="00E11A93" w:rsidRPr="008C566B">
        <w:rPr>
          <w:rFonts w:asciiTheme="minorHAnsi" w:hAnsiTheme="minorHAnsi"/>
          <w:color w:val="auto"/>
          <w:szCs w:val="24"/>
        </w:rPr>
        <w:t xml:space="preserve">physical noted </w:t>
      </w:r>
      <w:r w:rsidR="00415ADF" w:rsidRPr="008C566B">
        <w:rPr>
          <w:rFonts w:asciiTheme="minorHAnsi" w:hAnsiTheme="minorHAnsi"/>
          <w:color w:val="auto"/>
          <w:szCs w:val="24"/>
        </w:rPr>
        <w:t xml:space="preserve">left great </w:t>
      </w:r>
      <w:r w:rsidR="00E11A93" w:rsidRPr="008C566B">
        <w:rPr>
          <w:rFonts w:asciiTheme="minorHAnsi" w:hAnsiTheme="minorHAnsi"/>
          <w:color w:val="auto"/>
          <w:szCs w:val="24"/>
        </w:rPr>
        <w:t xml:space="preserve">toe weakness which might have been a </w:t>
      </w:r>
      <w:proofErr w:type="spellStart"/>
      <w:r w:rsidR="00E11A93" w:rsidRPr="008C566B">
        <w:rPr>
          <w:rFonts w:asciiTheme="minorHAnsi" w:hAnsiTheme="minorHAnsi"/>
          <w:color w:val="auto"/>
          <w:szCs w:val="24"/>
        </w:rPr>
        <w:t>radiculopathy</w:t>
      </w:r>
      <w:proofErr w:type="spellEnd"/>
      <w:r w:rsidR="00E11A93" w:rsidRPr="008C566B">
        <w:rPr>
          <w:rFonts w:asciiTheme="minorHAnsi" w:hAnsiTheme="minorHAnsi"/>
          <w:color w:val="auto"/>
          <w:szCs w:val="24"/>
        </w:rPr>
        <w:t xml:space="preserve">, </w:t>
      </w:r>
      <w:r w:rsidR="00415ADF" w:rsidRPr="008C566B">
        <w:rPr>
          <w:rFonts w:asciiTheme="minorHAnsi" w:hAnsiTheme="minorHAnsi"/>
          <w:color w:val="auto"/>
          <w:szCs w:val="24"/>
        </w:rPr>
        <w:t xml:space="preserve">the NARSUM and VA </w:t>
      </w:r>
      <w:r w:rsidR="00E11A93" w:rsidRPr="008C566B">
        <w:rPr>
          <w:rFonts w:asciiTheme="minorHAnsi" w:hAnsiTheme="minorHAnsi"/>
          <w:color w:val="auto"/>
          <w:szCs w:val="24"/>
        </w:rPr>
        <w:t xml:space="preserve">exams demonstrated no motor or sensory loss indicative of a ratable </w:t>
      </w:r>
      <w:proofErr w:type="spellStart"/>
      <w:r w:rsidR="00E11A93" w:rsidRPr="008C566B">
        <w:rPr>
          <w:rFonts w:asciiTheme="minorHAnsi" w:hAnsiTheme="minorHAnsi"/>
          <w:color w:val="auto"/>
          <w:szCs w:val="24"/>
        </w:rPr>
        <w:t>radiculopathy</w:t>
      </w:r>
      <w:proofErr w:type="spellEnd"/>
      <w:r w:rsidR="00E11A93" w:rsidRPr="008C566B">
        <w:rPr>
          <w:rFonts w:asciiTheme="minorHAnsi" w:hAnsiTheme="minorHAnsi"/>
          <w:color w:val="auto"/>
          <w:szCs w:val="24"/>
        </w:rPr>
        <w:t xml:space="preserve">.  </w:t>
      </w:r>
      <w:r w:rsidR="00415ADF" w:rsidRPr="008C566B">
        <w:rPr>
          <w:rFonts w:asciiTheme="minorHAnsi" w:hAnsiTheme="minorHAnsi"/>
          <w:color w:val="auto"/>
          <w:szCs w:val="24"/>
        </w:rPr>
        <w:t xml:space="preserve">A neurology evaluation </w:t>
      </w:r>
      <w:r w:rsidR="00C261E9">
        <w:rPr>
          <w:rFonts w:asciiTheme="minorHAnsi" w:hAnsiTheme="minorHAnsi"/>
          <w:color w:val="auto"/>
          <w:szCs w:val="24"/>
        </w:rPr>
        <w:t>one</w:t>
      </w:r>
      <w:r w:rsidR="00415ADF" w:rsidRPr="008C566B">
        <w:rPr>
          <w:rFonts w:asciiTheme="minorHAnsi" w:hAnsiTheme="minorHAnsi"/>
          <w:color w:val="auto"/>
          <w:szCs w:val="24"/>
        </w:rPr>
        <w:t xml:space="preserve"> month prior to separation documented minimally diminished left knee flexion and ankle </w:t>
      </w:r>
      <w:proofErr w:type="spellStart"/>
      <w:r w:rsidR="00415ADF" w:rsidRPr="008C566B">
        <w:rPr>
          <w:rFonts w:asciiTheme="minorHAnsi" w:hAnsiTheme="minorHAnsi"/>
          <w:color w:val="auto"/>
          <w:szCs w:val="24"/>
        </w:rPr>
        <w:t>dorsiflexion</w:t>
      </w:r>
      <w:proofErr w:type="spellEnd"/>
      <w:r w:rsidR="00415ADF" w:rsidRPr="008C566B">
        <w:rPr>
          <w:rFonts w:asciiTheme="minorHAnsi" w:hAnsiTheme="minorHAnsi"/>
          <w:color w:val="auto"/>
          <w:szCs w:val="24"/>
        </w:rPr>
        <w:t xml:space="preserve"> strength (4/5) and “</w:t>
      </w:r>
      <w:r w:rsidR="00367E5B" w:rsidRPr="008C566B">
        <w:rPr>
          <w:rFonts w:asciiTheme="minorHAnsi" w:hAnsiTheme="minorHAnsi"/>
          <w:color w:val="auto"/>
          <w:szCs w:val="24"/>
        </w:rPr>
        <w:t>hypoesthesia</w:t>
      </w:r>
      <w:r w:rsidR="00415ADF" w:rsidRPr="008C566B">
        <w:rPr>
          <w:rFonts w:asciiTheme="minorHAnsi" w:hAnsiTheme="minorHAnsi"/>
          <w:color w:val="auto"/>
          <w:szCs w:val="24"/>
        </w:rPr>
        <w:t xml:space="preserve"> in left S1, S2” which would not have risen to the level of being unfitting.  </w:t>
      </w:r>
      <w:r w:rsidR="00E11A93" w:rsidRPr="008C566B">
        <w:rPr>
          <w:rFonts w:asciiTheme="minorHAnsi" w:hAnsiTheme="minorHAnsi"/>
          <w:color w:val="auto"/>
          <w:szCs w:val="24"/>
        </w:rPr>
        <w:t>The radiating pain is considered under the general spine formula “</w:t>
      </w:r>
      <w:r w:rsidR="002D28F2">
        <w:rPr>
          <w:rFonts w:asciiTheme="minorHAnsi" w:hAnsiTheme="minorHAnsi"/>
          <w:color w:val="auto"/>
          <w:szCs w:val="24"/>
        </w:rPr>
        <w:t>w</w:t>
      </w:r>
      <w:r w:rsidR="00E11A93" w:rsidRPr="008C566B">
        <w:rPr>
          <w:rFonts w:asciiTheme="minorHAnsi" w:hAnsiTheme="minorHAnsi"/>
          <w:color w:val="auto"/>
          <w:szCs w:val="24"/>
        </w:rPr>
        <w:t>ith or without symptoms such as pain (whether or not affected by residuals of injury or disease</w:t>
      </w:r>
      <w:r w:rsidR="002D28F2">
        <w:rPr>
          <w:rFonts w:asciiTheme="minorHAnsi" w:hAnsiTheme="minorHAnsi"/>
          <w:color w:val="auto"/>
          <w:szCs w:val="24"/>
        </w:rPr>
        <w:t>.</w:t>
      </w:r>
      <w:r w:rsidR="00E11A93" w:rsidRPr="008C566B">
        <w:rPr>
          <w:rFonts w:asciiTheme="minorHAnsi" w:hAnsiTheme="minorHAnsi"/>
          <w:color w:val="auto"/>
          <w:szCs w:val="24"/>
        </w:rPr>
        <w:t xml:space="preserve">”  There was therefore no evidence of a </w:t>
      </w:r>
      <w:r w:rsidR="00415ADF" w:rsidRPr="008C566B">
        <w:rPr>
          <w:rFonts w:asciiTheme="minorHAnsi" w:hAnsiTheme="minorHAnsi"/>
          <w:color w:val="auto"/>
          <w:szCs w:val="24"/>
        </w:rPr>
        <w:t xml:space="preserve">separately </w:t>
      </w:r>
      <w:r w:rsidR="002D28F2" w:rsidRPr="008C566B">
        <w:rPr>
          <w:rFonts w:asciiTheme="minorHAnsi" w:hAnsiTheme="minorHAnsi"/>
          <w:color w:val="auto"/>
          <w:szCs w:val="24"/>
        </w:rPr>
        <w:t xml:space="preserve">it radiates), stiffness, or aching in the area of the spine </w:t>
      </w:r>
      <w:r w:rsidR="00E11A93" w:rsidRPr="008C566B">
        <w:rPr>
          <w:rFonts w:asciiTheme="minorHAnsi" w:hAnsiTheme="minorHAnsi"/>
          <w:color w:val="auto"/>
          <w:szCs w:val="24"/>
        </w:rPr>
        <w:t xml:space="preserve">ratable </w:t>
      </w:r>
      <w:r w:rsidR="00415ADF" w:rsidRPr="008C566B">
        <w:rPr>
          <w:rFonts w:asciiTheme="minorHAnsi" w:hAnsiTheme="minorHAnsi"/>
          <w:color w:val="auto"/>
          <w:szCs w:val="24"/>
        </w:rPr>
        <w:t>(</w:t>
      </w:r>
      <w:proofErr w:type="spellStart"/>
      <w:r w:rsidR="00E11A93" w:rsidRPr="008C566B">
        <w:rPr>
          <w:rFonts w:asciiTheme="minorHAnsi" w:hAnsiTheme="minorHAnsi"/>
          <w:color w:val="auto"/>
          <w:szCs w:val="24"/>
        </w:rPr>
        <w:t>radiculopathy</w:t>
      </w:r>
      <w:proofErr w:type="spellEnd"/>
      <w:r w:rsidR="00415ADF" w:rsidRPr="008C566B">
        <w:rPr>
          <w:rFonts w:asciiTheme="minorHAnsi" w:hAnsiTheme="minorHAnsi"/>
          <w:color w:val="auto"/>
          <w:szCs w:val="24"/>
        </w:rPr>
        <w:t>) peripheral nerve condition</w:t>
      </w:r>
      <w:r w:rsidR="00E11A93" w:rsidRPr="008C566B">
        <w:rPr>
          <w:rFonts w:asciiTheme="minorHAnsi" w:hAnsiTheme="minorHAnsi"/>
          <w:color w:val="auto"/>
          <w:szCs w:val="24"/>
        </w:rPr>
        <w:t xml:space="preserve">.  </w:t>
      </w:r>
      <w:r w:rsidRPr="008C566B">
        <w:rPr>
          <w:rFonts w:asciiTheme="minorHAnsi" w:hAnsiTheme="minorHAnsi"/>
          <w:color w:val="auto"/>
          <w:szCs w:val="24"/>
        </w:rPr>
        <w:t>After due deliberation, the Board unanimously agreed to assign greater probative value to the MEB</w:t>
      </w:r>
      <w:r w:rsidRPr="00E11A93">
        <w:rPr>
          <w:rFonts w:asciiTheme="minorHAnsi" w:hAnsiTheme="minorHAnsi"/>
          <w:color w:val="auto"/>
          <w:szCs w:val="24"/>
        </w:rPr>
        <w:t xml:space="preserve"> examination, because of the factors elaborated above.  After careful review of all evidentiary information available, the</w:t>
      </w:r>
      <w:r w:rsidRPr="00E11A93">
        <w:rPr>
          <w:color w:val="auto"/>
          <w:szCs w:val="24"/>
        </w:rPr>
        <w:t xml:space="preserve"> Board could not find </w:t>
      </w:r>
      <w:r w:rsidR="00E11A93">
        <w:rPr>
          <w:color w:val="auto"/>
          <w:szCs w:val="24"/>
        </w:rPr>
        <w:t xml:space="preserve">sufficient </w:t>
      </w:r>
      <w:r w:rsidRPr="00E11A93">
        <w:rPr>
          <w:color w:val="auto"/>
          <w:szCs w:val="24"/>
        </w:rPr>
        <w:t xml:space="preserve">reasonable doubt in the CI’s favor, for recommending a rating higher than </w:t>
      </w:r>
      <w:r w:rsidR="00E11A93" w:rsidRPr="00E11A93">
        <w:rPr>
          <w:color w:val="auto"/>
          <w:szCs w:val="24"/>
        </w:rPr>
        <w:t>1</w:t>
      </w:r>
      <w:r w:rsidRPr="00E11A93">
        <w:rPr>
          <w:color w:val="auto"/>
          <w:szCs w:val="24"/>
        </w:rPr>
        <w:t xml:space="preserve">0%.  </w:t>
      </w:r>
      <w:r w:rsidRPr="00E11A93">
        <w:rPr>
          <w:rFonts w:eastAsia="Calibri"/>
          <w:color w:val="auto"/>
          <w:szCs w:val="24"/>
        </w:rPr>
        <w:t xml:space="preserve">The Board therefore, unanimously recommends a rating of </w:t>
      </w:r>
      <w:r w:rsidR="00E11A93" w:rsidRPr="00E11A93">
        <w:rPr>
          <w:rFonts w:eastAsia="Calibri"/>
          <w:color w:val="auto"/>
          <w:szCs w:val="24"/>
        </w:rPr>
        <w:t>1</w:t>
      </w:r>
      <w:r w:rsidRPr="00E11A93">
        <w:rPr>
          <w:rFonts w:eastAsia="Calibri"/>
          <w:color w:val="auto"/>
          <w:szCs w:val="24"/>
        </w:rPr>
        <w:t>0% for the low back pain condition.</w:t>
      </w:r>
      <w:r w:rsidR="00367E5B">
        <w:rPr>
          <w:rFonts w:eastAsia="Calibri"/>
          <w:color w:val="auto"/>
          <w:szCs w:val="24"/>
        </w:rPr>
        <w:t xml:space="preserve">  </w:t>
      </w:r>
    </w:p>
    <w:p w:rsidR="0046284A" w:rsidRDefault="0046284A" w:rsidP="00252F6B">
      <w:pPr>
        <w:jc w:val="both"/>
        <w:rPr>
          <w:rFonts w:eastAsia="HiddenHorzOCR"/>
          <w:color w:val="000000" w:themeColor="text1"/>
          <w:szCs w:val="24"/>
          <w:u w:val="single"/>
        </w:rPr>
      </w:pPr>
    </w:p>
    <w:p w:rsidR="008C3223" w:rsidRPr="001F29F9" w:rsidRDefault="004C60A3" w:rsidP="00252F6B">
      <w:pPr>
        <w:jc w:val="both"/>
        <w:rPr>
          <w:color w:val="000000" w:themeColor="text1"/>
          <w:szCs w:val="24"/>
        </w:rPr>
      </w:pPr>
      <w:proofErr w:type="gramStart"/>
      <w:r w:rsidRPr="001F29F9">
        <w:rPr>
          <w:rFonts w:eastAsia="HiddenHorzOCR"/>
          <w:color w:val="000000" w:themeColor="text1"/>
          <w:szCs w:val="24"/>
          <w:u w:val="single"/>
        </w:rPr>
        <w:t>Ot</w:t>
      </w:r>
      <w:r w:rsidR="003604A5" w:rsidRPr="001F29F9">
        <w:rPr>
          <w:rFonts w:eastAsia="HiddenHorzOCR"/>
          <w:color w:val="000000" w:themeColor="text1"/>
          <w:szCs w:val="24"/>
          <w:u w:val="single"/>
        </w:rPr>
        <w:t xml:space="preserve">her </w:t>
      </w:r>
      <w:r w:rsidR="008F30F4" w:rsidRPr="001F29F9">
        <w:rPr>
          <w:rFonts w:eastAsia="HiddenHorzOCR"/>
          <w:color w:val="000000" w:themeColor="text1"/>
          <w:szCs w:val="24"/>
          <w:u w:val="single"/>
        </w:rPr>
        <w:t xml:space="preserve">PEB </w:t>
      </w:r>
      <w:r w:rsidR="003604A5" w:rsidRPr="001F29F9">
        <w:rPr>
          <w:rFonts w:eastAsia="HiddenHorzOCR"/>
          <w:color w:val="000000" w:themeColor="text1"/>
          <w:szCs w:val="24"/>
          <w:u w:val="single"/>
        </w:rPr>
        <w:t>Conditions</w:t>
      </w:r>
      <w:r w:rsidR="003604A5" w:rsidRPr="001F29F9">
        <w:rPr>
          <w:rFonts w:eastAsia="HiddenHorzOCR"/>
          <w:color w:val="000000" w:themeColor="text1"/>
          <w:szCs w:val="24"/>
        </w:rPr>
        <w:t>.</w:t>
      </w:r>
      <w:proofErr w:type="gramEnd"/>
      <w:r w:rsidR="002F2981" w:rsidRPr="001F29F9">
        <w:rPr>
          <w:rFonts w:eastAsia="HiddenHorzOCR"/>
          <w:color w:val="000000" w:themeColor="text1"/>
          <w:szCs w:val="24"/>
        </w:rPr>
        <w:t xml:space="preserve"> </w:t>
      </w:r>
      <w:r w:rsidR="003C5B54" w:rsidRPr="001F29F9">
        <w:rPr>
          <w:rFonts w:eastAsia="HiddenHorzOCR"/>
          <w:color w:val="000000" w:themeColor="text1"/>
          <w:szCs w:val="24"/>
        </w:rPr>
        <w:t xml:space="preserve"> </w:t>
      </w:r>
      <w:r w:rsidR="008C3223" w:rsidRPr="001F29F9">
        <w:rPr>
          <w:color w:val="000000" w:themeColor="text1"/>
          <w:szCs w:val="24"/>
        </w:rPr>
        <w:t xml:space="preserve">The other conditions forwarded by the MEB and adjudicated as </w:t>
      </w:r>
      <w:r w:rsidR="002D28F2">
        <w:rPr>
          <w:color w:val="000000" w:themeColor="text1"/>
          <w:szCs w:val="24"/>
        </w:rPr>
        <w:t>c</w:t>
      </w:r>
      <w:r w:rsidR="00E11A93">
        <w:rPr>
          <w:color w:val="000000" w:themeColor="text1"/>
          <w:szCs w:val="24"/>
        </w:rPr>
        <w:t>at</w:t>
      </w:r>
      <w:r w:rsidR="002D28F2">
        <w:rPr>
          <w:color w:val="000000" w:themeColor="text1"/>
          <w:szCs w:val="24"/>
        </w:rPr>
        <w:t>egory</w:t>
      </w:r>
      <w:r w:rsidR="00E11A93">
        <w:rPr>
          <w:color w:val="000000" w:themeColor="text1"/>
          <w:szCs w:val="24"/>
        </w:rPr>
        <w:t xml:space="preserve"> </w:t>
      </w:r>
      <w:r w:rsidR="002D28F2">
        <w:rPr>
          <w:color w:val="000000" w:themeColor="text1"/>
          <w:szCs w:val="24"/>
        </w:rPr>
        <w:t>II</w:t>
      </w:r>
      <w:r w:rsidR="008C3223" w:rsidRPr="001F29F9">
        <w:rPr>
          <w:color w:val="000000" w:themeColor="text1"/>
          <w:szCs w:val="24"/>
        </w:rPr>
        <w:t xml:space="preserve"> by the PEB were </w:t>
      </w:r>
      <w:r w:rsidR="0046284A" w:rsidRPr="00960224">
        <w:rPr>
          <w:color w:val="000000" w:themeColor="text1"/>
          <w:szCs w:val="24"/>
        </w:rPr>
        <w:t xml:space="preserve">possible left lower extremity </w:t>
      </w:r>
      <w:proofErr w:type="spellStart"/>
      <w:r w:rsidR="0046284A" w:rsidRPr="00960224">
        <w:rPr>
          <w:color w:val="000000" w:themeColor="text1"/>
          <w:szCs w:val="24"/>
        </w:rPr>
        <w:t>radiculopathy</w:t>
      </w:r>
      <w:proofErr w:type="spellEnd"/>
      <w:r w:rsidR="0046284A" w:rsidRPr="00960224">
        <w:rPr>
          <w:color w:val="000000" w:themeColor="text1"/>
          <w:szCs w:val="24"/>
        </w:rPr>
        <w:t xml:space="preserve"> and annular tear at L4/5 and L5/S1. </w:t>
      </w:r>
      <w:r w:rsidR="00E11A93">
        <w:rPr>
          <w:color w:val="000000" w:themeColor="text1"/>
          <w:szCs w:val="24"/>
        </w:rPr>
        <w:t xml:space="preserve"> </w:t>
      </w:r>
      <w:r w:rsidR="00373B6F" w:rsidRPr="00960224">
        <w:rPr>
          <w:color w:val="000000" w:themeColor="text1"/>
          <w:szCs w:val="24"/>
        </w:rPr>
        <w:t xml:space="preserve">There were limitations for duty for left leg </w:t>
      </w:r>
      <w:proofErr w:type="spellStart"/>
      <w:r w:rsidR="00E57915" w:rsidRPr="00960224">
        <w:rPr>
          <w:color w:val="000000" w:themeColor="text1"/>
          <w:szCs w:val="24"/>
        </w:rPr>
        <w:t>radiculopathy</w:t>
      </w:r>
      <w:proofErr w:type="spellEnd"/>
      <w:r w:rsidR="00E11A93">
        <w:rPr>
          <w:color w:val="000000" w:themeColor="text1"/>
          <w:szCs w:val="24"/>
        </w:rPr>
        <w:t xml:space="preserve"> and </w:t>
      </w:r>
      <w:proofErr w:type="spellStart"/>
      <w:r w:rsidR="00E11A93">
        <w:rPr>
          <w:color w:val="000000" w:themeColor="text1"/>
          <w:szCs w:val="24"/>
        </w:rPr>
        <w:t>radiculopathy</w:t>
      </w:r>
      <w:proofErr w:type="spellEnd"/>
      <w:r w:rsidR="00E11A93">
        <w:rPr>
          <w:color w:val="000000" w:themeColor="text1"/>
          <w:szCs w:val="24"/>
        </w:rPr>
        <w:t xml:space="preserve"> was </w:t>
      </w:r>
      <w:r w:rsidR="00E11A93">
        <w:rPr>
          <w:color w:val="000000" w:themeColor="text1"/>
          <w:szCs w:val="24"/>
        </w:rPr>
        <w:lastRenderedPageBreak/>
        <w:t>discussed above</w:t>
      </w:r>
      <w:r w:rsidR="008C3223" w:rsidRPr="00960224">
        <w:rPr>
          <w:color w:val="000000" w:themeColor="text1"/>
          <w:szCs w:val="24"/>
        </w:rPr>
        <w:t xml:space="preserve">.  </w:t>
      </w:r>
      <w:r w:rsidR="00E11A93">
        <w:rPr>
          <w:color w:val="000000" w:themeColor="text1"/>
          <w:szCs w:val="24"/>
        </w:rPr>
        <w:t xml:space="preserve">Annular tear was the basis for the unfitting and rated low back pain and was fully considered in the rating above.  </w:t>
      </w:r>
      <w:proofErr w:type="spellStart"/>
      <w:r w:rsidR="00E11A93">
        <w:rPr>
          <w:color w:val="000000" w:themeColor="text1"/>
          <w:szCs w:val="24"/>
        </w:rPr>
        <w:t>Radiculopathy</w:t>
      </w:r>
      <w:proofErr w:type="spellEnd"/>
      <w:r w:rsidR="00E11A93">
        <w:rPr>
          <w:color w:val="000000" w:themeColor="text1"/>
          <w:szCs w:val="24"/>
        </w:rPr>
        <w:t xml:space="preserve"> </w:t>
      </w:r>
      <w:r w:rsidR="00E11A93" w:rsidRPr="00960224">
        <w:rPr>
          <w:color w:val="000000" w:themeColor="text1"/>
          <w:szCs w:val="24"/>
        </w:rPr>
        <w:t xml:space="preserve">was </w:t>
      </w:r>
      <w:r w:rsidR="00E11A93">
        <w:rPr>
          <w:color w:val="000000" w:themeColor="text1"/>
          <w:szCs w:val="24"/>
        </w:rPr>
        <w:t xml:space="preserve">not </w:t>
      </w:r>
      <w:r w:rsidR="00E11A93" w:rsidRPr="00960224">
        <w:rPr>
          <w:color w:val="000000" w:themeColor="text1"/>
          <w:szCs w:val="24"/>
        </w:rPr>
        <w:t>implicated in the non-medical assessment (NMA) or noted as failing retention standards</w:t>
      </w:r>
      <w:r w:rsidR="00E11A93">
        <w:rPr>
          <w:color w:val="000000" w:themeColor="text1"/>
          <w:szCs w:val="24"/>
        </w:rPr>
        <w:t xml:space="preserve">.  </w:t>
      </w:r>
      <w:r w:rsidR="00960224" w:rsidRPr="00960224">
        <w:rPr>
          <w:color w:val="000000" w:themeColor="text1"/>
          <w:szCs w:val="24"/>
        </w:rPr>
        <w:t>Both</w:t>
      </w:r>
      <w:r w:rsidR="008C3223" w:rsidRPr="00960224">
        <w:rPr>
          <w:color w:val="000000" w:themeColor="text1"/>
          <w:szCs w:val="24"/>
        </w:rPr>
        <w:t xml:space="preserve"> </w:t>
      </w:r>
      <w:r w:rsidR="002D28F2">
        <w:rPr>
          <w:color w:val="000000" w:themeColor="text1"/>
          <w:szCs w:val="24"/>
        </w:rPr>
        <w:t>category II</w:t>
      </w:r>
      <w:r w:rsidR="00E11A93">
        <w:rPr>
          <w:color w:val="000000" w:themeColor="text1"/>
          <w:szCs w:val="24"/>
        </w:rPr>
        <w:t xml:space="preserve"> conditions </w:t>
      </w:r>
      <w:r w:rsidR="008C3223" w:rsidRPr="00960224">
        <w:rPr>
          <w:color w:val="000000" w:themeColor="text1"/>
          <w:szCs w:val="24"/>
        </w:rPr>
        <w:t xml:space="preserve">were reviewed by the </w:t>
      </w:r>
      <w:r w:rsidR="0080588E" w:rsidRPr="00960224">
        <w:rPr>
          <w:color w:val="000000" w:themeColor="text1"/>
          <w:szCs w:val="24"/>
        </w:rPr>
        <w:t>action</w:t>
      </w:r>
      <w:r w:rsidR="0080588E" w:rsidRPr="001F29F9">
        <w:rPr>
          <w:color w:val="000000" w:themeColor="text1"/>
          <w:szCs w:val="24"/>
        </w:rPr>
        <w:t xml:space="preserve"> officer </w:t>
      </w:r>
      <w:r w:rsidR="008C3223" w:rsidRPr="001F29F9">
        <w:rPr>
          <w:color w:val="000000" w:themeColor="text1"/>
          <w:szCs w:val="24"/>
        </w:rPr>
        <w:t xml:space="preserve">and considered by the Board.  There was no indication from the record that any of these conditions significantly interfered with satisfactory </w:t>
      </w:r>
      <w:r w:rsidR="0080588E" w:rsidRPr="001F29F9">
        <w:rPr>
          <w:color w:val="000000" w:themeColor="text1"/>
          <w:szCs w:val="24"/>
        </w:rPr>
        <w:t xml:space="preserve">duty </w:t>
      </w:r>
      <w:r w:rsidR="008C3223" w:rsidRPr="001F29F9">
        <w:rPr>
          <w:color w:val="000000" w:themeColor="text1"/>
          <w:szCs w:val="24"/>
        </w:rPr>
        <w:t>performance</w:t>
      </w:r>
      <w:r w:rsidR="00E11A93">
        <w:rPr>
          <w:color w:val="000000" w:themeColor="text1"/>
          <w:szCs w:val="24"/>
        </w:rPr>
        <w:t xml:space="preserve"> or were separately ratable</w:t>
      </w:r>
      <w:r w:rsidR="008C3223" w:rsidRPr="001F29F9">
        <w:rPr>
          <w:color w:val="000000" w:themeColor="text1"/>
          <w:szCs w:val="24"/>
        </w:rPr>
        <w:t>.  All evidence considered</w:t>
      </w:r>
      <w:proofErr w:type="gramStart"/>
      <w:r w:rsidR="008C3223" w:rsidRPr="001F29F9">
        <w:rPr>
          <w:color w:val="000000" w:themeColor="text1"/>
          <w:szCs w:val="24"/>
        </w:rPr>
        <w:t>,</w:t>
      </w:r>
      <w:proofErr w:type="gramEnd"/>
      <w:r w:rsidR="008C3223" w:rsidRPr="001F29F9">
        <w:rPr>
          <w:color w:val="000000" w:themeColor="text1"/>
          <w:szCs w:val="24"/>
        </w:rPr>
        <w:t xml:space="preserve"> there is not reasonable doubt in the CI’s favor supporting</w:t>
      </w:r>
      <w:r w:rsidR="00E11A93">
        <w:rPr>
          <w:color w:val="000000" w:themeColor="text1"/>
          <w:szCs w:val="24"/>
        </w:rPr>
        <w:t xml:space="preserve"> </w:t>
      </w:r>
      <w:proofErr w:type="spellStart"/>
      <w:r w:rsidR="00E11A93">
        <w:rPr>
          <w:color w:val="000000" w:themeColor="text1"/>
          <w:szCs w:val="24"/>
        </w:rPr>
        <w:t>recharacterization</w:t>
      </w:r>
      <w:proofErr w:type="spellEnd"/>
      <w:r w:rsidR="00E11A93">
        <w:rPr>
          <w:color w:val="000000" w:themeColor="text1"/>
          <w:szCs w:val="24"/>
        </w:rPr>
        <w:t xml:space="preserve"> of the PEB </w:t>
      </w:r>
      <w:r w:rsidR="002D28F2">
        <w:rPr>
          <w:color w:val="000000" w:themeColor="text1"/>
          <w:szCs w:val="24"/>
        </w:rPr>
        <w:t>category II</w:t>
      </w:r>
      <w:r w:rsidR="008C3223" w:rsidRPr="001F29F9">
        <w:rPr>
          <w:color w:val="000000" w:themeColor="text1"/>
          <w:szCs w:val="24"/>
        </w:rPr>
        <w:t xml:space="preserve"> adjudication for any of the stated conditions.</w:t>
      </w:r>
      <w:r w:rsidR="00252F6B">
        <w:rPr>
          <w:color w:val="000000" w:themeColor="text1"/>
          <w:szCs w:val="24"/>
        </w:rPr>
        <w:t xml:space="preserve">  </w:t>
      </w:r>
    </w:p>
    <w:p w:rsidR="00F73FF8" w:rsidRPr="001F29F9" w:rsidRDefault="00F73FF8" w:rsidP="00BF0E94">
      <w:pPr>
        <w:jc w:val="left"/>
        <w:rPr>
          <w:rFonts w:eastAsia="HiddenHorzOCR"/>
          <w:color w:val="000000" w:themeColor="text1"/>
          <w:szCs w:val="24"/>
        </w:rPr>
      </w:pPr>
    </w:p>
    <w:p w:rsidR="00A02AA8" w:rsidRPr="001F29F9" w:rsidRDefault="00A02AA8" w:rsidP="00A02AA8">
      <w:pPr>
        <w:jc w:val="both"/>
        <w:rPr>
          <w:color w:val="000000" w:themeColor="text1"/>
          <w:szCs w:val="24"/>
        </w:rPr>
      </w:pPr>
      <w:proofErr w:type="gramStart"/>
      <w:r w:rsidRPr="004B2C9B">
        <w:rPr>
          <w:color w:val="000000" w:themeColor="text1"/>
          <w:szCs w:val="24"/>
          <w:u w:val="single"/>
        </w:rPr>
        <w:t>Remaining Conditions</w:t>
      </w:r>
      <w:r w:rsidRPr="004B2C9B">
        <w:rPr>
          <w:color w:val="000000" w:themeColor="text1"/>
          <w:szCs w:val="24"/>
        </w:rPr>
        <w:t>.</w:t>
      </w:r>
      <w:proofErr w:type="gramEnd"/>
      <w:r w:rsidRPr="004B2C9B">
        <w:rPr>
          <w:color w:val="000000" w:themeColor="text1"/>
          <w:szCs w:val="24"/>
        </w:rPr>
        <w:t xml:space="preserve">  Several additional non-acute conditions or medical complaints were also documented</w:t>
      </w:r>
      <w:r w:rsidR="00081382">
        <w:rPr>
          <w:color w:val="000000" w:themeColor="text1"/>
          <w:szCs w:val="24"/>
        </w:rPr>
        <w:t xml:space="preserve">, but were </w:t>
      </w:r>
      <w:r w:rsidR="004B2C9B" w:rsidRPr="004B2C9B">
        <w:rPr>
          <w:color w:val="000000" w:themeColor="text1"/>
          <w:szCs w:val="24"/>
        </w:rPr>
        <w:t>not</w:t>
      </w:r>
      <w:r w:rsidRPr="004B2C9B">
        <w:rPr>
          <w:color w:val="000000" w:themeColor="text1"/>
          <w:szCs w:val="24"/>
        </w:rPr>
        <w:t xml:space="preserve"> significantly clinically or occupationally active during the MEB </w:t>
      </w:r>
      <w:r w:rsidR="00081382" w:rsidRPr="004B2C9B">
        <w:rPr>
          <w:color w:val="000000" w:themeColor="text1"/>
          <w:szCs w:val="24"/>
        </w:rPr>
        <w:t>period;</w:t>
      </w:r>
      <w:r w:rsidRPr="004B2C9B">
        <w:rPr>
          <w:color w:val="000000" w:themeColor="text1"/>
          <w:szCs w:val="24"/>
        </w:rPr>
        <w:t xml:space="preserve"> none carried attached duty limitations</w:t>
      </w:r>
      <w:r w:rsidR="0080588E" w:rsidRPr="004B2C9B">
        <w:rPr>
          <w:color w:val="000000" w:themeColor="text1"/>
          <w:szCs w:val="24"/>
        </w:rPr>
        <w:t>,</w:t>
      </w:r>
      <w:r w:rsidRPr="004B2C9B">
        <w:rPr>
          <w:color w:val="000000" w:themeColor="text1"/>
          <w:szCs w:val="24"/>
        </w:rPr>
        <w:t xml:space="preserve"> </w:t>
      </w:r>
      <w:r w:rsidR="004B2C9B" w:rsidRPr="004B2C9B">
        <w:rPr>
          <w:color w:val="000000" w:themeColor="text1"/>
          <w:szCs w:val="24"/>
        </w:rPr>
        <w:t xml:space="preserve">or </w:t>
      </w:r>
      <w:r w:rsidR="00081382">
        <w:rPr>
          <w:color w:val="000000" w:themeColor="text1"/>
          <w:szCs w:val="24"/>
        </w:rPr>
        <w:t xml:space="preserve">were </w:t>
      </w:r>
      <w:r w:rsidRPr="004B2C9B">
        <w:rPr>
          <w:color w:val="000000" w:themeColor="text1"/>
          <w:szCs w:val="24"/>
        </w:rPr>
        <w:t>implicated in the</w:t>
      </w:r>
      <w:r w:rsidR="0080588E" w:rsidRPr="004B2C9B">
        <w:rPr>
          <w:color w:val="000000" w:themeColor="text1"/>
          <w:szCs w:val="24"/>
        </w:rPr>
        <w:t xml:space="preserve"> non-medical assessment</w:t>
      </w:r>
      <w:r w:rsidRPr="004B2C9B">
        <w:rPr>
          <w:color w:val="000000" w:themeColor="text1"/>
          <w:szCs w:val="24"/>
        </w:rPr>
        <w:t xml:space="preserve">. </w:t>
      </w:r>
      <w:r w:rsidR="00081382">
        <w:rPr>
          <w:color w:val="000000" w:themeColor="text1"/>
          <w:szCs w:val="24"/>
        </w:rPr>
        <w:t xml:space="preserve"> </w:t>
      </w:r>
      <w:r w:rsidRPr="004B2C9B">
        <w:rPr>
          <w:color w:val="000000" w:themeColor="text1"/>
          <w:szCs w:val="24"/>
        </w:rPr>
        <w:t xml:space="preserve">These conditions were reviewed by the </w:t>
      </w:r>
      <w:r w:rsidR="0080588E" w:rsidRPr="004B2C9B">
        <w:rPr>
          <w:color w:val="000000" w:themeColor="text1"/>
          <w:szCs w:val="24"/>
        </w:rPr>
        <w:t xml:space="preserve">action officer </w:t>
      </w:r>
      <w:r w:rsidRPr="004B2C9B">
        <w:rPr>
          <w:color w:val="000000" w:themeColor="text1"/>
          <w:szCs w:val="24"/>
        </w:rPr>
        <w:t>and considered by the Board.  It was determined that none could be argued as unfitting and subject to separation rating.  Additionally</w:t>
      </w:r>
      <w:r w:rsidR="00081382">
        <w:rPr>
          <w:color w:val="000000" w:themeColor="text1"/>
          <w:szCs w:val="24"/>
        </w:rPr>
        <w:t>,</w:t>
      </w:r>
      <w:r w:rsidRPr="004B2C9B">
        <w:rPr>
          <w:color w:val="000000" w:themeColor="text1"/>
          <w:szCs w:val="24"/>
        </w:rPr>
        <w:t xml:space="preserve"> </w:t>
      </w:r>
      <w:r w:rsidR="004B2C9B" w:rsidRPr="004B2C9B">
        <w:rPr>
          <w:color w:val="000000" w:themeColor="text1"/>
          <w:szCs w:val="24"/>
        </w:rPr>
        <w:t xml:space="preserve">chronic left hip </w:t>
      </w:r>
      <w:r w:rsidR="00FE7BF5" w:rsidRPr="004B2C9B">
        <w:rPr>
          <w:color w:val="000000" w:themeColor="text1"/>
          <w:szCs w:val="24"/>
        </w:rPr>
        <w:t xml:space="preserve">strain </w:t>
      </w:r>
      <w:r w:rsidR="00081382">
        <w:rPr>
          <w:color w:val="000000" w:themeColor="text1"/>
          <w:szCs w:val="24"/>
        </w:rPr>
        <w:t xml:space="preserve">(VA 10%), </w:t>
      </w:r>
      <w:r w:rsidR="00FE7BF5" w:rsidRPr="004B2C9B">
        <w:rPr>
          <w:color w:val="000000" w:themeColor="text1"/>
          <w:szCs w:val="24"/>
        </w:rPr>
        <w:t>and</w:t>
      </w:r>
      <w:r w:rsidRPr="004B2C9B">
        <w:rPr>
          <w:color w:val="000000" w:themeColor="text1"/>
          <w:szCs w:val="24"/>
        </w:rPr>
        <w:t xml:space="preserve"> several other non-acute conditions were noted in the VA </w:t>
      </w:r>
      <w:r w:rsidR="00081382">
        <w:rPr>
          <w:color w:val="000000" w:themeColor="text1"/>
          <w:szCs w:val="24"/>
        </w:rPr>
        <w:t xml:space="preserve">records </w:t>
      </w:r>
      <w:r w:rsidRPr="004B2C9B">
        <w:rPr>
          <w:color w:val="000000" w:themeColor="text1"/>
          <w:szCs w:val="24"/>
        </w:rPr>
        <w:t>proximal to separation were not documented in the DES file</w:t>
      </w:r>
      <w:r w:rsidRPr="001F29F9">
        <w:rPr>
          <w:color w:val="000000" w:themeColor="text1"/>
          <w:szCs w:val="24"/>
        </w:rPr>
        <w:t xml:space="preserve">.  The Board does not have the authority under </w:t>
      </w:r>
      <w:proofErr w:type="spellStart"/>
      <w:r w:rsidRPr="001F29F9">
        <w:rPr>
          <w:color w:val="000000" w:themeColor="text1"/>
          <w:szCs w:val="24"/>
        </w:rPr>
        <w:t>DoDI</w:t>
      </w:r>
      <w:proofErr w:type="spellEnd"/>
      <w:r w:rsidRPr="001F29F9">
        <w:rPr>
          <w:color w:val="000000" w:themeColor="text1"/>
          <w:szCs w:val="24"/>
        </w:rPr>
        <w:t xml:space="preserve"> 6040.44 to render fitness or rating recommendations for any conditions not considered by the DES.  The Board therefore has no reasonable basis for recommending any additional unfitting conditions for separation rating.</w:t>
      </w:r>
      <w:r w:rsidR="00252F6B">
        <w:rPr>
          <w:color w:val="000000" w:themeColor="text1"/>
          <w:szCs w:val="24"/>
        </w:rPr>
        <w:t xml:space="preserve">  </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252F6B" w:rsidRPr="003C53E8" w:rsidRDefault="00C56FC8" w:rsidP="003C53E8">
      <w:pPr>
        <w:jc w:val="both"/>
        <w:rPr>
          <w:rFonts w:asciiTheme="minorHAnsi" w:eastAsiaTheme="minorHAnsi" w:hAnsiTheme="minorHAns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w:t>
      </w:r>
      <w:proofErr w:type="spellStart"/>
      <w:r w:rsidRPr="001F29F9">
        <w:rPr>
          <w:rFonts w:eastAsiaTheme="minorHAnsi"/>
          <w:color w:val="000000" w:themeColor="text1"/>
          <w:szCs w:val="24"/>
        </w:rPr>
        <w:t>DoDI</w:t>
      </w:r>
      <w:proofErr w:type="spellEnd"/>
      <w:r w:rsidRPr="001F29F9">
        <w:rPr>
          <w:rFonts w:eastAsiaTheme="minorHAnsi"/>
          <w:color w:val="000000" w:themeColor="text1"/>
          <w:szCs w:val="24"/>
        </w:rPr>
        <w:t xml:space="preserve"> 6040.44, provisions of </w:t>
      </w:r>
      <w:proofErr w:type="spellStart"/>
      <w:r w:rsidRPr="001F29F9">
        <w:rPr>
          <w:rFonts w:eastAsiaTheme="minorHAnsi"/>
          <w:color w:val="000000" w:themeColor="text1"/>
          <w:szCs w:val="24"/>
        </w:rPr>
        <w:t>DoD</w:t>
      </w:r>
      <w:proofErr w:type="spellEnd"/>
      <w:r w:rsidRPr="001F29F9">
        <w:rPr>
          <w:rFonts w:eastAsiaTheme="minorHAnsi"/>
          <w:color w:val="000000" w:themeColor="text1"/>
          <w:szCs w:val="24"/>
        </w:rPr>
        <w:t xml:space="preserve"> or Military Department regulations or guidelines relied upon by the PEB will not be considered by the Board to the extent they were inconsistent with the VASRD in effect at the time of the adjudication</w:t>
      </w:r>
      <w:r w:rsidR="003C53E8" w:rsidRPr="003C53E8">
        <w:rPr>
          <w:rFonts w:asciiTheme="minorHAnsi" w:eastAsiaTheme="minorHAnsi" w:hAnsiTheme="minorHAnsi" w:cs="Times New Roman"/>
          <w:color w:val="auto"/>
          <w:szCs w:val="24"/>
        </w:rPr>
        <w:t xml:space="preserve">. </w:t>
      </w:r>
      <w:r w:rsidR="00081382">
        <w:rPr>
          <w:rFonts w:asciiTheme="minorHAnsi" w:eastAsiaTheme="minorHAnsi" w:hAnsiTheme="minorHAnsi" w:cs="Times New Roman"/>
          <w:color w:val="auto"/>
          <w:szCs w:val="24"/>
        </w:rPr>
        <w:t xml:space="preserve"> </w:t>
      </w:r>
      <w:r w:rsidR="00081382" w:rsidRPr="001B3161">
        <w:rPr>
          <w:rFonts w:eastAsia="Calibri"/>
          <w:color w:val="auto"/>
          <w:szCs w:val="24"/>
        </w:rPr>
        <w:t>In the matter of the</w:t>
      </w:r>
      <w:r w:rsidR="00081382">
        <w:rPr>
          <w:rFonts w:eastAsia="Calibri"/>
          <w:color w:val="auto"/>
          <w:szCs w:val="24"/>
        </w:rPr>
        <w:t xml:space="preserve"> low back pain condition, the Board unanimously</w:t>
      </w:r>
      <w:r w:rsidR="00081382" w:rsidRPr="001B3161">
        <w:rPr>
          <w:rFonts w:eastAsia="Calibri"/>
          <w:color w:val="auto"/>
          <w:szCs w:val="24"/>
        </w:rPr>
        <w:t xml:space="preserve"> recommends no change in the PEB </w:t>
      </w:r>
      <w:r w:rsidR="00081382">
        <w:rPr>
          <w:rFonts w:eastAsia="Calibri"/>
          <w:color w:val="auto"/>
          <w:szCs w:val="24"/>
        </w:rPr>
        <w:t xml:space="preserve">10% unfitting </w:t>
      </w:r>
      <w:r w:rsidR="00081382" w:rsidRPr="001B3161">
        <w:rPr>
          <w:rFonts w:eastAsia="Calibri"/>
          <w:color w:val="auto"/>
          <w:szCs w:val="24"/>
        </w:rPr>
        <w:t>adjudication</w:t>
      </w:r>
      <w:r w:rsidR="00081382">
        <w:rPr>
          <w:color w:val="auto"/>
          <w:szCs w:val="24"/>
        </w:rPr>
        <w:t>.  In the matter of the p</w:t>
      </w:r>
      <w:r w:rsidR="00081382" w:rsidRPr="00081382">
        <w:rPr>
          <w:color w:val="auto"/>
          <w:szCs w:val="24"/>
        </w:rPr>
        <w:t xml:space="preserve">ossible </w:t>
      </w:r>
      <w:r w:rsidR="00081382">
        <w:rPr>
          <w:color w:val="auto"/>
          <w:szCs w:val="24"/>
        </w:rPr>
        <w:t>l</w:t>
      </w:r>
      <w:r w:rsidR="00081382" w:rsidRPr="00081382">
        <w:rPr>
          <w:color w:val="auto"/>
          <w:szCs w:val="24"/>
        </w:rPr>
        <w:t xml:space="preserve">eft </w:t>
      </w:r>
      <w:r w:rsidR="00081382">
        <w:rPr>
          <w:color w:val="auto"/>
          <w:szCs w:val="24"/>
        </w:rPr>
        <w:t>l</w:t>
      </w:r>
      <w:r w:rsidR="00081382" w:rsidRPr="00081382">
        <w:rPr>
          <w:color w:val="auto"/>
          <w:szCs w:val="24"/>
        </w:rPr>
        <w:t xml:space="preserve">ower </w:t>
      </w:r>
      <w:r w:rsidR="00081382">
        <w:rPr>
          <w:color w:val="auto"/>
          <w:szCs w:val="24"/>
        </w:rPr>
        <w:t>e</w:t>
      </w:r>
      <w:r w:rsidR="00081382" w:rsidRPr="00081382">
        <w:rPr>
          <w:color w:val="auto"/>
          <w:szCs w:val="24"/>
        </w:rPr>
        <w:t xml:space="preserve">xtremity </w:t>
      </w:r>
      <w:proofErr w:type="spellStart"/>
      <w:r w:rsidR="00081382">
        <w:rPr>
          <w:color w:val="auto"/>
          <w:szCs w:val="24"/>
        </w:rPr>
        <w:t>r</w:t>
      </w:r>
      <w:r w:rsidR="00081382" w:rsidRPr="00081382">
        <w:rPr>
          <w:color w:val="auto"/>
          <w:szCs w:val="24"/>
        </w:rPr>
        <w:t>adiculopathy</w:t>
      </w:r>
      <w:proofErr w:type="spellEnd"/>
      <w:r w:rsidR="00081382">
        <w:rPr>
          <w:color w:val="auto"/>
          <w:szCs w:val="24"/>
        </w:rPr>
        <w:t xml:space="preserve"> and a</w:t>
      </w:r>
      <w:r w:rsidR="00081382" w:rsidRPr="00081382">
        <w:rPr>
          <w:color w:val="auto"/>
          <w:szCs w:val="24"/>
        </w:rPr>
        <w:t xml:space="preserve">nnular </w:t>
      </w:r>
      <w:r w:rsidR="00081382">
        <w:rPr>
          <w:color w:val="auto"/>
          <w:szCs w:val="24"/>
        </w:rPr>
        <w:t>t</w:t>
      </w:r>
      <w:r w:rsidR="00081382" w:rsidRPr="00081382">
        <w:rPr>
          <w:color w:val="auto"/>
          <w:szCs w:val="24"/>
        </w:rPr>
        <w:t xml:space="preserve">ear </w:t>
      </w:r>
      <w:r w:rsidR="00081382">
        <w:rPr>
          <w:color w:val="auto"/>
          <w:szCs w:val="24"/>
        </w:rPr>
        <w:t xml:space="preserve">conditions, </w:t>
      </w:r>
      <w:r w:rsidR="00081382">
        <w:rPr>
          <w:rFonts w:eastAsia="Calibri"/>
          <w:color w:val="auto"/>
          <w:szCs w:val="24"/>
        </w:rPr>
        <w:t>the Board unanimously</w:t>
      </w:r>
      <w:r w:rsidR="00081382" w:rsidRPr="001B3161">
        <w:rPr>
          <w:rFonts w:eastAsia="Calibri"/>
          <w:color w:val="auto"/>
          <w:szCs w:val="24"/>
        </w:rPr>
        <w:t xml:space="preserve"> recommends no change in the PEB </w:t>
      </w:r>
      <w:r w:rsidR="00C261E9">
        <w:rPr>
          <w:rFonts w:eastAsia="Calibri"/>
          <w:color w:val="auto"/>
          <w:szCs w:val="24"/>
        </w:rPr>
        <w:t>category</w:t>
      </w:r>
      <w:r w:rsidR="00081382">
        <w:rPr>
          <w:rFonts w:eastAsia="Calibri"/>
          <w:color w:val="auto"/>
          <w:szCs w:val="24"/>
        </w:rPr>
        <w:t xml:space="preserve"> </w:t>
      </w:r>
      <w:r w:rsidR="00C261E9">
        <w:rPr>
          <w:rFonts w:eastAsia="Calibri"/>
          <w:color w:val="auto"/>
          <w:szCs w:val="24"/>
        </w:rPr>
        <w:t>II</w:t>
      </w:r>
      <w:r w:rsidR="00081382">
        <w:rPr>
          <w:rFonts w:eastAsia="Calibri"/>
          <w:color w:val="auto"/>
          <w:szCs w:val="24"/>
        </w:rPr>
        <w:t xml:space="preserve"> </w:t>
      </w:r>
      <w:r w:rsidR="00081382" w:rsidRPr="001B3161">
        <w:rPr>
          <w:rFonts w:eastAsia="Calibri"/>
          <w:color w:val="auto"/>
          <w:szCs w:val="24"/>
        </w:rPr>
        <w:t>adjudication</w:t>
      </w:r>
      <w:r w:rsidR="00081382">
        <w:rPr>
          <w:rFonts w:eastAsia="Calibri"/>
          <w:color w:val="auto"/>
          <w:szCs w:val="24"/>
        </w:rPr>
        <w:t xml:space="preserve">.  </w:t>
      </w:r>
      <w:r w:rsidR="00081382" w:rsidRPr="001B3161">
        <w:rPr>
          <w:rFonts w:eastAsia="Calibri"/>
          <w:color w:val="auto"/>
          <w:szCs w:val="24"/>
        </w:rPr>
        <w:t xml:space="preserve">In the matter of </w:t>
      </w:r>
      <w:r w:rsidR="00081382">
        <w:rPr>
          <w:color w:val="auto"/>
          <w:szCs w:val="24"/>
        </w:rPr>
        <w:t>any other</w:t>
      </w:r>
      <w:r w:rsidR="00081382" w:rsidRPr="00AE3316">
        <w:rPr>
          <w:color w:val="auto"/>
          <w:szCs w:val="24"/>
        </w:rPr>
        <w:t xml:space="preserve"> conditions</w:t>
      </w:r>
      <w:r w:rsidR="00081382">
        <w:rPr>
          <w:color w:val="auto"/>
          <w:szCs w:val="24"/>
        </w:rPr>
        <w:t xml:space="preserve"> eligible for consideration</w:t>
      </w:r>
      <w:r w:rsidR="00081382" w:rsidRPr="00AE3316">
        <w:rPr>
          <w:color w:val="auto"/>
          <w:szCs w:val="24"/>
        </w:rPr>
        <w:t xml:space="preserve">; the Board </w:t>
      </w:r>
      <w:r w:rsidR="00081382" w:rsidRPr="001236EC">
        <w:rPr>
          <w:color w:val="auto"/>
          <w:szCs w:val="24"/>
        </w:rPr>
        <w:t xml:space="preserve">unanimously </w:t>
      </w:r>
      <w:r w:rsidR="00081382" w:rsidRPr="00AE3316">
        <w:rPr>
          <w:color w:val="auto"/>
          <w:szCs w:val="24"/>
        </w:rPr>
        <w:t>agrees that it cannot</w:t>
      </w:r>
      <w:r w:rsidR="00081382" w:rsidRPr="00AE3316">
        <w:rPr>
          <w:color w:val="000080"/>
          <w:szCs w:val="24"/>
        </w:rPr>
        <w:t xml:space="preserve"> </w:t>
      </w:r>
      <w:r w:rsidR="00081382" w:rsidRPr="00AE3316">
        <w:rPr>
          <w:color w:val="auto"/>
          <w:szCs w:val="24"/>
        </w:rPr>
        <w:t>recommend a</w:t>
      </w:r>
      <w:r w:rsidR="00081382">
        <w:rPr>
          <w:color w:val="auto"/>
          <w:szCs w:val="24"/>
        </w:rPr>
        <w:t>ny</w:t>
      </w:r>
      <w:r w:rsidR="00081382" w:rsidRPr="00AE3316">
        <w:rPr>
          <w:color w:val="auto"/>
          <w:szCs w:val="24"/>
        </w:rPr>
        <w:t xml:space="preserve"> finding</w:t>
      </w:r>
      <w:r w:rsidR="00081382">
        <w:rPr>
          <w:color w:val="auto"/>
          <w:szCs w:val="24"/>
        </w:rPr>
        <w:t>s</w:t>
      </w:r>
      <w:r w:rsidR="00081382" w:rsidRPr="00AE3316">
        <w:rPr>
          <w:color w:val="auto"/>
          <w:szCs w:val="24"/>
        </w:rPr>
        <w:t xml:space="preserve"> of unfit for additional rating at separation.</w:t>
      </w:r>
      <w:r w:rsidR="00081382">
        <w:rPr>
          <w:color w:val="auto"/>
          <w:szCs w:val="24"/>
        </w:rPr>
        <w:t xml:space="preserve">  </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6B4AA2" w:rsidRPr="00367E5B" w:rsidRDefault="00C56FC8" w:rsidP="00081382">
      <w:pPr>
        <w:jc w:val="left"/>
        <w:rPr>
          <w:color w:val="auto"/>
          <w:szCs w:val="24"/>
        </w:rPr>
      </w:pPr>
      <w:r w:rsidRPr="001F29F9">
        <w:rPr>
          <w:color w:val="000000" w:themeColor="text1"/>
          <w:szCs w:val="24"/>
          <w:u w:val="single"/>
        </w:rPr>
        <w:t>RECOMMENDATION</w:t>
      </w:r>
      <w:r w:rsidRPr="001F29F9">
        <w:rPr>
          <w:color w:val="000000" w:themeColor="text1"/>
          <w:szCs w:val="24"/>
        </w:rPr>
        <w:t>:</w:t>
      </w:r>
      <w:r w:rsidR="00081382">
        <w:rPr>
          <w:b/>
          <w:color w:val="000000" w:themeColor="text1"/>
          <w:szCs w:val="24"/>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w:t>
      </w:r>
      <w:r w:rsidRPr="00367E5B">
        <w:rPr>
          <w:color w:val="auto"/>
          <w:szCs w:val="24"/>
        </w:rPr>
        <w:t xml:space="preserve">no </w:t>
      </w:r>
      <w:proofErr w:type="spellStart"/>
      <w:r w:rsidRPr="00367E5B">
        <w:rPr>
          <w:color w:val="auto"/>
          <w:szCs w:val="24"/>
        </w:rPr>
        <w:t>recharacterization</w:t>
      </w:r>
      <w:proofErr w:type="spellEnd"/>
      <w:r w:rsidRPr="00367E5B">
        <w:rPr>
          <w:color w:val="auto"/>
          <w:szCs w:val="24"/>
        </w:rPr>
        <w:t xml:space="preserve"> of the CI’s disability and separation determination</w:t>
      </w:r>
      <w:r w:rsidR="008C3FD0" w:rsidRPr="00367E5B">
        <w:rPr>
          <w:color w:val="auto"/>
          <w:szCs w:val="24"/>
        </w:rPr>
        <w:t>,</w:t>
      </w:r>
      <w:r w:rsidR="00BD2A49" w:rsidRPr="00367E5B">
        <w:rPr>
          <w:color w:val="auto"/>
          <w:szCs w:val="24"/>
        </w:rPr>
        <w:t xml:space="preserve"> as follows:</w:t>
      </w:r>
      <w:r w:rsidR="003604A5" w:rsidRPr="00367E5B">
        <w:rPr>
          <w:color w:val="auto"/>
          <w:szCs w:val="24"/>
        </w:rPr>
        <w:t xml:space="preserve"> </w:t>
      </w:r>
      <w:r w:rsidR="00860135">
        <w:rPr>
          <w:color w:val="auto"/>
          <w:szCs w:val="24"/>
        </w:rPr>
        <w:t xml:space="preserve"> </w:t>
      </w:r>
    </w:p>
    <w:p w:rsidR="00BA6A9C" w:rsidRPr="00367E5B" w:rsidRDefault="00BA6A9C" w:rsidP="00BF0E94">
      <w:pPr>
        <w:tabs>
          <w:tab w:val="left" w:pos="288"/>
          <w:tab w:val="left" w:pos="4752"/>
        </w:tabs>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367E5B" w:rsidTr="00A83CEF">
        <w:trPr>
          <w:trHeight w:val="233"/>
          <w:jc w:val="center"/>
        </w:trPr>
        <w:tc>
          <w:tcPr>
            <w:tcW w:w="6282" w:type="dxa"/>
            <w:shd w:val="clear" w:color="auto" w:fill="D9D9D9"/>
            <w:vAlign w:val="center"/>
          </w:tcPr>
          <w:p w:rsidR="00A95BBA" w:rsidRPr="00367E5B" w:rsidRDefault="00A95BBA" w:rsidP="00A83CEF">
            <w:pPr>
              <w:tabs>
                <w:tab w:val="left" w:pos="288"/>
                <w:tab w:val="left" w:pos="4752"/>
              </w:tabs>
              <w:rPr>
                <w:b/>
                <w:color w:val="auto"/>
                <w:szCs w:val="24"/>
              </w:rPr>
            </w:pPr>
            <w:r w:rsidRPr="00367E5B">
              <w:rPr>
                <w:b/>
                <w:color w:val="auto"/>
                <w:szCs w:val="24"/>
              </w:rPr>
              <w:t>UNFITTING CONDITION</w:t>
            </w:r>
          </w:p>
        </w:tc>
        <w:tc>
          <w:tcPr>
            <w:tcW w:w="1710" w:type="dxa"/>
            <w:shd w:val="clear" w:color="auto" w:fill="D9D9D9"/>
            <w:vAlign w:val="center"/>
          </w:tcPr>
          <w:p w:rsidR="00A95BBA" w:rsidRPr="00367E5B" w:rsidRDefault="00A95BBA" w:rsidP="00A83CEF">
            <w:pPr>
              <w:tabs>
                <w:tab w:val="left" w:pos="288"/>
                <w:tab w:val="left" w:pos="4752"/>
              </w:tabs>
              <w:rPr>
                <w:b/>
                <w:color w:val="auto"/>
                <w:szCs w:val="24"/>
              </w:rPr>
            </w:pPr>
            <w:r w:rsidRPr="00367E5B">
              <w:rPr>
                <w:b/>
                <w:color w:val="auto"/>
                <w:szCs w:val="24"/>
              </w:rPr>
              <w:t>VASRD CODE</w:t>
            </w:r>
          </w:p>
        </w:tc>
        <w:tc>
          <w:tcPr>
            <w:tcW w:w="1170" w:type="dxa"/>
            <w:shd w:val="clear" w:color="auto" w:fill="D9D9D9"/>
            <w:vAlign w:val="center"/>
          </w:tcPr>
          <w:p w:rsidR="00A95BBA" w:rsidRPr="00367E5B" w:rsidRDefault="00A95BBA" w:rsidP="00A83CEF">
            <w:pPr>
              <w:tabs>
                <w:tab w:val="left" w:pos="288"/>
                <w:tab w:val="left" w:pos="4752"/>
              </w:tabs>
              <w:rPr>
                <w:b/>
                <w:color w:val="auto"/>
                <w:szCs w:val="24"/>
              </w:rPr>
            </w:pPr>
            <w:r w:rsidRPr="00367E5B">
              <w:rPr>
                <w:b/>
                <w:color w:val="auto"/>
                <w:szCs w:val="24"/>
              </w:rPr>
              <w:t>RATING</w:t>
            </w:r>
          </w:p>
        </w:tc>
      </w:tr>
      <w:tr w:rsidR="00081382" w:rsidRPr="00367E5B" w:rsidTr="00A83CEF">
        <w:trPr>
          <w:jc w:val="center"/>
        </w:trPr>
        <w:tc>
          <w:tcPr>
            <w:tcW w:w="6282" w:type="dxa"/>
            <w:vAlign w:val="center"/>
          </w:tcPr>
          <w:p w:rsidR="00081382" w:rsidRPr="00367E5B" w:rsidRDefault="00081382" w:rsidP="00A83CEF">
            <w:pPr>
              <w:contextualSpacing/>
              <w:jc w:val="left"/>
              <w:rPr>
                <w:rFonts w:cs="Calibri"/>
                <w:color w:val="auto"/>
                <w:szCs w:val="18"/>
              </w:rPr>
            </w:pPr>
            <w:proofErr w:type="spellStart"/>
            <w:r w:rsidRPr="00367E5B">
              <w:rPr>
                <w:rFonts w:cs="Calibri"/>
                <w:color w:val="auto"/>
                <w:szCs w:val="18"/>
              </w:rPr>
              <w:t>Discogenic</w:t>
            </w:r>
            <w:proofErr w:type="spellEnd"/>
            <w:r w:rsidRPr="00367E5B">
              <w:rPr>
                <w:rFonts w:cs="Calibri"/>
                <w:color w:val="auto"/>
                <w:szCs w:val="18"/>
              </w:rPr>
              <w:t xml:space="preserve"> Low Back Pain</w:t>
            </w:r>
          </w:p>
        </w:tc>
        <w:tc>
          <w:tcPr>
            <w:tcW w:w="1710" w:type="dxa"/>
            <w:vAlign w:val="center"/>
          </w:tcPr>
          <w:p w:rsidR="00081382" w:rsidRPr="00367E5B" w:rsidRDefault="00081382" w:rsidP="00A83CEF">
            <w:pPr>
              <w:contextualSpacing/>
              <w:rPr>
                <w:rFonts w:cs="Calibri"/>
                <w:color w:val="auto"/>
                <w:szCs w:val="18"/>
              </w:rPr>
            </w:pPr>
            <w:r w:rsidRPr="00367E5B">
              <w:rPr>
                <w:rFonts w:cs="Calibri"/>
                <w:color w:val="auto"/>
                <w:szCs w:val="18"/>
              </w:rPr>
              <w:t>5237</w:t>
            </w:r>
          </w:p>
        </w:tc>
        <w:tc>
          <w:tcPr>
            <w:tcW w:w="1170" w:type="dxa"/>
            <w:vAlign w:val="center"/>
          </w:tcPr>
          <w:p w:rsidR="00081382" w:rsidRPr="00367E5B" w:rsidRDefault="00081382" w:rsidP="00A83CEF">
            <w:pPr>
              <w:rPr>
                <w:rFonts w:cs="Calibri"/>
                <w:color w:val="auto"/>
                <w:szCs w:val="18"/>
              </w:rPr>
            </w:pPr>
            <w:r w:rsidRPr="00367E5B">
              <w:rPr>
                <w:rFonts w:cs="Calibri"/>
                <w:color w:val="auto"/>
                <w:szCs w:val="18"/>
              </w:rPr>
              <w:t>10%</w:t>
            </w:r>
          </w:p>
        </w:tc>
      </w:tr>
      <w:tr w:rsidR="00A95BBA" w:rsidRPr="00367E5B" w:rsidTr="00A83CEF">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367E5B" w:rsidRDefault="00A95BBA" w:rsidP="00A83CEF">
            <w:pPr>
              <w:tabs>
                <w:tab w:val="left" w:pos="288"/>
                <w:tab w:val="left" w:pos="4752"/>
              </w:tabs>
              <w:rPr>
                <w:b/>
                <w:color w:val="auto"/>
                <w:szCs w:val="24"/>
              </w:rPr>
            </w:pPr>
            <w:r w:rsidRPr="00367E5B">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367E5B" w:rsidRDefault="00081382" w:rsidP="00A83CEF">
            <w:pPr>
              <w:tabs>
                <w:tab w:val="left" w:pos="288"/>
                <w:tab w:val="left" w:pos="4752"/>
              </w:tabs>
              <w:rPr>
                <w:b/>
                <w:color w:val="auto"/>
                <w:szCs w:val="24"/>
              </w:rPr>
            </w:pPr>
            <w:r w:rsidRPr="00367E5B">
              <w:rPr>
                <w:b/>
                <w:color w:val="auto"/>
                <w:szCs w:val="24"/>
              </w:rPr>
              <w:t>1</w:t>
            </w:r>
            <w:r w:rsidR="00A95BBA" w:rsidRPr="00367E5B">
              <w:rPr>
                <w:b/>
                <w:color w:val="auto"/>
                <w:szCs w:val="24"/>
              </w:rPr>
              <w:t>0%</w:t>
            </w:r>
          </w:p>
        </w:tc>
      </w:tr>
    </w:tbl>
    <w:p w:rsidR="005B1D09" w:rsidRPr="00367E5B" w:rsidRDefault="005B1D09" w:rsidP="00BF0E94">
      <w:pPr>
        <w:pBdr>
          <w:bottom w:val="single" w:sz="12" w:space="1" w:color="auto"/>
        </w:pBdr>
        <w:tabs>
          <w:tab w:val="left" w:pos="288"/>
          <w:tab w:val="left" w:pos="4752"/>
        </w:tabs>
        <w:jc w:val="both"/>
        <w:rPr>
          <w:color w:val="auto"/>
        </w:rPr>
      </w:pPr>
    </w:p>
    <w:p w:rsidR="005B1D09" w:rsidRPr="00367E5B" w:rsidRDefault="005B1D09" w:rsidP="00945FB2">
      <w:pPr>
        <w:jc w:val="both"/>
        <w:rPr>
          <w:color w:val="auto"/>
          <w:szCs w:val="24"/>
        </w:rPr>
      </w:pPr>
    </w:p>
    <w:p w:rsidR="00D91DA6" w:rsidRPr="00367E5B" w:rsidRDefault="00FB1725" w:rsidP="00945FB2">
      <w:pPr>
        <w:tabs>
          <w:tab w:val="left" w:pos="288"/>
          <w:tab w:val="left" w:pos="4752"/>
        </w:tabs>
        <w:jc w:val="both"/>
        <w:rPr>
          <w:color w:val="auto"/>
        </w:rPr>
      </w:pPr>
      <w:r w:rsidRPr="00367E5B">
        <w:rPr>
          <w:color w:val="auto"/>
        </w:rPr>
        <w:t>The following documentary evidence was considered:</w:t>
      </w:r>
    </w:p>
    <w:p w:rsidR="00EB5EFD" w:rsidRPr="001F29F9" w:rsidRDefault="00EB5EFD" w:rsidP="00945FB2">
      <w:pPr>
        <w:tabs>
          <w:tab w:val="left" w:pos="288"/>
          <w:tab w:val="left" w:pos="4752"/>
        </w:tabs>
        <w:jc w:val="both"/>
        <w:rPr>
          <w:color w:val="000000" w:themeColor="text1"/>
        </w:rPr>
      </w:pPr>
    </w:p>
    <w:p w:rsidR="00114F20" w:rsidRPr="001F29F9" w:rsidRDefault="00FB1725" w:rsidP="00945FB2">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FC26E6">
        <w:rPr>
          <w:color w:val="000000" w:themeColor="text1"/>
          <w:szCs w:val="24"/>
        </w:rPr>
        <w:t>106</w:t>
      </w:r>
      <w:r w:rsidR="008D52C7">
        <w:rPr>
          <w:color w:val="000000" w:themeColor="text1"/>
          <w:szCs w:val="24"/>
        </w:rPr>
        <w:t>1</w:t>
      </w:r>
      <w:r w:rsidR="00FC26E6">
        <w:rPr>
          <w:color w:val="000000" w:themeColor="text1"/>
          <w:szCs w:val="24"/>
        </w:rPr>
        <w:t>0</w:t>
      </w:r>
      <w:r w:rsidR="002D28F2">
        <w:rPr>
          <w:color w:val="000000" w:themeColor="text1"/>
        </w:rPr>
        <w:t>, w/</w:t>
      </w:r>
      <w:proofErr w:type="spellStart"/>
      <w:r w:rsidR="002D28F2">
        <w:rPr>
          <w:color w:val="000000" w:themeColor="text1"/>
        </w:rPr>
        <w:t>atchs</w:t>
      </w:r>
      <w:proofErr w:type="spellEnd"/>
    </w:p>
    <w:p w:rsidR="00114F20" w:rsidRPr="001F29F9" w:rsidRDefault="00FB1725" w:rsidP="00945FB2">
      <w:pPr>
        <w:tabs>
          <w:tab w:val="left" w:pos="288"/>
          <w:tab w:val="left" w:pos="4752"/>
        </w:tabs>
        <w:jc w:val="both"/>
        <w:rPr>
          <w:color w:val="000000" w:themeColor="text1"/>
        </w:rPr>
      </w:pPr>
      <w:r w:rsidRPr="001F29F9">
        <w:rPr>
          <w:color w:val="000000" w:themeColor="text1"/>
        </w:rPr>
        <w:t>Exhib</w:t>
      </w:r>
      <w:r w:rsidR="002D28F2">
        <w:rPr>
          <w:color w:val="000000" w:themeColor="text1"/>
        </w:rPr>
        <w:t>it B.  Service Treatment Record</w:t>
      </w:r>
    </w:p>
    <w:p w:rsidR="00114F20" w:rsidRPr="001F29F9" w:rsidRDefault="00FB1725" w:rsidP="00945FB2">
      <w:pPr>
        <w:tabs>
          <w:tab w:val="left" w:pos="288"/>
          <w:tab w:val="left" w:pos="4752"/>
        </w:tabs>
        <w:jc w:val="both"/>
        <w:rPr>
          <w:color w:val="000000" w:themeColor="text1"/>
        </w:rPr>
      </w:pPr>
      <w:r w:rsidRPr="001F29F9">
        <w:rPr>
          <w:color w:val="000000" w:themeColor="text1"/>
        </w:rPr>
        <w:t>Exhibit C.  Department of Ve</w:t>
      </w:r>
      <w:r w:rsidR="002D28F2">
        <w:rPr>
          <w:color w:val="000000" w:themeColor="text1"/>
        </w:rPr>
        <w:t>terans Affairs Treatment Record</w:t>
      </w:r>
    </w:p>
    <w:p w:rsidR="00D91DA6" w:rsidRPr="001F29F9" w:rsidRDefault="00D91DA6" w:rsidP="00945FB2">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91DF4" w:rsidRDefault="002F195B" w:rsidP="008C566B">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r w:rsidR="008C566B">
        <w:rPr>
          <w:color w:val="000000" w:themeColor="text1"/>
          <w:szCs w:val="24"/>
        </w:rPr>
        <w:t xml:space="preserve">  </w:t>
      </w:r>
    </w:p>
    <w:p w:rsidR="00E91DF4" w:rsidRDefault="00E91DF4">
      <w:pPr>
        <w:rPr>
          <w:color w:val="000000" w:themeColor="text1"/>
          <w:szCs w:val="24"/>
        </w:rPr>
      </w:pPr>
      <w:r>
        <w:rPr>
          <w:color w:val="000000" w:themeColor="text1"/>
          <w:szCs w:val="24"/>
        </w:rPr>
        <w:br w:type="page"/>
      </w:r>
    </w:p>
    <w:p w:rsidR="00E91DF4" w:rsidRPr="00E91DF4" w:rsidRDefault="00E91DF4" w:rsidP="00E91DF4">
      <w:pPr>
        <w:tabs>
          <w:tab w:val="left" w:pos="0"/>
          <w:tab w:val="left" w:pos="4320"/>
        </w:tabs>
        <w:jc w:val="both"/>
        <w:rPr>
          <w:color w:val="000000" w:themeColor="text1"/>
          <w:szCs w:val="24"/>
        </w:rPr>
      </w:pPr>
      <w:r w:rsidRPr="00E91DF4">
        <w:rPr>
          <w:color w:val="000000" w:themeColor="text1"/>
          <w:szCs w:val="24"/>
        </w:rPr>
        <w:lastRenderedPageBreak/>
        <w:t xml:space="preserve">MEMORANDUM FOR DIRECTOR, SECRETARY OF THE NAVY COUNCIL OF REVIEW            </w:t>
      </w:r>
    </w:p>
    <w:p w:rsidR="00E91DF4" w:rsidRPr="00E91DF4" w:rsidRDefault="00E91DF4" w:rsidP="00E91DF4">
      <w:pPr>
        <w:tabs>
          <w:tab w:val="left" w:pos="0"/>
          <w:tab w:val="left" w:pos="4320"/>
        </w:tabs>
        <w:jc w:val="both"/>
        <w:rPr>
          <w:color w:val="000000" w:themeColor="text1"/>
          <w:szCs w:val="24"/>
        </w:rPr>
      </w:pPr>
      <w:r w:rsidRPr="00E91DF4">
        <w:rPr>
          <w:color w:val="000000" w:themeColor="text1"/>
          <w:szCs w:val="24"/>
        </w:rPr>
        <w:t xml:space="preserve">               BOARDS </w:t>
      </w:r>
    </w:p>
    <w:p w:rsidR="00E91DF4" w:rsidRPr="00E91DF4" w:rsidRDefault="00E91DF4" w:rsidP="00E91DF4">
      <w:pPr>
        <w:tabs>
          <w:tab w:val="left" w:pos="0"/>
          <w:tab w:val="left" w:pos="4320"/>
        </w:tabs>
        <w:jc w:val="both"/>
        <w:rPr>
          <w:color w:val="000000" w:themeColor="text1"/>
          <w:szCs w:val="24"/>
        </w:rPr>
      </w:pPr>
    </w:p>
    <w:p w:rsidR="00E91DF4" w:rsidRPr="00E91DF4" w:rsidRDefault="00E91DF4" w:rsidP="00E91DF4">
      <w:pPr>
        <w:tabs>
          <w:tab w:val="left" w:pos="0"/>
          <w:tab w:val="left" w:pos="4320"/>
        </w:tabs>
        <w:jc w:val="both"/>
        <w:rPr>
          <w:color w:val="000000" w:themeColor="text1"/>
          <w:szCs w:val="24"/>
        </w:rPr>
      </w:pPr>
      <w:proofErr w:type="spellStart"/>
      <w:r w:rsidRPr="00E91DF4">
        <w:rPr>
          <w:color w:val="000000" w:themeColor="text1"/>
          <w:szCs w:val="24"/>
        </w:rPr>
        <w:t>Subj</w:t>
      </w:r>
      <w:proofErr w:type="spellEnd"/>
      <w:r w:rsidRPr="00E91DF4">
        <w:rPr>
          <w:color w:val="000000" w:themeColor="text1"/>
          <w:szCs w:val="24"/>
        </w:rPr>
        <w:t>:  PHYSICAL DISABILITY BOARD OF REVIEW (PDBR) RECOMMENDATIONS</w:t>
      </w:r>
    </w:p>
    <w:p w:rsidR="00E91DF4" w:rsidRPr="00E91DF4" w:rsidRDefault="00E91DF4" w:rsidP="00E91DF4">
      <w:pPr>
        <w:tabs>
          <w:tab w:val="left" w:pos="0"/>
          <w:tab w:val="left" w:pos="4320"/>
        </w:tabs>
        <w:jc w:val="both"/>
        <w:rPr>
          <w:color w:val="000000" w:themeColor="text1"/>
          <w:szCs w:val="24"/>
        </w:rPr>
      </w:pPr>
    </w:p>
    <w:p w:rsidR="00E91DF4" w:rsidRPr="00E91DF4" w:rsidRDefault="00E91DF4" w:rsidP="00E91DF4">
      <w:pPr>
        <w:tabs>
          <w:tab w:val="left" w:pos="0"/>
          <w:tab w:val="left" w:pos="4320"/>
        </w:tabs>
        <w:jc w:val="both"/>
        <w:rPr>
          <w:color w:val="000000" w:themeColor="text1"/>
          <w:szCs w:val="24"/>
        </w:rPr>
      </w:pPr>
      <w:r w:rsidRPr="00E91DF4">
        <w:rPr>
          <w:color w:val="000000" w:themeColor="text1"/>
          <w:szCs w:val="24"/>
        </w:rPr>
        <w:t xml:space="preserve">Ref:  (a) </w:t>
      </w:r>
      <w:proofErr w:type="spellStart"/>
      <w:r w:rsidRPr="00E91DF4">
        <w:rPr>
          <w:color w:val="000000" w:themeColor="text1"/>
          <w:szCs w:val="24"/>
        </w:rPr>
        <w:t>DoDI</w:t>
      </w:r>
      <w:proofErr w:type="spellEnd"/>
      <w:r w:rsidRPr="00E91DF4">
        <w:rPr>
          <w:color w:val="000000" w:themeColor="text1"/>
          <w:szCs w:val="24"/>
        </w:rPr>
        <w:t xml:space="preserve"> 6040.44</w:t>
      </w:r>
    </w:p>
    <w:p w:rsidR="00E91DF4" w:rsidRPr="00E91DF4" w:rsidRDefault="00E91DF4" w:rsidP="00E91DF4">
      <w:pPr>
        <w:tabs>
          <w:tab w:val="left" w:pos="0"/>
          <w:tab w:val="left" w:pos="4320"/>
        </w:tabs>
        <w:jc w:val="both"/>
        <w:rPr>
          <w:color w:val="000000" w:themeColor="text1"/>
          <w:szCs w:val="24"/>
        </w:rPr>
      </w:pPr>
      <w:r w:rsidRPr="00E91DF4">
        <w:rPr>
          <w:color w:val="000000" w:themeColor="text1"/>
          <w:szCs w:val="24"/>
        </w:rPr>
        <w:t xml:space="preserve">      (b) CORB letter </w:t>
      </w:r>
      <w:proofErr w:type="spellStart"/>
      <w:r w:rsidRPr="00E91DF4">
        <w:rPr>
          <w:color w:val="000000" w:themeColor="text1"/>
          <w:szCs w:val="24"/>
        </w:rPr>
        <w:t>dtd</w:t>
      </w:r>
      <w:proofErr w:type="spellEnd"/>
      <w:r w:rsidRPr="00E91DF4">
        <w:rPr>
          <w:color w:val="000000" w:themeColor="text1"/>
          <w:szCs w:val="24"/>
        </w:rPr>
        <w:t xml:space="preserve"> 12 Apr 12</w:t>
      </w:r>
    </w:p>
    <w:p w:rsidR="00E91DF4" w:rsidRPr="00E91DF4" w:rsidRDefault="00E91DF4" w:rsidP="00E91DF4">
      <w:pPr>
        <w:tabs>
          <w:tab w:val="left" w:pos="0"/>
          <w:tab w:val="left" w:pos="4320"/>
        </w:tabs>
        <w:jc w:val="both"/>
        <w:rPr>
          <w:color w:val="000000" w:themeColor="text1"/>
          <w:szCs w:val="24"/>
        </w:rPr>
      </w:pPr>
    </w:p>
    <w:p w:rsidR="00E91DF4" w:rsidRPr="00E91DF4" w:rsidRDefault="00E91DF4" w:rsidP="00E91DF4">
      <w:pPr>
        <w:tabs>
          <w:tab w:val="left" w:pos="0"/>
          <w:tab w:val="left" w:pos="4320"/>
        </w:tabs>
        <w:jc w:val="both"/>
        <w:rPr>
          <w:color w:val="000000" w:themeColor="text1"/>
          <w:szCs w:val="24"/>
        </w:rPr>
      </w:pPr>
      <w:r w:rsidRPr="00E91DF4">
        <w:rPr>
          <w:color w:val="000000" w:themeColor="text1"/>
          <w:szCs w:val="24"/>
        </w:rPr>
        <w:t xml:space="preserve">    In accordance with reference (a), I have reviewed the cases forwarded by reference (b), and, for the reasons provided in their forwarding memorandum, approve the recommendations of the PDBR the following individuals’ records not be corrected to reflect a change in either characterization of separation or in the disability rating previously assigned by the Department of the Navy’s Physical Evaluation Board:</w:t>
      </w:r>
    </w:p>
    <w:p w:rsidR="00E91DF4" w:rsidRPr="00E91DF4" w:rsidRDefault="00E91DF4" w:rsidP="00E91DF4">
      <w:pPr>
        <w:tabs>
          <w:tab w:val="left" w:pos="0"/>
          <w:tab w:val="left" w:pos="4320"/>
        </w:tabs>
        <w:jc w:val="both"/>
        <w:rPr>
          <w:color w:val="000000" w:themeColor="text1"/>
          <w:szCs w:val="24"/>
        </w:rPr>
      </w:pPr>
    </w:p>
    <w:p w:rsidR="00E91DF4" w:rsidRPr="00E91DF4" w:rsidRDefault="00E91DF4" w:rsidP="00E91DF4">
      <w:pPr>
        <w:tabs>
          <w:tab w:val="left" w:pos="0"/>
          <w:tab w:val="left" w:pos="4320"/>
        </w:tabs>
        <w:jc w:val="both"/>
        <w:rPr>
          <w:color w:val="000000" w:themeColor="text1"/>
          <w:szCs w:val="24"/>
        </w:rPr>
      </w:pPr>
    </w:p>
    <w:p w:rsidR="00E91DF4" w:rsidRPr="00E91DF4" w:rsidRDefault="00E91DF4" w:rsidP="00E91DF4">
      <w:pPr>
        <w:tabs>
          <w:tab w:val="left" w:pos="0"/>
          <w:tab w:val="left" w:pos="4320"/>
        </w:tabs>
        <w:jc w:val="both"/>
        <w:rPr>
          <w:color w:val="000000" w:themeColor="text1"/>
          <w:szCs w:val="24"/>
        </w:rPr>
      </w:pPr>
    </w:p>
    <w:p w:rsidR="00E91DF4" w:rsidRPr="00E91DF4" w:rsidRDefault="00E91DF4" w:rsidP="00E91DF4">
      <w:pPr>
        <w:tabs>
          <w:tab w:val="left" w:pos="0"/>
          <w:tab w:val="left" w:pos="4320"/>
        </w:tabs>
        <w:jc w:val="both"/>
        <w:rPr>
          <w:color w:val="000000" w:themeColor="text1"/>
          <w:szCs w:val="24"/>
        </w:rPr>
      </w:pPr>
    </w:p>
    <w:p w:rsidR="00E91DF4" w:rsidRPr="00E91DF4" w:rsidRDefault="00E91DF4" w:rsidP="00E91DF4">
      <w:pPr>
        <w:tabs>
          <w:tab w:val="left" w:pos="0"/>
          <w:tab w:val="left" w:pos="4320"/>
        </w:tabs>
        <w:jc w:val="both"/>
        <w:rPr>
          <w:color w:val="000000" w:themeColor="text1"/>
          <w:szCs w:val="24"/>
        </w:rPr>
      </w:pPr>
      <w:r w:rsidRPr="00E91DF4">
        <w:rPr>
          <w:color w:val="000000" w:themeColor="text1"/>
          <w:szCs w:val="24"/>
        </w:rPr>
        <w:tab/>
      </w:r>
      <w:r>
        <w:rPr>
          <w:color w:val="000000" w:themeColor="text1"/>
          <w:szCs w:val="24"/>
        </w:rPr>
        <w:t xml:space="preserve"> </w:t>
      </w:r>
    </w:p>
    <w:p w:rsidR="00E91DF4" w:rsidRPr="00E91DF4" w:rsidRDefault="00E91DF4" w:rsidP="00E91DF4">
      <w:pPr>
        <w:tabs>
          <w:tab w:val="left" w:pos="0"/>
          <w:tab w:val="left" w:pos="4320"/>
        </w:tabs>
        <w:jc w:val="both"/>
        <w:rPr>
          <w:color w:val="000000" w:themeColor="text1"/>
          <w:szCs w:val="24"/>
        </w:rPr>
      </w:pPr>
      <w:r w:rsidRPr="00E91DF4">
        <w:rPr>
          <w:color w:val="000000" w:themeColor="text1"/>
          <w:szCs w:val="24"/>
        </w:rPr>
        <w:tab/>
        <w:t>Assistant General Counsel</w:t>
      </w:r>
    </w:p>
    <w:p w:rsidR="00E91DF4" w:rsidRPr="00E91DF4" w:rsidRDefault="00E91DF4" w:rsidP="00E91DF4">
      <w:pPr>
        <w:tabs>
          <w:tab w:val="left" w:pos="0"/>
          <w:tab w:val="left" w:pos="4320"/>
        </w:tabs>
        <w:jc w:val="both"/>
        <w:rPr>
          <w:color w:val="000000" w:themeColor="text1"/>
          <w:szCs w:val="24"/>
        </w:rPr>
      </w:pPr>
      <w:r w:rsidRPr="00E91DF4">
        <w:rPr>
          <w:color w:val="000000" w:themeColor="text1"/>
          <w:szCs w:val="24"/>
        </w:rPr>
        <w:tab/>
        <w:t xml:space="preserve">    (Manpower &amp; Reserve Affairs)</w:t>
      </w:r>
    </w:p>
    <w:p w:rsidR="00A933DF" w:rsidRPr="008C566B" w:rsidRDefault="00A933DF" w:rsidP="008C566B">
      <w:pPr>
        <w:tabs>
          <w:tab w:val="left" w:pos="0"/>
          <w:tab w:val="left" w:pos="4320"/>
        </w:tabs>
        <w:jc w:val="both"/>
        <w:rPr>
          <w:color w:val="000000" w:themeColor="text1"/>
          <w:szCs w:val="24"/>
        </w:rPr>
      </w:pPr>
    </w:p>
    <w:sectPr w:rsidR="00A933DF" w:rsidRPr="008C566B"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E2B" w:rsidRDefault="000A7E2B">
      <w:r>
        <w:separator/>
      </w:r>
    </w:p>
  </w:endnote>
  <w:endnote w:type="continuationSeparator" w:id="0">
    <w:p w:rsidR="000A7E2B" w:rsidRDefault="000A7E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415ADF" w:rsidRPr="00374247" w:rsidRDefault="00415ADF" w:rsidP="00374247">
        <w:pPr>
          <w:pStyle w:val="Footer"/>
          <w:ind w:firstLine="4320"/>
          <w:rPr>
            <w:color w:val="auto"/>
            <w:szCs w:val="24"/>
          </w:rPr>
        </w:pPr>
        <w:r w:rsidRPr="00374247">
          <w:rPr>
            <w:color w:val="auto"/>
            <w:szCs w:val="24"/>
          </w:rPr>
          <w:t xml:space="preserve">   </w:t>
        </w:r>
        <w:r w:rsidR="00550E0D" w:rsidRPr="00374247">
          <w:rPr>
            <w:color w:val="auto"/>
            <w:szCs w:val="24"/>
          </w:rPr>
          <w:fldChar w:fldCharType="begin"/>
        </w:r>
        <w:r w:rsidRPr="00374247">
          <w:rPr>
            <w:color w:val="auto"/>
            <w:szCs w:val="24"/>
          </w:rPr>
          <w:instrText xml:space="preserve"> PAGE   \* MERGEFORMAT </w:instrText>
        </w:r>
        <w:r w:rsidR="00550E0D" w:rsidRPr="00374247">
          <w:rPr>
            <w:color w:val="auto"/>
            <w:szCs w:val="24"/>
          </w:rPr>
          <w:fldChar w:fldCharType="separate"/>
        </w:r>
        <w:r w:rsidR="00E91DF4" w:rsidRPr="00E91DF4">
          <w:rPr>
            <w:noProof/>
            <w:color w:val="auto"/>
          </w:rPr>
          <w:t>3</w:t>
        </w:r>
        <w:r w:rsidR="00550E0D"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100615</w:t>
        </w:r>
      </w:p>
    </w:sdtContent>
  </w:sdt>
  <w:p w:rsidR="00415ADF" w:rsidRPr="00684CE6" w:rsidRDefault="00415ADF">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E2B" w:rsidRDefault="000A7E2B">
      <w:r>
        <w:separator/>
      </w:r>
    </w:p>
  </w:footnote>
  <w:footnote w:type="continuationSeparator" w:id="0">
    <w:p w:rsidR="000A7E2B" w:rsidRDefault="000A7E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6562"/>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1382"/>
    <w:rsid w:val="00082482"/>
    <w:rsid w:val="00082CA0"/>
    <w:rsid w:val="00084CF2"/>
    <w:rsid w:val="00085D7B"/>
    <w:rsid w:val="0008708B"/>
    <w:rsid w:val="0009079C"/>
    <w:rsid w:val="00092619"/>
    <w:rsid w:val="00092C66"/>
    <w:rsid w:val="000949DD"/>
    <w:rsid w:val="00094E4F"/>
    <w:rsid w:val="000A2BCE"/>
    <w:rsid w:val="000A31E2"/>
    <w:rsid w:val="000A33C8"/>
    <w:rsid w:val="000A41E3"/>
    <w:rsid w:val="000A4BBA"/>
    <w:rsid w:val="000A5071"/>
    <w:rsid w:val="000A7E2B"/>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1890"/>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4A8F"/>
    <w:rsid w:val="00166182"/>
    <w:rsid w:val="0017038B"/>
    <w:rsid w:val="00170C94"/>
    <w:rsid w:val="0017139A"/>
    <w:rsid w:val="001724C8"/>
    <w:rsid w:val="001732C4"/>
    <w:rsid w:val="001745DD"/>
    <w:rsid w:val="00174FDE"/>
    <w:rsid w:val="00174FE3"/>
    <w:rsid w:val="00176D63"/>
    <w:rsid w:val="00177659"/>
    <w:rsid w:val="001779E5"/>
    <w:rsid w:val="00177FBB"/>
    <w:rsid w:val="00180826"/>
    <w:rsid w:val="00181240"/>
    <w:rsid w:val="00182A4C"/>
    <w:rsid w:val="00183F77"/>
    <w:rsid w:val="00183FB3"/>
    <w:rsid w:val="001844D8"/>
    <w:rsid w:val="00185DA8"/>
    <w:rsid w:val="00185ECB"/>
    <w:rsid w:val="001865E0"/>
    <w:rsid w:val="001870F0"/>
    <w:rsid w:val="0019039B"/>
    <w:rsid w:val="00190E48"/>
    <w:rsid w:val="0019114B"/>
    <w:rsid w:val="0019273F"/>
    <w:rsid w:val="00193814"/>
    <w:rsid w:val="00193AAB"/>
    <w:rsid w:val="00193AD5"/>
    <w:rsid w:val="00194930"/>
    <w:rsid w:val="00195AAC"/>
    <w:rsid w:val="001A025E"/>
    <w:rsid w:val="001A038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0E37"/>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2F6B"/>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28F2"/>
    <w:rsid w:val="002D5330"/>
    <w:rsid w:val="002D5F57"/>
    <w:rsid w:val="002D73D4"/>
    <w:rsid w:val="002D7787"/>
    <w:rsid w:val="002E1877"/>
    <w:rsid w:val="002E1C31"/>
    <w:rsid w:val="002E2E0F"/>
    <w:rsid w:val="002E333A"/>
    <w:rsid w:val="002E3474"/>
    <w:rsid w:val="002E400C"/>
    <w:rsid w:val="002E49C3"/>
    <w:rsid w:val="002E4F0C"/>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45A5"/>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1BED"/>
    <w:rsid w:val="00352B22"/>
    <w:rsid w:val="00352CBF"/>
    <w:rsid w:val="00354547"/>
    <w:rsid w:val="003549F5"/>
    <w:rsid w:val="00355747"/>
    <w:rsid w:val="00355ACB"/>
    <w:rsid w:val="003567DE"/>
    <w:rsid w:val="003574F3"/>
    <w:rsid w:val="00357831"/>
    <w:rsid w:val="003604A5"/>
    <w:rsid w:val="0036114B"/>
    <w:rsid w:val="003618B6"/>
    <w:rsid w:val="0036199A"/>
    <w:rsid w:val="003620C8"/>
    <w:rsid w:val="0036319E"/>
    <w:rsid w:val="00363209"/>
    <w:rsid w:val="003632A4"/>
    <w:rsid w:val="00363362"/>
    <w:rsid w:val="0036392A"/>
    <w:rsid w:val="00364CAB"/>
    <w:rsid w:val="003656FD"/>
    <w:rsid w:val="00365767"/>
    <w:rsid w:val="003657D3"/>
    <w:rsid w:val="003659C0"/>
    <w:rsid w:val="003660DF"/>
    <w:rsid w:val="00367D4F"/>
    <w:rsid w:val="00367E5B"/>
    <w:rsid w:val="00370743"/>
    <w:rsid w:val="00370EF5"/>
    <w:rsid w:val="0037135B"/>
    <w:rsid w:val="003718CD"/>
    <w:rsid w:val="00372251"/>
    <w:rsid w:val="00373633"/>
    <w:rsid w:val="00373B6F"/>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124"/>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ADF"/>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84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82E"/>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2C9B"/>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0DE4"/>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3EE"/>
    <w:rsid w:val="00532E9D"/>
    <w:rsid w:val="00533075"/>
    <w:rsid w:val="00534D42"/>
    <w:rsid w:val="005350A5"/>
    <w:rsid w:val="00536379"/>
    <w:rsid w:val="00537238"/>
    <w:rsid w:val="00537A25"/>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0E0D"/>
    <w:rsid w:val="0055288D"/>
    <w:rsid w:val="005546C8"/>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3A33"/>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4425"/>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6F6350"/>
    <w:rsid w:val="007005EA"/>
    <w:rsid w:val="0070220D"/>
    <w:rsid w:val="00703B6C"/>
    <w:rsid w:val="00703BB0"/>
    <w:rsid w:val="00704519"/>
    <w:rsid w:val="00704C40"/>
    <w:rsid w:val="00704C88"/>
    <w:rsid w:val="00704EA1"/>
    <w:rsid w:val="0070516F"/>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01D3"/>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2370"/>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6F7"/>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135"/>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22B6"/>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160"/>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0E32"/>
    <w:rsid w:val="008C22F3"/>
    <w:rsid w:val="008C3223"/>
    <w:rsid w:val="008C3FD0"/>
    <w:rsid w:val="008C4F01"/>
    <w:rsid w:val="008C5152"/>
    <w:rsid w:val="008C566B"/>
    <w:rsid w:val="008C710E"/>
    <w:rsid w:val="008D1484"/>
    <w:rsid w:val="008D29E7"/>
    <w:rsid w:val="008D2F28"/>
    <w:rsid w:val="008D5104"/>
    <w:rsid w:val="008D52C7"/>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4B9"/>
    <w:rsid w:val="00907FE6"/>
    <w:rsid w:val="009102BF"/>
    <w:rsid w:val="009104C6"/>
    <w:rsid w:val="009113E7"/>
    <w:rsid w:val="00911490"/>
    <w:rsid w:val="009115F2"/>
    <w:rsid w:val="00911B11"/>
    <w:rsid w:val="0091318C"/>
    <w:rsid w:val="00914ADB"/>
    <w:rsid w:val="00917182"/>
    <w:rsid w:val="00920251"/>
    <w:rsid w:val="00921CFD"/>
    <w:rsid w:val="00923B25"/>
    <w:rsid w:val="0092402E"/>
    <w:rsid w:val="009259BA"/>
    <w:rsid w:val="0092678D"/>
    <w:rsid w:val="00926FCB"/>
    <w:rsid w:val="009303BB"/>
    <w:rsid w:val="0093108A"/>
    <w:rsid w:val="00931B6D"/>
    <w:rsid w:val="0093311A"/>
    <w:rsid w:val="009346D0"/>
    <w:rsid w:val="009369A6"/>
    <w:rsid w:val="00937F57"/>
    <w:rsid w:val="0094031E"/>
    <w:rsid w:val="009419B4"/>
    <w:rsid w:val="00941A4C"/>
    <w:rsid w:val="00942645"/>
    <w:rsid w:val="00945FB2"/>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224"/>
    <w:rsid w:val="00960357"/>
    <w:rsid w:val="0096168C"/>
    <w:rsid w:val="00961840"/>
    <w:rsid w:val="009625E3"/>
    <w:rsid w:val="00962F2D"/>
    <w:rsid w:val="00963A7A"/>
    <w:rsid w:val="00966AFE"/>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128F"/>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77EE5"/>
    <w:rsid w:val="00A82C52"/>
    <w:rsid w:val="00A838E8"/>
    <w:rsid w:val="00A83C15"/>
    <w:rsid w:val="00A83CEF"/>
    <w:rsid w:val="00A84EC4"/>
    <w:rsid w:val="00A86CB6"/>
    <w:rsid w:val="00A90D55"/>
    <w:rsid w:val="00A9225E"/>
    <w:rsid w:val="00A933DF"/>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2E88"/>
    <w:rsid w:val="00AC37BE"/>
    <w:rsid w:val="00AC439D"/>
    <w:rsid w:val="00AC62CC"/>
    <w:rsid w:val="00AC6F73"/>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589A"/>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4420"/>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56B0"/>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025"/>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04E8"/>
    <w:rsid w:val="00C217F7"/>
    <w:rsid w:val="00C2272E"/>
    <w:rsid w:val="00C22F3A"/>
    <w:rsid w:val="00C23311"/>
    <w:rsid w:val="00C24AD9"/>
    <w:rsid w:val="00C25978"/>
    <w:rsid w:val="00C261C6"/>
    <w:rsid w:val="00C261E9"/>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5FE7"/>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540"/>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37D8"/>
    <w:rsid w:val="00DC4001"/>
    <w:rsid w:val="00DC41C3"/>
    <w:rsid w:val="00DC4A3C"/>
    <w:rsid w:val="00DC4FA4"/>
    <w:rsid w:val="00DC5B37"/>
    <w:rsid w:val="00DD286D"/>
    <w:rsid w:val="00DD2CAF"/>
    <w:rsid w:val="00DD3593"/>
    <w:rsid w:val="00DD3F0C"/>
    <w:rsid w:val="00DD3F5E"/>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488"/>
    <w:rsid w:val="00E017BC"/>
    <w:rsid w:val="00E017F0"/>
    <w:rsid w:val="00E01A0E"/>
    <w:rsid w:val="00E025FE"/>
    <w:rsid w:val="00E0346A"/>
    <w:rsid w:val="00E041E4"/>
    <w:rsid w:val="00E04AEE"/>
    <w:rsid w:val="00E06BBD"/>
    <w:rsid w:val="00E100E3"/>
    <w:rsid w:val="00E1012B"/>
    <w:rsid w:val="00E103C8"/>
    <w:rsid w:val="00E1085B"/>
    <w:rsid w:val="00E11A93"/>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5CC6"/>
    <w:rsid w:val="00E362D2"/>
    <w:rsid w:val="00E36D76"/>
    <w:rsid w:val="00E40478"/>
    <w:rsid w:val="00E405EA"/>
    <w:rsid w:val="00E408B7"/>
    <w:rsid w:val="00E412EB"/>
    <w:rsid w:val="00E41637"/>
    <w:rsid w:val="00E41E56"/>
    <w:rsid w:val="00E42789"/>
    <w:rsid w:val="00E43F59"/>
    <w:rsid w:val="00E464F0"/>
    <w:rsid w:val="00E46EF3"/>
    <w:rsid w:val="00E47370"/>
    <w:rsid w:val="00E473E9"/>
    <w:rsid w:val="00E47B47"/>
    <w:rsid w:val="00E50BEB"/>
    <w:rsid w:val="00E53460"/>
    <w:rsid w:val="00E548FA"/>
    <w:rsid w:val="00E5504B"/>
    <w:rsid w:val="00E55CD9"/>
    <w:rsid w:val="00E57703"/>
    <w:rsid w:val="00E57915"/>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1DF4"/>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571C3"/>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3FF8"/>
    <w:rsid w:val="00F75C12"/>
    <w:rsid w:val="00F76D01"/>
    <w:rsid w:val="00F80B43"/>
    <w:rsid w:val="00F80C97"/>
    <w:rsid w:val="00F817AE"/>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6E6"/>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BF5"/>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A17F3-4189-4FB4-8FCC-E1AF23F4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11</cp:revision>
  <cp:lastPrinted>2012-03-30T15:24:00Z</cp:lastPrinted>
  <dcterms:created xsi:type="dcterms:W3CDTF">2012-03-29T15:22:00Z</dcterms:created>
  <dcterms:modified xsi:type="dcterms:W3CDTF">2012-04-30T15:47:00Z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