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6B56D4" w:rsidRPr="001F29F9" w:rsidRDefault="006B56D4" w:rsidP="006B56D4">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1A2E4D">
        <w:rPr>
          <w:caps/>
          <w:color w:val="000000" w:themeColor="text1"/>
        </w:rPr>
        <w:t xml:space="preserve"> </w:t>
      </w:r>
      <w:r w:rsidRPr="001F29F9">
        <w:rPr>
          <w:caps/>
          <w:color w:val="000000" w:themeColor="text1"/>
        </w:rPr>
        <w:t xml:space="preserve">           </w:t>
      </w:r>
      <w:r>
        <w:rPr>
          <w:caps/>
          <w:color w:val="000000" w:themeColor="text1"/>
        </w:rPr>
        <w:tab/>
        <w:t xml:space="preserve">                             </w:t>
      </w:r>
      <w:r w:rsidRPr="001F29F9">
        <w:rPr>
          <w:caps/>
          <w:color w:val="000000" w:themeColor="text1"/>
        </w:rPr>
        <w:t>BRANCH OF SERVICE</w:t>
      </w:r>
      <w:r w:rsidRPr="00BA4A38">
        <w:rPr>
          <w:caps/>
          <w:color w:val="000000" w:themeColor="text1"/>
        </w:rPr>
        <w:t xml:space="preserve">:  Army </w:t>
      </w:r>
    </w:p>
    <w:p w:rsidR="006B56D4" w:rsidRDefault="006B56D4" w:rsidP="006B56D4">
      <w:pPr>
        <w:tabs>
          <w:tab w:val="left" w:pos="288"/>
          <w:tab w:val="left" w:pos="5130"/>
        </w:tabs>
        <w:jc w:val="both"/>
        <w:rPr>
          <w:color w:val="000000" w:themeColor="text1"/>
        </w:rPr>
      </w:pPr>
      <w:r w:rsidRPr="001F29F9">
        <w:rPr>
          <w:caps/>
          <w:color w:val="000000" w:themeColor="text1"/>
        </w:rPr>
        <w:t>CASE NUMBER:  PD11</w:t>
      </w:r>
      <w:r>
        <w:rPr>
          <w:caps/>
          <w:color w:val="000000" w:themeColor="text1"/>
        </w:rPr>
        <w:t>00613</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200</w:t>
      </w:r>
      <w:r>
        <w:rPr>
          <w:color w:val="000000" w:themeColor="text1"/>
        </w:rPr>
        <w:t>11216</w:t>
      </w:r>
    </w:p>
    <w:p w:rsidR="00AD2379" w:rsidRPr="001F29F9" w:rsidRDefault="006628CB" w:rsidP="006B56D4">
      <w:pPr>
        <w:tabs>
          <w:tab w:val="left" w:pos="288"/>
          <w:tab w:val="left" w:pos="5130"/>
        </w:tabs>
        <w:jc w:val="both"/>
        <w:rPr>
          <w:color w:val="000000"/>
        </w:rPr>
      </w:pPr>
      <w:r>
        <w:rPr>
          <w:caps/>
          <w:color w:val="000000"/>
        </w:rPr>
        <w:t>BOARD DATE:  2012</w:t>
      </w:r>
      <w:r w:rsidR="00261771">
        <w:rPr>
          <w:caps/>
          <w:color w:val="000000"/>
        </w:rPr>
        <w:t>0319</w:t>
      </w:r>
      <w:r w:rsidR="00AD2379">
        <w:rPr>
          <w:rFonts w:cs="Times New Roman"/>
          <w:caps/>
          <w:color w:val="000000"/>
        </w:rPr>
        <w:tab/>
      </w:r>
    </w:p>
    <w:p w:rsidR="00AD2379" w:rsidRPr="001F29F9" w:rsidRDefault="00AD2379" w:rsidP="003C53E8">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674E8B" w:rsidRPr="001F29F9">
        <w:rPr>
          <w:color w:val="000000" w:themeColor="text1"/>
          <w:szCs w:val="24"/>
        </w:rPr>
        <w:t xml:space="preserve">an active duty </w:t>
      </w:r>
      <w:r w:rsidR="00674E8B" w:rsidRPr="009D1198">
        <w:rPr>
          <w:color w:val="000000" w:themeColor="text1"/>
          <w:szCs w:val="24"/>
        </w:rPr>
        <w:t>SGT/E-5 (</w:t>
      </w:r>
      <w:r w:rsidR="00674E8B">
        <w:rPr>
          <w:color w:val="000000" w:themeColor="text1"/>
          <w:szCs w:val="24"/>
        </w:rPr>
        <w:t>11B,</w:t>
      </w:r>
      <w:r w:rsidR="00674E8B" w:rsidRPr="009D1198">
        <w:rPr>
          <w:color w:val="000000" w:themeColor="text1"/>
          <w:szCs w:val="24"/>
        </w:rPr>
        <w:t xml:space="preserve"> </w:t>
      </w:r>
      <w:r w:rsidR="00674E8B">
        <w:rPr>
          <w:color w:val="000000" w:themeColor="text1"/>
          <w:szCs w:val="24"/>
        </w:rPr>
        <w:t>Infantry</w:t>
      </w:r>
      <w:r w:rsidR="00674E8B" w:rsidRPr="009D1198">
        <w:rPr>
          <w:color w:val="000000" w:themeColor="text1"/>
          <w:szCs w:val="24"/>
        </w:rPr>
        <w:t xml:space="preserve">) </w:t>
      </w:r>
      <w:r w:rsidRPr="001F29F9">
        <w:rPr>
          <w:color w:val="000000"/>
        </w:rPr>
        <w:t xml:space="preserve">medically separated for </w:t>
      </w:r>
      <w:r w:rsidR="00261B7E">
        <w:rPr>
          <w:color w:val="000000"/>
        </w:rPr>
        <w:t xml:space="preserve">a </w:t>
      </w:r>
      <w:r w:rsidRPr="001F29F9">
        <w:rPr>
          <w:color w:val="000000"/>
        </w:rPr>
        <w:t xml:space="preserve">left knee </w:t>
      </w:r>
      <w:r w:rsidR="00261B7E">
        <w:rPr>
          <w:color w:val="000000"/>
        </w:rPr>
        <w:t>condition</w:t>
      </w:r>
      <w:r w:rsidR="00415CFB" w:rsidRPr="001F29F9">
        <w:rPr>
          <w:color w:val="000000"/>
        </w:rPr>
        <w:t xml:space="preserve">. </w:t>
      </w:r>
      <w:r w:rsidR="00415CFB">
        <w:rPr>
          <w:color w:val="000000"/>
        </w:rPr>
        <w:t xml:space="preserve"> The CI ruptured his left </w:t>
      </w:r>
      <w:r w:rsidR="00415CFB" w:rsidRPr="009D1198">
        <w:rPr>
          <w:color w:val="000000" w:themeColor="text1"/>
          <w:szCs w:val="24"/>
        </w:rPr>
        <w:t xml:space="preserve">anterior </w:t>
      </w:r>
      <w:proofErr w:type="spellStart"/>
      <w:r w:rsidR="00415CFB" w:rsidRPr="009D1198">
        <w:rPr>
          <w:color w:val="000000" w:themeColor="text1"/>
          <w:szCs w:val="24"/>
        </w:rPr>
        <w:t>cruciate</w:t>
      </w:r>
      <w:proofErr w:type="spellEnd"/>
      <w:r w:rsidR="00415CFB" w:rsidRPr="009D1198">
        <w:rPr>
          <w:color w:val="000000" w:themeColor="text1"/>
          <w:szCs w:val="24"/>
        </w:rPr>
        <w:t xml:space="preserve"> ligament</w:t>
      </w:r>
      <w:r w:rsidR="00415CFB">
        <w:rPr>
          <w:color w:val="000000"/>
        </w:rPr>
        <w:t xml:space="preserve"> (ACL) </w:t>
      </w:r>
      <w:r w:rsidR="00261771">
        <w:rPr>
          <w:color w:val="000000"/>
        </w:rPr>
        <w:t>as</w:t>
      </w:r>
      <w:r w:rsidR="00415CFB">
        <w:rPr>
          <w:color w:val="000000"/>
        </w:rPr>
        <w:t xml:space="preserve"> a sports injury in 1999; and, underwent a surgical ACL reconstruction.  He developed chronic post-surgical pain which was diagnosed as </w:t>
      </w:r>
      <w:proofErr w:type="spellStart"/>
      <w:r w:rsidR="00415CFB">
        <w:rPr>
          <w:color w:val="000000"/>
        </w:rPr>
        <w:t>retr</w:t>
      </w:r>
      <w:r w:rsidR="00261B7E">
        <w:rPr>
          <w:color w:val="000000"/>
        </w:rPr>
        <w:t>o</w:t>
      </w:r>
      <w:r w:rsidR="00415CFB">
        <w:rPr>
          <w:color w:val="000000"/>
        </w:rPr>
        <w:t>patellar</w:t>
      </w:r>
      <w:proofErr w:type="spellEnd"/>
      <w:r w:rsidR="00415CFB">
        <w:rPr>
          <w:color w:val="000000"/>
        </w:rPr>
        <w:t xml:space="preserve"> pain syndrome, which continued to limit activities and was recalcitrant to full rehabilitation.  He was consequently unable </w:t>
      </w:r>
      <w:r w:rsidR="00D67276" w:rsidRPr="00F566B7">
        <w:rPr>
          <w:color w:val="000000"/>
        </w:rPr>
        <w:t>to meet the physical requirements of his Military Occupational Specialty (MOS) or satisfy physical fitness standards; was issued a permanent L3 profile</w:t>
      </w:r>
      <w:r w:rsidR="00D67276">
        <w:rPr>
          <w:color w:val="000000"/>
        </w:rPr>
        <w:t>;</w:t>
      </w:r>
      <w:r w:rsidR="00D67276" w:rsidRPr="00F566B7">
        <w:rPr>
          <w:color w:val="000000"/>
        </w:rPr>
        <w:t xml:space="preserve"> and</w:t>
      </w:r>
      <w:r w:rsidR="00D67276">
        <w:rPr>
          <w:color w:val="000000"/>
        </w:rPr>
        <w:t>,</w:t>
      </w:r>
      <w:r w:rsidR="00D67276" w:rsidRPr="00F566B7">
        <w:rPr>
          <w:color w:val="000000"/>
        </w:rPr>
        <w:t xml:space="preserve"> </w:t>
      </w:r>
      <w:r w:rsidR="00D67276">
        <w:rPr>
          <w:color w:val="000000"/>
        </w:rPr>
        <w:t xml:space="preserve">was </w:t>
      </w:r>
      <w:r w:rsidR="00D67276" w:rsidRPr="00F566B7">
        <w:rPr>
          <w:color w:val="000000"/>
        </w:rPr>
        <w:t xml:space="preserve">referred for a Medical Evaluation Board (MEB).  </w:t>
      </w:r>
      <w:r w:rsidR="00D67276">
        <w:rPr>
          <w:color w:val="000000"/>
        </w:rPr>
        <w:t xml:space="preserve">The left knee condition was </w:t>
      </w:r>
      <w:r w:rsidRPr="00726F84">
        <w:rPr>
          <w:color w:val="000000"/>
        </w:rPr>
        <w:t xml:space="preserve">forwarded to the Physical Evaluation </w:t>
      </w:r>
      <w:r w:rsidRPr="009A7578">
        <w:rPr>
          <w:color w:val="000000"/>
        </w:rPr>
        <w:t xml:space="preserve">Board (PEB) as medically unacceptable IAW AR 40-501. </w:t>
      </w:r>
      <w:r w:rsidR="00261B7E">
        <w:rPr>
          <w:color w:val="000000"/>
        </w:rPr>
        <w:t xml:space="preserve"> </w:t>
      </w:r>
      <w:r w:rsidR="00535B26">
        <w:rPr>
          <w:color w:val="000000"/>
        </w:rPr>
        <w:t>Also addressed by the MEB and forwarded on the DA Form 3947 were “</w:t>
      </w:r>
      <w:proofErr w:type="spellStart"/>
      <w:r w:rsidR="00535B26">
        <w:rPr>
          <w:color w:val="000000"/>
        </w:rPr>
        <w:t>diskogenic</w:t>
      </w:r>
      <w:proofErr w:type="spellEnd"/>
      <w:r w:rsidR="00535B26">
        <w:rPr>
          <w:color w:val="000000"/>
        </w:rPr>
        <w:t xml:space="preserve"> low back pain” (judged to meet retention standards) and “vascular headaches” (judged to fail retention standards).  </w:t>
      </w:r>
      <w:r w:rsidR="00542022">
        <w:rPr>
          <w:color w:val="auto"/>
          <w:szCs w:val="24"/>
        </w:rPr>
        <w:t xml:space="preserve">Other conditions </w:t>
      </w:r>
      <w:r w:rsidR="00542022" w:rsidRPr="00535B26">
        <w:rPr>
          <w:color w:val="auto"/>
          <w:szCs w:val="24"/>
        </w:rPr>
        <w:t>evidenced</w:t>
      </w:r>
      <w:r w:rsidR="00542022">
        <w:rPr>
          <w:color w:val="auto"/>
          <w:szCs w:val="24"/>
        </w:rPr>
        <w:t xml:space="preserve"> in the </w:t>
      </w:r>
      <w:r w:rsidR="00542022" w:rsidRPr="0007038D">
        <w:rPr>
          <w:color w:val="000000"/>
        </w:rPr>
        <w:t>Disability Evaluation System</w:t>
      </w:r>
      <w:r w:rsidR="00542022">
        <w:rPr>
          <w:color w:val="auto"/>
          <w:szCs w:val="24"/>
        </w:rPr>
        <w:t xml:space="preserve"> (DES) file</w:t>
      </w:r>
      <w:r w:rsidR="00535B26">
        <w:rPr>
          <w:color w:val="auto"/>
          <w:szCs w:val="24"/>
        </w:rPr>
        <w:t>,</w:t>
      </w:r>
      <w:r w:rsidR="00542022">
        <w:rPr>
          <w:color w:val="auto"/>
          <w:szCs w:val="24"/>
        </w:rPr>
        <w:t xml:space="preserve"> </w:t>
      </w:r>
      <w:r w:rsidR="00261771" w:rsidRPr="00535B26">
        <w:rPr>
          <w:color w:val="auto"/>
          <w:szCs w:val="24"/>
        </w:rPr>
        <w:t>or contended</w:t>
      </w:r>
      <w:r w:rsidR="00261771">
        <w:rPr>
          <w:color w:val="auto"/>
          <w:szCs w:val="24"/>
        </w:rPr>
        <w:t>,</w:t>
      </w:r>
      <w:r w:rsidR="00261771" w:rsidRPr="00535B26">
        <w:rPr>
          <w:color w:val="auto"/>
          <w:szCs w:val="24"/>
        </w:rPr>
        <w:t xml:space="preserve"> </w:t>
      </w:r>
      <w:r w:rsidR="00542022">
        <w:rPr>
          <w:color w:val="auto"/>
          <w:szCs w:val="24"/>
        </w:rPr>
        <w:t xml:space="preserve">are addressed below.  </w:t>
      </w:r>
      <w:r w:rsidRPr="001F29F9">
        <w:rPr>
          <w:color w:val="000000"/>
        </w:rPr>
        <w:t xml:space="preserve">The </w:t>
      </w:r>
      <w:r w:rsidRPr="00726F84">
        <w:rPr>
          <w:color w:val="000000"/>
        </w:rPr>
        <w:t>PEB adjudicated the left knee</w:t>
      </w:r>
      <w:r w:rsidR="00511DDD">
        <w:rPr>
          <w:color w:val="000000"/>
        </w:rPr>
        <w:t xml:space="preserve"> condition as unfitting, rated </w:t>
      </w:r>
      <w:r w:rsidRPr="00726F84">
        <w:rPr>
          <w:color w:val="000000"/>
        </w:rPr>
        <w:t xml:space="preserve">0%, </w:t>
      </w:r>
      <w:r w:rsidR="00261B7E">
        <w:rPr>
          <w:color w:val="000000"/>
        </w:rPr>
        <w:t>citing criteria of</w:t>
      </w:r>
      <w:r w:rsidRPr="00726F84">
        <w:rPr>
          <w:color w:val="000000"/>
        </w:rPr>
        <w:t xml:space="preserve"> the </w:t>
      </w:r>
      <w:r w:rsidR="0065689C" w:rsidRPr="009B72C8">
        <w:rPr>
          <w:color w:val="000000" w:themeColor="text1"/>
          <w:szCs w:val="24"/>
        </w:rPr>
        <w:t>US Army Physical Disability Agency (USAPDA) pain policy</w:t>
      </w:r>
      <w:r w:rsidR="00511DDD">
        <w:rPr>
          <w:color w:val="000000" w:themeColor="text1"/>
          <w:szCs w:val="24"/>
        </w:rPr>
        <w:t xml:space="preserve">.  The lumbar and headache </w:t>
      </w:r>
      <w:r w:rsidR="00511DDD" w:rsidRPr="00511DDD">
        <w:rPr>
          <w:color w:val="000000" w:themeColor="text1"/>
          <w:szCs w:val="24"/>
        </w:rPr>
        <w:t xml:space="preserve">conditions were determined to be not unfitting. </w:t>
      </w:r>
      <w:r w:rsidR="0065689C" w:rsidRPr="001F29F9">
        <w:rPr>
          <w:color w:val="000000"/>
        </w:rPr>
        <w:t xml:space="preserve"> </w:t>
      </w:r>
      <w:r w:rsidRPr="001F29F9">
        <w:rPr>
          <w:color w:val="000000"/>
        </w:rPr>
        <w:t xml:space="preserve">The CI made no appeals, and was medically </w:t>
      </w:r>
      <w:r w:rsidRPr="00726F84">
        <w:rPr>
          <w:color w:val="000000"/>
        </w:rPr>
        <w:t xml:space="preserve">separated with </w:t>
      </w:r>
      <w:r w:rsidR="00511DDD">
        <w:rPr>
          <w:color w:val="000000"/>
        </w:rPr>
        <w:t>a 0%</w:t>
      </w:r>
      <w:r w:rsidRPr="001F29F9">
        <w:rPr>
          <w:color w:val="000000"/>
        </w:rPr>
        <w:t xml:space="preserve"> 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EE36D0"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EE36D0">
        <w:rPr>
          <w:color w:val="000000"/>
        </w:rPr>
        <w:t>“</w:t>
      </w:r>
      <w:r w:rsidR="00EE36D0" w:rsidRPr="001F32BA">
        <w:rPr>
          <w:color w:val="000000" w:themeColor="text1"/>
        </w:rPr>
        <w:t xml:space="preserve">The </w:t>
      </w:r>
      <w:r w:rsidR="00EE36D0" w:rsidRPr="00272BEE">
        <w:rPr>
          <w:color w:val="000000" w:themeColor="text1"/>
        </w:rPr>
        <w:t xml:space="preserve">Medical board concentrated on my Left Knee, but neglected to review my back, right knee, shoulders, feet, and head (migraines from airborne).  To date, I have gained </w:t>
      </w:r>
      <w:proofErr w:type="gramStart"/>
      <w:r w:rsidR="00EE36D0" w:rsidRPr="00272BEE">
        <w:rPr>
          <w:color w:val="000000" w:themeColor="text1"/>
        </w:rPr>
        <w:t>weight,</w:t>
      </w:r>
      <w:proofErr w:type="gramEnd"/>
      <w:r w:rsidR="00EE36D0" w:rsidRPr="00272BEE">
        <w:rPr>
          <w:color w:val="000000" w:themeColor="text1"/>
        </w:rPr>
        <w:t xml:space="preserve"> have difficulty with lifting shoulders, doing any prolonged activity</w:t>
      </w:r>
      <w:r w:rsidR="00EE36D0" w:rsidRPr="001F32BA">
        <w:rPr>
          <w:color w:val="000000" w:themeColor="text1"/>
        </w:rPr>
        <w:t xml:space="preserve"> because of my back, knees, and </w:t>
      </w:r>
      <w:r w:rsidR="00EE36D0">
        <w:rPr>
          <w:color w:val="000000" w:themeColor="text1"/>
        </w:rPr>
        <w:t>feet.  My migraines have worsen</w:t>
      </w:r>
      <w:r w:rsidR="00EE36D0" w:rsidRPr="001F32BA">
        <w:rPr>
          <w:color w:val="000000" w:themeColor="text1"/>
        </w:rPr>
        <w:t xml:space="preserve">ed over the years.  Not one rating has improved. </w:t>
      </w:r>
      <w:r w:rsidR="00EE36D0">
        <w:rPr>
          <w:color w:val="000000"/>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674E8B" w:rsidRPr="00511DDD" w:rsidRDefault="00674E8B" w:rsidP="00511DDD">
      <w:pPr>
        <w:spacing w:line="240" w:lineRule="auto"/>
        <w:jc w:val="left"/>
        <w:rPr>
          <w:color w:val="000000"/>
          <w:u w:val="single"/>
        </w:rPr>
      </w:pPr>
      <w:r w:rsidRPr="001F29F9">
        <w:rPr>
          <w:color w:val="000000" w:themeColor="text1"/>
          <w:u w:val="single"/>
        </w:rPr>
        <w:t>RATING COMPARISON</w:t>
      </w:r>
      <w:r w:rsidRPr="001F29F9">
        <w:rPr>
          <w:color w:val="000000" w:themeColor="text1"/>
        </w:rPr>
        <w:t>:</w:t>
      </w:r>
    </w:p>
    <w:p w:rsidR="00674E8B" w:rsidRPr="001F29F9" w:rsidRDefault="00674E8B" w:rsidP="00674E8B">
      <w:pPr>
        <w:jc w:val="both"/>
        <w:rPr>
          <w:color w:val="000000" w:themeColor="text1"/>
        </w:rPr>
      </w:pPr>
    </w:p>
    <w:tbl>
      <w:tblPr>
        <w:tblStyle w:val="TableGrid"/>
        <w:tblpPr w:leftFromText="187" w:rightFromText="187" w:vertAnchor="text" w:tblpXSpec="center" w:tblpY="1"/>
        <w:tblOverlap w:val="never"/>
        <w:tblW w:w="9360" w:type="dxa"/>
        <w:tblLayout w:type="fixed"/>
        <w:tblLook w:val="04A0"/>
      </w:tblPr>
      <w:tblGrid>
        <w:gridCol w:w="2628"/>
        <w:gridCol w:w="1080"/>
        <w:gridCol w:w="720"/>
        <w:gridCol w:w="2034"/>
        <w:gridCol w:w="1080"/>
        <w:gridCol w:w="828"/>
        <w:gridCol w:w="990"/>
      </w:tblGrid>
      <w:tr w:rsidR="00674E8B" w:rsidRPr="001F29F9" w:rsidTr="007D11B4">
        <w:trPr>
          <w:trHeight w:val="170"/>
        </w:trPr>
        <w:tc>
          <w:tcPr>
            <w:tcW w:w="4428" w:type="dxa"/>
            <w:gridSpan w:val="3"/>
            <w:tcBorders>
              <w:right w:val="thinThickThinSmallGap" w:sz="24" w:space="0" w:color="auto"/>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10827</w:t>
            </w:r>
          </w:p>
        </w:tc>
        <w:tc>
          <w:tcPr>
            <w:tcW w:w="4932" w:type="dxa"/>
            <w:gridSpan w:val="4"/>
            <w:tcBorders>
              <w:left w:val="thinThickThinSmallGap" w:sz="24" w:space="0" w:color="auto"/>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w:t>
            </w:r>
            <w:r w:rsidRPr="001F29F9">
              <w:rPr>
                <w:rFonts w:cs="Calibri"/>
                <w:b/>
                <w:color w:val="000000" w:themeColor="text1"/>
                <w:sz w:val="18"/>
                <w:szCs w:val="18"/>
              </w:rPr>
              <w:t xml:space="preserve"> Mo. </w:t>
            </w:r>
            <w:r w:rsidRPr="006E274B">
              <w:rPr>
                <w:rFonts w:cs="Calibri"/>
                <w:b/>
                <w:color w:val="000000" w:themeColor="text1"/>
                <w:sz w:val="18"/>
                <w:szCs w:val="18"/>
              </w:rPr>
              <w:t>Pre-</w:t>
            </w:r>
            <w:r w:rsidRPr="001F29F9">
              <w:rPr>
                <w:rFonts w:cs="Calibri"/>
                <w:b/>
                <w:color w:val="000000" w:themeColor="text1"/>
                <w:sz w:val="18"/>
                <w:szCs w:val="18"/>
              </w:rPr>
              <w:t xml:space="preserve">Separation) – All Effective </w:t>
            </w:r>
            <w:r w:rsidRPr="00BA4A38">
              <w:rPr>
                <w:rFonts w:cs="Calibri"/>
                <w:b/>
                <w:color w:val="000000" w:themeColor="text1"/>
                <w:sz w:val="18"/>
                <w:szCs w:val="18"/>
              </w:rPr>
              <w:t>2001121</w:t>
            </w:r>
            <w:r>
              <w:rPr>
                <w:rFonts w:cs="Calibri"/>
                <w:b/>
                <w:color w:val="000000" w:themeColor="text1"/>
                <w:sz w:val="18"/>
                <w:szCs w:val="18"/>
              </w:rPr>
              <w:t>7</w:t>
            </w:r>
          </w:p>
        </w:tc>
      </w:tr>
      <w:tr w:rsidR="007D11B4" w:rsidRPr="001F29F9" w:rsidTr="007D11B4">
        <w:trPr>
          <w:trHeight w:val="97"/>
        </w:trPr>
        <w:tc>
          <w:tcPr>
            <w:tcW w:w="2628" w:type="dxa"/>
            <w:tcBorders>
              <w:bottom w:val="single" w:sz="4" w:space="0" w:color="000000" w:themeColor="text1"/>
              <w:right w:val="single" w:sz="4" w:space="0" w:color="auto"/>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Rating</w:t>
            </w:r>
          </w:p>
        </w:tc>
        <w:tc>
          <w:tcPr>
            <w:tcW w:w="2034" w:type="dxa"/>
            <w:tcBorders>
              <w:left w:val="thinThickThinSmallGap" w:sz="24" w:space="0" w:color="auto"/>
              <w:bottom w:val="single" w:sz="4" w:space="0" w:color="000000" w:themeColor="text1"/>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674E8B" w:rsidRPr="001F29F9" w:rsidRDefault="00674E8B" w:rsidP="00A07926">
            <w:pPr>
              <w:spacing w:after="100" w:afterAutospacing="1"/>
              <w:contextualSpacing/>
              <w:rPr>
                <w:rFonts w:cs="Calibri"/>
                <w:b/>
                <w:color w:val="000000" w:themeColor="text1"/>
                <w:sz w:val="18"/>
                <w:szCs w:val="18"/>
              </w:rPr>
            </w:pPr>
            <w:r w:rsidRPr="001F29F9">
              <w:rPr>
                <w:rFonts w:cs="Calibri"/>
                <w:b/>
                <w:color w:val="000000" w:themeColor="text1"/>
                <w:sz w:val="18"/>
                <w:szCs w:val="18"/>
              </w:rPr>
              <w:t>Exam</w:t>
            </w:r>
          </w:p>
        </w:tc>
      </w:tr>
      <w:tr w:rsidR="007D11B4" w:rsidRPr="001F29F9" w:rsidTr="007D11B4">
        <w:trPr>
          <w:trHeight w:val="197"/>
        </w:trPr>
        <w:tc>
          <w:tcPr>
            <w:tcW w:w="2628" w:type="dxa"/>
            <w:tcBorders>
              <w:right w:val="single" w:sz="4" w:space="0" w:color="auto"/>
            </w:tcBorders>
            <w:shd w:val="clear" w:color="auto" w:fill="FFFFFF" w:themeFill="background1"/>
            <w:vAlign w:val="center"/>
          </w:tcPr>
          <w:p w:rsidR="00674E8B" w:rsidRPr="001F29F9" w:rsidRDefault="002E10C7" w:rsidP="007D11B4">
            <w:pPr>
              <w:spacing w:after="100" w:afterAutospacing="1" w:line="220" w:lineRule="exact"/>
              <w:contextualSpacing/>
              <w:jc w:val="left"/>
              <w:rPr>
                <w:rFonts w:cs="Calibri"/>
                <w:color w:val="000000" w:themeColor="text1"/>
                <w:sz w:val="18"/>
                <w:szCs w:val="18"/>
              </w:rPr>
            </w:pPr>
            <w:proofErr w:type="spellStart"/>
            <w:r>
              <w:rPr>
                <w:rFonts w:cs="Calibri"/>
                <w:color w:val="000000" w:themeColor="text1"/>
                <w:sz w:val="18"/>
                <w:szCs w:val="18"/>
              </w:rPr>
              <w:t>R</w:t>
            </w:r>
            <w:r w:rsidR="007D11B4">
              <w:rPr>
                <w:rFonts w:cs="Calibri"/>
                <w:color w:val="000000" w:themeColor="text1"/>
                <w:sz w:val="18"/>
                <w:szCs w:val="18"/>
              </w:rPr>
              <w:t>etropatellar</w:t>
            </w:r>
            <w:proofErr w:type="spellEnd"/>
            <w:r w:rsidR="007D11B4">
              <w:rPr>
                <w:rFonts w:cs="Calibri"/>
                <w:color w:val="000000" w:themeColor="text1"/>
                <w:sz w:val="18"/>
                <w:szCs w:val="18"/>
              </w:rPr>
              <w:t xml:space="preserve"> Pain Syndrome (</w:t>
            </w:r>
            <w:r>
              <w:rPr>
                <w:rFonts w:cs="Calibri"/>
                <w:color w:val="000000" w:themeColor="text1"/>
                <w:sz w:val="18"/>
                <w:szCs w:val="18"/>
              </w:rPr>
              <w:t xml:space="preserve"> L</w:t>
            </w:r>
            <w:r w:rsidR="007D11B4">
              <w:rPr>
                <w:rFonts w:cs="Calibri"/>
                <w:color w:val="000000" w:themeColor="text1"/>
                <w:sz w:val="18"/>
                <w:szCs w:val="18"/>
              </w:rPr>
              <w:t>)</w:t>
            </w:r>
            <w:r>
              <w:rPr>
                <w:rFonts w:cs="Calibri"/>
                <w:color w:val="000000" w:themeColor="text1"/>
                <w:sz w:val="18"/>
                <w:szCs w:val="18"/>
              </w:rPr>
              <w:t xml:space="preserve"> </w:t>
            </w:r>
          </w:p>
        </w:tc>
        <w:tc>
          <w:tcPr>
            <w:tcW w:w="1080" w:type="dxa"/>
            <w:tcBorders>
              <w:left w:val="single" w:sz="4" w:space="0" w:color="auto"/>
            </w:tcBorders>
            <w:shd w:val="clear" w:color="auto" w:fill="FFFFFF" w:themeFill="background1"/>
            <w:vAlign w:val="center"/>
          </w:tcPr>
          <w:p w:rsidR="00674E8B" w:rsidRPr="001F29F9" w:rsidRDefault="002E10C7"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5299-5003</w:t>
            </w:r>
          </w:p>
        </w:tc>
        <w:tc>
          <w:tcPr>
            <w:tcW w:w="720" w:type="dxa"/>
            <w:tcBorders>
              <w:right w:val="thinThickThinSmallGap" w:sz="24" w:space="0" w:color="auto"/>
            </w:tcBorders>
            <w:shd w:val="clear" w:color="auto" w:fill="FFFFFF" w:themeFill="background1"/>
            <w:vAlign w:val="center"/>
          </w:tcPr>
          <w:p w:rsidR="00674E8B" w:rsidRPr="001F29F9" w:rsidRDefault="002E10C7" w:rsidP="00A07926">
            <w:pPr>
              <w:spacing w:after="100" w:afterAutospacing="1" w:line="220" w:lineRule="exact"/>
              <w:rPr>
                <w:rFonts w:cs="Calibri"/>
                <w:color w:val="000000" w:themeColor="text1"/>
                <w:sz w:val="18"/>
                <w:szCs w:val="18"/>
              </w:rPr>
            </w:pPr>
            <w:r>
              <w:rPr>
                <w:rFonts w:cs="Calibri"/>
                <w:color w:val="000000" w:themeColor="text1"/>
                <w:sz w:val="18"/>
                <w:szCs w:val="18"/>
              </w:rPr>
              <w:t>0%</w:t>
            </w:r>
          </w:p>
        </w:tc>
        <w:tc>
          <w:tcPr>
            <w:tcW w:w="2034" w:type="dxa"/>
            <w:tcBorders>
              <w:left w:val="thinThickThinSmallGap" w:sz="24" w:space="0" w:color="auto"/>
              <w:bottom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Residual</w:t>
            </w:r>
            <w:r w:rsidR="002E10C7">
              <w:rPr>
                <w:rFonts w:cs="Calibri"/>
                <w:color w:val="000000" w:themeColor="text1"/>
                <w:sz w:val="18"/>
                <w:szCs w:val="18"/>
              </w:rPr>
              <w:t>s,</w:t>
            </w:r>
            <w:r>
              <w:rPr>
                <w:rFonts w:cs="Calibri"/>
                <w:color w:val="000000" w:themeColor="text1"/>
                <w:sz w:val="18"/>
                <w:szCs w:val="18"/>
              </w:rPr>
              <w:t xml:space="preserve"> L Knee Injury</w:t>
            </w:r>
          </w:p>
        </w:tc>
        <w:tc>
          <w:tcPr>
            <w:tcW w:w="1080" w:type="dxa"/>
            <w:tcBorders>
              <w:bottom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5024</w:t>
            </w:r>
          </w:p>
        </w:tc>
        <w:tc>
          <w:tcPr>
            <w:tcW w:w="828" w:type="dxa"/>
            <w:tcBorders>
              <w:bottom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0%*</w:t>
            </w:r>
          </w:p>
        </w:tc>
        <w:tc>
          <w:tcPr>
            <w:tcW w:w="990" w:type="dxa"/>
            <w:tcBorders>
              <w:bottom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20021023</w:t>
            </w:r>
          </w:p>
        </w:tc>
      </w:tr>
      <w:tr w:rsidR="00674E8B" w:rsidRPr="001F29F9" w:rsidTr="007D11B4">
        <w:trPr>
          <w:trHeight w:val="106"/>
        </w:trPr>
        <w:tc>
          <w:tcPr>
            <w:tcW w:w="2628" w:type="dxa"/>
            <w:tcBorders>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proofErr w:type="spellStart"/>
            <w:r>
              <w:rPr>
                <w:rFonts w:cs="Calibri"/>
                <w:color w:val="000000" w:themeColor="text1"/>
                <w:sz w:val="18"/>
                <w:szCs w:val="18"/>
              </w:rPr>
              <w:t>Diskogenic</w:t>
            </w:r>
            <w:proofErr w:type="spellEnd"/>
            <w:r>
              <w:rPr>
                <w:rFonts w:cs="Calibri"/>
                <w:color w:val="000000" w:themeColor="text1"/>
                <w:sz w:val="18"/>
                <w:szCs w:val="18"/>
              </w:rPr>
              <w:t xml:space="preserve"> Low Back Pain</w:t>
            </w:r>
          </w:p>
        </w:tc>
        <w:tc>
          <w:tcPr>
            <w:tcW w:w="1800" w:type="dxa"/>
            <w:gridSpan w:val="2"/>
            <w:tcBorders>
              <w:left w:val="single" w:sz="4" w:space="0" w:color="auto"/>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rPr>
                <w:rFonts w:cs="Calibri"/>
                <w:color w:val="000000" w:themeColor="text1"/>
                <w:sz w:val="18"/>
                <w:szCs w:val="18"/>
              </w:rPr>
            </w:pPr>
            <w:r>
              <w:rPr>
                <w:rFonts w:cs="Calibri"/>
                <w:color w:val="000000" w:themeColor="text1"/>
                <w:sz w:val="18"/>
                <w:szCs w:val="18"/>
              </w:rPr>
              <w:t>Not Unfitting</w:t>
            </w:r>
          </w:p>
        </w:tc>
        <w:tc>
          <w:tcPr>
            <w:tcW w:w="2034" w:type="dxa"/>
            <w:tcBorders>
              <w:left w:val="thinThickThinSmallGap" w:sz="24" w:space="0" w:color="auto"/>
              <w:right w:val="single" w:sz="4" w:space="0" w:color="auto"/>
            </w:tcBorders>
            <w:shd w:val="clear" w:color="auto" w:fill="FFFFFF" w:themeFill="background1"/>
            <w:vAlign w:val="center"/>
          </w:tcPr>
          <w:p w:rsidR="00674E8B" w:rsidRPr="001F29F9" w:rsidRDefault="00674E8B" w:rsidP="007D11B4">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 xml:space="preserve">DDD, </w:t>
            </w:r>
            <w:r w:rsidR="007D11B4">
              <w:rPr>
                <w:rFonts w:cs="Calibri"/>
                <w:color w:val="000000" w:themeColor="text1"/>
                <w:sz w:val="18"/>
                <w:szCs w:val="18"/>
              </w:rPr>
              <w:t xml:space="preserve">Low </w:t>
            </w:r>
            <w:r>
              <w:rPr>
                <w:rFonts w:cs="Calibri"/>
                <w:color w:val="000000" w:themeColor="text1"/>
                <w:sz w:val="18"/>
                <w:szCs w:val="18"/>
              </w:rPr>
              <w:t xml:space="preserve">Thoracic </w:t>
            </w:r>
          </w:p>
        </w:tc>
        <w:tc>
          <w:tcPr>
            <w:tcW w:w="1080" w:type="dxa"/>
            <w:tcBorders>
              <w:lef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5003-5295</w:t>
            </w:r>
          </w:p>
        </w:tc>
        <w:tc>
          <w:tcPr>
            <w:tcW w:w="828"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20021023</w:t>
            </w:r>
          </w:p>
        </w:tc>
      </w:tr>
      <w:tr w:rsidR="00674E8B" w:rsidRPr="001F29F9" w:rsidTr="007D11B4">
        <w:trPr>
          <w:trHeight w:val="97"/>
        </w:trPr>
        <w:tc>
          <w:tcPr>
            <w:tcW w:w="2628" w:type="dxa"/>
            <w:tcBorders>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Vascular Headaches</w:t>
            </w:r>
          </w:p>
        </w:tc>
        <w:tc>
          <w:tcPr>
            <w:tcW w:w="1800" w:type="dxa"/>
            <w:gridSpan w:val="2"/>
            <w:tcBorders>
              <w:left w:val="single" w:sz="4" w:space="0" w:color="auto"/>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Not Unfitting</w:t>
            </w:r>
          </w:p>
        </w:tc>
        <w:tc>
          <w:tcPr>
            <w:tcW w:w="2034" w:type="dxa"/>
            <w:tcBorders>
              <w:left w:val="thinThickThinSmallGap" w:sz="24" w:space="0" w:color="auto"/>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Vascular Headache</w:t>
            </w:r>
          </w:p>
        </w:tc>
        <w:tc>
          <w:tcPr>
            <w:tcW w:w="1080" w:type="dxa"/>
            <w:tcBorders>
              <w:lef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8100</w:t>
            </w:r>
          </w:p>
        </w:tc>
        <w:tc>
          <w:tcPr>
            <w:tcW w:w="828"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674E8B" w:rsidRPr="001F29F9" w:rsidTr="007D11B4">
        <w:trPr>
          <w:trHeight w:val="178"/>
        </w:trPr>
        <w:tc>
          <w:tcPr>
            <w:tcW w:w="4428" w:type="dxa"/>
            <w:gridSpan w:val="3"/>
            <w:tcBorders>
              <w:bottom w:val="nil"/>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034" w:type="dxa"/>
            <w:tcBorders>
              <w:left w:val="thinThickThinSmallGap" w:sz="24" w:space="0" w:color="auto"/>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Plantar Fasciitis, R Foot</w:t>
            </w:r>
          </w:p>
        </w:tc>
        <w:tc>
          <w:tcPr>
            <w:tcW w:w="1080" w:type="dxa"/>
            <w:tcBorders>
              <w:lef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5276</w:t>
            </w:r>
          </w:p>
        </w:tc>
        <w:tc>
          <w:tcPr>
            <w:tcW w:w="828"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674E8B" w:rsidRPr="001F29F9" w:rsidTr="007D11B4">
        <w:trPr>
          <w:trHeight w:val="70"/>
        </w:trPr>
        <w:tc>
          <w:tcPr>
            <w:tcW w:w="4428" w:type="dxa"/>
            <w:gridSpan w:val="3"/>
            <w:vMerge w:val="restart"/>
            <w:tcBorders>
              <w:top w:val="nil"/>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p>
        </w:tc>
        <w:tc>
          <w:tcPr>
            <w:tcW w:w="2034" w:type="dxa"/>
            <w:tcBorders>
              <w:left w:val="thinThickThinSmallGap" w:sz="24" w:space="0" w:color="auto"/>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 xml:space="preserve">Plantar Fasciitis, </w:t>
            </w:r>
            <w:r w:rsidR="007D11B4">
              <w:rPr>
                <w:rFonts w:cs="Calibri"/>
                <w:color w:val="000000" w:themeColor="text1"/>
                <w:sz w:val="18"/>
                <w:szCs w:val="18"/>
              </w:rPr>
              <w:t>L</w:t>
            </w:r>
            <w:r>
              <w:rPr>
                <w:rFonts w:cs="Calibri"/>
                <w:color w:val="000000" w:themeColor="text1"/>
                <w:sz w:val="18"/>
                <w:szCs w:val="18"/>
              </w:rPr>
              <w:t xml:space="preserve"> Foot</w:t>
            </w:r>
          </w:p>
        </w:tc>
        <w:tc>
          <w:tcPr>
            <w:tcW w:w="1080" w:type="dxa"/>
            <w:tcBorders>
              <w:left w:val="single" w:sz="4" w:space="0" w:color="auto"/>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5276</w:t>
            </w:r>
          </w:p>
        </w:tc>
        <w:tc>
          <w:tcPr>
            <w:tcW w:w="828" w:type="dxa"/>
            <w:tcBorders>
              <w:lef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674E8B" w:rsidRPr="001F29F9" w:rsidTr="007D11B4">
        <w:trPr>
          <w:trHeight w:val="70"/>
        </w:trPr>
        <w:tc>
          <w:tcPr>
            <w:tcW w:w="4428" w:type="dxa"/>
            <w:gridSpan w:val="3"/>
            <w:vMerge/>
            <w:tcBorders>
              <w:top w:val="nil"/>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p>
        </w:tc>
        <w:tc>
          <w:tcPr>
            <w:tcW w:w="2034" w:type="dxa"/>
            <w:tcBorders>
              <w:left w:val="thinThickThinSmallGap" w:sz="24" w:space="0" w:color="auto"/>
              <w:right w:val="single" w:sz="4" w:space="0" w:color="auto"/>
            </w:tcBorders>
            <w:shd w:val="clear" w:color="auto" w:fill="FFFFFF" w:themeFill="background1"/>
            <w:vAlign w:val="center"/>
          </w:tcPr>
          <w:p w:rsidR="00674E8B"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R Shoulder Strain</w:t>
            </w:r>
          </w:p>
        </w:tc>
        <w:tc>
          <w:tcPr>
            <w:tcW w:w="1080" w:type="dxa"/>
            <w:tcBorders>
              <w:left w:val="single" w:sz="4" w:space="0" w:color="auto"/>
              <w:right w:val="single" w:sz="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5203</w:t>
            </w:r>
          </w:p>
        </w:tc>
        <w:tc>
          <w:tcPr>
            <w:tcW w:w="828" w:type="dxa"/>
            <w:tcBorders>
              <w:left w:val="single" w:sz="4" w:space="0" w:color="auto"/>
            </w:tcBorders>
            <w:shd w:val="clear" w:color="auto" w:fill="FFFFFF" w:themeFill="background1"/>
            <w:vAlign w:val="center"/>
          </w:tcPr>
          <w:p w:rsidR="00674E8B"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674E8B" w:rsidRPr="001F29F9" w:rsidTr="007D11B4">
        <w:trPr>
          <w:trHeight w:val="70"/>
        </w:trPr>
        <w:tc>
          <w:tcPr>
            <w:tcW w:w="4428" w:type="dxa"/>
            <w:gridSpan w:val="3"/>
            <w:vMerge/>
            <w:tcBorders>
              <w:top w:val="nil"/>
              <w:right w:val="thinThickThinSmallGap" w:sz="24" w:space="0" w:color="auto"/>
            </w:tcBorders>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rPr>
            </w:pPr>
          </w:p>
        </w:tc>
        <w:tc>
          <w:tcPr>
            <w:tcW w:w="2034" w:type="dxa"/>
            <w:tcBorders>
              <w:left w:val="thinThickThinSmallGap" w:sz="24" w:space="0" w:color="auto"/>
              <w:right w:val="single" w:sz="4" w:space="0" w:color="auto"/>
            </w:tcBorders>
            <w:shd w:val="clear" w:color="auto" w:fill="FFFFFF" w:themeFill="background1"/>
            <w:vAlign w:val="center"/>
          </w:tcPr>
          <w:p w:rsidR="00674E8B" w:rsidRDefault="00674E8B" w:rsidP="00A07926">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L Shoulder Strain</w:t>
            </w:r>
          </w:p>
        </w:tc>
        <w:tc>
          <w:tcPr>
            <w:tcW w:w="1080" w:type="dxa"/>
            <w:tcBorders>
              <w:left w:val="single" w:sz="4" w:space="0" w:color="auto"/>
              <w:right w:val="single" w:sz="4" w:space="0" w:color="auto"/>
            </w:tcBorders>
            <w:shd w:val="clear" w:color="auto" w:fill="FFFFFF" w:themeFill="background1"/>
            <w:vAlign w:val="center"/>
          </w:tcPr>
          <w:p w:rsidR="00674E8B" w:rsidRPr="001F29F9" w:rsidRDefault="007D11B4"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5203</w:t>
            </w:r>
          </w:p>
        </w:tc>
        <w:tc>
          <w:tcPr>
            <w:tcW w:w="828" w:type="dxa"/>
            <w:tcBorders>
              <w:left w:val="single" w:sz="4" w:space="0" w:color="auto"/>
            </w:tcBorders>
            <w:shd w:val="clear" w:color="auto" w:fill="FFFFFF" w:themeFill="background1"/>
            <w:vAlign w:val="center"/>
          </w:tcPr>
          <w:p w:rsidR="00674E8B" w:rsidRDefault="00674E8B" w:rsidP="00A07926">
            <w:pPr>
              <w:spacing w:after="100" w:afterAutospacing="1"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4E8B" w:rsidRPr="001F29F9" w:rsidRDefault="00674E8B" w:rsidP="00A07926">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2E10C7" w:rsidRPr="001F29F9" w:rsidTr="007D11B4">
        <w:trPr>
          <w:trHeight w:val="70"/>
        </w:trPr>
        <w:tc>
          <w:tcPr>
            <w:tcW w:w="4428" w:type="dxa"/>
            <w:gridSpan w:val="3"/>
            <w:vMerge/>
            <w:tcBorders>
              <w:top w:val="nil"/>
              <w:right w:val="thinThickThinSmallGap" w:sz="24" w:space="0" w:color="auto"/>
            </w:tcBorders>
            <w:shd w:val="clear" w:color="auto" w:fill="FFFFFF" w:themeFill="background1"/>
            <w:vAlign w:val="center"/>
          </w:tcPr>
          <w:p w:rsidR="002E10C7" w:rsidRPr="001F29F9" w:rsidRDefault="002E10C7" w:rsidP="002E10C7">
            <w:pPr>
              <w:spacing w:after="100" w:afterAutospacing="1" w:line="220" w:lineRule="exact"/>
              <w:contextualSpacing/>
              <w:rPr>
                <w:color w:val="000000" w:themeColor="text1"/>
                <w:sz w:val="18"/>
                <w:szCs w:val="18"/>
              </w:rPr>
            </w:pPr>
          </w:p>
        </w:tc>
        <w:tc>
          <w:tcPr>
            <w:tcW w:w="2034" w:type="dxa"/>
            <w:tcBorders>
              <w:left w:val="thinThickThinSmallGap" w:sz="24" w:space="0" w:color="auto"/>
              <w:right w:val="single" w:sz="4" w:space="0" w:color="auto"/>
            </w:tcBorders>
            <w:shd w:val="clear" w:color="auto" w:fill="FFFFFF" w:themeFill="background1"/>
            <w:vAlign w:val="center"/>
          </w:tcPr>
          <w:p w:rsidR="002E10C7" w:rsidRDefault="002E10C7" w:rsidP="002E10C7">
            <w:pPr>
              <w:spacing w:after="100" w:afterAutospacing="1" w:line="220" w:lineRule="exact"/>
              <w:contextualSpacing/>
              <w:jc w:val="left"/>
              <w:rPr>
                <w:rFonts w:cs="Calibri"/>
                <w:color w:val="000000" w:themeColor="text1"/>
                <w:sz w:val="18"/>
                <w:szCs w:val="18"/>
              </w:rPr>
            </w:pPr>
            <w:r>
              <w:rPr>
                <w:rFonts w:cs="Calibri"/>
                <w:color w:val="000000" w:themeColor="text1"/>
                <w:sz w:val="18"/>
                <w:szCs w:val="18"/>
              </w:rPr>
              <w:t>RPPS, R Knee</w:t>
            </w:r>
          </w:p>
        </w:tc>
        <w:tc>
          <w:tcPr>
            <w:tcW w:w="1080" w:type="dxa"/>
            <w:tcBorders>
              <w:left w:val="single" w:sz="4" w:space="0" w:color="auto"/>
              <w:right w:val="single" w:sz="4" w:space="0" w:color="auto"/>
            </w:tcBorders>
            <w:shd w:val="clear" w:color="auto" w:fill="FFFFFF" w:themeFill="background1"/>
            <w:vAlign w:val="center"/>
          </w:tcPr>
          <w:p w:rsidR="002E10C7" w:rsidRPr="001F29F9" w:rsidRDefault="002E10C7" w:rsidP="002E10C7">
            <w:pPr>
              <w:spacing w:after="100" w:afterAutospacing="1" w:line="220" w:lineRule="exact"/>
              <w:contextualSpacing/>
              <w:rPr>
                <w:rFonts w:cs="Calibri"/>
                <w:color w:val="000000" w:themeColor="text1"/>
                <w:sz w:val="18"/>
                <w:szCs w:val="18"/>
              </w:rPr>
            </w:pPr>
            <w:r>
              <w:rPr>
                <w:rFonts w:cs="Calibri"/>
                <w:color w:val="000000" w:themeColor="text1"/>
                <w:sz w:val="18"/>
                <w:szCs w:val="18"/>
              </w:rPr>
              <w:t>5024</w:t>
            </w:r>
          </w:p>
        </w:tc>
        <w:tc>
          <w:tcPr>
            <w:tcW w:w="828" w:type="dxa"/>
            <w:tcBorders>
              <w:left w:val="single" w:sz="4" w:space="0" w:color="auto"/>
            </w:tcBorders>
            <w:shd w:val="clear" w:color="auto" w:fill="FFFFFF" w:themeFill="background1"/>
            <w:vAlign w:val="center"/>
          </w:tcPr>
          <w:p w:rsidR="002E10C7" w:rsidRDefault="002E10C7" w:rsidP="002E10C7">
            <w:pPr>
              <w:spacing w:after="100" w:afterAutospacing="1" w:line="22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2E10C7" w:rsidRPr="001F29F9" w:rsidRDefault="002E10C7" w:rsidP="002E10C7">
            <w:pPr>
              <w:spacing w:after="100" w:afterAutospacing="1" w:line="220" w:lineRule="exact"/>
              <w:contextualSpacing/>
              <w:rPr>
                <w:rFonts w:cs="Calibri"/>
                <w:color w:val="000000" w:themeColor="text1"/>
                <w:sz w:val="18"/>
                <w:szCs w:val="18"/>
              </w:rPr>
            </w:pPr>
            <w:r>
              <w:rPr>
                <w:rFonts w:cs="Calibri"/>
                <w:color w:val="000000" w:themeColor="text1"/>
                <w:sz w:val="18"/>
                <w:szCs w:val="18"/>
              </w:rPr>
              <w:t>20021023</w:t>
            </w:r>
          </w:p>
        </w:tc>
      </w:tr>
      <w:tr w:rsidR="002E10C7" w:rsidRPr="001F29F9" w:rsidTr="007D11B4">
        <w:trPr>
          <w:trHeight w:val="160"/>
        </w:trPr>
        <w:tc>
          <w:tcPr>
            <w:tcW w:w="4428" w:type="dxa"/>
            <w:gridSpan w:val="3"/>
            <w:vMerge/>
            <w:tcBorders>
              <w:bottom w:val="nil"/>
              <w:right w:val="thinThickThinSmallGap" w:sz="24" w:space="0" w:color="auto"/>
            </w:tcBorders>
            <w:shd w:val="clear" w:color="auto" w:fill="FFFFFF" w:themeFill="background1"/>
            <w:vAlign w:val="center"/>
          </w:tcPr>
          <w:p w:rsidR="002E10C7" w:rsidRPr="001F29F9" w:rsidRDefault="002E10C7" w:rsidP="002E10C7">
            <w:pPr>
              <w:spacing w:after="100" w:afterAutospacing="1" w:line="220" w:lineRule="exact"/>
              <w:contextualSpacing/>
              <w:rPr>
                <w:rFonts w:cs="Calibri"/>
                <w:color w:val="000000" w:themeColor="text1"/>
                <w:sz w:val="18"/>
                <w:szCs w:val="18"/>
              </w:rPr>
            </w:pPr>
          </w:p>
        </w:tc>
        <w:tc>
          <w:tcPr>
            <w:tcW w:w="3942" w:type="dxa"/>
            <w:gridSpan w:val="3"/>
            <w:tcBorders>
              <w:left w:val="thinThickThinSmallGap" w:sz="24" w:space="0" w:color="auto"/>
            </w:tcBorders>
            <w:shd w:val="clear" w:color="auto" w:fill="FFFFFF" w:themeFill="background1"/>
            <w:vAlign w:val="center"/>
          </w:tcPr>
          <w:p w:rsidR="002E10C7" w:rsidRPr="001F29F9" w:rsidRDefault="002E10C7" w:rsidP="002E10C7">
            <w:pPr>
              <w:spacing w:after="100" w:afterAutospacing="1" w:line="220" w:lineRule="exact"/>
              <w:contextualSpacing/>
              <w:rPr>
                <w:rFonts w:cs="Calibri"/>
                <w:color w:val="000000" w:themeColor="text1"/>
                <w:sz w:val="18"/>
                <w:szCs w:val="18"/>
              </w:rPr>
            </w:pPr>
            <w:r>
              <w:rPr>
                <w:rFonts w:cs="Calibri"/>
                <w:color w:val="000000" w:themeColor="text1"/>
                <w:sz w:val="18"/>
                <w:szCs w:val="18"/>
              </w:rPr>
              <w:t>2 Additional Conditions at 0%.</w:t>
            </w:r>
          </w:p>
        </w:tc>
        <w:tc>
          <w:tcPr>
            <w:tcW w:w="990" w:type="dxa"/>
            <w:shd w:val="clear" w:color="auto" w:fill="FFFFFF" w:themeFill="background1"/>
            <w:vAlign w:val="center"/>
          </w:tcPr>
          <w:p w:rsidR="002E10C7" w:rsidRPr="001F29F9" w:rsidRDefault="002E10C7" w:rsidP="002E10C7">
            <w:pPr>
              <w:spacing w:after="100" w:afterAutospacing="1" w:line="220" w:lineRule="exact"/>
              <w:contextualSpacing/>
              <w:rPr>
                <w:rFonts w:cs="Calibri"/>
                <w:color w:val="000000" w:themeColor="text1"/>
                <w:sz w:val="18"/>
                <w:szCs w:val="18"/>
                <w:highlight w:val="yellow"/>
              </w:rPr>
            </w:pPr>
            <w:r>
              <w:rPr>
                <w:rFonts w:cs="Calibri"/>
                <w:color w:val="000000" w:themeColor="text1"/>
                <w:sz w:val="18"/>
                <w:szCs w:val="18"/>
              </w:rPr>
              <w:t>20021023</w:t>
            </w:r>
          </w:p>
        </w:tc>
      </w:tr>
      <w:tr w:rsidR="002E10C7" w:rsidRPr="001F29F9" w:rsidTr="007D11B4">
        <w:trPr>
          <w:trHeight w:val="124"/>
        </w:trPr>
        <w:tc>
          <w:tcPr>
            <w:tcW w:w="4428" w:type="dxa"/>
            <w:gridSpan w:val="3"/>
            <w:tcBorders>
              <w:right w:val="thinThickThinSmallGap" w:sz="24" w:space="0" w:color="auto"/>
            </w:tcBorders>
            <w:shd w:val="clear" w:color="auto" w:fill="D9D9D9" w:themeFill="background1" w:themeFillShade="D9"/>
          </w:tcPr>
          <w:p w:rsidR="002E10C7" w:rsidRPr="001F29F9" w:rsidRDefault="002E10C7" w:rsidP="002E10C7">
            <w:pPr>
              <w:spacing w:after="100" w:afterAutospacing="1"/>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0</w:t>
            </w:r>
            <w:r w:rsidRPr="001F29F9">
              <w:rPr>
                <w:rFonts w:cs="Calibri"/>
                <w:b/>
                <w:color w:val="000000" w:themeColor="text1"/>
                <w:sz w:val="18"/>
                <w:szCs w:val="18"/>
              </w:rPr>
              <w:t>%</w:t>
            </w:r>
          </w:p>
        </w:tc>
        <w:tc>
          <w:tcPr>
            <w:tcW w:w="4932" w:type="dxa"/>
            <w:gridSpan w:val="4"/>
            <w:tcBorders>
              <w:left w:val="thinThickThinSmallGap" w:sz="24" w:space="0" w:color="auto"/>
            </w:tcBorders>
            <w:shd w:val="clear" w:color="auto" w:fill="D9D9D9" w:themeFill="background1" w:themeFillShade="D9"/>
          </w:tcPr>
          <w:p w:rsidR="002E10C7" w:rsidRPr="001F29F9" w:rsidRDefault="002E10C7" w:rsidP="002E10C7">
            <w:pPr>
              <w:spacing w:after="100" w:afterAutospacing="1"/>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4</w:t>
            </w:r>
            <w:r w:rsidRPr="001F29F9">
              <w:rPr>
                <w:rFonts w:cs="Calibri"/>
                <w:b/>
                <w:color w:val="000000" w:themeColor="text1"/>
                <w:sz w:val="18"/>
                <w:szCs w:val="18"/>
              </w:rPr>
              <w:t>0%</w:t>
            </w:r>
            <w:r>
              <w:rPr>
                <w:rFonts w:cs="Calibri"/>
                <w:b/>
                <w:color w:val="000000" w:themeColor="text1"/>
                <w:sz w:val="18"/>
                <w:szCs w:val="18"/>
              </w:rPr>
              <w:t xml:space="preserve"> → 60%*</w:t>
            </w:r>
          </w:p>
        </w:tc>
      </w:tr>
    </w:tbl>
    <w:p w:rsidR="00674E8B" w:rsidRDefault="00674E8B" w:rsidP="00674E8B">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Pr>
          <w:color w:val="000000" w:themeColor="text1"/>
          <w:sz w:val="18"/>
          <w:szCs w:val="18"/>
        </w:rPr>
        <w:t xml:space="preserve">Both </w:t>
      </w:r>
      <w:proofErr w:type="spellStart"/>
      <w:r>
        <w:rPr>
          <w:color w:val="000000" w:themeColor="text1"/>
          <w:sz w:val="18"/>
          <w:szCs w:val="18"/>
        </w:rPr>
        <w:t>retroeffectively</w:t>
      </w:r>
      <w:proofErr w:type="spellEnd"/>
      <w:r>
        <w:rPr>
          <w:color w:val="000000" w:themeColor="text1"/>
          <w:sz w:val="18"/>
          <w:szCs w:val="18"/>
        </w:rPr>
        <w:t xml:space="preserve"> increased to 10% based on exam of 20020410 (4 mo. post-separation); VARD </w:t>
      </w:r>
      <w:proofErr w:type="spellStart"/>
      <w:proofErr w:type="gramStart"/>
      <w:r>
        <w:rPr>
          <w:color w:val="000000" w:themeColor="text1"/>
          <w:sz w:val="18"/>
          <w:szCs w:val="18"/>
        </w:rPr>
        <w:t>dtd</w:t>
      </w:r>
      <w:proofErr w:type="spellEnd"/>
      <w:r>
        <w:rPr>
          <w:color w:val="000000" w:themeColor="text1"/>
          <w:sz w:val="18"/>
          <w:szCs w:val="18"/>
        </w:rPr>
        <w:t xml:space="preserve">  20020605</w:t>
      </w:r>
      <w:proofErr w:type="gramEnd"/>
      <w:r w:rsidRPr="003C53E8">
        <w:rPr>
          <w:color w:val="000000" w:themeColor="text1"/>
          <w:sz w:val="18"/>
          <w:szCs w:val="18"/>
        </w:rPr>
        <w:t>.</w:t>
      </w:r>
      <w:r>
        <w:rPr>
          <w:color w:val="000000" w:themeColor="text1"/>
          <w:sz w:val="18"/>
          <w:szCs w:val="18"/>
        </w:rPr>
        <w:t xml:space="preserve">  </w:t>
      </w:r>
    </w:p>
    <w:p w:rsidR="00674E8B" w:rsidRDefault="00674E8B" w:rsidP="00674E8B">
      <w:pPr>
        <w:pBdr>
          <w:bottom w:val="single" w:sz="12" w:space="1" w:color="auto"/>
        </w:pBdr>
        <w:tabs>
          <w:tab w:val="left" w:pos="288"/>
          <w:tab w:val="left" w:pos="4752"/>
        </w:tabs>
        <w:jc w:val="both"/>
        <w:rPr>
          <w:color w:val="000000" w:themeColor="text1"/>
          <w:szCs w:val="24"/>
        </w:rPr>
      </w:pPr>
    </w:p>
    <w:p w:rsidR="00674E8B" w:rsidRDefault="00674E8B" w:rsidP="00674E8B">
      <w:pPr>
        <w:jc w:val="left"/>
        <w:rPr>
          <w:b/>
          <w:color w:val="000000" w:themeColor="text1"/>
          <w:u w:val="single"/>
        </w:rPr>
      </w:pPr>
    </w:p>
    <w:p w:rsidR="00EE36D0" w:rsidRPr="00EE36D0" w:rsidRDefault="00AD2379" w:rsidP="00EE36D0">
      <w:pPr>
        <w:jc w:val="both"/>
        <w:rPr>
          <w:color w:val="000000"/>
        </w:rPr>
      </w:pPr>
      <w:r w:rsidRPr="001F29F9">
        <w:rPr>
          <w:color w:val="000000"/>
          <w:u w:val="single"/>
        </w:rPr>
        <w:t>ANALYSIS SUMMARY</w:t>
      </w:r>
      <w:r w:rsidRPr="001F29F9">
        <w:rPr>
          <w:color w:val="000000"/>
        </w:rPr>
        <w:t>:</w:t>
      </w:r>
      <w:r>
        <w:rPr>
          <w:color w:val="000000"/>
        </w:rPr>
        <w:t xml:space="preserve"> </w:t>
      </w:r>
      <w:r w:rsidR="00EE36D0">
        <w:rPr>
          <w:color w:val="000000"/>
        </w:rPr>
        <w:t xml:space="preserve"> </w:t>
      </w:r>
      <w:r w:rsidR="00EE36D0" w:rsidRPr="00EE36D0">
        <w:rPr>
          <w:color w:val="000000"/>
        </w:rPr>
        <w:t>The Board acknowledges the sentiment expressed in the CI’s application regarding the significant impairment with which his service-incurred condition continues to burden him.  The Board wishes to clarify that it i</w:t>
      </w:r>
      <w:r w:rsidR="00544AEC">
        <w:rPr>
          <w:color w:val="000000"/>
        </w:rPr>
        <w:t>s subject to the same laws for s</w:t>
      </w:r>
      <w:r w:rsidR="00EE36D0" w:rsidRPr="00EE36D0">
        <w:rPr>
          <w:color w:val="000000"/>
        </w:rPr>
        <w:t xml:space="preserve">ervice disability </w:t>
      </w:r>
      <w:r w:rsidR="00EE36D0" w:rsidRPr="00EE36D0">
        <w:rPr>
          <w:color w:val="000000"/>
        </w:rPr>
        <w:lastRenderedPageBreak/>
        <w:t xml:space="preserve">entitlements as those under which the </w:t>
      </w:r>
      <w:r w:rsidR="00D93256">
        <w:rPr>
          <w:color w:val="000000"/>
        </w:rPr>
        <w:t xml:space="preserve">Disability Evaluation System (DES) operates.  The </w:t>
      </w:r>
      <w:r w:rsidR="00EE36D0" w:rsidRPr="00EE36D0">
        <w:rPr>
          <w:color w:val="000000"/>
        </w:rPr>
        <w:t xml:space="preserve">DES has neither the role nor the authority to compensate service members for anticipated future </w:t>
      </w:r>
      <w:proofErr w:type="gramStart"/>
      <w:r w:rsidR="00EE36D0" w:rsidRPr="00EE36D0">
        <w:rPr>
          <w:color w:val="000000"/>
        </w:rPr>
        <w:t>severity</w:t>
      </w:r>
      <w:proofErr w:type="gramEnd"/>
      <w:r w:rsidR="00EE36D0" w:rsidRPr="00EE36D0">
        <w:rPr>
          <w:color w:val="000000"/>
        </w:rPr>
        <w:t xml:space="preserve"> or potential complications of conditions resulting in medical separation.  That role and authority is granted by Congress to the Department of Veteran</w:t>
      </w:r>
      <w:r w:rsidR="00D93256">
        <w:rPr>
          <w:color w:val="000000"/>
        </w:rPr>
        <w:t>s’</w:t>
      </w:r>
      <w:r w:rsidR="00EE36D0" w:rsidRPr="00EE36D0">
        <w:rPr>
          <w:color w:val="000000"/>
        </w:rPr>
        <w:t xml:space="preserve"> Affairs (DVA), operating under a different set of laws (Title 38, United States Code).  The Board evaluates </w:t>
      </w:r>
      <w:r w:rsidR="00D93256">
        <w:rPr>
          <w:color w:val="000000"/>
        </w:rPr>
        <w:t>D</w:t>
      </w:r>
      <w:r w:rsidR="00EE36D0" w:rsidRPr="00EE36D0">
        <w:rPr>
          <w:color w:val="000000"/>
        </w:rPr>
        <w:t>VA evidence proximal to separation in arriving at its recommendations, but its authority resides</w:t>
      </w:r>
      <w:r w:rsidR="00D93256">
        <w:rPr>
          <w:color w:val="000000"/>
        </w:rPr>
        <w:t xml:space="preserve"> in evaluating the fairness of </w:t>
      </w:r>
      <w:r w:rsidR="00EE36D0" w:rsidRPr="00EE36D0">
        <w:rPr>
          <w:color w:val="000000"/>
        </w:rPr>
        <w:t>DES fitness decisions and rating determinations for disability at the time of separation.  The Board further acknow</w:t>
      </w:r>
      <w:r w:rsidR="00D93256">
        <w:rPr>
          <w:color w:val="000000"/>
        </w:rPr>
        <w:t>ledges the CI’s contention for s</w:t>
      </w:r>
      <w:r w:rsidR="00EE36D0" w:rsidRPr="00EE36D0">
        <w:rPr>
          <w:color w:val="000000"/>
        </w:rPr>
        <w:t>ervice ratings for other conditions documented at the time of separation, and notes that its recommendations in that regard must comply with t</w:t>
      </w:r>
      <w:r w:rsidR="00D93256">
        <w:rPr>
          <w:color w:val="000000"/>
        </w:rPr>
        <w:t xml:space="preserve">he same governance.  While the </w:t>
      </w:r>
      <w:r w:rsidR="00EE36D0" w:rsidRPr="00EE36D0">
        <w:rPr>
          <w:color w:val="000000"/>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D93256">
        <w:rPr>
          <w:color w:val="000000"/>
        </w:rPr>
        <w:t>empowered to compensate service-</w:t>
      </w:r>
      <w:r w:rsidR="00EE36D0" w:rsidRPr="00EE36D0">
        <w:rPr>
          <w:color w:val="000000"/>
        </w:rPr>
        <w:t xml:space="preserve">connected conditions and to periodically re-evaluate said conditions for the purpose of adjusting the </w:t>
      </w:r>
      <w:r w:rsidR="00D93256">
        <w:rPr>
          <w:color w:val="000000"/>
        </w:rPr>
        <w:t>V</w:t>
      </w:r>
      <w:r w:rsidR="00EE36D0" w:rsidRPr="00EE36D0">
        <w:rPr>
          <w:color w:val="000000"/>
        </w:rPr>
        <w:t xml:space="preserve">eteran’s disability rating should </w:t>
      </w:r>
      <w:r w:rsidR="00D93256">
        <w:rPr>
          <w:color w:val="000000"/>
        </w:rPr>
        <w:t>the</w:t>
      </w:r>
      <w:r w:rsidR="00EE36D0" w:rsidRPr="00EE36D0">
        <w:rPr>
          <w:color w:val="000000"/>
        </w:rPr>
        <w:t xml:space="preserve"> degree of impairment vary over time.</w:t>
      </w:r>
    </w:p>
    <w:p w:rsidR="00AD2379" w:rsidRPr="00726F84" w:rsidRDefault="00AD2379" w:rsidP="00726F84">
      <w:pPr>
        <w:jc w:val="both"/>
        <w:rPr>
          <w:color w:val="000000"/>
        </w:rPr>
      </w:pPr>
    </w:p>
    <w:p w:rsidR="00674E8B" w:rsidRDefault="00511DDD" w:rsidP="00AD7888">
      <w:pPr>
        <w:jc w:val="both"/>
        <w:rPr>
          <w:color w:val="000000"/>
          <w:szCs w:val="24"/>
        </w:rPr>
      </w:pPr>
      <w:proofErr w:type="gramStart"/>
      <w:r>
        <w:rPr>
          <w:color w:val="000000"/>
          <w:u w:val="single"/>
        </w:rPr>
        <w:t>Left Knee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CA338D">
        <w:rPr>
          <w:color w:val="000000"/>
        </w:rPr>
        <w:t xml:space="preserve"> </w:t>
      </w:r>
      <w:r w:rsidR="007D11B4" w:rsidRPr="00B652C3">
        <w:rPr>
          <w:color w:val="000000"/>
          <w:szCs w:val="24"/>
        </w:rPr>
        <w:t xml:space="preserve">There were </w:t>
      </w:r>
      <w:r w:rsidR="00D93256">
        <w:rPr>
          <w:color w:val="000000"/>
          <w:szCs w:val="24"/>
        </w:rPr>
        <w:t>three goniometric range-of-</w:t>
      </w:r>
      <w:r w:rsidR="007D11B4" w:rsidRPr="00B652C3">
        <w:rPr>
          <w:color w:val="000000"/>
          <w:szCs w:val="24"/>
        </w:rPr>
        <w:t>motion (ROM) evaluations in evidence, with documentation of additional ratable criteria, which the Board weighed in arriving at its rating recommendation; as summarized in the chart below.</w:t>
      </w:r>
    </w:p>
    <w:p w:rsidR="00AD7888" w:rsidRPr="00674E8B" w:rsidRDefault="00AD7888" w:rsidP="00AD7888">
      <w:pPr>
        <w:jc w:val="both"/>
        <w:rPr>
          <w:color w:val="000000"/>
          <w:szCs w:val="24"/>
        </w:rPr>
      </w:pPr>
    </w:p>
    <w:tbl>
      <w:tblPr>
        <w:tblW w:w="9122" w:type="dxa"/>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5"/>
        <w:gridCol w:w="1980"/>
        <w:gridCol w:w="2880"/>
        <w:gridCol w:w="2247"/>
      </w:tblGrid>
      <w:tr w:rsidR="00AE516C" w:rsidRPr="0010685A" w:rsidTr="0010685A">
        <w:trPr>
          <w:jc w:val="center"/>
        </w:trPr>
        <w:tc>
          <w:tcPr>
            <w:tcW w:w="2015" w:type="dxa"/>
            <w:shd w:val="clear" w:color="auto" w:fill="D9D9D9"/>
            <w:vAlign w:val="center"/>
          </w:tcPr>
          <w:p w:rsidR="00AE516C" w:rsidRPr="0010685A" w:rsidRDefault="00AE516C" w:rsidP="00CA338D">
            <w:pPr>
              <w:contextualSpacing/>
              <w:rPr>
                <w:color w:val="000000"/>
                <w:sz w:val="20"/>
              </w:rPr>
            </w:pPr>
            <w:r w:rsidRPr="0010685A">
              <w:rPr>
                <w:color w:val="000000"/>
                <w:sz w:val="20"/>
              </w:rPr>
              <w:t>Left Knee ROM</w:t>
            </w:r>
          </w:p>
        </w:tc>
        <w:tc>
          <w:tcPr>
            <w:tcW w:w="1980" w:type="dxa"/>
            <w:shd w:val="clear" w:color="auto" w:fill="D9D9D9"/>
            <w:vAlign w:val="center"/>
          </w:tcPr>
          <w:p w:rsidR="00AE516C" w:rsidRPr="00674E8B" w:rsidRDefault="00AE516C" w:rsidP="00CA338D">
            <w:pPr>
              <w:contextualSpacing/>
              <w:rPr>
                <w:rFonts w:eastAsia="Calibri"/>
                <w:color w:val="auto"/>
                <w:sz w:val="20"/>
              </w:rPr>
            </w:pPr>
            <w:r w:rsidRPr="0010685A">
              <w:rPr>
                <w:rFonts w:eastAsia="Calibri"/>
                <w:color w:val="auto"/>
                <w:sz w:val="20"/>
              </w:rPr>
              <w:t>MEB ~8</w:t>
            </w:r>
            <w:r w:rsidRPr="00674E8B">
              <w:rPr>
                <w:rFonts w:eastAsia="Calibri"/>
                <w:color w:val="auto"/>
                <w:sz w:val="20"/>
              </w:rPr>
              <w:t xml:space="preserve"> Mo. Pre-Sep</w:t>
            </w:r>
          </w:p>
        </w:tc>
        <w:tc>
          <w:tcPr>
            <w:tcW w:w="2880" w:type="dxa"/>
            <w:shd w:val="clear" w:color="auto" w:fill="D9D9D9"/>
            <w:vAlign w:val="center"/>
          </w:tcPr>
          <w:p w:rsidR="00AE516C" w:rsidRPr="00674E8B" w:rsidRDefault="00AE516C" w:rsidP="00CA338D">
            <w:pPr>
              <w:contextualSpacing/>
              <w:rPr>
                <w:rFonts w:eastAsia="Cambria"/>
                <w:color w:val="auto"/>
                <w:sz w:val="20"/>
              </w:rPr>
            </w:pPr>
            <w:r w:rsidRPr="00674E8B">
              <w:rPr>
                <w:rFonts w:eastAsia="Calibri"/>
                <w:color w:val="auto"/>
                <w:sz w:val="20"/>
              </w:rPr>
              <w:t>VA</w:t>
            </w:r>
            <w:r w:rsidRPr="0010685A">
              <w:rPr>
                <w:rFonts w:eastAsia="Cambria"/>
                <w:color w:val="auto"/>
                <w:sz w:val="20"/>
              </w:rPr>
              <w:t xml:space="preserve"> C&amp;P ~2 Mo. Pre</w:t>
            </w:r>
            <w:r w:rsidRPr="00674E8B">
              <w:rPr>
                <w:rFonts w:eastAsia="Cambria"/>
                <w:color w:val="auto"/>
                <w:sz w:val="20"/>
              </w:rPr>
              <w:t>-Sep</w:t>
            </w:r>
          </w:p>
        </w:tc>
        <w:tc>
          <w:tcPr>
            <w:tcW w:w="2247" w:type="dxa"/>
            <w:shd w:val="clear" w:color="auto" w:fill="D9D9D9"/>
          </w:tcPr>
          <w:p w:rsidR="00AE516C" w:rsidRPr="0010685A" w:rsidRDefault="00AE516C" w:rsidP="00CA338D">
            <w:pPr>
              <w:contextualSpacing/>
              <w:rPr>
                <w:rFonts w:eastAsia="Calibri"/>
                <w:color w:val="auto"/>
                <w:sz w:val="20"/>
              </w:rPr>
            </w:pPr>
            <w:r w:rsidRPr="00674E8B">
              <w:rPr>
                <w:rFonts w:eastAsia="Calibri"/>
                <w:color w:val="auto"/>
                <w:sz w:val="20"/>
              </w:rPr>
              <w:t>VA</w:t>
            </w:r>
            <w:r w:rsidRPr="0010685A">
              <w:rPr>
                <w:rFonts w:eastAsia="Cambria"/>
                <w:color w:val="auto"/>
                <w:sz w:val="20"/>
              </w:rPr>
              <w:t xml:space="preserve"> C&amp;P ~4 Mo. Post</w:t>
            </w:r>
            <w:r w:rsidRPr="00674E8B">
              <w:rPr>
                <w:rFonts w:eastAsia="Cambria"/>
                <w:color w:val="auto"/>
                <w:sz w:val="20"/>
              </w:rPr>
              <w:t>-Sep</w:t>
            </w:r>
          </w:p>
        </w:tc>
      </w:tr>
      <w:tr w:rsidR="00AE516C" w:rsidRPr="0010685A" w:rsidTr="0010685A">
        <w:trPr>
          <w:jc w:val="center"/>
        </w:trPr>
        <w:tc>
          <w:tcPr>
            <w:tcW w:w="2015" w:type="dxa"/>
            <w:vAlign w:val="center"/>
          </w:tcPr>
          <w:p w:rsidR="00AE516C" w:rsidRPr="0010685A" w:rsidRDefault="00AE516C" w:rsidP="00CA338D">
            <w:pPr>
              <w:contextualSpacing/>
              <w:rPr>
                <w:color w:val="000000"/>
                <w:sz w:val="20"/>
              </w:rPr>
            </w:pPr>
            <w:r w:rsidRPr="0010685A">
              <w:rPr>
                <w:color w:val="000000"/>
                <w:sz w:val="20"/>
              </w:rPr>
              <w:t>Flexion (140⁰ Normal)</w:t>
            </w:r>
          </w:p>
        </w:tc>
        <w:tc>
          <w:tcPr>
            <w:tcW w:w="1980" w:type="dxa"/>
            <w:vAlign w:val="center"/>
          </w:tcPr>
          <w:p w:rsidR="00AE516C" w:rsidRPr="00674E8B" w:rsidRDefault="00AE516C" w:rsidP="00CA338D">
            <w:pPr>
              <w:contextualSpacing/>
              <w:rPr>
                <w:rFonts w:eastAsia="Calibri"/>
                <w:color w:val="auto"/>
                <w:sz w:val="20"/>
              </w:rPr>
            </w:pPr>
            <w:r w:rsidRPr="0010685A">
              <w:rPr>
                <w:rFonts w:eastAsia="Calibri"/>
                <w:color w:val="auto"/>
                <w:sz w:val="20"/>
              </w:rPr>
              <w:t>125</w:t>
            </w:r>
            <w:r w:rsidRPr="00674E8B">
              <w:rPr>
                <w:rFonts w:eastAsia="Calibri"/>
                <w:color w:val="auto"/>
                <w:sz w:val="20"/>
              </w:rPr>
              <w:t>⁰</w:t>
            </w:r>
          </w:p>
        </w:tc>
        <w:tc>
          <w:tcPr>
            <w:tcW w:w="2880" w:type="dxa"/>
            <w:vAlign w:val="center"/>
          </w:tcPr>
          <w:p w:rsidR="00AE516C" w:rsidRPr="00674E8B" w:rsidRDefault="00AE516C" w:rsidP="00CA338D">
            <w:pPr>
              <w:contextualSpacing/>
              <w:rPr>
                <w:rFonts w:eastAsia="Calibri"/>
                <w:color w:val="auto"/>
                <w:sz w:val="20"/>
              </w:rPr>
            </w:pPr>
            <w:r w:rsidRPr="0010685A">
              <w:rPr>
                <w:rFonts w:eastAsia="Calibri"/>
                <w:color w:val="auto"/>
                <w:sz w:val="20"/>
              </w:rPr>
              <w:t>13</w:t>
            </w:r>
            <w:r w:rsidRPr="00674E8B">
              <w:rPr>
                <w:rFonts w:eastAsia="Calibri"/>
                <w:color w:val="auto"/>
                <w:sz w:val="20"/>
              </w:rPr>
              <w:t>0⁰</w:t>
            </w:r>
          </w:p>
        </w:tc>
        <w:tc>
          <w:tcPr>
            <w:tcW w:w="2247" w:type="dxa"/>
            <w:vAlign w:val="center"/>
          </w:tcPr>
          <w:p w:rsidR="00AE516C" w:rsidRPr="00674E8B" w:rsidRDefault="00AE516C" w:rsidP="00A07926">
            <w:pPr>
              <w:contextualSpacing/>
              <w:rPr>
                <w:rFonts w:eastAsia="Calibri"/>
                <w:color w:val="auto"/>
                <w:sz w:val="20"/>
              </w:rPr>
            </w:pPr>
            <w:r w:rsidRPr="0010685A">
              <w:rPr>
                <w:rFonts w:eastAsia="Calibri"/>
                <w:color w:val="auto"/>
                <w:sz w:val="20"/>
              </w:rPr>
              <w:t>12</w:t>
            </w:r>
            <w:r w:rsidRPr="00674E8B">
              <w:rPr>
                <w:rFonts w:eastAsia="Calibri"/>
                <w:color w:val="auto"/>
                <w:sz w:val="20"/>
              </w:rPr>
              <w:t>0⁰</w:t>
            </w:r>
          </w:p>
        </w:tc>
      </w:tr>
      <w:tr w:rsidR="00AE516C" w:rsidRPr="0010685A" w:rsidTr="0010685A">
        <w:trPr>
          <w:jc w:val="center"/>
        </w:trPr>
        <w:tc>
          <w:tcPr>
            <w:tcW w:w="2015" w:type="dxa"/>
            <w:vAlign w:val="center"/>
          </w:tcPr>
          <w:p w:rsidR="00AE516C" w:rsidRPr="0010685A" w:rsidRDefault="00AE516C" w:rsidP="00CA338D">
            <w:pPr>
              <w:contextualSpacing/>
              <w:rPr>
                <w:color w:val="000000"/>
                <w:sz w:val="20"/>
              </w:rPr>
            </w:pPr>
            <w:r w:rsidRPr="0010685A">
              <w:rPr>
                <w:color w:val="000000"/>
                <w:sz w:val="20"/>
              </w:rPr>
              <w:t>Extension (0⁰ Normal)</w:t>
            </w:r>
          </w:p>
        </w:tc>
        <w:tc>
          <w:tcPr>
            <w:tcW w:w="1980" w:type="dxa"/>
            <w:tcBorders>
              <w:right w:val="single" w:sz="4" w:space="0" w:color="auto"/>
            </w:tcBorders>
            <w:vAlign w:val="center"/>
          </w:tcPr>
          <w:p w:rsidR="00AE516C" w:rsidRPr="00674E8B" w:rsidRDefault="00AE516C" w:rsidP="00CA338D">
            <w:pPr>
              <w:contextualSpacing/>
              <w:rPr>
                <w:rFonts w:eastAsia="Calibri"/>
                <w:color w:val="auto"/>
                <w:sz w:val="20"/>
              </w:rPr>
            </w:pPr>
            <w:r w:rsidRPr="00674E8B">
              <w:rPr>
                <w:rFonts w:eastAsia="Calibri"/>
                <w:color w:val="auto"/>
                <w:sz w:val="20"/>
              </w:rPr>
              <w:t>0⁰</w:t>
            </w:r>
          </w:p>
        </w:tc>
        <w:tc>
          <w:tcPr>
            <w:tcW w:w="2880" w:type="dxa"/>
            <w:tcBorders>
              <w:left w:val="single" w:sz="4" w:space="0" w:color="auto"/>
            </w:tcBorders>
            <w:vAlign w:val="center"/>
          </w:tcPr>
          <w:p w:rsidR="00AE516C" w:rsidRPr="00674E8B" w:rsidRDefault="00AE516C" w:rsidP="00CA338D">
            <w:pPr>
              <w:contextualSpacing/>
              <w:rPr>
                <w:rFonts w:eastAsia="Calibri"/>
                <w:color w:val="auto"/>
                <w:sz w:val="20"/>
              </w:rPr>
            </w:pPr>
            <w:r w:rsidRPr="0010685A">
              <w:rPr>
                <w:rFonts w:eastAsia="Calibri"/>
                <w:color w:val="auto"/>
                <w:sz w:val="20"/>
              </w:rPr>
              <w:t>0</w:t>
            </w:r>
            <w:r w:rsidRPr="00674E8B">
              <w:rPr>
                <w:rFonts w:eastAsia="Calibri"/>
                <w:color w:val="auto"/>
                <w:sz w:val="20"/>
              </w:rPr>
              <w:t>⁰</w:t>
            </w:r>
          </w:p>
        </w:tc>
        <w:tc>
          <w:tcPr>
            <w:tcW w:w="2247" w:type="dxa"/>
            <w:tcBorders>
              <w:left w:val="single" w:sz="4" w:space="0" w:color="auto"/>
            </w:tcBorders>
            <w:vAlign w:val="center"/>
          </w:tcPr>
          <w:p w:rsidR="00AE516C" w:rsidRPr="00674E8B" w:rsidRDefault="00AE516C" w:rsidP="00A07926">
            <w:pPr>
              <w:contextualSpacing/>
              <w:rPr>
                <w:rFonts w:eastAsia="Calibri"/>
                <w:color w:val="auto"/>
                <w:sz w:val="20"/>
              </w:rPr>
            </w:pPr>
            <w:r w:rsidRPr="0010685A">
              <w:rPr>
                <w:rFonts w:eastAsia="Calibri"/>
                <w:color w:val="auto"/>
                <w:sz w:val="20"/>
              </w:rPr>
              <w:t>0</w:t>
            </w:r>
            <w:r w:rsidRPr="00674E8B">
              <w:rPr>
                <w:rFonts w:eastAsia="Calibri"/>
                <w:color w:val="auto"/>
                <w:sz w:val="20"/>
              </w:rPr>
              <w:t>⁰</w:t>
            </w:r>
          </w:p>
        </w:tc>
      </w:tr>
      <w:tr w:rsidR="00AE516C" w:rsidRPr="0010685A" w:rsidTr="0010685A">
        <w:trPr>
          <w:jc w:val="center"/>
        </w:trPr>
        <w:tc>
          <w:tcPr>
            <w:tcW w:w="2015" w:type="dxa"/>
            <w:vAlign w:val="center"/>
          </w:tcPr>
          <w:p w:rsidR="00AE516C" w:rsidRPr="00674E8B" w:rsidRDefault="00AE516C" w:rsidP="00CA338D">
            <w:pPr>
              <w:tabs>
                <w:tab w:val="left" w:pos="288"/>
                <w:tab w:val="left" w:pos="4752"/>
              </w:tabs>
              <w:rPr>
                <w:rFonts w:eastAsia="Cambria"/>
                <w:color w:val="auto"/>
                <w:sz w:val="20"/>
              </w:rPr>
            </w:pPr>
            <w:r w:rsidRPr="00674E8B">
              <w:rPr>
                <w:rFonts w:eastAsia="Cambria"/>
                <w:color w:val="auto"/>
                <w:sz w:val="20"/>
              </w:rPr>
              <w:t>Comments</w:t>
            </w:r>
          </w:p>
        </w:tc>
        <w:tc>
          <w:tcPr>
            <w:tcW w:w="1980" w:type="dxa"/>
            <w:tcBorders>
              <w:right w:val="single" w:sz="4" w:space="0" w:color="auto"/>
            </w:tcBorders>
            <w:vAlign w:val="center"/>
          </w:tcPr>
          <w:p w:rsidR="00AE516C" w:rsidRPr="00674E8B" w:rsidRDefault="0010685A" w:rsidP="00CA338D">
            <w:pPr>
              <w:tabs>
                <w:tab w:val="left" w:pos="288"/>
                <w:tab w:val="left" w:pos="4752"/>
              </w:tabs>
              <w:rPr>
                <w:rFonts w:eastAsia="Cambria"/>
                <w:color w:val="auto"/>
                <w:sz w:val="20"/>
              </w:rPr>
            </w:pPr>
            <w:r w:rsidRPr="0010685A">
              <w:rPr>
                <w:rFonts w:eastAsia="Cambria"/>
                <w:color w:val="auto"/>
                <w:sz w:val="20"/>
              </w:rPr>
              <w:t>ROM limited by pain.</w:t>
            </w:r>
          </w:p>
        </w:tc>
        <w:tc>
          <w:tcPr>
            <w:tcW w:w="2880" w:type="dxa"/>
            <w:tcBorders>
              <w:left w:val="single" w:sz="4" w:space="0" w:color="auto"/>
            </w:tcBorders>
            <w:vAlign w:val="center"/>
          </w:tcPr>
          <w:p w:rsidR="00AE516C" w:rsidRPr="0010685A" w:rsidRDefault="0010685A" w:rsidP="0010685A">
            <w:pPr>
              <w:tabs>
                <w:tab w:val="left" w:pos="288"/>
                <w:tab w:val="left" w:pos="4752"/>
              </w:tabs>
              <w:rPr>
                <w:rFonts w:eastAsia="Cambria"/>
                <w:color w:val="auto"/>
                <w:sz w:val="20"/>
              </w:rPr>
            </w:pPr>
            <w:r w:rsidRPr="0010685A">
              <w:rPr>
                <w:rFonts w:eastAsia="Cambria"/>
                <w:color w:val="auto"/>
                <w:sz w:val="20"/>
              </w:rPr>
              <w:t>No painful motion documented.</w:t>
            </w:r>
          </w:p>
        </w:tc>
        <w:tc>
          <w:tcPr>
            <w:tcW w:w="2247" w:type="dxa"/>
            <w:tcBorders>
              <w:left w:val="single" w:sz="4" w:space="0" w:color="auto"/>
            </w:tcBorders>
            <w:vAlign w:val="center"/>
          </w:tcPr>
          <w:p w:rsidR="00AE516C" w:rsidRPr="0010685A" w:rsidRDefault="0010685A" w:rsidP="00A07926">
            <w:pPr>
              <w:tabs>
                <w:tab w:val="left" w:pos="288"/>
                <w:tab w:val="left" w:pos="4752"/>
              </w:tabs>
              <w:rPr>
                <w:rFonts w:eastAsia="Cambria"/>
                <w:color w:val="auto"/>
                <w:sz w:val="20"/>
              </w:rPr>
            </w:pPr>
            <w:r w:rsidRPr="0010685A">
              <w:rPr>
                <w:rFonts w:eastAsia="Cambria"/>
                <w:color w:val="auto"/>
                <w:sz w:val="20"/>
              </w:rPr>
              <w:t>Pain at 60⁰.</w:t>
            </w:r>
          </w:p>
        </w:tc>
      </w:tr>
      <w:tr w:rsidR="00AE516C" w:rsidRPr="0010685A" w:rsidTr="0010685A">
        <w:trPr>
          <w:trHeight w:val="98"/>
          <w:jc w:val="center"/>
        </w:trPr>
        <w:tc>
          <w:tcPr>
            <w:tcW w:w="2015" w:type="dxa"/>
            <w:vAlign w:val="center"/>
          </w:tcPr>
          <w:p w:rsidR="00AE516C" w:rsidRPr="00674E8B" w:rsidRDefault="00AE516C" w:rsidP="00CA338D">
            <w:pPr>
              <w:tabs>
                <w:tab w:val="left" w:pos="288"/>
                <w:tab w:val="left" w:pos="4752"/>
              </w:tabs>
              <w:rPr>
                <w:rFonts w:eastAsia="Cambria"/>
                <w:color w:val="auto"/>
                <w:sz w:val="20"/>
              </w:rPr>
            </w:pPr>
            <w:r w:rsidRPr="00674E8B">
              <w:rPr>
                <w:rFonts w:eastAsia="Cambria"/>
                <w:color w:val="auto"/>
                <w:sz w:val="20"/>
              </w:rPr>
              <w:t>§4.71a Rating</w:t>
            </w:r>
          </w:p>
        </w:tc>
        <w:tc>
          <w:tcPr>
            <w:tcW w:w="1980" w:type="dxa"/>
            <w:tcBorders>
              <w:right w:val="single" w:sz="4" w:space="0" w:color="auto"/>
            </w:tcBorders>
            <w:vAlign w:val="center"/>
          </w:tcPr>
          <w:p w:rsidR="00AE516C" w:rsidRPr="00674E8B" w:rsidRDefault="00AE516C" w:rsidP="00CA338D">
            <w:pPr>
              <w:tabs>
                <w:tab w:val="left" w:pos="288"/>
                <w:tab w:val="left" w:pos="4752"/>
              </w:tabs>
              <w:rPr>
                <w:rFonts w:eastAsia="Cambria"/>
                <w:color w:val="auto"/>
                <w:sz w:val="20"/>
              </w:rPr>
            </w:pPr>
            <w:r w:rsidRPr="0010685A">
              <w:rPr>
                <w:rFonts w:eastAsia="Cambria"/>
                <w:color w:val="auto"/>
                <w:sz w:val="20"/>
              </w:rPr>
              <w:t>1</w:t>
            </w:r>
            <w:r w:rsidRPr="00674E8B">
              <w:rPr>
                <w:rFonts w:eastAsia="Cambria"/>
                <w:color w:val="auto"/>
                <w:sz w:val="20"/>
              </w:rPr>
              <w:t>0%</w:t>
            </w:r>
            <w:r w:rsidR="0010685A">
              <w:rPr>
                <w:rFonts w:eastAsia="Cambria"/>
                <w:color w:val="auto"/>
                <w:sz w:val="20"/>
              </w:rPr>
              <w:t>*</w:t>
            </w:r>
          </w:p>
        </w:tc>
        <w:tc>
          <w:tcPr>
            <w:tcW w:w="2880" w:type="dxa"/>
            <w:tcBorders>
              <w:left w:val="single" w:sz="4" w:space="0" w:color="auto"/>
            </w:tcBorders>
            <w:vAlign w:val="center"/>
          </w:tcPr>
          <w:p w:rsidR="00AE516C" w:rsidRPr="00674E8B" w:rsidRDefault="00AE516C" w:rsidP="00CA338D">
            <w:pPr>
              <w:tabs>
                <w:tab w:val="left" w:pos="288"/>
                <w:tab w:val="left" w:pos="4752"/>
              </w:tabs>
              <w:rPr>
                <w:rFonts w:eastAsia="Cambria"/>
                <w:color w:val="auto"/>
                <w:sz w:val="20"/>
              </w:rPr>
            </w:pPr>
            <w:r w:rsidRPr="00674E8B">
              <w:rPr>
                <w:rFonts w:eastAsia="Cambria"/>
                <w:color w:val="auto"/>
                <w:sz w:val="20"/>
              </w:rPr>
              <w:t>0%</w:t>
            </w:r>
          </w:p>
        </w:tc>
        <w:tc>
          <w:tcPr>
            <w:tcW w:w="2247" w:type="dxa"/>
            <w:tcBorders>
              <w:left w:val="single" w:sz="4" w:space="0" w:color="auto"/>
            </w:tcBorders>
            <w:vAlign w:val="center"/>
          </w:tcPr>
          <w:p w:rsidR="00AE516C" w:rsidRPr="00674E8B" w:rsidRDefault="00AE516C" w:rsidP="00A07926">
            <w:pPr>
              <w:tabs>
                <w:tab w:val="left" w:pos="288"/>
                <w:tab w:val="left" w:pos="4752"/>
              </w:tabs>
              <w:rPr>
                <w:rFonts w:eastAsia="Cambria"/>
                <w:color w:val="auto"/>
                <w:sz w:val="20"/>
              </w:rPr>
            </w:pPr>
            <w:r w:rsidRPr="0010685A">
              <w:rPr>
                <w:rFonts w:eastAsia="Cambria"/>
                <w:color w:val="auto"/>
                <w:sz w:val="20"/>
              </w:rPr>
              <w:t>1</w:t>
            </w:r>
            <w:r w:rsidRPr="00674E8B">
              <w:rPr>
                <w:rFonts w:eastAsia="Cambria"/>
                <w:color w:val="auto"/>
                <w:sz w:val="20"/>
              </w:rPr>
              <w:t>0%</w:t>
            </w:r>
            <w:r w:rsidR="0010685A">
              <w:rPr>
                <w:rFonts w:eastAsia="Cambria"/>
                <w:color w:val="auto"/>
                <w:sz w:val="20"/>
              </w:rPr>
              <w:t>*</w:t>
            </w:r>
          </w:p>
        </w:tc>
      </w:tr>
    </w:tbl>
    <w:p w:rsidR="00674E8B" w:rsidRDefault="00CA338D" w:rsidP="00674E8B">
      <w:pPr>
        <w:jc w:val="left"/>
        <w:rPr>
          <w:rFonts w:eastAsia="Calibri" w:cs="Times New Roman"/>
          <w:color w:val="auto"/>
          <w:sz w:val="22"/>
          <w:szCs w:val="22"/>
        </w:rPr>
      </w:pPr>
      <w:r>
        <w:rPr>
          <w:rFonts w:eastAsia="Calibri" w:cs="Times New Roman"/>
          <w:color w:val="auto"/>
          <w:sz w:val="22"/>
          <w:szCs w:val="22"/>
        </w:rPr>
        <w:t xml:space="preserve">                          </w:t>
      </w:r>
      <w:r w:rsidR="0010685A">
        <w:rPr>
          <w:rFonts w:eastAsia="Calibri" w:cs="Times New Roman"/>
          <w:color w:val="auto"/>
          <w:sz w:val="22"/>
          <w:szCs w:val="22"/>
        </w:rPr>
        <w:t xml:space="preserve">                                                                                                 </w:t>
      </w:r>
      <w:r w:rsidR="00674E8B" w:rsidRPr="00674E8B">
        <w:rPr>
          <w:rFonts w:eastAsia="Calibri" w:cs="Times New Roman"/>
          <w:color w:val="auto"/>
          <w:sz w:val="22"/>
          <w:szCs w:val="22"/>
        </w:rPr>
        <w:t>*Conceding §4.59 (painful motion).</w:t>
      </w:r>
    </w:p>
    <w:p w:rsidR="00AD7888" w:rsidRDefault="00AD7888" w:rsidP="00674E8B">
      <w:pPr>
        <w:jc w:val="left"/>
        <w:rPr>
          <w:rFonts w:eastAsia="Calibri" w:cs="Times New Roman"/>
          <w:color w:val="auto"/>
          <w:sz w:val="22"/>
          <w:szCs w:val="22"/>
        </w:rPr>
      </w:pPr>
    </w:p>
    <w:p w:rsidR="00AD7888" w:rsidRDefault="00AD7888" w:rsidP="00AD7888">
      <w:pPr>
        <w:jc w:val="both"/>
        <w:rPr>
          <w:color w:val="000000"/>
          <w:szCs w:val="24"/>
        </w:rPr>
      </w:pPr>
      <w:r>
        <w:rPr>
          <w:color w:val="000000"/>
          <w:szCs w:val="24"/>
        </w:rPr>
        <w:t>At</w:t>
      </w:r>
      <w:r w:rsidR="006C7B78">
        <w:rPr>
          <w:color w:val="000000"/>
          <w:szCs w:val="24"/>
        </w:rPr>
        <w:t xml:space="preserve"> the MEB exam, the CI reported “some occasional popping but no real effusions</w:t>
      </w:r>
      <w:r w:rsidR="00D93256">
        <w:rPr>
          <w:color w:val="000000"/>
          <w:szCs w:val="24"/>
        </w:rPr>
        <w:t>;</w:t>
      </w:r>
      <w:r w:rsidR="006C7B78">
        <w:rPr>
          <w:color w:val="000000"/>
          <w:szCs w:val="24"/>
        </w:rPr>
        <w:t>”</w:t>
      </w:r>
      <w:r w:rsidR="00D93256">
        <w:rPr>
          <w:color w:val="000000"/>
          <w:szCs w:val="24"/>
        </w:rPr>
        <w:t xml:space="preserve"> and</w:t>
      </w:r>
      <w:r w:rsidR="006C7B78">
        <w:rPr>
          <w:color w:val="000000"/>
          <w:szCs w:val="24"/>
        </w:rPr>
        <w:t xml:space="preserve"> running was limited to one mile by the pain.  </w:t>
      </w:r>
      <w:r>
        <w:rPr>
          <w:color w:val="000000"/>
          <w:szCs w:val="24"/>
        </w:rPr>
        <w:t xml:space="preserve">The MEB physical </w:t>
      </w:r>
      <w:r w:rsidR="006C7B78">
        <w:rPr>
          <w:color w:val="000000"/>
          <w:szCs w:val="24"/>
        </w:rPr>
        <w:t xml:space="preserve">exam noted a mild patellar grind without </w:t>
      </w:r>
      <w:proofErr w:type="spellStart"/>
      <w:r w:rsidR="006C7B78">
        <w:rPr>
          <w:color w:val="000000"/>
          <w:szCs w:val="24"/>
        </w:rPr>
        <w:t>crepitus</w:t>
      </w:r>
      <w:proofErr w:type="spellEnd"/>
      <w:r w:rsidR="006C7B78">
        <w:rPr>
          <w:color w:val="000000"/>
          <w:szCs w:val="24"/>
        </w:rPr>
        <w:t xml:space="preserve"> or patellar </w:t>
      </w:r>
      <w:proofErr w:type="spellStart"/>
      <w:r w:rsidR="006C7B78">
        <w:rPr>
          <w:color w:val="000000"/>
          <w:szCs w:val="24"/>
        </w:rPr>
        <w:t>malalignment</w:t>
      </w:r>
      <w:proofErr w:type="spellEnd"/>
      <w:r w:rsidR="006C7B78">
        <w:rPr>
          <w:color w:val="000000"/>
          <w:szCs w:val="24"/>
        </w:rPr>
        <w:t xml:space="preserve">.  There was no joint line tenderness; no signs of cartilage impingement; and, a normal </w:t>
      </w:r>
      <w:proofErr w:type="spellStart"/>
      <w:r w:rsidR="006C7B78">
        <w:rPr>
          <w:color w:val="000000"/>
          <w:szCs w:val="24"/>
        </w:rPr>
        <w:t>Lachman</w:t>
      </w:r>
      <w:proofErr w:type="spellEnd"/>
      <w:r w:rsidR="006C7B78">
        <w:rPr>
          <w:color w:val="000000"/>
          <w:szCs w:val="24"/>
        </w:rPr>
        <w:t xml:space="preserve"> test with stability to </w:t>
      </w:r>
      <w:proofErr w:type="spellStart"/>
      <w:r w:rsidR="006C7B78">
        <w:rPr>
          <w:color w:val="000000"/>
          <w:szCs w:val="24"/>
        </w:rPr>
        <w:t>varus</w:t>
      </w:r>
      <w:proofErr w:type="spellEnd"/>
      <w:r w:rsidR="006C7B78">
        <w:rPr>
          <w:color w:val="000000"/>
          <w:szCs w:val="24"/>
        </w:rPr>
        <w:t>/</w:t>
      </w:r>
      <w:proofErr w:type="spellStart"/>
      <w:r w:rsidR="006C7B78">
        <w:rPr>
          <w:color w:val="000000"/>
          <w:szCs w:val="24"/>
        </w:rPr>
        <w:t>valgus</w:t>
      </w:r>
      <w:proofErr w:type="spellEnd"/>
      <w:r w:rsidR="006C7B78">
        <w:rPr>
          <w:color w:val="000000"/>
          <w:szCs w:val="24"/>
        </w:rPr>
        <w:t xml:space="preserve"> stress.  </w:t>
      </w:r>
      <w:r w:rsidR="00AE516C">
        <w:rPr>
          <w:color w:val="000000"/>
          <w:szCs w:val="24"/>
        </w:rPr>
        <w:t xml:space="preserve">There was no use of </w:t>
      </w:r>
      <w:r w:rsidR="00261771">
        <w:rPr>
          <w:color w:val="000000"/>
          <w:szCs w:val="24"/>
        </w:rPr>
        <w:t xml:space="preserve">an </w:t>
      </w:r>
      <w:r w:rsidR="00AE516C">
        <w:rPr>
          <w:color w:val="000000"/>
          <w:szCs w:val="24"/>
        </w:rPr>
        <w:t xml:space="preserve">assisted ambulation device or gait disturbance.  </w:t>
      </w:r>
      <w:r>
        <w:rPr>
          <w:color w:val="000000"/>
          <w:szCs w:val="24"/>
        </w:rPr>
        <w:t xml:space="preserve">At the VA </w:t>
      </w:r>
      <w:r w:rsidRPr="00CF0280">
        <w:rPr>
          <w:color w:val="000000"/>
          <w:szCs w:val="24"/>
        </w:rPr>
        <w:t>Compensation and Pension (C&amp;P)</w:t>
      </w:r>
      <w:r>
        <w:rPr>
          <w:color w:val="000000"/>
          <w:szCs w:val="24"/>
        </w:rPr>
        <w:t xml:space="preserve"> </w:t>
      </w:r>
      <w:r w:rsidR="0010685A">
        <w:rPr>
          <w:color w:val="000000"/>
          <w:szCs w:val="24"/>
        </w:rPr>
        <w:t>exam</w:t>
      </w:r>
      <w:r w:rsidR="00D93256">
        <w:rPr>
          <w:color w:val="000000"/>
          <w:szCs w:val="24"/>
        </w:rPr>
        <w:t xml:space="preserve"> prior to separation</w:t>
      </w:r>
      <w:r w:rsidR="0010685A">
        <w:rPr>
          <w:color w:val="000000"/>
          <w:szCs w:val="24"/>
        </w:rPr>
        <w:t>, the CI reported “continued discomfort, episodic swelling, and sometimes feelings of instability to the left knee</w:t>
      </w:r>
      <w:r w:rsidR="00D93256">
        <w:rPr>
          <w:color w:val="000000"/>
          <w:szCs w:val="24"/>
        </w:rPr>
        <w:t>.</w:t>
      </w:r>
      <w:r w:rsidR="0010685A">
        <w:rPr>
          <w:color w:val="000000"/>
          <w:szCs w:val="24"/>
        </w:rPr>
        <w:t xml:space="preserve">”  On exam, there was no joint laxity, </w:t>
      </w:r>
      <w:r w:rsidR="00261771">
        <w:rPr>
          <w:color w:val="000000"/>
          <w:szCs w:val="24"/>
        </w:rPr>
        <w:t>signs of</w:t>
      </w:r>
      <w:r w:rsidR="0010685A">
        <w:rPr>
          <w:color w:val="000000"/>
          <w:szCs w:val="24"/>
        </w:rPr>
        <w:t xml:space="preserve"> cartilage</w:t>
      </w:r>
      <w:r w:rsidR="00261771">
        <w:rPr>
          <w:color w:val="000000"/>
          <w:szCs w:val="24"/>
        </w:rPr>
        <w:t xml:space="preserve"> impingement</w:t>
      </w:r>
      <w:r w:rsidR="0010685A">
        <w:rPr>
          <w:color w:val="000000"/>
          <w:szCs w:val="24"/>
        </w:rPr>
        <w:t>, or other abnormal findings except “mild amount of tenderness … inferior patellar aspect</w:t>
      </w:r>
      <w:r w:rsidR="00D93256">
        <w:rPr>
          <w:color w:val="000000"/>
          <w:szCs w:val="24"/>
        </w:rPr>
        <w:t>.</w:t>
      </w:r>
      <w:r w:rsidR="0010685A">
        <w:rPr>
          <w:color w:val="000000"/>
          <w:szCs w:val="24"/>
        </w:rPr>
        <w:t>”</w:t>
      </w:r>
      <w:r w:rsidR="006B03CC">
        <w:rPr>
          <w:color w:val="000000"/>
          <w:szCs w:val="24"/>
        </w:rPr>
        <w:t xml:space="preserve">  At the VA C&amp;P exam</w:t>
      </w:r>
      <w:r w:rsidR="00D93256">
        <w:rPr>
          <w:color w:val="000000"/>
          <w:szCs w:val="24"/>
        </w:rPr>
        <w:t xml:space="preserve"> after separation</w:t>
      </w:r>
      <w:r w:rsidR="006B03CC">
        <w:rPr>
          <w:color w:val="000000"/>
          <w:szCs w:val="24"/>
        </w:rPr>
        <w:t xml:space="preserve">, </w:t>
      </w:r>
      <w:r w:rsidR="00261771">
        <w:rPr>
          <w:color w:val="000000"/>
          <w:szCs w:val="24"/>
        </w:rPr>
        <w:t xml:space="preserve">the CI </w:t>
      </w:r>
      <w:r w:rsidR="00D93256">
        <w:rPr>
          <w:color w:val="000000"/>
          <w:szCs w:val="24"/>
        </w:rPr>
        <w:t>reported “t</w:t>
      </w:r>
      <w:r w:rsidR="006B03CC">
        <w:rPr>
          <w:color w:val="000000"/>
          <w:szCs w:val="24"/>
        </w:rPr>
        <w:t xml:space="preserve">he knee locks up with walking and especially climbing stairs.  He has to hold on to prevent himself from falling down.  … Even in bed it hurts him.”  </w:t>
      </w:r>
      <w:r w:rsidR="006C5C16">
        <w:rPr>
          <w:color w:val="000000"/>
          <w:szCs w:val="24"/>
        </w:rPr>
        <w:t>The VA</w:t>
      </w:r>
      <w:r w:rsidR="006B03CC">
        <w:rPr>
          <w:color w:val="000000"/>
          <w:szCs w:val="24"/>
        </w:rPr>
        <w:t xml:space="preserve"> physical exam was unremarkable for signs of cartilage impingement (locking), joint instability to stress maneuvers, effusion, or gait disturbance.  No tenderness was documented, but pain in mid-flexion was recorded</w:t>
      </w:r>
      <w:r w:rsidR="006C5C16">
        <w:rPr>
          <w:color w:val="000000"/>
          <w:szCs w:val="24"/>
        </w:rPr>
        <w:t xml:space="preserve"> as charted above</w:t>
      </w:r>
      <w:r w:rsidR="00146C01">
        <w:rPr>
          <w:color w:val="000000"/>
          <w:szCs w:val="24"/>
        </w:rPr>
        <w:t>.</w:t>
      </w:r>
    </w:p>
    <w:p w:rsidR="00AD7888" w:rsidRDefault="00AD7888" w:rsidP="00AD7888">
      <w:pPr>
        <w:jc w:val="both"/>
        <w:rPr>
          <w:color w:val="000000"/>
          <w:szCs w:val="24"/>
        </w:rPr>
      </w:pPr>
    </w:p>
    <w:p w:rsidR="004B3125" w:rsidRPr="004B3125" w:rsidRDefault="00AD2379" w:rsidP="004B3125">
      <w:pPr>
        <w:tabs>
          <w:tab w:val="left" w:pos="288"/>
          <w:tab w:val="left" w:pos="4752"/>
        </w:tabs>
        <w:jc w:val="both"/>
        <w:rPr>
          <w:rFonts w:eastAsia="Calibri" w:cs="Times New Roman"/>
          <w:color w:val="auto"/>
          <w:szCs w:val="24"/>
        </w:rPr>
      </w:pPr>
      <w:r w:rsidRPr="009A7578">
        <w:rPr>
          <w:rFonts w:cs="Times New Roman"/>
          <w:color w:val="auto"/>
        </w:rPr>
        <w:t>The Board directs attenti</w:t>
      </w:r>
      <w:r w:rsidR="00B36A77">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B36A77">
        <w:rPr>
          <w:rFonts w:cs="Times New Roman"/>
          <w:color w:val="auto"/>
        </w:rPr>
        <w:t>Both the PEB’s analogous 5003 (degenerative arthritis) code and VA’s 5024 (</w:t>
      </w:r>
      <w:proofErr w:type="spellStart"/>
      <w:r w:rsidR="00B36A77">
        <w:rPr>
          <w:rFonts w:cs="Times New Roman"/>
          <w:color w:val="auto"/>
        </w:rPr>
        <w:t>tenosynovitis</w:t>
      </w:r>
      <w:proofErr w:type="spellEnd"/>
      <w:r w:rsidR="00B36A77">
        <w:rPr>
          <w:rFonts w:cs="Times New Roman"/>
          <w:color w:val="auto"/>
        </w:rPr>
        <w:t xml:space="preserve">) code default to the same 5003 rating criteria.  There is no compensable ROM impairment under any of the knee joint codes, as demonstrated by all of the goniometric evidence.  The minimal compensable rating of 10% can be achieved with application of </w:t>
      </w:r>
      <w:r w:rsidR="00B36A77" w:rsidRPr="00B36A77">
        <w:rPr>
          <w:rFonts w:cs="Times New Roman"/>
          <w:color w:val="auto"/>
          <w:szCs w:val="24"/>
        </w:rPr>
        <w:t xml:space="preserve">VASRD </w:t>
      </w:r>
      <w:r w:rsidR="00B36A77" w:rsidRPr="00674E8B">
        <w:rPr>
          <w:rFonts w:eastAsia="Calibri" w:cs="Times New Roman"/>
          <w:color w:val="auto"/>
          <w:szCs w:val="24"/>
        </w:rPr>
        <w:t>§4.59 (painful motion)</w:t>
      </w:r>
      <w:r w:rsidR="00B36A77">
        <w:rPr>
          <w:rFonts w:eastAsia="Calibri" w:cs="Times New Roman"/>
          <w:color w:val="auto"/>
          <w:szCs w:val="24"/>
        </w:rPr>
        <w:t xml:space="preserve">; and, this was supported by the MEB </w:t>
      </w:r>
      <w:r w:rsidR="00D33959">
        <w:rPr>
          <w:rFonts w:eastAsia="Calibri" w:cs="Times New Roman"/>
          <w:color w:val="auto"/>
          <w:szCs w:val="24"/>
        </w:rPr>
        <w:t>and VA examinations</w:t>
      </w:r>
      <w:r w:rsidR="00D93256">
        <w:rPr>
          <w:rFonts w:eastAsia="Calibri" w:cs="Times New Roman"/>
          <w:color w:val="auto"/>
          <w:szCs w:val="24"/>
        </w:rPr>
        <w:t xml:space="preserve"> after separation</w:t>
      </w:r>
      <w:r w:rsidR="00B36A77">
        <w:rPr>
          <w:rFonts w:eastAsia="Calibri" w:cs="Times New Roman"/>
          <w:color w:val="auto"/>
          <w:szCs w:val="24"/>
        </w:rPr>
        <w:t xml:space="preserve">.  </w:t>
      </w:r>
      <w:r w:rsidR="001053EE">
        <w:rPr>
          <w:rFonts w:eastAsia="Calibri" w:cs="Times New Roman"/>
          <w:color w:val="auto"/>
          <w:szCs w:val="24"/>
        </w:rPr>
        <w:t>The VA examination</w:t>
      </w:r>
      <w:r w:rsidR="00D93256">
        <w:rPr>
          <w:rFonts w:eastAsia="Calibri" w:cs="Times New Roman"/>
          <w:color w:val="auto"/>
          <w:szCs w:val="24"/>
        </w:rPr>
        <w:t xml:space="preserve"> prior to separation;</w:t>
      </w:r>
      <w:r w:rsidR="001053EE">
        <w:rPr>
          <w:rFonts w:eastAsia="Calibri" w:cs="Times New Roman"/>
          <w:color w:val="auto"/>
          <w:szCs w:val="24"/>
        </w:rPr>
        <w:t xml:space="preserve"> in fact, required speculation on the rater’s part to assume no painful motion; since, it more likely reflected a failure of documentation rather than a finding that joint motion was painless.  Members thus agreed that, although the PEB’s 0% rating could be supported by the USAPDA pain policy, it was not compliant with </w:t>
      </w:r>
      <w:r w:rsidR="001053EE" w:rsidRPr="00B36A77">
        <w:rPr>
          <w:rFonts w:cs="Times New Roman"/>
          <w:color w:val="auto"/>
          <w:szCs w:val="24"/>
        </w:rPr>
        <w:t xml:space="preserve">VASRD </w:t>
      </w:r>
      <w:r w:rsidR="001053EE" w:rsidRPr="00674E8B">
        <w:rPr>
          <w:rFonts w:eastAsia="Calibri" w:cs="Times New Roman"/>
          <w:color w:val="auto"/>
          <w:szCs w:val="24"/>
        </w:rPr>
        <w:t>§4.</w:t>
      </w:r>
      <w:r w:rsidR="004B3125">
        <w:rPr>
          <w:rFonts w:eastAsia="Calibri" w:cs="Times New Roman"/>
          <w:color w:val="auto"/>
          <w:szCs w:val="24"/>
        </w:rPr>
        <w:t>59</w:t>
      </w:r>
      <w:r w:rsidR="001053EE">
        <w:rPr>
          <w:rFonts w:eastAsia="Calibri" w:cs="Times New Roman"/>
          <w:color w:val="auto"/>
          <w:szCs w:val="24"/>
        </w:rPr>
        <w:t xml:space="preserve">.  </w:t>
      </w:r>
      <w:r w:rsidR="001053EE" w:rsidRPr="001053EE">
        <w:rPr>
          <w:rFonts w:eastAsia="Calibri" w:cs="Times New Roman"/>
          <w:color w:val="auto"/>
          <w:szCs w:val="24"/>
        </w:rPr>
        <w:t xml:space="preserve">There was no </w:t>
      </w:r>
      <w:r w:rsidR="001053EE">
        <w:rPr>
          <w:rFonts w:eastAsia="Calibri" w:cs="Times New Roman"/>
          <w:color w:val="auto"/>
          <w:szCs w:val="24"/>
        </w:rPr>
        <w:t>physical</w:t>
      </w:r>
      <w:r w:rsidR="001053EE" w:rsidRPr="001053EE">
        <w:rPr>
          <w:rFonts w:eastAsia="Calibri" w:cs="Times New Roman"/>
          <w:color w:val="auto"/>
          <w:szCs w:val="24"/>
        </w:rPr>
        <w:t xml:space="preserve"> instability, </w:t>
      </w:r>
      <w:r w:rsidR="001053EE">
        <w:rPr>
          <w:rFonts w:eastAsia="Calibri" w:cs="Times New Roman"/>
          <w:color w:val="auto"/>
          <w:szCs w:val="24"/>
        </w:rPr>
        <w:t xml:space="preserve">clinical </w:t>
      </w:r>
      <w:r w:rsidR="001053EE" w:rsidRPr="001053EE">
        <w:rPr>
          <w:rFonts w:eastAsia="Calibri" w:cs="Times New Roman"/>
          <w:color w:val="auto"/>
          <w:szCs w:val="24"/>
        </w:rPr>
        <w:t xml:space="preserve">locking or frequent effusions which would allow a rating higher than </w:t>
      </w:r>
      <w:r w:rsidR="001053EE" w:rsidRPr="001053EE">
        <w:rPr>
          <w:rFonts w:eastAsia="Calibri" w:cs="Times New Roman"/>
          <w:color w:val="auto"/>
          <w:szCs w:val="24"/>
        </w:rPr>
        <w:lastRenderedPageBreak/>
        <w:t>10% under an alternate joint code; or, which would permit separately ratable codes.</w:t>
      </w:r>
      <w:r w:rsidR="001053EE">
        <w:rPr>
          <w:rFonts w:eastAsia="Calibri" w:cs="Times New Roman"/>
          <w:color w:val="auto"/>
          <w:szCs w:val="24"/>
        </w:rPr>
        <w:t xml:space="preserve">  </w:t>
      </w:r>
      <w:r w:rsidR="004B3125" w:rsidRPr="004B3125">
        <w:rPr>
          <w:rFonts w:eastAsia="Calibri" w:cs="Times New Roman"/>
          <w:color w:val="auto"/>
          <w:szCs w:val="24"/>
        </w:rPr>
        <w:t xml:space="preserve">After due deliberation, considering all of the evidence and mindful of VASRD §4.3 (reasonable doubt), the Board recommends a </w:t>
      </w:r>
      <w:r w:rsidR="00D93256">
        <w:rPr>
          <w:rFonts w:eastAsia="Calibri" w:cs="Times New Roman"/>
          <w:color w:val="auto"/>
          <w:szCs w:val="24"/>
        </w:rPr>
        <w:t>s</w:t>
      </w:r>
      <w:r w:rsidR="004B3125" w:rsidRPr="004B3125">
        <w:rPr>
          <w:rFonts w:eastAsia="Calibri" w:cs="Times New Roman"/>
          <w:color w:val="auto"/>
          <w:szCs w:val="24"/>
        </w:rPr>
        <w:t xml:space="preserve">ervice disability rating of </w:t>
      </w:r>
      <w:r w:rsidR="004B3125">
        <w:rPr>
          <w:rFonts w:eastAsia="Calibri" w:cs="Times New Roman"/>
          <w:color w:val="auto"/>
          <w:szCs w:val="24"/>
        </w:rPr>
        <w:t>1</w:t>
      </w:r>
      <w:r w:rsidR="004B3125" w:rsidRPr="004B3125">
        <w:rPr>
          <w:rFonts w:eastAsia="Calibri" w:cs="Times New Roman"/>
          <w:color w:val="auto"/>
          <w:szCs w:val="24"/>
        </w:rPr>
        <w:t xml:space="preserve">0% for the </w:t>
      </w:r>
      <w:r w:rsidR="004B3125">
        <w:rPr>
          <w:rFonts w:eastAsia="Calibri" w:cs="Times New Roman"/>
          <w:color w:val="auto"/>
          <w:szCs w:val="24"/>
        </w:rPr>
        <w:t>left knee</w:t>
      </w:r>
      <w:r w:rsidR="004B3125" w:rsidRPr="004B3125">
        <w:rPr>
          <w:rFonts w:eastAsia="Calibri" w:cs="Times New Roman"/>
          <w:color w:val="auto"/>
          <w:szCs w:val="24"/>
        </w:rPr>
        <w:t xml:space="preserve"> condition.</w:t>
      </w:r>
      <w:r w:rsidR="004B3125">
        <w:rPr>
          <w:rFonts w:eastAsia="Calibri" w:cs="Times New Roman"/>
          <w:color w:val="auto"/>
          <w:szCs w:val="24"/>
        </w:rPr>
        <w:t xml:space="preserve">  The </w:t>
      </w:r>
      <w:r w:rsidR="00D93256">
        <w:rPr>
          <w:rFonts w:eastAsia="Calibri" w:cs="Times New Roman"/>
          <w:color w:val="auto"/>
          <w:szCs w:val="24"/>
        </w:rPr>
        <w:t>action o</w:t>
      </w:r>
      <w:r w:rsidR="004B3125">
        <w:rPr>
          <w:rFonts w:eastAsia="Calibri" w:cs="Times New Roman"/>
          <w:color w:val="auto"/>
          <w:szCs w:val="24"/>
        </w:rPr>
        <w:t>fficer prefers the code 5099-5024 for its clinical compatibility.</w:t>
      </w:r>
    </w:p>
    <w:p w:rsidR="001053EE" w:rsidRPr="001053EE" w:rsidRDefault="001053EE" w:rsidP="001053EE">
      <w:pPr>
        <w:tabs>
          <w:tab w:val="left" w:pos="288"/>
          <w:tab w:val="left" w:pos="4752"/>
        </w:tabs>
        <w:jc w:val="both"/>
        <w:rPr>
          <w:rFonts w:eastAsia="Calibri" w:cs="Times New Roman"/>
          <w:color w:val="auto"/>
          <w:szCs w:val="24"/>
        </w:rPr>
      </w:pPr>
    </w:p>
    <w:p w:rsidR="00AD2379" w:rsidRDefault="00AD2379" w:rsidP="009A7578">
      <w:pPr>
        <w:jc w:val="both"/>
        <w:rPr>
          <w:color w:val="000000"/>
        </w:rPr>
      </w:pPr>
      <w:proofErr w:type="gramStart"/>
      <w:r w:rsidRPr="002D28B4">
        <w:rPr>
          <w:rFonts w:eastAsia="HiddenHorzOCR"/>
          <w:color w:val="auto"/>
          <w:u w:val="single"/>
        </w:rPr>
        <w:t>Other</w:t>
      </w:r>
      <w:r w:rsidRPr="002D28B4">
        <w:rPr>
          <w:rFonts w:eastAsia="HiddenHorzOCR"/>
          <w:color w:val="000000"/>
          <w:u w:val="single"/>
        </w:rPr>
        <w:t xml:space="preserve"> PEB Conditions</w:t>
      </w:r>
      <w:r w:rsidRPr="002D28B4">
        <w:rPr>
          <w:rFonts w:eastAsia="HiddenHorzOCR"/>
          <w:color w:val="000000"/>
        </w:rPr>
        <w:t>.</w:t>
      </w:r>
      <w:proofErr w:type="gramEnd"/>
      <w:r w:rsidRPr="002D28B4">
        <w:rPr>
          <w:rFonts w:eastAsia="HiddenHorzOCR"/>
          <w:color w:val="000000"/>
        </w:rPr>
        <w:t xml:space="preserve"> </w:t>
      </w:r>
      <w:r w:rsidRPr="002D28B4">
        <w:rPr>
          <w:color w:val="000000"/>
        </w:rPr>
        <w:t>The</w:t>
      </w:r>
      <w:r w:rsidRPr="001F29F9">
        <w:rPr>
          <w:color w:val="000000"/>
        </w:rPr>
        <w:t xml:space="preserve"> other conditions forwarded by the MEB and adjudicated a</w:t>
      </w:r>
      <w:r w:rsidR="002D28B4">
        <w:rPr>
          <w:color w:val="000000"/>
        </w:rPr>
        <w:t xml:space="preserve">s not unfitting by the PEB were </w:t>
      </w:r>
      <w:r w:rsidR="00D33959">
        <w:rPr>
          <w:color w:val="000000"/>
        </w:rPr>
        <w:t>low back pain</w:t>
      </w:r>
      <w:r w:rsidR="002D28B4">
        <w:rPr>
          <w:color w:val="000000"/>
        </w:rPr>
        <w:t xml:space="preserve"> and </w:t>
      </w:r>
      <w:r w:rsidR="00D33959">
        <w:rPr>
          <w:color w:val="000000"/>
        </w:rPr>
        <w:t xml:space="preserve">vascular </w:t>
      </w:r>
      <w:r w:rsidR="002D28B4">
        <w:rPr>
          <w:color w:val="000000"/>
        </w:rPr>
        <w:t>headache</w:t>
      </w:r>
      <w:r w:rsidR="00542022">
        <w:rPr>
          <w:color w:val="000000"/>
        </w:rPr>
        <w:t>.</w:t>
      </w:r>
      <w:r w:rsidRPr="00D8352E">
        <w:rPr>
          <w:color w:val="000000"/>
        </w:rPr>
        <w:t xml:space="preserve"> </w:t>
      </w:r>
      <w:r w:rsidR="00417999">
        <w:rPr>
          <w:color w:val="000000"/>
        </w:rPr>
        <w:t xml:space="preserve"> </w:t>
      </w:r>
      <w:r w:rsidR="002D28B4">
        <w:rPr>
          <w:color w:val="000000"/>
        </w:rPr>
        <w:t xml:space="preserve">Both of these </w:t>
      </w:r>
      <w:r w:rsidR="00D33959">
        <w:rPr>
          <w:color w:val="000000"/>
        </w:rPr>
        <w:t xml:space="preserve">conditions </w:t>
      </w:r>
      <w:r w:rsidR="002D28B4">
        <w:rPr>
          <w:color w:val="000000"/>
        </w:rPr>
        <w:t>ar</w:t>
      </w:r>
      <w:r w:rsidR="00544AEC">
        <w:rPr>
          <w:color w:val="000000"/>
        </w:rPr>
        <w:t>e also contended by the CI for s</w:t>
      </w:r>
      <w:r w:rsidR="002D28B4">
        <w:rPr>
          <w:color w:val="000000"/>
        </w:rPr>
        <w:t xml:space="preserve">ervice rating.  </w:t>
      </w:r>
      <w:r w:rsidR="0083336E">
        <w:rPr>
          <w:color w:val="000000"/>
        </w:rPr>
        <w:t>The lumbar spine condition was noted in the narrative summary (NARSUM), but there w</w:t>
      </w:r>
      <w:r w:rsidR="00544AEC">
        <w:rPr>
          <w:color w:val="000000"/>
        </w:rPr>
        <w:t>as a paucity of entries in the s</w:t>
      </w:r>
      <w:r w:rsidR="0083336E">
        <w:rPr>
          <w:color w:val="000000"/>
        </w:rPr>
        <w:t>ervice treatment record (STR) for back issues during the MEB period.  Although characterized as “</w:t>
      </w:r>
      <w:proofErr w:type="spellStart"/>
      <w:r w:rsidR="0083336E">
        <w:rPr>
          <w:color w:val="000000"/>
        </w:rPr>
        <w:t>diskogenic</w:t>
      </w:r>
      <w:proofErr w:type="spellEnd"/>
      <w:r w:rsidR="0083336E">
        <w:rPr>
          <w:color w:val="000000"/>
        </w:rPr>
        <w:t>” in the NARSUM, with a similar nomenclature by the VA examiner</w:t>
      </w:r>
      <w:r w:rsidR="00D93256">
        <w:rPr>
          <w:color w:val="000000"/>
        </w:rPr>
        <w:t xml:space="preserve"> prior to separation</w:t>
      </w:r>
      <w:r w:rsidR="0083336E">
        <w:rPr>
          <w:color w:val="000000"/>
        </w:rPr>
        <w:t xml:space="preserve">, the </w:t>
      </w:r>
      <w:r w:rsidR="00C13846">
        <w:rPr>
          <w:color w:val="000000"/>
        </w:rPr>
        <w:t>only magnetic resonance imaging</w:t>
      </w:r>
      <w:r w:rsidR="00D93256">
        <w:rPr>
          <w:color w:val="000000"/>
        </w:rPr>
        <w:t xml:space="preserve"> (MRI)</w:t>
      </w:r>
      <w:r w:rsidR="00C13846">
        <w:rPr>
          <w:color w:val="000000"/>
        </w:rPr>
        <w:t xml:space="preserve"> evaluation</w:t>
      </w:r>
      <w:r w:rsidR="0083336E">
        <w:rPr>
          <w:color w:val="000000"/>
        </w:rPr>
        <w:t xml:space="preserve"> in evidence (March 2000) was interpreted as unremarkable with no </w:t>
      </w:r>
      <w:r w:rsidR="00C13846">
        <w:rPr>
          <w:color w:val="000000"/>
        </w:rPr>
        <w:t xml:space="preserve">disc abnormalities.  The VA examiner noted an onset of back pain in 1997 associated with parachute jumping, and specifically documented that the CI “has never had </w:t>
      </w:r>
      <w:proofErr w:type="spellStart"/>
      <w:r w:rsidR="00C13846">
        <w:rPr>
          <w:color w:val="000000"/>
        </w:rPr>
        <w:t>radicular</w:t>
      </w:r>
      <w:proofErr w:type="spellEnd"/>
      <w:r w:rsidR="00C13846">
        <w:rPr>
          <w:color w:val="000000"/>
        </w:rPr>
        <w:t xml:space="preserve"> symptoms</w:t>
      </w:r>
      <w:r w:rsidR="00146C01">
        <w:rPr>
          <w:color w:val="000000"/>
        </w:rPr>
        <w:t>.</w:t>
      </w:r>
      <w:r w:rsidR="00C13846">
        <w:rPr>
          <w:color w:val="000000"/>
        </w:rPr>
        <w:t>”  Normal ROMs and normal neurologic exams were documented by all examiners of record.  The lumbar condition was not profiled</w:t>
      </w:r>
      <w:r w:rsidR="00692CC8">
        <w:rPr>
          <w:color w:val="000000"/>
        </w:rPr>
        <w:t>, and</w:t>
      </w:r>
      <w:r w:rsidR="00C13846">
        <w:rPr>
          <w:color w:val="000000"/>
        </w:rPr>
        <w:t xml:space="preserve"> </w:t>
      </w:r>
      <w:r w:rsidR="00D33959">
        <w:rPr>
          <w:color w:val="000000"/>
        </w:rPr>
        <w:t>was not documented as failing</w:t>
      </w:r>
      <w:r w:rsidR="00C13846">
        <w:rPr>
          <w:color w:val="000000"/>
        </w:rPr>
        <w:t xml:space="preserve"> retention standards.  </w:t>
      </w:r>
      <w:r w:rsidR="00334B61">
        <w:rPr>
          <w:color w:val="000000"/>
        </w:rPr>
        <w:t>The headache condition</w:t>
      </w:r>
      <w:r w:rsidR="00C13846" w:rsidRPr="00334B61">
        <w:rPr>
          <w:color w:val="000000"/>
        </w:rPr>
        <w:t xml:space="preserve"> </w:t>
      </w:r>
      <w:r w:rsidR="00334B61">
        <w:rPr>
          <w:color w:val="000000"/>
        </w:rPr>
        <w:t xml:space="preserve">was likewise </w:t>
      </w:r>
      <w:r w:rsidR="0083336E" w:rsidRPr="00334B61">
        <w:rPr>
          <w:color w:val="000000"/>
        </w:rPr>
        <w:t>noted</w:t>
      </w:r>
      <w:r w:rsidR="0083336E">
        <w:rPr>
          <w:color w:val="000000"/>
        </w:rPr>
        <w:t xml:space="preserve"> </w:t>
      </w:r>
      <w:r w:rsidR="00334B61">
        <w:rPr>
          <w:color w:val="000000"/>
        </w:rPr>
        <w:t>in the NARSUM and addressed by a neurology consultant.  The onset was in 1997 following a closed head injury.</w:t>
      </w:r>
      <w:r w:rsidR="0083336E">
        <w:rPr>
          <w:color w:val="000000"/>
        </w:rPr>
        <w:t xml:space="preserve"> </w:t>
      </w:r>
      <w:r w:rsidR="00334B61">
        <w:rPr>
          <w:color w:val="000000"/>
        </w:rPr>
        <w:t xml:space="preserve">  A non-narcotic rescue medication (</w:t>
      </w:r>
      <w:proofErr w:type="spellStart"/>
      <w:r w:rsidR="00334B61">
        <w:rPr>
          <w:color w:val="000000"/>
        </w:rPr>
        <w:t>Midrin</w:t>
      </w:r>
      <w:proofErr w:type="spellEnd"/>
      <w:r w:rsidR="00334B61">
        <w:rPr>
          <w:color w:val="000000"/>
        </w:rPr>
        <w:t xml:space="preserve">) was prescribed.  </w:t>
      </w:r>
      <w:r w:rsidR="003251F2">
        <w:rPr>
          <w:color w:val="000000"/>
        </w:rPr>
        <w:t>The neurologist stated that the headache failed retention standards “primarily due to occupational triggers</w:t>
      </w:r>
      <w:r w:rsidR="00D93256">
        <w:rPr>
          <w:color w:val="000000"/>
        </w:rPr>
        <w:t>;</w:t>
      </w:r>
      <w:r w:rsidR="003251F2">
        <w:rPr>
          <w:color w:val="000000"/>
        </w:rPr>
        <w:t xml:space="preserve">” but, did not elaborate; and, no corroboration for this impression is evident in the STR.  The headache condition was not profiled.  There is no STR evidence </w:t>
      </w:r>
      <w:r w:rsidR="00D33959">
        <w:rPr>
          <w:color w:val="000000"/>
        </w:rPr>
        <w:t>for</w:t>
      </w:r>
      <w:r w:rsidR="003251F2">
        <w:rPr>
          <w:color w:val="000000"/>
        </w:rPr>
        <w:t xml:space="preserve"> any acute treatment of headache during the ratable period; thus, no compensable rating is supported even if the condition were conceded as unfitting.  The VA’s 10% rating for “characteristic prostrating attacks averaging one in two months” was not corroborated </w:t>
      </w:r>
      <w:r w:rsidR="001764CB">
        <w:rPr>
          <w:color w:val="000000"/>
        </w:rPr>
        <w:t>in</w:t>
      </w:r>
      <w:r w:rsidR="003251F2">
        <w:rPr>
          <w:color w:val="000000"/>
        </w:rPr>
        <w:t xml:space="preserve"> the </w:t>
      </w:r>
      <w:r w:rsidR="001764CB">
        <w:rPr>
          <w:color w:val="000000"/>
        </w:rPr>
        <w:t xml:space="preserve">referenced </w:t>
      </w:r>
      <w:r w:rsidR="00D93256">
        <w:rPr>
          <w:color w:val="000000"/>
        </w:rPr>
        <w:t xml:space="preserve">VA </w:t>
      </w:r>
      <w:r w:rsidR="003251F2">
        <w:rPr>
          <w:color w:val="000000"/>
        </w:rPr>
        <w:t xml:space="preserve">C&amp;P </w:t>
      </w:r>
      <w:r w:rsidR="001764CB">
        <w:rPr>
          <w:color w:val="000000"/>
        </w:rPr>
        <w:t>evaluation</w:t>
      </w:r>
      <w:r w:rsidR="003251F2">
        <w:rPr>
          <w:color w:val="000000"/>
        </w:rPr>
        <w:t xml:space="preserve"> or by </w:t>
      </w:r>
      <w:r w:rsidR="00D93256">
        <w:rPr>
          <w:color w:val="000000"/>
        </w:rPr>
        <w:t>the STR</w:t>
      </w:r>
      <w:r w:rsidR="001764CB">
        <w:rPr>
          <w:color w:val="000000"/>
        </w:rPr>
        <w:t>; and, in fact was contradicted in the rating decision itself which stated, “</w:t>
      </w:r>
      <w:proofErr w:type="gramStart"/>
      <w:r w:rsidR="00D93256">
        <w:rPr>
          <w:color w:val="000000"/>
        </w:rPr>
        <w:t>t</w:t>
      </w:r>
      <w:r w:rsidR="001764CB">
        <w:rPr>
          <w:color w:val="000000"/>
        </w:rPr>
        <w:t>he</w:t>
      </w:r>
      <w:proofErr w:type="gramEnd"/>
      <w:r w:rsidR="001764CB">
        <w:rPr>
          <w:color w:val="000000"/>
        </w:rPr>
        <w:t xml:space="preserve"> examiner noted that although [CI] experiences daily headache, he was still able to perform his office duties.”</w:t>
      </w:r>
      <w:r w:rsidR="003251F2">
        <w:rPr>
          <w:color w:val="000000"/>
        </w:rPr>
        <w:t xml:space="preserve">  </w:t>
      </w:r>
      <w:r w:rsidR="001764CB">
        <w:rPr>
          <w:color w:val="000000"/>
        </w:rPr>
        <w:t>Both of these conditions</w:t>
      </w:r>
      <w:r w:rsidRPr="001F29F9">
        <w:rPr>
          <w:color w:val="000000"/>
        </w:rPr>
        <w:t xml:space="preserve"> were reviewed by the </w:t>
      </w:r>
      <w:r w:rsidR="00D93256">
        <w:rPr>
          <w:color w:val="000000"/>
        </w:rPr>
        <w:t>a</w:t>
      </w:r>
      <w:r w:rsidR="00417999" w:rsidRPr="001F29F9">
        <w:rPr>
          <w:color w:val="000000"/>
        </w:rPr>
        <w:t xml:space="preserve">ction </w:t>
      </w:r>
      <w:r w:rsidR="00D93256">
        <w:rPr>
          <w:color w:val="000000"/>
        </w:rPr>
        <w:t>o</w:t>
      </w:r>
      <w:r w:rsidR="00417999" w:rsidRPr="001F29F9">
        <w:rPr>
          <w:color w:val="000000"/>
        </w:rPr>
        <w:t xml:space="preserve">fficer </w:t>
      </w:r>
      <w:r w:rsidRPr="001F29F9">
        <w:rPr>
          <w:color w:val="000000"/>
        </w:rPr>
        <w:t xml:space="preserve">and considered by the Board. </w:t>
      </w:r>
      <w:r w:rsidR="00607AC8">
        <w:rPr>
          <w:color w:val="000000"/>
        </w:rPr>
        <w:t xml:space="preserve"> </w:t>
      </w:r>
      <w:r w:rsidRPr="001F29F9">
        <w:rPr>
          <w:color w:val="000000"/>
        </w:rPr>
        <w:t>There was no indication from the record that any of these conditions significantly interfered with satisfactory duty performance.</w:t>
      </w:r>
      <w:r w:rsidR="001764CB">
        <w:rPr>
          <w:color w:val="000000"/>
        </w:rPr>
        <w:t xml:space="preserve"> </w:t>
      </w:r>
      <w:r w:rsidRPr="001F29F9">
        <w:rPr>
          <w:color w:val="000000"/>
        </w:rPr>
        <w:t xml:space="preserve"> All evidence considered</w:t>
      </w:r>
      <w:proofErr w:type="gramStart"/>
      <w:r w:rsidRPr="001F29F9">
        <w:rPr>
          <w:color w:val="000000"/>
        </w:rPr>
        <w:t>,</w:t>
      </w:r>
      <w:proofErr w:type="gramEnd"/>
      <w:r w:rsidRPr="001F29F9">
        <w:rPr>
          <w:color w:val="000000"/>
        </w:rPr>
        <w:t xml:space="preserve"> there is not reasonable doubt in the CI’s favor supporting </w:t>
      </w:r>
      <w:proofErr w:type="spellStart"/>
      <w:r w:rsidRPr="001F29F9">
        <w:rPr>
          <w:color w:val="000000"/>
        </w:rPr>
        <w:t>recharacterization</w:t>
      </w:r>
      <w:proofErr w:type="spellEnd"/>
      <w:r w:rsidRPr="001F29F9">
        <w:rPr>
          <w:color w:val="000000"/>
        </w:rPr>
        <w:t xml:space="preserve"> of the PEB fitness adjudication for </w:t>
      </w:r>
      <w:r w:rsidR="001764CB">
        <w:rPr>
          <w:color w:val="000000"/>
        </w:rPr>
        <w:t>the lumbar or headache conditions</w:t>
      </w:r>
      <w:r w:rsidRPr="001F29F9">
        <w:rPr>
          <w:color w:val="000000"/>
        </w:rPr>
        <w:t>.</w:t>
      </w:r>
    </w:p>
    <w:p w:rsidR="00272BEE" w:rsidRDefault="00272BEE" w:rsidP="009A7578">
      <w:pPr>
        <w:jc w:val="both"/>
        <w:rPr>
          <w:color w:val="000000"/>
        </w:rPr>
      </w:pPr>
    </w:p>
    <w:p w:rsidR="00A37506" w:rsidRDefault="00272BEE" w:rsidP="006C5C16">
      <w:pPr>
        <w:jc w:val="both"/>
        <w:rPr>
          <w:color w:val="000000"/>
        </w:rPr>
      </w:pPr>
      <w:proofErr w:type="gramStart"/>
      <w:r>
        <w:rPr>
          <w:color w:val="000000"/>
          <w:u w:val="single"/>
        </w:rPr>
        <w:t xml:space="preserve">Other </w:t>
      </w:r>
      <w:r w:rsidRPr="00272BEE">
        <w:rPr>
          <w:color w:val="000000"/>
          <w:u w:val="single"/>
        </w:rPr>
        <w:t>Contended Conditions</w:t>
      </w:r>
      <w:r>
        <w:rPr>
          <w:color w:val="000000"/>
        </w:rPr>
        <w:t>.</w:t>
      </w:r>
      <w:proofErr w:type="gramEnd"/>
      <w:r>
        <w:rPr>
          <w:color w:val="000000"/>
        </w:rPr>
        <w:t xml:space="preserve">  </w:t>
      </w:r>
      <w:r w:rsidRPr="00272BEE">
        <w:rPr>
          <w:color w:val="000000"/>
        </w:rPr>
        <w:t xml:space="preserve">The CI’s application asserts that compensable ratings should be considered for </w:t>
      </w:r>
      <w:r>
        <w:rPr>
          <w:color w:val="000000"/>
        </w:rPr>
        <w:t>right knee</w:t>
      </w:r>
      <w:r w:rsidRPr="00272BEE">
        <w:rPr>
          <w:color w:val="000000"/>
        </w:rPr>
        <w:t xml:space="preserve">, </w:t>
      </w:r>
      <w:r>
        <w:rPr>
          <w:color w:val="000000"/>
        </w:rPr>
        <w:t>bilateral shoulder,</w:t>
      </w:r>
      <w:r w:rsidRPr="00272BEE">
        <w:rPr>
          <w:color w:val="000000"/>
        </w:rPr>
        <w:t xml:space="preserve"> and </w:t>
      </w:r>
      <w:r>
        <w:rPr>
          <w:color w:val="000000"/>
        </w:rPr>
        <w:t>bilateral foot conditions</w:t>
      </w:r>
      <w:r w:rsidRPr="00272BEE">
        <w:rPr>
          <w:color w:val="000000"/>
        </w:rPr>
        <w:t xml:space="preserve">.  </w:t>
      </w:r>
      <w:r w:rsidR="00692CC8">
        <w:rPr>
          <w:color w:val="000000"/>
        </w:rPr>
        <w:t>In the knee discussion, the NARSUM stated, “</w:t>
      </w:r>
      <w:r w:rsidR="00D93256">
        <w:rPr>
          <w:color w:val="000000"/>
        </w:rPr>
        <w:t>h</w:t>
      </w:r>
      <w:r w:rsidR="00692CC8">
        <w:rPr>
          <w:color w:val="000000"/>
        </w:rPr>
        <w:t>e has similar, but less severe symptoms on the right with no mechanical symptoms or instability.”  The NARSUM mentioned “indistinct” right shoulder pain</w:t>
      </w:r>
      <w:r w:rsidR="000449FE">
        <w:rPr>
          <w:color w:val="000000"/>
        </w:rPr>
        <w:t xml:space="preserve">, but did not address the podiatric complaint.  The VA C&amp;P </w:t>
      </w:r>
      <w:r w:rsidR="0058569B">
        <w:rPr>
          <w:color w:val="000000"/>
        </w:rPr>
        <w:t xml:space="preserve">prior to separation </w:t>
      </w:r>
      <w:r w:rsidR="000449FE">
        <w:rPr>
          <w:color w:val="000000"/>
        </w:rPr>
        <w:t>covered a chronic history of bilateral shoulder pain and bilateral plantar fasciitis (</w:t>
      </w:r>
      <w:proofErr w:type="spellStart"/>
      <w:r w:rsidR="000449FE">
        <w:rPr>
          <w:color w:val="000000"/>
        </w:rPr>
        <w:t>Haglund’s</w:t>
      </w:r>
      <w:proofErr w:type="spellEnd"/>
      <w:r w:rsidR="000449FE">
        <w:rPr>
          <w:color w:val="000000"/>
        </w:rPr>
        <w:t xml:space="preserve"> deformity by x-ray).  There were no incriminating physical findings referable to the </w:t>
      </w:r>
      <w:r w:rsidR="00692CC8">
        <w:rPr>
          <w:color w:val="000000"/>
        </w:rPr>
        <w:t>right knee</w:t>
      </w:r>
      <w:r w:rsidR="000449FE">
        <w:rPr>
          <w:color w:val="000000"/>
        </w:rPr>
        <w:t xml:space="preserve">, shoulder or feet on any of the exams in evidence.  Other than a consult to podiatry for the foot condition </w:t>
      </w:r>
      <w:r w:rsidR="0058569B">
        <w:rPr>
          <w:color w:val="000000"/>
        </w:rPr>
        <w:t>two</w:t>
      </w:r>
      <w:r w:rsidR="00C716B3">
        <w:rPr>
          <w:color w:val="000000"/>
        </w:rPr>
        <w:t xml:space="preserve"> months prior to separation (seen; referred to PT; C&amp;P states that inserts were issued and abandoned), none of these conditions appeared to be clinically active </w:t>
      </w:r>
      <w:r w:rsidR="00412F17">
        <w:rPr>
          <w:color w:val="000000"/>
        </w:rPr>
        <w:t>during the MEB period</w:t>
      </w:r>
      <w:r w:rsidR="00D33959">
        <w:rPr>
          <w:color w:val="000000"/>
        </w:rPr>
        <w:t xml:space="preserve">. </w:t>
      </w:r>
      <w:r w:rsidR="00C716B3">
        <w:rPr>
          <w:color w:val="000000"/>
        </w:rPr>
        <w:t xml:space="preserve"> </w:t>
      </w:r>
      <w:r w:rsidR="00D33959">
        <w:rPr>
          <w:color w:val="000000"/>
        </w:rPr>
        <w:t>N</w:t>
      </w:r>
      <w:r w:rsidR="00412F17">
        <w:rPr>
          <w:color w:val="000000"/>
        </w:rPr>
        <w:t xml:space="preserve">o condition appeared on the permanent profile other than the left knee.  The Board takes note that </w:t>
      </w:r>
      <w:r w:rsidR="00EA1EED">
        <w:rPr>
          <w:color w:val="000000"/>
        </w:rPr>
        <w:t>the</w:t>
      </w:r>
      <w:r w:rsidR="00412F17">
        <w:rPr>
          <w:color w:val="000000"/>
        </w:rPr>
        <w:t xml:space="preserve"> commander’</w:t>
      </w:r>
      <w:r w:rsidR="00EA1EED">
        <w:rPr>
          <w:color w:val="000000"/>
        </w:rPr>
        <w:t>s statement</w:t>
      </w:r>
      <w:r w:rsidR="00412F17">
        <w:rPr>
          <w:color w:val="000000"/>
        </w:rPr>
        <w:t xml:space="preserve"> lists “ACL tear … bi-</w:t>
      </w:r>
      <w:proofErr w:type="spellStart"/>
      <w:r w:rsidR="00412F17">
        <w:rPr>
          <w:color w:val="000000"/>
        </w:rPr>
        <w:t>tibial</w:t>
      </w:r>
      <w:proofErr w:type="spellEnd"/>
      <w:r w:rsidR="00412F17">
        <w:rPr>
          <w:color w:val="000000"/>
        </w:rPr>
        <w:t xml:space="preserve"> band syndrome and patellar tendonitis in both knees, lower back pain, plantar fasciitis in both feet, tension headaches, rotator cuff pain, and right testicular pain</w:t>
      </w:r>
      <w:r w:rsidR="0058569B">
        <w:rPr>
          <w:color w:val="000000"/>
        </w:rPr>
        <w:t>;</w:t>
      </w:r>
      <w:r w:rsidR="00412F17">
        <w:rPr>
          <w:color w:val="000000"/>
        </w:rPr>
        <w:t>”</w:t>
      </w:r>
      <w:r w:rsidR="00EA1EED">
        <w:rPr>
          <w:color w:val="000000"/>
        </w:rPr>
        <w:t xml:space="preserve"> and, implicates them collectively in the CI’s “significantly decreased” capabilities; although, the onset of this deterioration was dated to the ACL tear in 1999.  The fitness implications of </w:t>
      </w:r>
      <w:r w:rsidR="00A07926">
        <w:rPr>
          <w:color w:val="000000"/>
        </w:rPr>
        <w:t>the commander’s impression were</w:t>
      </w:r>
      <w:r w:rsidR="00EA1EED">
        <w:rPr>
          <w:color w:val="000000"/>
        </w:rPr>
        <w:t xml:space="preserve"> weighed against the clinical evidence </w:t>
      </w:r>
      <w:r w:rsidR="00A07926">
        <w:rPr>
          <w:color w:val="000000"/>
        </w:rPr>
        <w:t xml:space="preserve">from the STR, MEB evaluation and proximate VA evaluations.  After </w:t>
      </w:r>
      <w:r w:rsidR="006C5C16">
        <w:rPr>
          <w:color w:val="000000"/>
        </w:rPr>
        <w:t xml:space="preserve">due </w:t>
      </w:r>
      <w:r w:rsidR="00A07926">
        <w:rPr>
          <w:color w:val="000000"/>
        </w:rPr>
        <w:t>deliberation, all members concluded that the preponderance of the evidence would not adequately support a recommendatio</w:t>
      </w:r>
      <w:r w:rsidR="00A37506">
        <w:rPr>
          <w:color w:val="000000"/>
        </w:rPr>
        <w:t xml:space="preserve">n that any of these conditions were separately unfitting and subject to </w:t>
      </w:r>
      <w:r w:rsidR="0058569B">
        <w:rPr>
          <w:color w:val="000000"/>
        </w:rPr>
        <w:t>s</w:t>
      </w:r>
      <w:r w:rsidR="00A37506">
        <w:rPr>
          <w:color w:val="000000"/>
        </w:rPr>
        <w:t>ervice disability rating.</w:t>
      </w:r>
    </w:p>
    <w:p w:rsidR="00AD2379" w:rsidRPr="001F29F9" w:rsidRDefault="00AD2379" w:rsidP="00A02AA8">
      <w:pPr>
        <w:jc w:val="both"/>
        <w:rPr>
          <w:color w:val="000000"/>
        </w:rPr>
      </w:pPr>
      <w:proofErr w:type="gramStart"/>
      <w:r w:rsidRPr="00F62093">
        <w:rPr>
          <w:color w:val="000000"/>
          <w:u w:val="single"/>
        </w:rPr>
        <w:lastRenderedPageBreak/>
        <w:t>Remaining Conditio</w:t>
      </w:r>
      <w:r w:rsidRPr="00D8352E">
        <w:rPr>
          <w:color w:val="000000"/>
          <w:u w:val="single"/>
        </w:rPr>
        <w:t>ns</w:t>
      </w:r>
      <w:r w:rsidRPr="00164413">
        <w:rPr>
          <w:color w:val="000000"/>
        </w:rPr>
        <w:t>.</w:t>
      </w:r>
      <w:proofErr w:type="gramEnd"/>
      <w:r w:rsidRPr="00164413">
        <w:rPr>
          <w:color w:val="000000"/>
        </w:rPr>
        <w:t xml:space="preserve"> </w:t>
      </w:r>
      <w:r w:rsidR="00F62093">
        <w:rPr>
          <w:color w:val="000000"/>
        </w:rPr>
        <w:t xml:space="preserve"> A history </w:t>
      </w:r>
      <w:r w:rsidR="006E3077">
        <w:rPr>
          <w:color w:val="000000"/>
        </w:rPr>
        <w:t xml:space="preserve">of </w:t>
      </w:r>
      <w:proofErr w:type="spellStart"/>
      <w:r w:rsidR="00F62093">
        <w:rPr>
          <w:color w:val="000000"/>
        </w:rPr>
        <w:t>epididymitis</w:t>
      </w:r>
      <w:proofErr w:type="spellEnd"/>
      <w:r w:rsidR="00F62093">
        <w:rPr>
          <w:color w:val="000000"/>
        </w:rPr>
        <w:t xml:space="preserve"> of the right testicle, intermittent abdominal pain, </w:t>
      </w:r>
      <w:proofErr w:type="spellStart"/>
      <w:r w:rsidR="00F62093">
        <w:rPr>
          <w:color w:val="000000"/>
        </w:rPr>
        <w:t>onychomycosis</w:t>
      </w:r>
      <w:proofErr w:type="spellEnd"/>
      <w:r w:rsidR="00F62093">
        <w:rPr>
          <w:color w:val="000000"/>
        </w:rPr>
        <w:t xml:space="preserve"> (fungal infection) of </w:t>
      </w:r>
      <w:r w:rsidR="006E3077">
        <w:rPr>
          <w:color w:val="000000"/>
        </w:rPr>
        <w:t xml:space="preserve">the </w:t>
      </w:r>
      <w:r w:rsidR="00F62093">
        <w:rPr>
          <w:color w:val="000000"/>
        </w:rPr>
        <w:t>great toenails, and s</w:t>
      </w:r>
      <w:r w:rsidRPr="00D8352E">
        <w:rPr>
          <w:color w:val="000000"/>
        </w:rPr>
        <w:t xml:space="preserve">everal additional non-acute conditions or medical complaints </w:t>
      </w:r>
      <w:r w:rsidR="006E3077">
        <w:rPr>
          <w:color w:val="000000"/>
        </w:rPr>
        <w:t>was</w:t>
      </w:r>
      <w:r w:rsidRPr="00D8352E">
        <w:rPr>
          <w:color w:val="000000"/>
        </w:rPr>
        <w:t xml:space="preserve"> documented</w:t>
      </w:r>
      <w:r w:rsidR="00F62093">
        <w:rPr>
          <w:color w:val="000000"/>
        </w:rPr>
        <w:t xml:space="preserve"> in the DES file</w:t>
      </w:r>
      <w:r w:rsidR="006E3077">
        <w:rPr>
          <w:color w:val="000000"/>
        </w:rPr>
        <w:t>;</w:t>
      </w:r>
      <w:r w:rsidR="00F62093">
        <w:rPr>
          <w:color w:val="000000"/>
        </w:rPr>
        <w:t xml:space="preserve"> and</w:t>
      </w:r>
      <w:r w:rsidR="006E3077">
        <w:rPr>
          <w:color w:val="000000"/>
        </w:rPr>
        <w:t>,</w:t>
      </w:r>
      <w:r w:rsidR="00F62093">
        <w:rPr>
          <w:color w:val="000000"/>
        </w:rPr>
        <w:t xml:space="preserve"> </w:t>
      </w:r>
      <w:r w:rsidR="006E3077">
        <w:rPr>
          <w:color w:val="000000"/>
        </w:rPr>
        <w:t>at</w:t>
      </w:r>
      <w:r w:rsidR="00F62093">
        <w:rPr>
          <w:color w:val="000000"/>
        </w:rPr>
        <w:t xml:space="preserve"> the VA evaluation</w:t>
      </w:r>
      <w:r w:rsidR="0058569B">
        <w:rPr>
          <w:color w:val="000000"/>
        </w:rPr>
        <w:t xml:space="preserve"> prior to separation</w:t>
      </w:r>
      <w:r w:rsidRPr="00D8352E">
        <w:rPr>
          <w:color w:val="000000"/>
        </w:rPr>
        <w:t xml:space="preserve">. </w:t>
      </w:r>
      <w:r w:rsidR="00F62093">
        <w:rPr>
          <w:color w:val="000000"/>
        </w:rPr>
        <w:t xml:space="preserve"> </w:t>
      </w:r>
      <w:r w:rsidR="00607AC8" w:rsidRPr="00607AC8">
        <w:rPr>
          <w:color w:val="000000"/>
        </w:rPr>
        <w:t>None of these conditions were significantly clinically or occupationally active during the MEB period; none carried attached profiles; and, none were implicated in the c</w:t>
      </w:r>
      <w:r w:rsidR="00607AC8">
        <w:rPr>
          <w:color w:val="000000"/>
        </w:rPr>
        <w:t>ommander’s statement.</w:t>
      </w:r>
      <w:r w:rsidR="00607AC8" w:rsidRPr="00607AC8">
        <w:rPr>
          <w:color w:val="000000"/>
        </w:rPr>
        <w:t xml:space="preserve">  These c</w:t>
      </w:r>
      <w:r w:rsidR="0058569B">
        <w:rPr>
          <w:color w:val="000000"/>
        </w:rPr>
        <w:t>onditions were reviewed by the a</w:t>
      </w:r>
      <w:r w:rsidR="00607AC8" w:rsidRPr="00607AC8">
        <w:rPr>
          <w:color w:val="000000"/>
        </w:rPr>
        <w:t xml:space="preserve">ction </w:t>
      </w:r>
      <w:r w:rsidR="0058569B">
        <w:rPr>
          <w:color w:val="000000"/>
        </w:rPr>
        <w:t>o</w:t>
      </w:r>
      <w:r w:rsidR="00607AC8" w:rsidRPr="00607AC8">
        <w:rPr>
          <w:color w:val="000000"/>
        </w:rPr>
        <w:t xml:space="preserve">fficer and considered by the Board.  </w:t>
      </w:r>
      <w:r w:rsidRPr="00D8352E">
        <w:rPr>
          <w:color w:val="000000"/>
        </w:rPr>
        <w:t xml:space="preserve">It was determined that none could be argued as unfitting and subject to separation rating. </w:t>
      </w:r>
      <w:r w:rsidR="00607AC8">
        <w:rPr>
          <w:color w:val="000000"/>
        </w:rPr>
        <w:t xml:space="preserve"> </w:t>
      </w:r>
      <w:r w:rsidRPr="00D8352E">
        <w:rPr>
          <w:color w:val="000000"/>
        </w:rPr>
        <w:t>The Board therefore has no reasonable basis for recommending any additional unfitting conditions for separation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Pr="00990DE0" w:rsidRDefault="00AD2379" w:rsidP="009A7578">
      <w:pPr>
        <w:jc w:val="both"/>
        <w:rPr>
          <w:color w:val="000000"/>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w:t>
      </w:r>
      <w:r w:rsidRPr="006C5C16">
        <w:rPr>
          <w:color w:val="000000"/>
        </w:rPr>
        <w:t>VASRD in effect at the time of the adjudication</w:t>
      </w:r>
      <w:r w:rsidRPr="006C5C16">
        <w:rPr>
          <w:rFonts w:cs="Times New Roman"/>
          <w:color w:val="auto"/>
        </w:rPr>
        <w:t xml:space="preserve">. </w:t>
      </w:r>
      <w:r w:rsidR="008734E7" w:rsidRPr="006C5C16">
        <w:rPr>
          <w:rFonts w:cs="Times New Roman"/>
          <w:color w:val="auto"/>
        </w:rPr>
        <w:t xml:space="preserve"> </w:t>
      </w:r>
      <w:r w:rsidR="00F62093" w:rsidRPr="006C5C16">
        <w:rPr>
          <w:rFonts w:cs="Times New Roman"/>
          <w:color w:val="auto"/>
        </w:rPr>
        <w:t>As discussed above, PEB reliance on the USAPDA pain policy for rating the left knee condition was operant in this case; and, the condition was adjudicated independently of that policy by the Board</w:t>
      </w:r>
      <w:r w:rsidR="006E3077" w:rsidRPr="006C5C16">
        <w:rPr>
          <w:rFonts w:cs="Times New Roman"/>
          <w:color w:val="auto"/>
        </w:rPr>
        <w:t xml:space="preserve">.  In the matter of the left knee condition, the Board unanimously recommends a </w:t>
      </w:r>
      <w:r w:rsidR="0058569B">
        <w:rPr>
          <w:rFonts w:cs="Times New Roman"/>
          <w:color w:val="auto"/>
        </w:rPr>
        <w:t>s</w:t>
      </w:r>
      <w:r w:rsidR="006E3077" w:rsidRPr="006C5C16">
        <w:rPr>
          <w:rFonts w:cs="Times New Roman"/>
          <w:color w:val="auto"/>
        </w:rPr>
        <w:t xml:space="preserve">ervice disability rating of 10%, coded </w:t>
      </w:r>
      <w:r w:rsidR="006E3077" w:rsidRPr="006C5C16">
        <w:rPr>
          <w:color w:val="000000"/>
        </w:rPr>
        <w:t xml:space="preserve">5099-5024 </w:t>
      </w:r>
      <w:r w:rsidR="006E3077" w:rsidRPr="006C5C16">
        <w:rPr>
          <w:rFonts w:cs="Times New Roman"/>
          <w:color w:val="auto"/>
        </w:rPr>
        <w:t xml:space="preserve">IAW VASRD §4.71a.  </w:t>
      </w:r>
      <w:r w:rsidR="00990DE0" w:rsidRPr="006C5C16">
        <w:rPr>
          <w:rFonts w:cs="Times New Roman"/>
          <w:color w:val="auto"/>
        </w:rPr>
        <w:t xml:space="preserve">In the matter of the lumbar spine and vascular headache conditions, the Board unanimously recommends no change from the PEB adjudications as not unfitting.  </w:t>
      </w:r>
      <w:r w:rsidRPr="006C5C16">
        <w:rPr>
          <w:rFonts w:cs="Times New Roman"/>
          <w:color w:val="auto"/>
        </w:rPr>
        <w:t xml:space="preserve">In the matter of the </w:t>
      </w:r>
      <w:r w:rsidR="00990DE0" w:rsidRPr="006C5C16">
        <w:rPr>
          <w:rFonts w:cs="Times New Roman"/>
          <w:color w:val="auto"/>
        </w:rPr>
        <w:t xml:space="preserve">contended </w:t>
      </w:r>
      <w:r w:rsidR="00990DE0" w:rsidRPr="006C5C16">
        <w:rPr>
          <w:color w:val="000000"/>
        </w:rPr>
        <w:t xml:space="preserve">right knee, bilateral shoulder, and bilateral foot conditions; the Board unanimously agrees that it cannot recommend any finding of unfit for additional </w:t>
      </w:r>
      <w:r w:rsidR="0058569B">
        <w:rPr>
          <w:color w:val="000000"/>
        </w:rPr>
        <w:t>s</w:t>
      </w:r>
      <w:r w:rsidR="00990DE0" w:rsidRPr="006C5C16">
        <w:rPr>
          <w:color w:val="000000"/>
        </w:rPr>
        <w:t xml:space="preserve">ervice disability rating.  </w:t>
      </w:r>
      <w:r w:rsidRPr="006C5C16">
        <w:rPr>
          <w:rFonts w:cs="Times New Roman"/>
          <w:color w:val="auto"/>
        </w:rPr>
        <w:t>The Board unanimously agrees that there were no other conditions eligible for Board consideration</w:t>
      </w:r>
      <w:r w:rsidRPr="00D8352E">
        <w:rPr>
          <w:rFonts w:cs="Times New Roman"/>
          <w:color w:val="auto"/>
        </w:rPr>
        <w:t xml:space="preserve"> which could be recommended as additionally unfitting for rating at separation.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D19C8" w:rsidRPr="005D19C8" w:rsidRDefault="00AD2379" w:rsidP="005D19C8">
      <w:pPr>
        <w:jc w:val="left"/>
        <w:rPr>
          <w:color w:val="000000"/>
        </w:rPr>
      </w:pPr>
      <w:r w:rsidRPr="009A7578">
        <w:rPr>
          <w:color w:val="000000"/>
          <w:u w:val="single"/>
        </w:rPr>
        <w:t>RECOMMENDATION</w:t>
      </w:r>
      <w:r w:rsidRPr="009A7578">
        <w:rPr>
          <w:color w:val="000000"/>
        </w:rPr>
        <w:t xml:space="preserve">: </w:t>
      </w:r>
      <w:r w:rsidR="005D19C8" w:rsidRPr="005D19C8">
        <w:rPr>
          <w:color w:val="000000"/>
        </w:rPr>
        <w:t>The Board recommends that the CI’s prior determination be modified as follows, effective as of the date of his</w:t>
      </w:r>
      <w:r w:rsidR="005D19C8">
        <w:rPr>
          <w:color w:val="000000"/>
        </w:rPr>
        <w:t xml:space="preserve"> prior medical separation:</w:t>
      </w:r>
    </w:p>
    <w:p w:rsidR="00AD2379" w:rsidRPr="001F29F9" w:rsidRDefault="00AD2379" w:rsidP="005D19C8">
      <w:pPr>
        <w:jc w:val="left"/>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4B3125" w:rsidP="004B3125">
            <w:pPr>
              <w:tabs>
                <w:tab w:val="left" w:pos="288"/>
                <w:tab w:val="left" w:pos="4752"/>
              </w:tabs>
              <w:jc w:val="left"/>
              <w:rPr>
                <w:color w:val="000000"/>
              </w:rPr>
            </w:pPr>
            <w:r>
              <w:rPr>
                <w:color w:val="000000"/>
              </w:rPr>
              <w:t xml:space="preserve">Surgical Residuals, </w:t>
            </w:r>
            <w:r w:rsidR="00AD2379" w:rsidRPr="000D5DBE">
              <w:rPr>
                <w:color w:val="000000"/>
              </w:rPr>
              <w:t xml:space="preserve">Left Knee </w:t>
            </w:r>
          </w:p>
        </w:tc>
        <w:tc>
          <w:tcPr>
            <w:tcW w:w="1530" w:type="dxa"/>
            <w:vAlign w:val="center"/>
          </w:tcPr>
          <w:p w:rsidR="00AD2379" w:rsidRPr="000D5DBE" w:rsidRDefault="004B3125" w:rsidP="00BF0E94">
            <w:pPr>
              <w:tabs>
                <w:tab w:val="left" w:pos="288"/>
                <w:tab w:val="left" w:pos="4752"/>
              </w:tabs>
              <w:rPr>
                <w:color w:val="000000"/>
              </w:rPr>
            </w:pPr>
            <w:r>
              <w:rPr>
                <w:color w:val="000000"/>
              </w:rPr>
              <w:t>5099-5024</w:t>
            </w:r>
          </w:p>
        </w:tc>
        <w:tc>
          <w:tcPr>
            <w:tcW w:w="1026" w:type="dxa"/>
            <w:vAlign w:val="center"/>
          </w:tcPr>
          <w:p w:rsidR="00AD2379" w:rsidRPr="000D5DBE" w:rsidRDefault="004B3125"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4B3125" w:rsidP="00BF0E94">
            <w:pPr>
              <w:tabs>
                <w:tab w:val="left" w:pos="288"/>
                <w:tab w:val="left" w:pos="4752"/>
              </w:tabs>
              <w:rPr>
                <w:b/>
                <w:color w:val="000000"/>
              </w:rPr>
            </w:pPr>
            <w:r>
              <w:rPr>
                <w:b/>
                <w:color w:val="000000"/>
              </w:rPr>
              <w:t>1</w:t>
            </w:r>
            <w:r w:rsidR="00AD2379" w:rsidRPr="000D5DBE">
              <w:rPr>
                <w:b/>
                <w:color w:val="000000"/>
              </w:rPr>
              <w:t>0%</w:t>
            </w:r>
          </w:p>
        </w:tc>
      </w:tr>
    </w:tbl>
    <w:p w:rsidR="00990DE0" w:rsidRPr="001F29F9" w:rsidRDefault="00990DE0"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Pr="001F29F9" w:rsidRDefault="00AD2379" w:rsidP="00BF0E94">
      <w:pPr>
        <w:tabs>
          <w:tab w:val="left" w:pos="288"/>
          <w:tab w:val="left" w:pos="4752"/>
        </w:tabs>
        <w:jc w:val="both"/>
        <w:rPr>
          <w:color w:val="000000"/>
        </w:rPr>
      </w:pPr>
      <w:r w:rsidRPr="001F29F9">
        <w:rPr>
          <w:color w:val="000000"/>
        </w:rPr>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Exhibit A.  DD Fo</w:t>
      </w:r>
      <w:r w:rsidR="0058569B">
        <w:rPr>
          <w:color w:val="000000"/>
        </w:rPr>
        <w:t>rm 294, dated 20110804, w/</w:t>
      </w:r>
      <w:proofErr w:type="spellStart"/>
      <w:r w:rsidR="0058569B">
        <w:rPr>
          <w:color w:val="000000"/>
        </w:rPr>
        <w:t>atchs</w:t>
      </w:r>
      <w:proofErr w:type="spellEnd"/>
    </w:p>
    <w:p w:rsidR="00AD2379" w:rsidRPr="001F29F9" w:rsidRDefault="00AD2379" w:rsidP="00BF0E94">
      <w:pPr>
        <w:tabs>
          <w:tab w:val="left" w:pos="288"/>
          <w:tab w:val="left" w:pos="4752"/>
        </w:tabs>
        <w:jc w:val="both"/>
        <w:rPr>
          <w:color w:val="000000"/>
        </w:rPr>
      </w:pPr>
      <w:r w:rsidRPr="001F29F9">
        <w:rPr>
          <w:color w:val="000000"/>
        </w:rPr>
        <w:t xml:space="preserve">Exhibit B.  Service </w:t>
      </w:r>
      <w:r w:rsidR="0058569B">
        <w:rPr>
          <w:color w:val="000000"/>
        </w:rPr>
        <w:t>Treatment Record</w:t>
      </w:r>
    </w:p>
    <w:p w:rsidR="00AD2379" w:rsidRPr="001F29F9" w:rsidRDefault="00AD2379" w:rsidP="00BF0E94">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1A2E4D" w:rsidRDefault="00AD2379" w:rsidP="006C5C16">
      <w:pPr>
        <w:tabs>
          <w:tab w:val="left" w:pos="0"/>
          <w:tab w:val="left" w:pos="4320"/>
        </w:tabs>
        <w:jc w:val="both"/>
        <w:rPr>
          <w:color w:val="000000"/>
        </w:rPr>
      </w:pPr>
      <w:r w:rsidRPr="001F29F9">
        <w:rPr>
          <w:color w:val="000000"/>
        </w:rPr>
        <w:tab/>
        <w:t xml:space="preserve">           Physical Disability Board of Review</w:t>
      </w:r>
    </w:p>
    <w:p w:rsidR="001A2E4D" w:rsidRDefault="001A2E4D">
      <w:pPr>
        <w:spacing w:line="240" w:lineRule="auto"/>
        <w:jc w:val="left"/>
        <w:rPr>
          <w:color w:val="000000"/>
        </w:rPr>
      </w:pPr>
      <w:r>
        <w:rPr>
          <w:color w:val="000000"/>
        </w:rPr>
        <w:br w:type="page"/>
      </w:r>
    </w:p>
    <w:p w:rsidR="001A2E4D" w:rsidRDefault="001A2E4D" w:rsidP="001A2E4D">
      <w:pPr>
        <w:pStyle w:val="Header"/>
        <w:tabs>
          <w:tab w:val="clear" w:pos="4320"/>
          <w:tab w:val="clear" w:pos="8640"/>
        </w:tabs>
        <w:jc w:val="left"/>
      </w:pPr>
      <w:r>
        <w:lastRenderedPageBreak/>
        <w:t>SFMR-RB</w:t>
      </w:r>
      <w:r>
        <w:tab/>
      </w:r>
      <w:r>
        <w:tab/>
      </w:r>
      <w:r>
        <w:tab/>
      </w:r>
      <w:r>
        <w:tab/>
      </w:r>
      <w:r>
        <w:tab/>
      </w:r>
      <w:r>
        <w:tab/>
      </w:r>
      <w:r>
        <w:tab/>
      </w:r>
      <w:r>
        <w:tab/>
      </w:r>
      <w:r>
        <w:tab/>
      </w:r>
    </w:p>
    <w:p w:rsidR="001A2E4D" w:rsidRDefault="001A2E4D" w:rsidP="001A2E4D">
      <w:pPr>
        <w:pStyle w:val="Header"/>
        <w:tabs>
          <w:tab w:val="clear" w:pos="4320"/>
          <w:tab w:val="clear" w:pos="8640"/>
        </w:tabs>
        <w:jc w:val="left"/>
      </w:pPr>
    </w:p>
    <w:p w:rsidR="001A2E4D" w:rsidRDefault="001A2E4D" w:rsidP="001A2E4D">
      <w:pPr>
        <w:jc w:val="left"/>
      </w:pPr>
    </w:p>
    <w:p w:rsidR="001A2E4D" w:rsidRDefault="001A2E4D" w:rsidP="001A2E4D">
      <w:pPr>
        <w:jc w:val="left"/>
      </w:pPr>
      <w:r>
        <w:t xml:space="preserve">MEMORANDUM FOR Commander, US Army Physical Disability Agency </w:t>
      </w:r>
    </w:p>
    <w:p w:rsidR="001A2E4D" w:rsidRDefault="001A2E4D" w:rsidP="001A2E4D">
      <w:pPr>
        <w:jc w:val="left"/>
      </w:pPr>
      <w:r>
        <w:t xml:space="preserve"> </w:t>
      </w:r>
    </w:p>
    <w:p w:rsidR="001A2E4D" w:rsidRDefault="001A2E4D" w:rsidP="001A2E4D">
      <w:pPr>
        <w:jc w:val="left"/>
      </w:pPr>
    </w:p>
    <w:p w:rsidR="001A2E4D" w:rsidRDefault="001A2E4D" w:rsidP="001A2E4D">
      <w:pPr>
        <w:ind w:right="-180"/>
        <w:jc w:val="left"/>
      </w:pPr>
      <w:r>
        <w:t xml:space="preserve">SUBJECT:  Department of Defense Physical Disability Board of Review Recommendation </w:t>
      </w:r>
    </w:p>
    <w:p w:rsidR="001A2E4D" w:rsidRDefault="001A2E4D" w:rsidP="001A2E4D">
      <w:pPr>
        <w:pStyle w:val="Header"/>
        <w:tabs>
          <w:tab w:val="left" w:pos="720"/>
        </w:tabs>
        <w:jc w:val="left"/>
      </w:pPr>
    </w:p>
    <w:p w:rsidR="001A2E4D" w:rsidRDefault="001A2E4D" w:rsidP="001A2E4D">
      <w:pPr>
        <w:jc w:val="left"/>
      </w:pPr>
    </w:p>
    <w:p w:rsidR="001A2E4D" w:rsidRDefault="001A2E4D" w:rsidP="001A2E4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1A2E4D" w:rsidRDefault="001A2E4D" w:rsidP="001A2E4D">
      <w:pPr>
        <w:jc w:val="left"/>
      </w:pPr>
    </w:p>
    <w:p w:rsidR="001A2E4D" w:rsidRDefault="001A2E4D" w:rsidP="001A2E4D">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1A2E4D" w:rsidRDefault="001A2E4D" w:rsidP="001A2E4D">
      <w:pPr>
        <w:jc w:val="left"/>
      </w:pPr>
    </w:p>
    <w:p w:rsidR="001A2E4D" w:rsidRDefault="001A2E4D" w:rsidP="001A2E4D">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1A2E4D" w:rsidRDefault="001A2E4D" w:rsidP="001A2E4D">
      <w:pPr>
        <w:jc w:val="left"/>
      </w:pPr>
    </w:p>
    <w:p w:rsidR="001A2E4D" w:rsidRDefault="001A2E4D" w:rsidP="001A2E4D">
      <w:pPr>
        <w:jc w:val="left"/>
      </w:pPr>
      <w:r>
        <w:t xml:space="preserve"> BY ORDER OF THE SECRETARY OF THE ARMY:</w:t>
      </w:r>
    </w:p>
    <w:p w:rsidR="001A2E4D" w:rsidRDefault="001A2E4D" w:rsidP="001A2E4D">
      <w:pPr>
        <w:jc w:val="left"/>
      </w:pPr>
    </w:p>
    <w:p w:rsidR="001A2E4D" w:rsidRDefault="001A2E4D" w:rsidP="001A2E4D">
      <w:pPr>
        <w:jc w:val="left"/>
      </w:pPr>
    </w:p>
    <w:p w:rsidR="001A2E4D" w:rsidRDefault="001A2E4D" w:rsidP="001A2E4D">
      <w:pPr>
        <w:pStyle w:val="Header"/>
        <w:tabs>
          <w:tab w:val="clear" w:pos="4320"/>
          <w:tab w:val="clear" w:pos="8640"/>
        </w:tabs>
        <w:jc w:val="left"/>
      </w:pPr>
    </w:p>
    <w:p w:rsidR="001A2E4D" w:rsidRDefault="001A2E4D" w:rsidP="001A2E4D">
      <w:pPr>
        <w:jc w:val="left"/>
      </w:pPr>
    </w:p>
    <w:p w:rsidR="001A2E4D" w:rsidRDefault="001A2E4D" w:rsidP="001A2E4D">
      <w:pPr>
        <w:jc w:val="left"/>
      </w:pPr>
      <w:bookmarkStart w:id="0" w:name="OLE_LINK3"/>
      <w:bookmarkStart w:id="1" w:name="OLE_LINK4"/>
      <w:r>
        <w:t>Encl</w:t>
      </w:r>
      <w:r>
        <w:tab/>
      </w:r>
      <w:r>
        <w:tab/>
      </w:r>
      <w:r>
        <w:tab/>
      </w:r>
      <w:r>
        <w:tab/>
      </w:r>
      <w:r>
        <w:tab/>
      </w:r>
      <w:r>
        <w:tab/>
        <w:t xml:space="preserve">    </w:t>
      </w:r>
    </w:p>
    <w:p w:rsidR="001A2E4D" w:rsidRDefault="001A2E4D" w:rsidP="001A2E4D">
      <w:pPr>
        <w:jc w:val="left"/>
      </w:pPr>
      <w:r>
        <w:tab/>
      </w:r>
      <w:r>
        <w:tab/>
      </w:r>
      <w:r>
        <w:tab/>
      </w:r>
      <w:r>
        <w:tab/>
      </w:r>
      <w:r>
        <w:tab/>
      </w:r>
      <w:r>
        <w:tab/>
        <w:t xml:space="preserve">     Deputy Assistant Secretary</w:t>
      </w:r>
    </w:p>
    <w:p w:rsidR="001A2E4D" w:rsidRDefault="001A2E4D" w:rsidP="001A2E4D">
      <w:pPr>
        <w:jc w:val="left"/>
      </w:pPr>
      <w:r>
        <w:tab/>
      </w:r>
      <w:r>
        <w:tab/>
      </w:r>
      <w:r>
        <w:tab/>
      </w:r>
      <w:r>
        <w:tab/>
      </w:r>
      <w:r>
        <w:tab/>
      </w:r>
      <w:r>
        <w:tab/>
        <w:t xml:space="preserve">         (Army Review Boards)</w:t>
      </w:r>
      <w:bookmarkEnd w:id="0"/>
      <w:bookmarkEnd w:id="1"/>
    </w:p>
    <w:p w:rsidR="00B16F55" w:rsidRPr="00B16F55" w:rsidRDefault="00B16F55" w:rsidP="006C5C16">
      <w:pPr>
        <w:tabs>
          <w:tab w:val="left" w:pos="0"/>
          <w:tab w:val="left" w:pos="4320"/>
        </w:tabs>
        <w:jc w:val="both"/>
        <w:rPr>
          <w:rFonts w:ascii="Janson Text" w:hAnsi="Janson Text" w:cs="Times New Roman"/>
          <w:color w:val="auto"/>
          <w:szCs w:val="24"/>
        </w:rPr>
      </w:pPr>
    </w:p>
    <w:p w:rsidR="00B16F55" w:rsidRPr="00B22D42" w:rsidRDefault="00B16F55" w:rsidP="006B56D4">
      <w:pPr>
        <w:jc w:val="left"/>
        <w:rPr>
          <w:color w:val="000000"/>
        </w:rPr>
      </w:pPr>
    </w:p>
    <w:sectPr w:rsidR="00B16F55" w:rsidRPr="00B22D4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34" w:rsidRDefault="00296734">
      <w:r>
        <w:separator/>
      </w:r>
    </w:p>
  </w:endnote>
  <w:endnote w:type="continuationSeparator" w:id="0">
    <w:p w:rsidR="00296734" w:rsidRDefault="00296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26" w:rsidRPr="00374247" w:rsidRDefault="00A07926" w:rsidP="00726F84">
    <w:pPr>
      <w:pStyle w:val="Footer"/>
      <w:ind w:firstLine="4320"/>
      <w:rPr>
        <w:color w:val="auto"/>
      </w:rPr>
    </w:pPr>
    <w:r w:rsidRPr="00374247">
      <w:rPr>
        <w:color w:val="auto"/>
      </w:rPr>
      <w:t xml:space="preserve">   </w:t>
    </w:r>
    <w:fldSimple w:instr=" PAGE   \* MERGEFORMAT ">
      <w:r w:rsidR="001A2E4D" w:rsidRPr="001A2E4D">
        <w:rPr>
          <w:noProof/>
          <w:color w:val="auto"/>
        </w:rPr>
        <w:t>5</w:t>
      </w:r>
    </w:fldSimple>
    <w:r w:rsidRPr="00374247">
      <w:rPr>
        <w:color w:val="auto"/>
      </w:rPr>
      <w:t xml:space="preserve">                                                           </w:t>
    </w:r>
    <w:r w:rsidRPr="001D64F3">
      <w:rPr>
        <w:color w:val="auto"/>
      </w:rPr>
      <w:t>PD1</w:t>
    </w:r>
    <w:r w:rsidRPr="009369A6">
      <w:rPr>
        <w:color w:val="auto"/>
      </w:rPr>
      <w:t>100657</w:t>
    </w:r>
  </w:p>
  <w:p w:rsidR="00A07926" w:rsidRPr="00684CE6" w:rsidRDefault="00A0792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34" w:rsidRDefault="00296734">
      <w:r>
        <w:separator/>
      </w:r>
    </w:p>
  </w:footnote>
  <w:footnote w:type="continuationSeparator" w:id="0">
    <w:p w:rsidR="00296734" w:rsidRDefault="00296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9FE"/>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7E5"/>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3EE"/>
    <w:rsid w:val="001058BF"/>
    <w:rsid w:val="00105C07"/>
    <w:rsid w:val="0010685A"/>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6C01"/>
    <w:rsid w:val="00150B8A"/>
    <w:rsid w:val="00150DCB"/>
    <w:rsid w:val="00151912"/>
    <w:rsid w:val="0015308D"/>
    <w:rsid w:val="00153740"/>
    <w:rsid w:val="001537D8"/>
    <w:rsid w:val="00153D88"/>
    <w:rsid w:val="001541C5"/>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4CB"/>
    <w:rsid w:val="00176D63"/>
    <w:rsid w:val="00177659"/>
    <w:rsid w:val="001779E5"/>
    <w:rsid w:val="00180826"/>
    <w:rsid w:val="00181240"/>
    <w:rsid w:val="00182A4C"/>
    <w:rsid w:val="00183F77"/>
    <w:rsid w:val="00183FB3"/>
    <w:rsid w:val="001844D8"/>
    <w:rsid w:val="001846EF"/>
    <w:rsid w:val="00185DA8"/>
    <w:rsid w:val="00185ECB"/>
    <w:rsid w:val="001865E0"/>
    <w:rsid w:val="001870F0"/>
    <w:rsid w:val="00190E48"/>
    <w:rsid w:val="0019114B"/>
    <w:rsid w:val="00192392"/>
    <w:rsid w:val="0019273F"/>
    <w:rsid w:val="00193814"/>
    <w:rsid w:val="00193AAB"/>
    <w:rsid w:val="00193AD5"/>
    <w:rsid w:val="00194930"/>
    <w:rsid w:val="00195AAC"/>
    <w:rsid w:val="001968BB"/>
    <w:rsid w:val="001A025E"/>
    <w:rsid w:val="001A08CD"/>
    <w:rsid w:val="001A0A1E"/>
    <w:rsid w:val="001A2182"/>
    <w:rsid w:val="001A2E4D"/>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79E"/>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771"/>
    <w:rsid w:val="00261B7E"/>
    <w:rsid w:val="00262EA5"/>
    <w:rsid w:val="0026318D"/>
    <w:rsid w:val="00264148"/>
    <w:rsid w:val="002660AF"/>
    <w:rsid w:val="00270864"/>
    <w:rsid w:val="002712F7"/>
    <w:rsid w:val="0027159C"/>
    <w:rsid w:val="002722F2"/>
    <w:rsid w:val="00272BEE"/>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6734"/>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28B4"/>
    <w:rsid w:val="002D5330"/>
    <w:rsid w:val="002D5F57"/>
    <w:rsid w:val="002D73D4"/>
    <w:rsid w:val="002D7787"/>
    <w:rsid w:val="002E058C"/>
    <w:rsid w:val="002E10C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433B"/>
    <w:rsid w:val="00304511"/>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1F2"/>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B61"/>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BA2"/>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2F17"/>
    <w:rsid w:val="00415CFB"/>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3125"/>
    <w:rsid w:val="004B46D7"/>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1DDD"/>
    <w:rsid w:val="0051220B"/>
    <w:rsid w:val="00512253"/>
    <w:rsid w:val="00512484"/>
    <w:rsid w:val="00514449"/>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5B26"/>
    <w:rsid w:val="00536379"/>
    <w:rsid w:val="00537238"/>
    <w:rsid w:val="005400C5"/>
    <w:rsid w:val="005404CD"/>
    <w:rsid w:val="00540BE0"/>
    <w:rsid w:val="00540BEF"/>
    <w:rsid w:val="00542022"/>
    <w:rsid w:val="00542B34"/>
    <w:rsid w:val="00542C9A"/>
    <w:rsid w:val="005436C2"/>
    <w:rsid w:val="005442D4"/>
    <w:rsid w:val="00544AEC"/>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69B"/>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19C8"/>
    <w:rsid w:val="005D2306"/>
    <w:rsid w:val="005D2562"/>
    <w:rsid w:val="005D2666"/>
    <w:rsid w:val="005D4548"/>
    <w:rsid w:val="005D4A74"/>
    <w:rsid w:val="005D519F"/>
    <w:rsid w:val="005D5E91"/>
    <w:rsid w:val="005D67EF"/>
    <w:rsid w:val="005E0661"/>
    <w:rsid w:val="005E3064"/>
    <w:rsid w:val="005E54DC"/>
    <w:rsid w:val="005E65DC"/>
    <w:rsid w:val="005E6AEE"/>
    <w:rsid w:val="005E72B2"/>
    <w:rsid w:val="005E79A0"/>
    <w:rsid w:val="005F097E"/>
    <w:rsid w:val="005F0F80"/>
    <w:rsid w:val="005F1115"/>
    <w:rsid w:val="005F1AB6"/>
    <w:rsid w:val="005F27F2"/>
    <w:rsid w:val="005F2B27"/>
    <w:rsid w:val="005F3567"/>
    <w:rsid w:val="005F3814"/>
    <w:rsid w:val="005F3AFE"/>
    <w:rsid w:val="005F424D"/>
    <w:rsid w:val="005F5342"/>
    <w:rsid w:val="005F55F5"/>
    <w:rsid w:val="005F5EC1"/>
    <w:rsid w:val="005F67A9"/>
    <w:rsid w:val="005F6B6D"/>
    <w:rsid w:val="005F73CA"/>
    <w:rsid w:val="006008F8"/>
    <w:rsid w:val="006036C2"/>
    <w:rsid w:val="00605AAB"/>
    <w:rsid w:val="00606BEB"/>
    <w:rsid w:val="00607AC8"/>
    <w:rsid w:val="0061010C"/>
    <w:rsid w:val="0061014A"/>
    <w:rsid w:val="0061054B"/>
    <w:rsid w:val="00610FF8"/>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6A5D"/>
    <w:rsid w:val="00637063"/>
    <w:rsid w:val="0063737C"/>
    <w:rsid w:val="00637BDC"/>
    <w:rsid w:val="00640363"/>
    <w:rsid w:val="00640622"/>
    <w:rsid w:val="006418C9"/>
    <w:rsid w:val="00641DEE"/>
    <w:rsid w:val="00642BD6"/>
    <w:rsid w:val="00643C8F"/>
    <w:rsid w:val="006440BD"/>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4E8B"/>
    <w:rsid w:val="006770AA"/>
    <w:rsid w:val="0068098E"/>
    <w:rsid w:val="006810BD"/>
    <w:rsid w:val="00682486"/>
    <w:rsid w:val="006833A7"/>
    <w:rsid w:val="00684CE6"/>
    <w:rsid w:val="00684E2B"/>
    <w:rsid w:val="00685467"/>
    <w:rsid w:val="006857A0"/>
    <w:rsid w:val="00687C7E"/>
    <w:rsid w:val="00687D3D"/>
    <w:rsid w:val="00690569"/>
    <w:rsid w:val="00690FDA"/>
    <w:rsid w:val="00691E61"/>
    <w:rsid w:val="00692180"/>
    <w:rsid w:val="00692CC8"/>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3CC"/>
    <w:rsid w:val="006B07D5"/>
    <w:rsid w:val="006B1309"/>
    <w:rsid w:val="006B31E6"/>
    <w:rsid w:val="006B3923"/>
    <w:rsid w:val="006B3F3E"/>
    <w:rsid w:val="006B4AA2"/>
    <w:rsid w:val="006B4C4D"/>
    <w:rsid w:val="006B53C4"/>
    <w:rsid w:val="006B56D4"/>
    <w:rsid w:val="006B586B"/>
    <w:rsid w:val="006B5923"/>
    <w:rsid w:val="006B67D9"/>
    <w:rsid w:val="006B6C14"/>
    <w:rsid w:val="006B7159"/>
    <w:rsid w:val="006B715E"/>
    <w:rsid w:val="006C1D6E"/>
    <w:rsid w:val="006C2EF6"/>
    <w:rsid w:val="006C3A68"/>
    <w:rsid w:val="006C3B08"/>
    <w:rsid w:val="006C5C16"/>
    <w:rsid w:val="006C6AB1"/>
    <w:rsid w:val="006C6E6B"/>
    <w:rsid w:val="006C73D4"/>
    <w:rsid w:val="006C7B78"/>
    <w:rsid w:val="006D145F"/>
    <w:rsid w:val="006D2000"/>
    <w:rsid w:val="006D2D39"/>
    <w:rsid w:val="006D2F31"/>
    <w:rsid w:val="006D4250"/>
    <w:rsid w:val="006D4E0E"/>
    <w:rsid w:val="006D5861"/>
    <w:rsid w:val="006D5CE2"/>
    <w:rsid w:val="006D7854"/>
    <w:rsid w:val="006E06D1"/>
    <w:rsid w:val="006E122E"/>
    <w:rsid w:val="006E1313"/>
    <w:rsid w:val="006E2DC8"/>
    <w:rsid w:val="006E3077"/>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1B4"/>
    <w:rsid w:val="007D136C"/>
    <w:rsid w:val="007D1FCE"/>
    <w:rsid w:val="007D21AC"/>
    <w:rsid w:val="007D24B0"/>
    <w:rsid w:val="007D3882"/>
    <w:rsid w:val="007D39E4"/>
    <w:rsid w:val="007D3FE7"/>
    <w:rsid w:val="007D4CFC"/>
    <w:rsid w:val="007D568A"/>
    <w:rsid w:val="007D574E"/>
    <w:rsid w:val="007D57C0"/>
    <w:rsid w:val="007D67CB"/>
    <w:rsid w:val="007D6BFE"/>
    <w:rsid w:val="007D78F5"/>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36E"/>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30"/>
    <w:rsid w:val="008A1A58"/>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DE0"/>
    <w:rsid w:val="00990FD6"/>
    <w:rsid w:val="009935C3"/>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2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BBD"/>
    <w:rsid w:val="00A305AD"/>
    <w:rsid w:val="00A31FE2"/>
    <w:rsid w:val="00A32743"/>
    <w:rsid w:val="00A36444"/>
    <w:rsid w:val="00A37506"/>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888"/>
    <w:rsid w:val="00AD7F8F"/>
    <w:rsid w:val="00AE0BF9"/>
    <w:rsid w:val="00AE1273"/>
    <w:rsid w:val="00AE18C5"/>
    <w:rsid w:val="00AE2540"/>
    <w:rsid w:val="00AE2CF4"/>
    <w:rsid w:val="00AE2D29"/>
    <w:rsid w:val="00AE2F15"/>
    <w:rsid w:val="00AE4624"/>
    <w:rsid w:val="00AE4B3E"/>
    <w:rsid w:val="00AE4B90"/>
    <w:rsid w:val="00AE516C"/>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6F55"/>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A77"/>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56D"/>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846"/>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6B3"/>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38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59"/>
    <w:rsid w:val="00D339E8"/>
    <w:rsid w:val="00D33FDD"/>
    <w:rsid w:val="00D3654A"/>
    <w:rsid w:val="00D3662E"/>
    <w:rsid w:val="00D373F1"/>
    <w:rsid w:val="00D37567"/>
    <w:rsid w:val="00D40B1F"/>
    <w:rsid w:val="00D40D75"/>
    <w:rsid w:val="00D43978"/>
    <w:rsid w:val="00D43CBD"/>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276"/>
    <w:rsid w:val="00D67FD7"/>
    <w:rsid w:val="00D704E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256"/>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948"/>
    <w:rsid w:val="00DC07B7"/>
    <w:rsid w:val="00DC0BF1"/>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0A4"/>
    <w:rsid w:val="00EA1177"/>
    <w:rsid w:val="00EA118B"/>
    <w:rsid w:val="00EA11B6"/>
    <w:rsid w:val="00EA1EED"/>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36D0"/>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093"/>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79C"/>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52839391">
      <w:bodyDiv w:val="1"/>
      <w:marLeft w:val="0"/>
      <w:marRight w:val="0"/>
      <w:marTop w:val="0"/>
      <w:marBottom w:val="0"/>
      <w:divBdr>
        <w:top w:val="none" w:sz="0" w:space="0" w:color="auto"/>
        <w:left w:val="none" w:sz="0" w:space="0" w:color="auto"/>
        <w:bottom w:val="none" w:sz="0" w:space="0" w:color="auto"/>
        <w:right w:val="none" w:sz="0" w:space="0" w:color="auto"/>
      </w:divBdr>
    </w:div>
    <w:div w:id="18667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2012-03-20T16:45:00Z</cp:lastPrinted>
  <dcterms:created xsi:type="dcterms:W3CDTF">2012-03-16T18:15:00Z</dcterms:created>
  <dcterms:modified xsi:type="dcterms:W3CDTF">2012-04-06T15:44:00Z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