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A5020D" w:rsidRDefault="00F629C0" w:rsidP="008E2EF0">
      <w:pPr>
        <w:tabs>
          <w:tab w:val="left" w:pos="288"/>
          <w:tab w:val="left" w:pos="4752"/>
          <w:tab w:val="left" w:pos="5130"/>
          <w:tab w:val="left" w:pos="6210"/>
          <w:tab w:val="left" w:pos="9270"/>
        </w:tabs>
        <w:jc w:val="both"/>
        <w:rPr>
          <w:caps/>
          <w:color w:val="000000" w:themeColor="text1"/>
        </w:rPr>
      </w:pPr>
      <w:r w:rsidRPr="00A5020D">
        <w:rPr>
          <w:caps/>
          <w:color w:val="000000" w:themeColor="text1"/>
        </w:rPr>
        <w:t xml:space="preserve">NAME:  </w:t>
      </w:r>
      <w:r w:rsidR="00BB41A6">
        <w:rPr>
          <w:caps/>
          <w:color w:val="000000" w:themeColor="text1"/>
        </w:rPr>
        <w:t xml:space="preserve"> </w:t>
      </w:r>
      <w:r w:rsidR="00673773">
        <w:rPr>
          <w:caps/>
          <w:color w:val="000000" w:themeColor="text1"/>
        </w:rPr>
        <w:tab/>
      </w:r>
      <w:r w:rsidR="008E2EF0">
        <w:rPr>
          <w:caps/>
          <w:color w:val="000000" w:themeColor="text1"/>
        </w:rPr>
        <w:t xml:space="preserve">                      </w:t>
      </w:r>
      <w:r w:rsidR="00673773">
        <w:rPr>
          <w:caps/>
          <w:color w:val="000000" w:themeColor="text1"/>
        </w:rPr>
        <w:t xml:space="preserve">      </w:t>
      </w:r>
      <w:r w:rsidR="008E2EF0">
        <w:rPr>
          <w:caps/>
          <w:color w:val="000000" w:themeColor="text1"/>
        </w:rPr>
        <w:t xml:space="preserve"> </w:t>
      </w:r>
      <w:r w:rsidR="00CD3B05" w:rsidRPr="00A5020D">
        <w:rPr>
          <w:caps/>
          <w:color w:val="000000" w:themeColor="text1"/>
        </w:rPr>
        <w:t xml:space="preserve"> </w:t>
      </w:r>
      <w:r w:rsidRPr="00A5020D">
        <w:rPr>
          <w:caps/>
          <w:color w:val="000000" w:themeColor="text1"/>
        </w:rPr>
        <w:t xml:space="preserve">BRANCH OF SERVICE: </w:t>
      </w:r>
      <w:r w:rsidR="004C24C5" w:rsidRPr="00A5020D">
        <w:rPr>
          <w:caps/>
          <w:color w:val="000000" w:themeColor="text1"/>
        </w:rPr>
        <w:t xml:space="preserve"> </w:t>
      </w:r>
      <w:r w:rsidR="00332DE3" w:rsidRPr="00A5020D">
        <w:rPr>
          <w:caps/>
          <w:color w:val="000000" w:themeColor="text1"/>
        </w:rPr>
        <w:t>Army</w:t>
      </w:r>
    </w:p>
    <w:p w:rsidR="00DE3AAD" w:rsidRPr="00A5020D" w:rsidRDefault="00012733" w:rsidP="0068098E">
      <w:pPr>
        <w:tabs>
          <w:tab w:val="left" w:pos="288"/>
          <w:tab w:val="left" w:pos="4166"/>
          <w:tab w:val="left" w:pos="4752"/>
          <w:tab w:val="left" w:pos="5130"/>
          <w:tab w:val="left" w:pos="9270"/>
        </w:tabs>
        <w:jc w:val="both"/>
        <w:rPr>
          <w:caps/>
          <w:color w:val="000000" w:themeColor="text1"/>
        </w:rPr>
      </w:pPr>
      <w:r w:rsidRPr="00A5020D">
        <w:rPr>
          <w:caps/>
          <w:color w:val="000000" w:themeColor="text1"/>
        </w:rPr>
        <w:t>C</w:t>
      </w:r>
      <w:r w:rsidR="00DE3AAD" w:rsidRPr="00A5020D">
        <w:rPr>
          <w:caps/>
          <w:color w:val="000000" w:themeColor="text1"/>
        </w:rPr>
        <w:t>ASE NUMBER:  PD</w:t>
      </w:r>
      <w:r w:rsidR="008F58E1" w:rsidRPr="00A5020D">
        <w:rPr>
          <w:caps/>
          <w:color w:val="000000" w:themeColor="text1"/>
        </w:rPr>
        <w:t>11</w:t>
      </w:r>
      <w:r w:rsidR="00DE3AAD" w:rsidRPr="00A5020D">
        <w:rPr>
          <w:caps/>
          <w:color w:val="000000" w:themeColor="text1"/>
        </w:rPr>
        <w:t>00</w:t>
      </w:r>
      <w:r w:rsidR="00CD3B05" w:rsidRPr="00A5020D">
        <w:rPr>
          <w:caps/>
          <w:color w:val="000000" w:themeColor="text1"/>
        </w:rPr>
        <w:t>609</w:t>
      </w:r>
      <w:r w:rsidR="00DE3AAD" w:rsidRPr="00A5020D">
        <w:rPr>
          <w:color w:val="000000" w:themeColor="text1"/>
        </w:rPr>
        <w:tab/>
      </w:r>
      <w:r w:rsidR="0068098E" w:rsidRPr="00A5020D">
        <w:rPr>
          <w:color w:val="000000" w:themeColor="text1"/>
        </w:rPr>
        <w:tab/>
      </w:r>
      <w:r w:rsidR="00DE3AAD" w:rsidRPr="00A5020D">
        <w:rPr>
          <w:color w:val="000000" w:themeColor="text1"/>
        </w:rPr>
        <w:t xml:space="preserve">         </w:t>
      </w:r>
      <w:r w:rsidR="008E2EF0">
        <w:rPr>
          <w:color w:val="000000" w:themeColor="text1"/>
        </w:rPr>
        <w:t xml:space="preserve">            </w:t>
      </w:r>
      <w:r w:rsidR="00E0346A" w:rsidRPr="00A5020D">
        <w:rPr>
          <w:color w:val="000000" w:themeColor="text1"/>
        </w:rPr>
        <w:t xml:space="preserve"> </w:t>
      </w:r>
      <w:r w:rsidR="00673773">
        <w:rPr>
          <w:color w:val="000000" w:themeColor="text1"/>
        </w:rPr>
        <w:t xml:space="preserve">   </w:t>
      </w:r>
      <w:r w:rsidR="00E0346A" w:rsidRPr="00A5020D">
        <w:rPr>
          <w:color w:val="000000" w:themeColor="text1"/>
        </w:rPr>
        <w:t xml:space="preserve">    </w:t>
      </w:r>
      <w:r w:rsidR="005716C8">
        <w:rPr>
          <w:color w:val="000000" w:themeColor="text1"/>
        </w:rPr>
        <w:t xml:space="preserve"> </w:t>
      </w:r>
      <w:r w:rsidR="00DE3AAD" w:rsidRPr="00A5020D">
        <w:rPr>
          <w:color w:val="000000" w:themeColor="text1"/>
        </w:rPr>
        <w:t>SEPARATION DATE:  200</w:t>
      </w:r>
      <w:r w:rsidR="00CD3B05" w:rsidRPr="00A5020D">
        <w:rPr>
          <w:color w:val="000000" w:themeColor="text1"/>
        </w:rPr>
        <w:t>70315</w:t>
      </w:r>
    </w:p>
    <w:p w:rsidR="003B2143" w:rsidRPr="00A5020D" w:rsidRDefault="004F3639" w:rsidP="00BF0E94">
      <w:pPr>
        <w:tabs>
          <w:tab w:val="left" w:pos="288"/>
          <w:tab w:val="left" w:pos="5130"/>
        </w:tabs>
        <w:jc w:val="both"/>
        <w:rPr>
          <w:color w:val="000000" w:themeColor="text1"/>
        </w:rPr>
      </w:pPr>
      <w:r w:rsidRPr="00A5020D">
        <w:rPr>
          <w:caps/>
          <w:color w:val="000000" w:themeColor="text1"/>
        </w:rPr>
        <w:t>BOARD DATE:  201</w:t>
      </w:r>
      <w:r w:rsidR="005B7BD1">
        <w:rPr>
          <w:caps/>
          <w:color w:val="000000" w:themeColor="text1"/>
        </w:rPr>
        <w:t>2</w:t>
      </w:r>
      <w:r w:rsidR="00A1273F">
        <w:rPr>
          <w:caps/>
          <w:color w:val="000000" w:themeColor="text1"/>
        </w:rPr>
        <w:t>0227</w:t>
      </w:r>
    </w:p>
    <w:p w:rsidR="008E2EF0" w:rsidRPr="001F29F9" w:rsidRDefault="008E2EF0" w:rsidP="008E2EF0">
      <w:pPr>
        <w:pBdr>
          <w:bottom w:val="single" w:sz="12" w:space="1" w:color="auto"/>
        </w:pBdr>
        <w:tabs>
          <w:tab w:val="left" w:pos="288"/>
          <w:tab w:val="left" w:pos="4752"/>
        </w:tabs>
        <w:jc w:val="both"/>
        <w:rPr>
          <w:color w:val="000000" w:themeColor="text1"/>
        </w:rPr>
      </w:pPr>
    </w:p>
    <w:p w:rsidR="003F1206" w:rsidRPr="00A5020D" w:rsidRDefault="003F1206" w:rsidP="00BF0E94">
      <w:pPr>
        <w:tabs>
          <w:tab w:val="left" w:pos="288"/>
          <w:tab w:val="left" w:pos="4752"/>
        </w:tabs>
        <w:jc w:val="both"/>
        <w:rPr>
          <w:color w:val="000000" w:themeColor="text1"/>
        </w:rPr>
      </w:pPr>
    </w:p>
    <w:p w:rsidR="002F2981" w:rsidRPr="001F29F9" w:rsidRDefault="00FB0E80" w:rsidP="00FF2D9B">
      <w:pPr>
        <w:tabs>
          <w:tab w:val="left" w:pos="288"/>
          <w:tab w:val="left" w:pos="4752"/>
          <w:tab w:val="left" w:pos="6300"/>
        </w:tabs>
        <w:jc w:val="both"/>
        <w:rPr>
          <w:color w:val="000000" w:themeColor="text1"/>
        </w:rPr>
      </w:pPr>
      <w:r w:rsidRPr="00A5020D">
        <w:rPr>
          <w:color w:val="000000" w:themeColor="text1"/>
          <w:u w:val="single"/>
        </w:rPr>
        <w:t>SUMMARY OF CASE</w:t>
      </w:r>
      <w:r w:rsidRPr="00A5020D">
        <w:rPr>
          <w:color w:val="000000" w:themeColor="text1"/>
        </w:rPr>
        <w:t xml:space="preserve">:  </w:t>
      </w:r>
      <w:r w:rsidR="009759C2" w:rsidRPr="00A5020D">
        <w:rPr>
          <w:color w:val="000000" w:themeColor="text1"/>
        </w:rPr>
        <w:t xml:space="preserve">Data </w:t>
      </w:r>
      <w:r w:rsidR="009759C2" w:rsidRPr="00A1273F">
        <w:rPr>
          <w:color w:val="000000" w:themeColor="text1"/>
        </w:rPr>
        <w:t>extracted from the available evidence of record reflects that this covered individual (CI)</w:t>
      </w:r>
      <w:r w:rsidR="00570754" w:rsidRPr="00A1273F">
        <w:rPr>
          <w:color w:val="000000" w:themeColor="text1"/>
        </w:rPr>
        <w:t xml:space="preserve"> </w:t>
      </w:r>
      <w:r w:rsidR="002C6E5B" w:rsidRPr="00A1273F">
        <w:rPr>
          <w:color w:val="000000" w:themeColor="text1"/>
          <w:szCs w:val="24"/>
        </w:rPr>
        <w:t xml:space="preserve">was </w:t>
      </w:r>
      <w:r w:rsidR="00E322F7" w:rsidRPr="00A1273F">
        <w:rPr>
          <w:color w:val="000000" w:themeColor="text1"/>
          <w:szCs w:val="24"/>
        </w:rPr>
        <w:t>an active duty</w:t>
      </w:r>
      <w:r w:rsidR="006D4E0E" w:rsidRPr="00A1273F">
        <w:rPr>
          <w:color w:val="000000" w:themeColor="text1"/>
          <w:szCs w:val="24"/>
        </w:rPr>
        <w:t xml:space="preserve"> </w:t>
      </w:r>
      <w:r w:rsidR="00661BA2" w:rsidRPr="00A1273F">
        <w:rPr>
          <w:color w:val="000000" w:themeColor="text1"/>
          <w:szCs w:val="24"/>
        </w:rPr>
        <w:t>SGT/E-5</w:t>
      </w:r>
      <w:r w:rsidR="00705C40" w:rsidRPr="00A1273F">
        <w:rPr>
          <w:color w:val="000000" w:themeColor="text1"/>
          <w:szCs w:val="24"/>
        </w:rPr>
        <w:t xml:space="preserve"> (</w:t>
      </w:r>
      <w:r w:rsidR="00A5020D" w:rsidRPr="00A1273F">
        <w:rPr>
          <w:color w:val="000000" w:themeColor="text1"/>
          <w:szCs w:val="24"/>
        </w:rPr>
        <w:t>11B</w:t>
      </w:r>
      <w:r w:rsidR="00C75F3D" w:rsidRPr="00A1273F">
        <w:rPr>
          <w:color w:val="000000" w:themeColor="text1"/>
          <w:szCs w:val="24"/>
        </w:rPr>
        <w:t>/</w:t>
      </w:r>
      <w:r w:rsidR="00666DC5" w:rsidRPr="00A1273F">
        <w:rPr>
          <w:color w:val="000000" w:themeColor="text1"/>
          <w:szCs w:val="24"/>
        </w:rPr>
        <w:t>Infantryman</w:t>
      </w:r>
      <w:r w:rsidR="00A5020D" w:rsidRPr="00A1273F">
        <w:rPr>
          <w:color w:val="000000" w:themeColor="text1"/>
          <w:szCs w:val="24"/>
        </w:rPr>
        <w:t>), me</w:t>
      </w:r>
      <w:r w:rsidR="002C6E5B" w:rsidRPr="00A1273F">
        <w:rPr>
          <w:color w:val="000000" w:themeColor="text1"/>
          <w:szCs w:val="24"/>
        </w:rPr>
        <w:t xml:space="preserve">dically separated for </w:t>
      </w:r>
      <w:r w:rsidR="00A5020D" w:rsidRPr="00A1273F">
        <w:rPr>
          <w:color w:val="000000" w:themeColor="text1"/>
          <w:szCs w:val="24"/>
        </w:rPr>
        <w:t>chronic pain, right knee</w:t>
      </w:r>
      <w:r w:rsidR="00C75F3D" w:rsidRPr="00A1273F">
        <w:rPr>
          <w:i/>
          <w:color w:val="000000" w:themeColor="text1"/>
          <w:szCs w:val="24"/>
        </w:rPr>
        <w:t>.</w:t>
      </w:r>
      <w:r w:rsidR="00A5020D" w:rsidRPr="00A1273F">
        <w:rPr>
          <w:i/>
          <w:color w:val="000000" w:themeColor="text1"/>
          <w:szCs w:val="24"/>
        </w:rPr>
        <w:t xml:space="preserve"> </w:t>
      </w:r>
      <w:r w:rsidR="008E2EF0" w:rsidRPr="00A1273F">
        <w:rPr>
          <w:color w:val="000000" w:themeColor="text1"/>
          <w:szCs w:val="24"/>
        </w:rPr>
        <w:t xml:space="preserve"> </w:t>
      </w:r>
      <w:r w:rsidR="00420CD3" w:rsidRPr="00A1273F">
        <w:rPr>
          <w:color w:val="000000" w:themeColor="text1"/>
          <w:szCs w:val="24"/>
        </w:rPr>
        <w:t xml:space="preserve">The CI injured his right knee in June 2005 while on a </w:t>
      </w:r>
      <w:r w:rsidR="005716C8" w:rsidRPr="00A1273F">
        <w:rPr>
          <w:color w:val="000000" w:themeColor="text1"/>
          <w:szCs w:val="24"/>
        </w:rPr>
        <w:t>12</w:t>
      </w:r>
      <w:r w:rsidR="008E2EF0" w:rsidRPr="00A1273F">
        <w:rPr>
          <w:color w:val="000000" w:themeColor="text1"/>
          <w:szCs w:val="24"/>
        </w:rPr>
        <w:t xml:space="preserve"> mile road march.  </w:t>
      </w:r>
      <w:r w:rsidR="00420CD3" w:rsidRPr="00A1273F">
        <w:rPr>
          <w:color w:val="000000" w:themeColor="text1"/>
          <w:szCs w:val="24"/>
        </w:rPr>
        <w:t xml:space="preserve">MRI revealed a medial meniscus tear.  </w:t>
      </w:r>
      <w:r w:rsidR="008E2EF0" w:rsidRPr="00A1273F">
        <w:rPr>
          <w:color w:val="000000" w:themeColor="text1"/>
          <w:szCs w:val="24"/>
        </w:rPr>
        <w:t xml:space="preserve">He underwent </w:t>
      </w:r>
      <w:r w:rsidR="00420CD3" w:rsidRPr="00A1273F">
        <w:rPr>
          <w:color w:val="000000" w:themeColor="text1"/>
          <w:szCs w:val="24"/>
        </w:rPr>
        <w:t>arthroscopic surgery (</w:t>
      </w:r>
      <w:r w:rsidR="00FF2D9B" w:rsidRPr="00A1273F">
        <w:rPr>
          <w:color w:val="000000" w:themeColor="text1"/>
          <w:szCs w:val="24"/>
        </w:rPr>
        <w:t xml:space="preserve">partial </w:t>
      </w:r>
      <w:proofErr w:type="spellStart"/>
      <w:r w:rsidR="00FF2D9B" w:rsidRPr="00A1273F">
        <w:rPr>
          <w:color w:val="000000" w:themeColor="text1"/>
          <w:szCs w:val="24"/>
        </w:rPr>
        <w:t>meniscectomy</w:t>
      </w:r>
      <w:proofErr w:type="spellEnd"/>
      <w:r w:rsidR="00FF2D9B" w:rsidRPr="00A1273F">
        <w:rPr>
          <w:color w:val="000000" w:themeColor="text1"/>
          <w:szCs w:val="24"/>
        </w:rPr>
        <w:t xml:space="preserve"> and </w:t>
      </w:r>
      <w:proofErr w:type="spellStart"/>
      <w:r w:rsidR="00FF2D9B" w:rsidRPr="00A1273F">
        <w:rPr>
          <w:color w:val="000000" w:themeColor="text1"/>
          <w:szCs w:val="24"/>
        </w:rPr>
        <w:t>chondral</w:t>
      </w:r>
      <w:proofErr w:type="spellEnd"/>
      <w:r w:rsidR="00FF2D9B" w:rsidRPr="00A1273F">
        <w:rPr>
          <w:color w:val="000000" w:themeColor="text1"/>
          <w:szCs w:val="24"/>
        </w:rPr>
        <w:t xml:space="preserve"> picking</w:t>
      </w:r>
      <w:r w:rsidR="00420CD3" w:rsidRPr="00A1273F">
        <w:rPr>
          <w:color w:val="000000" w:themeColor="text1"/>
          <w:szCs w:val="24"/>
        </w:rPr>
        <w:t>)</w:t>
      </w:r>
      <w:r w:rsidR="001A4A4F">
        <w:rPr>
          <w:color w:val="000000" w:themeColor="text1"/>
          <w:szCs w:val="24"/>
        </w:rPr>
        <w:t xml:space="preserve"> in January 2006.  Post-</w:t>
      </w:r>
      <w:r w:rsidR="00420CD3" w:rsidRPr="00A1273F">
        <w:rPr>
          <w:color w:val="000000" w:themeColor="text1"/>
          <w:szCs w:val="24"/>
        </w:rPr>
        <w:t xml:space="preserve">operative treatment </w:t>
      </w:r>
      <w:r w:rsidR="00FF2D9B" w:rsidRPr="00A1273F">
        <w:rPr>
          <w:color w:val="000000" w:themeColor="text1"/>
          <w:szCs w:val="24"/>
        </w:rPr>
        <w:t xml:space="preserve">included </w:t>
      </w:r>
      <w:r w:rsidR="00420CD3" w:rsidRPr="00A1273F">
        <w:rPr>
          <w:color w:val="000000" w:themeColor="text1"/>
          <w:szCs w:val="24"/>
        </w:rPr>
        <w:t xml:space="preserve">medications, </w:t>
      </w:r>
      <w:r w:rsidR="00FF2D9B" w:rsidRPr="00A1273F">
        <w:rPr>
          <w:color w:val="000000" w:themeColor="text1"/>
          <w:szCs w:val="24"/>
        </w:rPr>
        <w:t>physical therapy</w:t>
      </w:r>
      <w:r w:rsidR="00420CD3" w:rsidRPr="00A1273F">
        <w:rPr>
          <w:color w:val="000000" w:themeColor="text1"/>
          <w:szCs w:val="24"/>
        </w:rPr>
        <w:t>,</w:t>
      </w:r>
      <w:r w:rsidR="00673773" w:rsidRPr="00A1273F">
        <w:rPr>
          <w:color w:val="000000" w:themeColor="text1"/>
          <w:szCs w:val="24"/>
        </w:rPr>
        <w:t xml:space="preserve"> </w:t>
      </w:r>
      <w:r w:rsidR="00FF2D9B" w:rsidRPr="00A1273F">
        <w:rPr>
          <w:color w:val="000000" w:themeColor="text1"/>
          <w:szCs w:val="24"/>
        </w:rPr>
        <w:t xml:space="preserve">and </w:t>
      </w:r>
      <w:proofErr w:type="spellStart"/>
      <w:r w:rsidR="00FF2D9B" w:rsidRPr="00A1273F">
        <w:rPr>
          <w:color w:val="000000" w:themeColor="text1"/>
          <w:szCs w:val="24"/>
        </w:rPr>
        <w:t>Synvisc</w:t>
      </w:r>
      <w:proofErr w:type="spellEnd"/>
      <w:r w:rsidR="00FF2D9B" w:rsidRPr="00A1273F">
        <w:rPr>
          <w:color w:val="000000" w:themeColor="text1"/>
          <w:szCs w:val="24"/>
        </w:rPr>
        <w:t xml:space="preserve"> injections.  </w:t>
      </w:r>
      <w:r w:rsidR="00643C8F" w:rsidRPr="00A1273F">
        <w:rPr>
          <w:color w:val="000000" w:themeColor="text1"/>
          <w:szCs w:val="24"/>
        </w:rPr>
        <w:t>He did not respond adequately to treatment and was unable to perform within his Military Occupational Specialty (MOS)</w:t>
      </w:r>
      <w:r w:rsidR="00A5020D" w:rsidRPr="00A1273F">
        <w:rPr>
          <w:color w:val="000000" w:themeColor="text1"/>
          <w:szCs w:val="24"/>
        </w:rPr>
        <w:t xml:space="preserve"> </w:t>
      </w:r>
      <w:r w:rsidR="00643C8F" w:rsidRPr="00A1273F">
        <w:rPr>
          <w:color w:val="000000" w:themeColor="text1"/>
          <w:szCs w:val="24"/>
        </w:rPr>
        <w:t xml:space="preserve">or meet physical fitness standards.  He was issued a permanent </w:t>
      </w:r>
      <w:r w:rsidR="00A5020D" w:rsidRPr="00A1273F">
        <w:rPr>
          <w:color w:val="000000" w:themeColor="text1"/>
          <w:szCs w:val="24"/>
        </w:rPr>
        <w:t>L3</w:t>
      </w:r>
      <w:r w:rsidR="00D46C40" w:rsidRPr="00A1273F">
        <w:rPr>
          <w:color w:val="000000" w:themeColor="text1"/>
          <w:szCs w:val="24"/>
        </w:rPr>
        <w:t>/H2</w:t>
      </w:r>
      <w:r w:rsidR="00643C8F" w:rsidRPr="00A1273F">
        <w:rPr>
          <w:color w:val="000000" w:themeColor="text1"/>
          <w:szCs w:val="24"/>
        </w:rPr>
        <w:t xml:space="preserve"> profile and underwent a Medical Evaluation Board (MEB)</w:t>
      </w:r>
      <w:r w:rsidR="00B33184" w:rsidRPr="00A1273F">
        <w:rPr>
          <w:color w:val="000000" w:themeColor="text1"/>
          <w:szCs w:val="24"/>
        </w:rPr>
        <w:t>.  Righ</w:t>
      </w:r>
      <w:r w:rsidR="008E2EF0" w:rsidRPr="00A1273F">
        <w:rPr>
          <w:color w:val="000000" w:themeColor="text1"/>
          <w:szCs w:val="24"/>
        </w:rPr>
        <w:t>t</w:t>
      </w:r>
      <w:r w:rsidR="00B33184" w:rsidRPr="00A1273F">
        <w:rPr>
          <w:color w:val="000000" w:themeColor="text1"/>
          <w:szCs w:val="24"/>
        </w:rPr>
        <w:t xml:space="preserve"> knee pain was</w:t>
      </w:r>
      <w:r w:rsidR="000A33C8" w:rsidRPr="00A1273F">
        <w:rPr>
          <w:color w:val="000000" w:themeColor="text1"/>
          <w:szCs w:val="24"/>
        </w:rPr>
        <w:t xml:space="preserve"> forwarded to the Physical Evaluation Board (PEB) as medically unacceptable IAW AR 40-501</w:t>
      </w:r>
      <w:r w:rsidR="00376E08" w:rsidRPr="00A1273F">
        <w:rPr>
          <w:color w:val="000000" w:themeColor="text1"/>
          <w:szCs w:val="24"/>
        </w:rPr>
        <w:t>.</w:t>
      </w:r>
      <w:r w:rsidR="00FF2D9B" w:rsidRPr="00A1273F">
        <w:rPr>
          <w:color w:val="000000" w:themeColor="text1"/>
          <w:szCs w:val="24"/>
        </w:rPr>
        <w:t xml:space="preserve">  </w:t>
      </w:r>
      <w:r w:rsidR="00B33184" w:rsidRPr="00A1273F">
        <w:rPr>
          <w:color w:val="000000" w:themeColor="text1"/>
          <w:szCs w:val="24"/>
        </w:rPr>
        <w:t xml:space="preserve">Three </w:t>
      </w:r>
      <w:r w:rsidR="00954E5B" w:rsidRPr="00A1273F">
        <w:rPr>
          <w:color w:val="000000" w:themeColor="text1"/>
          <w:szCs w:val="24"/>
        </w:rPr>
        <w:t>other condi</w:t>
      </w:r>
      <w:r w:rsidR="00954E5B" w:rsidRPr="00B33184">
        <w:rPr>
          <w:color w:val="000000" w:themeColor="text1"/>
          <w:szCs w:val="24"/>
        </w:rPr>
        <w:t xml:space="preserve">tions, as identified in the rating chart below, were forwarded on </w:t>
      </w:r>
      <w:r w:rsidR="00954E5B" w:rsidRPr="00A1273F">
        <w:rPr>
          <w:color w:val="000000" w:themeColor="text1"/>
          <w:szCs w:val="24"/>
        </w:rPr>
        <w:t xml:space="preserve">the </w:t>
      </w:r>
      <w:r w:rsidR="00B04562" w:rsidRPr="00A1273F">
        <w:rPr>
          <w:color w:val="000000" w:themeColor="text1"/>
          <w:szCs w:val="24"/>
        </w:rPr>
        <w:t xml:space="preserve">MEB submission </w:t>
      </w:r>
      <w:r w:rsidR="00954E5B" w:rsidRPr="00A1273F">
        <w:rPr>
          <w:color w:val="000000" w:themeColor="text1"/>
          <w:szCs w:val="24"/>
        </w:rPr>
        <w:t>as medically acceptable conditions</w:t>
      </w:r>
      <w:r w:rsidR="00B04562" w:rsidRPr="00A1273F">
        <w:rPr>
          <w:color w:val="000000" w:themeColor="text1"/>
          <w:szCs w:val="24"/>
        </w:rPr>
        <w:t>.</w:t>
      </w:r>
      <w:r w:rsidR="00B33184" w:rsidRPr="00A1273F">
        <w:rPr>
          <w:color w:val="000000" w:themeColor="text1"/>
          <w:szCs w:val="24"/>
        </w:rPr>
        <w:t xml:space="preserve">  </w:t>
      </w:r>
      <w:r w:rsidR="001A5E62" w:rsidRPr="00A1273F">
        <w:rPr>
          <w:color w:val="000000" w:themeColor="text1"/>
          <w:szCs w:val="24"/>
        </w:rPr>
        <w:t>Other conditions included in the</w:t>
      </w:r>
      <w:r w:rsidR="00DC17F2" w:rsidRPr="00A1273F">
        <w:rPr>
          <w:color w:val="000000" w:themeColor="text1"/>
          <w:szCs w:val="24"/>
        </w:rPr>
        <w:t xml:space="preserve"> </w:t>
      </w:r>
      <w:r w:rsidR="00555C66" w:rsidRPr="00A1273F">
        <w:rPr>
          <w:color w:val="000000" w:themeColor="text1"/>
          <w:szCs w:val="24"/>
        </w:rPr>
        <w:t xml:space="preserve">Disability Evaluation System (DES) </w:t>
      </w:r>
      <w:r w:rsidR="00541FE7" w:rsidRPr="00A1273F">
        <w:rPr>
          <w:color w:val="000000" w:themeColor="text1"/>
          <w:szCs w:val="24"/>
        </w:rPr>
        <w:t>file</w:t>
      </w:r>
      <w:r w:rsidR="001A5E62" w:rsidRPr="00A1273F">
        <w:rPr>
          <w:color w:val="000000" w:themeColor="text1"/>
          <w:szCs w:val="24"/>
        </w:rPr>
        <w:t xml:space="preserve"> </w:t>
      </w:r>
      <w:r w:rsidR="00541FE7" w:rsidRPr="00A1273F">
        <w:rPr>
          <w:color w:val="000000" w:themeColor="text1"/>
          <w:szCs w:val="24"/>
        </w:rPr>
        <w:t>are</w:t>
      </w:r>
      <w:r w:rsidR="001A5E62" w:rsidRPr="00A1273F">
        <w:rPr>
          <w:color w:val="000000" w:themeColor="text1"/>
          <w:szCs w:val="24"/>
        </w:rPr>
        <w:t xml:space="preserve"> discussed below.</w:t>
      </w:r>
      <w:r w:rsidR="00B33184" w:rsidRPr="00A1273F">
        <w:rPr>
          <w:color w:val="000000" w:themeColor="text1"/>
          <w:szCs w:val="24"/>
        </w:rPr>
        <w:t xml:space="preserve">  </w:t>
      </w:r>
      <w:r w:rsidR="00842BAA" w:rsidRPr="00A1273F">
        <w:rPr>
          <w:color w:val="000000" w:themeColor="text1"/>
          <w:szCs w:val="24"/>
        </w:rPr>
        <w:t xml:space="preserve">The </w:t>
      </w:r>
      <w:r w:rsidR="002A2DF0">
        <w:rPr>
          <w:color w:val="000000" w:themeColor="text1"/>
          <w:szCs w:val="24"/>
        </w:rPr>
        <w:t>PEB</w:t>
      </w:r>
      <w:r w:rsidR="00842BAA" w:rsidRPr="00A1273F">
        <w:rPr>
          <w:color w:val="000000" w:themeColor="text1"/>
          <w:szCs w:val="24"/>
        </w:rPr>
        <w:t xml:space="preserve"> adjudicated the </w:t>
      </w:r>
      <w:r w:rsidR="00B33184" w:rsidRPr="00A1273F">
        <w:rPr>
          <w:color w:val="000000" w:themeColor="text1"/>
          <w:szCs w:val="24"/>
        </w:rPr>
        <w:t xml:space="preserve">chronic right knee pain </w:t>
      </w:r>
      <w:r w:rsidR="00842BAA" w:rsidRPr="00A1273F">
        <w:rPr>
          <w:color w:val="000000" w:themeColor="text1"/>
          <w:szCs w:val="24"/>
        </w:rPr>
        <w:t xml:space="preserve">condition as unfitting, rated </w:t>
      </w:r>
      <w:r w:rsidR="00B33184" w:rsidRPr="00A1273F">
        <w:rPr>
          <w:color w:val="000000" w:themeColor="text1"/>
          <w:szCs w:val="24"/>
        </w:rPr>
        <w:t>10</w:t>
      </w:r>
      <w:r w:rsidR="00842BAA" w:rsidRPr="00A1273F">
        <w:rPr>
          <w:color w:val="000000" w:themeColor="text1"/>
          <w:szCs w:val="24"/>
        </w:rPr>
        <w:t>%</w:t>
      </w:r>
      <w:r w:rsidR="00B33184" w:rsidRPr="00A1273F">
        <w:rPr>
          <w:color w:val="000000" w:themeColor="text1"/>
          <w:szCs w:val="24"/>
        </w:rPr>
        <w:t xml:space="preserve"> </w:t>
      </w:r>
      <w:r w:rsidR="00842BAA" w:rsidRPr="00A1273F">
        <w:rPr>
          <w:color w:val="000000" w:themeColor="text1"/>
          <w:szCs w:val="24"/>
        </w:rPr>
        <w:t xml:space="preserve">with </w:t>
      </w:r>
      <w:r w:rsidR="009B6EF2" w:rsidRPr="00A1273F">
        <w:rPr>
          <w:color w:val="000000" w:themeColor="text1"/>
          <w:szCs w:val="24"/>
        </w:rPr>
        <w:t xml:space="preserve">specified </w:t>
      </w:r>
      <w:r w:rsidR="00842BAA" w:rsidRPr="00A1273F">
        <w:rPr>
          <w:color w:val="000000" w:themeColor="text1"/>
          <w:szCs w:val="24"/>
        </w:rPr>
        <w:t>application of the US Army Physical Disability Agency (USAPDA) pain policy.</w:t>
      </w:r>
      <w:r w:rsidR="00FF2D9B" w:rsidRPr="00A1273F">
        <w:rPr>
          <w:color w:val="000000" w:themeColor="text1"/>
          <w:szCs w:val="24"/>
        </w:rPr>
        <w:t xml:space="preserve">  </w:t>
      </w:r>
      <w:r w:rsidR="00437D77" w:rsidRPr="00A1273F">
        <w:rPr>
          <w:color w:val="000000" w:themeColor="text1"/>
        </w:rPr>
        <w:t xml:space="preserve">The CI appealed </w:t>
      </w:r>
      <w:r w:rsidR="00541FE7" w:rsidRPr="00A1273F">
        <w:rPr>
          <w:color w:val="000000" w:themeColor="text1"/>
        </w:rPr>
        <w:t xml:space="preserve">for a </w:t>
      </w:r>
      <w:r w:rsidR="002A2DF0">
        <w:rPr>
          <w:color w:val="000000" w:themeColor="text1"/>
        </w:rPr>
        <w:t>F</w:t>
      </w:r>
      <w:r w:rsidR="00541FE7" w:rsidRPr="00A1273F">
        <w:rPr>
          <w:color w:val="000000" w:themeColor="text1"/>
        </w:rPr>
        <w:t xml:space="preserve">ormal </w:t>
      </w:r>
      <w:r w:rsidR="00437D77" w:rsidRPr="00A1273F">
        <w:rPr>
          <w:color w:val="000000" w:themeColor="text1"/>
        </w:rPr>
        <w:t xml:space="preserve">PEB </w:t>
      </w:r>
      <w:r w:rsidR="00541FE7" w:rsidRPr="00A1273F">
        <w:rPr>
          <w:color w:val="000000" w:themeColor="text1"/>
        </w:rPr>
        <w:t xml:space="preserve">(FPEB) which </w:t>
      </w:r>
      <w:r w:rsidR="002F7C9F" w:rsidRPr="00A1273F">
        <w:rPr>
          <w:color w:val="000000" w:themeColor="text1"/>
        </w:rPr>
        <w:t>upheld</w:t>
      </w:r>
      <w:r w:rsidR="002A2DF0">
        <w:rPr>
          <w:color w:val="000000" w:themeColor="text1"/>
        </w:rPr>
        <w:t xml:space="preserve"> the </w:t>
      </w:r>
      <w:r w:rsidR="00541FE7" w:rsidRPr="00A1273F">
        <w:rPr>
          <w:color w:val="000000" w:themeColor="text1"/>
        </w:rPr>
        <w:t xml:space="preserve">PEB </w:t>
      </w:r>
      <w:r w:rsidR="002F7C9F" w:rsidRPr="00A1273F">
        <w:rPr>
          <w:color w:val="000000" w:themeColor="text1"/>
        </w:rPr>
        <w:t>findings</w:t>
      </w:r>
      <w:r w:rsidR="006B6D86" w:rsidRPr="00A1273F">
        <w:rPr>
          <w:color w:val="000000" w:themeColor="text1"/>
        </w:rPr>
        <w:t xml:space="preserve">.  He also appealed to </w:t>
      </w:r>
      <w:r w:rsidR="002F7C9F" w:rsidRPr="00A1273F">
        <w:rPr>
          <w:color w:val="000000" w:themeColor="text1"/>
        </w:rPr>
        <w:t xml:space="preserve">USAPDA and to </w:t>
      </w:r>
      <w:r w:rsidR="006B6D86" w:rsidRPr="00A1273F">
        <w:rPr>
          <w:color w:val="000000" w:themeColor="text1"/>
        </w:rPr>
        <w:t>his Congressional representative</w:t>
      </w:r>
      <w:r w:rsidR="002F7C9F" w:rsidRPr="00A1273F">
        <w:rPr>
          <w:color w:val="000000" w:themeColor="text1"/>
        </w:rPr>
        <w:t>;</w:t>
      </w:r>
      <w:r w:rsidR="00437D77" w:rsidRPr="00A1273F">
        <w:rPr>
          <w:color w:val="000000" w:themeColor="text1"/>
        </w:rPr>
        <w:t xml:space="preserve"> </w:t>
      </w:r>
      <w:r w:rsidR="002F7C9F" w:rsidRPr="00A1273F">
        <w:rPr>
          <w:color w:val="000000" w:themeColor="text1"/>
        </w:rPr>
        <w:t xml:space="preserve">on both occasions </w:t>
      </w:r>
      <w:r w:rsidR="006B6D86" w:rsidRPr="00A1273F">
        <w:rPr>
          <w:color w:val="000000" w:themeColor="text1"/>
        </w:rPr>
        <w:t xml:space="preserve">the USAPDA reaffirmed the FPEB </w:t>
      </w:r>
      <w:r w:rsidR="00EE0A6E" w:rsidRPr="00A1273F">
        <w:rPr>
          <w:color w:val="000000" w:themeColor="text1"/>
        </w:rPr>
        <w:t>adjudication</w:t>
      </w:r>
      <w:r w:rsidR="006B6D86" w:rsidRPr="00A1273F">
        <w:rPr>
          <w:color w:val="000000" w:themeColor="text1"/>
        </w:rPr>
        <w:t>.  H</w:t>
      </w:r>
      <w:r w:rsidR="00541FE7" w:rsidRPr="00A1273F">
        <w:rPr>
          <w:color w:val="000000" w:themeColor="text1"/>
        </w:rPr>
        <w:t xml:space="preserve">e </w:t>
      </w:r>
      <w:r w:rsidR="00437D77" w:rsidRPr="00A1273F">
        <w:rPr>
          <w:color w:val="000000" w:themeColor="text1"/>
        </w:rPr>
        <w:t xml:space="preserve">was then medically separated with a </w:t>
      </w:r>
      <w:r w:rsidR="00B33184" w:rsidRPr="00A1273F">
        <w:rPr>
          <w:color w:val="000000" w:themeColor="text1"/>
        </w:rPr>
        <w:t>10</w:t>
      </w:r>
      <w:r w:rsidR="00437D77" w:rsidRPr="00A1273F">
        <w:rPr>
          <w:color w:val="000000" w:themeColor="text1"/>
        </w:rPr>
        <w:t>%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FF0358">
        <w:rPr>
          <w:color w:val="000000" w:themeColor="text1"/>
        </w:rPr>
        <w:t xml:space="preserve">  </w:t>
      </w:r>
      <w:r w:rsidR="00137B8A">
        <w:rPr>
          <w:color w:val="000000" w:themeColor="text1"/>
        </w:rPr>
        <w:t>“</w:t>
      </w:r>
      <w:r w:rsidR="00137B8A" w:rsidRPr="00137B8A">
        <w:rPr>
          <w:color w:val="000000" w:themeColor="text1"/>
        </w:rPr>
        <w:t>Th</w:t>
      </w:r>
      <w:r w:rsidR="00137B8A">
        <w:rPr>
          <w:color w:val="000000" w:themeColor="text1"/>
        </w:rPr>
        <w:t xml:space="preserve">e board only </w:t>
      </w:r>
      <w:r w:rsidR="00137B8A" w:rsidRPr="00A1273F">
        <w:rPr>
          <w:color w:val="000000" w:themeColor="text1"/>
        </w:rPr>
        <w:t xml:space="preserve">evaluated my right knee.  I also have TBI, PTSD, Impairment of Clavicle, Tinnitus, Migraine headaches, </w:t>
      </w:r>
      <w:proofErr w:type="gramStart"/>
      <w:r w:rsidR="00137B8A" w:rsidRPr="00A1273F">
        <w:rPr>
          <w:color w:val="000000" w:themeColor="text1"/>
        </w:rPr>
        <w:t>Impaired</w:t>
      </w:r>
      <w:proofErr w:type="gramEnd"/>
      <w:r w:rsidR="00137B8A" w:rsidRPr="00A1273F">
        <w:rPr>
          <w:color w:val="000000" w:themeColor="text1"/>
        </w:rPr>
        <w:t xml:space="preserve"> hearing and Paralysis of the seventh cranial nerve from being blown up in Iraq.  I had a mortar explode about 10’ from me and was not evaluated for this the board told me to take my issues to the VA.”  </w:t>
      </w:r>
      <w:r w:rsidR="00ED5284" w:rsidRPr="00A1273F">
        <w:rPr>
          <w:rFonts w:eastAsiaTheme="minorHAnsi"/>
          <w:color w:val="000000" w:themeColor="text1"/>
          <w:szCs w:val="24"/>
        </w:rPr>
        <w:t>He additionally lists his VA conditions and ratings as per the r</w:t>
      </w:r>
      <w:r w:rsidR="00ED5284" w:rsidRPr="001F29F9">
        <w:rPr>
          <w:rFonts w:eastAsiaTheme="minorHAnsi"/>
          <w:color w:val="000000" w:themeColor="text1"/>
          <w:szCs w:val="24"/>
        </w:rPr>
        <w:t>ating chart below.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FF2D9B" w:rsidRDefault="00FF2D9B" w:rsidP="00BF0E94">
      <w:pPr>
        <w:jc w:val="left"/>
        <w:rPr>
          <w:color w:val="000000" w:themeColor="text1"/>
          <w:u w:val="single"/>
        </w:rPr>
      </w:pPr>
    </w:p>
    <w:p w:rsidR="001537D8" w:rsidRPr="00446741" w:rsidRDefault="007F0AB7" w:rsidP="00BF0E94">
      <w:pPr>
        <w:jc w:val="left"/>
        <w:rPr>
          <w:color w:val="auto"/>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r w:rsidR="00FF2D9B" w:rsidRPr="00FF2D9B">
        <w:rPr>
          <w:color w:val="000000" w:themeColor="text1"/>
        </w:rPr>
        <w:t xml:space="preserve"> </w:t>
      </w:r>
      <w:r w:rsidR="00446741">
        <w:rPr>
          <w:color w:val="000000" w:themeColor="text1"/>
        </w:rPr>
        <w:t xml:space="preserve"> </w:t>
      </w:r>
    </w:p>
    <w:p w:rsidR="002151AB" w:rsidRPr="00446741" w:rsidRDefault="002151AB" w:rsidP="005716C8">
      <w:pPr>
        <w:jc w:val="both"/>
        <w:rPr>
          <w:color w:val="auto"/>
        </w:rPr>
      </w:pPr>
    </w:p>
    <w:tbl>
      <w:tblPr>
        <w:tblStyle w:val="TableGrid"/>
        <w:tblW w:w="9355" w:type="dxa"/>
        <w:jc w:val="center"/>
        <w:tblInd w:w="707" w:type="dxa"/>
        <w:tblLayout w:type="fixed"/>
        <w:tblLook w:val="04A0"/>
      </w:tblPr>
      <w:tblGrid>
        <w:gridCol w:w="2461"/>
        <w:gridCol w:w="1080"/>
        <w:gridCol w:w="810"/>
        <w:gridCol w:w="2250"/>
        <w:gridCol w:w="1080"/>
        <w:gridCol w:w="720"/>
        <w:gridCol w:w="954"/>
      </w:tblGrid>
      <w:tr w:rsidR="002B4E22" w:rsidRPr="00446741" w:rsidTr="005716C8">
        <w:trPr>
          <w:trHeight w:val="233"/>
          <w:jc w:val="center"/>
        </w:trPr>
        <w:tc>
          <w:tcPr>
            <w:tcW w:w="4351" w:type="dxa"/>
            <w:gridSpan w:val="3"/>
            <w:tcBorders>
              <w:right w:val="thinThickThinSmallGap" w:sz="24" w:space="0" w:color="auto"/>
            </w:tcBorders>
            <w:shd w:val="clear" w:color="auto" w:fill="D9D9D9" w:themeFill="background1" w:themeFillShade="D9"/>
            <w:vAlign w:val="center"/>
          </w:tcPr>
          <w:p w:rsidR="002B4E22" w:rsidRPr="00446741" w:rsidRDefault="00B731E4" w:rsidP="005716C8">
            <w:pPr>
              <w:spacing w:line="180" w:lineRule="exact"/>
              <w:contextualSpacing/>
              <w:rPr>
                <w:rFonts w:ascii="Calibri" w:hAnsi="Calibri" w:cs="Calibri"/>
                <w:b/>
                <w:color w:val="auto"/>
                <w:sz w:val="18"/>
                <w:szCs w:val="18"/>
              </w:rPr>
            </w:pPr>
            <w:r w:rsidRPr="00446741">
              <w:rPr>
                <w:rFonts w:ascii="Calibri" w:hAnsi="Calibri" w:cs="Calibri"/>
                <w:b/>
                <w:color w:val="auto"/>
                <w:sz w:val="18"/>
                <w:szCs w:val="18"/>
              </w:rPr>
              <w:t xml:space="preserve">Service </w:t>
            </w:r>
            <w:r w:rsidR="00137B8A" w:rsidRPr="00446741">
              <w:rPr>
                <w:rFonts w:ascii="Calibri" w:hAnsi="Calibri" w:cs="Calibri"/>
                <w:b/>
                <w:color w:val="auto"/>
                <w:sz w:val="18"/>
                <w:szCs w:val="18"/>
              </w:rPr>
              <w:t>F</w:t>
            </w:r>
            <w:r w:rsidRPr="00446741">
              <w:rPr>
                <w:rFonts w:ascii="Calibri" w:hAnsi="Calibri" w:cs="Calibri"/>
                <w:b/>
                <w:color w:val="auto"/>
                <w:sz w:val="18"/>
                <w:szCs w:val="18"/>
              </w:rPr>
              <w:t>PEB – Dated 200</w:t>
            </w:r>
            <w:r w:rsidR="005028A9" w:rsidRPr="00446741">
              <w:rPr>
                <w:rFonts w:ascii="Calibri" w:hAnsi="Calibri" w:cs="Calibri"/>
                <w:b/>
                <w:color w:val="auto"/>
                <w:sz w:val="18"/>
                <w:szCs w:val="18"/>
              </w:rPr>
              <w:t>70105</w:t>
            </w:r>
          </w:p>
        </w:tc>
        <w:tc>
          <w:tcPr>
            <w:tcW w:w="5004" w:type="dxa"/>
            <w:gridSpan w:val="4"/>
            <w:tcBorders>
              <w:left w:val="thinThickThinSmallGap" w:sz="24" w:space="0" w:color="auto"/>
            </w:tcBorders>
            <w:shd w:val="clear" w:color="auto" w:fill="D9D9D9" w:themeFill="background1" w:themeFillShade="D9"/>
            <w:vAlign w:val="center"/>
          </w:tcPr>
          <w:p w:rsidR="002B4E22" w:rsidRPr="00446741" w:rsidRDefault="002B4E22" w:rsidP="005716C8">
            <w:pPr>
              <w:spacing w:line="180" w:lineRule="exact"/>
              <w:contextualSpacing/>
              <w:rPr>
                <w:rFonts w:ascii="Calibri" w:hAnsi="Calibri" w:cs="Calibri"/>
                <w:b/>
                <w:color w:val="auto"/>
                <w:sz w:val="18"/>
                <w:szCs w:val="18"/>
              </w:rPr>
            </w:pPr>
            <w:r w:rsidRPr="00446741">
              <w:rPr>
                <w:rFonts w:ascii="Calibri" w:hAnsi="Calibri" w:cs="Calibri"/>
                <w:b/>
                <w:color w:val="auto"/>
                <w:sz w:val="18"/>
                <w:szCs w:val="18"/>
              </w:rPr>
              <w:t>VA (</w:t>
            </w:r>
            <w:r w:rsidR="007B3D27" w:rsidRPr="00446741">
              <w:rPr>
                <w:rFonts w:ascii="Calibri" w:hAnsi="Calibri" w:cs="Calibri"/>
                <w:b/>
                <w:color w:val="auto"/>
                <w:sz w:val="18"/>
                <w:szCs w:val="18"/>
              </w:rPr>
              <w:t>~2 M</w:t>
            </w:r>
            <w:r w:rsidRPr="00446741">
              <w:rPr>
                <w:rFonts w:ascii="Calibri" w:hAnsi="Calibri" w:cs="Calibri"/>
                <w:b/>
                <w:color w:val="auto"/>
                <w:sz w:val="18"/>
                <w:szCs w:val="18"/>
              </w:rPr>
              <w:t>o</w:t>
            </w:r>
            <w:r w:rsidR="007B3D27" w:rsidRPr="00446741">
              <w:rPr>
                <w:rFonts w:ascii="Calibri" w:hAnsi="Calibri" w:cs="Calibri"/>
                <w:b/>
                <w:color w:val="auto"/>
                <w:sz w:val="18"/>
                <w:szCs w:val="18"/>
              </w:rPr>
              <w:t>s</w:t>
            </w:r>
            <w:r w:rsidRPr="00446741">
              <w:rPr>
                <w:rFonts w:ascii="Calibri" w:hAnsi="Calibri" w:cs="Calibri"/>
                <w:b/>
                <w:color w:val="auto"/>
                <w:sz w:val="18"/>
                <w:szCs w:val="18"/>
              </w:rPr>
              <w:t xml:space="preserve">. After Separation) – All Effective </w:t>
            </w:r>
            <w:r w:rsidR="002D08F3" w:rsidRPr="00446741">
              <w:rPr>
                <w:rFonts w:ascii="Calibri" w:hAnsi="Calibri" w:cs="Calibri"/>
                <w:b/>
                <w:color w:val="auto"/>
                <w:sz w:val="18"/>
                <w:szCs w:val="18"/>
              </w:rPr>
              <w:t>200</w:t>
            </w:r>
            <w:r w:rsidR="00E86676" w:rsidRPr="00446741">
              <w:rPr>
                <w:rFonts w:ascii="Calibri" w:hAnsi="Calibri" w:cs="Calibri"/>
                <w:b/>
                <w:color w:val="auto"/>
                <w:sz w:val="18"/>
                <w:szCs w:val="18"/>
              </w:rPr>
              <w:t>70316</w:t>
            </w:r>
          </w:p>
        </w:tc>
      </w:tr>
      <w:tr w:rsidR="002B4E22" w:rsidRPr="00446741" w:rsidTr="005716C8">
        <w:trPr>
          <w:trHeight w:val="278"/>
          <w:jc w:val="center"/>
        </w:trPr>
        <w:tc>
          <w:tcPr>
            <w:tcW w:w="2461" w:type="dxa"/>
            <w:tcBorders>
              <w:bottom w:val="single" w:sz="4" w:space="0" w:color="000000" w:themeColor="text1"/>
              <w:right w:val="single" w:sz="4" w:space="0" w:color="auto"/>
            </w:tcBorders>
            <w:shd w:val="clear" w:color="auto" w:fill="D9D9D9" w:themeFill="background1" w:themeFillShade="D9"/>
            <w:vAlign w:val="center"/>
          </w:tcPr>
          <w:p w:rsidR="002B4E22" w:rsidRPr="00446741" w:rsidRDefault="002B4E22" w:rsidP="005716C8">
            <w:pPr>
              <w:spacing w:line="180" w:lineRule="exact"/>
              <w:contextualSpacing/>
              <w:rPr>
                <w:rFonts w:ascii="Calibri" w:hAnsi="Calibri" w:cs="Calibri"/>
                <w:b/>
                <w:color w:val="auto"/>
                <w:sz w:val="18"/>
                <w:szCs w:val="18"/>
              </w:rPr>
            </w:pPr>
            <w:r w:rsidRPr="00446741">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446741" w:rsidRDefault="002B4E22" w:rsidP="005716C8">
            <w:pPr>
              <w:spacing w:line="180" w:lineRule="exact"/>
              <w:contextualSpacing/>
              <w:rPr>
                <w:rFonts w:ascii="Calibri" w:hAnsi="Calibri" w:cs="Calibri"/>
                <w:b/>
                <w:color w:val="auto"/>
                <w:sz w:val="18"/>
                <w:szCs w:val="18"/>
              </w:rPr>
            </w:pPr>
            <w:r w:rsidRPr="00446741">
              <w:rPr>
                <w:rFonts w:ascii="Calibri" w:hAnsi="Calibri" w:cs="Calibri"/>
                <w:b/>
                <w:color w:val="auto"/>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446741" w:rsidRDefault="002B4E22" w:rsidP="005716C8">
            <w:pPr>
              <w:spacing w:line="180" w:lineRule="exact"/>
              <w:contextualSpacing/>
              <w:rPr>
                <w:rFonts w:ascii="Calibri" w:hAnsi="Calibri" w:cs="Calibri"/>
                <w:b/>
                <w:color w:val="auto"/>
                <w:sz w:val="18"/>
                <w:szCs w:val="18"/>
              </w:rPr>
            </w:pPr>
            <w:r w:rsidRPr="00446741">
              <w:rPr>
                <w:rFonts w:ascii="Calibri" w:hAnsi="Calibri" w:cs="Calibri"/>
                <w:b/>
                <w:color w:val="auto"/>
                <w:sz w:val="18"/>
                <w:szCs w:val="18"/>
              </w:rPr>
              <w:t>Rating</w:t>
            </w:r>
          </w:p>
        </w:tc>
        <w:tc>
          <w:tcPr>
            <w:tcW w:w="225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446741" w:rsidRDefault="002B4E22" w:rsidP="005716C8">
            <w:pPr>
              <w:spacing w:line="180" w:lineRule="exact"/>
              <w:contextualSpacing/>
              <w:rPr>
                <w:rFonts w:ascii="Calibri" w:hAnsi="Calibri" w:cs="Calibri"/>
                <w:b/>
                <w:color w:val="auto"/>
                <w:sz w:val="18"/>
                <w:szCs w:val="18"/>
              </w:rPr>
            </w:pPr>
            <w:r w:rsidRPr="00446741">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446741" w:rsidRDefault="002B4E22" w:rsidP="005716C8">
            <w:pPr>
              <w:spacing w:line="180" w:lineRule="exact"/>
              <w:contextualSpacing/>
              <w:rPr>
                <w:rFonts w:ascii="Calibri" w:hAnsi="Calibri" w:cs="Calibri"/>
                <w:b/>
                <w:color w:val="auto"/>
                <w:sz w:val="18"/>
                <w:szCs w:val="18"/>
              </w:rPr>
            </w:pPr>
            <w:r w:rsidRPr="00446741">
              <w:rPr>
                <w:rFonts w:ascii="Calibri" w:hAnsi="Calibri" w:cs="Calibri"/>
                <w:b/>
                <w:color w:val="auto"/>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446741" w:rsidRDefault="002B4E22" w:rsidP="005716C8">
            <w:pPr>
              <w:spacing w:line="180" w:lineRule="exact"/>
              <w:contextualSpacing/>
              <w:rPr>
                <w:rFonts w:ascii="Calibri" w:hAnsi="Calibri" w:cs="Calibri"/>
                <w:b/>
                <w:color w:val="auto"/>
                <w:sz w:val="18"/>
                <w:szCs w:val="18"/>
              </w:rPr>
            </w:pPr>
            <w:r w:rsidRPr="00446741">
              <w:rPr>
                <w:rFonts w:ascii="Calibri" w:hAnsi="Calibri" w:cs="Calibri"/>
                <w:b/>
                <w:color w:val="auto"/>
                <w:sz w:val="18"/>
                <w:szCs w:val="18"/>
              </w:rPr>
              <w:t>Rating</w:t>
            </w:r>
          </w:p>
        </w:tc>
        <w:tc>
          <w:tcPr>
            <w:tcW w:w="954" w:type="dxa"/>
            <w:tcBorders>
              <w:bottom w:val="single" w:sz="4" w:space="0" w:color="000000" w:themeColor="text1"/>
            </w:tcBorders>
            <w:shd w:val="clear" w:color="auto" w:fill="D9D9D9" w:themeFill="background1" w:themeFillShade="D9"/>
            <w:vAlign w:val="center"/>
          </w:tcPr>
          <w:p w:rsidR="002B4E22" w:rsidRPr="00446741" w:rsidRDefault="002B4E22" w:rsidP="005716C8">
            <w:pPr>
              <w:spacing w:line="180" w:lineRule="exact"/>
              <w:contextualSpacing/>
              <w:rPr>
                <w:rFonts w:ascii="Calibri" w:hAnsi="Calibri" w:cs="Calibri"/>
                <w:b/>
                <w:color w:val="auto"/>
                <w:sz w:val="18"/>
                <w:szCs w:val="18"/>
              </w:rPr>
            </w:pPr>
            <w:r w:rsidRPr="00446741">
              <w:rPr>
                <w:rFonts w:ascii="Calibri" w:hAnsi="Calibri" w:cs="Calibri"/>
                <w:b/>
                <w:color w:val="auto"/>
                <w:sz w:val="18"/>
                <w:szCs w:val="18"/>
              </w:rPr>
              <w:t>Exam</w:t>
            </w:r>
          </w:p>
        </w:tc>
      </w:tr>
      <w:tr w:rsidR="00C03C21" w:rsidRPr="00446741" w:rsidTr="005716C8">
        <w:trPr>
          <w:trHeight w:val="287"/>
          <w:jc w:val="center"/>
        </w:trPr>
        <w:tc>
          <w:tcPr>
            <w:tcW w:w="2461" w:type="dxa"/>
            <w:tcBorders>
              <w:right w:val="single" w:sz="4" w:space="0" w:color="auto"/>
            </w:tcBorders>
            <w:shd w:val="clear" w:color="auto" w:fill="FFFFFF" w:themeFill="background1"/>
            <w:vAlign w:val="center"/>
          </w:tcPr>
          <w:p w:rsidR="00BC5860" w:rsidRPr="00446741" w:rsidRDefault="005028A9" w:rsidP="005716C8">
            <w:pPr>
              <w:spacing w:line="180" w:lineRule="exact"/>
              <w:contextualSpacing/>
              <w:jc w:val="left"/>
              <w:rPr>
                <w:rFonts w:ascii="Calibri" w:eastAsia="Times New Roman" w:hAnsi="Calibri" w:cs="Calibri"/>
                <w:color w:val="auto"/>
                <w:sz w:val="18"/>
                <w:szCs w:val="18"/>
              </w:rPr>
            </w:pPr>
            <w:r w:rsidRPr="00446741">
              <w:rPr>
                <w:rFonts w:ascii="Calibri" w:hAnsi="Calibri" w:cs="Calibri"/>
                <w:color w:val="auto"/>
                <w:sz w:val="18"/>
                <w:szCs w:val="18"/>
              </w:rPr>
              <w:t xml:space="preserve">Chronic </w:t>
            </w:r>
            <w:r w:rsidR="00FF2D9B" w:rsidRPr="00446741">
              <w:rPr>
                <w:rFonts w:ascii="Calibri" w:hAnsi="Calibri" w:cs="Calibri"/>
                <w:color w:val="auto"/>
                <w:sz w:val="18"/>
                <w:szCs w:val="18"/>
              </w:rPr>
              <w:t>Pain, R Knee</w:t>
            </w:r>
          </w:p>
        </w:tc>
        <w:tc>
          <w:tcPr>
            <w:tcW w:w="1080" w:type="dxa"/>
            <w:tcBorders>
              <w:left w:val="single" w:sz="4" w:space="0" w:color="auto"/>
            </w:tcBorders>
            <w:shd w:val="clear" w:color="auto" w:fill="FFFFFF" w:themeFill="background1"/>
            <w:vAlign w:val="center"/>
          </w:tcPr>
          <w:p w:rsidR="00BC5860" w:rsidRPr="00446741" w:rsidRDefault="005028A9" w:rsidP="005716C8">
            <w:pPr>
              <w:spacing w:line="180" w:lineRule="exact"/>
              <w:contextualSpacing/>
              <w:rPr>
                <w:rFonts w:ascii="Calibri" w:eastAsia="Times New Roman" w:hAnsi="Calibri" w:cs="Calibri"/>
                <w:color w:val="auto"/>
                <w:sz w:val="18"/>
                <w:szCs w:val="18"/>
              </w:rPr>
            </w:pPr>
            <w:r w:rsidRPr="00446741">
              <w:rPr>
                <w:rFonts w:ascii="Calibri" w:hAnsi="Calibri" w:cs="Calibri"/>
                <w:color w:val="auto"/>
                <w:sz w:val="18"/>
                <w:szCs w:val="18"/>
              </w:rPr>
              <w:t>5099-5003</w:t>
            </w:r>
          </w:p>
        </w:tc>
        <w:tc>
          <w:tcPr>
            <w:tcW w:w="810" w:type="dxa"/>
            <w:tcBorders>
              <w:right w:val="thinThickThinSmallGap" w:sz="24" w:space="0" w:color="auto"/>
            </w:tcBorders>
            <w:shd w:val="clear" w:color="auto" w:fill="FFFFFF" w:themeFill="background1"/>
            <w:vAlign w:val="center"/>
          </w:tcPr>
          <w:p w:rsidR="00BC5860" w:rsidRPr="00446741" w:rsidRDefault="005028A9" w:rsidP="005716C8">
            <w:pPr>
              <w:spacing w:line="180" w:lineRule="exact"/>
              <w:rPr>
                <w:rFonts w:ascii="Calibri" w:eastAsia="Times New Roman" w:hAnsi="Calibri" w:cs="Calibri"/>
                <w:color w:val="auto"/>
                <w:sz w:val="18"/>
                <w:szCs w:val="18"/>
              </w:rPr>
            </w:pPr>
            <w:r w:rsidRPr="00446741">
              <w:rPr>
                <w:rFonts w:ascii="Calibri" w:hAnsi="Calibri" w:cs="Calibri"/>
                <w:color w:val="auto"/>
                <w:sz w:val="18"/>
                <w:szCs w:val="18"/>
              </w:rPr>
              <w:t>10</w:t>
            </w:r>
            <w:r w:rsidR="00C03C21" w:rsidRPr="00446741">
              <w:rPr>
                <w:rFonts w:ascii="Calibri" w:hAnsi="Calibri" w:cs="Calibri"/>
                <w:color w:val="auto"/>
                <w:sz w:val="18"/>
                <w:szCs w:val="18"/>
              </w:rPr>
              <w:t>%</w:t>
            </w:r>
          </w:p>
        </w:tc>
        <w:tc>
          <w:tcPr>
            <w:tcW w:w="2250" w:type="dxa"/>
            <w:tcBorders>
              <w:left w:val="thinThickThinSmallGap" w:sz="24" w:space="0" w:color="auto"/>
            </w:tcBorders>
            <w:shd w:val="clear" w:color="auto" w:fill="FFFFFF" w:themeFill="background1"/>
            <w:vAlign w:val="center"/>
          </w:tcPr>
          <w:p w:rsidR="00BC5860" w:rsidRPr="00446741" w:rsidRDefault="00B603C6" w:rsidP="005716C8">
            <w:pPr>
              <w:spacing w:line="180" w:lineRule="exact"/>
              <w:contextualSpacing/>
              <w:jc w:val="left"/>
              <w:rPr>
                <w:rFonts w:ascii="Calibri" w:eastAsia="Times New Roman" w:hAnsi="Calibri" w:cs="Calibri"/>
                <w:color w:val="auto"/>
                <w:sz w:val="18"/>
                <w:szCs w:val="18"/>
              </w:rPr>
            </w:pPr>
            <w:r w:rsidRPr="00446741">
              <w:rPr>
                <w:rFonts w:ascii="Calibri" w:hAnsi="Calibri" w:cs="Calibri"/>
                <w:color w:val="auto"/>
                <w:sz w:val="18"/>
                <w:szCs w:val="18"/>
              </w:rPr>
              <w:t>R</w:t>
            </w:r>
            <w:r w:rsidR="005028A9" w:rsidRPr="00446741">
              <w:rPr>
                <w:rFonts w:ascii="Calibri" w:hAnsi="Calibri" w:cs="Calibri"/>
                <w:color w:val="auto"/>
                <w:sz w:val="18"/>
                <w:szCs w:val="18"/>
              </w:rPr>
              <w:t xml:space="preserve"> </w:t>
            </w:r>
            <w:r w:rsidR="00A03E6C" w:rsidRPr="00446741">
              <w:rPr>
                <w:rFonts w:ascii="Calibri" w:hAnsi="Calibri" w:cs="Calibri"/>
                <w:color w:val="auto"/>
                <w:sz w:val="18"/>
                <w:szCs w:val="18"/>
              </w:rPr>
              <w:t>Knee Strain</w:t>
            </w:r>
          </w:p>
        </w:tc>
        <w:tc>
          <w:tcPr>
            <w:tcW w:w="1080" w:type="dxa"/>
            <w:shd w:val="clear" w:color="auto" w:fill="FFFFFF" w:themeFill="background1"/>
            <w:vAlign w:val="center"/>
          </w:tcPr>
          <w:p w:rsidR="00BC5860" w:rsidRPr="00446741" w:rsidRDefault="005028A9" w:rsidP="005716C8">
            <w:pPr>
              <w:spacing w:line="180" w:lineRule="exact"/>
              <w:contextualSpacing/>
              <w:rPr>
                <w:rFonts w:ascii="Calibri" w:eastAsia="Times New Roman" w:hAnsi="Calibri" w:cs="Calibri"/>
                <w:color w:val="auto"/>
                <w:sz w:val="18"/>
                <w:szCs w:val="18"/>
              </w:rPr>
            </w:pPr>
            <w:r w:rsidRPr="00446741">
              <w:rPr>
                <w:rFonts w:ascii="Calibri" w:hAnsi="Calibri" w:cs="Calibri"/>
                <w:color w:val="auto"/>
                <w:sz w:val="18"/>
                <w:szCs w:val="18"/>
              </w:rPr>
              <w:t>5260</w:t>
            </w:r>
          </w:p>
        </w:tc>
        <w:tc>
          <w:tcPr>
            <w:tcW w:w="720" w:type="dxa"/>
            <w:shd w:val="clear" w:color="auto" w:fill="FFFFFF" w:themeFill="background1"/>
            <w:vAlign w:val="center"/>
          </w:tcPr>
          <w:p w:rsidR="00BC5860" w:rsidRPr="00446741" w:rsidRDefault="005028A9" w:rsidP="005716C8">
            <w:pPr>
              <w:spacing w:line="180" w:lineRule="exact"/>
              <w:contextualSpacing/>
              <w:rPr>
                <w:rFonts w:ascii="Calibri" w:eastAsia="Times New Roman" w:hAnsi="Calibri" w:cs="Calibri"/>
                <w:color w:val="auto"/>
                <w:sz w:val="18"/>
                <w:szCs w:val="18"/>
              </w:rPr>
            </w:pPr>
            <w:r w:rsidRPr="00446741">
              <w:rPr>
                <w:rFonts w:ascii="Calibri" w:hAnsi="Calibri" w:cs="Calibri"/>
                <w:color w:val="auto"/>
                <w:sz w:val="18"/>
                <w:szCs w:val="18"/>
              </w:rPr>
              <w:t>10</w:t>
            </w:r>
            <w:r w:rsidR="00C03C21" w:rsidRPr="00446741">
              <w:rPr>
                <w:rFonts w:ascii="Calibri" w:hAnsi="Calibri" w:cs="Calibri"/>
                <w:color w:val="auto"/>
                <w:sz w:val="18"/>
                <w:szCs w:val="18"/>
              </w:rPr>
              <w:t>%</w:t>
            </w:r>
          </w:p>
        </w:tc>
        <w:tc>
          <w:tcPr>
            <w:tcW w:w="954" w:type="dxa"/>
            <w:shd w:val="clear" w:color="auto" w:fill="FFFFFF" w:themeFill="background1"/>
            <w:vAlign w:val="center"/>
          </w:tcPr>
          <w:p w:rsidR="00BC5860" w:rsidRPr="00446741" w:rsidRDefault="00C03C21" w:rsidP="005716C8">
            <w:pPr>
              <w:spacing w:line="180" w:lineRule="exact"/>
              <w:contextualSpacing/>
              <w:rPr>
                <w:rFonts w:ascii="Calibri" w:eastAsia="Times New Roman" w:hAnsi="Calibri" w:cs="Calibri"/>
                <w:color w:val="auto"/>
                <w:sz w:val="18"/>
                <w:szCs w:val="18"/>
              </w:rPr>
            </w:pPr>
            <w:r w:rsidRPr="00446741">
              <w:rPr>
                <w:rFonts w:ascii="Calibri" w:hAnsi="Calibri" w:cs="Calibri"/>
                <w:color w:val="auto"/>
                <w:sz w:val="18"/>
                <w:szCs w:val="18"/>
              </w:rPr>
              <w:t>200</w:t>
            </w:r>
            <w:r w:rsidR="00120E04" w:rsidRPr="00446741">
              <w:rPr>
                <w:rFonts w:ascii="Calibri" w:hAnsi="Calibri" w:cs="Calibri"/>
                <w:color w:val="auto"/>
                <w:sz w:val="18"/>
                <w:szCs w:val="18"/>
              </w:rPr>
              <w:t>705</w:t>
            </w:r>
            <w:r w:rsidR="00D96C6D" w:rsidRPr="00446741">
              <w:rPr>
                <w:rFonts w:ascii="Calibri" w:hAnsi="Calibri" w:cs="Calibri"/>
                <w:color w:val="auto"/>
                <w:sz w:val="18"/>
                <w:szCs w:val="18"/>
              </w:rPr>
              <w:t>25</w:t>
            </w:r>
          </w:p>
        </w:tc>
      </w:tr>
      <w:tr w:rsidR="00A03E6C" w:rsidRPr="00446741" w:rsidTr="005716C8">
        <w:trPr>
          <w:trHeight w:val="287"/>
          <w:jc w:val="center"/>
        </w:trPr>
        <w:tc>
          <w:tcPr>
            <w:tcW w:w="2461" w:type="dxa"/>
            <w:tcBorders>
              <w:right w:val="single" w:sz="4" w:space="0" w:color="auto"/>
            </w:tcBorders>
            <w:shd w:val="clear" w:color="auto" w:fill="FFFFFF" w:themeFill="background1"/>
            <w:vAlign w:val="center"/>
          </w:tcPr>
          <w:p w:rsidR="00A03E6C" w:rsidRPr="00446741" w:rsidRDefault="00A03E6C" w:rsidP="005716C8">
            <w:pPr>
              <w:spacing w:line="180" w:lineRule="exact"/>
              <w:contextualSpacing/>
              <w:jc w:val="left"/>
              <w:rPr>
                <w:rFonts w:cs="Calibri"/>
                <w:color w:val="auto"/>
                <w:sz w:val="18"/>
                <w:szCs w:val="18"/>
              </w:rPr>
            </w:pPr>
            <w:r w:rsidRPr="00446741">
              <w:rPr>
                <w:rFonts w:ascii="Calibri" w:hAnsi="Calibri" w:cs="Calibri"/>
                <w:color w:val="auto"/>
                <w:sz w:val="18"/>
                <w:szCs w:val="18"/>
              </w:rPr>
              <w:t>Facial Neur</w:t>
            </w:r>
            <w:r w:rsidR="002F7C9F" w:rsidRPr="00446741">
              <w:rPr>
                <w:rFonts w:ascii="Calibri" w:hAnsi="Calibri" w:cs="Calibri"/>
                <w:color w:val="auto"/>
                <w:sz w:val="18"/>
                <w:szCs w:val="18"/>
              </w:rPr>
              <w:t>a</w:t>
            </w:r>
            <w:r w:rsidRPr="00446741">
              <w:rPr>
                <w:rFonts w:ascii="Calibri" w:hAnsi="Calibri" w:cs="Calibri"/>
                <w:color w:val="auto"/>
                <w:sz w:val="18"/>
                <w:szCs w:val="18"/>
              </w:rPr>
              <w:t>lgia</w:t>
            </w:r>
          </w:p>
        </w:tc>
        <w:tc>
          <w:tcPr>
            <w:tcW w:w="1890" w:type="dxa"/>
            <w:gridSpan w:val="2"/>
            <w:tcBorders>
              <w:left w:val="single" w:sz="4" w:space="0" w:color="auto"/>
              <w:right w:val="thinThickThinSmallGap" w:sz="24" w:space="0" w:color="auto"/>
            </w:tcBorders>
            <w:shd w:val="clear" w:color="auto" w:fill="FFFFFF" w:themeFill="background1"/>
            <w:vAlign w:val="center"/>
          </w:tcPr>
          <w:p w:rsidR="00A03E6C" w:rsidRPr="00446741" w:rsidRDefault="00A03E6C" w:rsidP="005716C8">
            <w:pPr>
              <w:spacing w:line="180" w:lineRule="exact"/>
              <w:rPr>
                <w:rFonts w:cs="Calibri"/>
                <w:color w:val="auto"/>
                <w:sz w:val="18"/>
                <w:szCs w:val="18"/>
              </w:rPr>
            </w:pPr>
            <w:r w:rsidRPr="00446741">
              <w:rPr>
                <w:rFonts w:cs="Calibri"/>
                <w:color w:val="auto"/>
                <w:sz w:val="18"/>
                <w:szCs w:val="18"/>
              </w:rPr>
              <w:t>Not Unfitting</w:t>
            </w:r>
          </w:p>
        </w:tc>
        <w:tc>
          <w:tcPr>
            <w:tcW w:w="2250" w:type="dxa"/>
            <w:tcBorders>
              <w:left w:val="thinThickThinSmallGap" w:sz="24" w:space="0" w:color="auto"/>
            </w:tcBorders>
            <w:shd w:val="clear" w:color="auto" w:fill="FFFFFF" w:themeFill="background1"/>
            <w:vAlign w:val="center"/>
          </w:tcPr>
          <w:p w:rsidR="00A03E6C" w:rsidRPr="00446741" w:rsidRDefault="00A03E6C" w:rsidP="005716C8">
            <w:pPr>
              <w:spacing w:line="180" w:lineRule="exact"/>
              <w:contextualSpacing/>
              <w:jc w:val="left"/>
              <w:rPr>
                <w:rFonts w:ascii="Calibri" w:eastAsia="Times New Roman" w:hAnsi="Calibri" w:cs="Calibri"/>
                <w:color w:val="auto"/>
                <w:sz w:val="18"/>
                <w:szCs w:val="18"/>
              </w:rPr>
            </w:pPr>
            <w:r w:rsidRPr="00446741">
              <w:rPr>
                <w:rFonts w:ascii="Calibri" w:eastAsia="Times New Roman" w:hAnsi="Calibri" w:cs="Calibri"/>
                <w:color w:val="auto"/>
                <w:sz w:val="18"/>
                <w:szCs w:val="18"/>
              </w:rPr>
              <w:t xml:space="preserve">Neuropathy, R Side </w:t>
            </w:r>
            <w:r w:rsidR="00D81250" w:rsidRPr="00446741">
              <w:rPr>
                <w:rFonts w:ascii="Calibri" w:eastAsia="Times New Roman" w:hAnsi="Calibri" w:cs="Calibri"/>
                <w:color w:val="auto"/>
                <w:sz w:val="18"/>
                <w:szCs w:val="18"/>
              </w:rPr>
              <w:t>o</w:t>
            </w:r>
            <w:r w:rsidRPr="00446741">
              <w:rPr>
                <w:rFonts w:ascii="Calibri" w:eastAsia="Times New Roman" w:hAnsi="Calibri" w:cs="Calibri"/>
                <w:color w:val="auto"/>
                <w:sz w:val="18"/>
                <w:szCs w:val="18"/>
              </w:rPr>
              <w:t>f Face</w:t>
            </w:r>
          </w:p>
        </w:tc>
        <w:tc>
          <w:tcPr>
            <w:tcW w:w="1080" w:type="dxa"/>
            <w:shd w:val="clear" w:color="auto" w:fill="FFFFFF" w:themeFill="background1"/>
            <w:vAlign w:val="center"/>
          </w:tcPr>
          <w:p w:rsidR="00A03E6C" w:rsidRPr="00446741" w:rsidRDefault="00A03E6C" w:rsidP="005716C8">
            <w:pPr>
              <w:spacing w:line="180" w:lineRule="exact"/>
              <w:contextualSpacing/>
              <w:rPr>
                <w:rFonts w:ascii="Calibri" w:eastAsia="Times New Roman" w:hAnsi="Calibri" w:cs="Calibri"/>
                <w:color w:val="auto"/>
                <w:sz w:val="18"/>
                <w:szCs w:val="18"/>
              </w:rPr>
            </w:pPr>
            <w:r w:rsidRPr="00446741">
              <w:rPr>
                <w:rFonts w:ascii="Calibri" w:eastAsia="Times New Roman" w:hAnsi="Calibri" w:cs="Calibri"/>
                <w:color w:val="auto"/>
                <w:sz w:val="18"/>
                <w:szCs w:val="18"/>
              </w:rPr>
              <w:t>8299-8207</w:t>
            </w:r>
          </w:p>
        </w:tc>
        <w:tc>
          <w:tcPr>
            <w:tcW w:w="720" w:type="dxa"/>
            <w:shd w:val="clear" w:color="auto" w:fill="FFFFFF" w:themeFill="background1"/>
            <w:vAlign w:val="center"/>
          </w:tcPr>
          <w:p w:rsidR="00A03E6C" w:rsidRPr="00446741" w:rsidRDefault="00A03E6C" w:rsidP="005716C8">
            <w:pPr>
              <w:spacing w:line="180" w:lineRule="exact"/>
              <w:contextualSpacing/>
              <w:rPr>
                <w:rFonts w:ascii="Calibri" w:eastAsia="Times New Roman" w:hAnsi="Calibri" w:cs="Calibri"/>
                <w:color w:val="auto"/>
                <w:sz w:val="18"/>
                <w:szCs w:val="18"/>
              </w:rPr>
            </w:pPr>
            <w:r w:rsidRPr="00446741">
              <w:rPr>
                <w:rFonts w:ascii="Calibri" w:eastAsia="Times New Roman" w:hAnsi="Calibri" w:cs="Calibri"/>
                <w:color w:val="auto"/>
                <w:sz w:val="18"/>
                <w:szCs w:val="18"/>
              </w:rPr>
              <w:t>10%</w:t>
            </w:r>
          </w:p>
        </w:tc>
        <w:tc>
          <w:tcPr>
            <w:tcW w:w="954" w:type="dxa"/>
            <w:shd w:val="clear" w:color="auto" w:fill="FFFFFF" w:themeFill="background1"/>
            <w:vAlign w:val="center"/>
          </w:tcPr>
          <w:p w:rsidR="00A03E6C" w:rsidRPr="00446741" w:rsidRDefault="00A03E6C" w:rsidP="005716C8">
            <w:pPr>
              <w:spacing w:line="180" w:lineRule="exact"/>
              <w:contextualSpacing/>
              <w:rPr>
                <w:rFonts w:ascii="Calibri" w:eastAsia="Times New Roman" w:hAnsi="Calibri" w:cs="Calibri"/>
                <w:color w:val="auto"/>
                <w:sz w:val="18"/>
                <w:szCs w:val="18"/>
              </w:rPr>
            </w:pPr>
            <w:r w:rsidRPr="00446741">
              <w:rPr>
                <w:rFonts w:ascii="Calibri" w:eastAsia="Times New Roman" w:hAnsi="Calibri" w:cs="Calibri"/>
                <w:color w:val="auto"/>
                <w:sz w:val="18"/>
                <w:szCs w:val="18"/>
              </w:rPr>
              <w:t>20070514</w:t>
            </w:r>
          </w:p>
        </w:tc>
      </w:tr>
      <w:tr w:rsidR="00A03E6C" w:rsidRPr="00446741" w:rsidTr="005716C8">
        <w:trPr>
          <w:trHeight w:val="287"/>
          <w:jc w:val="center"/>
        </w:trPr>
        <w:tc>
          <w:tcPr>
            <w:tcW w:w="2461" w:type="dxa"/>
            <w:tcBorders>
              <w:right w:val="single" w:sz="4" w:space="0" w:color="auto"/>
            </w:tcBorders>
            <w:shd w:val="clear" w:color="auto" w:fill="FFFFFF" w:themeFill="background1"/>
            <w:vAlign w:val="center"/>
          </w:tcPr>
          <w:p w:rsidR="00A03E6C" w:rsidRPr="00446741" w:rsidRDefault="00A03E6C" w:rsidP="005716C8">
            <w:pPr>
              <w:spacing w:line="180" w:lineRule="exact"/>
              <w:contextualSpacing/>
              <w:jc w:val="left"/>
              <w:rPr>
                <w:rFonts w:cs="Calibri"/>
                <w:color w:val="auto"/>
                <w:sz w:val="18"/>
                <w:szCs w:val="18"/>
              </w:rPr>
            </w:pPr>
            <w:r w:rsidRPr="00446741">
              <w:rPr>
                <w:rFonts w:ascii="Calibri" w:hAnsi="Calibri" w:cs="Calibri"/>
                <w:color w:val="auto"/>
                <w:sz w:val="18"/>
                <w:szCs w:val="18"/>
              </w:rPr>
              <w:t>Migraine Headaches</w:t>
            </w:r>
          </w:p>
        </w:tc>
        <w:tc>
          <w:tcPr>
            <w:tcW w:w="1890" w:type="dxa"/>
            <w:gridSpan w:val="2"/>
            <w:tcBorders>
              <w:left w:val="single" w:sz="4" w:space="0" w:color="auto"/>
              <w:right w:val="thinThickThinSmallGap" w:sz="24" w:space="0" w:color="auto"/>
            </w:tcBorders>
            <w:shd w:val="clear" w:color="auto" w:fill="FFFFFF" w:themeFill="background1"/>
            <w:vAlign w:val="center"/>
          </w:tcPr>
          <w:p w:rsidR="00A03E6C" w:rsidRPr="00446741" w:rsidRDefault="005716C8" w:rsidP="005716C8">
            <w:pPr>
              <w:spacing w:line="180" w:lineRule="exact"/>
              <w:rPr>
                <w:rFonts w:cs="Calibri"/>
                <w:color w:val="auto"/>
                <w:sz w:val="18"/>
                <w:szCs w:val="18"/>
              </w:rPr>
            </w:pPr>
            <w:r w:rsidRPr="00446741">
              <w:rPr>
                <w:rFonts w:cs="Calibri"/>
                <w:color w:val="auto"/>
                <w:sz w:val="18"/>
                <w:szCs w:val="18"/>
              </w:rPr>
              <w:t>Not Unfitting</w:t>
            </w:r>
          </w:p>
        </w:tc>
        <w:tc>
          <w:tcPr>
            <w:tcW w:w="2250" w:type="dxa"/>
            <w:tcBorders>
              <w:left w:val="thinThickThinSmallGap" w:sz="24" w:space="0" w:color="auto"/>
            </w:tcBorders>
            <w:shd w:val="clear" w:color="auto" w:fill="FFFFFF" w:themeFill="background1"/>
            <w:vAlign w:val="center"/>
          </w:tcPr>
          <w:p w:rsidR="00A03E6C" w:rsidRPr="00446741" w:rsidRDefault="00A03E6C" w:rsidP="005716C8">
            <w:pPr>
              <w:spacing w:line="180" w:lineRule="exact"/>
              <w:contextualSpacing/>
              <w:jc w:val="left"/>
              <w:rPr>
                <w:rFonts w:cs="Calibri"/>
                <w:color w:val="auto"/>
                <w:sz w:val="18"/>
                <w:szCs w:val="18"/>
              </w:rPr>
            </w:pPr>
            <w:r w:rsidRPr="00446741">
              <w:rPr>
                <w:rFonts w:cs="Calibri"/>
                <w:color w:val="auto"/>
                <w:sz w:val="18"/>
                <w:szCs w:val="18"/>
              </w:rPr>
              <w:t>Migraine Headaches</w:t>
            </w:r>
          </w:p>
        </w:tc>
        <w:tc>
          <w:tcPr>
            <w:tcW w:w="1080" w:type="dxa"/>
            <w:shd w:val="clear" w:color="auto" w:fill="FFFFFF" w:themeFill="background1"/>
            <w:vAlign w:val="center"/>
          </w:tcPr>
          <w:p w:rsidR="00A03E6C" w:rsidRPr="00446741" w:rsidRDefault="00A03E6C" w:rsidP="005716C8">
            <w:pPr>
              <w:spacing w:line="180" w:lineRule="exact"/>
              <w:contextualSpacing/>
              <w:rPr>
                <w:rFonts w:cs="Calibri"/>
                <w:color w:val="auto"/>
                <w:sz w:val="18"/>
                <w:szCs w:val="18"/>
              </w:rPr>
            </w:pPr>
            <w:r w:rsidRPr="00446741">
              <w:rPr>
                <w:rFonts w:cs="Calibri"/>
                <w:color w:val="auto"/>
                <w:sz w:val="18"/>
                <w:szCs w:val="18"/>
              </w:rPr>
              <w:t>8100</w:t>
            </w:r>
          </w:p>
        </w:tc>
        <w:tc>
          <w:tcPr>
            <w:tcW w:w="720" w:type="dxa"/>
            <w:shd w:val="clear" w:color="auto" w:fill="FFFFFF" w:themeFill="background1"/>
            <w:vAlign w:val="center"/>
          </w:tcPr>
          <w:p w:rsidR="00A03E6C" w:rsidRPr="00446741" w:rsidRDefault="00A03E6C" w:rsidP="005716C8">
            <w:pPr>
              <w:spacing w:line="180" w:lineRule="exact"/>
              <w:contextualSpacing/>
              <w:rPr>
                <w:rFonts w:cs="Calibri"/>
                <w:color w:val="auto"/>
                <w:sz w:val="18"/>
                <w:szCs w:val="18"/>
              </w:rPr>
            </w:pPr>
            <w:r w:rsidRPr="00446741">
              <w:rPr>
                <w:rFonts w:cs="Calibri"/>
                <w:color w:val="auto"/>
                <w:sz w:val="18"/>
                <w:szCs w:val="18"/>
              </w:rPr>
              <w:t>0%</w:t>
            </w:r>
          </w:p>
        </w:tc>
        <w:tc>
          <w:tcPr>
            <w:tcW w:w="954" w:type="dxa"/>
            <w:shd w:val="clear" w:color="auto" w:fill="FFFFFF" w:themeFill="background1"/>
            <w:vAlign w:val="center"/>
          </w:tcPr>
          <w:p w:rsidR="00A03E6C" w:rsidRPr="00446741" w:rsidRDefault="00F854FE" w:rsidP="005716C8">
            <w:pPr>
              <w:spacing w:line="180" w:lineRule="exact"/>
              <w:contextualSpacing/>
              <w:rPr>
                <w:rFonts w:cs="Calibri"/>
                <w:color w:val="auto"/>
                <w:sz w:val="18"/>
                <w:szCs w:val="18"/>
              </w:rPr>
            </w:pPr>
            <w:r w:rsidRPr="00446741">
              <w:rPr>
                <w:rFonts w:cs="Calibri"/>
                <w:color w:val="auto"/>
                <w:sz w:val="18"/>
                <w:szCs w:val="18"/>
              </w:rPr>
              <w:t>20070511</w:t>
            </w:r>
          </w:p>
        </w:tc>
      </w:tr>
      <w:tr w:rsidR="00A03E6C" w:rsidRPr="00446741" w:rsidTr="005716C8">
        <w:trPr>
          <w:trHeight w:val="287"/>
          <w:jc w:val="center"/>
        </w:trPr>
        <w:tc>
          <w:tcPr>
            <w:tcW w:w="2461" w:type="dxa"/>
            <w:tcBorders>
              <w:right w:val="single" w:sz="4" w:space="0" w:color="auto"/>
            </w:tcBorders>
            <w:shd w:val="clear" w:color="auto" w:fill="FFFFFF" w:themeFill="background1"/>
            <w:vAlign w:val="center"/>
          </w:tcPr>
          <w:p w:rsidR="00A03E6C" w:rsidRPr="00446741" w:rsidRDefault="00A03E6C" w:rsidP="005716C8">
            <w:pPr>
              <w:spacing w:line="180" w:lineRule="exact"/>
              <w:contextualSpacing/>
              <w:jc w:val="left"/>
              <w:rPr>
                <w:rFonts w:cs="Calibri"/>
                <w:color w:val="auto"/>
                <w:sz w:val="18"/>
                <w:szCs w:val="18"/>
              </w:rPr>
            </w:pPr>
            <w:r w:rsidRPr="00446741">
              <w:rPr>
                <w:rFonts w:cs="Calibri"/>
                <w:color w:val="auto"/>
                <w:sz w:val="18"/>
                <w:szCs w:val="18"/>
              </w:rPr>
              <w:t xml:space="preserve">Mild </w:t>
            </w:r>
            <w:r w:rsidR="005716C8" w:rsidRPr="00446741">
              <w:rPr>
                <w:rFonts w:cs="Calibri"/>
                <w:color w:val="auto"/>
                <w:sz w:val="18"/>
                <w:szCs w:val="18"/>
              </w:rPr>
              <w:t>S/N</w:t>
            </w:r>
            <w:r w:rsidRPr="00446741">
              <w:rPr>
                <w:rFonts w:cs="Calibri"/>
                <w:color w:val="auto"/>
                <w:sz w:val="18"/>
                <w:szCs w:val="18"/>
              </w:rPr>
              <w:t xml:space="preserve"> Hearing Loss, R Ear</w:t>
            </w:r>
          </w:p>
        </w:tc>
        <w:tc>
          <w:tcPr>
            <w:tcW w:w="1890" w:type="dxa"/>
            <w:gridSpan w:val="2"/>
            <w:tcBorders>
              <w:left w:val="single" w:sz="4" w:space="0" w:color="auto"/>
              <w:right w:val="thinThickThinSmallGap" w:sz="24" w:space="0" w:color="auto"/>
            </w:tcBorders>
            <w:shd w:val="clear" w:color="auto" w:fill="FFFFFF" w:themeFill="background1"/>
            <w:vAlign w:val="center"/>
          </w:tcPr>
          <w:p w:rsidR="00A03E6C" w:rsidRPr="00446741" w:rsidRDefault="005716C8" w:rsidP="005716C8">
            <w:pPr>
              <w:spacing w:line="180" w:lineRule="exact"/>
              <w:rPr>
                <w:rFonts w:cs="Calibri"/>
                <w:color w:val="auto"/>
                <w:sz w:val="18"/>
                <w:szCs w:val="18"/>
              </w:rPr>
            </w:pPr>
            <w:r w:rsidRPr="00446741">
              <w:rPr>
                <w:rFonts w:cs="Calibri"/>
                <w:color w:val="auto"/>
                <w:sz w:val="18"/>
                <w:szCs w:val="18"/>
              </w:rPr>
              <w:t>Not Unfitting</w:t>
            </w:r>
          </w:p>
        </w:tc>
        <w:tc>
          <w:tcPr>
            <w:tcW w:w="2250" w:type="dxa"/>
            <w:tcBorders>
              <w:left w:val="thinThickThinSmallGap" w:sz="24" w:space="0" w:color="auto"/>
            </w:tcBorders>
            <w:shd w:val="clear" w:color="auto" w:fill="FFFFFF" w:themeFill="background1"/>
            <w:vAlign w:val="center"/>
          </w:tcPr>
          <w:p w:rsidR="00A03E6C" w:rsidRPr="00446741" w:rsidRDefault="00A03E6C" w:rsidP="005716C8">
            <w:pPr>
              <w:spacing w:line="180" w:lineRule="exact"/>
              <w:contextualSpacing/>
              <w:jc w:val="left"/>
              <w:rPr>
                <w:rFonts w:cs="Calibri"/>
                <w:color w:val="auto"/>
                <w:sz w:val="18"/>
                <w:szCs w:val="18"/>
              </w:rPr>
            </w:pPr>
            <w:r w:rsidRPr="00446741">
              <w:rPr>
                <w:rFonts w:cs="Calibri"/>
                <w:color w:val="auto"/>
                <w:sz w:val="18"/>
                <w:szCs w:val="18"/>
              </w:rPr>
              <w:t>Hearing Loss R Ear</w:t>
            </w:r>
          </w:p>
        </w:tc>
        <w:tc>
          <w:tcPr>
            <w:tcW w:w="1080" w:type="dxa"/>
            <w:shd w:val="clear" w:color="auto" w:fill="FFFFFF" w:themeFill="background1"/>
            <w:vAlign w:val="center"/>
          </w:tcPr>
          <w:p w:rsidR="00A03E6C" w:rsidRPr="00446741" w:rsidRDefault="00A03E6C" w:rsidP="005716C8">
            <w:pPr>
              <w:spacing w:line="180" w:lineRule="exact"/>
              <w:contextualSpacing/>
              <w:rPr>
                <w:rFonts w:cs="Calibri"/>
                <w:color w:val="auto"/>
                <w:sz w:val="18"/>
                <w:szCs w:val="18"/>
              </w:rPr>
            </w:pPr>
            <w:r w:rsidRPr="00446741">
              <w:rPr>
                <w:rFonts w:cs="Calibri"/>
                <w:color w:val="auto"/>
                <w:sz w:val="18"/>
                <w:szCs w:val="18"/>
              </w:rPr>
              <w:t>6100</w:t>
            </w:r>
          </w:p>
        </w:tc>
        <w:tc>
          <w:tcPr>
            <w:tcW w:w="720" w:type="dxa"/>
            <w:shd w:val="clear" w:color="auto" w:fill="FFFFFF" w:themeFill="background1"/>
            <w:vAlign w:val="center"/>
          </w:tcPr>
          <w:p w:rsidR="00A03E6C" w:rsidRPr="00446741" w:rsidRDefault="00A03E6C" w:rsidP="005716C8">
            <w:pPr>
              <w:spacing w:line="180" w:lineRule="exact"/>
              <w:contextualSpacing/>
              <w:rPr>
                <w:rFonts w:cs="Calibri"/>
                <w:color w:val="auto"/>
                <w:sz w:val="18"/>
                <w:szCs w:val="18"/>
              </w:rPr>
            </w:pPr>
            <w:r w:rsidRPr="00446741">
              <w:rPr>
                <w:rFonts w:cs="Calibri"/>
                <w:color w:val="auto"/>
                <w:sz w:val="18"/>
                <w:szCs w:val="18"/>
              </w:rPr>
              <w:t>0%</w:t>
            </w:r>
          </w:p>
        </w:tc>
        <w:tc>
          <w:tcPr>
            <w:tcW w:w="954" w:type="dxa"/>
            <w:shd w:val="clear" w:color="auto" w:fill="FFFFFF" w:themeFill="background1"/>
            <w:vAlign w:val="center"/>
          </w:tcPr>
          <w:p w:rsidR="00A03E6C" w:rsidRPr="00446741" w:rsidRDefault="00F854FE" w:rsidP="005716C8">
            <w:pPr>
              <w:spacing w:line="180" w:lineRule="exact"/>
              <w:contextualSpacing/>
              <w:rPr>
                <w:rFonts w:cs="Calibri"/>
                <w:color w:val="auto"/>
                <w:sz w:val="18"/>
                <w:szCs w:val="18"/>
              </w:rPr>
            </w:pPr>
            <w:r w:rsidRPr="00446741">
              <w:rPr>
                <w:rFonts w:cs="Calibri"/>
                <w:color w:val="auto"/>
                <w:sz w:val="18"/>
                <w:szCs w:val="18"/>
              </w:rPr>
              <w:t>20070605</w:t>
            </w:r>
          </w:p>
        </w:tc>
      </w:tr>
      <w:tr w:rsidR="00F854FE" w:rsidRPr="00446741" w:rsidTr="005716C8">
        <w:trPr>
          <w:trHeight w:val="287"/>
          <w:jc w:val="center"/>
        </w:trPr>
        <w:tc>
          <w:tcPr>
            <w:tcW w:w="4351" w:type="dxa"/>
            <w:gridSpan w:val="3"/>
            <w:vMerge w:val="restart"/>
            <w:tcBorders>
              <w:right w:val="thinThickThinSmallGap" w:sz="24" w:space="0" w:color="auto"/>
            </w:tcBorders>
            <w:shd w:val="clear" w:color="auto" w:fill="FFFFFF" w:themeFill="background1"/>
            <w:vAlign w:val="center"/>
          </w:tcPr>
          <w:p w:rsidR="00F854FE" w:rsidRPr="00446741" w:rsidRDefault="00F854FE" w:rsidP="005716C8">
            <w:pPr>
              <w:spacing w:line="180" w:lineRule="exact"/>
              <w:contextualSpacing/>
              <w:rPr>
                <w:rFonts w:ascii="Calibri" w:eastAsia="Times New Roman" w:hAnsi="Calibri" w:cs="Calibri"/>
                <w:color w:val="auto"/>
                <w:sz w:val="18"/>
                <w:szCs w:val="18"/>
              </w:rPr>
            </w:pPr>
            <w:r w:rsidRPr="00446741">
              <w:rPr>
                <w:rFonts w:ascii="Calibri" w:hAnsi="Calibri" w:cs="Calibri"/>
                <w:color w:val="auto"/>
                <w:sz w:val="18"/>
                <w:szCs w:val="18"/>
              </w:rPr>
              <w:t>↓No Additional MEB/PEB Entries↓</w:t>
            </w:r>
          </w:p>
        </w:tc>
        <w:tc>
          <w:tcPr>
            <w:tcW w:w="2250" w:type="dxa"/>
            <w:tcBorders>
              <w:left w:val="thinThickThinSmallGap" w:sz="24" w:space="0" w:color="auto"/>
              <w:right w:val="single" w:sz="4" w:space="0" w:color="auto"/>
            </w:tcBorders>
            <w:shd w:val="clear" w:color="auto" w:fill="FFFFFF" w:themeFill="background1"/>
            <w:vAlign w:val="center"/>
          </w:tcPr>
          <w:p w:rsidR="00F854FE" w:rsidRPr="00446741" w:rsidRDefault="00B603C6" w:rsidP="005716C8">
            <w:pPr>
              <w:spacing w:line="180" w:lineRule="exact"/>
              <w:contextualSpacing/>
              <w:jc w:val="left"/>
              <w:rPr>
                <w:rFonts w:ascii="Calibri" w:eastAsia="Times New Roman" w:hAnsi="Calibri" w:cs="Calibri"/>
                <w:color w:val="auto"/>
                <w:sz w:val="18"/>
                <w:szCs w:val="18"/>
              </w:rPr>
            </w:pPr>
            <w:r w:rsidRPr="00446741">
              <w:rPr>
                <w:rFonts w:ascii="Calibri" w:hAnsi="Calibri" w:cs="Calibri"/>
                <w:color w:val="auto"/>
                <w:sz w:val="18"/>
                <w:szCs w:val="18"/>
              </w:rPr>
              <w:t>R</w:t>
            </w:r>
            <w:r w:rsidR="00F854FE" w:rsidRPr="00446741">
              <w:rPr>
                <w:rFonts w:ascii="Calibri" w:hAnsi="Calibri" w:cs="Calibri"/>
                <w:color w:val="auto"/>
                <w:sz w:val="18"/>
                <w:szCs w:val="18"/>
              </w:rPr>
              <w:t xml:space="preserve"> Shoulder Sprain</w:t>
            </w:r>
          </w:p>
        </w:tc>
        <w:tc>
          <w:tcPr>
            <w:tcW w:w="1080" w:type="dxa"/>
            <w:tcBorders>
              <w:left w:val="single" w:sz="4" w:space="0" w:color="auto"/>
            </w:tcBorders>
            <w:shd w:val="clear" w:color="auto" w:fill="FFFFFF" w:themeFill="background1"/>
            <w:vAlign w:val="center"/>
          </w:tcPr>
          <w:p w:rsidR="00F854FE" w:rsidRPr="00446741" w:rsidRDefault="00F854FE" w:rsidP="005716C8">
            <w:pPr>
              <w:spacing w:line="180" w:lineRule="exact"/>
              <w:contextualSpacing/>
              <w:rPr>
                <w:rFonts w:ascii="Calibri" w:eastAsia="Times New Roman" w:hAnsi="Calibri" w:cs="Calibri"/>
                <w:color w:val="auto"/>
                <w:sz w:val="18"/>
                <w:szCs w:val="18"/>
              </w:rPr>
            </w:pPr>
            <w:r w:rsidRPr="00446741">
              <w:rPr>
                <w:rFonts w:ascii="Calibri" w:hAnsi="Calibri" w:cs="Calibri"/>
                <w:color w:val="auto"/>
                <w:sz w:val="18"/>
                <w:szCs w:val="18"/>
              </w:rPr>
              <w:t>5203</w:t>
            </w:r>
          </w:p>
        </w:tc>
        <w:tc>
          <w:tcPr>
            <w:tcW w:w="720" w:type="dxa"/>
            <w:shd w:val="clear" w:color="auto" w:fill="FFFFFF" w:themeFill="background1"/>
            <w:vAlign w:val="center"/>
          </w:tcPr>
          <w:p w:rsidR="00F854FE" w:rsidRPr="00446741" w:rsidRDefault="00F854FE" w:rsidP="005716C8">
            <w:pPr>
              <w:spacing w:line="180" w:lineRule="exact"/>
              <w:contextualSpacing/>
              <w:rPr>
                <w:rFonts w:ascii="Calibri" w:eastAsia="Times New Roman" w:hAnsi="Calibri" w:cs="Calibri"/>
                <w:color w:val="auto"/>
                <w:sz w:val="18"/>
                <w:szCs w:val="18"/>
              </w:rPr>
            </w:pPr>
            <w:r w:rsidRPr="00446741">
              <w:rPr>
                <w:rFonts w:ascii="Calibri" w:hAnsi="Calibri" w:cs="Calibri"/>
                <w:color w:val="auto"/>
                <w:sz w:val="18"/>
                <w:szCs w:val="18"/>
              </w:rPr>
              <w:t>10%</w:t>
            </w:r>
          </w:p>
        </w:tc>
        <w:tc>
          <w:tcPr>
            <w:tcW w:w="954" w:type="dxa"/>
            <w:shd w:val="clear" w:color="auto" w:fill="FFFFFF" w:themeFill="background1"/>
            <w:vAlign w:val="center"/>
          </w:tcPr>
          <w:p w:rsidR="00F854FE" w:rsidRPr="00446741" w:rsidRDefault="00F854FE" w:rsidP="005716C8">
            <w:pPr>
              <w:spacing w:line="180" w:lineRule="exact"/>
              <w:contextualSpacing/>
              <w:rPr>
                <w:rFonts w:ascii="Calibri" w:eastAsia="Times New Roman" w:hAnsi="Calibri" w:cs="Calibri"/>
                <w:color w:val="auto"/>
                <w:sz w:val="18"/>
                <w:szCs w:val="18"/>
              </w:rPr>
            </w:pPr>
            <w:r w:rsidRPr="00446741">
              <w:rPr>
                <w:rFonts w:ascii="Calibri" w:hAnsi="Calibri" w:cs="Calibri"/>
                <w:color w:val="auto"/>
                <w:sz w:val="18"/>
                <w:szCs w:val="18"/>
              </w:rPr>
              <w:t>20070525</w:t>
            </w:r>
          </w:p>
        </w:tc>
      </w:tr>
      <w:tr w:rsidR="00F854FE" w:rsidRPr="00446741" w:rsidTr="005716C8">
        <w:trPr>
          <w:trHeight w:val="287"/>
          <w:jc w:val="center"/>
        </w:trPr>
        <w:tc>
          <w:tcPr>
            <w:tcW w:w="4351" w:type="dxa"/>
            <w:gridSpan w:val="3"/>
            <w:vMerge/>
            <w:tcBorders>
              <w:right w:val="thinThickThinSmallGap" w:sz="24" w:space="0" w:color="auto"/>
            </w:tcBorders>
            <w:shd w:val="clear" w:color="auto" w:fill="FFFFFF" w:themeFill="background1"/>
            <w:vAlign w:val="center"/>
          </w:tcPr>
          <w:p w:rsidR="00F854FE" w:rsidRPr="00446741" w:rsidRDefault="00F854FE" w:rsidP="005716C8">
            <w:pPr>
              <w:spacing w:line="180" w:lineRule="exact"/>
              <w:contextualSpacing/>
              <w:rPr>
                <w:rFonts w:ascii="Calibri" w:eastAsia="Times New Roman" w:hAnsi="Calibri" w:cs="Calibri"/>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F854FE" w:rsidRPr="00446741" w:rsidRDefault="00F854FE" w:rsidP="005716C8">
            <w:pPr>
              <w:spacing w:line="180" w:lineRule="exact"/>
              <w:contextualSpacing/>
              <w:jc w:val="left"/>
              <w:rPr>
                <w:rFonts w:ascii="Calibri" w:eastAsia="Times New Roman" w:hAnsi="Calibri" w:cs="Calibri"/>
                <w:color w:val="auto"/>
                <w:sz w:val="18"/>
                <w:szCs w:val="18"/>
              </w:rPr>
            </w:pPr>
            <w:r w:rsidRPr="00446741">
              <w:rPr>
                <w:rFonts w:ascii="Calibri" w:eastAsia="Times New Roman" w:hAnsi="Calibri" w:cs="Calibri"/>
                <w:color w:val="auto"/>
                <w:sz w:val="18"/>
                <w:szCs w:val="18"/>
              </w:rPr>
              <w:t>Tinnitus</w:t>
            </w:r>
          </w:p>
        </w:tc>
        <w:tc>
          <w:tcPr>
            <w:tcW w:w="1080" w:type="dxa"/>
            <w:tcBorders>
              <w:left w:val="single" w:sz="4" w:space="0" w:color="auto"/>
            </w:tcBorders>
            <w:shd w:val="clear" w:color="auto" w:fill="FFFFFF" w:themeFill="background1"/>
            <w:vAlign w:val="center"/>
          </w:tcPr>
          <w:p w:rsidR="00F854FE" w:rsidRPr="00446741" w:rsidRDefault="00F854FE" w:rsidP="005716C8">
            <w:pPr>
              <w:spacing w:line="180" w:lineRule="exact"/>
              <w:contextualSpacing/>
              <w:rPr>
                <w:rFonts w:ascii="Calibri" w:eastAsia="Times New Roman" w:hAnsi="Calibri" w:cs="Calibri"/>
                <w:color w:val="auto"/>
                <w:sz w:val="18"/>
                <w:szCs w:val="18"/>
              </w:rPr>
            </w:pPr>
            <w:r w:rsidRPr="00446741">
              <w:rPr>
                <w:rFonts w:ascii="Calibri" w:eastAsia="Times New Roman" w:hAnsi="Calibri" w:cs="Calibri"/>
                <w:color w:val="auto"/>
                <w:sz w:val="18"/>
                <w:szCs w:val="18"/>
              </w:rPr>
              <w:t>6260</w:t>
            </w:r>
          </w:p>
        </w:tc>
        <w:tc>
          <w:tcPr>
            <w:tcW w:w="720" w:type="dxa"/>
            <w:shd w:val="clear" w:color="auto" w:fill="FFFFFF" w:themeFill="background1"/>
            <w:vAlign w:val="center"/>
          </w:tcPr>
          <w:p w:rsidR="00F854FE" w:rsidRPr="00446741" w:rsidRDefault="00F854FE" w:rsidP="005716C8">
            <w:pPr>
              <w:spacing w:line="180" w:lineRule="exact"/>
              <w:contextualSpacing/>
              <w:rPr>
                <w:rFonts w:ascii="Calibri" w:eastAsia="Times New Roman" w:hAnsi="Calibri" w:cs="Calibri"/>
                <w:color w:val="auto"/>
                <w:sz w:val="18"/>
                <w:szCs w:val="18"/>
              </w:rPr>
            </w:pPr>
            <w:r w:rsidRPr="00446741">
              <w:rPr>
                <w:rFonts w:ascii="Calibri" w:eastAsia="Times New Roman" w:hAnsi="Calibri" w:cs="Calibri"/>
                <w:color w:val="auto"/>
                <w:sz w:val="18"/>
                <w:szCs w:val="18"/>
              </w:rPr>
              <w:t>10%</w:t>
            </w:r>
          </w:p>
        </w:tc>
        <w:tc>
          <w:tcPr>
            <w:tcW w:w="954" w:type="dxa"/>
            <w:shd w:val="clear" w:color="auto" w:fill="FFFFFF" w:themeFill="background1"/>
            <w:vAlign w:val="center"/>
          </w:tcPr>
          <w:p w:rsidR="00F854FE" w:rsidRPr="00446741" w:rsidRDefault="00F854FE" w:rsidP="005716C8">
            <w:pPr>
              <w:spacing w:line="180" w:lineRule="exact"/>
              <w:contextualSpacing/>
              <w:rPr>
                <w:rFonts w:ascii="Calibri" w:eastAsia="Times New Roman" w:hAnsi="Calibri" w:cs="Calibri"/>
                <w:color w:val="auto"/>
                <w:sz w:val="18"/>
                <w:szCs w:val="18"/>
              </w:rPr>
            </w:pPr>
            <w:r w:rsidRPr="00446741">
              <w:rPr>
                <w:rFonts w:ascii="Calibri" w:eastAsia="Times New Roman" w:hAnsi="Calibri" w:cs="Calibri"/>
                <w:color w:val="auto"/>
                <w:sz w:val="18"/>
                <w:szCs w:val="18"/>
              </w:rPr>
              <w:t>20070605</w:t>
            </w:r>
          </w:p>
        </w:tc>
      </w:tr>
      <w:tr w:rsidR="00F854FE" w:rsidRPr="00446741" w:rsidTr="005716C8">
        <w:trPr>
          <w:trHeight w:val="287"/>
          <w:jc w:val="center"/>
        </w:trPr>
        <w:tc>
          <w:tcPr>
            <w:tcW w:w="4351" w:type="dxa"/>
            <w:gridSpan w:val="3"/>
            <w:vMerge/>
            <w:tcBorders>
              <w:right w:val="thinThickThinSmallGap" w:sz="24" w:space="0" w:color="auto"/>
            </w:tcBorders>
            <w:shd w:val="clear" w:color="auto" w:fill="FFFFFF" w:themeFill="background1"/>
            <w:vAlign w:val="center"/>
          </w:tcPr>
          <w:p w:rsidR="00F854FE" w:rsidRPr="00446741" w:rsidRDefault="00F854FE" w:rsidP="005716C8">
            <w:pPr>
              <w:spacing w:line="180" w:lineRule="exact"/>
              <w:contextualSpacing/>
              <w:rPr>
                <w:rFonts w:cs="Calibri"/>
                <w:color w:val="auto"/>
                <w:sz w:val="18"/>
                <w:szCs w:val="18"/>
              </w:rPr>
            </w:pPr>
          </w:p>
        </w:tc>
        <w:tc>
          <w:tcPr>
            <w:tcW w:w="4050" w:type="dxa"/>
            <w:gridSpan w:val="3"/>
            <w:tcBorders>
              <w:left w:val="thinThickThinSmallGap" w:sz="24" w:space="0" w:color="auto"/>
            </w:tcBorders>
            <w:shd w:val="clear" w:color="auto" w:fill="FFFFFF" w:themeFill="background1"/>
            <w:vAlign w:val="center"/>
          </w:tcPr>
          <w:p w:rsidR="00F854FE" w:rsidRPr="00446741" w:rsidRDefault="00B603C6" w:rsidP="005716C8">
            <w:pPr>
              <w:spacing w:line="180" w:lineRule="exact"/>
              <w:contextualSpacing/>
              <w:rPr>
                <w:rFonts w:cs="Calibri"/>
                <w:color w:val="auto"/>
                <w:sz w:val="18"/>
                <w:szCs w:val="18"/>
              </w:rPr>
            </w:pPr>
            <w:r w:rsidRPr="00446741">
              <w:rPr>
                <w:rFonts w:ascii="Calibri" w:hAnsi="Calibri" w:cs="Calibri"/>
                <w:color w:val="auto"/>
                <w:sz w:val="18"/>
                <w:szCs w:val="18"/>
              </w:rPr>
              <w:t xml:space="preserve">0% x 2 / </w:t>
            </w:r>
            <w:r w:rsidR="00F854FE" w:rsidRPr="00446741">
              <w:rPr>
                <w:rFonts w:ascii="Calibri" w:hAnsi="Calibri" w:cs="Calibri"/>
                <w:color w:val="auto"/>
                <w:sz w:val="18"/>
                <w:szCs w:val="18"/>
              </w:rPr>
              <w:t>Not Service Connected x 5</w:t>
            </w:r>
          </w:p>
        </w:tc>
        <w:tc>
          <w:tcPr>
            <w:tcW w:w="954" w:type="dxa"/>
            <w:shd w:val="clear" w:color="auto" w:fill="FFFFFF" w:themeFill="background1"/>
            <w:vAlign w:val="center"/>
          </w:tcPr>
          <w:p w:rsidR="00F854FE" w:rsidRPr="00446741" w:rsidRDefault="00F854FE" w:rsidP="005716C8">
            <w:pPr>
              <w:spacing w:line="180" w:lineRule="exact"/>
              <w:contextualSpacing/>
              <w:rPr>
                <w:rFonts w:cs="Calibri"/>
                <w:color w:val="auto"/>
                <w:sz w:val="18"/>
                <w:szCs w:val="18"/>
              </w:rPr>
            </w:pPr>
            <w:r w:rsidRPr="00446741">
              <w:rPr>
                <w:rFonts w:cs="Calibri"/>
                <w:color w:val="auto"/>
                <w:sz w:val="18"/>
                <w:szCs w:val="18"/>
              </w:rPr>
              <w:t>20070525</w:t>
            </w:r>
          </w:p>
        </w:tc>
      </w:tr>
      <w:tr w:rsidR="00A03E6C" w:rsidRPr="00446741" w:rsidTr="005716C8">
        <w:trPr>
          <w:trHeight w:val="242"/>
          <w:jc w:val="center"/>
        </w:trPr>
        <w:tc>
          <w:tcPr>
            <w:tcW w:w="4351" w:type="dxa"/>
            <w:gridSpan w:val="3"/>
            <w:tcBorders>
              <w:right w:val="thinThickThinSmallGap" w:sz="24" w:space="0" w:color="auto"/>
            </w:tcBorders>
            <w:shd w:val="clear" w:color="auto" w:fill="D9D9D9" w:themeFill="background1" w:themeFillShade="D9"/>
            <w:vAlign w:val="center"/>
          </w:tcPr>
          <w:p w:rsidR="00A03E6C" w:rsidRPr="00446741" w:rsidRDefault="00A03E6C" w:rsidP="005716C8">
            <w:pPr>
              <w:spacing w:line="180" w:lineRule="exact"/>
              <w:contextualSpacing/>
              <w:rPr>
                <w:rFonts w:ascii="Calibri" w:hAnsi="Calibri" w:cs="Calibri"/>
                <w:b/>
                <w:color w:val="auto"/>
                <w:sz w:val="18"/>
                <w:szCs w:val="18"/>
              </w:rPr>
            </w:pPr>
            <w:r w:rsidRPr="00446741">
              <w:rPr>
                <w:rFonts w:ascii="Calibri" w:hAnsi="Calibri" w:cs="Calibri"/>
                <w:b/>
                <w:color w:val="auto"/>
                <w:sz w:val="18"/>
                <w:szCs w:val="18"/>
              </w:rPr>
              <w:t>Combined:  10%</w:t>
            </w:r>
          </w:p>
        </w:tc>
        <w:tc>
          <w:tcPr>
            <w:tcW w:w="5004" w:type="dxa"/>
            <w:gridSpan w:val="4"/>
            <w:tcBorders>
              <w:left w:val="thinThickThinSmallGap" w:sz="24" w:space="0" w:color="auto"/>
            </w:tcBorders>
            <w:shd w:val="clear" w:color="auto" w:fill="D9D9D9" w:themeFill="background1" w:themeFillShade="D9"/>
            <w:vAlign w:val="center"/>
          </w:tcPr>
          <w:p w:rsidR="00A03E6C" w:rsidRPr="00446741" w:rsidRDefault="00A03E6C" w:rsidP="005716C8">
            <w:pPr>
              <w:spacing w:line="180" w:lineRule="exact"/>
              <w:contextualSpacing/>
              <w:rPr>
                <w:rFonts w:ascii="Calibri" w:hAnsi="Calibri" w:cs="Calibri"/>
                <w:b/>
                <w:color w:val="auto"/>
                <w:sz w:val="18"/>
                <w:szCs w:val="18"/>
              </w:rPr>
            </w:pPr>
            <w:r w:rsidRPr="00446741">
              <w:rPr>
                <w:rFonts w:ascii="Calibri" w:hAnsi="Calibri" w:cs="Calibri"/>
                <w:b/>
                <w:color w:val="auto"/>
                <w:sz w:val="18"/>
                <w:szCs w:val="18"/>
              </w:rPr>
              <w:t>Combined:  30%</w:t>
            </w:r>
            <w:r w:rsidR="00B86C5F" w:rsidRPr="00446741">
              <w:rPr>
                <w:rFonts w:ascii="Calibri" w:hAnsi="Calibri" w:cs="Calibri"/>
                <w:b/>
                <w:color w:val="auto"/>
                <w:sz w:val="18"/>
                <w:szCs w:val="18"/>
              </w:rPr>
              <w:t>*</w:t>
            </w:r>
          </w:p>
        </w:tc>
      </w:tr>
    </w:tbl>
    <w:p w:rsidR="00A97CD9" w:rsidRPr="00446741" w:rsidRDefault="00B86C5F" w:rsidP="00B86C5F">
      <w:pPr>
        <w:pBdr>
          <w:bottom w:val="single" w:sz="12" w:space="1" w:color="auto"/>
        </w:pBdr>
        <w:tabs>
          <w:tab w:val="left" w:pos="288"/>
          <w:tab w:val="left" w:pos="4752"/>
        </w:tabs>
        <w:spacing w:line="200" w:lineRule="exact"/>
        <w:jc w:val="both"/>
        <w:rPr>
          <w:color w:val="auto"/>
          <w:sz w:val="20"/>
          <w:szCs w:val="24"/>
        </w:rPr>
      </w:pPr>
      <w:r w:rsidRPr="00446741">
        <w:rPr>
          <w:color w:val="auto"/>
          <w:sz w:val="20"/>
          <w:szCs w:val="24"/>
        </w:rPr>
        <w:t xml:space="preserve">* </w:t>
      </w:r>
      <w:r w:rsidR="00EE0A6E" w:rsidRPr="00446741">
        <w:rPr>
          <w:color w:val="auto"/>
          <w:sz w:val="20"/>
          <w:szCs w:val="24"/>
        </w:rPr>
        <w:t xml:space="preserve">Added </w:t>
      </w:r>
      <w:r w:rsidRPr="00446741">
        <w:rPr>
          <w:color w:val="auto"/>
          <w:sz w:val="20"/>
          <w:szCs w:val="24"/>
        </w:rPr>
        <w:t>TBI 8045 at 40% and PTSD 9411 at 30% effective 20081105 (combined 70%)</w:t>
      </w:r>
    </w:p>
    <w:p w:rsidR="00B86C5F" w:rsidRPr="00446741" w:rsidRDefault="00B86C5F" w:rsidP="00A97CD9">
      <w:pPr>
        <w:pBdr>
          <w:bottom w:val="single" w:sz="12" w:space="1" w:color="auto"/>
        </w:pBdr>
        <w:tabs>
          <w:tab w:val="left" w:pos="288"/>
          <w:tab w:val="left" w:pos="4752"/>
        </w:tabs>
        <w:jc w:val="both"/>
        <w:rPr>
          <w:color w:val="auto"/>
          <w:szCs w:val="24"/>
        </w:rPr>
      </w:pPr>
    </w:p>
    <w:p w:rsidR="00FF0358" w:rsidRPr="005716C8" w:rsidRDefault="00FF0358" w:rsidP="009369A6">
      <w:pPr>
        <w:jc w:val="left"/>
        <w:rPr>
          <w:color w:val="auto"/>
          <w:szCs w:val="24"/>
          <w:u w:val="single"/>
        </w:rPr>
      </w:pPr>
    </w:p>
    <w:p w:rsidR="00FE4BBB" w:rsidRPr="00A1273F" w:rsidRDefault="002C6E5B" w:rsidP="00FE4BBB">
      <w:pPr>
        <w:jc w:val="both"/>
        <w:rPr>
          <w:color w:val="000000" w:themeColor="text1"/>
          <w:szCs w:val="24"/>
        </w:rPr>
      </w:pPr>
      <w:r w:rsidRPr="001F29F9">
        <w:rPr>
          <w:color w:val="000000" w:themeColor="text1"/>
          <w:szCs w:val="24"/>
          <w:u w:val="single"/>
        </w:rPr>
        <w:lastRenderedPageBreak/>
        <w:t>ANALYSIS SUMMARY</w:t>
      </w:r>
      <w:r w:rsidRPr="001F29F9">
        <w:rPr>
          <w:color w:val="000000" w:themeColor="text1"/>
          <w:szCs w:val="24"/>
        </w:rPr>
        <w:t>:</w:t>
      </w:r>
      <w:r w:rsidR="00FE4BBB">
        <w:rPr>
          <w:color w:val="000000" w:themeColor="text1"/>
          <w:szCs w:val="24"/>
        </w:rPr>
        <w:t xml:space="preserve"> </w:t>
      </w:r>
      <w:r w:rsidR="00B603C6">
        <w:rPr>
          <w:color w:val="000000" w:themeColor="text1"/>
          <w:szCs w:val="24"/>
        </w:rPr>
        <w:t xml:space="preserve"> </w:t>
      </w:r>
      <w:r w:rsidR="000A1DF1" w:rsidRPr="000A1DF1">
        <w:rPr>
          <w:color w:val="000000" w:themeColor="text1"/>
          <w:szCs w:val="24"/>
        </w:rPr>
        <w:t xml:space="preserve">The </w:t>
      </w:r>
      <w:r w:rsidR="000A1DF1" w:rsidRPr="00A1273F">
        <w:rPr>
          <w:color w:val="000000" w:themeColor="text1"/>
          <w:szCs w:val="24"/>
        </w:rPr>
        <w:t xml:space="preserve">Board acknowledges the CI’s contention that suggests service ratings should have been conferred for other conditions documented at the time of separation.  The Board wishes to clarify that it is subject to the same laws for service disability entitlements as those under which the </w:t>
      </w:r>
      <w:r w:rsidR="002A2DF0">
        <w:rPr>
          <w:color w:val="000000" w:themeColor="text1"/>
          <w:szCs w:val="24"/>
        </w:rPr>
        <w:t>DES</w:t>
      </w:r>
      <w:r w:rsidR="000A1DF1" w:rsidRPr="00A1273F">
        <w:rPr>
          <w:color w:val="000000" w:themeColor="text1"/>
          <w:szCs w:val="24"/>
        </w:rPr>
        <w:t xml:space="preserve"> operates.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2A2DF0">
        <w:rPr>
          <w:color w:val="000000" w:themeColor="text1"/>
          <w:szCs w:val="24"/>
        </w:rPr>
        <w:t>s’</w:t>
      </w:r>
      <w:r w:rsidR="000A1DF1" w:rsidRPr="00A1273F">
        <w:rPr>
          <w:color w:val="000000" w:themeColor="text1"/>
          <w:szCs w:val="24"/>
        </w:rPr>
        <w:t xml:space="preserve"> Affairs (DVA), operating under a different set of laws (Title 38, United States Code), is empo</w:t>
      </w:r>
      <w:r w:rsidR="002A2DF0">
        <w:rPr>
          <w:color w:val="000000" w:themeColor="text1"/>
          <w:szCs w:val="24"/>
        </w:rPr>
        <w:t>wered to compensate all service-</w:t>
      </w:r>
      <w:r w:rsidR="000A1DF1" w:rsidRPr="00A1273F">
        <w:rPr>
          <w:color w:val="000000" w:themeColor="text1"/>
          <w:szCs w:val="24"/>
        </w:rPr>
        <w:t xml:space="preserve">connected conditions and to periodically reevaluate said conditions for the purpose of adjusting the </w:t>
      </w:r>
      <w:r w:rsidR="002A2DF0">
        <w:rPr>
          <w:color w:val="000000" w:themeColor="text1"/>
          <w:szCs w:val="24"/>
        </w:rPr>
        <w:t>V</w:t>
      </w:r>
      <w:r w:rsidR="000A1DF1" w:rsidRPr="00A1273F">
        <w:rPr>
          <w:color w:val="000000" w:themeColor="text1"/>
          <w:szCs w:val="24"/>
        </w:rPr>
        <w:t xml:space="preserve">eteran’s disability rating should </w:t>
      </w:r>
      <w:r w:rsidR="002A2DF0">
        <w:rPr>
          <w:color w:val="000000" w:themeColor="text1"/>
          <w:szCs w:val="24"/>
        </w:rPr>
        <w:t>the</w:t>
      </w:r>
      <w:r w:rsidR="000A1DF1" w:rsidRPr="00A1273F">
        <w:rPr>
          <w:color w:val="000000" w:themeColor="text1"/>
          <w:szCs w:val="24"/>
        </w:rPr>
        <w:t xml:space="preserve"> degree of impairment vary over time.</w:t>
      </w:r>
      <w:r w:rsidR="00446741">
        <w:rPr>
          <w:color w:val="000000" w:themeColor="text1"/>
          <w:szCs w:val="24"/>
        </w:rPr>
        <w:t xml:space="preserve">  </w:t>
      </w:r>
    </w:p>
    <w:p w:rsidR="00DB05EC" w:rsidRPr="00A1273F" w:rsidRDefault="00DB05EC" w:rsidP="00FE4BBB">
      <w:pPr>
        <w:jc w:val="both"/>
        <w:rPr>
          <w:color w:val="000000" w:themeColor="text1"/>
          <w:szCs w:val="24"/>
        </w:rPr>
      </w:pPr>
    </w:p>
    <w:p w:rsidR="00DB05EC" w:rsidRPr="00B505E9" w:rsidRDefault="00DB05EC" w:rsidP="00FE4BBB">
      <w:pPr>
        <w:jc w:val="both"/>
        <w:rPr>
          <w:color w:val="000000" w:themeColor="text1"/>
          <w:szCs w:val="24"/>
        </w:rPr>
      </w:pPr>
      <w:r w:rsidRPr="00A1273F">
        <w:rPr>
          <w:color w:val="000000" w:themeColor="text1"/>
          <w:szCs w:val="24"/>
        </w:rPr>
        <w:t>The Board makes note that some of the CI’s contended conditions (</w:t>
      </w:r>
      <w:r w:rsidR="002A2DF0">
        <w:rPr>
          <w:color w:val="000000" w:themeColor="text1"/>
          <w:szCs w:val="24"/>
        </w:rPr>
        <w:t>traumatic brain injury (</w:t>
      </w:r>
      <w:r w:rsidRPr="00A1273F">
        <w:rPr>
          <w:color w:val="000000" w:themeColor="text1"/>
          <w:szCs w:val="24"/>
        </w:rPr>
        <w:t>TBI</w:t>
      </w:r>
      <w:r w:rsidR="002A2DF0">
        <w:rPr>
          <w:color w:val="000000" w:themeColor="text1"/>
          <w:szCs w:val="24"/>
        </w:rPr>
        <w:t>)</w:t>
      </w:r>
      <w:r w:rsidRPr="00A1273F">
        <w:rPr>
          <w:color w:val="000000" w:themeColor="text1"/>
          <w:szCs w:val="24"/>
        </w:rPr>
        <w:t xml:space="preserve">, </w:t>
      </w:r>
      <w:r w:rsidR="002A2DF0">
        <w:rPr>
          <w:color w:val="000000" w:themeColor="text1"/>
          <w:szCs w:val="24"/>
        </w:rPr>
        <w:t xml:space="preserve">posttraumatic stress </w:t>
      </w:r>
      <w:proofErr w:type="spellStart"/>
      <w:r w:rsidR="002A2DF0">
        <w:rPr>
          <w:color w:val="000000" w:themeColor="text1"/>
          <w:szCs w:val="24"/>
        </w:rPr>
        <w:t>disporder</w:t>
      </w:r>
      <w:proofErr w:type="spellEnd"/>
      <w:r w:rsidR="002A2DF0">
        <w:rPr>
          <w:color w:val="000000" w:themeColor="text1"/>
          <w:szCs w:val="24"/>
        </w:rPr>
        <w:t xml:space="preserve"> (</w:t>
      </w:r>
      <w:r w:rsidRPr="00A1273F">
        <w:rPr>
          <w:color w:val="000000" w:themeColor="text1"/>
          <w:szCs w:val="24"/>
        </w:rPr>
        <w:t>PTSD</w:t>
      </w:r>
      <w:r w:rsidR="002A2DF0">
        <w:rPr>
          <w:color w:val="000000" w:themeColor="text1"/>
          <w:szCs w:val="24"/>
        </w:rPr>
        <w:t>)</w:t>
      </w:r>
      <w:r w:rsidRPr="00A1273F">
        <w:rPr>
          <w:color w:val="000000" w:themeColor="text1"/>
          <w:szCs w:val="24"/>
        </w:rPr>
        <w:t xml:space="preserve">, tinnitus, impairment of clavicle/right shoulder sprain) are derived from VA evaluations performed after separation, diagnosing conditions which were not addressed by the PEB.  By policy and precedent the Board has limited its jurisdiction for recommending </w:t>
      </w:r>
      <w:proofErr w:type="spellStart"/>
      <w:r w:rsidRPr="00A1273F">
        <w:rPr>
          <w:color w:val="000000" w:themeColor="text1"/>
          <w:szCs w:val="24"/>
        </w:rPr>
        <w:t>unadjudicated</w:t>
      </w:r>
      <w:proofErr w:type="spellEnd"/>
      <w:r w:rsidRPr="00A1273F">
        <w:rPr>
          <w:color w:val="000000" w:themeColor="text1"/>
          <w:szCs w:val="24"/>
        </w:rPr>
        <w:t xml:space="preserve"> conditions as unfitting and subject to additional separation rating to those conditions which are evidenced</w:t>
      </w:r>
      <w:r w:rsidRPr="00DB05EC">
        <w:rPr>
          <w:color w:val="000000" w:themeColor="text1"/>
          <w:szCs w:val="24"/>
        </w:rPr>
        <w:t xml:space="preserve"> in the core DES file. </w:t>
      </w:r>
      <w:r>
        <w:rPr>
          <w:color w:val="000000" w:themeColor="text1"/>
          <w:szCs w:val="24"/>
        </w:rPr>
        <w:t xml:space="preserve"> </w:t>
      </w:r>
      <w:r w:rsidRPr="00DB05EC">
        <w:rPr>
          <w:color w:val="000000" w:themeColor="text1"/>
          <w:szCs w:val="24"/>
        </w:rPr>
        <w:t xml:space="preserve">The core DES file consists of the MEB referral document (DA Form 3947), the PEB adjudication document (DA Form 199), the </w:t>
      </w:r>
      <w:r w:rsidR="002A2DF0">
        <w:rPr>
          <w:color w:val="000000" w:themeColor="text1"/>
          <w:szCs w:val="24"/>
        </w:rPr>
        <w:t>narrative summary (</w:t>
      </w:r>
      <w:r w:rsidRPr="00DB05EC">
        <w:rPr>
          <w:color w:val="000000" w:themeColor="text1"/>
          <w:szCs w:val="24"/>
        </w:rPr>
        <w:t>NARSUM</w:t>
      </w:r>
      <w:r w:rsidR="002A2DF0">
        <w:rPr>
          <w:color w:val="000000" w:themeColor="text1"/>
          <w:szCs w:val="24"/>
        </w:rPr>
        <w:t>)</w:t>
      </w:r>
      <w:r w:rsidRPr="00DB05EC">
        <w:rPr>
          <w:color w:val="000000" w:themeColor="text1"/>
          <w:szCs w:val="24"/>
        </w:rPr>
        <w:t xml:space="preserve"> (including any addendums or referenced examinations), the MEB physical exam, the </w:t>
      </w:r>
      <w:r w:rsidR="002A2DF0">
        <w:rPr>
          <w:color w:val="000000" w:themeColor="text1"/>
          <w:szCs w:val="24"/>
        </w:rPr>
        <w:t>c</w:t>
      </w:r>
      <w:r w:rsidRPr="00DB05EC">
        <w:rPr>
          <w:color w:val="000000" w:themeColor="text1"/>
          <w:szCs w:val="24"/>
        </w:rPr>
        <w:t xml:space="preserve">ommander’s statement, the physical profile(s), and any written appeals or internal DES correspondence. </w:t>
      </w:r>
      <w:r>
        <w:rPr>
          <w:color w:val="000000" w:themeColor="text1"/>
          <w:szCs w:val="24"/>
        </w:rPr>
        <w:t xml:space="preserve"> </w:t>
      </w:r>
      <w:r w:rsidRPr="00DB05EC">
        <w:rPr>
          <w:color w:val="000000" w:themeColor="text1"/>
          <w:szCs w:val="24"/>
        </w:rPr>
        <w:t>Contended conditions which are not eligible for Board recommendations on this basis remain eligible for submission to the Army Board for Corrections of Military Records (ABCMR)</w:t>
      </w:r>
      <w:r w:rsidR="005716C8">
        <w:rPr>
          <w:color w:val="000000" w:themeColor="text1"/>
          <w:szCs w:val="24"/>
        </w:rPr>
        <w:t>.</w:t>
      </w:r>
    </w:p>
    <w:p w:rsidR="002F6AD8" w:rsidRPr="001F29F9" w:rsidRDefault="002F6AD8" w:rsidP="00BF0E94">
      <w:pPr>
        <w:jc w:val="left"/>
        <w:rPr>
          <w:color w:val="000000" w:themeColor="text1"/>
          <w:szCs w:val="24"/>
          <w:u w:val="single"/>
        </w:rPr>
      </w:pPr>
    </w:p>
    <w:p w:rsidR="00615A66" w:rsidRPr="00A1273F" w:rsidRDefault="003F2EEE" w:rsidP="000A1DF1">
      <w:pPr>
        <w:jc w:val="both"/>
        <w:rPr>
          <w:color w:val="auto"/>
          <w:szCs w:val="24"/>
        </w:rPr>
      </w:pPr>
      <w:proofErr w:type="gramStart"/>
      <w:r w:rsidRPr="002D1557">
        <w:rPr>
          <w:color w:val="000000" w:themeColor="text1"/>
          <w:szCs w:val="24"/>
          <w:u w:val="single"/>
        </w:rPr>
        <w:t xml:space="preserve">Right </w:t>
      </w:r>
      <w:r w:rsidR="0080588E" w:rsidRPr="002D1557">
        <w:rPr>
          <w:color w:val="000000" w:themeColor="text1"/>
          <w:szCs w:val="24"/>
          <w:u w:val="single"/>
        </w:rPr>
        <w:t>Knee</w:t>
      </w:r>
      <w:r w:rsidR="00D44BA2">
        <w:rPr>
          <w:color w:val="000000" w:themeColor="text1"/>
          <w:szCs w:val="24"/>
          <w:u w:val="single"/>
        </w:rPr>
        <w:t xml:space="preserve"> </w:t>
      </w:r>
      <w:r w:rsidR="00541FE7">
        <w:rPr>
          <w:color w:val="000000" w:themeColor="text1"/>
          <w:szCs w:val="24"/>
          <w:u w:val="single"/>
        </w:rPr>
        <w:t>Condition</w:t>
      </w:r>
      <w:r w:rsidRPr="002D1557">
        <w:rPr>
          <w:color w:val="000000" w:themeColor="text1"/>
          <w:szCs w:val="24"/>
        </w:rPr>
        <w:t>.</w:t>
      </w:r>
      <w:proofErr w:type="gramEnd"/>
      <w:r w:rsidRPr="002D1557">
        <w:rPr>
          <w:color w:val="000000" w:themeColor="text1"/>
          <w:szCs w:val="24"/>
        </w:rPr>
        <w:t xml:space="preserve">  </w:t>
      </w:r>
      <w:r w:rsidR="00A57C35" w:rsidRPr="009924C2">
        <w:rPr>
          <w:color w:val="000000" w:themeColor="text1"/>
          <w:szCs w:val="24"/>
        </w:rPr>
        <w:t xml:space="preserve">There </w:t>
      </w:r>
      <w:r w:rsidR="00A57C35" w:rsidRPr="00A1273F">
        <w:rPr>
          <w:color w:val="000000" w:themeColor="text1"/>
          <w:szCs w:val="24"/>
        </w:rPr>
        <w:t xml:space="preserve">were </w:t>
      </w:r>
      <w:r w:rsidR="009924C2" w:rsidRPr="00A1273F">
        <w:rPr>
          <w:color w:val="000000" w:themeColor="text1"/>
          <w:szCs w:val="24"/>
        </w:rPr>
        <w:t>t</w:t>
      </w:r>
      <w:r w:rsidR="00AD40DA" w:rsidRPr="00A1273F">
        <w:rPr>
          <w:color w:val="000000" w:themeColor="text1"/>
          <w:szCs w:val="24"/>
        </w:rPr>
        <w:t>hree</w:t>
      </w:r>
      <w:r w:rsidR="00A57C35" w:rsidRPr="00A1273F">
        <w:rPr>
          <w:color w:val="000000" w:themeColor="text1"/>
          <w:szCs w:val="24"/>
        </w:rPr>
        <w:t xml:space="preserve"> </w:t>
      </w:r>
      <w:r w:rsidR="00AD40DA" w:rsidRPr="00A1273F">
        <w:rPr>
          <w:color w:val="000000" w:themeColor="text1"/>
          <w:szCs w:val="24"/>
        </w:rPr>
        <w:t xml:space="preserve">post-operative </w:t>
      </w:r>
      <w:r w:rsidR="000A1DF1" w:rsidRPr="00A1273F">
        <w:rPr>
          <w:color w:val="000000" w:themeColor="text1"/>
          <w:szCs w:val="24"/>
        </w:rPr>
        <w:t xml:space="preserve">right knee examinations, including </w:t>
      </w:r>
      <w:r w:rsidR="00A57C35" w:rsidRPr="00A1273F">
        <w:rPr>
          <w:color w:val="000000" w:themeColor="text1"/>
          <w:szCs w:val="24"/>
        </w:rPr>
        <w:t>goniometric range</w:t>
      </w:r>
      <w:r w:rsidR="002A2DF0">
        <w:rPr>
          <w:color w:val="000000" w:themeColor="text1"/>
          <w:szCs w:val="24"/>
        </w:rPr>
        <w:t>-</w:t>
      </w:r>
      <w:r w:rsidR="00A57C35" w:rsidRPr="00A1273F">
        <w:rPr>
          <w:color w:val="000000" w:themeColor="text1"/>
          <w:szCs w:val="24"/>
        </w:rPr>
        <w:t>of</w:t>
      </w:r>
      <w:r w:rsidR="002A2DF0">
        <w:rPr>
          <w:color w:val="000000" w:themeColor="text1"/>
          <w:szCs w:val="24"/>
        </w:rPr>
        <w:t>-</w:t>
      </w:r>
      <w:r w:rsidR="00A57C35" w:rsidRPr="00A1273F">
        <w:rPr>
          <w:color w:val="000000" w:themeColor="text1"/>
          <w:szCs w:val="24"/>
        </w:rPr>
        <w:t>motion (</w:t>
      </w:r>
      <w:r w:rsidR="00A57C35" w:rsidRPr="00A1273F">
        <w:rPr>
          <w:color w:val="auto"/>
          <w:szCs w:val="24"/>
        </w:rPr>
        <w:t>ROM) evaluations</w:t>
      </w:r>
      <w:r w:rsidR="00141BEE" w:rsidRPr="00A1273F">
        <w:rPr>
          <w:color w:val="auto"/>
          <w:szCs w:val="24"/>
        </w:rPr>
        <w:t>,</w:t>
      </w:r>
      <w:r w:rsidR="00A57C35" w:rsidRPr="00A1273F">
        <w:rPr>
          <w:color w:val="auto"/>
          <w:szCs w:val="24"/>
        </w:rPr>
        <w:t xml:space="preserve"> with </w:t>
      </w:r>
      <w:r w:rsidR="009924C2" w:rsidRPr="00A1273F">
        <w:rPr>
          <w:color w:val="auto"/>
          <w:szCs w:val="24"/>
        </w:rPr>
        <w:t>d</w:t>
      </w:r>
      <w:r w:rsidR="00A57C35" w:rsidRPr="00A1273F">
        <w:rPr>
          <w:color w:val="auto"/>
          <w:szCs w:val="24"/>
        </w:rPr>
        <w:t xml:space="preserve">ocumentation of additional ratable criteria, </w:t>
      </w:r>
      <w:r w:rsidR="00141BEE" w:rsidRPr="00A1273F">
        <w:rPr>
          <w:color w:val="auto"/>
          <w:szCs w:val="24"/>
        </w:rPr>
        <w:t xml:space="preserve">in evidence </w:t>
      </w:r>
      <w:r w:rsidR="00A57C35" w:rsidRPr="00A1273F">
        <w:rPr>
          <w:color w:val="auto"/>
          <w:szCs w:val="24"/>
        </w:rPr>
        <w:t>which the Board weighed in arriving at its rating recommendation.</w:t>
      </w:r>
      <w:r w:rsidR="00141BEE" w:rsidRPr="00A1273F">
        <w:rPr>
          <w:color w:val="auto"/>
          <w:szCs w:val="24"/>
        </w:rPr>
        <w:t xml:space="preserve">  </w:t>
      </w:r>
      <w:r w:rsidR="00141BEE" w:rsidRPr="00A1273F">
        <w:rPr>
          <w:rFonts w:asciiTheme="minorHAnsi" w:hAnsiTheme="minorHAnsi"/>
          <w:color w:val="auto"/>
          <w:szCs w:val="24"/>
        </w:rPr>
        <w:t>These exams are summarized in the chart below.</w:t>
      </w:r>
    </w:p>
    <w:p w:rsidR="00615A66" w:rsidRPr="00A1273F" w:rsidRDefault="00615A66" w:rsidP="000A1DF1">
      <w:pPr>
        <w:jc w:val="both"/>
        <w:rPr>
          <w:color w:val="auto"/>
          <w:szCs w:val="24"/>
          <w:u w:val="single"/>
        </w:rPr>
      </w:pPr>
    </w:p>
    <w:tbl>
      <w:tblPr>
        <w:tblW w:w="9306" w:type="dxa"/>
        <w:jc w:val="center"/>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2"/>
        <w:gridCol w:w="2225"/>
        <w:gridCol w:w="2433"/>
        <w:gridCol w:w="2646"/>
      </w:tblGrid>
      <w:tr w:rsidR="005D20C7" w:rsidRPr="00A1273F" w:rsidTr="005716C8">
        <w:trPr>
          <w:jc w:val="center"/>
        </w:trPr>
        <w:tc>
          <w:tcPr>
            <w:tcW w:w="2002" w:type="dxa"/>
            <w:shd w:val="clear" w:color="auto" w:fill="D9D9D9" w:themeFill="background1" w:themeFillShade="D9"/>
            <w:vAlign w:val="center"/>
          </w:tcPr>
          <w:p w:rsidR="005D20C7" w:rsidRPr="00A1273F" w:rsidRDefault="005D20C7" w:rsidP="005716C8">
            <w:pPr>
              <w:spacing w:line="180" w:lineRule="exact"/>
              <w:contextualSpacing/>
              <w:rPr>
                <w:rFonts w:eastAsia="Calibri"/>
                <w:color w:val="auto"/>
                <w:sz w:val="18"/>
                <w:szCs w:val="18"/>
              </w:rPr>
            </w:pPr>
            <w:r w:rsidRPr="00A1273F">
              <w:rPr>
                <w:rFonts w:eastAsia="Calibri"/>
                <w:color w:val="auto"/>
                <w:sz w:val="18"/>
                <w:szCs w:val="18"/>
              </w:rPr>
              <w:t>Goniometric ROM –</w:t>
            </w:r>
          </w:p>
          <w:p w:rsidR="005D20C7" w:rsidRPr="00A1273F" w:rsidRDefault="005D20C7" w:rsidP="005716C8">
            <w:pPr>
              <w:spacing w:line="180" w:lineRule="exact"/>
              <w:contextualSpacing/>
              <w:rPr>
                <w:rFonts w:eastAsia="Calibri"/>
                <w:color w:val="auto"/>
                <w:sz w:val="18"/>
                <w:szCs w:val="18"/>
              </w:rPr>
            </w:pPr>
            <w:r w:rsidRPr="00A1273F">
              <w:rPr>
                <w:rFonts w:eastAsia="Calibri"/>
                <w:color w:val="auto"/>
                <w:sz w:val="18"/>
                <w:szCs w:val="18"/>
              </w:rPr>
              <w:t>R Knee</w:t>
            </w:r>
          </w:p>
        </w:tc>
        <w:tc>
          <w:tcPr>
            <w:tcW w:w="2225" w:type="dxa"/>
            <w:shd w:val="clear" w:color="auto" w:fill="D9D9D9" w:themeFill="background1" w:themeFillShade="D9"/>
          </w:tcPr>
          <w:p w:rsidR="005D20C7" w:rsidRPr="00A1273F" w:rsidRDefault="005D20C7" w:rsidP="005716C8">
            <w:pPr>
              <w:spacing w:line="180" w:lineRule="exact"/>
              <w:contextualSpacing/>
              <w:rPr>
                <w:rFonts w:asciiTheme="minorHAnsi" w:eastAsia="Calibri" w:hAnsiTheme="minorHAnsi"/>
                <w:color w:val="auto"/>
                <w:sz w:val="18"/>
                <w:szCs w:val="18"/>
              </w:rPr>
            </w:pPr>
            <w:r w:rsidRPr="00A1273F">
              <w:rPr>
                <w:rFonts w:eastAsia="Calibri"/>
                <w:color w:val="auto"/>
                <w:sz w:val="18"/>
                <w:szCs w:val="18"/>
              </w:rPr>
              <w:t>PT ~ 13 Mo. Pre-Sep</w:t>
            </w:r>
          </w:p>
          <w:p w:rsidR="005D20C7" w:rsidRPr="00A1273F" w:rsidRDefault="005D20C7" w:rsidP="005716C8">
            <w:pPr>
              <w:spacing w:line="180" w:lineRule="exact"/>
              <w:contextualSpacing/>
              <w:rPr>
                <w:rFonts w:eastAsia="Calibri"/>
                <w:color w:val="auto"/>
                <w:sz w:val="18"/>
                <w:szCs w:val="18"/>
              </w:rPr>
            </w:pPr>
            <w:r w:rsidRPr="00A1273F">
              <w:rPr>
                <w:rFonts w:asciiTheme="minorHAnsi" w:eastAsia="Calibri" w:hAnsiTheme="minorHAnsi"/>
                <w:color w:val="auto"/>
                <w:sz w:val="18"/>
                <w:szCs w:val="18"/>
              </w:rPr>
              <w:t>(</w:t>
            </w:r>
            <w:r w:rsidRPr="00A1273F">
              <w:rPr>
                <w:rFonts w:asciiTheme="minorHAnsi" w:eastAsia="Calibri" w:hAnsiTheme="minorHAnsi"/>
                <w:i/>
                <w:color w:val="auto"/>
                <w:sz w:val="18"/>
                <w:szCs w:val="18"/>
              </w:rPr>
              <w:t>20060201</w:t>
            </w:r>
            <w:r w:rsidRPr="00A1273F">
              <w:rPr>
                <w:rFonts w:asciiTheme="minorHAnsi" w:eastAsia="Calibri" w:hAnsiTheme="minorHAnsi"/>
                <w:color w:val="auto"/>
                <w:sz w:val="18"/>
                <w:szCs w:val="18"/>
              </w:rPr>
              <w:t>)</w:t>
            </w:r>
          </w:p>
        </w:tc>
        <w:tc>
          <w:tcPr>
            <w:tcW w:w="2433" w:type="dxa"/>
            <w:shd w:val="clear" w:color="auto" w:fill="D9D9D9" w:themeFill="background1" w:themeFillShade="D9"/>
            <w:vAlign w:val="center"/>
          </w:tcPr>
          <w:p w:rsidR="005D20C7" w:rsidRPr="00A1273F" w:rsidRDefault="00AD40DA" w:rsidP="005716C8">
            <w:pPr>
              <w:spacing w:line="180" w:lineRule="exact"/>
              <w:contextualSpacing/>
              <w:rPr>
                <w:rFonts w:asciiTheme="minorHAnsi" w:eastAsia="Calibri" w:hAnsiTheme="minorHAnsi"/>
                <w:color w:val="auto"/>
                <w:sz w:val="18"/>
                <w:szCs w:val="18"/>
              </w:rPr>
            </w:pPr>
            <w:r w:rsidRPr="00A1273F">
              <w:rPr>
                <w:rFonts w:eastAsia="Calibri"/>
                <w:color w:val="auto"/>
                <w:sz w:val="18"/>
                <w:szCs w:val="18"/>
              </w:rPr>
              <w:t>MEB</w:t>
            </w:r>
            <w:r w:rsidR="005D20C7" w:rsidRPr="00A1273F">
              <w:rPr>
                <w:rFonts w:eastAsia="Calibri"/>
                <w:color w:val="auto"/>
                <w:sz w:val="18"/>
                <w:szCs w:val="18"/>
              </w:rPr>
              <w:t xml:space="preserve"> ~ 5 Mo. Pre-Sep</w:t>
            </w:r>
          </w:p>
          <w:p w:rsidR="005D20C7" w:rsidRPr="00A1273F" w:rsidRDefault="005D20C7" w:rsidP="005716C8">
            <w:pPr>
              <w:spacing w:line="180" w:lineRule="exact"/>
              <w:contextualSpacing/>
              <w:rPr>
                <w:rFonts w:eastAsia="Calibri"/>
                <w:color w:val="auto"/>
                <w:sz w:val="18"/>
                <w:szCs w:val="18"/>
              </w:rPr>
            </w:pPr>
            <w:r w:rsidRPr="00A1273F">
              <w:rPr>
                <w:rFonts w:asciiTheme="minorHAnsi" w:eastAsia="Calibri" w:hAnsiTheme="minorHAnsi"/>
                <w:color w:val="auto"/>
                <w:sz w:val="18"/>
                <w:szCs w:val="18"/>
              </w:rPr>
              <w:t>(</w:t>
            </w:r>
            <w:r w:rsidRPr="00A1273F">
              <w:rPr>
                <w:rFonts w:asciiTheme="minorHAnsi" w:eastAsia="Calibri" w:hAnsiTheme="minorHAnsi"/>
                <w:i/>
                <w:color w:val="auto"/>
                <w:sz w:val="18"/>
                <w:szCs w:val="18"/>
              </w:rPr>
              <w:t>20061019</w:t>
            </w:r>
            <w:r w:rsidRPr="00A1273F">
              <w:rPr>
                <w:rFonts w:asciiTheme="minorHAnsi" w:eastAsia="Calibri" w:hAnsiTheme="minorHAnsi"/>
                <w:color w:val="auto"/>
                <w:sz w:val="18"/>
                <w:szCs w:val="18"/>
              </w:rPr>
              <w:t>)</w:t>
            </w:r>
          </w:p>
        </w:tc>
        <w:tc>
          <w:tcPr>
            <w:tcW w:w="2646" w:type="dxa"/>
            <w:shd w:val="clear" w:color="auto" w:fill="D9D9D9" w:themeFill="background1" w:themeFillShade="D9"/>
            <w:vAlign w:val="center"/>
          </w:tcPr>
          <w:p w:rsidR="005D20C7" w:rsidRPr="00A1273F" w:rsidRDefault="005D20C7" w:rsidP="005716C8">
            <w:pPr>
              <w:spacing w:line="180" w:lineRule="exact"/>
              <w:contextualSpacing/>
              <w:rPr>
                <w:rFonts w:asciiTheme="minorHAnsi" w:eastAsia="Calibri" w:hAnsiTheme="minorHAnsi"/>
                <w:color w:val="auto"/>
                <w:sz w:val="18"/>
                <w:szCs w:val="18"/>
              </w:rPr>
            </w:pPr>
            <w:r w:rsidRPr="00A1273F">
              <w:rPr>
                <w:rFonts w:eastAsia="Calibri"/>
                <w:color w:val="auto"/>
                <w:sz w:val="18"/>
                <w:szCs w:val="18"/>
              </w:rPr>
              <w:t>VA</w:t>
            </w:r>
            <w:r w:rsidRPr="00A1273F">
              <w:rPr>
                <w:rFonts w:eastAsiaTheme="minorHAnsi"/>
                <w:color w:val="auto"/>
                <w:sz w:val="18"/>
                <w:szCs w:val="18"/>
              </w:rPr>
              <w:t xml:space="preserve"> C&amp;P </w:t>
            </w:r>
            <w:r w:rsidRPr="00A1273F">
              <w:rPr>
                <w:rFonts w:eastAsia="Calibri"/>
                <w:color w:val="auto"/>
                <w:sz w:val="18"/>
                <w:szCs w:val="18"/>
              </w:rPr>
              <w:t>~ 2 Mo. Post-Sep</w:t>
            </w:r>
          </w:p>
          <w:p w:rsidR="005D20C7" w:rsidRPr="00A1273F" w:rsidRDefault="005D20C7" w:rsidP="005716C8">
            <w:pPr>
              <w:spacing w:line="180" w:lineRule="exact"/>
              <w:contextualSpacing/>
              <w:rPr>
                <w:rFonts w:eastAsiaTheme="minorHAnsi"/>
                <w:color w:val="auto"/>
                <w:sz w:val="18"/>
                <w:szCs w:val="18"/>
              </w:rPr>
            </w:pPr>
            <w:r w:rsidRPr="00A1273F">
              <w:rPr>
                <w:rFonts w:asciiTheme="minorHAnsi" w:eastAsia="Calibri" w:hAnsiTheme="minorHAnsi"/>
                <w:color w:val="auto"/>
                <w:sz w:val="18"/>
                <w:szCs w:val="18"/>
              </w:rPr>
              <w:t>(</w:t>
            </w:r>
            <w:r w:rsidRPr="00A1273F">
              <w:rPr>
                <w:rFonts w:asciiTheme="minorHAnsi" w:eastAsia="Calibri" w:hAnsiTheme="minorHAnsi"/>
                <w:i/>
                <w:color w:val="auto"/>
                <w:sz w:val="18"/>
                <w:szCs w:val="18"/>
              </w:rPr>
              <w:t>20070525</w:t>
            </w:r>
            <w:r w:rsidRPr="00A1273F">
              <w:rPr>
                <w:rFonts w:asciiTheme="minorHAnsi" w:eastAsia="Calibri" w:hAnsiTheme="minorHAnsi"/>
                <w:color w:val="auto"/>
                <w:sz w:val="18"/>
                <w:szCs w:val="18"/>
              </w:rPr>
              <w:t>)</w:t>
            </w:r>
          </w:p>
        </w:tc>
      </w:tr>
      <w:tr w:rsidR="005D20C7" w:rsidRPr="00A1273F" w:rsidTr="005716C8">
        <w:trPr>
          <w:jc w:val="center"/>
        </w:trPr>
        <w:tc>
          <w:tcPr>
            <w:tcW w:w="2002" w:type="dxa"/>
            <w:vAlign w:val="center"/>
          </w:tcPr>
          <w:p w:rsidR="005D20C7" w:rsidRPr="00A1273F" w:rsidRDefault="005D20C7" w:rsidP="005716C8">
            <w:pPr>
              <w:spacing w:line="180" w:lineRule="exact"/>
              <w:contextualSpacing/>
              <w:rPr>
                <w:rFonts w:eastAsia="Calibri"/>
                <w:color w:val="auto"/>
                <w:sz w:val="18"/>
                <w:szCs w:val="18"/>
              </w:rPr>
            </w:pPr>
            <w:r w:rsidRPr="00A1273F">
              <w:rPr>
                <w:rFonts w:eastAsia="Calibri"/>
                <w:color w:val="auto"/>
                <w:sz w:val="18"/>
                <w:szCs w:val="18"/>
              </w:rPr>
              <w:t>Flexion (140⁰ normal)</w:t>
            </w:r>
          </w:p>
        </w:tc>
        <w:tc>
          <w:tcPr>
            <w:tcW w:w="2225" w:type="dxa"/>
            <w:vAlign w:val="center"/>
          </w:tcPr>
          <w:p w:rsidR="005D20C7" w:rsidRPr="00A1273F" w:rsidRDefault="005D20C7" w:rsidP="005716C8">
            <w:pPr>
              <w:spacing w:line="180" w:lineRule="exact"/>
              <w:contextualSpacing/>
              <w:rPr>
                <w:rFonts w:eastAsia="Calibri"/>
                <w:color w:val="auto"/>
                <w:sz w:val="18"/>
                <w:szCs w:val="18"/>
              </w:rPr>
            </w:pPr>
            <w:r w:rsidRPr="00A1273F">
              <w:rPr>
                <w:rFonts w:eastAsia="Calibri"/>
                <w:color w:val="auto"/>
                <w:sz w:val="18"/>
                <w:szCs w:val="18"/>
              </w:rPr>
              <w:t>90⁰</w:t>
            </w:r>
          </w:p>
        </w:tc>
        <w:tc>
          <w:tcPr>
            <w:tcW w:w="2433" w:type="dxa"/>
            <w:vAlign w:val="center"/>
          </w:tcPr>
          <w:p w:rsidR="005D20C7" w:rsidRPr="00A1273F" w:rsidRDefault="005D20C7" w:rsidP="005716C8">
            <w:pPr>
              <w:spacing w:line="180" w:lineRule="exact"/>
              <w:contextualSpacing/>
              <w:rPr>
                <w:rFonts w:eastAsia="Calibri"/>
                <w:color w:val="auto"/>
                <w:sz w:val="18"/>
                <w:szCs w:val="18"/>
              </w:rPr>
            </w:pPr>
            <w:r w:rsidRPr="00A1273F">
              <w:rPr>
                <w:rFonts w:eastAsia="Calibri"/>
                <w:color w:val="auto"/>
                <w:sz w:val="18"/>
                <w:szCs w:val="18"/>
              </w:rPr>
              <w:t>135⁰</w:t>
            </w:r>
          </w:p>
        </w:tc>
        <w:tc>
          <w:tcPr>
            <w:tcW w:w="2646" w:type="dxa"/>
            <w:vAlign w:val="center"/>
          </w:tcPr>
          <w:p w:rsidR="005D20C7" w:rsidRPr="00A1273F" w:rsidRDefault="005D20C7" w:rsidP="005716C8">
            <w:pPr>
              <w:spacing w:line="180" w:lineRule="exact"/>
              <w:contextualSpacing/>
              <w:rPr>
                <w:rFonts w:eastAsia="Calibri"/>
                <w:color w:val="auto"/>
                <w:sz w:val="18"/>
                <w:szCs w:val="18"/>
              </w:rPr>
            </w:pPr>
            <w:r w:rsidRPr="00A1273F">
              <w:rPr>
                <w:rFonts w:eastAsia="Calibri"/>
                <w:color w:val="auto"/>
                <w:sz w:val="18"/>
                <w:szCs w:val="18"/>
              </w:rPr>
              <w:t>90⁰</w:t>
            </w:r>
          </w:p>
        </w:tc>
      </w:tr>
      <w:tr w:rsidR="005D20C7" w:rsidRPr="00A1273F" w:rsidTr="005716C8">
        <w:trPr>
          <w:jc w:val="center"/>
        </w:trPr>
        <w:tc>
          <w:tcPr>
            <w:tcW w:w="2002" w:type="dxa"/>
            <w:tcBorders>
              <w:bottom w:val="single" w:sz="4" w:space="0" w:color="auto"/>
            </w:tcBorders>
            <w:vAlign w:val="center"/>
          </w:tcPr>
          <w:p w:rsidR="005D20C7" w:rsidRPr="00A1273F" w:rsidRDefault="005D20C7" w:rsidP="005716C8">
            <w:pPr>
              <w:spacing w:line="180" w:lineRule="exact"/>
              <w:contextualSpacing/>
              <w:rPr>
                <w:rFonts w:eastAsia="Calibri"/>
                <w:color w:val="auto"/>
                <w:sz w:val="18"/>
                <w:szCs w:val="18"/>
              </w:rPr>
            </w:pPr>
            <w:r w:rsidRPr="00A1273F">
              <w:rPr>
                <w:rFonts w:eastAsia="Calibri"/>
                <w:color w:val="auto"/>
                <w:sz w:val="18"/>
                <w:szCs w:val="18"/>
              </w:rPr>
              <w:t>Extension (0⁰ normal)</w:t>
            </w:r>
          </w:p>
        </w:tc>
        <w:tc>
          <w:tcPr>
            <w:tcW w:w="2225" w:type="dxa"/>
            <w:tcBorders>
              <w:bottom w:val="single" w:sz="4" w:space="0" w:color="auto"/>
            </w:tcBorders>
            <w:vAlign w:val="center"/>
          </w:tcPr>
          <w:p w:rsidR="005D20C7" w:rsidRPr="00A1273F" w:rsidRDefault="005D20C7" w:rsidP="005716C8">
            <w:pPr>
              <w:spacing w:line="180" w:lineRule="exact"/>
              <w:contextualSpacing/>
              <w:rPr>
                <w:rFonts w:eastAsia="Calibri"/>
                <w:color w:val="auto"/>
                <w:sz w:val="18"/>
                <w:szCs w:val="18"/>
              </w:rPr>
            </w:pPr>
            <w:r w:rsidRPr="00A1273F">
              <w:rPr>
                <w:rFonts w:eastAsia="Calibri"/>
                <w:color w:val="auto"/>
                <w:sz w:val="18"/>
                <w:szCs w:val="18"/>
              </w:rPr>
              <w:t>0⁰</w:t>
            </w:r>
          </w:p>
        </w:tc>
        <w:tc>
          <w:tcPr>
            <w:tcW w:w="2433" w:type="dxa"/>
            <w:tcBorders>
              <w:bottom w:val="single" w:sz="4" w:space="0" w:color="auto"/>
            </w:tcBorders>
            <w:vAlign w:val="center"/>
          </w:tcPr>
          <w:p w:rsidR="005D20C7" w:rsidRPr="00A1273F" w:rsidRDefault="005D20C7" w:rsidP="005716C8">
            <w:pPr>
              <w:spacing w:line="180" w:lineRule="exact"/>
              <w:contextualSpacing/>
              <w:rPr>
                <w:rFonts w:eastAsia="Calibri"/>
                <w:color w:val="auto"/>
                <w:sz w:val="18"/>
                <w:szCs w:val="18"/>
              </w:rPr>
            </w:pPr>
            <w:r w:rsidRPr="00A1273F">
              <w:rPr>
                <w:rFonts w:eastAsia="Calibri"/>
                <w:color w:val="auto"/>
                <w:sz w:val="18"/>
                <w:szCs w:val="18"/>
              </w:rPr>
              <w:t>0⁰</w:t>
            </w:r>
          </w:p>
        </w:tc>
        <w:tc>
          <w:tcPr>
            <w:tcW w:w="2646" w:type="dxa"/>
            <w:tcBorders>
              <w:bottom w:val="single" w:sz="4" w:space="0" w:color="auto"/>
            </w:tcBorders>
            <w:vAlign w:val="center"/>
          </w:tcPr>
          <w:p w:rsidR="005D20C7" w:rsidRPr="00A1273F" w:rsidRDefault="005D20C7" w:rsidP="005716C8">
            <w:pPr>
              <w:spacing w:line="180" w:lineRule="exact"/>
              <w:contextualSpacing/>
              <w:rPr>
                <w:rFonts w:eastAsia="Calibri"/>
                <w:color w:val="auto"/>
                <w:sz w:val="18"/>
                <w:szCs w:val="18"/>
              </w:rPr>
            </w:pPr>
            <w:r w:rsidRPr="00A1273F">
              <w:rPr>
                <w:rFonts w:eastAsia="Calibri"/>
                <w:color w:val="auto"/>
                <w:sz w:val="18"/>
                <w:szCs w:val="18"/>
              </w:rPr>
              <w:t>0⁰</w:t>
            </w:r>
          </w:p>
        </w:tc>
      </w:tr>
      <w:tr w:rsidR="005D20C7" w:rsidRPr="00A1273F" w:rsidTr="005716C8">
        <w:trPr>
          <w:jc w:val="center"/>
        </w:trPr>
        <w:tc>
          <w:tcPr>
            <w:tcW w:w="2002" w:type="dxa"/>
            <w:tcBorders>
              <w:top w:val="single" w:sz="4" w:space="0" w:color="auto"/>
              <w:left w:val="single" w:sz="4" w:space="0" w:color="auto"/>
              <w:bottom w:val="single" w:sz="4" w:space="0" w:color="auto"/>
              <w:right w:val="single" w:sz="4" w:space="0" w:color="auto"/>
            </w:tcBorders>
            <w:vAlign w:val="center"/>
          </w:tcPr>
          <w:p w:rsidR="005D20C7" w:rsidRPr="00A1273F" w:rsidRDefault="005D20C7" w:rsidP="005716C8">
            <w:pPr>
              <w:tabs>
                <w:tab w:val="left" w:pos="288"/>
                <w:tab w:val="left" w:pos="4752"/>
              </w:tabs>
              <w:spacing w:line="180" w:lineRule="exact"/>
              <w:rPr>
                <w:rFonts w:eastAsiaTheme="minorHAnsi"/>
                <w:color w:val="auto"/>
                <w:sz w:val="18"/>
                <w:szCs w:val="18"/>
              </w:rPr>
            </w:pPr>
            <w:r w:rsidRPr="00A1273F">
              <w:rPr>
                <w:rFonts w:eastAsiaTheme="minorHAnsi"/>
                <w:color w:val="auto"/>
                <w:sz w:val="18"/>
                <w:szCs w:val="18"/>
              </w:rPr>
              <w:t>Comment</w:t>
            </w:r>
          </w:p>
        </w:tc>
        <w:tc>
          <w:tcPr>
            <w:tcW w:w="2225" w:type="dxa"/>
            <w:tcBorders>
              <w:top w:val="single" w:sz="4" w:space="0" w:color="auto"/>
              <w:left w:val="single" w:sz="4" w:space="0" w:color="auto"/>
              <w:bottom w:val="single" w:sz="4" w:space="0" w:color="auto"/>
              <w:right w:val="single" w:sz="4" w:space="0" w:color="auto"/>
            </w:tcBorders>
            <w:vAlign w:val="center"/>
          </w:tcPr>
          <w:p w:rsidR="005D20C7" w:rsidRPr="00A1273F" w:rsidRDefault="005D20C7" w:rsidP="005716C8">
            <w:pPr>
              <w:tabs>
                <w:tab w:val="left" w:pos="288"/>
                <w:tab w:val="left" w:pos="4752"/>
              </w:tabs>
              <w:spacing w:line="180" w:lineRule="exact"/>
              <w:jc w:val="left"/>
              <w:rPr>
                <w:rFonts w:eastAsiaTheme="minorHAnsi"/>
                <w:color w:val="auto"/>
                <w:sz w:val="18"/>
                <w:szCs w:val="18"/>
              </w:rPr>
            </w:pPr>
            <w:r w:rsidRPr="00A1273F">
              <w:rPr>
                <w:rFonts w:eastAsiaTheme="minorHAnsi"/>
                <w:color w:val="auto"/>
                <w:sz w:val="18"/>
                <w:szCs w:val="18"/>
              </w:rPr>
              <w:t xml:space="preserve">3.5 weeks post-operative, TTP, 1+ effusion, warm, R quad atrophy (no measurements), </w:t>
            </w:r>
            <w:proofErr w:type="spellStart"/>
            <w:r w:rsidRPr="00A1273F">
              <w:rPr>
                <w:rFonts w:eastAsiaTheme="minorHAnsi"/>
                <w:color w:val="auto"/>
                <w:sz w:val="18"/>
                <w:szCs w:val="18"/>
              </w:rPr>
              <w:t>neuro</w:t>
            </w:r>
            <w:proofErr w:type="spellEnd"/>
            <w:r w:rsidRPr="00A1273F">
              <w:rPr>
                <w:rFonts w:eastAsiaTheme="minorHAnsi"/>
                <w:color w:val="auto"/>
                <w:sz w:val="18"/>
                <w:szCs w:val="18"/>
              </w:rPr>
              <w:t xml:space="preserve"> normal</w:t>
            </w:r>
          </w:p>
        </w:tc>
        <w:tc>
          <w:tcPr>
            <w:tcW w:w="2433" w:type="dxa"/>
            <w:tcBorders>
              <w:top w:val="single" w:sz="4" w:space="0" w:color="auto"/>
              <w:left w:val="single" w:sz="4" w:space="0" w:color="auto"/>
              <w:bottom w:val="single" w:sz="4" w:space="0" w:color="auto"/>
              <w:right w:val="single" w:sz="4" w:space="0" w:color="auto"/>
            </w:tcBorders>
            <w:vAlign w:val="center"/>
          </w:tcPr>
          <w:p w:rsidR="005D20C7" w:rsidRPr="00A1273F" w:rsidRDefault="005D20C7" w:rsidP="005716C8">
            <w:pPr>
              <w:tabs>
                <w:tab w:val="left" w:pos="288"/>
                <w:tab w:val="left" w:pos="4752"/>
              </w:tabs>
              <w:spacing w:line="180" w:lineRule="exact"/>
              <w:jc w:val="left"/>
              <w:rPr>
                <w:rFonts w:eastAsiaTheme="minorHAnsi"/>
                <w:color w:val="auto"/>
                <w:sz w:val="18"/>
                <w:szCs w:val="18"/>
              </w:rPr>
            </w:pPr>
            <w:r w:rsidRPr="00A1273F">
              <w:rPr>
                <w:rFonts w:eastAsiaTheme="minorHAnsi"/>
                <w:color w:val="auto"/>
                <w:sz w:val="18"/>
                <w:szCs w:val="18"/>
              </w:rPr>
              <w:t xml:space="preserve">TTP, no effusion, ligament exam stable, </w:t>
            </w:r>
            <w:proofErr w:type="spellStart"/>
            <w:r w:rsidRPr="00A1273F">
              <w:rPr>
                <w:rFonts w:eastAsiaTheme="minorHAnsi"/>
                <w:color w:val="auto"/>
                <w:sz w:val="18"/>
                <w:szCs w:val="18"/>
              </w:rPr>
              <w:t>neuro</w:t>
            </w:r>
            <w:proofErr w:type="spellEnd"/>
            <w:r w:rsidRPr="00A1273F">
              <w:rPr>
                <w:rFonts w:eastAsiaTheme="minorHAnsi"/>
                <w:color w:val="auto"/>
                <w:sz w:val="18"/>
                <w:szCs w:val="18"/>
              </w:rPr>
              <w:t xml:space="preserve"> normal</w:t>
            </w:r>
            <w:r w:rsidR="00DB05EC" w:rsidRPr="00A1273F">
              <w:rPr>
                <w:rFonts w:eastAsiaTheme="minorHAnsi"/>
                <w:color w:val="auto"/>
                <w:sz w:val="18"/>
                <w:szCs w:val="18"/>
              </w:rPr>
              <w:t>;  DD 2808 (</w:t>
            </w:r>
            <w:r w:rsidR="00DB05EC" w:rsidRPr="00A1273F">
              <w:rPr>
                <w:rFonts w:eastAsiaTheme="minorHAnsi"/>
                <w:i/>
                <w:color w:val="auto"/>
                <w:sz w:val="18"/>
                <w:szCs w:val="18"/>
              </w:rPr>
              <w:t>20061002</w:t>
            </w:r>
            <w:r w:rsidR="00DB05EC" w:rsidRPr="00A1273F">
              <w:rPr>
                <w:rFonts w:eastAsiaTheme="minorHAnsi"/>
                <w:color w:val="auto"/>
                <w:sz w:val="18"/>
                <w:szCs w:val="18"/>
              </w:rPr>
              <w:t xml:space="preserve">) FROM, TTP, </w:t>
            </w:r>
            <w:r w:rsidR="00AD40DA" w:rsidRPr="00A1273F">
              <w:rPr>
                <w:rFonts w:eastAsiaTheme="minorHAnsi"/>
                <w:color w:val="auto"/>
                <w:sz w:val="18"/>
                <w:szCs w:val="18"/>
              </w:rPr>
              <w:t>pain w/ flexion, popping w/ ROM, no edema</w:t>
            </w:r>
          </w:p>
        </w:tc>
        <w:tc>
          <w:tcPr>
            <w:tcW w:w="2646" w:type="dxa"/>
            <w:tcBorders>
              <w:top w:val="single" w:sz="4" w:space="0" w:color="auto"/>
              <w:left w:val="single" w:sz="4" w:space="0" w:color="auto"/>
              <w:bottom w:val="single" w:sz="4" w:space="0" w:color="auto"/>
              <w:right w:val="single" w:sz="4" w:space="0" w:color="auto"/>
            </w:tcBorders>
            <w:vAlign w:val="center"/>
          </w:tcPr>
          <w:p w:rsidR="005D20C7" w:rsidRPr="00A1273F" w:rsidRDefault="005D20C7" w:rsidP="005716C8">
            <w:pPr>
              <w:tabs>
                <w:tab w:val="left" w:pos="288"/>
                <w:tab w:val="left" w:pos="4752"/>
              </w:tabs>
              <w:spacing w:line="180" w:lineRule="exact"/>
              <w:jc w:val="left"/>
              <w:rPr>
                <w:rFonts w:eastAsiaTheme="minorHAnsi"/>
                <w:color w:val="auto"/>
                <w:sz w:val="18"/>
                <w:szCs w:val="18"/>
              </w:rPr>
            </w:pPr>
            <w:r w:rsidRPr="00A1273F">
              <w:rPr>
                <w:rFonts w:eastAsiaTheme="minorHAnsi"/>
                <w:color w:val="auto"/>
                <w:sz w:val="18"/>
                <w:szCs w:val="18"/>
              </w:rPr>
              <w:t>Mild pain with flexion, no tenderness, normal gait, no laxity or instability, no additional loss with repetition</w:t>
            </w:r>
          </w:p>
        </w:tc>
      </w:tr>
      <w:tr w:rsidR="005D20C7" w:rsidRPr="00A1273F" w:rsidTr="005716C8">
        <w:trPr>
          <w:jc w:val="center"/>
        </w:trPr>
        <w:tc>
          <w:tcPr>
            <w:tcW w:w="2002" w:type="dxa"/>
            <w:tcBorders>
              <w:top w:val="single" w:sz="4" w:space="0" w:color="auto"/>
              <w:left w:val="single" w:sz="4" w:space="0" w:color="auto"/>
              <w:bottom w:val="single" w:sz="4" w:space="0" w:color="auto"/>
              <w:right w:val="single" w:sz="4" w:space="0" w:color="auto"/>
            </w:tcBorders>
            <w:vAlign w:val="center"/>
          </w:tcPr>
          <w:p w:rsidR="005D20C7" w:rsidRPr="00A1273F" w:rsidRDefault="005D20C7" w:rsidP="005716C8">
            <w:pPr>
              <w:tabs>
                <w:tab w:val="left" w:pos="288"/>
                <w:tab w:val="left" w:pos="4752"/>
              </w:tabs>
              <w:spacing w:line="180" w:lineRule="exact"/>
              <w:rPr>
                <w:rFonts w:eastAsiaTheme="minorHAnsi"/>
                <w:color w:val="auto"/>
                <w:sz w:val="18"/>
                <w:szCs w:val="18"/>
              </w:rPr>
            </w:pPr>
            <w:r w:rsidRPr="00A1273F">
              <w:rPr>
                <w:rFonts w:eastAsiaTheme="minorHAnsi"/>
                <w:color w:val="auto"/>
                <w:sz w:val="18"/>
                <w:szCs w:val="18"/>
              </w:rPr>
              <w:t>§4.71a Rating*</w:t>
            </w:r>
          </w:p>
        </w:tc>
        <w:tc>
          <w:tcPr>
            <w:tcW w:w="2225" w:type="dxa"/>
            <w:tcBorders>
              <w:top w:val="single" w:sz="4" w:space="0" w:color="auto"/>
              <w:left w:val="single" w:sz="4" w:space="0" w:color="auto"/>
              <w:bottom w:val="single" w:sz="4" w:space="0" w:color="auto"/>
              <w:right w:val="single" w:sz="4" w:space="0" w:color="auto"/>
            </w:tcBorders>
          </w:tcPr>
          <w:p w:rsidR="005D20C7" w:rsidRPr="00A1273F" w:rsidRDefault="005D20C7" w:rsidP="005716C8">
            <w:pPr>
              <w:tabs>
                <w:tab w:val="left" w:pos="288"/>
                <w:tab w:val="left" w:pos="4752"/>
              </w:tabs>
              <w:spacing w:line="180" w:lineRule="exact"/>
              <w:rPr>
                <w:rFonts w:eastAsiaTheme="minorHAnsi"/>
                <w:color w:val="auto"/>
                <w:sz w:val="18"/>
                <w:szCs w:val="18"/>
              </w:rPr>
            </w:pPr>
            <w:r w:rsidRPr="00A1273F">
              <w:rPr>
                <w:rFonts w:eastAsiaTheme="minorHAnsi"/>
                <w:color w:val="auto"/>
                <w:sz w:val="18"/>
                <w:szCs w:val="18"/>
              </w:rPr>
              <w:t>10%</w:t>
            </w:r>
          </w:p>
        </w:tc>
        <w:tc>
          <w:tcPr>
            <w:tcW w:w="2433" w:type="dxa"/>
            <w:tcBorders>
              <w:top w:val="single" w:sz="4" w:space="0" w:color="auto"/>
              <w:left w:val="single" w:sz="4" w:space="0" w:color="auto"/>
              <w:bottom w:val="single" w:sz="4" w:space="0" w:color="auto"/>
              <w:right w:val="single" w:sz="4" w:space="0" w:color="auto"/>
            </w:tcBorders>
            <w:vAlign w:val="center"/>
          </w:tcPr>
          <w:p w:rsidR="005D20C7" w:rsidRPr="00A1273F" w:rsidRDefault="005D20C7" w:rsidP="005716C8">
            <w:pPr>
              <w:tabs>
                <w:tab w:val="left" w:pos="288"/>
                <w:tab w:val="left" w:pos="4752"/>
              </w:tabs>
              <w:spacing w:line="180" w:lineRule="exact"/>
              <w:rPr>
                <w:rFonts w:eastAsiaTheme="minorHAnsi"/>
                <w:color w:val="auto"/>
                <w:sz w:val="18"/>
                <w:szCs w:val="18"/>
              </w:rPr>
            </w:pPr>
            <w:r w:rsidRPr="00A1273F">
              <w:rPr>
                <w:rFonts w:eastAsiaTheme="minorHAnsi"/>
                <w:color w:val="auto"/>
                <w:sz w:val="18"/>
                <w:szCs w:val="18"/>
              </w:rPr>
              <w:t>10%</w:t>
            </w:r>
          </w:p>
        </w:tc>
        <w:tc>
          <w:tcPr>
            <w:tcW w:w="2646" w:type="dxa"/>
            <w:tcBorders>
              <w:top w:val="single" w:sz="4" w:space="0" w:color="auto"/>
              <w:left w:val="single" w:sz="4" w:space="0" w:color="auto"/>
              <w:bottom w:val="single" w:sz="4" w:space="0" w:color="auto"/>
              <w:right w:val="single" w:sz="4" w:space="0" w:color="auto"/>
            </w:tcBorders>
            <w:vAlign w:val="center"/>
          </w:tcPr>
          <w:p w:rsidR="005D20C7" w:rsidRPr="00A1273F" w:rsidRDefault="005D20C7" w:rsidP="005716C8">
            <w:pPr>
              <w:tabs>
                <w:tab w:val="left" w:pos="288"/>
                <w:tab w:val="left" w:pos="4752"/>
              </w:tabs>
              <w:spacing w:line="180" w:lineRule="exact"/>
              <w:rPr>
                <w:rFonts w:eastAsiaTheme="minorHAnsi"/>
                <w:color w:val="auto"/>
                <w:sz w:val="18"/>
                <w:szCs w:val="18"/>
              </w:rPr>
            </w:pPr>
            <w:r w:rsidRPr="00A1273F">
              <w:rPr>
                <w:rFonts w:eastAsiaTheme="minorHAnsi"/>
                <w:color w:val="auto"/>
                <w:sz w:val="18"/>
                <w:szCs w:val="18"/>
              </w:rPr>
              <w:t>10%</w:t>
            </w:r>
          </w:p>
        </w:tc>
      </w:tr>
    </w:tbl>
    <w:p w:rsidR="00FE4BBB" w:rsidRPr="005716C8" w:rsidRDefault="00FE4BBB" w:rsidP="00BF0E94">
      <w:pPr>
        <w:jc w:val="left"/>
        <w:rPr>
          <w:color w:val="auto"/>
          <w:szCs w:val="24"/>
        </w:rPr>
      </w:pPr>
    </w:p>
    <w:p w:rsidR="00FE4BBB" w:rsidRDefault="005D20C7" w:rsidP="00141BEE">
      <w:pPr>
        <w:jc w:val="both"/>
        <w:rPr>
          <w:rFonts w:asciiTheme="minorHAnsi" w:hAnsiTheme="minorHAnsi"/>
          <w:color w:val="auto"/>
          <w:szCs w:val="24"/>
        </w:rPr>
      </w:pPr>
      <w:r w:rsidRPr="005716C8">
        <w:rPr>
          <w:color w:val="auto"/>
          <w:szCs w:val="24"/>
        </w:rPr>
        <w:t xml:space="preserve">A physical therapy note, 13 months </w:t>
      </w:r>
      <w:r w:rsidR="002A2DF0">
        <w:rPr>
          <w:color w:val="auto"/>
          <w:szCs w:val="24"/>
        </w:rPr>
        <w:t xml:space="preserve">prior to </w:t>
      </w:r>
      <w:r w:rsidRPr="005716C8">
        <w:rPr>
          <w:color w:val="auto"/>
          <w:szCs w:val="24"/>
        </w:rPr>
        <w:t>separation</w:t>
      </w:r>
      <w:r w:rsidR="005716C8">
        <w:rPr>
          <w:color w:val="auto"/>
          <w:szCs w:val="24"/>
        </w:rPr>
        <w:t xml:space="preserve"> (</w:t>
      </w:r>
      <w:r w:rsidR="002A2DF0">
        <w:rPr>
          <w:color w:val="auto"/>
          <w:szCs w:val="24"/>
        </w:rPr>
        <w:t>three and a half</w:t>
      </w:r>
      <w:r w:rsidRPr="005716C8">
        <w:rPr>
          <w:color w:val="auto"/>
          <w:szCs w:val="24"/>
        </w:rPr>
        <w:t xml:space="preserve"> weeks post-</w:t>
      </w:r>
      <w:r w:rsidR="00DB05EC" w:rsidRPr="005716C8">
        <w:rPr>
          <w:color w:val="auto"/>
          <w:szCs w:val="24"/>
        </w:rPr>
        <w:t>surgery</w:t>
      </w:r>
      <w:r w:rsidR="005716C8">
        <w:rPr>
          <w:color w:val="auto"/>
          <w:szCs w:val="24"/>
        </w:rPr>
        <w:t>)</w:t>
      </w:r>
      <w:r w:rsidRPr="005716C8">
        <w:rPr>
          <w:color w:val="auto"/>
          <w:szCs w:val="24"/>
        </w:rPr>
        <w:t xml:space="preserve">, </w:t>
      </w:r>
      <w:r w:rsidR="00DB05EC" w:rsidRPr="005716C8">
        <w:rPr>
          <w:color w:val="auto"/>
          <w:szCs w:val="24"/>
        </w:rPr>
        <w:t xml:space="preserve">reported </w:t>
      </w:r>
      <w:r w:rsidRPr="005716C8">
        <w:rPr>
          <w:color w:val="auto"/>
          <w:szCs w:val="24"/>
        </w:rPr>
        <w:t>limited</w:t>
      </w:r>
      <w:r>
        <w:rPr>
          <w:color w:val="000000" w:themeColor="text1"/>
          <w:szCs w:val="24"/>
        </w:rPr>
        <w:t xml:space="preserve"> flexion, tenderness, “1+” effusion, knee warmth, and right quadriceps atrophy (without measurement).</w:t>
      </w:r>
      <w:r w:rsidR="005716C8">
        <w:rPr>
          <w:color w:val="000000" w:themeColor="text1"/>
          <w:szCs w:val="24"/>
        </w:rPr>
        <w:t xml:space="preserve">  </w:t>
      </w:r>
      <w:r w:rsidR="00141BEE" w:rsidRPr="00141BEE">
        <w:rPr>
          <w:color w:val="000000" w:themeColor="text1"/>
          <w:szCs w:val="24"/>
        </w:rPr>
        <w:t xml:space="preserve">The </w:t>
      </w:r>
      <w:r w:rsidR="00141BEE">
        <w:rPr>
          <w:color w:val="000000" w:themeColor="text1"/>
          <w:szCs w:val="24"/>
        </w:rPr>
        <w:t xml:space="preserve">NARSUM, five months </w:t>
      </w:r>
      <w:r w:rsidR="002A2DF0">
        <w:rPr>
          <w:color w:val="000000" w:themeColor="text1"/>
          <w:szCs w:val="24"/>
        </w:rPr>
        <w:t xml:space="preserve">prior to </w:t>
      </w:r>
      <w:r w:rsidR="00141BEE">
        <w:rPr>
          <w:color w:val="000000" w:themeColor="text1"/>
          <w:szCs w:val="24"/>
        </w:rPr>
        <w:t xml:space="preserve">separation, </w:t>
      </w:r>
      <w:r w:rsidR="00141BEE" w:rsidRPr="00516E91">
        <w:rPr>
          <w:rFonts w:asciiTheme="minorHAnsi" w:hAnsiTheme="minorHAnsi"/>
          <w:color w:val="auto"/>
          <w:szCs w:val="24"/>
        </w:rPr>
        <w:t>documented mild ROM limitation,</w:t>
      </w:r>
      <w:r w:rsidR="00141BEE">
        <w:rPr>
          <w:rFonts w:asciiTheme="minorHAnsi" w:hAnsiTheme="minorHAnsi"/>
          <w:color w:val="auto"/>
          <w:szCs w:val="24"/>
        </w:rPr>
        <w:t xml:space="preserve"> tenderness to palpation, and well healed arthroscopic portal scars.  Ligament laxity tests were negative, including </w:t>
      </w:r>
      <w:proofErr w:type="spellStart"/>
      <w:r w:rsidR="00141BEE">
        <w:rPr>
          <w:rFonts w:asciiTheme="minorHAnsi" w:hAnsiTheme="minorHAnsi"/>
          <w:color w:val="auto"/>
          <w:szCs w:val="24"/>
        </w:rPr>
        <w:t>Lachman’s</w:t>
      </w:r>
      <w:proofErr w:type="spellEnd"/>
      <w:r w:rsidR="00141BEE">
        <w:rPr>
          <w:rFonts w:asciiTheme="minorHAnsi" w:hAnsiTheme="minorHAnsi"/>
          <w:color w:val="auto"/>
          <w:szCs w:val="24"/>
        </w:rPr>
        <w:t xml:space="preserve">, pivot shift, anterior/posterior drawer, and </w:t>
      </w:r>
      <w:proofErr w:type="spellStart"/>
      <w:r w:rsidR="00141BEE">
        <w:rPr>
          <w:rFonts w:asciiTheme="minorHAnsi" w:hAnsiTheme="minorHAnsi"/>
          <w:color w:val="auto"/>
          <w:szCs w:val="24"/>
        </w:rPr>
        <w:t>varus</w:t>
      </w:r>
      <w:proofErr w:type="spellEnd"/>
      <w:r w:rsidR="00141BEE">
        <w:rPr>
          <w:rFonts w:asciiTheme="minorHAnsi" w:hAnsiTheme="minorHAnsi"/>
          <w:color w:val="auto"/>
          <w:szCs w:val="24"/>
        </w:rPr>
        <w:t>/</w:t>
      </w:r>
      <w:proofErr w:type="spellStart"/>
      <w:r w:rsidR="00141BEE">
        <w:rPr>
          <w:rFonts w:asciiTheme="minorHAnsi" w:hAnsiTheme="minorHAnsi"/>
          <w:color w:val="auto"/>
          <w:szCs w:val="24"/>
        </w:rPr>
        <w:t>valgus</w:t>
      </w:r>
      <w:proofErr w:type="spellEnd"/>
      <w:r w:rsidR="00141BEE">
        <w:rPr>
          <w:rFonts w:asciiTheme="minorHAnsi" w:hAnsiTheme="minorHAnsi"/>
          <w:color w:val="auto"/>
          <w:szCs w:val="24"/>
        </w:rPr>
        <w:t xml:space="preserve"> stress.  </w:t>
      </w:r>
      <w:r w:rsidR="00AD40DA">
        <w:rPr>
          <w:rFonts w:asciiTheme="minorHAnsi" w:hAnsiTheme="minorHAnsi"/>
          <w:color w:val="auto"/>
          <w:szCs w:val="24"/>
        </w:rPr>
        <w:t xml:space="preserve">The MEB physical exam, documented on DD Form 2808 and dated earlier that month, noted full ROM, pain and popping with flexion, tenderness to palpation, absence of edema, and a normal neurological evaluation.  As indicated above, pre-operative radiological studies showed medial meniscal pathology, and the CI had meniscal surgery in January </w:t>
      </w:r>
      <w:proofErr w:type="gramStart"/>
      <w:r w:rsidR="00AD40DA">
        <w:rPr>
          <w:rFonts w:asciiTheme="minorHAnsi" w:hAnsiTheme="minorHAnsi"/>
          <w:color w:val="auto"/>
          <w:szCs w:val="24"/>
        </w:rPr>
        <w:t xml:space="preserve">2006 </w:t>
      </w:r>
      <w:r w:rsidR="002A2DF0">
        <w:rPr>
          <w:rFonts w:asciiTheme="minorHAnsi" w:hAnsiTheme="minorHAnsi"/>
          <w:color w:val="auto"/>
          <w:szCs w:val="24"/>
        </w:rPr>
        <w:t xml:space="preserve"> </w:t>
      </w:r>
      <w:r w:rsidR="00AD40DA">
        <w:rPr>
          <w:rFonts w:asciiTheme="minorHAnsi" w:hAnsiTheme="minorHAnsi"/>
          <w:color w:val="auto"/>
          <w:szCs w:val="24"/>
        </w:rPr>
        <w:t>(</w:t>
      </w:r>
      <w:proofErr w:type="gramEnd"/>
      <w:r w:rsidR="00AD40DA">
        <w:rPr>
          <w:rFonts w:asciiTheme="minorHAnsi" w:hAnsiTheme="minorHAnsi"/>
          <w:color w:val="auto"/>
          <w:szCs w:val="24"/>
        </w:rPr>
        <w:t xml:space="preserve">14 months </w:t>
      </w:r>
      <w:r w:rsidR="002A2DF0">
        <w:rPr>
          <w:rFonts w:asciiTheme="minorHAnsi" w:hAnsiTheme="minorHAnsi"/>
          <w:color w:val="auto"/>
          <w:szCs w:val="24"/>
        </w:rPr>
        <w:t xml:space="preserve">prior to </w:t>
      </w:r>
      <w:r w:rsidR="00AD40DA">
        <w:rPr>
          <w:rFonts w:asciiTheme="minorHAnsi" w:hAnsiTheme="minorHAnsi"/>
          <w:color w:val="auto"/>
          <w:szCs w:val="24"/>
        </w:rPr>
        <w:t>separation).</w:t>
      </w:r>
    </w:p>
    <w:p w:rsidR="00141BEE" w:rsidRDefault="00141BEE" w:rsidP="00141BEE">
      <w:pPr>
        <w:jc w:val="both"/>
        <w:rPr>
          <w:rFonts w:asciiTheme="minorHAnsi" w:hAnsiTheme="minorHAnsi"/>
          <w:color w:val="auto"/>
          <w:szCs w:val="24"/>
        </w:rPr>
      </w:pPr>
    </w:p>
    <w:p w:rsidR="00141BEE" w:rsidRDefault="00141BEE" w:rsidP="00141BEE">
      <w:pPr>
        <w:jc w:val="both"/>
        <w:rPr>
          <w:rFonts w:asciiTheme="minorHAnsi" w:hAnsiTheme="minorHAnsi"/>
          <w:color w:val="auto"/>
          <w:szCs w:val="24"/>
        </w:rPr>
      </w:pPr>
      <w:r>
        <w:rPr>
          <w:rFonts w:asciiTheme="minorHAnsi" w:hAnsiTheme="minorHAnsi"/>
          <w:color w:val="auto"/>
          <w:szCs w:val="24"/>
        </w:rPr>
        <w:t>The VA Compensation</w:t>
      </w:r>
      <w:r w:rsidR="00576F71">
        <w:rPr>
          <w:rFonts w:asciiTheme="minorHAnsi" w:hAnsiTheme="minorHAnsi"/>
          <w:color w:val="auto"/>
          <w:szCs w:val="24"/>
        </w:rPr>
        <w:t xml:space="preserve"> and Pension (C&amp;P) exam, two months </w:t>
      </w:r>
      <w:r w:rsidR="002A2DF0">
        <w:rPr>
          <w:rFonts w:asciiTheme="minorHAnsi" w:hAnsiTheme="minorHAnsi"/>
          <w:color w:val="auto"/>
          <w:szCs w:val="24"/>
        </w:rPr>
        <w:t xml:space="preserve">after </w:t>
      </w:r>
      <w:r w:rsidR="00576F71">
        <w:rPr>
          <w:rFonts w:asciiTheme="minorHAnsi" w:hAnsiTheme="minorHAnsi"/>
          <w:color w:val="auto"/>
          <w:szCs w:val="24"/>
        </w:rPr>
        <w:t>separation, reported greater limitation</w:t>
      </w:r>
      <w:r w:rsidR="003B3F35">
        <w:rPr>
          <w:rFonts w:asciiTheme="minorHAnsi" w:hAnsiTheme="minorHAnsi"/>
          <w:color w:val="auto"/>
          <w:szCs w:val="24"/>
        </w:rPr>
        <w:t xml:space="preserve"> of flexion with mild pain over the patella with flexion.  The remainder of the exam was normal, with no tenderness, no laxity/instability, and no additional loss with repetition.  Knee radiographs were normal.  </w:t>
      </w:r>
    </w:p>
    <w:p w:rsidR="003B3F35" w:rsidRDefault="003B3F35" w:rsidP="00141BEE">
      <w:pPr>
        <w:jc w:val="both"/>
        <w:rPr>
          <w:rFonts w:asciiTheme="minorHAnsi" w:hAnsiTheme="minorHAnsi"/>
          <w:color w:val="auto"/>
          <w:szCs w:val="24"/>
        </w:rPr>
      </w:pPr>
    </w:p>
    <w:p w:rsidR="003B3F35" w:rsidRDefault="003B3F35" w:rsidP="00141BEE">
      <w:pPr>
        <w:jc w:val="both"/>
        <w:rPr>
          <w:rFonts w:asciiTheme="minorHAnsi" w:hAnsiTheme="minorHAnsi"/>
          <w:color w:val="auto"/>
          <w:szCs w:val="24"/>
        </w:rPr>
      </w:pPr>
      <w:r>
        <w:rPr>
          <w:rFonts w:asciiTheme="minorHAnsi" w:hAnsiTheme="minorHAnsi"/>
          <w:color w:val="auto"/>
          <w:szCs w:val="24"/>
        </w:rPr>
        <w:lastRenderedPageBreak/>
        <w:t xml:space="preserve">The Board considered alternative rating options and the possibility of dual coding for the right knee condition.  </w:t>
      </w:r>
      <w:r w:rsidRPr="00646DEB">
        <w:rPr>
          <w:rFonts w:asciiTheme="minorHAnsi" w:hAnsiTheme="minorHAnsi"/>
          <w:color w:val="auto"/>
          <w:szCs w:val="24"/>
        </w:rPr>
        <w:t xml:space="preserve">All exams proximate to separation noted an absence of </w:t>
      </w:r>
      <w:r w:rsidR="00A1656B">
        <w:rPr>
          <w:rFonts w:asciiTheme="minorHAnsi" w:hAnsiTheme="minorHAnsi"/>
          <w:color w:val="auto"/>
          <w:szCs w:val="24"/>
        </w:rPr>
        <w:t xml:space="preserve">objective </w:t>
      </w:r>
      <w:r w:rsidRPr="00646DEB">
        <w:rPr>
          <w:rFonts w:asciiTheme="minorHAnsi" w:hAnsiTheme="minorHAnsi"/>
          <w:color w:val="auto"/>
          <w:szCs w:val="24"/>
        </w:rPr>
        <w:t>ligament laxity</w:t>
      </w:r>
      <w:r>
        <w:rPr>
          <w:rFonts w:asciiTheme="minorHAnsi" w:hAnsiTheme="minorHAnsi"/>
          <w:color w:val="auto"/>
          <w:szCs w:val="24"/>
        </w:rPr>
        <w:t xml:space="preserve"> or </w:t>
      </w:r>
      <w:r w:rsidRPr="00A1273F">
        <w:rPr>
          <w:rFonts w:asciiTheme="minorHAnsi" w:hAnsiTheme="minorHAnsi"/>
          <w:color w:val="auto"/>
          <w:szCs w:val="24"/>
        </w:rPr>
        <w:t xml:space="preserve">mechanical instability, so coding under 5257, for recurrent </w:t>
      </w:r>
      <w:proofErr w:type="spellStart"/>
      <w:r w:rsidRPr="00A1273F">
        <w:rPr>
          <w:rFonts w:asciiTheme="minorHAnsi" w:hAnsiTheme="minorHAnsi"/>
          <w:color w:val="auto"/>
          <w:szCs w:val="24"/>
        </w:rPr>
        <w:t>subluxation</w:t>
      </w:r>
      <w:proofErr w:type="spellEnd"/>
      <w:r w:rsidRPr="00A1273F">
        <w:rPr>
          <w:rFonts w:asciiTheme="minorHAnsi" w:hAnsiTheme="minorHAnsi"/>
          <w:color w:val="auto"/>
          <w:szCs w:val="24"/>
        </w:rPr>
        <w:t xml:space="preserve"> or lateral instability, was not warranted.  Locking</w:t>
      </w:r>
      <w:r w:rsidR="00A1656B" w:rsidRPr="00A1273F">
        <w:rPr>
          <w:rFonts w:asciiTheme="minorHAnsi" w:hAnsiTheme="minorHAnsi"/>
          <w:color w:val="auto"/>
          <w:szCs w:val="24"/>
        </w:rPr>
        <w:t>, popping, swelling, and subjective instability</w:t>
      </w:r>
      <w:r w:rsidRPr="00A1273F">
        <w:rPr>
          <w:rFonts w:asciiTheme="minorHAnsi" w:hAnsiTheme="minorHAnsi"/>
          <w:color w:val="auto"/>
          <w:szCs w:val="24"/>
        </w:rPr>
        <w:t xml:space="preserve"> of the </w:t>
      </w:r>
      <w:r w:rsidR="00DF090D" w:rsidRPr="00A1273F">
        <w:rPr>
          <w:rFonts w:asciiTheme="minorHAnsi" w:hAnsiTheme="minorHAnsi"/>
          <w:color w:val="auto"/>
          <w:szCs w:val="24"/>
        </w:rPr>
        <w:t>right</w:t>
      </w:r>
      <w:r w:rsidRPr="00A1273F">
        <w:rPr>
          <w:rFonts w:asciiTheme="minorHAnsi" w:hAnsiTheme="minorHAnsi"/>
          <w:color w:val="auto"/>
          <w:szCs w:val="24"/>
        </w:rPr>
        <w:t xml:space="preserve"> knee was </w:t>
      </w:r>
      <w:r w:rsidR="00DF090D" w:rsidRPr="00A1273F">
        <w:rPr>
          <w:rFonts w:asciiTheme="minorHAnsi" w:hAnsiTheme="minorHAnsi"/>
          <w:color w:val="auto"/>
          <w:szCs w:val="24"/>
        </w:rPr>
        <w:t>not</w:t>
      </w:r>
      <w:r w:rsidR="00A1656B" w:rsidRPr="00A1273F">
        <w:rPr>
          <w:rFonts w:asciiTheme="minorHAnsi" w:hAnsiTheme="minorHAnsi"/>
          <w:color w:val="auto"/>
          <w:szCs w:val="24"/>
        </w:rPr>
        <w:t xml:space="preserve">ed on the MEB history (DD </w:t>
      </w:r>
      <w:r w:rsidR="001A4A4F">
        <w:rPr>
          <w:rFonts w:asciiTheme="minorHAnsi" w:hAnsiTheme="minorHAnsi"/>
          <w:color w:val="auto"/>
          <w:szCs w:val="24"/>
        </w:rPr>
        <w:t xml:space="preserve">Form </w:t>
      </w:r>
      <w:r w:rsidR="00A1656B" w:rsidRPr="00A1273F">
        <w:rPr>
          <w:rFonts w:asciiTheme="minorHAnsi" w:hAnsiTheme="minorHAnsi"/>
          <w:color w:val="auto"/>
          <w:szCs w:val="24"/>
        </w:rPr>
        <w:t>2807-1), five months pr</w:t>
      </w:r>
      <w:r w:rsidR="001A4A4F">
        <w:rPr>
          <w:rFonts w:asciiTheme="minorHAnsi" w:hAnsiTheme="minorHAnsi"/>
          <w:color w:val="auto"/>
          <w:szCs w:val="24"/>
        </w:rPr>
        <w:t xml:space="preserve">ior to </w:t>
      </w:r>
      <w:r w:rsidR="00A1656B" w:rsidRPr="00A1273F">
        <w:rPr>
          <w:rFonts w:asciiTheme="minorHAnsi" w:hAnsiTheme="minorHAnsi"/>
          <w:color w:val="auto"/>
          <w:szCs w:val="24"/>
        </w:rPr>
        <w:t xml:space="preserve">separation. </w:t>
      </w:r>
      <w:r w:rsidR="00DF090D" w:rsidRPr="00A1273F">
        <w:rPr>
          <w:rFonts w:asciiTheme="minorHAnsi" w:hAnsiTheme="minorHAnsi"/>
          <w:color w:val="auto"/>
          <w:szCs w:val="24"/>
        </w:rPr>
        <w:t xml:space="preserve"> One post-operative instance of effusion was noted in a physical therapy no</w:t>
      </w:r>
      <w:r w:rsidR="002A2DF0">
        <w:rPr>
          <w:rFonts w:asciiTheme="minorHAnsi" w:hAnsiTheme="minorHAnsi"/>
          <w:color w:val="auto"/>
          <w:szCs w:val="24"/>
        </w:rPr>
        <w:t>te 13 months pr</w:t>
      </w:r>
      <w:r w:rsidR="001A4A4F">
        <w:rPr>
          <w:rFonts w:asciiTheme="minorHAnsi" w:hAnsiTheme="minorHAnsi"/>
          <w:color w:val="auto"/>
          <w:szCs w:val="24"/>
        </w:rPr>
        <w:t xml:space="preserve">ior to </w:t>
      </w:r>
      <w:r w:rsidR="002A2DF0">
        <w:rPr>
          <w:rFonts w:asciiTheme="minorHAnsi" w:hAnsiTheme="minorHAnsi"/>
          <w:color w:val="auto"/>
          <w:szCs w:val="24"/>
        </w:rPr>
        <w:t>separation (three and a half</w:t>
      </w:r>
      <w:r w:rsidR="00DF090D" w:rsidRPr="00A1273F">
        <w:rPr>
          <w:rFonts w:asciiTheme="minorHAnsi" w:hAnsiTheme="minorHAnsi"/>
          <w:color w:val="auto"/>
          <w:szCs w:val="24"/>
        </w:rPr>
        <w:t xml:space="preserve"> weeks </w:t>
      </w:r>
      <w:r w:rsidR="002A2DF0">
        <w:rPr>
          <w:rFonts w:asciiTheme="minorHAnsi" w:hAnsiTheme="minorHAnsi"/>
          <w:color w:val="auto"/>
          <w:szCs w:val="24"/>
        </w:rPr>
        <w:t xml:space="preserve">after </w:t>
      </w:r>
      <w:r w:rsidR="00DF090D" w:rsidRPr="00A1273F">
        <w:rPr>
          <w:rFonts w:asciiTheme="minorHAnsi" w:hAnsiTheme="minorHAnsi"/>
          <w:color w:val="auto"/>
          <w:szCs w:val="24"/>
        </w:rPr>
        <w:t>surgery)</w:t>
      </w:r>
      <w:r w:rsidR="00A1656B" w:rsidRPr="00A1273F">
        <w:rPr>
          <w:rFonts w:asciiTheme="minorHAnsi" w:hAnsiTheme="minorHAnsi"/>
          <w:color w:val="auto"/>
          <w:szCs w:val="24"/>
        </w:rPr>
        <w:t>; this was likely residual from surgery, given its proximity</w:t>
      </w:r>
      <w:r w:rsidR="00DF090D" w:rsidRPr="00A1273F">
        <w:rPr>
          <w:rFonts w:asciiTheme="minorHAnsi" w:hAnsiTheme="minorHAnsi"/>
          <w:color w:val="auto"/>
          <w:szCs w:val="24"/>
        </w:rPr>
        <w:t>.  Effusion</w:t>
      </w:r>
      <w:r w:rsidR="00143B5B" w:rsidRPr="00A1273F">
        <w:rPr>
          <w:rFonts w:asciiTheme="minorHAnsi" w:hAnsiTheme="minorHAnsi"/>
          <w:color w:val="auto"/>
          <w:szCs w:val="24"/>
        </w:rPr>
        <w:t>s or locking were</w:t>
      </w:r>
      <w:r w:rsidR="00DF090D" w:rsidRPr="00A1273F">
        <w:rPr>
          <w:rFonts w:asciiTheme="minorHAnsi" w:hAnsiTheme="minorHAnsi"/>
          <w:color w:val="auto"/>
          <w:szCs w:val="24"/>
        </w:rPr>
        <w:t xml:space="preserve"> </w:t>
      </w:r>
      <w:r w:rsidR="005716C8" w:rsidRPr="00A1273F">
        <w:rPr>
          <w:rFonts w:asciiTheme="minorHAnsi" w:hAnsiTheme="minorHAnsi"/>
          <w:color w:val="auto"/>
          <w:szCs w:val="24"/>
        </w:rPr>
        <w:t xml:space="preserve">not </w:t>
      </w:r>
      <w:r w:rsidR="00DF090D" w:rsidRPr="00A1273F">
        <w:rPr>
          <w:rFonts w:asciiTheme="minorHAnsi" w:hAnsiTheme="minorHAnsi"/>
          <w:color w:val="auto"/>
          <w:szCs w:val="24"/>
        </w:rPr>
        <w:t xml:space="preserve">observed in </w:t>
      </w:r>
      <w:r w:rsidR="00143B5B" w:rsidRPr="00A1273F">
        <w:rPr>
          <w:rFonts w:asciiTheme="minorHAnsi" w:hAnsiTheme="minorHAnsi"/>
          <w:color w:val="auto"/>
          <w:szCs w:val="24"/>
        </w:rPr>
        <w:t>either of the</w:t>
      </w:r>
      <w:r w:rsidR="00DF090D" w:rsidRPr="00A1273F">
        <w:rPr>
          <w:rFonts w:asciiTheme="minorHAnsi" w:hAnsiTheme="minorHAnsi"/>
          <w:color w:val="auto"/>
          <w:szCs w:val="24"/>
        </w:rPr>
        <w:t xml:space="preserve"> exams proximate to separation, so c</w:t>
      </w:r>
      <w:r w:rsidRPr="00A1273F">
        <w:rPr>
          <w:rFonts w:asciiTheme="minorHAnsi" w:hAnsiTheme="minorHAnsi"/>
          <w:color w:val="auto"/>
          <w:szCs w:val="24"/>
        </w:rPr>
        <w:t xml:space="preserve">oding under 5258, which requires “frequent episodes of </w:t>
      </w:r>
      <w:r w:rsidR="002A2DF0">
        <w:rPr>
          <w:rFonts w:asciiTheme="minorHAnsi" w:hAnsiTheme="minorHAnsi"/>
          <w:color w:val="auto"/>
          <w:szCs w:val="24"/>
        </w:rPr>
        <w:t>“locking,”</w:t>
      </w:r>
      <w:r w:rsidRPr="00A1273F">
        <w:rPr>
          <w:rFonts w:asciiTheme="minorHAnsi" w:hAnsiTheme="minorHAnsi"/>
          <w:color w:val="auto"/>
          <w:szCs w:val="24"/>
        </w:rPr>
        <w:t xml:space="preserve"> pain, and effusion into the joint,” was not appropriate.  </w:t>
      </w:r>
      <w:r w:rsidR="00DF090D" w:rsidRPr="00A1273F">
        <w:rPr>
          <w:rFonts w:asciiTheme="minorHAnsi" w:hAnsiTheme="minorHAnsi"/>
          <w:color w:val="auto"/>
          <w:szCs w:val="24"/>
        </w:rPr>
        <w:t xml:space="preserve">The CI had documented meniscal pathology, and underwent an arthroscopic partial medial </w:t>
      </w:r>
      <w:proofErr w:type="spellStart"/>
      <w:r w:rsidR="00DF090D" w:rsidRPr="00A1273F">
        <w:rPr>
          <w:rFonts w:asciiTheme="minorHAnsi" w:hAnsiTheme="minorHAnsi"/>
          <w:color w:val="auto"/>
          <w:szCs w:val="24"/>
        </w:rPr>
        <w:t>meniscectomy</w:t>
      </w:r>
      <w:proofErr w:type="spellEnd"/>
      <w:r w:rsidR="00DF090D" w:rsidRPr="00A1273F">
        <w:rPr>
          <w:rFonts w:asciiTheme="minorHAnsi" w:hAnsiTheme="minorHAnsi"/>
          <w:color w:val="auto"/>
          <w:szCs w:val="24"/>
        </w:rPr>
        <w:t xml:space="preserve"> </w:t>
      </w:r>
      <w:r w:rsidR="00262785" w:rsidRPr="00A1273F">
        <w:rPr>
          <w:rFonts w:asciiTheme="minorHAnsi" w:hAnsiTheme="minorHAnsi"/>
          <w:color w:val="auto"/>
          <w:szCs w:val="24"/>
        </w:rPr>
        <w:t xml:space="preserve">14 months </w:t>
      </w:r>
      <w:r w:rsidR="002A2DF0">
        <w:rPr>
          <w:rFonts w:asciiTheme="minorHAnsi" w:hAnsiTheme="minorHAnsi"/>
          <w:color w:val="auto"/>
          <w:szCs w:val="24"/>
        </w:rPr>
        <w:t xml:space="preserve">prior to </w:t>
      </w:r>
      <w:r w:rsidR="00262785" w:rsidRPr="00A1273F">
        <w:rPr>
          <w:rFonts w:asciiTheme="minorHAnsi" w:hAnsiTheme="minorHAnsi"/>
          <w:color w:val="auto"/>
          <w:szCs w:val="24"/>
        </w:rPr>
        <w:t xml:space="preserve">separation, so the </w:t>
      </w:r>
      <w:r w:rsidRPr="00A1273F">
        <w:rPr>
          <w:rFonts w:asciiTheme="minorHAnsi" w:hAnsiTheme="minorHAnsi"/>
          <w:color w:val="auto"/>
          <w:szCs w:val="24"/>
        </w:rPr>
        <w:t xml:space="preserve">5259 post-menisectomy code would be a rational coding option.  </w:t>
      </w:r>
      <w:r w:rsidR="005D20C7" w:rsidRPr="00A1273F">
        <w:rPr>
          <w:rFonts w:asciiTheme="minorHAnsi" w:hAnsiTheme="minorHAnsi"/>
          <w:color w:val="auto"/>
          <w:szCs w:val="24"/>
        </w:rPr>
        <w:t xml:space="preserve">Nevertheless, the PEB’s analogous 5003, degenerative arthritis, is acceptable, and does not </w:t>
      </w:r>
      <w:r w:rsidR="00143B5B" w:rsidRPr="00A1273F">
        <w:rPr>
          <w:rFonts w:asciiTheme="minorHAnsi" w:hAnsiTheme="minorHAnsi"/>
          <w:color w:val="auto"/>
          <w:szCs w:val="24"/>
        </w:rPr>
        <w:t>result in a less favorable</w:t>
      </w:r>
      <w:r w:rsidR="005D20C7" w:rsidRPr="00A1273F">
        <w:rPr>
          <w:rFonts w:asciiTheme="minorHAnsi" w:hAnsiTheme="minorHAnsi"/>
          <w:color w:val="auto"/>
          <w:szCs w:val="24"/>
        </w:rPr>
        <w:t xml:space="preserve"> rating.  </w:t>
      </w:r>
      <w:r w:rsidRPr="00A1273F">
        <w:rPr>
          <w:rFonts w:asciiTheme="minorHAnsi" w:hAnsiTheme="minorHAnsi"/>
          <w:color w:val="auto"/>
          <w:szCs w:val="24"/>
        </w:rPr>
        <w:t>The Board determined that, without a minimum compensable limitation under another code (beyond §4.59 or §4.40), there were insufficient symptoms to support dual rating</w:t>
      </w:r>
      <w:r w:rsidRPr="003D275F">
        <w:rPr>
          <w:rFonts w:asciiTheme="minorHAnsi" w:hAnsiTheme="minorHAnsi"/>
          <w:color w:val="auto"/>
          <w:szCs w:val="24"/>
        </w:rPr>
        <w:t xml:space="preserve"> of </w:t>
      </w:r>
      <w:r w:rsidR="00262785">
        <w:rPr>
          <w:rFonts w:asciiTheme="minorHAnsi" w:hAnsiTheme="minorHAnsi"/>
          <w:color w:val="auto"/>
          <w:szCs w:val="24"/>
        </w:rPr>
        <w:t>the</w:t>
      </w:r>
      <w:r w:rsidRPr="003D275F">
        <w:rPr>
          <w:rFonts w:asciiTheme="minorHAnsi" w:hAnsiTheme="minorHAnsi"/>
          <w:color w:val="auto"/>
          <w:szCs w:val="24"/>
        </w:rPr>
        <w:t xml:space="preserve"> </w:t>
      </w:r>
      <w:r w:rsidR="00262785">
        <w:rPr>
          <w:rFonts w:asciiTheme="minorHAnsi" w:hAnsiTheme="minorHAnsi"/>
          <w:color w:val="auto"/>
          <w:szCs w:val="24"/>
        </w:rPr>
        <w:t xml:space="preserve">right </w:t>
      </w:r>
      <w:r w:rsidRPr="003D275F">
        <w:rPr>
          <w:rFonts w:asciiTheme="minorHAnsi" w:hAnsiTheme="minorHAnsi"/>
          <w:color w:val="auto"/>
          <w:szCs w:val="24"/>
        </w:rPr>
        <w:t>knee.  Thus there is no route</w:t>
      </w:r>
      <w:r w:rsidRPr="00243222">
        <w:rPr>
          <w:rFonts w:asciiTheme="minorHAnsi" w:hAnsiTheme="minorHAnsi"/>
          <w:color w:val="auto"/>
          <w:szCs w:val="24"/>
        </w:rPr>
        <w:t xml:space="preserve"> to higher than a 10% rating under any other applicable codes and no criterion for dual coding of the joint impairment.  </w:t>
      </w:r>
      <w:r>
        <w:rPr>
          <w:rFonts w:asciiTheme="minorHAnsi" w:hAnsiTheme="minorHAnsi"/>
          <w:color w:val="auto"/>
          <w:szCs w:val="24"/>
        </w:rPr>
        <w:t>Although there is no compensable ROM deficiency proximate to separation, there is sufficient evidence of painful motion (</w:t>
      </w:r>
      <w:r w:rsidRPr="003036C0">
        <w:rPr>
          <w:rFonts w:asciiTheme="minorHAnsi" w:hAnsiTheme="minorHAnsi"/>
          <w:color w:val="auto"/>
          <w:szCs w:val="24"/>
        </w:rPr>
        <w:t>§</w:t>
      </w:r>
      <w:r>
        <w:rPr>
          <w:rFonts w:asciiTheme="minorHAnsi" w:hAnsiTheme="minorHAnsi"/>
          <w:color w:val="auto"/>
          <w:szCs w:val="24"/>
        </w:rPr>
        <w:t>4.59) and/or pain with use (</w:t>
      </w:r>
      <w:r w:rsidRPr="003036C0">
        <w:rPr>
          <w:rFonts w:asciiTheme="minorHAnsi" w:hAnsiTheme="minorHAnsi"/>
          <w:color w:val="auto"/>
          <w:szCs w:val="24"/>
        </w:rPr>
        <w:t>§</w:t>
      </w:r>
      <w:r>
        <w:rPr>
          <w:rFonts w:asciiTheme="minorHAnsi" w:hAnsiTheme="minorHAnsi"/>
          <w:color w:val="auto"/>
          <w:szCs w:val="24"/>
        </w:rPr>
        <w:t xml:space="preserve">4.40) to justify a minimal compensable rating under </w:t>
      </w:r>
      <w:r w:rsidRPr="003036C0">
        <w:rPr>
          <w:rFonts w:asciiTheme="minorHAnsi" w:hAnsiTheme="minorHAnsi"/>
          <w:color w:val="auto"/>
          <w:szCs w:val="24"/>
        </w:rPr>
        <w:t>§</w:t>
      </w:r>
      <w:r>
        <w:rPr>
          <w:rFonts w:asciiTheme="minorHAnsi" w:hAnsiTheme="minorHAnsi"/>
          <w:color w:val="auto"/>
          <w:szCs w:val="24"/>
        </w:rPr>
        <w:t xml:space="preserve">4.71a.  </w:t>
      </w:r>
      <w:r w:rsidR="00262785">
        <w:rPr>
          <w:rFonts w:asciiTheme="minorHAnsi" w:hAnsiTheme="minorHAnsi"/>
          <w:color w:val="auto"/>
          <w:szCs w:val="24"/>
        </w:rPr>
        <w:t xml:space="preserve">All </w:t>
      </w:r>
      <w:r w:rsidR="00262785" w:rsidRPr="00396779">
        <w:rPr>
          <w:rFonts w:asciiTheme="minorHAnsi" w:hAnsiTheme="minorHAnsi"/>
          <w:color w:val="auto"/>
          <w:szCs w:val="24"/>
        </w:rPr>
        <w:t>evidence considered</w:t>
      </w:r>
      <w:proofErr w:type="gramStart"/>
      <w:r w:rsidR="00262785" w:rsidRPr="00396779">
        <w:rPr>
          <w:rFonts w:asciiTheme="minorHAnsi" w:hAnsiTheme="minorHAnsi"/>
          <w:color w:val="auto"/>
          <w:szCs w:val="24"/>
        </w:rPr>
        <w:t>,</w:t>
      </w:r>
      <w:proofErr w:type="gramEnd"/>
      <w:r w:rsidR="00262785" w:rsidRPr="00396779">
        <w:rPr>
          <w:rFonts w:asciiTheme="minorHAnsi" w:hAnsiTheme="minorHAnsi"/>
          <w:color w:val="auto"/>
          <w:szCs w:val="24"/>
        </w:rPr>
        <w:t xml:space="preserve"> there is not reasonable doubt in the CI’s favor supporting a change from the PEB’s rating decision for the </w:t>
      </w:r>
      <w:r w:rsidR="00262785">
        <w:rPr>
          <w:rFonts w:asciiTheme="minorHAnsi" w:hAnsiTheme="minorHAnsi"/>
          <w:color w:val="auto"/>
          <w:szCs w:val="24"/>
        </w:rPr>
        <w:t>right knee</w:t>
      </w:r>
      <w:r w:rsidR="00262785" w:rsidRPr="00396779">
        <w:rPr>
          <w:rFonts w:asciiTheme="minorHAnsi" w:hAnsiTheme="minorHAnsi"/>
          <w:color w:val="auto"/>
          <w:szCs w:val="24"/>
        </w:rPr>
        <w:t xml:space="preserve"> condition.</w:t>
      </w:r>
      <w:r w:rsidR="00262785">
        <w:rPr>
          <w:rFonts w:asciiTheme="minorHAnsi" w:hAnsiTheme="minorHAnsi"/>
          <w:color w:val="auto"/>
          <w:szCs w:val="24"/>
        </w:rPr>
        <w:t xml:space="preserve">  </w:t>
      </w:r>
    </w:p>
    <w:p w:rsidR="00FE4BBB" w:rsidRPr="001F29F9" w:rsidRDefault="00FE4BBB" w:rsidP="00BF0E94">
      <w:pPr>
        <w:jc w:val="left"/>
        <w:rPr>
          <w:color w:val="000000" w:themeColor="text1"/>
          <w:szCs w:val="24"/>
          <w:u w:val="single"/>
        </w:rPr>
      </w:pPr>
    </w:p>
    <w:p w:rsidR="00F13F5E" w:rsidRDefault="004C60A3" w:rsidP="00262785">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8C3223" w:rsidRPr="00A1273F">
        <w:rPr>
          <w:color w:val="000000" w:themeColor="text1"/>
          <w:szCs w:val="24"/>
        </w:rPr>
        <w:t xml:space="preserve">The other conditions forwarded by the MEB and adjudicated as not unfitting by the PEB were </w:t>
      </w:r>
      <w:r w:rsidR="00E17A5A" w:rsidRPr="00A1273F">
        <w:rPr>
          <w:color w:val="000000" w:themeColor="text1"/>
          <w:szCs w:val="24"/>
        </w:rPr>
        <w:t xml:space="preserve">facial </w:t>
      </w:r>
      <w:r w:rsidR="00D81250" w:rsidRPr="00A1273F">
        <w:rPr>
          <w:color w:val="000000" w:themeColor="text1"/>
          <w:szCs w:val="24"/>
        </w:rPr>
        <w:t xml:space="preserve">(seventh cranial) </w:t>
      </w:r>
      <w:r w:rsidR="00E17A5A" w:rsidRPr="00A1273F">
        <w:rPr>
          <w:color w:val="000000" w:themeColor="text1"/>
          <w:szCs w:val="24"/>
        </w:rPr>
        <w:t>neur</w:t>
      </w:r>
      <w:r w:rsidR="00262785" w:rsidRPr="00A1273F">
        <w:rPr>
          <w:color w:val="000000" w:themeColor="text1"/>
          <w:szCs w:val="24"/>
        </w:rPr>
        <w:t>a</w:t>
      </w:r>
      <w:r w:rsidR="00E17A5A" w:rsidRPr="00A1273F">
        <w:rPr>
          <w:color w:val="000000" w:themeColor="text1"/>
          <w:szCs w:val="24"/>
        </w:rPr>
        <w:t>lgia</w:t>
      </w:r>
      <w:r w:rsidR="00413999" w:rsidRPr="00A1273F">
        <w:rPr>
          <w:color w:val="000000" w:themeColor="text1"/>
          <w:szCs w:val="24"/>
        </w:rPr>
        <w:t xml:space="preserve"> (VA 10%)</w:t>
      </w:r>
      <w:r w:rsidR="008C3223" w:rsidRPr="00A1273F">
        <w:rPr>
          <w:color w:val="000000" w:themeColor="text1"/>
          <w:szCs w:val="24"/>
        </w:rPr>
        <w:t xml:space="preserve">, </w:t>
      </w:r>
      <w:r w:rsidR="00E17A5A" w:rsidRPr="00A1273F">
        <w:rPr>
          <w:color w:val="000000" w:themeColor="text1"/>
          <w:szCs w:val="24"/>
        </w:rPr>
        <w:t>migraine headaches</w:t>
      </w:r>
      <w:r w:rsidR="00D81250" w:rsidRPr="00A1273F">
        <w:rPr>
          <w:color w:val="000000" w:themeColor="text1"/>
          <w:szCs w:val="24"/>
        </w:rPr>
        <w:t xml:space="preserve"> (VA 0%),</w:t>
      </w:r>
      <w:r w:rsidR="008C3223" w:rsidRPr="00A1273F">
        <w:rPr>
          <w:color w:val="000000" w:themeColor="text1"/>
          <w:szCs w:val="24"/>
        </w:rPr>
        <w:t xml:space="preserve"> and </w:t>
      </w:r>
      <w:r w:rsidR="00E17A5A" w:rsidRPr="00A1273F">
        <w:rPr>
          <w:color w:val="000000" w:themeColor="text1"/>
          <w:szCs w:val="24"/>
        </w:rPr>
        <w:t xml:space="preserve">mild </w:t>
      </w:r>
      <w:proofErr w:type="spellStart"/>
      <w:r w:rsidR="00E17A5A" w:rsidRPr="00A1273F">
        <w:rPr>
          <w:color w:val="000000" w:themeColor="text1"/>
          <w:szCs w:val="24"/>
        </w:rPr>
        <w:t>sensorneural</w:t>
      </w:r>
      <w:proofErr w:type="spellEnd"/>
      <w:r w:rsidR="00E17A5A" w:rsidRPr="00A1273F">
        <w:rPr>
          <w:color w:val="000000" w:themeColor="text1"/>
          <w:szCs w:val="24"/>
        </w:rPr>
        <w:t xml:space="preserve"> hearing los</w:t>
      </w:r>
      <w:r w:rsidR="00D81250" w:rsidRPr="00A1273F">
        <w:rPr>
          <w:color w:val="000000" w:themeColor="text1"/>
          <w:szCs w:val="24"/>
        </w:rPr>
        <w:t>s (VA 0%)</w:t>
      </w:r>
      <w:r w:rsidR="008C3223" w:rsidRPr="00A1273F">
        <w:rPr>
          <w:color w:val="000000" w:themeColor="text1"/>
          <w:szCs w:val="24"/>
        </w:rPr>
        <w:t xml:space="preserve">.  </w:t>
      </w:r>
      <w:r w:rsidR="00A1656B" w:rsidRPr="00A1273F">
        <w:rPr>
          <w:color w:val="000000" w:themeColor="text1"/>
          <w:szCs w:val="24"/>
        </w:rPr>
        <w:t xml:space="preserve">The CI addressed the </w:t>
      </w:r>
      <w:r w:rsidR="00AA3BCE" w:rsidRPr="00A1273F">
        <w:rPr>
          <w:color w:val="000000" w:themeColor="text1"/>
          <w:szCs w:val="24"/>
        </w:rPr>
        <w:t xml:space="preserve">neuralgia and hearing loss </w:t>
      </w:r>
      <w:r w:rsidR="00CC75AA" w:rsidRPr="00A1273F">
        <w:rPr>
          <w:color w:val="000000" w:themeColor="text1"/>
          <w:szCs w:val="24"/>
        </w:rPr>
        <w:t xml:space="preserve">conditions </w:t>
      </w:r>
      <w:r w:rsidR="00AA3BCE" w:rsidRPr="00A1273F">
        <w:rPr>
          <w:color w:val="000000" w:themeColor="text1"/>
          <w:szCs w:val="24"/>
        </w:rPr>
        <w:t>in his rebuttal to</w:t>
      </w:r>
      <w:r w:rsidR="00AA3BCE">
        <w:rPr>
          <w:color w:val="000000" w:themeColor="text1"/>
          <w:szCs w:val="24"/>
        </w:rPr>
        <w:t xml:space="preserve"> the PEB, stating he could not wear his hearing aid, helmet, or chemical protective gear due to his facial pain, and that his hearing loss caused him difficulty with communication.  The </w:t>
      </w:r>
      <w:proofErr w:type="spellStart"/>
      <w:r w:rsidR="00AA3BCE">
        <w:rPr>
          <w:color w:val="000000" w:themeColor="text1"/>
          <w:szCs w:val="24"/>
        </w:rPr>
        <w:t>comander’s</w:t>
      </w:r>
      <w:proofErr w:type="spellEnd"/>
      <w:r w:rsidR="00AA3BCE">
        <w:rPr>
          <w:color w:val="000000" w:themeColor="text1"/>
          <w:szCs w:val="24"/>
        </w:rPr>
        <w:t xml:space="preserve"> statement also noted the CI could not wear his issued protective gear (it also noted the CI could not lift greater than 20 lbs, although this restriction was not documented elsewhere in the DES file)</w:t>
      </w:r>
      <w:r w:rsidR="00D46C40">
        <w:rPr>
          <w:color w:val="000000" w:themeColor="text1"/>
          <w:szCs w:val="24"/>
        </w:rPr>
        <w:t>, but did not mention hearing loss</w:t>
      </w:r>
      <w:r w:rsidR="00AA3BCE">
        <w:rPr>
          <w:color w:val="000000" w:themeColor="text1"/>
          <w:szCs w:val="24"/>
        </w:rPr>
        <w:t xml:space="preserve">.  The permanent profile </w:t>
      </w:r>
      <w:r w:rsidR="00D46C40">
        <w:rPr>
          <w:color w:val="000000" w:themeColor="text1"/>
          <w:szCs w:val="24"/>
        </w:rPr>
        <w:t xml:space="preserve">stated the CI was able to wear all </w:t>
      </w:r>
      <w:r w:rsidR="00AA3BCE">
        <w:rPr>
          <w:color w:val="000000" w:themeColor="text1"/>
          <w:szCs w:val="24"/>
        </w:rPr>
        <w:t xml:space="preserve">chemical protective </w:t>
      </w:r>
      <w:r w:rsidR="00D46C40">
        <w:rPr>
          <w:color w:val="000000" w:themeColor="text1"/>
          <w:szCs w:val="24"/>
        </w:rPr>
        <w:t xml:space="preserve">equipment, </w:t>
      </w:r>
      <w:r w:rsidR="00CC75AA">
        <w:rPr>
          <w:color w:val="000000" w:themeColor="text1"/>
          <w:szCs w:val="24"/>
        </w:rPr>
        <w:t xml:space="preserve">it </w:t>
      </w:r>
      <w:r w:rsidR="00D46C40">
        <w:rPr>
          <w:color w:val="000000" w:themeColor="text1"/>
          <w:szCs w:val="24"/>
        </w:rPr>
        <w:t xml:space="preserve">did not restrict him from wearing a helmet, and </w:t>
      </w:r>
      <w:r w:rsidR="00143B5B">
        <w:rPr>
          <w:color w:val="000000" w:themeColor="text1"/>
          <w:szCs w:val="24"/>
        </w:rPr>
        <w:t xml:space="preserve">it </w:t>
      </w:r>
      <w:r w:rsidR="00D46C40">
        <w:rPr>
          <w:color w:val="000000" w:themeColor="text1"/>
          <w:szCs w:val="24"/>
        </w:rPr>
        <w:t>mandated an annual hearing test (H2 designation).</w:t>
      </w:r>
      <w:r w:rsidR="00AA3BCE">
        <w:rPr>
          <w:color w:val="000000" w:themeColor="text1"/>
          <w:szCs w:val="24"/>
        </w:rPr>
        <w:t xml:space="preserve"> </w:t>
      </w:r>
      <w:r w:rsidR="00D46C40">
        <w:rPr>
          <w:color w:val="000000" w:themeColor="text1"/>
          <w:szCs w:val="24"/>
        </w:rPr>
        <w:t xml:space="preserve"> The FPEB responded to the CI’s rebuttal, stating:</w:t>
      </w:r>
    </w:p>
    <w:p w:rsidR="00D46C40" w:rsidRDefault="00D46C40" w:rsidP="00262785">
      <w:pPr>
        <w:jc w:val="both"/>
        <w:rPr>
          <w:color w:val="000000" w:themeColor="text1"/>
          <w:szCs w:val="24"/>
        </w:rPr>
      </w:pPr>
    </w:p>
    <w:p w:rsidR="00D46C40" w:rsidRPr="00A77B21" w:rsidRDefault="00D46C40" w:rsidP="009B6EF2">
      <w:pPr>
        <w:spacing w:line="200" w:lineRule="exact"/>
        <w:ind w:left="720" w:right="720"/>
        <w:jc w:val="both"/>
        <w:rPr>
          <w:color w:val="000000" w:themeColor="text1"/>
          <w:sz w:val="20"/>
        </w:rPr>
      </w:pPr>
      <w:r w:rsidRPr="00A77B21">
        <w:rPr>
          <w:color w:val="000000" w:themeColor="text1"/>
          <w:sz w:val="20"/>
        </w:rPr>
        <w:t xml:space="preserve">Soldier's claim that he has not been properly evaluated by neurology and audiology is not substantiated by the medical evidence provided with the Medical Board.  He was evaluated on 18 April 2006 by neurology and his condition was found to be medically acceptable. </w:t>
      </w:r>
      <w:r w:rsidR="00A77B21" w:rsidRPr="00A77B21">
        <w:rPr>
          <w:color w:val="000000" w:themeColor="text1"/>
          <w:sz w:val="20"/>
        </w:rPr>
        <w:t xml:space="preserve"> </w:t>
      </w:r>
      <w:r w:rsidRPr="00A77B21">
        <w:rPr>
          <w:color w:val="000000" w:themeColor="text1"/>
          <w:sz w:val="20"/>
        </w:rPr>
        <w:t>Soldier was evaluated by audiology on 14 April 2006 which noted his problems with tolerating his</w:t>
      </w:r>
      <w:r w:rsidR="00A77B21" w:rsidRPr="00A77B21">
        <w:rPr>
          <w:color w:val="000000" w:themeColor="text1"/>
          <w:sz w:val="20"/>
        </w:rPr>
        <w:t xml:space="preserve"> </w:t>
      </w:r>
      <w:r w:rsidRPr="00A77B21">
        <w:rPr>
          <w:color w:val="000000" w:themeColor="text1"/>
          <w:sz w:val="20"/>
        </w:rPr>
        <w:t xml:space="preserve">hearing aids, but found his condition to be medically acceptable. </w:t>
      </w:r>
      <w:r w:rsidR="00A77B21" w:rsidRPr="00A77B21">
        <w:rPr>
          <w:color w:val="000000" w:themeColor="text1"/>
          <w:sz w:val="20"/>
        </w:rPr>
        <w:t xml:space="preserve"> </w:t>
      </w:r>
      <w:r w:rsidRPr="00A77B21">
        <w:rPr>
          <w:color w:val="000000" w:themeColor="text1"/>
          <w:sz w:val="20"/>
        </w:rPr>
        <w:t>The PEB</w:t>
      </w:r>
      <w:r w:rsidR="00A77B21" w:rsidRPr="00A77B21">
        <w:rPr>
          <w:color w:val="000000" w:themeColor="text1"/>
          <w:sz w:val="20"/>
        </w:rPr>
        <w:t xml:space="preserve"> </w:t>
      </w:r>
      <w:r w:rsidRPr="00A77B21">
        <w:rPr>
          <w:color w:val="000000" w:themeColor="text1"/>
          <w:sz w:val="20"/>
        </w:rPr>
        <w:t xml:space="preserve">notes that a neurologist was a member of the Soldier's MEB. </w:t>
      </w:r>
      <w:r w:rsidR="009B6EF2">
        <w:rPr>
          <w:color w:val="000000" w:themeColor="text1"/>
          <w:sz w:val="20"/>
        </w:rPr>
        <w:t xml:space="preserve"> </w:t>
      </w:r>
      <w:r w:rsidRPr="00A77B21">
        <w:rPr>
          <w:color w:val="000000" w:themeColor="text1"/>
          <w:sz w:val="20"/>
        </w:rPr>
        <w:t>Soldier's claim</w:t>
      </w:r>
      <w:r w:rsidR="00A77B21" w:rsidRPr="00A77B21">
        <w:rPr>
          <w:color w:val="000000" w:themeColor="text1"/>
          <w:sz w:val="20"/>
        </w:rPr>
        <w:t xml:space="preserve"> </w:t>
      </w:r>
      <w:r w:rsidRPr="00A77B21">
        <w:rPr>
          <w:color w:val="000000" w:themeColor="text1"/>
          <w:sz w:val="20"/>
        </w:rPr>
        <w:t>that daily narcotics were required to control</w:t>
      </w:r>
      <w:r w:rsidR="00A77B21" w:rsidRPr="00A77B21">
        <w:rPr>
          <w:color w:val="000000" w:themeColor="text1"/>
          <w:sz w:val="20"/>
        </w:rPr>
        <w:t xml:space="preserve"> his knee pain is not substantiated by his medication profile.</w:t>
      </w:r>
    </w:p>
    <w:p w:rsidR="00D46C40" w:rsidRDefault="00D46C40" w:rsidP="00262785">
      <w:pPr>
        <w:jc w:val="both"/>
        <w:rPr>
          <w:color w:val="000000" w:themeColor="text1"/>
          <w:szCs w:val="24"/>
        </w:rPr>
      </w:pPr>
    </w:p>
    <w:p w:rsidR="00F13F5E" w:rsidRDefault="00A77B21" w:rsidP="00A77B21">
      <w:pPr>
        <w:jc w:val="both"/>
        <w:rPr>
          <w:color w:val="000000" w:themeColor="text1"/>
          <w:szCs w:val="24"/>
        </w:rPr>
      </w:pPr>
      <w:r>
        <w:rPr>
          <w:color w:val="000000" w:themeColor="text1"/>
          <w:szCs w:val="24"/>
        </w:rPr>
        <w:t>The USAPDA responded to the CI’s rebuttal, stating the case was properly adjudicated by the FPEB.  The USAPDA responded similarly to a Congressional inquiry, noting “…</w:t>
      </w:r>
      <w:r w:rsidRPr="00A77B21">
        <w:rPr>
          <w:color w:val="000000" w:themeColor="text1"/>
          <w:szCs w:val="24"/>
        </w:rPr>
        <w:t>only the right knee pain significantly interfered with his abilities to</w:t>
      </w:r>
      <w:r>
        <w:rPr>
          <w:color w:val="000000" w:themeColor="text1"/>
          <w:szCs w:val="24"/>
        </w:rPr>
        <w:t xml:space="preserve"> </w:t>
      </w:r>
      <w:r w:rsidRPr="00A77B21">
        <w:rPr>
          <w:color w:val="000000" w:themeColor="text1"/>
          <w:szCs w:val="24"/>
        </w:rPr>
        <w:t>accomplish his assigned duties.</w:t>
      </w:r>
      <w:r>
        <w:rPr>
          <w:color w:val="000000" w:themeColor="text1"/>
          <w:szCs w:val="24"/>
        </w:rPr>
        <w:t>”</w:t>
      </w:r>
      <w:r w:rsidR="009B6EF2">
        <w:rPr>
          <w:color w:val="000000" w:themeColor="text1"/>
          <w:szCs w:val="24"/>
        </w:rPr>
        <w:t xml:space="preserve">  </w:t>
      </w:r>
    </w:p>
    <w:p w:rsidR="009B6EF2" w:rsidRDefault="009B6EF2" w:rsidP="00044BC9">
      <w:pPr>
        <w:jc w:val="both"/>
        <w:rPr>
          <w:color w:val="000000" w:themeColor="text1"/>
          <w:szCs w:val="24"/>
        </w:rPr>
      </w:pPr>
    </w:p>
    <w:p w:rsidR="009B6EF2" w:rsidRDefault="00BB0A23" w:rsidP="00044BC9">
      <w:pPr>
        <w:jc w:val="both"/>
        <w:rPr>
          <w:color w:val="000000" w:themeColor="text1"/>
          <w:szCs w:val="24"/>
        </w:rPr>
      </w:pPr>
      <w:r w:rsidRPr="00BB0A23">
        <w:rPr>
          <w:color w:val="000000" w:themeColor="text1"/>
          <w:szCs w:val="24"/>
        </w:rPr>
        <w:t>The Board’s threshold for countering DES fitness determinations is higher than the VASRD §4.3 (reasonable doubt) standard used for its rating recommendations, but remains adherent to the DoDI 6040.44 “fair and equitable” standard.</w:t>
      </w:r>
      <w:r w:rsidR="00143B5B">
        <w:rPr>
          <w:color w:val="000000" w:themeColor="text1"/>
          <w:szCs w:val="24"/>
        </w:rPr>
        <w:t xml:space="preserve">  </w:t>
      </w:r>
      <w:r w:rsidR="00AA3BCE" w:rsidRPr="00AA3BCE">
        <w:rPr>
          <w:color w:val="000000" w:themeColor="text1"/>
          <w:szCs w:val="24"/>
        </w:rPr>
        <w:t xml:space="preserve">The established DES (and Board applicable) principle for fitness determinations is that they are performance-based. </w:t>
      </w:r>
      <w:r w:rsidR="00AA3BCE">
        <w:rPr>
          <w:color w:val="000000" w:themeColor="text1"/>
          <w:szCs w:val="24"/>
        </w:rPr>
        <w:t xml:space="preserve"> </w:t>
      </w:r>
      <w:r w:rsidR="00FB5610">
        <w:rPr>
          <w:color w:val="000000" w:themeColor="text1"/>
          <w:szCs w:val="24"/>
        </w:rPr>
        <w:t xml:space="preserve">Clearly, there was conflicting opinion in the record, as to whether the CI’s facial neuralgia and/or hearing loss interfered with his duty performance.  </w:t>
      </w:r>
      <w:r w:rsidR="002A2DF0">
        <w:rPr>
          <w:color w:val="000000" w:themeColor="text1"/>
          <w:szCs w:val="24"/>
        </w:rPr>
        <w:t>The s</w:t>
      </w:r>
      <w:r w:rsidR="00044BC9">
        <w:rPr>
          <w:color w:val="000000" w:themeColor="text1"/>
          <w:szCs w:val="24"/>
        </w:rPr>
        <w:t xml:space="preserve">ervice treatment record </w:t>
      </w:r>
      <w:r w:rsidR="002A2DF0">
        <w:rPr>
          <w:color w:val="000000" w:themeColor="text1"/>
          <w:szCs w:val="24"/>
        </w:rPr>
        <w:t xml:space="preserve">(STR) </w:t>
      </w:r>
      <w:r w:rsidR="00044BC9">
        <w:rPr>
          <w:color w:val="000000" w:themeColor="text1"/>
          <w:szCs w:val="24"/>
        </w:rPr>
        <w:t xml:space="preserve">indicates the CI experienced neuropathic pain on the right side of his face, and this </w:t>
      </w:r>
      <w:r w:rsidR="007333DE">
        <w:rPr>
          <w:color w:val="000000" w:themeColor="text1"/>
          <w:szCs w:val="24"/>
        </w:rPr>
        <w:t>may be</w:t>
      </w:r>
      <w:r w:rsidR="00044BC9">
        <w:rPr>
          <w:color w:val="000000" w:themeColor="text1"/>
          <w:szCs w:val="24"/>
        </w:rPr>
        <w:t xml:space="preserve"> consistent with an inability to wear a helmet, chemical protective mask, or ear muffs</w:t>
      </w:r>
      <w:r w:rsidR="007333DE">
        <w:rPr>
          <w:color w:val="000000" w:themeColor="text1"/>
          <w:szCs w:val="24"/>
        </w:rPr>
        <w:t>; although this was not a profile restriction</w:t>
      </w:r>
      <w:r w:rsidR="00044BC9">
        <w:rPr>
          <w:color w:val="000000" w:themeColor="text1"/>
          <w:szCs w:val="24"/>
        </w:rPr>
        <w:t xml:space="preserve">.  </w:t>
      </w:r>
      <w:r w:rsidR="00854603">
        <w:rPr>
          <w:color w:val="000000" w:themeColor="text1"/>
          <w:szCs w:val="24"/>
        </w:rPr>
        <w:t xml:space="preserve">During both </w:t>
      </w:r>
      <w:r w:rsidR="002A2DF0">
        <w:rPr>
          <w:color w:val="000000" w:themeColor="text1"/>
          <w:szCs w:val="24"/>
        </w:rPr>
        <w:t>s</w:t>
      </w:r>
      <w:r w:rsidR="00854603">
        <w:rPr>
          <w:color w:val="000000" w:themeColor="text1"/>
          <w:szCs w:val="24"/>
        </w:rPr>
        <w:t xml:space="preserve">ervice and VA exams, the CI </w:t>
      </w:r>
      <w:r w:rsidR="00250BC2">
        <w:rPr>
          <w:color w:val="000000" w:themeColor="text1"/>
          <w:szCs w:val="24"/>
        </w:rPr>
        <w:t>indicated he could</w:t>
      </w:r>
      <w:r w:rsidR="00854603">
        <w:rPr>
          <w:color w:val="000000" w:themeColor="text1"/>
          <w:szCs w:val="24"/>
        </w:rPr>
        <w:t xml:space="preserve"> not tolerate </w:t>
      </w:r>
      <w:r w:rsidR="00854603">
        <w:rPr>
          <w:color w:val="000000" w:themeColor="text1"/>
          <w:szCs w:val="24"/>
        </w:rPr>
        <w:lastRenderedPageBreak/>
        <w:t>wearing ear phones for an air conduction audiogram</w:t>
      </w:r>
      <w:r w:rsidR="00250BC2">
        <w:rPr>
          <w:color w:val="000000" w:themeColor="text1"/>
          <w:szCs w:val="24"/>
        </w:rPr>
        <w:t xml:space="preserve">.  Both exams indicated </w:t>
      </w:r>
      <w:r w:rsidR="007333DE">
        <w:rPr>
          <w:color w:val="000000" w:themeColor="text1"/>
          <w:szCs w:val="24"/>
        </w:rPr>
        <w:t>speech discrimination was good in both ears</w:t>
      </w:r>
      <w:r w:rsidR="00250BC2">
        <w:rPr>
          <w:color w:val="000000" w:themeColor="text1"/>
          <w:szCs w:val="24"/>
        </w:rPr>
        <w:t xml:space="preserve">, and the VA exam indicated good bone </w:t>
      </w:r>
      <w:proofErr w:type="spellStart"/>
      <w:r w:rsidR="00250BC2">
        <w:rPr>
          <w:color w:val="000000" w:themeColor="text1"/>
          <w:szCs w:val="24"/>
        </w:rPr>
        <w:t>condution</w:t>
      </w:r>
      <w:proofErr w:type="spellEnd"/>
      <w:r w:rsidR="00250BC2">
        <w:rPr>
          <w:color w:val="000000" w:themeColor="text1"/>
          <w:szCs w:val="24"/>
        </w:rPr>
        <w:t xml:space="preserve"> hearing</w:t>
      </w:r>
      <w:r w:rsidR="00854603">
        <w:rPr>
          <w:color w:val="000000" w:themeColor="text1"/>
          <w:szCs w:val="24"/>
        </w:rPr>
        <w:t xml:space="preserve">.  </w:t>
      </w:r>
      <w:r w:rsidR="00250BC2">
        <w:rPr>
          <w:color w:val="000000" w:themeColor="text1"/>
          <w:szCs w:val="24"/>
        </w:rPr>
        <w:t xml:space="preserve">The VA general exam, two months </w:t>
      </w:r>
      <w:r w:rsidR="002A2DF0">
        <w:rPr>
          <w:color w:val="000000" w:themeColor="text1"/>
          <w:szCs w:val="24"/>
        </w:rPr>
        <w:t>after</w:t>
      </w:r>
      <w:r w:rsidR="00250BC2">
        <w:rPr>
          <w:color w:val="000000" w:themeColor="text1"/>
          <w:szCs w:val="24"/>
        </w:rPr>
        <w:t xml:space="preserve"> separation, indicated the CI was wearing a hearing device in the right ear, and indicated a loss of sharp from dull discrimination over the right side of the face; there was no indication of hyperesthesia or pain in the ear canal or right face.  </w:t>
      </w:r>
    </w:p>
    <w:p w:rsidR="009B6EF2" w:rsidRDefault="009B6EF2" w:rsidP="00044BC9">
      <w:pPr>
        <w:jc w:val="both"/>
        <w:rPr>
          <w:color w:val="000000" w:themeColor="text1"/>
          <w:szCs w:val="24"/>
        </w:rPr>
      </w:pPr>
    </w:p>
    <w:p w:rsidR="002177CA" w:rsidRPr="001F29F9" w:rsidRDefault="00854603" w:rsidP="00044BC9">
      <w:pPr>
        <w:jc w:val="both"/>
        <w:rPr>
          <w:color w:val="000000" w:themeColor="text1"/>
          <w:szCs w:val="24"/>
        </w:rPr>
      </w:pPr>
      <w:r>
        <w:rPr>
          <w:color w:val="000000" w:themeColor="text1"/>
          <w:szCs w:val="24"/>
        </w:rPr>
        <w:t xml:space="preserve">There was insufficient evidence </w:t>
      </w:r>
      <w:r w:rsidRPr="001F29F9">
        <w:rPr>
          <w:color w:val="000000" w:themeColor="text1"/>
          <w:szCs w:val="24"/>
        </w:rPr>
        <w:t xml:space="preserve">from the record that </w:t>
      </w:r>
      <w:r>
        <w:rPr>
          <w:color w:val="000000" w:themeColor="text1"/>
          <w:szCs w:val="24"/>
        </w:rPr>
        <w:t xml:space="preserve">either the hearing loss or the migraine headaches </w:t>
      </w:r>
      <w:r w:rsidRPr="001F29F9">
        <w:rPr>
          <w:color w:val="000000" w:themeColor="text1"/>
          <w:szCs w:val="24"/>
        </w:rPr>
        <w:t>significantly interfered with satisfactory duty performance</w:t>
      </w:r>
      <w:r>
        <w:rPr>
          <w:color w:val="000000" w:themeColor="text1"/>
          <w:szCs w:val="24"/>
        </w:rPr>
        <w:t xml:space="preserve">.  Service </w:t>
      </w:r>
      <w:proofErr w:type="spellStart"/>
      <w:r>
        <w:rPr>
          <w:color w:val="000000" w:themeColor="text1"/>
          <w:szCs w:val="24"/>
        </w:rPr>
        <w:t>audiologic</w:t>
      </w:r>
      <w:proofErr w:type="spellEnd"/>
      <w:r>
        <w:rPr>
          <w:color w:val="000000" w:themeColor="text1"/>
          <w:szCs w:val="24"/>
        </w:rPr>
        <w:t xml:space="preserve"> evaluations revealed good word recognitions scores, and by the time of the VA </w:t>
      </w:r>
      <w:proofErr w:type="spellStart"/>
      <w:r>
        <w:rPr>
          <w:color w:val="000000" w:themeColor="text1"/>
          <w:szCs w:val="24"/>
        </w:rPr>
        <w:t>audiologic</w:t>
      </w:r>
      <w:proofErr w:type="spellEnd"/>
      <w:r>
        <w:rPr>
          <w:color w:val="000000" w:themeColor="text1"/>
          <w:szCs w:val="24"/>
        </w:rPr>
        <w:t xml:space="preserve"> exam two months </w:t>
      </w:r>
      <w:r w:rsidR="002A2DF0">
        <w:rPr>
          <w:color w:val="000000" w:themeColor="text1"/>
          <w:szCs w:val="24"/>
        </w:rPr>
        <w:t xml:space="preserve">after </w:t>
      </w:r>
      <w:r>
        <w:rPr>
          <w:color w:val="000000" w:themeColor="text1"/>
          <w:szCs w:val="24"/>
        </w:rPr>
        <w:t>separation, the CI had apparently been fitted with a hearing aid that he could tolerate</w:t>
      </w:r>
      <w:r w:rsidR="002177CA">
        <w:rPr>
          <w:color w:val="000000" w:themeColor="text1"/>
          <w:szCs w:val="24"/>
        </w:rPr>
        <w:t xml:space="preserve"> (“…has worn hearing aid … since 2005”)</w:t>
      </w:r>
      <w:r>
        <w:rPr>
          <w:color w:val="000000" w:themeColor="text1"/>
          <w:szCs w:val="24"/>
        </w:rPr>
        <w:t xml:space="preserve">.  The VA examiner found normal bone conduction hearing in the right ear, and </w:t>
      </w:r>
      <w:r w:rsidR="002177CA">
        <w:rPr>
          <w:color w:val="000000" w:themeColor="text1"/>
          <w:szCs w:val="24"/>
        </w:rPr>
        <w:t xml:space="preserve">the Maryland CNC speech discrimination score was 92 in that ear.  There was no evidence the CI’s migraine headaches significantly interfered with duty </w:t>
      </w:r>
      <w:r w:rsidR="002177CA" w:rsidRPr="00A1273F">
        <w:rPr>
          <w:color w:val="000000" w:themeColor="text1"/>
          <w:szCs w:val="24"/>
        </w:rPr>
        <w:t xml:space="preserve">performance.  </w:t>
      </w:r>
      <w:r w:rsidR="00ED11C6" w:rsidRPr="00A1273F">
        <w:rPr>
          <w:color w:val="000000" w:themeColor="text1"/>
          <w:szCs w:val="24"/>
        </w:rPr>
        <w:t xml:space="preserve">All of </w:t>
      </w:r>
      <w:proofErr w:type="spellStart"/>
      <w:r w:rsidR="00ED11C6" w:rsidRPr="00A1273F">
        <w:rPr>
          <w:color w:val="000000" w:themeColor="text1"/>
          <w:szCs w:val="24"/>
        </w:rPr>
        <w:t>thes</w:t>
      </w:r>
      <w:proofErr w:type="spellEnd"/>
      <w:r w:rsidR="00ED11C6" w:rsidRPr="00A1273F">
        <w:rPr>
          <w:color w:val="000000" w:themeColor="text1"/>
          <w:szCs w:val="24"/>
        </w:rPr>
        <w:t xml:space="preserve"> conditions were reviewed by the action officer and considered by the Board.  There was insufficient evidence from the record that any of these conditions significantly interfered with satisfactory duty performance.  </w:t>
      </w:r>
      <w:r w:rsidR="002177CA" w:rsidRPr="00A1273F">
        <w:rPr>
          <w:color w:val="000000" w:themeColor="text1"/>
          <w:szCs w:val="24"/>
        </w:rPr>
        <w:t>All evidence considered</w:t>
      </w:r>
      <w:proofErr w:type="gramStart"/>
      <w:r w:rsidR="002177CA" w:rsidRPr="00A1273F">
        <w:rPr>
          <w:color w:val="000000" w:themeColor="text1"/>
          <w:szCs w:val="24"/>
        </w:rPr>
        <w:t>,</w:t>
      </w:r>
      <w:proofErr w:type="gramEnd"/>
      <w:r w:rsidR="002177CA" w:rsidRPr="00A1273F">
        <w:rPr>
          <w:color w:val="000000" w:themeColor="text1"/>
          <w:szCs w:val="24"/>
        </w:rPr>
        <w:t xml:space="preserve"> there is not </w:t>
      </w:r>
      <w:r w:rsidR="009B6EF2" w:rsidRPr="00A1273F">
        <w:rPr>
          <w:color w:val="000000" w:themeColor="text1"/>
          <w:szCs w:val="24"/>
        </w:rPr>
        <w:t>a preponderance of evidence</w:t>
      </w:r>
      <w:r w:rsidR="002177CA" w:rsidRPr="00A1273F">
        <w:rPr>
          <w:color w:val="000000" w:themeColor="text1"/>
          <w:szCs w:val="24"/>
        </w:rPr>
        <w:t xml:space="preserve"> in the CI’s favor supporting recharacterization of the PEB fitness adjudication for the </w:t>
      </w:r>
      <w:r w:rsidR="00ED11C6" w:rsidRPr="00A1273F">
        <w:rPr>
          <w:color w:val="000000" w:themeColor="text1"/>
          <w:szCs w:val="24"/>
        </w:rPr>
        <w:t xml:space="preserve">facial neuralgia, </w:t>
      </w:r>
      <w:r w:rsidR="002177CA" w:rsidRPr="00A1273F">
        <w:rPr>
          <w:color w:val="000000" w:themeColor="text1"/>
          <w:szCs w:val="24"/>
        </w:rPr>
        <w:t>right ear hearing loss or migraine headaches conditi</w:t>
      </w:r>
      <w:r w:rsidR="002177CA" w:rsidRPr="001F29F9">
        <w:rPr>
          <w:color w:val="000000" w:themeColor="text1"/>
          <w:szCs w:val="24"/>
        </w:rPr>
        <w:t>ons.</w:t>
      </w:r>
    </w:p>
    <w:p w:rsidR="00ED11C6" w:rsidRDefault="00ED11C6" w:rsidP="00ED11C6">
      <w:pPr>
        <w:jc w:val="both"/>
        <w:rPr>
          <w:color w:val="000000" w:themeColor="text1"/>
          <w:szCs w:val="24"/>
        </w:rPr>
      </w:pPr>
    </w:p>
    <w:p w:rsidR="00EC337D" w:rsidRPr="001F29F9" w:rsidRDefault="00EC337D" w:rsidP="00262785">
      <w:pPr>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The CI’s application </w:t>
      </w:r>
      <w:r w:rsidRPr="00A1273F">
        <w:rPr>
          <w:rFonts w:eastAsia="HiddenHorzOCR"/>
          <w:color w:val="000000" w:themeColor="text1"/>
          <w:szCs w:val="24"/>
        </w:rPr>
        <w:t>asserts that compensable ratings should be considered for</w:t>
      </w:r>
      <w:r w:rsidR="00D44BA2" w:rsidRPr="00A1273F">
        <w:rPr>
          <w:rFonts w:eastAsia="HiddenHorzOCR"/>
          <w:color w:val="000000" w:themeColor="text1"/>
          <w:szCs w:val="24"/>
        </w:rPr>
        <w:t xml:space="preserve"> impairment of the clavicle</w:t>
      </w:r>
      <w:r w:rsidR="00D81250" w:rsidRPr="00A1273F">
        <w:rPr>
          <w:rFonts w:eastAsia="HiddenHorzOCR"/>
          <w:color w:val="000000" w:themeColor="text1"/>
          <w:szCs w:val="24"/>
        </w:rPr>
        <w:t xml:space="preserve"> (VA 10% for right shoulder sprain)</w:t>
      </w:r>
      <w:r w:rsidR="00D44BA2" w:rsidRPr="00A1273F">
        <w:rPr>
          <w:rFonts w:eastAsia="HiddenHorzOCR"/>
          <w:color w:val="000000" w:themeColor="text1"/>
          <w:szCs w:val="24"/>
        </w:rPr>
        <w:t>,</w:t>
      </w:r>
      <w:r w:rsidRPr="00A1273F">
        <w:rPr>
          <w:rFonts w:eastAsia="HiddenHorzOCR"/>
          <w:color w:val="000000" w:themeColor="text1"/>
          <w:szCs w:val="24"/>
        </w:rPr>
        <w:t xml:space="preserve"> </w:t>
      </w:r>
      <w:r w:rsidR="00D44BA2" w:rsidRPr="00A1273F">
        <w:rPr>
          <w:rFonts w:eastAsia="HiddenHorzOCR"/>
          <w:color w:val="000000" w:themeColor="text1"/>
          <w:szCs w:val="24"/>
        </w:rPr>
        <w:t>TBI</w:t>
      </w:r>
      <w:r w:rsidR="00413999" w:rsidRPr="00A1273F">
        <w:rPr>
          <w:rFonts w:eastAsia="HiddenHorzOCR"/>
          <w:color w:val="000000" w:themeColor="text1"/>
          <w:szCs w:val="24"/>
        </w:rPr>
        <w:t xml:space="preserve"> (VA 40% from 5 November 2008)</w:t>
      </w:r>
      <w:r w:rsidR="00D44BA2" w:rsidRPr="00A1273F">
        <w:rPr>
          <w:rFonts w:eastAsia="HiddenHorzOCR"/>
          <w:color w:val="000000" w:themeColor="text1"/>
          <w:szCs w:val="24"/>
        </w:rPr>
        <w:t>, PTSD</w:t>
      </w:r>
      <w:r w:rsidR="00413999" w:rsidRPr="00A1273F">
        <w:rPr>
          <w:rFonts w:eastAsia="HiddenHorzOCR"/>
          <w:color w:val="000000" w:themeColor="text1"/>
          <w:szCs w:val="24"/>
        </w:rPr>
        <w:t xml:space="preserve"> (VA 30% from 5 November 2008)</w:t>
      </w:r>
      <w:r w:rsidR="00D44BA2" w:rsidRPr="00A1273F">
        <w:rPr>
          <w:rFonts w:eastAsia="HiddenHorzOCR"/>
          <w:color w:val="000000" w:themeColor="text1"/>
          <w:szCs w:val="24"/>
        </w:rPr>
        <w:t>,</w:t>
      </w:r>
      <w:r w:rsidRPr="00A1273F">
        <w:rPr>
          <w:rFonts w:eastAsia="HiddenHorzOCR"/>
          <w:color w:val="000000" w:themeColor="text1"/>
          <w:szCs w:val="24"/>
        </w:rPr>
        <w:t xml:space="preserve"> </w:t>
      </w:r>
      <w:r w:rsidR="00D81250" w:rsidRPr="00A1273F">
        <w:rPr>
          <w:color w:val="000000" w:themeColor="text1"/>
        </w:rPr>
        <w:t>and tinnitus (VA 10%)</w:t>
      </w:r>
      <w:r w:rsidRPr="00A1273F">
        <w:rPr>
          <w:rFonts w:eastAsia="HiddenHorzOCR"/>
          <w:color w:val="000000" w:themeColor="text1"/>
          <w:szCs w:val="24"/>
        </w:rPr>
        <w:t xml:space="preserve">.  </w:t>
      </w:r>
      <w:r w:rsidR="009B6EF2" w:rsidRPr="00A1273F">
        <w:rPr>
          <w:rFonts w:eastAsia="HiddenHorzOCR"/>
          <w:color w:val="000000" w:themeColor="text1"/>
          <w:szCs w:val="24"/>
        </w:rPr>
        <w:t>None o</w:t>
      </w:r>
      <w:r w:rsidR="004A5BA4" w:rsidRPr="00A1273F">
        <w:rPr>
          <w:rFonts w:eastAsia="HiddenHorzOCR"/>
          <w:color w:val="000000" w:themeColor="text1"/>
          <w:szCs w:val="24"/>
        </w:rPr>
        <w:t>f these, condition</w:t>
      </w:r>
      <w:r w:rsidR="009B6EF2" w:rsidRPr="00A1273F">
        <w:rPr>
          <w:rFonts w:eastAsia="HiddenHorzOCR"/>
          <w:color w:val="000000" w:themeColor="text1"/>
          <w:szCs w:val="24"/>
        </w:rPr>
        <w:t>s</w:t>
      </w:r>
      <w:r w:rsidR="004A5BA4" w:rsidRPr="00A1273F">
        <w:rPr>
          <w:rFonts w:eastAsia="HiddenHorzOCR"/>
          <w:color w:val="000000" w:themeColor="text1"/>
          <w:szCs w:val="24"/>
        </w:rPr>
        <w:t xml:space="preserve"> w</w:t>
      </w:r>
      <w:r w:rsidR="009B6EF2" w:rsidRPr="00A1273F">
        <w:rPr>
          <w:rFonts w:eastAsia="HiddenHorzOCR"/>
          <w:color w:val="000000" w:themeColor="text1"/>
          <w:szCs w:val="24"/>
        </w:rPr>
        <w:t>ere documented in the DES file</w:t>
      </w:r>
      <w:r w:rsidR="004A5BA4" w:rsidRPr="00A1273F">
        <w:rPr>
          <w:rFonts w:eastAsia="HiddenHorzOCR"/>
          <w:color w:val="000000" w:themeColor="text1"/>
          <w:szCs w:val="24"/>
        </w:rPr>
        <w:t xml:space="preserve">.  </w:t>
      </w:r>
      <w:r w:rsidR="004A5BA4" w:rsidRPr="00A1273F">
        <w:rPr>
          <w:rFonts w:asciiTheme="minorHAnsi" w:hAnsiTheme="minorHAnsi"/>
          <w:color w:val="auto"/>
          <w:szCs w:val="24"/>
        </w:rPr>
        <w:t>The Board does not have the authority under DoDI 6040.44 to render fitness or rating recommendations for any conditions</w:t>
      </w:r>
      <w:r w:rsidR="004A5BA4" w:rsidRPr="00711350">
        <w:rPr>
          <w:rFonts w:asciiTheme="minorHAnsi" w:hAnsiTheme="minorHAnsi"/>
          <w:color w:val="auto"/>
          <w:szCs w:val="24"/>
        </w:rPr>
        <w:t xml:space="preserve"> not considered by the DES.</w:t>
      </w:r>
      <w:r w:rsidR="004A5BA4">
        <w:rPr>
          <w:rFonts w:asciiTheme="minorHAnsi" w:hAnsiTheme="minorHAnsi"/>
          <w:color w:val="auto"/>
          <w:szCs w:val="24"/>
        </w:rPr>
        <w:t xml:space="preserve">  </w:t>
      </w:r>
      <w:r w:rsidR="004A5BA4" w:rsidRPr="00B56F3D">
        <w:rPr>
          <w:rFonts w:asciiTheme="minorHAnsi" w:hAnsiTheme="minorHAnsi"/>
          <w:color w:val="auto"/>
          <w:szCs w:val="24"/>
        </w:rPr>
        <w:t xml:space="preserve">The Board, therefore, has no reasonable basis for recommending any </w:t>
      </w:r>
      <w:r w:rsidR="004A5BA4">
        <w:rPr>
          <w:rFonts w:asciiTheme="minorHAnsi" w:hAnsiTheme="minorHAnsi"/>
          <w:color w:val="auto"/>
          <w:szCs w:val="24"/>
        </w:rPr>
        <w:t xml:space="preserve">of these conditions be added as </w:t>
      </w:r>
      <w:r w:rsidR="004A5BA4" w:rsidRPr="00B56F3D">
        <w:rPr>
          <w:rFonts w:asciiTheme="minorHAnsi" w:hAnsiTheme="minorHAnsi"/>
          <w:color w:val="auto"/>
          <w:szCs w:val="24"/>
        </w:rPr>
        <w:t>unfitting conditions for separation rating.</w:t>
      </w:r>
    </w:p>
    <w:p w:rsidR="00EC337D" w:rsidRPr="001F29F9" w:rsidRDefault="00EC337D" w:rsidP="00262785">
      <w:pPr>
        <w:jc w:val="both"/>
        <w:rPr>
          <w:color w:val="000000" w:themeColor="text1"/>
          <w:szCs w:val="24"/>
        </w:rPr>
      </w:pPr>
    </w:p>
    <w:p w:rsidR="00370481" w:rsidRDefault="003C5B54" w:rsidP="00262785">
      <w:pPr>
        <w:jc w:val="both"/>
        <w:rPr>
          <w:rFonts w:asciiTheme="minorHAnsi" w:hAnsiTheme="minorHAnsi"/>
          <w:color w:val="auto"/>
          <w:szCs w:val="24"/>
        </w:rPr>
      </w:pPr>
      <w:proofErr w:type="gramStart"/>
      <w:r w:rsidRPr="001F29F9">
        <w:rPr>
          <w:color w:val="000000" w:themeColor="text1"/>
          <w:szCs w:val="24"/>
          <w:u w:val="single"/>
        </w:rPr>
        <w:t>Remaining Conditions</w:t>
      </w:r>
      <w:r w:rsidRPr="009B6EF2">
        <w:rPr>
          <w:color w:val="000000" w:themeColor="text1"/>
          <w:szCs w:val="24"/>
        </w:rPr>
        <w:t>.</w:t>
      </w:r>
      <w:proofErr w:type="gramEnd"/>
      <w:r w:rsidR="00D44BA2">
        <w:rPr>
          <w:color w:val="000000" w:themeColor="text1"/>
          <w:szCs w:val="24"/>
        </w:rPr>
        <w:t xml:space="preserve"> </w:t>
      </w:r>
      <w:r w:rsidR="00A02AA8" w:rsidRPr="001F29F9">
        <w:rPr>
          <w:color w:val="000000" w:themeColor="text1"/>
          <w:szCs w:val="24"/>
        </w:rPr>
        <w:t xml:space="preserve"> </w:t>
      </w:r>
      <w:r w:rsidR="00370481" w:rsidRPr="00F6196E">
        <w:rPr>
          <w:rFonts w:asciiTheme="minorHAnsi" w:hAnsiTheme="minorHAnsi"/>
          <w:color w:val="auto"/>
          <w:szCs w:val="24"/>
        </w:rPr>
        <w:t xml:space="preserve">Other conditions identified </w:t>
      </w:r>
      <w:r w:rsidR="00370481" w:rsidRPr="00A1273F">
        <w:rPr>
          <w:rFonts w:asciiTheme="minorHAnsi" w:hAnsiTheme="minorHAnsi"/>
          <w:color w:val="auto"/>
          <w:szCs w:val="24"/>
        </w:rPr>
        <w:t xml:space="preserve">in the DES file were </w:t>
      </w:r>
      <w:r w:rsidR="004A5BA4" w:rsidRPr="00A1273F">
        <w:rPr>
          <w:rFonts w:asciiTheme="minorHAnsi" w:hAnsiTheme="minorHAnsi"/>
          <w:color w:val="auto"/>
          <w:szCs w:val="24"/>
        </w:rPr>
        <w:t xml:space="preserve">blurred vision, fractured ribs, right leg stress fracture, occasional dizziness, and insomnia </w:t>
      </w:r>
      <w:r w:rsidR="00F13F5E" w:rsidRPr="00A1273F">
        <w:rPr>
          <w:rFonts w:asciiTheme="minorHAnsi" w:hAnsiTheme="minorHAnsi"/>
          <w:color w:val="auto"/>
          <w:szCs w:val="24"/>
        </w:rPr>
        <w:t>(</w:t>
      </w:r>
      <w:r w:rsidR="004A5BA4" w:rsidRPr="00A1273F">
        <w:rPr>
          <w:rFonts w:asciiTheme="minorHAnsi" w:hAnsiTheme="minorHAnsi"/>
          <w:color w:val="auto"/>
          <w:szCs w:val="24"/>
        </w:rPr>
        <w:t>secondary to pai</w:t>
      </w:r>
      <w:r w:rsidR="00F13F5E" w:rsidRPr="00A1273F">
        <w:rPr>
          <w:rFonts w:asciiTheme="minorHAnsi" w:hAnsiTheme="minorHAnsi"/>
          <w:color w:val="auto"/>
          <w:szCs w:val="24"/>
        </w:rPr>
        <w:t>n)</w:t>
      </w:r>
      <w:r w:rsidR="00370481" w:rsidRPr="00A1273F">
        <w:rPr>
          <w:rFonts w:asciiTheme="minorHAnsi" w:hAnsiTheme="minorHAnsi"/>
          <w:color w:val="auto"/>
          <w:szCs w:val="24"/>
        </w:rPr>
        <w:t>.  Several additional non-acute conditions or medical complaints were also documented</w:t>
      </w:r>
      <w:r w:rsidR="00370481" w:rsidRPr="00F6196E">
        <w:rPr>
          <w:rFonts w:asciiTheme="minorHAnsi" w:hAnsiTheme="minorHAnsi"/>
          <w:color w:val="auto"/>
          <w:szCs w:val="24"/>
        </w:rPr>
        <w:t xml:space="preserve">.  None of these </w:t>
      </w:r>
      <w:r w:rsidR="00370481" w:rsidRPr="00F13F5E">
        <w:rPr>
          <w:rFonts w:asciiTheme="minorHAnsi" w:hAnsiTheme="minorHAnsi"/>
          <w:color w:val="auto"/>
          <w:szCs w:val="24"/>
        </w:rPr>
        <w:t>conditions were occupationally significant during the MEB period, none carried attached profiles, and none were implicated in the commander’s statement.  These conditions were reviewed by</w:t>
      </w:r>
      <w:r w:rsidR="00370481" w:rsidRPr="00F6196E">
        <w:rPr>
          <w:rFonts w:asciiTheme="minorHAnsi" w:hAnsiTheme="minorHAnsi"/>
          <w:color w:val="auto"/>
          <w:szCs w:val="24"/>
        </w:rPr>
        <w:t xml:space="preserve"> the </w:t>
      </w:r>
      <w:r w:rsidR="00370481">
        <w:rPr>
          <w:rFonts w:asciiTheme="minorHAnsi" w:hAnsiTheme="minorHAnsi"/>
          <w:color w:val="auto"/>
          <w:szCs w:val="24"/>
        </w:rPr>
        <w:t>action officer</w:t>
      </w:r>
      <w:r w:rsidR="00370481" w:rsidRPr="00F6196E">
        <w:rPr>
          <w:rFonts w:asciiTheme="minorHAnsi" w:hAnsiTheme="minorHAnsi"/>
          <w:color w:val="auto"/>
          <w:szCs w:val="24"/>
        </w:rPr>
        <w:t xml:space="preserve"> and considered by the Board.  It was determined that none could be argued as unfitting and subject to separation rating.  N</w:t>
      </w:r>
      <w:r w:rsidR="001A4A4F">
        <w:rPr>
          <w:rFonts w:asciiTheme="minorHAnsi" w:hAnsiTheme="minorHAnsi"/>
          <w:color w:val="auto"/>
          <w:szCs w:val="24"/>
        </w:rPr>
        <w:t>o other conditions were service-</w:t>
      </w:r>
      <w:r w:rsidR="00370481" w:rsidRPr="00F6196E">
        <w:rPr>
          <w:rFonts w:asciiTheme="minorHAnsi" w:hAnsiTheme="minorHAnsi"/>
          <w:color w:val="auto"/>
          <w:szCs w:val="24"/>
        </w:rPr>
        <w:t>connected with a compensable rating by the VA within twelve months of separation or contended by the CI.  The Board, therefore, has no reasonable basis for recommending any additional unfitting conditions for separation rating.</w:t>
      </w:r>
    </w:p>
    <w:p w:rsidR="00FF0358" w:rsidRDefault="00FF0358" w:rsidP="00262785">
      <w:pPr>
        <w:pBdr>
          <w:bottom w:val="single" w:sz="12" w:space="1" w:color="auto"/>
        </w:pBdr>
        <w:jc w:val="both"/>
        <w:rPr>
          <w:color w:val="000000" w:themeColor="text1"/>
          <w:szCs w:val="24"/>
        </w:rPr>
      </w:pPr>
    </w:p>
    <w:p w:rsidR="00F1737C" w:rsidRPr="001F29F9" w:rsidRDefault="00F1737C" w:rsidP="00262785">
      <w:pPr>
        <w:jc w:val="both"/>
        <w:rPr>
          <w:color w:val="000000" w:themeColor="text1"/>
          <w:szCs w:val="24"/>
        </w:rPr>
      </w:pPr>
    </w:p>
    <w:p w:rsidR="00370481" w:rsidRPr="00A1273F" w:rsidRDefault="00C56FC8" w:rsidP="00370481">
      <w:pPr>
        <w:jc w:val="both"/>
        <w:rPr>
          <w:rFonts w:asciiTheme="minorHAnsi" w:hAnsiTheme="minorHAns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w:t>
      </w:r>
      <w:r w:rsidRPr="00A1273F">
        <w:rPr>
          <w:rFonts w:eastAsiaTheme="minorHAnsi"/>
          <w:color w:val="000000" w:themeColor="text1"/>
          <w:szCs w:val="24"/>
        </w:rPr>
        <w:t>inconsistent with the VASRD in effect at the time of the adjudication.</w:t>
      </w:r>
      <w:r w:rsidR="00262785" w:rsidRPr="00A1273F">
        <w:rPr>
          <w:rFonts w:eastAsiaTheme="minorHAnsi"/>
          <w:color w:val="000000" w:themeColor="text1"/>
          <w:szCs w:val="24"/>
        </w:rPr>
        <w:t xml:space="preserve">  </w:t>
      </w:r>
      <w:r w:rsidR="00262785" w:rsidRPr="00A1273F">
        <w:rPr>
          <w:rFonts w:asciiTheme="minorHAnsi" w:eastAsiaTheme="minorHAnsi" w:hAnsiTheme="minorHAnsi"/>
          <w:color w:val="auto"/>
          <w:szCs w:val="24"/>
        </w:rPr>
        <w:t xml:space="preserve">As discussed above, PEB reliance on the USAPDA pain policy for rating </w:t>
      </w:r>
      <w:r w:rsidR="00370481" w:rsidRPr="00A1273F">
        <w:rPr>
          <w:rFonts w:asciiTheme="minorHAnsi" w:eastAsiaTheme="minorHAnsi" w:hAnsiTheme="minorHAnsi"/>
          <w:color w:val="auto"/>
          <w:szCs w:val="24"/>
        </w:rPr>
        <w:t>the right knee condition</w:t>
      </w:r>
      <w:r w:rsidR="00262785" w:rsidRPr="00A1273F">
        <w:rPr>
          <w:rFonts w:asciiTheme="minorHAnsi" w:eastAsiaTheme="minorHAnsi" w:hAnsiTheme="minorHAnsi"/>
          <w:color w:val="auto"/>
          <w:szCs w:val="24"/>
        </w:rPr>
        <w:t xml:space="preserve"> was operant in this case and the condition was adjudicated independently of that policy by the Board.  </w:t>
      </w:r>
      <w:r w:rsidR="00370481" w:rsidRPr="00A1273F">
        <w:rPr>
          <w:rFonts w:asciiTheme="minorHAnsi" w:eastAsiaTheme="minorHAnsi" w:hAnsiTheme="minorHAnsi"/>
          <w:color w:val="auto"/>
          <w:szCs w:val="24"/>
        </w:rPr>
        <w:t xml:space="preserve">In the matter of the right knee condition and </w:t>
      </w:r>
      <w:r w:rsidR="00370481" w:rsidRPr="00A1273F">
        <w:rPr>
          <w:rFonts w:asciiTheme="minorHAnsi" w:hAnsiTheme="minorHAnsi"/>
          <w:color w:val="auto"/>
          <w:szCs w:val="24"/>
        </w:rPr>
        <w:t>IAW VASRD §4.71a</w:t>
      </w:r>
      <w:r w:rsidR="00370481" w:rsidRPr="00A1273F">
        <w:rPr>
          <w:rFonts w:asciiTheme="minorHAnsi" w:eastAsiaTheme="minorHAnsi" w:hAnsiTheme="minorHAnsi"/>
          <w:color w:val="auto"/>
          <w:szCs w:val="24"/>
        </w:rPr>
        <w:t>, the Board unanimously recommends no change in the PEB adjudi</w:t>
      </w:r>
      <w:r w:rsidR="00370481" w:rsidRPr="002224E4">
        <w:rPr>
          <w:rFonts w:asciiTheme="minorHAnsi" w:eastAsiaTheme="minorHAnsi" w:hAnsiTheme="minorHAnsi"/>
          <w:color w:val="auto"/>
          <w:szCs w:val="24"/>
        </w:rPr>
        <w:t>cation</w:t>
      </w:r>
      <w:r w:rsidR="00370481" w:rsidRPr="002224E4">
        <w:rPr>
          <w:rFonts w:asciiTheme="minorHAnsi" w:hAnsiTheme="minorHAnsi"/>
          <w:color w:val="auto"/>
          <w:szCs w:val="24"/>
        </w:rPr>
        <w:t>.</w:t>
      </w:r>
      <w:r w:rsidR="00370481" w:rsidRPr="00396779">
        <w:rPr>
          <w:rFonts w:asciiTheme="minorHAnsi" w:hAnsiTheme="minorHAnsi"/>
          <w:color w:val="auto"/>
          <w:szCs w:val="24"/>
        </w:rPr>
        <w:t xml:space="preserve">  </w:t>
      </w:r>
      <w:r w:rsidR="00370481" w:rsidRPr="00FC56A3">
        <w:rPr>
          <w:rFonts w:asciiTheme="minorHAnsi" w:hAnsiTheme="minorHAnsi"/>
          <w:color w:val="auto"/>
          <w:szCs w:val="24"/>
        </w:rPr>
        <w:t>In t</w:t>
      </w:r>
      <w:r w:rsidR="00370481" w:rsidRPr="00697413">
        <w:rPr>
          <w:rFonts w:asciiTheme="minorHAnsi" w:hAnsiTheme="minorHAnsi"/>
          <w:color w:val="auto"/>
          <w:szCs w:val="24"/>
        </w:rPr>
        <w:t xml:space="preserve">he </w:t>
      </w:r>
      <w:r w:rsidR="00370481" w:rsidRPr="00A1273F">
        <w:rPr>
          <w:rFonts w:asciiTheme="minorHAnsi" w:hAnsiTheme="minorHAnsi"/>
          <w:color w:val="auto"/>
          <w:szCs w:val="24"/>
        </w:rPr>
        <w:t xml:space="preserve">matter of the </w:t>
      </w:r>
      <w:r w:rsidR="00755F2B" w:rsidRPr="00A1273F">
        <w:rPr>
          <w:rFonts w:asciiTheme="minorHAnsi" w:hAnsiTheme="minorHAnsi"/>
          <w:color w:val="auto"/>
          <w:szCs w:val="24"/>
        </w:rPr>
        <w:t xml:space="preserve">facial neuralgia, </w:t>
      </w:r>
      <w:r w:rsidR="00313EB3" w:rsidRPr="00A1273F">
        <w:rPr>
          <w:rFonts w:asciiTheme="minorHAnsi" w:hAnsiTheme="minorHAnsi"/>
          <w:color w:val="auto"/>
          <w:szCs w:val="24"/>
        </w:rPr>
        <w:t>right ear hearing loss and migraine headaches</w:t>
      </w:r>
      <w:r w:rsidR="00755F2B" w:rsidRPr="00A1273F">
        <w:rPr>
          <w:rFonts w:asciiTheme="minorHAnsi" w:hAnsiTheme="minorHAnsi"/>
          <w:color w:val="auto"/>
          <w:szCs w:val="24"/>
        </w:rPr>
        <w:t xml:space="preserve"> conditions</w:t>
      </w:r>
      <w:r w:rsidR="00370481" w:rsidRPr="00A1273F">
        <w:rPr>
          <w:rFonts w:asciiTheme="minorHAnsi" w:hAnsiTheme="minorHAnsi"/>
          <w:color w:val="auto"/>
          <w:szCs w:val="24"/>
        </w:rPr>
        <w:t>, the Board unanimously recommends no change from the PEB adjudications as not unfitting.</w:t>
      </w:r>
      <w:r w:rsidR="00755F2B" w:rsidRPr="00A1273F">
        <w:rPr>
          <w:rFonts w:asciiTheme="minorHAnsi" w:hAnsiTheme="minorHAnsi"/>
          <w:color w:val="auto"/>
          <w:szCs w:val="24"/>
        </w:rPr>
        <w:t xml:space="preserve">  </w:t>
      </w:r>
      <w:r w:rsidR="00370481" w:rsidRPr="00A1273F">
        <w:rPr>
          <w:rFonts w:asciiTheme="minorHAnsi" w:hAnsiTheme="minorHAnsi"/>
          <w:color w:val="auto"/>
          <w:szCs w:val="24"/>
        </w:rPr>
        <w:t>In the matter of any other medical conditions eligible for Board consideration; the Board unanimously agrees that it cannot</w:t>
      </w:r>
      <w:r w:rsidR="00370481" w:rsidRPr="00A1273F">
        <w:rPr>
          <w:rFonts w:asciiTheme="minorHAnsi" w:hAnsiTheme="minorHAnsi"/>
          <w:color w:val="000080"/>
          <w:szCs w:val="24"/>
        </w:rPr>
        <w:t xml:space="preserve"> </w:t>
      </w:r>
      <w:r w:rsidR="00370481" w:rsidRPr="00A1273F">
        <w:rPr>
          <w:rFonts w:asciiTheme="minorHAnsi" w:hAnsiTheme="minorHAnsi"/>
          <w:color w:val="auto"/>
          <w:szCs w:val="24"/>
        </w:rPr>
        <w:t>recommend any findings of unfit for additional rating at separation.</w:t>
      </w:r>
    </w:p>
    <w:p w:rsidR="00F1737C" w:rsidRPr="00A1273F" w:rsidRDefault="00F1737C" w:rsidP="00BF0E94">
      <w:pPr>
        <w:pBdr>
          <w:bottom w:val="single" w:sz="12" w:space="1" w:color="auto"/>
        </w:pBdr>
        <w:tabs>
          <w:tab w:val="left" w:pos="288"/>
          <w:tab w:val="left" w:pos="4752"/>
        </w:tabs>
        <w:jc w:val="both"/>
        <w:rPr>
          <w:color w:val="000000" w:themeColor="text1"/>
        </w:rPr>
      </w:pPr>
    </w:p>
    <w:p w:rsidR="00F1737C" w:rsidRPr="00A1273F" w:rsidRDefault="00F1737C" w:rsidP="006364ED">
      <w:pPr>
        <w:jc w:val="left"/>
        <w:rPr>
          <w:color w:val="000000" w:themeColor="text1"/>
          <w:szCs w:val="24"/>
        </w:rPr>
      </w:pPr>
    </w:p>
    <w:p w:rsidR="00FB593A" w:rsidRPr="00A1273F" w:rsidRDefault="00C56FC8" w:rsidP="00BF0E94">
      <w:pPr>
        <w:jc w:val="left"/>
        <w:rPr>
          <w:color w:val="auto"/>
        </w:rPr>
      </w:pPr>
      <w:r w:rsidRPr="00A1273F">
        <w:rPr>
          <w:color w:val="000000" w:themeColor="text1"/>
          <w:szCs w:val="24"/>
          <w:u w:val="single"/>
        </w:rPr>
        <w:lastRenderedPageBreak/>
        <w:t>RECOMMENDATION</w:t>
      </w:r>
      <w:r w:rsidRPr="00A1273F">
        <w:rPr>
          <w:color w:val="000000" w:themeColor="text1"/>
          <w:szCs w:val="24"/>
        </w:rPr>
        <w:t>:</w:t>
      </w:r>
      <w:r w:rsidR="00313EB3" w:rsidRPr="00A1273F">
        <w:rPr>
          <w:color w:val="000000" w:themeColor="text1"/>
          <w:szCs w:val="24"/>
        </w:rPr>
        <w:t xml:space="preserve">  </w:t>
      </w:r>
      <w:r w:rsidR="00755F2B" w:rsidRPr="00A1273F">
        <w:rPr>
          <w:color w:val="000000" w:themeColor="text1"/>
          <w:szCs w:val="24"/>
        </w:rPr>
        <w:t>The Board, therefore, recommends that there be no recharacterization of the CI’s disability and separation determination, as follows:</w:t>
      </w:r>
    </w:p>
    <w:p w:rsidR="00BA6A9C" w:rsidRPr="00A1273F"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A1273F" w:rsidTr="0080588E">
        <w:trPr>
          <w:trHeight w:val="233"/>
          <w:jc w:val="center"/>
        </w:trPr>
        <w:tc>
          <w:tcPr>
            <w:tcW w:w="6282" w:type="dxa"/>
            <w:shd w:val="clear" w:color="auto" w:fill="D9D9D9"/>
            <w:vAlign w:val="center"/>
          </w:tcPr>
          <w:p w:rsidR="00A95BBA" w:rsidRPr="00A1273F" w:rsidRDefault="00A95BBA" w:rsidP="00BF0E94">
            <w:pPr>
              <w:tabs>
                <w:tab w:val="left" w:pos="288"/>
                <w:tab w:val="left" w:pos="4752"/>
              </w:tabs>
              <w:rPr>
                <w:b/>
                <w:color w:val="auto"/>
                <w:szCs w:val="24"/>
              </w:rPr>
            </w:pPr>
            <w:r w:rsidRPr="00A1273F">
              <w:rPr>
                <w:b/>
                <w:color w:val="auto"/>
                <w:szCs w:val="24"/>
              </w:rPr>
              <w:t>UNFITTING CONDITION</w:t>
            </w:r>
          </w:p>
        </w:tc>
        <w:tc>
          <w:tcPr>
            <w:tcW w:w="1710" w:type="dxa"/>
            <w:shd w:val="clear" w:color="auto" w:fill="D9D9D9"/>
            <w:vAlign w:val="center"/>
          </w:tcPr>
          <w:p w:rsidR="00A95BBA" w:rsidRPr="00A1273F" w:rsidRDefault="00A95BBA" w:rsidP="00BF0E94">
            <w:pPr>
              <w:tabs>
                <w:tab w:val="left" w:pos="288"/>
                <w:tab w:val="left" w:pos="4752"/>
              </w:tabs>
              <w:rPr>
                <w:b/>
                <w:color w:val="auto"/>
                <w:szCs w:val="24"/>
              </w:rPr>
            </w:pPr>
            <w:r w:rsidRPr="00A1273F">
              <w:rPr>
                <w:b/>
                <w:color w:val="auto"/>
                <w:szCs w:val="24"/>
              </w:rPr>
              <w:t>VASRD CODE</w:t>
            </w:r>
          </w:p>
        </w:tc>
        <w:tc>
          <w:tcPr>
            <w:tcW w:w="1170" w:type="dxa"/>
            <w:shd w:val="clear" w:color="auto" w:fill="D9D9D9"/>
            <w:vAlign w:val="center"/>
          </w:tcPr>
          <w:p w:rsidR="00A95BBA" w:rsidRPr="00A1273F" w:rsidRDefault="00A95BBA" w:rsidP="00BF0E94">
            <w:pPr>
              <w:tabs>
                <w:tab w:val="left" w:pos="288"/>
                <w:tab w:val="left" w:pos="4752"/>
              </w:tabs>
              <w:rPr>
                <w:b/>
                <w:color w:val="auto"/>
                <w:szCs w:val="24"/>
              </w:rPr>
            </w:pPr>
            <w:r w:rsidRPr="00A1273F">
              <w:rPr>
                <w:b/>
                <w:color w:val="auto"/>
                <w:szCs w:val="24"/>
              </w:rPr>
              <w:t>RATING</w:t>
            </w:r>
          </w:p>
        </w:tc>
      </w:tr>
      <w:tr w:rsidR="00A95BBA" w:rsidRPr="00A1273F" w:rsidTr="0080588E">
        <w:trPr>
          <w:jc w:val="center"/>
        </w:trPr>
        <w:tc>
          <w:tcPr>
            <w:tcW w:w="6282" w:type="dxa"/>
            <w:vAlign w:val="center"/>
          </w:tcPr>
          <w:p w:rsidR="00A95BBA" w:rsidRPr="00A1273F" w:rsidRDefault="00D44BA2" w:rsidP="00BF0E94">
            <w:pPr>
              <w:tabs>
                <w:tab w:val="left" w:pos="288"/>
                <w:tab w:val="left" w:pos="4752"/>
              </w:tabs>
              <w:jc w:val="left"/>
              <w:rPr>
                <w:color w:val="auto"/>
                <w:szCs w:val="24"/>
              </w:rPr>
            </w:pPr>
            <w:r w:rsidRPr="00A1273F">
              <w:rPr>
                <w:color w:val="auto"/>
                <w:szCs w:val="24"/>
              </w:rPr>
              <w:t>Chronic Right Knee Pain</w:t>
            </w:r>
          </w:p>
        </w:tc>
        <w:tc>
          <w:tcPr>
            <w:tcW w:w="1710" w:type="dxa"/>
            <w:vAlign w:val="center"/>
          </w:tcPr>
          <w:p w:rsidR="00A95BBA" w:rsidRPr="00A1273F" w:rsidRDefault="00D44BA2" w:rsidP="00BF0E94">
            <w:pPr>
              <w:tabs>
                <w:tab w:val="left" w:pos="288"/>
                <w:tab w:val="left" w:pos="4752"/>
              </w:tabs>
              <w:rPr>
                <w:color w:val="auto"/>
                <w:szCs w:val="24"/>
              </w:rPr>
            </w:pPr>
            <w:r w:rsidRPr="00A1273F">
              <w:rPr>
                <w:color w:val="auto"/>
                <w:szCs w:val="24"/>
              </w:rPr>
              <w:t>5099-5003</w:t>
            </w:r>
          </w:p>
        </w:tc>
        <w:tc>
          <w:tcPr>
            <w:tcW w:w="1170" w:type="dxa"/>
            <w:vAlign w:val="center"/>
          </w:tcPr>
          <w:p w:rsidR="00A95BBA" w:rsidRPr="00A1273F" w:rsidRDefault="00370481" w:rsidP="00BF0E94">
            <w:pPr>
              <w:tabs>
                <w:tab w:val="left" w:pos="288"/>
                <w:tab w:val="left" w:pos="4752"/>
              </w:tabs>
              <w:rPr>
                <w:color w:val="auto"/>
                <w:szCs w:val="24"/>
              </w:rPr>
            </w:pPr>
            <w:r w:rsidRPr="00A1273F">
              <w:rPr>
                <w:color w:val="auto"/>
                <w:szCs w:val="24"/>
              </w:rPr>
              <w:t>1</w:t>
            </w:r>
            <w:r w:rsidR="00A95BBA" w:rsidRPr="00A1273F">
              <w:rPr>
                <w:color w:val="auto"/>
                <w:szCs w:val="24"/>
              </w:rPr>
              <w:t>0%</w:t>
            </w:r>
          </w:p>
        </w:tc>
      </w:tr>
      <w:tr w:rsidR="00A95BBA" w:rsidRPr="00A1273F"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1273F" w:rsidRDefault="00A95BBA" w:rsidP="00BF0E94">
            <w:pPr>
              <w:tabs>
                <w:tab w:val="left" w:pos="288"/>
                <w:tab w:val="left" w:pos="4752"/>
              </w:tabs>
              <w:rPr>
                <w:b/>
                <w:color w:val="auto"/>
                <w:szCs w:val="24"/>
              </w:rPr>
            </w:pPr>
            <w:r w:rsidRPr="00A1273F">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1273F" w:rsidRDefault="00755F2B" w:rsidP="00BF0E94">
            <w:pPr>
              <w:tabs>
                <w:tab w:val="left" w:pos="288"/>
                <w:tab w:val="left" w:pos="4752"/>
              </w:tabs>
              <w:rPr>
                <w:b/>
                <w:color w:val="auto"/>
                <w:szCs w:val="24"/>
              </w:rPr>
            </w:pPr>
            <w:r w:rsidRPr="00A1273F">
              <w:rPr>
                <w:b/>
                <w:color w:val="auto"/>
                <w:szCs w:val="24"/>
              </w:rPr>
              <w:t>1</w:t>
            </w:r>
            <w:r w:rsidR="00A95BBA" w:rsidRPr="00A1273F">
              <w:rPr>
                <w:b/>
                <w:color w:val="auto"/>
                <w:szCs w:val="24"/>
              </w:rPr>
              <w:t>0%</w:t>
            </w:r>
          </w:p>
        </w:tc>
      </w:tr>
    </w:tbl>
    <w:p w:rsidR="00755F2B" w:rsidRPr="00A1273F" w:rsidRDefault="00755F2B" w:rsidP="00755F2B">
      <w:pPr>
        <w:pBdr>
          <w:bottom w:val="single" w:sz="12" w:space="1" w:color="auto"/>
        </w:pBdr>
        <w:tabs>
          <w:tab w:val="left" w:pos="288"/>
          <w:tab w:val="left" w:pos="4752"/>
        </w:tabs>
        <w:jc w:val="both"/>
        <w:rPr>
          <w:color w:val="auto"/>
        </w:rPr>
      </w:pPr>
    </w:p>
    <w:p w:rsidR="00755F2B" w:rsidRPr="00A1273F" w:rsidRDefault="00755F2B" w:rsidP="00755F2B">
      <w:pPr>
        <w:jc w:val="left"/>
        <w:rPr>
          <w:color w:val="auto"/>
          <w:szCs w:val="24"/>
        </w:rPr>
      </w:pPr>
    </w:p>
    <w:p w:rsidR="00D91DA6" w:rsidRPr="00A1273F" w:rsidRDefault="00FB1725" w:rsidP="007A07D9">
      <w:pPr>
        <w:tabs>
          <w:tab w:val="left" w:pos="288"/>
          <w:tab w:val="left" w:pos="4752"/>
        </w:tabs>
        <w:jc w:val="both"/>
        <w:rPr>
          <w:color w:val="auto"/>
        </w:rPr>
      </w:pPr>
      <w:r w:rsidRPr="00A1273F">
        <w:rPr>
          <w:color w:val="auto"/>
        </w:rPr>
        <w:t>The following documentary evidence was considered:</w:t>
      </w:r>
    </w:p>
    <w:p w:rsidR="00EB5EFD" w:rsidRPr="00A1273F" w:rsidRDefault="00EB5EFD" w:rsidP="007A07D9">
      <w:pPr>
        <w:tabs>
          <w:tab w:val="left" w:pos="288"/>
          <w:tab w:val="left" w:pos="4752"/>
        </w:tabs>
        <w:jc w:val="both"/>
        <w:rPr>
          <w:color w:val="auto"/>
        </w:rPr>
      </w:pPr>
    </w:p>
    <w:p w:rsidR="00114F20" w:rsidRPr="001F29F9" w:rsidRDefault="00FB1725" w:rsidP="007A07D9">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FF0358">
        <w:rPr>
          <w:color w:val="000000" w:themeColor="text1"/>
          <w:szCs w:val="24"/>
        </w:rPr>
        <w:t>10729</w:t>
      </w:r>
      <w:r w:rsidR="002A2DF0">
        <w:rPr>
          <w:color w:val="000000" w:themeColor="text1"/>
        </w:rPr>
        <w:t>, w/</w:t>
      </w:r>
      <w:proofErr w:type="spellStart"/>
      <w:r w:rsidR="002A2DF0">
        <w:rPr>
          <w:color w:val="000000" w:themeColor="text1"/>
        </w:rPr>
        <w:t>atchs</w:t>
      </w:r>
      <w:proofErr w:type="spellEnd"/>
    </w:p>
    <w:p w:rsidR="00114F20" w:rsidRPr="001F29F9" w:rsidRDefault="00FB1725" w:rsidP="007A07D9">
      <w:pPr>
        <w:tabs>
          <w:tab w:val="left" w:pos="288"/>
          <w:tab w:val="left" w:pos="4752"/>
        </w:tabs>
        <w:jc w:val="both"/>
        <w:rPr>
          <w:color w:val="000000" w:themeColor="text1"/>
        </w:rPr>
      </w:pPr>
      <w:r w:rsidRPr="001F29F9">
        <w:rPr>
          <w:color w:val="000000" w:themeColor="text1"/>
        </w:rPr>
        <w:t>Exhib</w:t>
      </w:r>
      <w:r w:rsidR="002A2DF0">
        <w:rPr>
          <w:color w:val="000000" w:themeColor="text1"/>
        </w:rPr>
        <w:t>it B.  Service Treatment Record</w:t>
      </w:r>
    </w:p>
    <w:p w:rsidR="00114F20" w:rsidRPr="001F29F9" w:rsidRDefault="00FB1725" w:rsidP="007A07D9">
      <w:pPr>
        <w:tabs>
          <w:tab w:val="left" w:pos="288"/>
          <w:tab w:val="left" w:pos="4752"/>
        </w:tabs>
        <w:jc w:val="both"/>
        <w:rPr>
          <w:color w:val="000000" w:themeColor="text1"/>
        </w:rPr>
      </w:pPr>
      <w:r w:rsidRPr="001F29F9">
        <w:rPr>
          <w:color w:val="000000" w:themeColor="text1"/>
        </w:rPr>
        <w:t>Exhibit C.  Department of Ve</w:t>
      </w:r>
      <w:r w:rsidR="002A2DF0">
        <w:rPr>
          <w:color w:val="000000" w:themeColor="text1"/>
        </w:rPr>
        <w:t>terans Affairs Treatment Record</w:t>
      </w:r>
    </w:p>
    <w:p w:rsidR="00D91DA6" w:rsidRPr="001F29F9" w:rsidRDefault="00D91DA6" w:rsidP="007A07D9">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BB41A6" w:rsidRDefault="002F195B" w:rsidP="00A1273F">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BB41A6" w:rsidRDefault="00BB41A6">
      <w:pPr>
        <w:rPr>
          <w:color w:val="000000" w:themeColor="text1"/>
          <w:szCs w:val="24"/>
        </w:rPr>
      </w:pPr>
      <w:r>
        <w:rPr>
          <w:color w:val="000000" w:themeColor="text1"/>
          <w:szCs w:val="24"/>
        </w:rPr>
        <w:br w:type="page"/>
      </w:r>
    </w:p>
    <w:p w:rsidR="00BB41A6" w:rsidRPr="00BB41A6" w:rsidRDefault="00BB41A6" w:rsidP="00BB41A6">
      <w:pPr>
        <w:tabs>
          <w:tab w:val="left" w:pos="0"/>
          <w:tab w:val="left" w:pos="4320"/>
        </w:tabs>
        <w:jc w:val="both"/>
        <w:rPr>
          <w:color w:val="000000" w:themeColor="text1"/>
          <w:szCs w:val="24"/>
        </w:rPr>
      </w:pPr>
      <w:r w:rsidRPr="00BB41A6">
        <w:rPr>
          <w:color w:val="000000" w:themeColor="text1"/>
          <w:szCs w:val="24"/>
        </w:rPr>
        <w:lastRenderedPageBreak/>
        <w:t>SFMR-RB</w:t>
      </w:r>
      <w:r w:rsidRPr="00BB41A6">
        <w:rPr>
          <w:color w:val="000000" w:themeColor="text1"/>
          <w:szCs w:val="24"/>
        </w:rPr>
        <w:tab/>
      </w:r>
      <w:r w:rsidRPr="00BB41A6">
        <w:rPr>
          <w:color w:val="000000" w:themeColor="text1"/>
          <w:szCs w:val="24"/>
        </w:rPr>
        <w:tab/>
      </w:r>
      <w:r w:rsidRPr="00BB41A6">
        <w:rPr>
          <w:color w:val="000000" w:themeColor="text1"/>
          <w:szCs w:val="24"/>
        </w:rPr>
        <w:tab/>
      </w:r>
      <w:r w:rsidRPr="00BB41A6">
        <w:rPr>
          <w:color w:val="000000" w:themeColor="text1"/>
          <w:szCs w:val="24"/>
        </w:rPr>
        <w:tab/>
      </w:r>
      <w:r w:rsidRPr="00BB41A6">
        <w:rPr>
          <w:color w:val="000000" w:themeColor="text1"/>
          <w:szCs w:val="24"/>
        </w:rPr>
        <w:tab/>
      </w:r>
      <w:r w:rsidRPr="00BB41A6">
        <w:rPr>
          <w:color w:val="000000" w:themeColor="text1"/>
          <w:szCs w:val="24"/>
        </w:rPr>
        <w:tab/>
      </w:r>
      <w:r w:rsidRPr="00BB41A6">
        <w:rPr>
          <w:color w:val="000000" w:themeColor="text1"/>
          <w:szCs w:val="24"/>
        </w:rPr>
        <w:tab/>
      </w:r>
      <w:r w:rsidRPr="00BB41A6">
        <w:rPr>
          <w:color w:val="000000" w:themeColor="text1"/>
          <w:szCs w:val="24"/>
        </w:rPr>
        <w:tab/>
      </w:r>
      <w:r w:rsidRPr="00BB41A6">
        <w:rPr>
          <w:color w:val="000000" w:themeColor="text1"/>
          <w:szCs w:val="24"/>
        </w:rPr>
        <w:tab/>
      </w:r>
    </w:p>
    <w:p w:rsidR="00BB41A6" w:rsidRPr="00BB41A6" w:rsidRDefault="00BB41A6" w:rsidP="00BB41A6">
      <w:pPr>
        <w:tabs>
          <w:tab w:val="left" w:pos="0"/>
          <w:tab w:val="left" w:pos="4320"/>
        </w:tabs>
        <w:jc w:val="both"/>
        <w:rPr>
          <w:color w:val="000000" w:themeColor="text1"/>
          <w:szCs w:val="24"/>
        </w:rPr>
      </w:pPr>
    </w:p>
    <w:p w:rsidR="00BB41A6" w:rsidRPr="00BB41A6" w:rsidRDefault="00BB41A6" w:rsidP="00BB41A6">
      <w:pPr>
        <w:tabs>
          <w:tab w:val="left" w:pos="0"/>
          <w:tab w:val="left" w:pos="4320"/>
        </w:tabs>
        <w:jc w:val="both"/>
        <w:rPr>
          <w:color w:val="000000" w:themeColor="text1"/>
          <w:szCs w:val="24"/>
        </w:rPr>
      </w:pPr>
    </w:p>
    <w:p w:rsidR="00BB41A6" w:rsidRPr="00BB41A6" w:rsidRDefault="00BB41A6" w:rsidP="00BB41A6">
      <w:pPr>
        <w:tabs>
          <w:tab w:val="left" w:pos="0"/>
          <w:tab w:val="left" w:pos="4320"/>
        </w:tabs>
        <w:jc w:val="both"/>
        <w:rPr>
          <w:color w:val="000000" w:themeColor="text1"/>
          <w:szCs w:val="24"/>
        </w:rPr>
      </w:pPr>
      <w:r w:rsidRPr="00BB41A6">
        <w:rPr>
          <w:color w:val="000000" w:themeColor="text1"/>
          <w:szCs w:val="24"/>
        </w:rPr>
        <w:t xml:space="preserve">MEMORANDUM FOR Commander, US Army Physical Disability Agency </w:t>
      </w:r>
    </w:p>
    <w:p w:rsidR="00BB41A6" w:rsidRPr="00BB41A6" w:rsidRDefault="00BB41A6" w:rsidP="00BB41A6">
      <w:pPr>
        <w:tabs>
          <w:tab w:val="left" w:pos="0"/>
          <w:tab w:val="left" w:pos="4320"/>
        </w:tabs>
        <w:jc w:val="both"/>
        <w:rPr>
          <w:color w:val="000000" w:themeColor="text1"/>
          <w:szCs w:val="24"/>
        </w:rPr>
      </w:pPr>
      <w:r>
        <w:rPr>
          <w:color w:val="000000" w:themeColor="text1"/>
          <w:szCs w:val="24"/>
        </w:rPr>
        <w:t xml:space="preserve"> </w:t>
      </w:r>
    </w:p>
    <w:p w:rsidR="00BB41A6" w:rsidRPr="00BB41A6" w:rsidRDefault="00BB41A6" w:rsidP="00BB41A6">
      <w:pPr>
        <w:tabs>
          <w:tab w:val="left" w:pos="0"/>
          <w:tab w:val="left" w:pos="4320"/>
        </w:tabs>
        <w:jc w:val="both"/>
        <w:rPr>
          <w:color w:val="000000" w:themeColor="text1"/>
          <w:szCs w:val="24"/>
        </w:rPr>
      </w:pPr>
    </w:p>
    <w:p w:rsidR="00BB41A6" w:rsidRPr="00BB41A6" w:rsidRDefault="00BB41A6" w:rsidP="00BB41A6">
      <w:pPr>
        <w:tabs>
          <w:tab w:val="left" w:pos="0"/>
          <w:tab w:val="left" w:pos="4320"/>
        </w:tabs>
        <w:jc w:val="both"/>
        <w:rPr>
          <w:color w:val="000000" w:themeColor="text1"/>
          <w:szCs w:val="24"/>
        </w:rPr>
      </w:pPr>
      <w:r w:rsidRPr="00BB41A6">
        <w:rPr>
          <w:color w:val="000000" w:themeColor="text1"/>
          <w:szCs w:val="24"/>
        </w:rPr>
        <w:t xml:space="preserve">SUBJECT:  Department of Defense Physical Disability Board of Review Recommendation </w:t>
      </w:r>
    </w:p>
    <w:p w:rsidR="00BB41A6" w:rsidRPr="00BB41A6" w:rsidRDefault="00BB41A6" w:rsidP="00BB41A6">
      <w:pPr>
        <w:tabs>
          <w:tab w:val="left" w:pos="0"/>
          <w:tab w:val="left" w:pos="4320"/>
        </w:tabs>
        <w:jc w:val="both"/>
        <w:rPr>
          <w:color w:val="000000" w:themeColor="text1"/>
          <w:szCs w:val="24"/>
        </w:rPr>
      </w:pPr>
    </w:p>
    <w:p w:rsidR="00BB41A6" w:rsidRDefault="00BB41A6" w:rsidP="00BB41A6">
      <w:pPr>
        <w:tabs>
          <w:tab w:val="left" w:pos="0"/>
          <w:tab w:val="left" w:pos="4320"/>
        </w:tabs>
        <w:jc w:val="both"/>
        <w:rPr>
          <w:color w:val="000000" w:themeColor="text1"/>
          <w:szCs w:val="24"/>
        </w:rPr>
      </w:pPr>
      <w:r w:rsidRPr="00BB41A6">
        <w:rPr>
          <w:color w:val="000000" w:themeColor="text1"/>
          <w:szCs w:val="24"/>
        </w:rPr>
        <w:t>I have reviewed the enclosed Department of Defense Physical Disability Board of Review (</w:t>
      </w:r>
      <w:proofErr w:type="spellStart"/>
      <w:r w:rsidRPr="00BB41A6">
        <w:rPr>
          <w:color w:val="000000" w:themeColor="text1"/>
          <w:szCs w:val="24"/>
        </w:rPr>
        <w:t>DoD</w:t>
      </w:r>
      <w:proofErr w:type="spellEnd"/>
      <w:r w:rsidRPr="00BB41A6">
        <w:rPr>
          <w:color w:val="000000" w:themeColor="text1"/>
          <w:szCs w:val="24"/>
        </w:rPr>
        <w:t xml:space="preserve"> PDBR) recommendation and record of proceedings pertaining to the subject individual.  Under the authority of Title 10, United States Code, section 1554a,   I accept the Board’s recommendation and hereby deny the individual’s application.  </w:t>
      </w:r>
    </w:p>
    <w:p w:rsidR="00BB41A6" w:rsidRPr="00BB41A6" w:rsidRDefault="00BB41A6" w:rsidP="00BB41A6">
      <w:pPr>
        <w:tabs>
          <w:tab w:val="left" w:pos="0"/>
          <w:tab w:val="left" w:pos="4320"/>
        </w:tabs>
        <w:jc w:val="both"/>
        <w:rPr>
          <w:color w:val="000000" w:themeColor="text1"/>
          <w:szCs w:val="24"/>
        </w:rPr>
      </w:pPr>
    </w:p>
    <w:p w:rsidR="00BB41A6" w:rsidRPr="00BB41A6" w:rsidRDefault="00BB41A6" w:rsidP="00BB41A6">
      <w:pPr>
        <w:tabs>
          <w:tab w:val="left" w:pos="0"/>
          <w:tab w:val="left" w:pos="4320"/>
        </w:tabs>
        <w:jc w:val="both"/>
        <w:rPr>
          <w:color w:val="000000" w:themeColor="text1"/>
          <w:szCs w:val="24"/>
        </w:rPr>
      </w:pPr>
      <w:r w:rsidRPr="00BB41A6">
        <w:rPr>
          <w:color w:val="000000" w:themeColor="text1"/>
          <w:szCs w:val="24"/>
        </w:rPr>
        <w:t>This decision is final.  The individual concerned, counsel (if any), and any Members of Congress who have shown interest in this application have been notified of this decision by mail.</w:t>
      </w:r>
    </w:p>
    <w:p w:rsidR="00BB41A6" w:rsidRPr="00BB41A6" w:rsidRDefault="00BB41A6" w:rsidP="00BB41A6">
      <w:pPr>
        <w:tabs>
          <w:tab w:val="left" w:pos="0"/>
          <w:tab w:val="left" w:pos="4320"/>
        </w:tabs>
        <w:jc w:val="both"/>
        <w:rPr>
          <w:color w:val="000000" w:themeColor="text1"/>
          <w:szCs w:val="24"/>
        </w:rPr>
      </w:pPr>
    </w:p>
    <w:p w:rsidR="00BB41A6" w:rsidRPr="00BB41A6" w:rsidRDefault="00BB41A6" w:rsidP="00BB41A6">
      <w:pPr>
        <w:tabs>
          <w:tab w:val="left" w:pos="0"/>
          <w:tab w:val="left" w:pos="4320"/>
        </w:tabs>
        <w:jc w:val="both"/>
        <w:rPr>
          <w:color w:val="000000" w:themeColor="text1"/>
          <w:szCs w:val="24"/>
        </w:rPr>
      </w:pPr>
      <w:r w:rsidRPr="00BB41A6">
        <w:rPr>
          <w:color w:val="000000" w:themeColor="text1"/>
          <w:szCs w:val="24"/>
        </w:rPr>
        <w:t xml:space="preserve"> BY ORDER OF THE SECRETARY OF THE ARMY:</w:t>
      </w:r>
    </w:p>
    <w:p w:rsidR="00BB41A6" w:rsidRPr="00BB41A6" w:rsidRDefault="00BB41A6" w:rsidP="00BB41A6">
      <w:pPr>
        <w:tabs>
          <w:tab w:val="left" w:pos="0"/>
          <w:tab w:val="left" w:pos="4320"/>
        </w:tabs>
        <w:jc w:val="both"/>
        <w:rPr>
          <w:color w:val="000000" w:themeColor="text1"/>
          <w:szCs w:val="24"/>
        </w:rPr>
      </w:pPr>
    </w:p>
    <w:p w:rsidR="00BB41A6" w:rsidRPr="00BB41A6" w:rsidRDefault="00BB41A6" w:rsidP="00BB41A6">
      <w:pPr>
        <w:tabs>
          <w:tab w:val="left" w:pos="0"/>
          <w:tab w:val="left" w:pos="4320"/>
        </w:tabs>
        <w:jc w:val="both"/>
        <w:rPr>
          <w:color w:val="000000" w:themeColor="text1"/>
          <w:szCs w:val="24"/>
        </w:rPr>
      </w:pPr>
    </w:p>
    <w:p w:rsidR="00BB41A6" w:rsidRPr="00BB41A6" w:rsidRDefault="00BB41A6" w:rsidP="00BB41A6">
      <w:pPr>
        <w:tabs>
          <w:tab w:val="left" w:pos="0"/>
          <w:tab w:val="left" w:pos="4320"/>
        </w:tabs>
        <w:jc w:val="both"/>
        <w:rPr>
          <w:color w:val="000000" w:themeColor="text1"/>
          <w:szCs w:val="24"/>
        </w:rPr>
      </w:pPr>
    </w:p>
    <w:p w:rsidR="00BB41A6" w:rsidRPr="00BB41A6" w:rsidRDefault="00BB41A6" w:rsidP="00BB41A6">
      <w:pPr>
        <w:tabs>
          <w:tab w:val="left" w:pos="0"/>
          <w:tab w:val="left" w:pos="4320"/>
        </w:tabs>
        <w:jc w:val="both"/>
        <w:rPr>
          <w:color w:val="000000" w:themeColor="text1"/>
          <w:szCs w:val="24"/>
        </w:rPr>
      </w:pPr>
    </w:p>
    <w:p w:rsidR="00BB41A6" w:rsidRPr="00BB41A6" w:rsidRDefault="00BB41A6" w:rsidP="00BB41A6">
      <w:pPr>
        <w:tabs>
          <w:tab w:val="left" w:pos="0"/>
          <w:tab w:val="left" w:pos="4320"/>
        </w:tabs>
        <w:jc w:val="both"/>
        <w:rPr>
          <w:color w:val="000000" w:themeColor="text1"/>
          <w:szCs w:val="24"/>
        </w:rPr>
      </w:pPr>
      <w:bookmarkStart w:id="0" w:name="OLE_LINK3"/>
      <w:bookmarkStart w:id="1" w:name="OLE_LINK4"/>
      <w:r w:rsidRPr="00BB41A6">
        <w:rPr>
          <w:color w:val="000000" w:themeColor="text1"/>
          <w:szCs w:val="24"/>
        </w:rPr>
        <w:t>Encl</w:t>
      </w:r>
      <w:r w:rsidRPr="00BB41A6">
        <w:rPr>
          <w:color w:val="000000" w:themeColor="text1"/>
          <w:szCs w:val="24"/>
        </w:rPr>
        <w:tab/>
      </w:r>
      <w:r>
        <w:rPr>
          <w:color w:val="000000" w:themeColor="text1"/>
          <w:szCs w:val="24"/>
        </w:rPr>
        <w:t xml:space="preserve"> </w:t>
      </w:r>
    </w:p>
    <w:p w:rsidR="00BB41A6" w:rsidRPr="00BB41A6" w:rsidRDefault="00BB41A6" w:rsidP="00BB41A6">
      <w:pPr>
        <w:tabs>
          <w:tab w:val="left" w:pos="0"/>
          <w:tab w:val="left" w:pos="4320"/>
        </w:tabs>
        <w:jc w:val="both"/>
        <w:rPr>
          <w:color w:val="000000" w:themeColor="text1"/>
          <w:szCs w:val="24"/>
        </w:rPr>
      </w:pPr>
      <w:r w:rsidRPr="00BB41A6">
        <w:rPr>
          <w:color w:val="000000" w:themeColor="text1"/>
          <w:szCs w:val="24"/>
        </w:rPr>
        <w:tab/>
        <w:t>Deputy Assistant Secretary</w:t>
      </w:r>
    </w:p>
    <w:p w:rsidR="00BB41A6" w:rsidRPr="00BB41A6" w:rsidRDefault="00BB41A6" w:rsidP="00BB41A6">
      <w:pPr>
        <w:tabs>
          <w:tab w:val="left" w:pos="0"/>
          <w:tab w:val="left" w:pos="4320"/>
        </w:tabs>
        <w:jc w:val="both"/>
        <w:rPr>
          <w:color w:val="000000" w:themeColor="text1"/>
          <w:szCs w:val="24"/>
        </w:rPr>
      </w:pPr>
      <w:r w:rsidRPr="00BB41A6">
        <w:rPr>
          <w:color w:val="000000" w:themeColor="text1"/>
          <w:szCs w:val="24"/>
        </w:rPr>
        <w:tab/>
        <w:t xml:space="preserve"> (Army Review Boards)</w:t>
      </w:r>
      <w:bookmarkEnd w:id="0"/>
      <w:bookmarkEnd w:id="1"/>
    </w:p>
    <w:p w:rsidR="00046ACE" w:rsidRPr="00A1273F" w:rsidRDefault="00046ACE" w:rsidP="00A1273F">
      <w:pPr>
        <w:tabs>
          <w:tab w:val="left" w:pos="0"/>
          <w:tab w:val="left" w:pos="4320"/>
        </w:tabs>
        <w:jc w:val="both"/>
        <w:rPr>
          <w:color w:val="000000" w:themeColor="text1"/>
          <w:szCs w:val="24"/>
        </w:rPr>
      </w:pPr>
    </w:p>
    <w:sectPr w:rsidR="00046ACE" w:rsidRPr="00A1273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CDF" w:rsidRDefault="003A7CDF">
      <w:r>
        <w:separator/>
      </w:r>
    </w:p>
  </w:endnote>
  <w:endnote w:type="continuationSeparator" w:id="0">
    <w:p w:rsidR="003A7CDF" w:rsidRDefault="003A7C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50BC2" w:rsidRPr="00374247" w:rsidRDefault="00250BC2" w:rsidP="00374247">
        <w:pPr>
          <w:pStyle w:val="Footer"/>
          <w:ind w:firstLine="4320"/>
          <w:rPr>
            <w:color w:val="auto"/>
            <w:szCs w:val="24"/>
          </w:rPr>
        </w:pPr>
        <w:r w:rsidRPr="00374247">
          <w:rPr>
            <w:color w:val="auto"/>
            <w:szCs w:val="24"/>
          </w:rPr>
          <w:t xml:space="preserve">   </w:t>
        </w:r>
        <w:r w:rsidR="00A82FEB" w:rsidRPr="00374247">
          <w:rPr>
            <w:color w:val="auto"/>
            <w:szCs w:val="24"/>
          </w:rPr>
          <w:fldChar w:fldCharType="begin"/>
        </w:r>
        <w:r w:rsidRPr="00374247">
          <w:rPr>
            <w:color w:val="auto"/>
            <w:szCs w:val="24"/>
          </w:rPr>
          <w:instrText xml:space="preserve"> PAGE   \* MERGEFORMAT </w:instrText>
        </w:r>
        <w:r w:rsidR="00A82FEB" w:rsidRPr="00374247">
          <w:rPr>
            <w:color w:val="auto"/>
            <w:szCs w:val="24"/>
          </w:rPr>
          <w:fldChar w:fldCharType="separate"/>
        </w:r>
        <w:r w:rsidR="00BB41A6" w:rsidRPr="00BB41A6">
          <w:rPr>
            <w:noProof/>
            <w:color w:val="auto"/>
          </w:rPr>
          <w:t>6</w:t>
        </w:r>
        <w:r w:rsidR="00A82FEB" w:rsidRPr="00374247">
          <w:rPr>
            <w:color w:val="auto"/>
            <w:szCs w:val="24"/>
          </w:rPr>
          <w:fldChar w:fldCharType="end"/>
        </w:r>
        <w:r w:rsidRPr="00374247">
          <w:rPr>
            <w:color w:val="auto"/>
            <w:szCs w:val="24"/>
          </w:rPr>
          <w:t xml:space="preserve">                                                           </w:t>
        </w:r>
        <w:r w:rsidRPr="001D64F3">
          <w:rPr>
            <w:color w:val="auto"/>
            <w:szCs w:val="24"/>
          </w:rPr>
          <w:t>PD1</w:t>
        </w:r>
        <w:r w:rsidRPr="002D1557">
          <w:rPr>
            <w:color w:val="auto"/>
            <w:szCs w:val="24"/>
          </w:rPr>
          <w:t>10060</w:t>
        </w:r>
        <w:r>
          <w:rPr>
            <w:color w:val="auto"/>
            <w:szCs w:val="24"/>
          </w:rPr>
          <w:t>9</w:t>
        </w:r>
      </w:p>
    </w:sdtContent>
  </w:sdt>
  <w:p w:rsidR="00250BC2" w:rsidRPr="00684CE6" w:rsidRDefault="00250BC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CDF" w:rsidRDefault="003A7CDF">
      <w:r>
        <w:separator/>
      </w:r>
    </w:p>
  </w:footnote>
  <w:footnote w:type="continuationSeparator" w:id="0">
    <w:p w:rsidR="003A7CDF" w:rsidRDefault="003A7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373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4BC9"/>
    <w:rsid w:val="000452D7"/>
    <w:rsid w:val="00046ACE"/>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1DF1"/>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681"/>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0E04"/>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37B8A"/>
    <w:rsid w:val="00140FA4"/>
    <w:rsid w:val="00141BC9"/>
    <w:rsid w:val="00141BEE"/>
    <w:rsid w:val="001421FD"/>
    <w:rsid w:val="001425C8"/>
    <w:rsid w:val="00142A06"/>
    <w:rsid w:val="00142EBA"/>
    <w:rsid w:val="00143B5B"/>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4A4F"/>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7CA"/>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238"/>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0BC2"/>
    <w:rsid w:val="0025183C"/>
    <w:rsid w:val="00252351"/>
    <w:rsid w:val="002528EC"/>
    <w:rsid w:val="00253EAA"/>
    <w:rsid w:val="00255049"/>
    <w:rsid w:val="00257538"/>
    <w:rsid w:val="00257AFF"/>
    <w:rsid w:val="00257DE5"/>
    <w:rsid w:val="00260531"/>
    <w:rsid w:val="00260B9A"/>
    <w:rsid w:val="00262785"/>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2DF0"/>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493"/>
    <w:rsid w:val="002C5D9D"/>
    <w:rsid w:val="002C5F10"/>
    <w:rsid w:val="002C6E5B"/>
    <w:rsid w:val="002D08F3"/>
    <w:rsid w:val="002D1557"/>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C9F"/>
    <w:rsid w:val="002F7F81"/>
    <w:rsid w:val="00300A36"/>
    <w:rsid w:val="00301B45"/>
    <w:rsid w:val="00303E47"/>
    <w:rsid w:val="00305856"/>
    <w:rsid w:val="00305867"/>
    <w:rsid w:val="0030678B"/>
    <w:rsid w:val="00306D16"/>
    <w:rsid w:val="00307595"/>
    <w:rsid w:val="00307DA6"/>
    <w:rsid w:val="00310CD7"/>
    <w:rsid w:val="00313C3A"/>
    <w:rsid w:val="00313D7A"/>
    <w:rsid w:val="00313EB3"/>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481"/>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251E"/>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CDF"/>
    <w:rsid w:val="003A7FF8"/>
    <w:rsid w:val="003B17AC"/>
    <w:rsid w:val="003B2143"/>
    <w:rsid w:val="003B227A"/>
    <w:rsid w:val="003B3A77"/>
    <w:rsid w:val="003B3F35"/>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999"/>
    <w:rsid w:val="00414AFA"/>
    <w:rsid w:val="00415EA4"/>
    <w:rsid w:val="0041604B"/>
    <w:rsid w:val="004172DB"/>
    <w:rsid w:val="004174F0"/>
    <w:rsid w:val="00420A1D"/>
    <w:rsid w:val="00420B1E"/>
    <w:rsid w:val="00420CD3"/>
    <w:rsid w:val="004211FD"/>
    <w:rsid w:val="00421485"/>
    <w:rsid w:val="004216DA"/>
    <w:rsid w:val="00421DEA"/>
    <w:rsid w:val="00422B75"/>
    <w:rsid w:val="00424612"/>
    <w:rsid w:val="0042528C"/>
    <w:rsid w:val="00425672"/>
    <w:rsid w:val="00425A6A"/>
    <w:rsid w:val="00426A23"/>
    <w:rsid w:val="00427C7F"/>
    <w:rsid w:val="00427F54"/>
    <w:rsid w:val="004316FD"/>
    <w:rsid w:val="00433AB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6741"/>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043"/>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18EE"/>
    <w:rsid w:val="0049255F"/>
    <w:rsid w:val="0049445D"/>
    <w:rsid w:val="00494D39"/>
    <w:rsid w:val="00495350"/>
    <w:rsid w:val="00495E3C"/>
    <w:rsid w:val="00496041"/>
    <w:rsid w:val="00497156"/>
    <w:rsid w:val="004A0C79"/>
    <w:rsid w:val="004A24D2"/>
    <w:rsid w:val="004A3214"/>
    <w:rsid w:val="004A4136"/>
    <w:rsid w:val="004A417B"/>
    <w:rsid w:val="004A4378"/>
    <w:rsid w:val="004A5BA4"/>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28A9"/>
    <w:rsid w:val="00503401"/>
    <w:rsid w:val="00503DDF"/>
    <w:rsid w:val="00505524"/>
    <w:rsid w:val="005058D5"/>
    <w:rsid w:val="00506688"/>
    <w:rsid w:val="00507441"/>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8BF"/>
    <w:rsid w:val="00534D42"/>
    <w:rsid w:val="005350A5"/>
    <w:rsid w:val="00536379"/>
    <w:rsid w:val="00537238"/>
    <w:rsid w:val="005400C5"/>
    <w:rsid w:val="005404CD"/>
    <w:rsid w:val="00540BE0"/>
    <w:rsid w:val="00540BEF"/>
    <w:rsid w:val="00541FE7"/>
    <w:rsid w:val="005428E6"/>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6C8"/>
    <w:rsid w:val="00571B11"/>
    <w:rsid w:val="00571D1B"/>
    <w:rsid w:val="00571DA3"/>
    <w:rsid w:val="005738F5"/>
    <w:rsid w:val="00573D34"/>
    <w:rsid w:val="00574020"/>
    <w:rsid w:val="00574A1B"/>
    <w:rsid w:val="00575963"/>
    <w:rsid w:val="00575EBE"/>
    <w:rsid w:val="00576F71"/>
    <w:rsid w:val="0058039C"/>
    <w:rsid w:val="00580A63"/>
    <w:rsid w:val="00583379"/>
    <w:rsid w:val="0058417C"/>
    <w:rsid w:val="005854F9"/>
    <w:rsid w:val="00586EC6"/>
    <w:rsid w:val="00587DDE"/>
    <w:rsid w:val="00593043"/>
    <w:rsid w:val="00593E22"/>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B7BD1"/>
    <w:rsid w:val="005C0E87"/>
    <w:rsid w:val="005C1398"/>
    <w:rsid w:val="005C16F3"/>
    <w:rsid w:val="005C3758"/>
    <w:rsid w:val="005C4D72"/>
    <w:rsid w:val="005C50C1"/>
    <w:rsid w:val="005C62C2"/>
    <w:rsid w:val="005D20C7"/>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223"/>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66DC5"/>
    <w:rsid w:val="006708E3"/>
    <w:rsid w:val="00670DDC"/>
    <w:rsid w:val="00671389"/>
    <w:rsid w:val="00671EB4"/>
    <w:rsid w:val="00673773"/>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6D86"/>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1FC"/>
    <w:rsid w:val="00707ECE"/>
    <w:rsid w:val="007105E0"/>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33DE"/>
    <w:rsid w:val="0073348C"/>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760"/>
    <w:rsid w:val="00750C82"/>
    <w:rsid w:val="00750E3A"/>
    <w:rsid w:val="00752035"/>
    <w:rsid w:val="00755F2B"/>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7D9"/>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3D27"/>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5C60"/>
    <w:rsid w:val="00827B29"/>
    <w:rsid w:val="00827DB6"/>
    <w:rsid w:val="008304B2"/>
    <w:rsid w:val="00830999"/>
    <w:rsid w:val="00830D5E"/>
    <w:rsid w:val="00830F69"/>
    <w:rsid w:val="00831940"/>
    <w:rsid w:val="008324D9"/>
    <w:rsid w:val="00833418"/>
    <w:rsid w:val="0083387F"/>
    <w:rsid w:val="00834458"/>
    <w:rsid w:val="00834A72"/>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4603"/>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7667A"/>
    <w:rsid w:val="00881F30"/>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CF8"/>
    <w:rsid w:val="008D5104"/>
    <w:rsid w:val="008D75F4"/>
    <w:rsid w:val="008D795D"/>
    <w:rsid w:val="008D7B07"/>
    <w:rsid w:val="008E0D8F"/>
    <w:rsid w:val="008E0F4E"/>
    <w:rsid w:val="008E112C"/>
    <w:rsid w:val="008E1E94"/>
    <w:rsid w:val="008E2D99"/>
    <w:rsid w:val="008E2EF0"/>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24C2"/>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6EF2"/>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6DE3"/>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3E6C"/>
    <w:rsid w:val="00A0404B"/>
    <w:rsid w:val="00A06F66"/>
    <w:rsid w:val="00A0798C"/>
    <w:rsid w:val="00A07BDD"/>
    <w:rsid w:val="00A07F12"/>
    <w:rsid w:val="00A1105B"/>
    <w:rsid w:val="00A1213C"/>
    <w:rsid w:val="00A1273F"/>
    <w:rsid w:val="00A130E8"/>
    <w:rsid w:val="00A15B6B"/>
    <w:rsid w:val="00A15EB4"/>
    <w:rsid w:val="00A16172"/>
    <w:rsid w:val="00A1656B"/>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20D"/>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77B21"/>
    <w:rsid w:val="00A82C52"/>
    <w:rsid w:val="00A82FEB"/>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3BCE"/>
    <w:rsid w:val="00AA493E"/>
    <w:rsid w:val="00AA73AF"/>
    <w:rsid w:val="00AB062D"/>
    <w:rsid w:val="00AB0A8A"/>
    <w:rsid w:val="00AB1754"/>
    <w:rsid w:val="00AB1F8D"/>
    <w:rsid w:val="00AB27DD"/>
    <w:rsid w:val="00AB4BA4"/>
    <w:rsid w:val="00AB592E"/>
    <w:rsid w:val="00AC0C1C"/>
    <w:rsid w:val="00AC1225"/>
    <w:rsid w:val="00AC1305"/>
    <w:rsid w:val="00AC37BE"/>
    <w:rsid w:val="00AC439D"/>
    <w:rsid w:val="00AC62CC"/>
    <w:rsid w:val="00AC713F"/>
    <w:rsid w:val="00AC7329"/>
    <w:rsid w:val="00AC7D96"/>
    <w:rsid w:val="00AD00E4"/>
    <w:rsid w:val="00AD067E"/>
    <w:rsid w:val="00AD168B"/>
    <w:rsid w:val="00AD1B4E"/>
    <w:rsid w:val="00AD2801"/>
    <w:rsid w:val="00AD3496"/>
    <w:rsid w:val="00AD40DA"/>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5397"/>
    <w:rsid w:val="00B06930"/>
    <w:rsid w:val="00B0773A"/>
    <w:rsid w:val="00B07955"/>
    <w:rsid w:val="00B1176B"/>
    <w:rsid w:val="00B140B8"/>
    <w:rsid w:val="00B14FAA"/>
    <w:rsid w:val="00B15BED"/>
    <w:rsid w:val="00B15D30"/>
    <w:rsid w:val="00B15F09"/>
    <w:rsid w:val="00B16D18"/>
    <w:rsid w:val="00B177DE"/>
    <w:rsid w:val="00B205BA"/>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84"/>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3C6"/>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421"/>
    <w:rsid w:val="00B75A8B"/>
    <w:rsid w:val="00B75B61"/>
    <w:rsid w:val="00B76796"/>
    <w:rsid w:val="00B771E0"/>
    <w:rsid w:val="00B7793B"/>
    <w:rsid w:val="00B77EE7"/>
    <w:rsid w:val="00B80EDD"/>
    <w:rsid w:val="00B812BD"/>
    <w:rsid w:val="00B81964"/>
    <w:rsid w:val="00B82277"/>
    <w:rsid w:val="00B83F87"/>
    <w:rsid w:val="00B8478F"/>
    <w:rsid w:val="00B84F93"/>
    <w:rsid w:val="00B86C5F"/>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0A23"/>
    <w:rsid w:val="00BB133C"/>
    <w:rsid w:val="00BB1F04"/>
    <w:rsid w:val="00BB41A6"/>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7FB"/>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29CB"/>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5BF9"/>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13E"/>
    <w:rsid w:val="00C60F23"/>
    <w:rsid w:val="00C6170B"/>
    <w:rsid w:val="00C62EB2"/>
    <w:rsid w:val="00C63431"/>
    <w:rsid w:val="00C64C87"/>
    <w:rsid w:val="00C65414"/>
    <w:rsid w:val="00C665FE"/>
    <w:rsid w:val="00C71BEC"/>
    <w:rsid w:val="00C726D4"/>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6DC4"/>
    <w:rsid w:val="00C87BE6"/>
    <w:rsid w:val="00C87F76"/>
    <w:rsid w:val="00C931FC"/>
    <w:rsid w:val="00C932C5"/>
    <w:rsid w:val="00C94CB6"/>
    <w:rsid w:val="00C95299"/>
    <w:rsid w:val="00C95A72"/>
    <w:rsid w:val="00C9650E"/>
    <w:rsid w:val="00C97000"/>
    <w:rsid w:val="00C9700B"/>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5AA"/>
    <w:rsid w:val="00CC78A2"/>
    <w:rsid w:val="00CC7DF8"/>
    <w:rsid w:val="00CD15BE"/>
    <w:rsid w:val="00CD1EF2"/>
    <w:rsid w:val="00CD32BD"/>
    <w:rsid w:val="00CD34C7"/>
    <w:rsid w:val="00CD3B05"/>
    <w:rsid w:val="00CD5653"/>
    <w:rsid w:val="00CD5E6D"/>
    <w:rsid w:val="00CD63C8"/>
    <w:rsid w:val="00CD76F8"/>
    <w:rsid w:val="00CD78A5"/>
    <w:rsid w:val="00CE02E8"/>
    <w:rsid w:val="00CE069E"/>
    <w:rsid w:val="00CE0DE0"/>
    <w:rsid w:val="00CE2CC2"/>
    <w:rsid w:val="00CE3722"/>
    <w:rsid w:val="00CF158D"/>
    <w:rsid w:val="00CF2166"/>
    <w:rsid w:val="00CF3170"/>
    <w:rsid w:val="00CF3484"/>
    <w:rsid w:val="00CF4340"/>
    <w:rsid w:val="00CF4394"/>
    <w:rsid w:val="00CF48B4"/>
    <w:rsid w:val="00CF494A"/>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4BA2"/>
    <w:rsid w:val="00D462D7"/>
    <w:rsid w:val="00D46A33"/>
    <w:rsid w:val="00D46C40"/>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1250"/>
    <w:rsid w:val="00D828F9"/>
    <w:rsid w:val="00D829AD"/>
    <w:rsid w:val="00D82EE2"/>
    <w:rsid w:val="00D83D1B"/>
    <w:rsid w:val="00D84133"/>
    <w:rsid w:val="00D84B8D"/>
    <w:rsid w:val="00D8545C"/>
    <w:rsid w:val="00D86AB5"/>
    <w:rsid w:val="00D86E57"/>
    <w:rsid w:val="00D876AD"/>
    <w:rsid w:val="00D87788"/>
    <w:rsid w:val="00D877C8"/>
    <w:rsid w:val="00D90170"/>
    <w:rsid w:val="00D91040"/>
    <w:rsid w:val="00D910C2"/>
    <w:rsid w:val="00D9168C"/>
    <w:rsid w:val="00D9189B"/>
    <w:rsid w:val="00D91DA6"/>
    <w:rsid w:val="00D921A0"/>
    <w:rsid w:val="00D93A41"/>
    <w:rsid w:val="00D93B9A"/>
    <w:rsid w:val="00D95984"/>
    <w:rsid w:val="00D95C64"/>
    <w:rsid w:val="00D96C6D"/>
    <w:rsid w:val="00D9706F"/>
    <w:rsid w:val="00D972D4"/>
    <w:rsid w:val="00DA0FE3"/>
    <w:rsid w:val="00DA195B"/>
    <w:rsid w:val="00DA27F3"/>
    <w:rsid w:val="00DA2D1E"/>
    <w:rsid w:val="00DA3BCD"/>
    <w:rsid w:val="00DA3EC8"/>
    <w:rsid w:val="00DA40C1"/>
    <w:rsid w:val="00DA5564"/>
    <w:rsid w:val="00DA6B55"/>
    <w:rsid w:val="00DA6B97"/>
    <w:rsid w:val="00DA6CEE"/>
    <w:rsid w:val="00DB0015"/>
    <w:rsid w:val="00DB0359"/>
    <w:rsid w:val="00DB05EC"/>
    <w:rsid w:val="00DB0ABB"/>
    <w:rsid w:val="00DB2AAD"/>
    <w:rsid w:val="00DB44E2"/>
    <w:rsid w:val="00DB4A6D"/>
    <w:rsid w:val="00DB5941"/>
    <w:rsid w:val="00DB626D"/>
    <w:rsid w:val="00DB6365"/>
    <w:rsid w:val="00DB756C"/>
    <w:rsid w:val="00DB7CC5"/>
    <w:rsid w:val="00DC07B7"/>
    <w:rsid w:val="00DC0BF1"/>
    <w:rsid w:val="00DC17F2"/>
    <w:rsid w:val="00DC4001"/>
    <w:rsid w:val="00DC41C3"/>
    <w:rsid w:val="00DC4731"/>
    <w:rsid w:val="00DC4A3C"/>
    <w:rsid w:val="00DC4FA4"/>
    <w:rsid w:val="00DC5B37"/>
    <w:rsid w:val="00DD286D"/>
    <w:rsid w:val="00DD2CAF"/>
    <w:rsid w:val="00DD30BC"/>
    <w:rsid w:val="00DD3593"/>
    <w:rsid w:val="00DD64E0"/>
    <w:rsid w:val="00DD775C"/>
    <w:rsid w:val="00DD7BE0"/>
    <w:rsid w:val="00DE0C67"/>
    <w:rsid w:val="00DE3AAD"/>
    <w:rsid w:val="00DE598A"/>
    <w:rsid w:val="00DE6952"/>
    <w:rsid w:val="00DE6FBE"/>
    <w:rsid w:val="00DE7A7D"/>
    <w:rsid w:val="00DE7E74"/>
    <w:rsid w:val="00DF071B"/>
    <w:rsid w:val="00DF090D"/>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A5A"/>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676"/>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1C6"/>
    <w:rsid w:val="00ED12F0"/>
    <w:rsid w:val="00ED2874"/>
    <w:rsid w:val="00ED290C"/>
    <w:rsid w:val="00ED2A6C"/>
    <w:rsid w:val="00ED4773"/>
    <w:rsid w:val="00ED5284"/>
    <w:rsid w:val="00ED664B"/>
    <w:rsid w:val="00ED6A61"/>
    <w:rsid w:val="00ED768E"/>
    <w:rsid w:val="00ED7DA4"/>
    <w:rsid w:val="00EE03BB"/>
    <w:rsid w:val="00EE0552"/>
    <w:rsid w:val="00EE0A6E"/>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2DC8"/>
    <w:rsid w:val="00F130D0"/>
    <w:rsid w:val="00F13AC6"/>
    <w:rsid w:val="00F13F5E"/>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3BAF"/>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4247"/>
    <w:rsid w:val="00F853AE"/>
    <w:rsid w:val="00F854FE"/>
    <w:rsid w:val="00F908D5"/>
    <w:rsid w:val="00F913B9"/>
    <w:rsid w:val="00F917E7"/>
    <w:rsid w:val="00F93C74"/>
    <w:rsid w:val="00F93DCC"/>
    <w:rsid w:val="00F9435D"/>
    <w:rsid w:val="00F9621E"/>
    <w:rsid w:val="00F966F9"/>
    <w:rsid w:val="00F96F61"/>
    <w:rsid w:val="00F97740"/>
    <w:rsid w:val="00FA0C8F"/>
    <w:rsid w:val="00FA2DEF"/>
    <w:rsid w:val="00FA2F7B"/>
    <w:rsid w:val="00FA3C90"/>
    <w:rsid w:val="00FA3C97"/>
    <w:rsid w:val="00FA3D30"/>
    <w:rsid w:val="00FA4B49"/>
    <w:rsid w:val="00FA54F8"/>
    <w:rsid w:val="00FA716B"/>
    <w:rsid w:val="00FA78C8"/>
    <w:rsid w:val="00FA7A2F"/>
    <w:rsid w:val="00FB09FE"/>
    <w:rsid w:val="00FB0E80"/>
    <w:rsid w:val="00FB101D"/>
    <w:rsid w:val="00FB1725"/>
    <w:rsid w:val="00FB2493"/>
    <w:rsid w:val="00FB42B7"/>
    <w:rsid w:val="00FB4484"/>
    <w:rsid w:val="00FB5610"/>
    <w:rsid w:val="00FB593A"/>
    <w:rsid w:val="00FB6410"/>
    <w:rsid w:val="00FB6E82"/>
    <w:rsid w:val="00FB792E"/>
    <w:rsid w:val="00FB7CF0"/>
    <w:rsid w:val="00FC0042"/>
    <w:rsid w:val="00FC1E67"/>
    <w:rsid w:val="00FC2A13"/>
    <w:rsid w:val="00FC4284"/>
    <w:rsid w:val="00FC4576"/>
    <w:rsid w:val="00FC56A3"/>
    <w:rsid w:val="00FC5FF5"/>
    <w:rsid w:val="00FC6285"/>
    <w:rsid w:val="00FC78FB"/>
    <w:rsid w:val="00FC7DBC"/>
    <w:rsid w:val="00FD076A"/>
    <w:rsid w:val="00FD0AA0"/>
    <w:rsid w:val="00FD1D5A"/>
    <w:rsid w:val="00FD5059"/>
    <w:rsid w:val="00FD554D"/>
    <w:rsid w:val="00FD5BCC"/>
    <w:rsid w:val="00FD7B23"/>
    <w:rsid w:val="00FE23C1"/>
    <w:rsid w:val="00FE2A48"/>
    <w:rsid w:val="00FE2DEF"/>
    <w:rsid w:val="00FE323C"/>
    <w:rsid w:val="00FE3A27"/>
    <w:rsid w:val="00FE4BBB"/>
    <w:rsid w:val="00FE5D0A"/>
    <w:rsid w:val="00FE6469"/>
    <w:rsid w:val="00FE7C6D"/>
    <w:rsid w:val="00FF0358"/>
    <w:rsid w:val="00FF05D0"/>
    <w:rsid w:val="00FF06CE"/>
    <w:rsid w:val="00FF0DC2"/>
    <w:rsid w:val="00FF0FF7"/>
    <w:rsid w:val="00FF1022"/>
    <w:rsid w:val="00FF10A2"/>
    <w:rsid w:val="00FF1438"/>
    <w:rsid w:val="00FF2D9B"/>
    <w:rsid w:val="00FF3A38"/>
    <w:rsid w:val="00FF3C25"/>
    <w:rsid w:val="00FF4129"/>
    <w:rsid w:val="00FF44F7"/>
    <w:rsid w:val="00FF4C90"/>
    <w:rsid w:val="00FF5806"/>
    <w:rsid w:val="00FF61BD"/>
    <w:rsid w:val="00FF6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30DB-AA79-4A36-B3DB-97A89BE9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5</cp:revision>
  <cp:lastPrinted>2011-04-08T11:41:00Z</cp:lastPrinted>
  <dcterms:created xsi:type="dcterms:W3CDTF">2012-02-27T14:00:00Z</dcterms:created>
  <dcterms:modified xsi:type="dcterms:W3CDTF">2012-03-20T13:18:00Z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