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623" w:rsidRPr="001F29F9" w:rsidRDefault="00155623" w:rsidP="00BF0E94">
      <w:pPr>
        <w:tabs>
          <w:tab w:val="left" w:pos="288"/>
          <w:tab w:val="left" w:pos="4752"/>
        </w:tabs>
        <w:rPr>
          <w:color w:val="000000"/>
        </w:rPr>
      </w:pPr>
      <w:r w:rsidRPr="001F29F9">
        <w:rPr>
          <w:color w:val="000000"/>
        </w:rPr>
        <w:t>RECORD OF PROCEEDINGS</w:t>
      </w:r>
    </w:p>
    <w:p w:rsidR="00155623" w:rsidRPr="001F29F9" w:rsidRDefault="00155623" w:rsidP="00BF0E94">
      <w:pPr>
        <w:tabs>
          <w:tab w:val="left" w:pos="288"/>
          <w:tab w:val="left" w:pos="4752"/>
        </w:tabs>
        <w:rPr>
          <w:color w:val="000000"/>
        </w:rPr>
      </w:pPr>
      <w:r w:rsidRPr="001F29F9">
        <w:rPr>
          <w:color w:val="000000"/>
        </w:rPr>
        <w:t>PHYSICAL DISABILITY BOARD OF REVIEW</w:t>
      </w:r>
    </w:p>
    <w:p w:rsidR="00155623" w:rsidRPr="001F29F9" w:rsidRDefault="00155623" w:rsidP="00BF0E94">
      <w:pPr>
        <w:tabs>
          <w:tab w:val="left" w:pos="288"/>
          <w:tab w:val="left" w:pos="4752"/>
        </w:tabs>
        <w:jc w:val="both"/>
        <w:rPr>
          <w:caps/>
          <w:color w:val="000000"/>
        </w:rPr>
      </w:pPr>
    </w:p>
    <w:p w:rsidR="00155623" w:rsidRPr="001F29F9" w:rsidRDefault="00155623" w:rsidP="003C53E8">
      <w:pPr>
        <w:tabs>
          <w:tab w:val="left" w:pos="288"/>
          <w:tab w:val="left" w:pos="4752"/>
          <w:tab w:val="left" w:pos="6390"/>
          <w:tab w:val="left" w:pos="9270"/>
        </w:tabs>
        <w:jc w:val="both"/>
        <w:rPr>
          <w:caps/>
          <w:color w:val="000000"/>
        </w:rPr>
      </w:pPr>
      <w:r w:rsidRPr="001F29F9">
        <w:rPr>
          <w:caps/>
          <w:color w:val="000000"/>
        </w:rPr>
        <w:t xml:space="preserve">NAME:  </w:t>
      </w:r>
      <w:r w:rsidR="00FD0237">
        <w:rPr>
          <w:caps/>
          <w:color w:val="000000"/>
        </w:rPr>
        <w:t xml:space="preserve"> </w:t>
      </w:r>
      <w:r w:rsidRPr="001F29F9">
        <w:rPr>
          <w:caps/>
          <w:color w:val="000000"/>
        </w:rPr>
        <w:t xml:space="preserve">         </w:t>
      </w:r>
      <w:r>
        <w:rPr>
          <w:caps/>
          <w:color w:val="000000"/>
        </w:rPr>
        <w:tab/>
        <w:t xml:space="preserve">                       </w:t>
      </w:r>
      <w:r w:rsidRPr="001F29F9">
        <w:rPr>
          <w:caps/>
          <w:color w:val="000000"/>
        </w:rPr>
        <w:t>BRANCH OF SERVICE</w:t>
      </w:r>
      <w:r w:rsidRPr="00806F1E">
        <w:rPr>
          <w:caps/>
          <w:color w:val="000000"/>
        </w:rPr>
        <w:t xml:space="preserve">: Army </w:t>
      </w:r>
    </w:p>
    <w:p w:rsidR="00155623" w:rsidRPr="001F29F9" w:rsidRDefault="00155623" w:rsidP="0068098E">
      <w:pPr>
        <w:tabs>
          <w:tab w:val="left" w:pos="288"/>
          <w:tab w:val="left" w:pos="4166"/>
          <w:tab w:val="left" w:pos="4752"/>
          <w:tab w:val="left" w:pos="5130"/>
          <w:tab w:val="left" w:pos="9270"/>
        </w:tabs>
        <w:jc w:val="both"/>
        <w:rPr>
          <w:caps/>
          <w:color w:val="000000"/>
        </w:rPr>
      </w:pPr>
      <w:r w:rsidRPr="001F29F9">
        <w:rPr>
          <w:caps/>
          <w:color w:val="000000"/>
        </w:rPr>
        <w:t>CASE NUMBER:  PD1100600</w:t>
      </w:r>
      <w:r w:rsidRPr="001F29F9">
        <w:rPr>
          <w:color w:val="000000"/>
        </w:rPr>
        <w:tab/>
      </w:r>
      <w:r w:rsidRPr="001F29F9">
        <w:rPr>
          <w:color w:val="000000"/>
        </w:rPr>
        <w:tab/>
        <w:t xml:space="preserve">                       SEPARATION DATE:  20070304</w:t>
      </w:r>
    </w:p>
    <w:p w:rsidR="00155623" w:rsidRPr="001F29F9" w:rsidRDefault="00E744D7" w:rsidP="00806F1E">
      <w:pPr>
        <w:tabs>
          <w:tab w:val="left" w:pos="288"/>
          <w:tab w:val="left" w:pos="5130"/>
        </w:tabs>
        <w:jc w:val="both"/>
        <w:rPr>
          <w:color w:val="000000"/>
        </w:rPr>
      </w:pPr>
      <w:r>
        <w:rPr>
          <w:caps/>
          <w:color w:val="000000"/>
        </w:rPr>
        <w:t>BOARD DATE:  2012</w:t>
      </w:r>
      <w:r w:rsidR="00144667">
        <w:rPr>
          <w:caps/>
          <w:color w:val="000000"/>
        </w:rPr>
        <w:t>0316</w:t>
      </w:r>
      <w:r w:rsidR="00155623" w:rsidRPr="001F29F9">
        <w:rPr>
          <w:caps/>
          <w:color w:val="000000"/>
        </w:rPr>
        <w:t xml:space="preserve"> </w:t>
      </w:r>
      <w:r w:rsidR="00155623">
        <w:rPr>
          <w:rFonts w:cs="Times New Roman"/>
          <w:caps/>
          <w:color w:val="000000"/>
        </w:rPr>
        <w:tab/>
      </w:r>
    </w:p>
    <w:p w:rsidR="00155623" w:rsidRPr="001F29F9" w:rsidRDefault="00155623" w:rsidP="003C53E8">
      <w:pPr>
        <w:pBdr>
          <w:bottom w:val="single" w:sz="12" w:space="1" w:color="auto"/>
        </w:pBdr>
        <w:tabs>
          <w:tab w:val="left" w:pos="288"/>
          <w:tab w:val="left" w:pos="4752"/>
        </w:tabs>
        <w:jc w:val="both"/>
        <w:rPr>
          <w:color w:val="000000"/>
        </w:rPr>
      </w:pPr>
    </w:p>
    <w:p w:rsidR="00155623" w:rsidRPr="001F29F9" w:rsidRDefault="00155623" w:rsidP="00BF0E94">
      <w:pPr>
        <w:tabs>
          <w:tab w:val="left" w:pos="288"/>
          <w:tab w:val="left" w:pos="4752"/>
        </w:tabs>
        <w:jc w:val="both"/>
        <w:rPr>
          <w:color w:val="000000"/>
        </w:rPr>
      </w:pPr>
    </w:p>
    <w:p w:rsidR="00155623" w:rsidRPr="001F29F9" w:rsidRDefault="00155623" w:rsidP="00BF0E94">
      <w:pPr>
        <w:tabs>
          <w:tab w:val="left" w:pos="288"/>
          <w:tab w:val="left" w:pos="4752"/>
        </w:tabs>
        <w:jc w:val="both"/>
        <w:rPr>
          <w:color w:val="000000"/>
        </w:rPr>
      </w:pPr>
      <w:r w:rsidRPr="001F29F9">
        <w:rPr>
          <w:color w:val="000000"/>
          <w:u w:val="single"/>
        </w:rPr>
        <w:t>SUMMARY OF CASE</w:t>
      </w:r>
      <w:r w:rsidRPr="001F29F9">
        <w:rPr>
          <w:color w:val="000000"/>
        </w:rPr>
        <w:t>: Data extracted from the available evidence of record reflects that this covered individual (CI) was an active duty SGT/E-5 (4</w:t>
      </w:r>
      <w:r w:rsidR="00E54DD6">
        <w:rPr>
          <w:color w:val="000000"/>
        </w:rPr>
        <w:t>2A, Human Resources Specialist)</w:t>
      </w:r>
      <w:r w:rsidRPr="001F29F9">
        <w:rPr>
          <w:color w:val="000000"/>
        </w:rPr>
        <w:t xml:space="preserve"> medically separated for </w:t>
      </w:r>
      <w:r>
        <w:rPr>
          <w:color w:val="auto"/>
        </w:rPr>
        <w:t xml:space="preserve">chronic </w:t>
      </w:r>
      <w:r w:rsidR="00E54DD6">
        <w:rPr>
          <w:color w:val="auto"/>
        </w:rPr>
        <w:t>lumbar disc disease</w:t>
      </w:r>
      <w:r>
        <w:rPr>
          <w:color w:val="auto"/>
        </w:rPr>
        <w:t xml:space="preserve">. </w:t>
      </w:r>
      <w:r w:rsidR="00E54DD6">
        <w:rPr>
          <w:color w:val="auto"/>
        </w:rPr>
        <w:t xml:space="preserve"> </w:t>
      </w:r>
      <w:r>
        <w:rPr>
          <w:color w:val="auto"/>
        </w:rPr>
        <w:t xml:space="preserve">The CI </w:t>
      </w:r>
      <w:r w:rsidR="00144667">
        <w:rPr>
          <w:color w:val="auto"/>
        </w:rPr>
        <w:t>injured his</w:t>
      </w:r>
      <w:r w:rsidR="00E54DD6">
        <w:rPr>
          <w:color w:val="auto"/>
        </w:rPr>
        <w:t xml:space="preserve"> </w:t>
      </w:r>
      <w:r>
        <w:rPr>
          <w:color w:val="auto"/>
        </w:rPr>
        <w:t xml:space="preserve">back </w:t>
      </w:r>
      <w:r w:rsidR="00144667">
        <w:rPr>
          <w:color w:val="auto"/>
        </w:rPr>
        <w:t>in</w:t>
      </w:r>
      <w:r w:rsidR="00E54DD6">
        <w:rPr>
          <w:color w:val="auto"/>
        </w:rPr>
        <w:t xml:space="preserve"> </w:t>
      </w:r>
      <w:r>
        <w:rPr>
          <w:color w:val="auto"/>
        </w:rPr>
        <w:t>1992</w:t>
      </w:r>
      <w:r w:rsidR="00144667">
        <w:rPr>
          <w:color w:val="auto"/>
        </w:rPr>
        <w:t>, and</w:t>
      </w:r>
      <w:r w:rsidR="00E54DD6">
        <w:rPr>
          <w:color w:val="auto"/>
        </w:rPr>
        <w:t xml:space="preserve"> </w:t>
      </w:r>
      <w:r>
        <w:rPr>
          <w:color w:val="auto"/>
        </w:rPr>
        <w:t xml:space="preserve">experienced </w:t>
      </w:r>
      <w:r w:rsidR="00144667">
        <w:rPr>
          <w:color w:val="auto"/>
        </w:rPr>
        <w:t>recurrent</w:t>
      </w:r>
      <w:r w:rsidR="00E54DD6">
        <w:rPr>
          <w:color w:val="auto"/>
        </w:rPr>
        <w:t xml:space="preserve"> </w:t>
      </w:r>
      <w:r>
        <w:rPr>
          <w:color w:val="auto"/>
        </w:rPr>
        <w:t xml:space="preserve">bouts of back pain </w:t>
      </w:r>
      <w:r w:rsidR="00711ADE">
        <w:rPr>
          <w:color w:val="auto"/>
        </w:rPr>
        <w:t xml:space="preserve">with right leg </w:t>
      </w:r>
      <w:proofErr w:type="spellStart"/>
      <w:r w:rsidR="00711ADE">
        <w:rPr>
          <w:color w:val="auto"/>
        </w:rPr>
        <w:t>radicular</w:t>
      </w:r>
      <w:proofErr w:type="spellEnd"/>
      <w:r w:rsidR="00711ADE">
        <w:rPr>
          <w:color w:val="auto"/>
        </w:rPr>
        <w:t xml:space="preserve"> symptoms </w:t>
      </w:r>
      <w:r>
        <w:rPr>
          <w:color w:val="auto"/>
        </w:rPr>
        <w:t xml:space="preserve">over </w:t>
      </w:r>
      <w:r w:rsidR="00E54DD6">
        <w:rPr>
          <w:color w:val="auto"/>
        </w:rPr>
        <w:t>ensuing</w:t>
      </w:r>
      <w:r>
        <w:rPr>
          <w:color w:val="auto"/>
        </w:rPr>
        <w:t xml:space="preserve"> years. </w:t>
      </w:r>
      <w:r w:rsidR="00E54DD6">
        <w:rPr>
          <w:color w:val="auto"/>
        </w:rPr>
        <w:t xml:space="preserve"> He was </w:t>
      </w:r>
      <w:r w:rsidR="00144667">
        <w:rPr>
          <w:color w:val="auto"/>
        </w:rPr>
        <w:t xml:space="preserve">then </w:t>
      </w:r>
      <w:r w:rsidR="00E54DD6">
        <w:rPr>
          <w:color w:val="auto"/>
        </w:rPr>
        <w:t xml:space="preserve">diagnosed with disc disease; for which he underwent a </w:t>
      </w:r>
      <w:proofErr w:type="spellStart"/>
      <w:r w:rsidR="00E54DD6">
        <w:rPr>
          <w:color w:val="auto"/>
        </w:rPr>
        <w:t>microdiscectomy</w:t>
      </w:r>
      <w:proofErr w:type="spellEnd"/>
      <w:r w:rsidR="00E54DD6">
        <w:rPr>
          <w:color w:val="auto"/>
        </w:rPr>
        <w:t xml:space="preserve"> in 2000; and, ultimately a</w:t>
      </w:r>
      <w:r>
        <w:rPr>
          <w:color w:val="auto"/>
        </w:rPr>
        <w:t xml:space="preserve"> </w:t>
      </w:r>
      <w:r w:rsidR="00E54DD6">
        <w:rPr>
          <w:color w:val="auto"/>
        </w:rPr>
        <w:t>prosthetic</w:t>
      </w:r>
      <w:r>
        <w:rPr>
          <w:color w:val="auto"/>
        </w:rPr>
        <w:t xml:space="preserve"> disc replacement in 2004. </w:t>
      </w:r>
      <w:r w:rsidR="00E54DD6">
        <w:rPr>
          <w:color w:val="auto"/>
        </w:rPr>
        <w:t xml:space="preserve"> Although he experienced significant relief from the latter procedure, his back could not be adequately rehabilitated </w:t>
      </w:r>
      <w:r w:rsidR="00E54DD6" w:rsidRPr="00E54DD6">
        <w:rPr>
          <w:color w:val="000000"/>
        </w:rPr>
        <w:t>to meet the physical requirements of his Military Occupational Specialty (MOS) or satisfy physical fitness standards.</w:t>
      </w:r>
      <w:r w:rsidR="00E54DD6">
        <w:rPr>
          <w:color w:val="000000"/>
        </w:rPr>
        <w:t xml:space="preserve">  </w:t>
      </w:r>
      <w:r w:rsidRPr="00806F1E">
        <w:rPr>
          <w:color w:val="000000"/>
        </w:rPr>
        <w:t xml:space="preserve">He was issued a permanent L3 profile and </w:t>
      </w:r>
      <w:r w:rsidR="00E54DD6">
        <w:rPr>
          <w:color w:val="000000"/>
        </w:rPr>
        <w:t>referred for</w:t>
      </w:r>
      <w:r w:rsidRPr="00806F1E">
        <w:rPr>
          <w:color w:val="000000"/>
        </w:rPr>
        <w:t xml:space="preserve"> a Medical Evaluation Board (MEB). </w:t>
      </w:r>
      <w:r w:rsidR="00711ADE">
        <w:rPr>
          <w:color w:val="000000"/>
        </w:rPr>
        <w:t xml:space="preserve"> </w:t>
      </w:r>
      <w:r w:rsidR="00711ADE" w:rsidRPr="00711ADE">
        <w:rPr>
          <w:color w:val="000000"/>
        </w:rPr>
        <w:t xml:space="preserve">The </w:t>
      </w:r>
      <w:r w:rsidR="00471FF7">
        <w:rPr>
          <w:color w:val="000000"/>
        </w:rPr>
        <w:t xml:space="preserve">lumbar </w:t>
      </w:r>
      <w:r w:rsidR="00711ADE" w:rsidRPr="00711ADE">
        <w:rPr>
          <w:color w:val="000000"/>
        </w:rPr>
        <w:t>spine condition</w:t>
      </w:r>
      <w:r w:rsidR="00471FF7">
        <w:rPr>
          <w:color w:val="000000"/>
        </w:rPr>
        <w:t>,</w:t>
      </w:r>
      <w:r w:rsidR="00711ADE" w:rsidRPr="00711ADE">
        <w:rPr>
          <w:color w:val="000000"/>
        </w:rPr>
        <w:t xml:space="preserve"> characterized as “</w:t>
      </w:r>
      <w:r w:rsidR="00471FF7">
        <w:rPr>
          <w:color w:val="000000"/>
        </w:rPr>
        <w:t>degenerative disc disease [DDD]</w:t>
      </w:r>
      <w:r w:rsidR="00471FF7" w:rsidRPr="00806F1E">
        <w:rPr>
          <w:color w:val="000000"/>
        </w:rPr>
        <w:t xml:space="preserve"> at L5-S1 level, status post disc </w:t>
      </w:r>
      <w:proofErr w:type="spellStart"/>
      <w:r w:rsidR="00471FF7" w:rsidRPr="00806F1E">
        <w:rPr>
          <w:color w:val="000000"/>
        </w:rPr>
        <w:t>arthroplasty</w:t>
      </w:r>
      <w:proofErr w:type="spellEnd"/>
      <w:r w:rsidR="00471FF7" w:rsidRPr="00806F1E">
        <w:rPr>
          <w:color w:val="000000"/>
        </w:rPr>
        <w:t xml:space="preserve"> at L5-S1 with mild </w:t>
      </w:r>
      <w:r w:rsidR="00471FF7">
        <w:rPr>
          <w:color w:val="000000"/>
        </w:rPr>
        <w:t>[</w:t>
      </w:r>
      <w:r w:rsidR="00471FF7" w:rsidRPr="00806F1E">
        <w:rPr>
          <w:color w:val="000000"/>
        </w:rPr>
        <w:t>DDD</w:t>
      </w:r>
      <w:r w:rsidR="00471FF7">
        <w:rPr>
          <w:color w:val="000000"/>
        </w:rPr>
        <w:t>]</w:t>
      </w:r>
      <w:r w:rsidR="00471FF7" w:rsidRPr="00806F1E">
        <w:rPr>
          <w:color w:val="000000"/>
        </w:rPr>
        <w:t xml:space="preserve"> at L1-2 with right lower extremity sensory </w:t>
      </w:r>
      <w:proofErr w:type="spellStart"/>
      <w:r w:rsidR="00471FF7" w:rsidRPr="00806F1E">
        <w:rPr>
          <w:color w:val="000000"/>
        </w:rPr>
        <w:t>radicular</w:t>
      </w:r>
      <w:proofErr w:type="spellEnd"/>
      <w:r w:rsidR="00471FF7" w:rsidRPr="00806F1E">
        <w:rPr>
          <w:color w:val="000000"/>
        </w:rPr>
        <w:t xml:space="preserve"> symptoms consistent with L5-S1 nerve root compression</w:t>
      </w:r>
      <w:r w:rsidR="005F6B9C">
        <w:rPr>
          <w:color w:val="000000"/>
        </w:rPr>
        <w:t>,</w:t>
      </w:r>
      <w:r w:rsidR="00711ADE" w:rsidRPr="00711ADE">
        <w:rPr>
          <w:color w:val="000000"/>
        </w:rPr>
        <w:t>”</w:t>
      </w:r>
      <w:r w:rsidR="00471FF7">
        <w:rPr>
          <w:color w:val="000000"/>
        </w:rPr>
        <w:t xml:space="preserve"> </w:t>
      </w:r>
      <w:r w:rsidR="00711ADE" w:rsidRPr="00711ADE">
        <w:rPr>
          <w:color w:val="000000"/>
        </w:rPr>
        <w:t>was forwarded to the Physical Evaluation Board (PEB) as medically unacceptable IAW AR 40-501.  No other conditions were submitted by the MEB; but, other conditions evidenced in the Disability Evaluation System (DES) file, or contended, are addressed below.</w:t>
      </w:r>
      <w:r w:rsidR="00471FF7">
        <w:rPr>
          <w:color w:val="000000"/>
        </w:rPr>
        <w:t xml:space="preserve">  </w:t>
      </w:r>
      <w:r w:rsidR="00A52685">
        <w:rPr>
          <w:color w:val="000000"/>
        </w:rPr>
        <w:t xml:space="preserve">The </w:t>
      </w:r>
      <w:r w:rsidRPr="00806F1E">
        <w:rPr>
          <w:color w:val="000000"/>
        </w:rPr>
        <w:t>PEB adjudicated the low back condition as unfitting, rated 0%</w:t>
      </w:r>
      <w:r w:rsidR="00A52685">
        <w:rPr>
          <w:color w:val="000000"/>
        </w:rPr>
        <w:t>,</w:t>
      </w:r>
      <w:r w:rsidRPr="00806F1E">
        <w:rPr>
          <w:color w:val="000000"/>
        </w:rPr>
        <w:t xml:space="preserve"> </w:t>
      </w:r>
      <w:r w:rsidR="00A52685">
        <w:rPr>
          <w:color w:val="000000"/>
        </w:rPr>
        <w:t>citing criteria</w:t>
      </w:r>
      <w:r w:rsidRPr="00806F1E">
        <w:rPr>
          <w:color w:val="000000"/>
        </w:rPr>
        <w:t xml:space="preserve"> of the </w:t>
      </w:r>
      <w:r w:rsidR="00A52685" w:rsidRPr="009B72C8">
        <w:rPr>
          <w:color w:val="000000" w:themeColor="text1"/>
          <w:szCs w:val="24"/>
        </w:rPr>
        <w:t>US Army Physical Disability Agency (USAPDA) pain policy</w:t>
      </w:r>
      <w:r w:rsidRPr="00806F1E">
        <w:rPr>
          <w:color w:val="000000"/>
        </w:rPr>
        <w:t>.</w:t>
      </w:r>
      <w:r w:rsidRPr="00806F1E">
        <w:rPr>
          <w:color w:val="000000"/>
          <w:sz w:val="20"/>
        </w:rPr>
        <w:t xml:space="preserve"> </w:t>
      </w:r>
      <w:r w:rsidR="00A52685">
        <w:rPr>
          <w:color w:val="000000"/>
        </w:rPr>
        <w:t xml:space="preserve"> T</w:t>
      </w:r>
      <w:r w:rsidRPr="00806F1E">
        <w:rPr>
          <w:color w:val="000000"/>
        </w:rPr>
        <w:t>he CI made no appeals, and was medically separated with a 0% disability rating.</w:t>
      </w:r>
    </w:p>
    <w:p w:rsidR="00155623" w:rsidRPr="001F29F9" w:rsidRDefault="00155623" w:rsidP="00BF0E94">
      <w:pPr>
        <w:pBdr>
          <w:bottom w:val="single" w:sz="12" w:space="1" w:color="auto"/>
        </w:pBdr>
        <w:tabs>
          <w:tab w:val="left" w:pos="288"/>
          <w:tab w:val="left" w:pos="4752"/>
        </w:tabs>
        <w:jc w:val="both"/>
        <w:rPr>
          <w:color w:val="000000"/>
        </w:rPr>
      </w:pPr>
    </w:p>
    <w:p w:rsidR="00155623" w:rsidRPr="001F29F9" w:rsidRDefault="00155623" w:rsidP="00BF0E94">
      <w:pPr>
        <w:tabs>
          <w:tab w:val="left" w:pos="288"/>
          <w:tab w:val="left" w:pos="4752"/>
        </w:tabs>
        <w:jc w:val="both"/>
        <w:rPr>
          <w:color w:val="000000"/>
        </w:rPr>
      </w:pPr>
    </w:p>
    <w:p w:rsidR="00155623" w:rsidRPr="001F29F9" w:rsidRDefault="00155623" w:rsidP="00BF0E94">
      <w:pPr>
        <w:tabs>
          <w:tab w:val="left" w:pos="288"/>
          <w:tab w:val="left" w:pos="4752"/>
        </w:tabs>
        <w:jc w:val="both"/>
        <w:rPr>
          <w:color w:val="000000"/>
        </w:rPr>
      </w:pPr>
      <w:r w:rsidRPr="001F29F9">
        <w:rPr>
          <w:color w:val="000000"/>
          <w:u w:val="single"/>
        </w:rPr>
        <w:t>CI CONTENTION</w:t>
      </w:r>
      <w:r w:rsidRPr="001F29F9">
        <w:rPr>
          <w:color w:val="000000"/>
        </w:rPr>
        <w:t>:</w:t>
      </w:r>
      <w:r w:rsidRPr="00806F1E">
        <w:rPr>
          <w:color w:val="auto"/>
        </w:rPr>
        <w:t xml:space="preserve"> </w:t>
      </w:r>
      <w:r>
        <w:rPr>
          <w:color w:val="auto"/>
        </w:rPr>
        <w:t>“</w:t>
      </w:r>
      <w:r>
        <w:rPr>
          <w:color w:val="000000"/>
        </w:rPr>
        <w:t>T</w:t>
      </w:r>
      <w:r w:rsidRPr="008E7613">
        <w:rPr>
          <w:rFonts w:cs="Arial"/>
          <w:color w:val="000000"/>
        </w:rPr>
        <w:t xml:space="preserve">he Army Physical Disability Board gave me a final disability rating of 0%. </w:t>
      </w:r>
      <w:r w:rsidR="00E744D7">
        <w:rPr>
          <w:rFonts w:cs="Arial"/>
          <w:color w:val="000000"/>
        </w:rPr>
        <w:t xml:space="preserve"> </w:t>
      </w:r>
      <w:r w:rsidRPr="008E7613">
        <w:rPr>
          <w:rFonts w:cs="Arial"/>
          <w:color w:val="000000"/>
        </w:rPr>
        <w:t>Th</w:t>
      </w:r>
      <w:r w:rsidR="005F6B9C">
        <w:rPr>
          <w:rFonts w:cs="Arial"/>
          <w:color w:val="000000"/>
        </w:rPr>
        <w:t>e VA later awarded me a service-</w:t>
      </w:r>
      <w:r w:rsidRPr="008E7613">
        <w:rPr>
          <w:rFonts w:cs="Arial"/>
          <w:color w:val="000000"/>
        </w:rPr>
        <w:t>connected disability rating of</w:t>
      </w:r>
      <w:r>
        <w:rPr>
          <w:rFonts w:cs="Arial"/>
          <w:color w:val="000000"/>
        </w:rPr>
        <w:t xml:space="preserve"> </w:t>
      </w:r>
      <w:r w:rsidRPr="008E7613">
        <w:rPr>
          <w:rFonts w:cs="Arial"/>
          <w:color w:val="000000"/>
        </w:rPr>
        <w:t>80%.</w:t>
      </w:r>
      <w:r w:rsidR="00E744D7">
        <w:rPr>
          <w:rFonts w:cs="Arial"/>
          <w:color w:val="000000"/>
        </w:rPr>
        <w:t xml:space="preserve"> </w:t>
      </w:r>
      <w:r w:rsidRPr="008E7613">
        <w:rPr>
          <w:rFonts w:cs="Arial"/>
          <w:color w:val="000000"/>
        </w:rPr>
        <w:t xml:space="preserve"> I am currently pending a determination of </w:t>
      </w:r>
      <w:proofErr w:type="spellStart"/>
      <w:r w:rsidRPr="008E7613">
        <w:rPr>
          <w:rFonts w:cs="Arial"/>
          <w:color w:val="000000"/>
        </w:rPr>
        <w:t>unemployability</w:t>
      </w:r>
      <w:proofErr w:type="spellEnd"/>
      <w:r w:rsidRPr="008E7613">
        <w:rPr>
          <w:rFonts w:cs="Arial"/>
          <w:color w:val="000000"/>
        </w:rPr>
        <w:t>.</w:t>
      </w:r>
      <w:r>
        <w:rPr>
          <w:rFonts w:cs="Arial"/>
          <w:color w:val="000000"/>
        </w:rPr>
        <w:t xml:space="preserve">  </w:t>
      </w:r>
      <w:r w:rsidR="00E744D7">
        <w:rPr>
          <w:rFonts w:cs="Arial"/>
          <w:color w:val="000000"/>
        </w:rPr>
        <w:t xml:space="preserve">… </w:t>
      </w:r>
      <w:r w:rsidRPr="008E7613">
        <w:rPr>
          <w:rFonts w:cs="Times New Roman"/>
          <w:color w:val="000000"/>
        </w:rPr>
        <w:t>I had to</w:t>
      </w:r>
      <w:r>
        <w:rPr>
          <w:rFonts w:cs="Times New Roman"/>
          <w:color w:val="000000"/>
        </w:rPr>
        <w:t xml:space="preserve"> </w:t>
      </w:r>
      <w:r w:rsidRPr="008E7613">
        <w:rPr>
          <w:rFonts w:cs="Times New Roman"/>
          <w:color w:val="000000"/>
        </w:rPr>
        <w:t xml:space="preserve">endure 2 back surgeries while still on active duty, one of which involved implanting a prosthetic device into my back. </w:t>
      </w:r>
      <w:r w:rsidR="00E744D7">
        <w:rPr>
          <w:rFonts w:cs="Times New Roman"/>
          <w:color w:val="000000"/>
        </w:rPr>
        <w:t xml:space="preserve">… </w:t>
      </w:r>
      <w:r w:rsidRPr="008E7613">
        <w:rPr>
          <w:rFonts w:cs="Times New Roman"/>
          <w:color w:val="000000"/>
        </w:rPr>
        <w:t>T</w:t>
      </w:r>
      <w:r w:rsidR="00305EB1">
        <w:rPr>
          <w:rFonts w:cs="Times New Roman"/>
          <w:color w:val="000000"/>
        </w:rPr>
        <w:t>he VA also rated me for service-</w:t>
      </w:r>
      <w:r w:rsidRPr="008E7613">
        <w:rPr>
          <w:rFonts w:cs="Times New Roman"/>
          <w:color w:val="000000"/>
        </w:rPr>
        <w:t xml:space="preserve">connected Anxiety disorder, </w:t>
      </w:r>
      <w:r w:rsidRPr="008E7613">
        <w:rPr>
          <w:rFonts w:cs="Arial"/>
          <w:color w:val="000000"/>
        </w:rPr>
        <w:t xml:space="preserve">as </w:t>
      </w:r>
      <w:r w:rsidRPr="008E7613">
        <w:rPr>
          <w:rFonts w:cs="Times New Roman"/>
          <w:color w:val="000000"/>
        </w:rPr>
        <w:t xml:space="preserve">well as I.B.S. (Irritable Bowel Syndrome), and knee problems. </w:t>
      </w:r>
      <w:r w:rsidR="00E744D7">
        <w:rPr>
          <w:rFonts w:cs="Times New Roman"/>
          <w:color w:val="000000"/>
        </w:rPr>
        <w:t xml:space="preserve">… </w:t>
      </w:r>
      <w:r w:rsidRPr="008E7613">
        <w:rPr>
          <w:rFonts w:cs="Times New Roman"/>
          <w:color w:val="000000"/>
        </w:rPr>
        <w:t>In summary there is no logical way</w:t>
      </w:r>
      <w:r>
        <w:rPr>
          <w:rFonts w:cs="Times New Roman"/>
          <w:color w:val="000000"/>
        </w:rPr>
        <w:t xml:space="preserve"> </w:t>
      </w:r>
      <w:r w:rsidRPr="008E7613">
        <w:rPr>
          <w:rFonts w:cs="Times New Roman"/>
          <w:color w:val="000000"/>
        </w:rPr>
        <w:t>that one rating agency could asses</w:t>
      </w:r>
      <w:r>
        <w:rPr>
          <w:rFonts w:cs="Times New Roman"/>
          <w:color w:val="000000"/>
        </w:rPr>
        <w:t xml:space="preserve">s all the physical limitations I </w:t>
      </w:r>
      <w:r w:rsidRPr="008E7613">
        <w:rPr>
          <w:rFonts w:cs="Times New Roman"/>
          <w:color w:val="000000"/>
        </w:rPr>
        <w:t>described at 80% (the VA) while the Army rates the same conditions at 0%.</w:t>
      </w:r>
      <w:r>
        <w:rPr>
          <w:rFonts w:cs="Times New Roman"/>
          <w:color w:val="000000"/>
        </w:rPr>
        <w:t xml:space="preserve">”  </w:t>
      </w:r>
      <w:r w:rsidRPr="001F29F9">
        <w:rPr>
          <w:color w:val="000000"/>
        </w:rPr>
        <w:t>He additionally lists all of his VA conditions and ratings as per the rating chart below.  A contention for their inclusion in the separation rating is therefore implied.</w:t>
      </w:r>
    </w:p>
    <w:p w:rsidR="00155623" w:rsidRPr="001F29F9" w:rsidRDefault="00155623" w:rsidP="00BF0E94">
      <w:pPr>
        <w:pBdr>
          <w:bottom w:val="single" w:sz="12" w:space="1" w:color="auto"/>
        </w:pBdr>
        <w:tabs>
          <w:tab w:val="left" w:pos="288"/>
          <w:tab w:val="left" w:pos="4752"/>
        </w:tabs>
        <w:jc w:val="both"/>
        <w:rPr>
          <w:color w:val="000000"/>
        </w:rPr>
      </w:pPr>
    </w:p>
    <w:p w:rsidR="00155623" w:rsidRPr="001F29F9" w:rsidRDefault="00155623" w:rsidP="00BF0E94">
      <w:pPr>
        <w:tabs>
          <w:tab w:val="left" w:pos="288"/>
          <w:tab w:val="left" w:pos="4752"/>
        </w:tabs>
        <w:jc w:val="both"/>
        <w:rPr>
          <w:color w:val="000000"/>
        </w:rPr>
      </w:pPr>
    </w:p>
    <w:p w:rsidR="00155623" w:rsidRPr="00E744D7" w:rsidRDefault="00155623" w:rsidP="00E744D7">
      <w:pPr>
        <w:spacing w:line="240" w:lineRule="auto"/>
        <w:jc w:val="left"/>
        <w:rPr>
          <w:color w:val="000000"/>
          <w:u w:val="single"/>
        </w:rPr>
      </w:pPr>
      <w:r w:rsidRPr="001F29F9">
        <w:rPr>
          <w:color w:val="000000"/>
          <w:u w:val="single"/>
        </w:rPr>
        <w:t>RATING COMPARISON</w:t>
      </w:r>
      <w:r w:rsidRPr="001F29F9">
        <w:rPr>
          <w:color w:val="000000"/>
        </w:rPr>
        <w:t>:</w:t>
      </w:r>
      <w:r w:rsidRPr="0019638E">
        <w:rPr>
          <w:color w:val="000000"/>
        </w:rPr>
        <w:t xml:space="preserve"> </w:t>
      </w:r>
    </w:p>
    <w:p w:rsidR="00155623" w:rsidRPr="001F29F9" w:rsidRDefault="00155623" w:rsidP="00BF0E94">
      <w:pPr>
        <w:rPr>
          <w:color w:val="000000"/>
        </w:rPr>
      </w:pPr>
    </w:p>
    <w:tbl>
      <w:tblPr>
        <w:tblStyle w:val="TableGrid"/>
        <w:tblpPr w:leftFromText="187" w:rightFromText="187" w:vertAnchor="text" w:tblpXSpec="center" w:tblpY="1"/>
        <w:tblOverlap w:val="never"/>
        <w:tblW w:w="9324" w:type="dxa"/>
        <w:jc w:val="center"/>
        <w:tblLayout w:type="fixed"/>
        <w:tblLook w:val="00A0"/>
      </w:tblPr>
      <w:tblGrid>
        <w:gridCol w:w="2304"/>
        <w:gridCol w:w="1080"/>
        <w:gridCol w:w="720"/>
        <w:gridCol w:w="2880"/>
        <w:gridCol w:w="630"/>
        <w:gridCol w:w="720"/>
        <w:gridCol w:w="990"/>
      </w:tblGrid>
      <w:tr w:rsidR="00155623" w:rsidRPr="002A47F4" w:rsidTr="00E7497F">
        <w:trPr>
          <w:trHeight w:val="233"/>
          <w:jc w:val="center"/>
        </w:trPr>
        <w:tc>
          <w:tcPr>
            <w:tcW w:w="4104" w:type="dxa"/>
            <w:gridSpan w:val="3"/>
            <w:tcBorders>
              <w:right w:val="thinThickThinSmallGap" w:sz="24" w:space="0" w:color="auto"/>
            </w:tcBorders>
            <w:shd w:val="clear" w:color="auto" w:fill="D9D9D9"/>
            <w:vAlign w:val="center"/>
          </w:tcPr>
          <w:p w:rsidR="00155623" w:rsidRPr="002A47F4" w:rsidRDefault="00A52685" w:rsidP="00E744D7">
            <w:pPr>
              <w:contextualSpacing/>
              <w:rPr>
                <w:rFonts w:cs="Calibri"/>
                <w:b/>
                <w:color w:val="000000"/>
                <w:sz w:val="18"/>
              </w:rPr>
            </w:pPr>
            <w:r>
              <w:rPr>
                <w:b/>
                <w:color w:val="000000"/>
                <w:sz w:val="18"/>
              </w:rPr>
              <w:t xml:space="preserve">Service </w:t>
            </w:r>
            <w:r w:rsidR="00155623" w:rsidRPr="002A47F4">
              <w:rPr>
                <w:b/>
                <w:color w:val="000000"/>
                <w:sz w:val="18"/>
              </w:rPr>
              <w:t>PEB – Dated 20061208</w:t>
            </w:r>
          </w:p>
        </w:tc>
        <w:tc>
          <w:tcPr>
            <w:tcW w:w="5220" w:type="dxa"/>
            <w:gridSpan w:val="4"/>
            <w:tcBorders>
              <w:left w:val="thinThickThinSmallGap" w:sz="24" w:space="0" w:color="auto"/>
            </w:tcBorders>
            <w:shd w:val="clear" w:color="auto" w:fill="D9D9D9"/>
            <w:vAlign w:val="center"/>
          </w:tcPr>
          <w:p w:rsidR="00155623" w:rsidRPr="002A47F4" w:rsidRDefault="00155623" w:rsidP="00E744D7">
            <w:pPr>
              <w:contextualSpacing/>
              <w:rPr>
                <w:rFonts w:cs="Calibri"/>
                <w:b/>
                <w:color w:val="000000"/>
                <w:sz w:val="18"/>
              </w:rPr>
            </w:pPr>
            <w:r w:rsidRPr="002A47F4">
              <w:rPr>
                <w:b/>
                <w:color w:val="000000"/>
                <w:sz w:val="18"/>
              </w:rPr>
              <w:t>VA (13 Mo. Post-Separation) – All Effective Date 20070305</w:t>
            </w:r>
          </w:p>
        </w:tc>
      </w:tr>
      <w:tr w:rsidR="00155623" w:rsidRPr="002A47F4" w:rsidTr="00E7497F">
        <w:trPr>
          <w:trHeight w:val="99"/>
          <w:jc w:val="center"/>
        </w:trPr>
        <w:tc>
          <w:tcPr>
            <w:tcW w:w="2304" w:type="dxa"/>
            <w:tcBorders>
              <w:right w:val="single" w:sz="4" w:space="0" w:color="auto"/>
            </w:tcBorders>
            <w:shd w:val="clear" w:color="auto" w:fill="D9D9D9"/>
            <w:vAlign w:val="center"/>
          </w:tcPr>
          <w:p w:rsidR="00155623" w:rsidRPr="002A47F4" w:rsidRDefault="00155623" w:rsidP="00E744D7">
            <w:pPr>
              <w:contextualSpacing/>
              <w:rPr>
                <w:rFonts w:cs="Calibri"/>
                <w:b/>
                <w:color w:val="000000"/>
                <w:sz w:val="18"/>
              </w:rPr>
            </w:pPr>
            <w:r w:rsidRPr="002A47F4">
              <w:rPr>
                <w:b/>
                <w:color w:val="000000"/>
                <w:sz w:val="18"/>
              </w:rPr>
              <w:t>Condition</w:t>
            </w:r>
          </w:p>
        </w:tc>
        <w:tc>
          <w:tcPr>
            <w:tcW w:w="1080" w:type="dxa"/>
            <w:tcBorders>
              <w:left w:val="single" w:sz="4" w:space="0" w:color="auto"/>
            </w:tcBorders>
            <w:shd w:val="clear" w:color="auto" w:fill="D9D9D9"/>
            <w:vAlign w:val="center"/>
          </w:tcPr>
          <w:p w:rsidR="00155623" w:rsidRPr="002A47F4" w:rsidRDefault="00155623" w:rsidP="00E744D7">
            <w:pPr>
              <w:contextualSpacing/>
              <w:rPr>
                <w:rFonts w:cs="Calibri"/>
                <w:b/>
                <w:color w:val="000000"/>
                <w:sz w:val="18"/>
              </w:rPr>
            </w:pPr>
            <w:r w:rsidRPr="002A47F4">
              <w:rPr>
                <w:b/>
                <w:color w:val="000000"/>
                <w:sz w:val="18"/>
              </w:rPr>
              <w:t>Code</w:t>
            </w:r>
          </w:p>
        </w:tc>
        <w:tc>
          <w:tcPr>
            <w:tcW w:w="720" w:type="dxa"/>
            <w:tcBorders>
              <w:right w:val="thinThickThinSmallGap" w:sz="24" w:space="0" w:color="auto"/>
            </w:tcBorders>
            <w:shd w:val="clear" w:color="auto" w:fill="D9D9D9"/>
            <w:vAlign w:val="center"/>
          </w:tcPr>
          <w:p w:rsidR="00155623" w:rsidRPr="002A47F4" w:rsidRDefault="00155623" w:rsidP="00E744D7">
            <w:pPr>
              <w:contextualSpacing/>
              <w:rPr>
                <w:rFonts w:cs="Calibri"/>
                <w:b/>
                <w:color w:val="000000"/>
                <w:sz w:val="18"/>
              </w:rPr>
            </w:pPr>
            <w:r w:rsidRPr="002A47F4">
              <w:rPr>
                <w:b/>
                <w:color w:val="000000"/>
                <w:sz w:val="18"/>
              </w:rPr>
              <w:t>Rating</w:t>
            </w:r>
          </w:p>
        </w:tc>
        <w:tc>
          <w:tcPr>
            <w:tcW w:w="2880" w:type="dxa"/>
            <w:tcBorders>
              <w:left w:val="thinThickThinSmallGap" w:sz="24" w:space="0" w:color="auto"/>
            </w:tcBorders>
            <w:shd w:val="clear" w:color="auto" w:fill="D9D9D9"/>
            <w:vAlign w:val="center"/>
          </w:tcPr>
          <w:p w:rsidR="00155623" w:rsidRPr="002A47F4" w:rsidRDefault="00155623" w:rsidP="00E744D7">
            <w:pPr>
              <w:contextualSpacing/>
              <w:rPr>
                <w:rFonts w:cs="Calibri"/>
                <w:b/>
                <w:color w:val="000000"/>
                <w:sz w:val="18"/>
              </w:rPr>
            </w:pPr>
            <w:r w:rsidRPr="002A47F4">
              <w:rPr>
                <w:b/>
                <w:color w:val="000000"/>
                <w:sz w:val="18"/>
              </w:rPr>
              <w:t>Condition</w:t>
            </w:r>
          </w:p>
        </w:tc>
        <w:tc>
          <w:tcPr>
            <w:tcW w:w="630" w:type="dxa"/>
            <w:shd w:val="clear" w:color="auto" w:fill="D9D9D9"/>
            <w:vAlign w:val="center"/>
          </w:tcPr>
          <w:p w:rsidR="00155623" w:rsidRPr="002A47F4" w:rsidRDefault="00155623" w:rsidP="00E744D7">
            <w:pPr>
              <w:contextualSpacing/>
              <w:rPr>
                <w:rFonts w:cs="Calibri"/>
                <w:b/>
                <w:color w:val="000000"/>
                <w:sz w:val="18"/>
              </w:rPr>
            </w:pPr>
            <w:r w:rsidRPr="002A47F4">
              <w:rPr>
                <w:b/>
                <w:color w:val="000000"/>
                <w:sz w:val="18"/>
              </w:rPr>
              <w:t>Code</w:t>
            </w:r>
          </w:p>
        </w:tc>
        <w:tc>
          <w:tcPr>
            <w:tcW w:w="720" w:type="dxa"/>
            <w:shd w:val="clear" w:color="auto" w:fill="D9D9D9"/>
            <w:vAlign w:val="center"/>
          </w:tcPr>
          <w:p w:rsidR="00155623" w:rsidRPr="002A47F4" w:rsidRDefault="00155623" w:rsidP="00E744D7">
            <w:pPr>
              <w:contextualSpacing/>
              <w:rPr>
                <w:rFonts w:cs="Calibri"/>
                <w:b/>
                <w:color w:val="000000"/>
                <w:sz w:val="18"/>
              </w:rPr>
            </w:pPr>
            <w:r w:rsidRPr="002A47F4">
              <w:rPr>
                <w:b/>
                <w:color w:val="000000"/>
                <w:sz w:val="18"/>
              </w:rPr>
              <w:t>Rating</w:t>
            </w:r>
          </w:p>
        </w:tc>
        <w:tc>
          <w:tcPr>
            <w:tcW w:w="990" w:type="dxa"/>
            <w:shd w:val="clear" w:color="auto" w:fill="D9D9D9"/>
            <w:vAlign w:val="center"/>
          </w:tcPr>
          <w:p w:rsidR="00155623" w:rsidRPr="002A47F4" w:rsidRDefault="00155623" w:rsidP="00E744D7">
            <w:pPr>
              <w:contextualSpacing/>
              <w:rPr>
                <w:rFonts w:cs="Calibri"/>
                <w:b/>
                <w:color w:val="000000"/>
                <w:sz w:val="18"/>
              </w:rPr>
            </w:pPr>
            <w:r w:rsidRPr="002A47F4">
              <w:rPr>
                <w:b/>
                <w:color w:val="000000"/>
                <w:sz w:val="18"/>
              </w:rPr>
              <w:t>Exam</w:t>
            </w:r>
          </w:p>
        </w:tc>
      </w:tr>
      <w:tr w:rsidR="00155623" w:rsidRPr="002A47F4" w:rsidTr="00E7497F">
        <w:trPr>
          <w:trHeight w:val="65"/>
          <w:jc w:val="center"/>
        </w:trPr>
        <w:tc>
          <w:tcPr>
            <w:tcW w:w="2304" w:type="dxa"/>
            <w:tcBorders>
              <w:right w:val="single" w:sz="4" w:space="0" w:color="auto"/>
            </w:tcBorders>
            <w:shd w:val="clear" w:color="auto" w:fill="FFFFFF"/>
            <w:vAlign w:val="center"/>
          </w:tcPr>
          <w:p w:rsidR="00155623" w:rsidRPr="001F29F9" w:rsidRDefault="00155623" w:rsidP="00E744D7">
            <w:pPr>
              <w:spacing w:line="220" w:lineRule="exact"/>
              <w:contextualSpacing/>
              <w:jc w:val="left"/>
              <w:rPr>
                <w:rFonts w:cs="Calibri"/>
                <w:color w:val="000000"/>
                <w:sz w:val="18"/>
              </w:rPr>
            </w:pPr>
            <w:r w:rsidRPr="002A47F4">
              <w:rPr>
                <w:color w:val="000000"/>
                <w:sz w:val="18"/>
              </w:rPr>
              <w:t>Chronic Low Back Pain</w:t>
            </w:r>
          </w:p>
        </w:tc>
        <w:tc>
          <w:tcPr>
            <w:tcW w:w="1080" w:type="dxa"/>
            <w:tcBorders>
              <w:left w:val="single" w:sz="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5299-5242</w:t>
            </w:r>
          </w:p>
        </w:tc>
        <w:tc>
          <w:tcPr>
            <w:tcW w:w="720" w:type="dxa"/>
            <w:tcBorders>
              <w:right w:val="thinThickThinSmallGap" w:sz="24" w:space="0" w:color="auto"/>
            </w:tcBorders>
            <w:shd w:val="clear" w:color="auto" w:fill="FFFFFF"/>
            <w:vAlign w:val="center"/>
          </w:tcPr>
          <w:p w:rsidR="00155623" w:rsidRPr="001F29F9" w:rsidRDefault="00155623" w:rsidP="00E744D7">
            <w:pPr>
              <w:spacing w:line="220" w:lineRule="exact"/>
              <w:rPr>
                <w:rFonts w:cs="Calibri"/>
                <w:color w:val="000000"/>
                <w:sz w:val="18"/>
              </w:rPr>
            </w:pPr>
            <w:r w:rsidRPr="002A47F4">
              <w:rPr>
                <w:color w:val="000000"/>
                <w:sz w:val="18"/>
              </w:rPr>
              <w:t>0%</w:t>
            </w:r>
          </w:p>
        </w:tc>
        <w:tc>
          <w:tcPr>
            <w:tcW w:w="2880" w:type="dxa"/>
            <w:tcBorders>
              <w:left w:val="thinThickThinSmallGap" w:sz="24" w:space="0" w:color="auto"/>
            </w:tcBorders>
            <w:shd w:val="clear" w:color="auto" w:fill="FFFFFF"/>
            <w:vAlign w:val="center"/>
          </w:tcPr>
          <w:p w:rsidR="00155623" w:rsidRPr="001F29F9" w:rsidRDefault="00155623" w:rsidP="00E744D7">
            <w:pPr>
              <w:spacing w:line="220" w:lineRule="exact"/>
              <w:contextualSpacing/>
              <w:jc w:val="left"/>
              <w:rPr>
                <w:rFonts w:cs="Calibri"/>
                <w:color w:val="000000"/>
                <w:sz w:val="18"/>
              </w:rPr>
            </w:pPr>
            <w:r w:rsidRPr="002A47F4">
              <w:rPr>
                <w:color w:val="000000"/>
                <w:sz w:val="18"/>
              </w:rPr>
              <w:t xml:space="preserve">HNP, </w:t>
            </w:r>
            <w:proofErr w:type="spellStart"/>
            <w:r w:rsidRPr="002A47F4">
              <w:rPr>
                <w:color w:val="000000"/>
                <w:sz w:val="18"/>
              </w:rPr>
              <w:t>Discectomy</w:t>
            </w:r>
            <w:proofErr w:type="spellEnd"/>
          </w:p>
        </w:tc>
        <w:tc>
          <w:tcPr>
            <w:tcW w:w="630" w:type="dxa"/>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5242</w:t>
            </w:r>
          </w:p>
        </w:tc>
        <w:tc>
          <w:tcPr>
            <w:tcW w:w="720" w:type="dxa"/>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20%</w:t>
            </w:r>
          </w:p>
        </w:tc>
        <w:tc>
          <w:tcPr>
            <w:tcW w:w="990" w:type="dxa"/>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20080410</w:t>
            </w:r>
          </w:p>
        </w:tc>
      </w:tr>
      <w:tr w:rsidR="00155623" w:rsidRPr="002A47F4" w:rsidTr="00E7497F">
        <w:trPr>
          <w:trHeight w:val="65"/>
          <w:jc w:val="center"/>
        </w:trPr>
        <w:tc>
          <w:tcPr>
            <w:tcW w:w="4104" w:type="dxa"/>
            <w:gridSpan w:val="3"/>
            <w:vMerge w:val="restart"/>
            <w:tcBorders>
              <w:right w:val="thinThickThinSmallGap" w:sz="24" w:space="0" w:color="auto"/>
            </w:tcBorders>
            <w:shd w:val="clear" w:color="auto" w:fill="FFFFFF"/>
          </w:tcPr>
          <w:p w:rsidR="00155623" w:rsidRPr="001F29F9" w:rsidRDefault="00155623" w:rsidP="00E744D7">
            <w:pPr>
              <w:spacing w:line="220" w:lineRule="exact"/>
              <w:rPr>
                <w:rFonts w:cs="Calibri"/>
                <w:color w:val="000000"/>
                <w:sz w:val="18"/>
              </w:rPr>
            </w:pPr>
            <w:r w:rsidRPr="002A47F4">
              <w:rPr>
                <w:color w:val="000000"/>
                <w:sz w:val="18"/>
              </w:rPr>
              <w:t>↓No Additional MEB/PEB Entries↓</w:t>
            </w:r>
          </w:p>
        </w:tc>
        <w:tc>
          <w:tcPr>
            <w:tcW w:w="2880" w:type="dxa"/>
            <w:tcBorders>
              <w:left w:val="thinThickThinSmallGap" w:sz="24" w:space="0" w:color="auto"/>
              <w:right w:val="single" w:sz="4" w:space="0" w:color="auto"/>
            </w:tcBorders>
            <w:shd w:val="clear" w:color="auto" w:fill="FFFFFF"/>
            <w:vAlign w:val="center"/>
          </w:tcPr>
          <w:p w:rsidR="00155623" w:rsidRPr="001F29F9" w:rsidRDefault="00155623" w:rsidP="00E744D7">
            <w:pPr>
              <w:spacing w:line="220" w:lineRule="exact"/>
              <w:contextualSpacing/>
              <w:jc w:val="left"/>
              <w:rPr>
                <w:rFonts w:cs="Calibri"/>
                <w:color w:val="000000"/>
                <w:sz w:val="18"/>
              </w:rPr>
            </w:pPr>
            <w:r w:rsidRPr="002A47F4">
              <w:rPr>
                <w:color w:val="000000"/>
                <w:sz w:val="18"/>
              </w:rPr>
              <w:t>Anxiety Disorder</w:t>
            </w:r>
          </w:p>
        </w:tc>
        <w:tc>
          <w:tcPr>
            <w:tcW w:w="630" w:type="dxa"/>
            <w:tcBorders>
              <w:left w:val="single" w:sz="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9413</w:t>
            </w:r>
          </w:p>
        </w:tc>
        <w:tc>
          <w:tcPr>
            <w:tcW w:w="720" w:type="dxa"/>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70%</w:t>
            </w:r>
          </w:p>
        </w:tc>
        <w:tc>
          <w:tcPr>
            <w:tcW w:w="990" w:type="dxa"/>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20080410</w:t>
            </w:r>
          </w:p>
        </w:tc>
      </w:tr>
      <w:tr w:rsidR="00155623" w:rsidRPr="002A47F4" w:rsidTr="00E7497F">
        <w:trPr>
          <w:trHeight w:val="65"/>
          <w:jc w:val="center"/>
        </w:trPr>
        <w:tc>
          <w:tcPr>
            <w:tcW w:w="4104" w:type="dxa"/>
            <w:gridSpan w:val="3"/>
            <w:vMerge/>
            <w:tcBorders>
              <w:right w:val="thinThickThinSmallGap" w:sz="24" w:space="0" w:color="auto"/>
            </w:tcBorders>
            <w:shd w:val="clear" w:color="auto" w:fill="FFFFFF"/>
            <w:vAlign w:val="center"/>
          </w:tcPr>
          <w:p w:rsidR="00155623" w:rsidRPr="001F29F9" w:rsidRDefault="00155623" w:rsidP="00E744D7">
            <w:pPr>
              <w:spacing w:line="220" w:lineRule="exact"/>
              <w:contextualSpacing/>
              <w:rPr>
                <w:rFonts w:cs="Calibri"/>
                <w:color w:val="000000"/>
                <w:sz w:val="18"/>
                <w:highlight w:val="yellow"/>
              </w:rPr>
            </w:pPr>
          </w:p>
        </w:tc>
        <w:tc>
          <w:tcPr>
            <w:tcW w:w="2880" w:type="dxa"/>
            <w:tcBorders>
              <w:left w:val="thinThickThinSmallGap" w:sz="24" w:space="0" w:color="auto"/>
              <w:right w:val="single" w:sz="4" w:space="0" w:color="auto"/>
            </w:tcBorders>
            <w:shd w:val="clear" w:color="auto" w:fill="FFFFFF"/>
            <w:vAlign w:val="center"/>
          </w:tcPr>
          <w:p w:rsidR="00155623" w:rsidRPr="001F29F9" w:rsidRDefault="00155623" w:rsidP="00E744D7">
            <w:pPr>
              <w:spacing w:line="220" w:lineRule="exact"/>
              <w:contextualSpacing/>
              <w:jc w:val="left"/>
              <w:rPr>
                <w:rFonts w:cs="Calibri"/>
                <w:color w:val="000000"/>
                <w:sz w:val="18"/>
              </w:rPr>
            </w:pPr>
            <w:r>
              <w:rPr>
                <w:color w:val="000000"/>
                <w:sz w:val="18"/>
              </w:rPr>
              <w:t>Cervical Strain</w:t>
            </w:r>
          </w:p>
        </w:tc>
        <w:tc>
          <w:tcPr>
            <w:tcW w:w="630" w:type="dxa"/>
            <w:tcBorders>
              <w:left w:val="single" w:sz="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r>
              <w:rPr>
                <w:color w:val="000000"/>
                <w:sz w:val="18"/>
              </w:rPr>
              <w:t>5237</w:t>
            </w:r>
          </w:p>
        </w:tc>
        <w:tc>
          <w:tcPr>
            <w:tcW w:w="720" w:type="dxa"/>
            <w:shd w:val="clear" w:color="auto" w:fill="FFFFFF"/>
            <w:vAlign w:val="center"/>
          </w:tcPr>
          <w:p w:rsidR="00155623" w:rsidRPr="001F29F9" w:rsidRDefault="00155623" w:rsidP="00E744D7">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155623" w:rsidRPr="00D876BF" w:rsidRDefault="00155623" w:rsidP="00E744D7">
            <w:pPr>
              <w:spacing w:line="220" w:lineRule="exact"/>
              <w:contextualSpacing/>
              <w:rPr>
                <w:rFonts w:cs="Calibri"/>
                <w:color w:val="000000"/>
                <w:sz w:val="18"/>
              </w:rPr>
            </w:pPr>
            <w:r w:rsidRPr="00D876BF">
              <w:rPr>
                <w:color w:val="000000"/>
                <w:sz w:val="18"/>
              </w:rPr>
              <w:t>20080410</w:t>
            </w:r>
          </w:p>
        </w:tc>
      </w:tr>
      <w:tr w:rsidR="00155623" w:rsidRPr="002A47F4" w:rsidTr="00E7497F">
        <w:trPr>
          <w:trHeight w:val="65"/>
          <w:jc w:val="center"/>
        </w:trPr>
        <w:tc>
          <w:tcPr>
            <w:tcW w:w="4104" w:type="dxa"/>
            <w:gridSpan w:val="3"/>
            <w:vMerge/>
            <w:tcBorders>
              <w:right w:val="thinThickThinSmallGap" w:sz="24" w:space="0" w:color="auto"/>
            </w:tcBorders>
            <w:shd w:val="clear" w:color="auto" w:fill="FFFFFF"/>
            <w:vAlign w:val="center"/>
          </w:tcPr>
          <w:p w:rsidR="00155623" w:rsidRPr="001F29F9" w:rsidRDefault="00155623" w:rsidP="00E744D7">
            <w:pPr>
              <w:spacing w:line="220" w:lineRule="exact"/>
              <w:contextualSpacing/>
              <w:rPr>
                <w:rFonts w:cs="Calibri"/>
                <w:color w:val="000000"/>
                <w:sz w:val="18"/>
                <w:highlight w:val="yellow"/>
              </w:rPr>
            </w:pPr>
          </w:p>
        </w:tc>
        <w:tc>
          <w:tcPr>
            <w:tcW w:w="2880" w:type="dxa"/>
            <w:tcBorders>
              <w:left w:val="thinThickThinSmallGap" w:sz="24" w:space="0" w:color="auto"/>
              <w:right w:val="single" w:sz="4" w:space="0" w:color="auto"/>
            </w:tcBorders>
            <w:shd w:val="clear" w:color="auto" w:fill="FFFFFF"/>
            <w:vAlign w:val="center"/>
          </w:tcPr>
          <w:p w:rsidR="00155623" w:rsidRPr="001F29F9" w:rsidRDefault="00155623" w:rsidP="00E744D7">
            <w:pPr>
              <w:spacing w:line="220" w:lineRule="exact"/>
              <w:contextualSpacing/>
              <w:jc w:val="left"/>
              <w:rPr>
                <w:rFonts w:cs="Calibri"/>
                <w:color w:val="000000"/>
                <w:sz w:val="18"/>
              </w:rPr>
            </w:pPr>
            <w:r>
              <w:rPr>
                <w:color w:val="000000"/>
                <w:sz w:val="18"/>
              </w:rPr>
              <w:t>Left Knee</w:t>
            </w:r>
          </w:p>
        </w:tc>
        <w:tc>
          <w:tcPr>
            <w:tcW w:w="630" w:type="dxa"/>
            <w:tcBorders>
              <w:left w:val="single" w:sz="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r>
              <w:rPr>
                <w:color w:val="000000"/>
                <w:sz w:val="18"/>
              </w:rPr>
              <w:t>5260</w:t>
            </w:r>
          </w:p>
        </w:tc>
        <w:tc>
          <w:tcPr>
            <w:tcW w:w="720" w:type="dxa"/>
            <w:shd w:val="clear" w:color="auto" w:fill="FFFFFF"/>
            <w:vAlign w:val="center"/>
          </w:tcPr>
          <w:p w:rsidR="00155623" w:rsidRPr="001F29F9" w:rsidRDefault="00155623" w:rsidP="00E744D7">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155623" w:rsidRPr="00D876BF" w:rsidRDefault="00155623" w:rsidP="00E744D7">
            <w:pPr>
              <w:spacing w:line="220" w:lineRule="exact"/>
              <w:contextualSpacing/>
              <w:rPr>
                <w:rFonts w:cs="Calibri"/>
                <w:color w:val="000000"/>
                <w:sz w:val="18"/>
              </w:rPr>
            </w:pPr>
            <w:r w:rsidRPr="00D876BF">
              <w:rPr>
                <w:color w:val="000000"/>
                <w:sz w:val="18"/>
              </w:rPr>
              <w:t>20080410</w:t>
            </w:r>
          </w:p>
        </w:tc>
      </w:tr>
      <w:tr w:rsidR="00155623" w:rsidRPr="002A47F4" w:rsidTr="00E7497F">
        <w:trPr>
          <w:trHeight w:val="108"/>
          <w:jc w:val="center"/>
        </w:trPr>
        <w:tc>
          <w:tcPr>
            <w:tcW w:w="4104" w:type="dxa"/>
            <w:gridSpan w:val="3"/>
            <w:vMerge/>
            <w:tcBorders>
              <w:right w:val="thinThickThinSmallGap" w:sz="2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p>
        </w:tc>
        <w:tc>
          <w:tcPr>
            <w:tcW w:w="2880" w:type="dxa"/>
            <w:tcBorders>
              <w:left w:val="thinThickThinSmallGap" w:sz="24" w:space="0" w:color="auto"/>
              <w:right w:val="single" w:sz="4" w:space="0" w:color="auto"/>
            </w:tcBorders>
            <w:shd w:val="clear" w:color="auto" w:fill="FFFFFF"/>
            <w:vAlign w:val="center"/>
          </w:tcPr>
          <w:p w:rsidR="00155623" w:rsidRPr="001F29F9" w:rsidRDefault="00155623" w:rsidP="00E744D7">
            <w:pPr>
              <w:spacing w:line="220" w:lineRule="exact"/>
              <w:contextualSpacing/>
              <w:jc w:val="left"/>
              <w:rPr>
                <w:rFonts w:cs="Calibri"/>
                <w:color w:val="000000"/>
                <w:sz w:val="18"/>
              </w:rPr>
            </w:pPr>
            <w:r>
              <w:rPr>
                <w:color w:val="000000"/>
                <w:sz w:val="18"/>
              </w:rPr>
              <w:t>I</w:t>
            </w:r>
            <w:r w:rsidR="00E744D7">
              <w:rPr>
                <w:color w:val="000000"/>
                <w:sz w:val="18"/>
              </w:rPr>
              <w:t xml:space="preserve">rritable </w:t>
            </w:r>
            <w:r>
              <w:rPr>
                <w:color w:val="000000"/>
                <w:sz w:val="18"/>
              </w:rPr>
              <w:t>B</w:t>
            </w:r>
            <w:r w:rsidR="00E744D7">
              <w:rPr>
                <w:color w:val="000000"/>
                <w:sz w:val="18"/>
              </w:rPr>
              <w:t>owel</w:t>
            </w:r>
          </w:p>
        </w:tc>
        <w:tc>
          <w:tcPr>
            <w:tcW w:w="630" w:type="dxa"/>
            <w:tcBorders>
              <w:left w:val="single" w:sz="4" w:space="0" w:color="auto"/>
              <w:right w:val="single" w:sz="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r>
              <w:rPr>
                <w:color w:val="000000"/>
                <w:sz w:val="18"/>
              </w:rPr>
              <w:t>7319</w:t>
            </w:r>
          </w:p>
        </w:tc>
        <w:tc>
          <w:tcPr>
            <w:tcW w:w="720" w:type="dxa"/>
            <w:tcBorders>
              <w:left w:val="single" w:sz="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r>
              <w:rPr>
                <w:color w:val="000000"/>
                <w:sz w:val="18"/>
              </w:rPr>
              <w:t>10%</w:t>
            </w:r>
          </w:p>
        </w:tc>
        <w:tc>
          <w:tcPr>
            <w:tcW w:w="990" w:type="dxa"/>
            <w:shd w:val="clear" w:color="auto" w:fill="FFFFFF"/>
            <w:vAlign w:val="center"/>
          </w:tcPr>
          <w:p w:rsidR="00155623" w:rsidRPr="00D876BF" w:rsidRDefault="00155623" w:rsidP="00E744D7">
            <w:pPr>
              <w:spacing w:line="220" w:lineRule="exact"/>
              <w:contextualSpacing/>
              <w:rPr>
                <w:rFonts w:cs="Calibri"/>
                <w:color w:val="000000"/>
                <w:sz w:val="18"/>
              </w:rPr>
            </w:pPr>
            <w:r w:rsidRPr="00D876BF">
              <w:rPr>
                <w:color w:val="000000"/>
                <w:sz w:val="18"/>
              </w:rPr>
              <w:t>20080410</w:t>
            </w:r>
          </w:p>
        </w:tc>
      </w:tr>
      <w:tr w:rsidR="00155623" w:rsidRPr="002A47F4" w:rsidTr="00E7497F">
        <w:trPr>
          <w:trHeight w:val="65"/>
          <w:jc w:val="center"/>
        </w:trPr>
        <w:tc>
          <w:tcPr>
            <w:tcW w:w="4104" w:type="dxa"/>
            <w:gridSpan w:val="3"/>
            <w:vMerge/>
            <w:tcBorders>
              <w:right w:val="thinThickThinSmallGap" w:sz="2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p>
        </w:tc>
        <w:tc>
          <w:tcPr>
            <w:tcW w:w="4230" w:type="dxa"/>
            <w:gridSpan w:val="3"/>
            <w:tcBorders>
              <w:left w:val="thinThickThinSmallGap" w:sz="24" w:space="0" w:color="auto"/>
            </w:tcBorders>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0% x 2</w:t>
            </w:r>
            <w:r w:rsidR="00E744D7">
              <w:rPr>
                <w:color w:val="000000"/>
                <w:sz w:val="18"/>
              </w:rPr>
              <w:t xml:space="preserve"> </w:t>
            </w:r>
            <w:r w:rsidRPr="002A47F4">
              <w:rPr>
                <w:color w:val="000000"/>
                <w:sz w:val="18"/>
              </w:rPr>
              <w:t>/</w:t>
            </w:r>
            <w:r w:rsidR="00E744D7">
              <w:rPr>
                <w:color w:val="000000"/>
                <w:sz w:val="18"/>
              </w:rPr>
              <w:t xml:space="preserve"> </w:t>
            </w:r>
            <w:r w:rsidRPr="002A47F4">
              <w:rPr>
                <w:color w:val="000000"/>
                <w:sz w:val="18"/>
              </w:rPr>
              <w:t>Not Service Connected x 5</w:t>
            </w:r>
          </w:p>
        </w:tc>
        <w:tc>
          <w:tcPr>
            <w:tcW w:w="990" w:type="dxa"/>
            <w:shd w:val="clear" w:color="auto" w:fill="FFFFFF"/>
            <w:vAlign w:val="center"/>
          </w:tcPr>
          <w:p w:rsidR="00155623" w:rsidRPr="001F29F9" w:rsidRDefault="00155623" w:rsidP="00E744D7">
            <w:pPr>
              <w:spacing w:line="220" w:lineRule="exact"/>
              <w:contextualSpacing/>
              <w:rPr>
                <w:rFonts w:cs="Calibri"/>
                <w:color w:val="000000"/>
                <w:sz w:val="18"/>
              </w:rPr>
            </w:pPr>
            <w:r w:rsidRPr="002A47F4">
              <w:rPr>
                <w:color w:val="000000"/>
                <w:sz w:val="18"/>
              </w:rPr>
              <w:t>20080410</w:t>
            </w:r>
          </w:p>
        </w:tc>
      </w:tr>
      <w:tr w:rsidR="00155623" w:rsidRPr="002A47F4" w:rsidTr="00E7497F">
        <w:trPr>
          <w:trHeight w:val="242"/>
          <w:jc w:val="center"/>
        </w:trPr>
        <w:tc>
          <w:tcPr>
            <w:tcW w:w="4104" w:type="dxa"/>
            <w:gridSpan w:val="3"/>
            <w:tcBorders>
              <w:right w:val="thinThickThinSmallGap" w:sz="24" w:space="0" w:color="auto"/>
            </w:tcBorders>
            <w:shd w:val="clear" w:color="auto" w:fill="D9D9D9"/>
          </w:tcPr>
          <w:p w:rsidR="00155623" w:rsidRPr="002A47F4" w:rsidRDefault="00155623" w:rsidP="00E744D7">
            <w:pPr>
              <w:contextualSpacing/>
              <w:rPr>
                <w:rFonts w:cs="Calibri"/>
                <w:b/>
                <w:color w:val="000000"/>
                <w:sz w:val="18"/>
              </w:rPr>
            </w:pPr>
            <w:r w:rsidRPr="002A47F4">
              <w:rPr>
                <w:b/>
                <w:color w:val="000000"/>
                <w:sz w:val="18"/>
              </w:rPr>
              <w:t>Combined:  0%</w:t>
            </w:r>
          </w:p>
        </w:tc>
        <w:tc>
          <w:tcPr>
            <w:tcW w:w="5220" w:type="dxa"/>
            <w:gridSpan w:val="4"/>
            <w:tcBorders>
              <w:left w:val="thinThickThinSmallGap" w:sz="24" w:space="0" w:color="auto"/>
            </w:tcBorders>
            <w:shd w:val="clear" w:color="auto" w:fill="D9D9D9"/>
          </w:tcPr>
          <w:p w:rsidR="00155623" w:rsidRPr="002A47F4" w:rsidRDefault="00155623" w:rsidP="00E744D7">
            <w:pPr>
              <w:contextualSpacing/>
              <w:rPr>
                <w:rFonts w:cs="Calibri"/>
                <w:b/>
                <w:color w:val="000000"/>
                <w:sz w:val="18"/>
              </w:rPr>
            </w:pPr>
            <w:r w:rsidRPr="002A47F4">
              <w:rPr>
                <w:b/>
                <w:color w:val="000000"/>
                <w:sz w:val="18"/>
              </w:rPr>
              <w:t>Combined:  80%</w:t>
            </w:r>
          </w:p>
        </w:tc>
      </w:tr>
    </w:tbl>
    <w:p w:rsidR="00155623" w:rsidRDefault="00155623" w:rsidP="0019638E">
      <w:pPr>
        <w:jc w:val="both"/>
        <w:rPr>
          <w:color w:val="000000"/>
        </w:rPr>
      </w:pPr>
    </w:p>
    <w:p w:rsidR="005F6B9C" w:rsidRPr="001F29F9" w:rsidRDefault="005F6B9C" w:rsidP="0019638E">
      <w:pPr>
        <w:jc w:val="both"/>
        <w:rPr>
          <w:color w:val="000000"/>
          <w:u w:val="single"/>
        </w:rPr>
      </w:pPr>
    </w:p>
    <w:p w:rsidR="005F6B9C" w:rsidRDefault="005F6B9C" w:rsidP="00E7497F">
      <w:pPr>
        <w:jc w:val="both"/>
        <w:rPr>
          <w:color w:val="000000"/>
          <w:u w:val="single"/>
        </w:rPr>
      </w:pPr>
    </w:p>
    <w:p w:rsidR="00E7497F" w:rsidRPr="00E7497F" w:rsidRDefault="00155623" w:rsidP="00E7497F">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00E7497F" w:rsidRPr="00E7497F">
        <w:rPr>
          <w:color w:val="000000"/>
        </w:rPr>
        <w:t xml:space="preserve">The Board acknowledges the sentiment expressed in the CI’s application regarding the significant impairment with which his service-incurred condition continues to </w:t>
      </w:r>
      <w:proofErr w:type="gramStart"/>
      <w:r w:rsidR="00E7497F" w:rsidRPr="00E7497F">
        <w:rPr>
          <w:color w:val="000000"/>
        </w:rPr>
        <w:t>burden</w:t>
      </w:r>
      <w:proofErr w:type="gramEnd"/>
      <w:r w:rsidR="00E7497F" w:rsidRPr="00E7497F">
        <w:rPr>
          <w:color w:val="000000"/>
        </w:rPr>
        <w:t xml:space="preserve"> him.  The Board wishes to clarify that it i</w:t>
      </w:r>
      <w:r w:rsidR="00305EB1">
        <w:rPr>
          <w:color w:val="000000"/>
        </w:rPr>
        <w:t>s subject to the same laws for s</w:t>
      </w:r>
      <w:r w:rsidR="00E7497F" w:rsidRPr="00E7497F">
        <w:rPr>
          <w:color w:val="000000"/>
        </w:rPr>
        <w:t>ervice disability entitl</w:t>
      </w:r>
      <w:r w:rsidR="005F6B9C">
        <w:rPr>
          <w:color w:val="000000"/>
        </w:rPr>
        <w:t xml:space="preserve">ements as those under which the Disability Evaluation System (DES) operates.  The </w:t>
      </w:r>
      <w:r w:rsidR="00E7497F" w:rsidRPr="00E7497F">
        <w:rPr>
          <w:color w:val="000000"/>
        </w:rPr>
        <w:t>DES has neither the role nor the authority to compensate service members for anticipated future severity or potential complications of conditions resulting in medical separation.  That role and authority is granted by Congress to the Department of Veteran</w:t>
      </w:r>
      <w:r w:rsidR="005F6B9C">
        <w:rPr>
          <w:color w:val="000000"/>
        </w:rPr>
        <w:t>s’</w:t>
      </w:r>
      <w:r w:rsidR="00E7497F" w:rsidRPr="00E7497F">
        <w:rPr>
          <w:color w:val="000000"/>
        </w:rPr>
        <w:t xml:space="preserve"> Affairs (DVA), operating under a different set of laws (Title 38, United States Code).  The Board utilizes </w:t>
      </w:r>
      <w:r w:rsidR="005F6B9C">
        <w:rPr>
          <w:color w:val="000000"/>
        </w:rPr>
        <w:t>D</w:t>
      </w:r>
      <w:r w:rsidR="00E7497F" w:rsidRPr="00E7497F">
        <w:rPr>
          <w:color w:val="000000"/>
        </w:rPr>
        <w:t xml:space="preserve">VA evidence proximal to separation in arriving at its recommendations; and, </w:t>
      </w:r>
      <w:proofErr w:type="spellStart"/>
      <w:r w:rsidR="00E7497F" w:rsidRPr="00E7497F">
        <w:rPr>
          <w:color w:val="000000"/>
        </w:rPr>
        <w:t>DoDI</w:t>
      </w:r>
      <w:proofErr w:type="spellEnd"/>
      <w:r w:rsidR="00E7497F" w:rsidRPr="00E7497F">
        <w:rPr>
          <w:color w:val="000000"/>
        </w:rPr>
        <w:t xml:space="preserve"> 6040.44 defines a 12 month interval for special consideration to post-separation evidence. The Board’s authority as defined in </w:t>
      </w:r>
      <w:proofErr w:type="spellStart"/>
      <w:r w:rsidR="00E7497F" w:rsidRPr="00E7497F">
        <w:rPr>
          <w:color w:val="000000"/>
        </w:rPr>
        <w:t>DoDI</w:t>
      </w:r>
      <w:proofErr w:type="spellEnd"/>
      <w:r w:rsidR="00E7497F" w:rsidRPr="00E7497F">
        <w:rPr>
          <w:color w:val="000000"/>
        </w:rPr>
        <w:t xml:space="preserve">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E7497F">
        <w:rPr>
          <w:color w:val="000000"/>
        </w:rPr>
        <w:t xml:space="preserve">  </w:t>
      </w:r>
      <w:r w:rsidR="00E7497F" w:rsidRPr="00E7497F">
        <w:rPr>
          <w:color w:val="000000"/>
        </w:rPr>
        <w:t>The Board further acknow</w:t>
      </w:r>
      <w:r w:rsidR="005F6B9C">
        <w:rPr>
          <w:color w:val="000000"/>
        </w:rPr>
        <w:t>ledges the CI’s contention for s</w:t>
      </w:r>
      <w:r w:rsidR="00E7497F" w:rsidRPr="00E7497F">
        <w:rPr>
          <w:color w:val="000000"/>
        </w:rPr>
        <w:t>ervice ratings for other conditions documented at the time of separation, and notes that its recommendations in that regard must comply with t</w:t>
      </w:r>
      <w:r w:rsidR="005F6B9C">
        <w:rPr>
          <w:color w:val="000000"/>
        </w:rPr>
        <w:t xml:space="preserve">he same governance.  While the </w:t>
      </w:r>
      <w:r w:rsidR="00E7497F" w:rsidRPr="00E7497F">
        <w:rPr>
          <w:color w:val="000000"/>
        </w:rPr>
        <w:t>DES considers all of the service member's medical conditions, compensation can only be offered for those medical conditions that cut  short a service member’s career, and then only to the degree of severity present at the time</w:t>
      </w:r>
      <w:r w:rsidR="00D801F6">
        <w:rPr>
          <w:color w:val="000000"/>
        </w:rPr>
        <w:t xml:space="preserve"> of final disposition.  The DVA;</w:t>
      </w:r>
      <w:r w:rsidR="00E7497F" w:rsidRPr="00E7497F">
        <w:rPr>
          <w:color w:val="000000"/>
        </w:rPr>
        <w:t xml:space="preserve"> however, is </w:t>
      </w:r>
      <w:r w:rsidR="005F6B9C">
        <w:rPr>
          <w:color w:val="000000"/>
        </w:rPr>
        <w:t>empowered to compensate service-</w:t>
      </w:r>
      <w:r w:rsidR="00E7497F" w:rsidRPr="00E7497F">
        <w:rPr>
          <w:color w:val="000000"/>
        </w:rPr>
        <w:t>connected conditions and to periodically re-evaluate said conditions fo</w:t>
      </w:r>
      <w:r w:rsidR="005F6B9C">
        <w:rPr>
          <w:color w:val="000000"/>
        </w:rPr>
        <w:t>r the purpose of adjusting the V</w:t>
      </w:r>
      <w:r w:rsidR="00E7497F" w:rsidRPr="00E7497F">
        <w:rPr>
          <w:color w:val="000000"/>
        </w:rPr>
        <w:t xml:space="preserve">eteran’s disability rating should </w:t>
      </w:r>
      <w:r w:rsidR="005F6B9C">
        <w:rPr>
          <w:color w:val="000000"/>
        </w:rPr>
        <w:t>the</w:t>
      </w:r>
      <w:r w:rsidR="00E7497F" w:rsidRPr="00E7497F">
        <w:rPr>
          <w:color w:val="000000"/>
        </w:rPr>
        <w:t xml:space="preserve"> degree of impairment vary over time.</w:t>
      </w:r>
    </w:p>
    <w:p w:rsidR="00155623" w:rsidRPr="001F29F9" w:rsidRDefault="00155623" w:rsidP="00E7497F">
      <w:pPr>
        <w:jc w:val="both"/>
        <w:rPr>
          <w:color w:val="000000"/>
          <w:highlight w:val="yellow"/>
        </w:rPr>
      </w:pPr>
    </w:p>
    <w:p w:rsidR="00563000" w:rsidRDefault="00144667" w:rsidP="00563000">
      <w:pPr>
        <w:jc w:val="both"/>
        <w:rPr>
          <w:color w:val="000000"/>
          <w:szCs w:val="24"/>
        </w:rPr>
      </w:pPr>
      <w:proofErr w:type="gramStart"/>
      <w:r>
        <w:rPr>
          <w:color w:val="000000"/>
          <w:u w:val="single"/>
        </w:rPr>
        <w:t>Lumbar Spine</w:t>
      </w:r>
      <w:r w:rsidR="00155623" w:rsidRPr="0019638E">
        <w:rPr>
          <w:color w:val="000000"/>
          <w:u w:val="single"/>
        </w:rPr>
        <w:t xml:space="preserve"> Condition</w:t>
      </w:r>
      <w:r w:rsidR="00155623" w:rsidRPr="0019638E">
        <w:rPr>
          <w:color w:val="000000"/>
        </w:rPr>
        <w:t>.</w:t>
      </w:r>
      <w:proofErr w:type="gramEnd"/>
      <w:r w:rsidR="00563000">
        <w:rPr>
          <w:color w:val="000000"/>
        </w:rPr>
        <w:t xml:space="preserve"> T</w:t>
      </w:r>
      <w:r w:rsidR="00155623" w:rsidRPr="00806F1E">
        <w:rPr>
          <w:color w:val="000000"/>
        </w:rPr>
        <w:t xml:space="preserve">he CI injured his lower back </w:t>
      </w:r>
      <w:r w:rsidR="00563000">
        <w:rPr>
          <w:color w:val="000000"/>
        </w:rPr>
        <w:t>i</w:t>
      </w:r>
      <w:r w:rsidR="00563000" w:rsidRPr="00806F1E">
        <w:rPr>
          <w:color w:val="000000"/>
        </w:rPr>
        <w:t>n December 1992</w:t>
      </w:r>
      <w:r w:rsidR="00563000">
        <w:rPr>
          <w:color w:val="000000"/>
        </w:rPr>
        <w:t xml:space="preserve"> </w:t>
      </w:r>
      <w:r w:rsidR="00155623" w:rsidRPr="00806F1E">
        <w:rPr>
          <w:color w:val="000000"/>
        </w:rPr>
        <w:t xml:space="preserve">while playing racquetball. </w:t>
      </w:r>
      <w:r w:rsidR="00471FF7">
        <w:rPr>
          <w:color w:val="000000"/>
        </w:rPr>
        <w:t xml:space="preserve"> </w:t>
      </w:r>
      <w:r w:rsidR="00155623" w:rsidRPr="00806F1E">
        <w:rPr>
          <w:color w:val="000000"/>
        </w:rPr>
        <w:t xml:space="preserve">He was treated </w:t>
      </w:r>
      <w:r w:rsidR="00471FF7">
        <w:rPr>
          <w:color w:val="000000"/>
        </w:rPr>
        <w:t>conservatively and improved; but, had repeat medical visits</w:t>
      </w:r>
      <w:r w:rsidR="00155623" w:rsidRPr="00806F1E">
        <w:rPr>
          <w:color w:val="000000"/>
        </w:rPr>
        <w:t xml:space="preserve"> for low back pain increasing severity and regularity. </w:t>
      </w:r>
      <w:r w:rsidR="00563000">
        <w:rPr>
          <w:color w:val="000000"/>
        </w:rPr>
        <w:t xml:space="preserve"> </w:t>
      </w:r>
      <w:r w:rsidR="00471FF7">
        <w:rPr>
          <w:color w:val="000000"/>
        </w:rPr>
        <w:t>I</w:t>
      </w:r>
      <w:r w:rsidR="00155623" w:rsidRPr="00806F1E">
        <w:rPr>
          <w:color w:val="000000"/>
        </w:rPr>
        <w:t xml:space="preserve">n 2000, </w:t>
      </w:r>
      <w:r w:rsidR="00471FF7">
        <w:rPr>
          <w:color w:val="000000"/>
        </w:rPr>
        <w:t>he</w:t>
      </w:r>
      <w:r w:rsidR="00155623" w:rsidRPr="00806F1E">
        <w:rPr>
          <w:color w:val="000000"/>
        </w:rPr>
        <w:t xml:space="preserve"> </w:t>
      </w:r>
      <w:r w:rsidR="00471FF7">
        <w:rPr>
          <w:color w:val="000000"/>
        </w:rPr>
        <w:t>reported</w:t>
      </w:r>
      <w:r w:rsidR="00155623" w:rsidRPr="00806F1E">
        <w:rPr>
          <w:color w:val="000000"/>
        </w:rPr>
        <w:t xml:space="preserve"> severe</w:t>
      </w:r>
      <w:r w:rsidR="00471FF7">
        <w:rPr>
          <w:color w:val="000000"/>
        </w:rPr>
        <w:t xml:space="preserve"> back pain </w:t>
      </w:r>
      <w:r w:rsidR="00155623" w:rsidRPr="00806F1E">
        <w:rPr>
          <w:color w:val="000000"/>
        </w:rPr>
        <w:t>radiating down his right le</w:t>
      </w:r>
      <w:r w:rsidR="00471FF7">
        <w:rPr>
          <w:color w:val="000000"/>
        </w:rPr>
        <w:t xml:space="preserve">g after working out at the gym.  </w:t>
      </w:r>
      <w:proofErr w:type="gramStart"/>
      <w:r w:rsidR="00563000">
        <w:rPr>
          <w:color w:val="000000"/>
        </w:rPr>
        <w:t>An</w:t>
      </w:r>
      <w:proofErr w:type="gramEnd"/>
      <w:r w:rsidR="00563000">
        <w:rPr>
          <w:color w:val="000000"/>
        </w:rPr>
        <w:t xml:space="preserve"> magnetic resonance i</w:t>
      </w:r>
      <w:r w:rsidR="00471FF7">
        <w:rPr>
          <w:color w:val="000000"/>
        </w:rPr>
        <w:t>maging</w:t>
      </w:r>
      <w:r w:rsidR="00D801F6">
        <w:rPr>
          <w:color w:val="000000"/>
        </w:rPr>
        <w:t xml:space="preserve"> (MRI)</w:t>
      </w:r>
      <w:r w:rsidR="00471FF7">
        <w:rPr>
          <w:color w:val="000000"/>
        </w:rPr>
        <w:t xml:space="preserve"> at that time</w:t>
      </w:r>
      <w:r w:rsidR="00155623" w:rsidRPr="00806F1E">
        <w:rPr>
          <w:color w:val="000000"/>
        </w:rPr>
        <w:t xml:space="preserve"> revealed “a large disc </w:t>
      </w:r>
      <w:proofErr w:type="spellStart"/>
      <w:r w:rsidR="00155623" w:rsidRPr="00806F1E">
        <w:rPr>
          <w:color w:val="000000"/>
        </w:rPr>
        <w:t>herniation</w:t>
      </w:r>
      <w:proofErr w:type="spellEnd"/>
      <w:r w:rsidR="00155623" w:rsidRPr="00806F1E">
        <w:rPr>
          <w:color w:val="000000"/>
        </w:rPr>
        <w:t xml:space="preserve"> </w:t>
      </w:r>
      <w:r w:rsidR="00471FF7">
        <w:rPr>
          <w:color w:val="000000"/>
        </w:rPr>
        <w:t>…</w:t>
      </w:r>
      <w:r w:rsidR="00155623" w:rsidRPr="00806F1E">
        <w:rPr>
          <w:color w:val="000000"/>
        </w:rPr>
        <w:t xml:space="preserve"> displacing the right S1 nerve root.”</w:t>
      </w:r>
      <w:r w:rsidR="00471FF7">
        <w:rPr>
          <w:color w:val="000000"/>
        </w:rPr>
        <w:t xml:space="preserve"> </w:t>
      </w:r>
      <w:r w:rsidR="00155623" w:rsidRPr="00806F1E">
        <w:rPr>
          <w:color w:val="000000"/>
        </w:rPr>
        <w:t xml:space="preserve"> </w:t>
      </w:r>
      <w:r w:rsidR="00471FF7">
        <w:rPr>
          <w:color w:val="000000"/>
        </w:rPr>
        <w:t>He underwent</w:t>
      </w:r>
      <w:r w:rsidR="00155623" w:rsidRPr="00806F1E">
        <w:rPr>
          <w:color w:val="000000"/>
        </w:rPr>
        <w:t xml:space="preserve"> </w:t>
      </w:r>
      <w:r w:rsidR="00471FF7">
        <w:rPr>
          <w:color w:val="000000"/>
        </w:rPr>
        <w:t>his first surgery (L5/</w:t>
      </w:r>
      <w:r w:rsidR="00471FF7" w:rsidRPr="00806F1E">
        <w:rPr>
          <w:color w:val="000000"/>
        </w:rPr>
        <w:t>S1</w:t>
      </w:r>
      <w:r w:rsidR="00471FF7">
        <w:rPr>
          <w:color w:val="000000"/>
        </w:rPr>
        <w:t xml:space="preserve"> </w:t>
      </w:r>
      <w:proofErr w:type="spellStart"/>
      <w:r w:rsidR="00155623" w:rsidRPr="00806F1E">
        <w:rPr>
          <w:color w:val="000000"/>
        </w:rPr>
        <w:t>hemilaminectomy</w:t>
      </w:r>
      <w:proofErr w:type="spellEnd"/>
      <w:r w:rsidR="00155623" w:rsidRPr="00806F1E">
        <w:rPr>
          <w:color w:val="000000"/>
        </w:rPr>
        <w:t xml:space="preserve"> and </w:t>
      </w:r>
      <w:proofErr w:type="spellStart"/>
      <w:r w:rsidR="00155623" w:rsidRPr="00806F1E">
        <w:rPr>
          <w:color w:val="000000"/>
        </w:rPr>
        <w:t>discectomy</w:t>
      </w:r>
      <w:proofErr w:type="spellEnd"/>
      <w:r w:rsidR="00471FF7">
        <w:rPr>
          <w:color w:val="000000"/>
        </w:rPr>
        <w:t>)</w:t>
      </w:r>
      <w:r w:rsidR="00155623" w:rsidRPr="00806F1E">
        <w:rPr>
          <w:color w:val="000000"/>
        </w:rPr>
        <w:t xml:space="preserve"> in October 2000.  </w:t>
      </w:r>
      <w:r w:rsidR="00471FF7">
        <w:rPr>
          <w:color w:val="000000"/>
        </w:rPr>
        <w:t xml:space="preserve">He initially experienced improvement, but </w:t>
      </w:r>
      <w:r w:rsidR="00563000">
        <w:rPr>
          <w:color w:val="000000"/>
        </w:rPr>
        <w:t xml:space="preserve">over time </w:t>
      </w:r>
      <w:r w:rsidR="00471FF7">
        <w:rPr>
          <w:color w:val="000000"/>
        </w:rPr>
        <w:t xml:space="preserve">suffered progressive recurrence of pain and </w:t>
      </w:r>
      <w:proofErr w:type="spellStart"/>
      <w:r w:rsidR="00471FF7">
        <w:rPr>
          <w:color w:val="000000"/>
        </w:rPr>
        <w:t>radicular</w:t>
      </w:r>
      <w:proofErr w:type="spellEnd"/>
      <w:r w:rsidR="00471FF7">
        <w:rPr>
          <w:color w:val="000000"/>
        </w:rPr>
        <w:t xml:space="preserve"> symptoms.  </w:t>
      </w:r>
      <w:r w:rsidR="00155623" w:rsidRPr="00806F1E">
        <w:rPr>
          <w:color w:val="000000"/>
        </w:rPr>
        <w:t xml:space="preserve">He was diagnosed with </w:t>
      </w:r>
      <w:r w:rsidR="00471FF7">
        <w:rPr>
          <w:color w:val="000000"/>
        </w:rPr>
        <w:t>DDD</w:t>
      </w:r>
      <w:r w:rsidR="00155623" w:rsidRPr="00806F1E">
        <w:rPr>
          <w:color w:val="000000"/>
        </w:rPr>
        <w:t xml:space="preserve">, and </w:t>
      </w:r>
      <w:r w:rsidR="00471FF7">
        <w:rPr>
          <w:color w:val="000000"/>
        </w:rPr>
        <w:t>did not respond to further conservative measures</w:t>
      </w:r>
      <w:r w:rsidR="00155623" w:rsidRPr="00806F1E">
        <w:rPr>
          <w:color w:val="000000"/>
        </w:rPr>
        <w:t xml:space="preserve">. </w:t>
      </w:r>
      <w:r w:rsidR="00471FF7">
        <w:rPr>
          <w:color w:val="000000"/>
        </w:rPr>
        <w:t xml:space="preserve"> </w:t>
      </w:r>
      <w:r w:rsidR="00155623" w:rsidRPr="00806F1E">
        <w:rPr>
          <w:color w:val="000000"/>
        </w:rPr>
        <w:t xml:space="preserve">A total </w:t>
      </w:r>
      <w:r w:rsidR="00471FF7">
        <w:rPr>
          <w:color w:val="000000"/>
        </w:rPr>
        <w:t>L5/</w:t>
      </w:r>
      <w:r w:rsidR="00471FF7" w:rsidRPr="00806F1E">
        <w:rPr>
          <w:color w:val="000000"/>
        </w:rPr>
        <w:t>S1</w:t>
      </w:r>
      <w:r w:rsidR="00471FF7">
        <w:rPr>
          <w:color w:val="000000"/>
        </w:rPr>
        <w:t xml:space="preserve"> </w:t>
      </w:r>
      <w:r w:rsidR="00155623" w:rsidRPr="00806F1E">
        <w:rPr>
          <w:color w:val="000000"/>
        </w:rPr>
        <w:t xml:space="preserve">disc replacement was performed in March 2004. </w:t>
      </w:r>
      <w:r w:rsidR="00471FF7">
        <w:rPr>
          <w:color w:val="000000"/>
        </w:rPr>
        <w:t xml:space="preserve"> That</w:t>
      </w:r>
      <w:r w:rsidR="00155623" w:rsidRPr="00806F1E">
        <w:rPr>
          <w:color w:val="000000"/>
        </w:rPr>
        <w:t xml:space="preserve"> procedure </w:t>
      </w:r>
      <w:r w:rsidR="00471FF7">
        <w:rPr>
          <w:color w:val="000000"/>
        </w:rPr>
        <w:t>was fairly successful for pain relief</w:t>
      </w:r>
      <w:r w:rsidR="00155623" w:rsidRPr="00806F1E">
        <w:rPr>
          <w:color w:val="000000"/>
        </w:rPr>
        <w:t xml:space="preserve">, but did not </w:t>
      </w:r>
      <w:r w:rsidR="00471FF7">
        <w:rPr>
          <w:color w:val="000000"/>
        </w:rPr>
        <w:t xml:space="preserve">restore the CI to an acceptable level of functioning; </w:t>
      </w:r>
      <w:r w:rsidR="00563000">
        <w:rPr>
          <w:color w:val="000000"/>
        </w:rPr>
        <w:t xml:space="preserve">that, </w:t>
      </w:r>
      <w:r w:rsidR="00471FF7">
        <w:rPr>
          <w:color w:val="000000"/>
        </w:rPr>
        <w:t>despite his best efforts and a protracted attempt at adequate rehabilitation</w:t>
      </w:r>
      <w:r w:rsidR="00155623" w:rsidRPr="00806F1E">
        <w:rPr>
          <w:color w:val="000000"/>
        </w:rPr>
        <w:t xml:space="preserve">. </w:t>
      </w:r>
      <w:r w:rsidR="00471FF7">
        <w:rPr>
          <w:color w:val="000000"/>
        </w:rPr>
        <w:t xml:space="preserve"> </w:t>
      </w:r>
      <w:r w:rsidR="00305EB1">
        <w:rPr>
          <w:color w:val="000000"/>
        </w:rPr>
        <w:t>Follow up     x</w:t>
      </w:r>
      <w:r w:rsidR="00155623" w:rsidRPr="00806F1E">
        <w:rPr>
          <w:color w:val="000000"/>
        </w:rPr>
        <w:t xml:space="preserve">-rays revealed a stable prosthetic disc at L5-S1 with DDD at L4-L5. </w:t>
      </w:r>
      <w:r w:rsidR="00471FF7">
        <w:rPr>
          <w:color w:val="000000"/>
        </w:rPr>
        <w:t xml:space="preserve"> </w:t>
      </w:r>
      <w:r w:rsidR="00563000" w:rsidRPr="00B652C3">
        <w:rPr>
          <w:color w:val="000000"/>
          <w:szCs w:val="24"/>
        </w:rPr>
        <w:t xml:space="preserve">There were </w:t>
      </w:r>
      <w:r w:rsidR="00D801F6">
        <w:rPr>
          <w:color w:val="000000"/>
          <w:szCs w:val="24"/>
        </w:rPr>
        <w:t>two</w:t>
      </w:r>
      <w:r w:rsidR="00305EB1">
        <w:rPr>
          <w:color w:val="000000"/>
          <w:szCs w:val="24"/>
        </w:rPr>
        <w:t xml:space="preserve"> goniometric range-of-</w:t>
      </w:r>
      <w:r w:rsidR="00563000" w:rsidRPr="00B652C3">
        <w:rPr>
          <w:color w:val="000000"/>
          <w:szCs w:val="24"/>
        </w:rPr>
        <w:t>motion (ROM) evaluations in evidence, with documentation of additional ratable criteria, which the Board weighed in arriving at its rating recommendation; as summarized in the chart below.</w:t>
      </w:r>
    </w:p>
    <w:p w:rsidR="00E7497F" w:rsidRDefault="00E7497F" w:rsidP="00806F1E">
      <w:pPr>
        <w:jc w:val="both"/>
        <w:rPr>
          <w:rFonts w:cs="Times New Roman"/>
          <w:color w:val="auto"/>
        </w:rPr>
      </w:pPr>
    </w:p>
    <w:tbl>
      <w:tblPr>
        <w:tblW w:w="6894" w:type="dxa"/>
        <w:jc w:val="center"/>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8"/>
        <w:gridCol w:w="2093"/>
        <w:gridCol w:w="2613"/>
      </w:tblGrid>
      <w:tr w:rsidR="00E7497F" w:rsidRPr="00E7497F" w:rsidTr="00E7497F">
        <w:trPr>
          <w:jc w:val="center"/>
        </w:trPr>
        <w:tc>
          <w:tcPr>
            <w:tcW w:w="2188" w:type="dxa"/>
            <w:shd w:val="clear" w:color="auto" w:fill="D9D9D9"/>
            <w:vAlign w:val="center"/>
          </w:tcPr>
          <w:p w:rsidR="00E7497F" w:rsidRPr="00E7497F" w:rsidRDefault="00E7497F" w:rsidP="00E7497F">
            <w:pPr>
              <w:contextualSpacing/>
              <w:rPr>
                <w:rFonts w:eastAsia="Calibri"/>
                <w:color w:val="auto"/>
                <w:sz w:val="22"/>
                <w:szCs w:val="22"/>
              </w:rPr>
            </w:pPr>
            <w:proofErr w:type="spellStart"/>
            <w:r w:rsidRPr="003C53E8">
              <w:rPr>
                <w:rFonts w:cs="Times New Roman"/>
                <w:color w:val="auto"/>
                <w:sz w:val="22"/>
              </w:rPr>
              <w:t>Thoracolumbar</w:t>
            </w:r>
            <w:proofErr w:type="spellEnd"/>
            <w:r w:rsidRPr="003C53E8">
              <w:rPr>
                <w:rFonts w:cs="Times New Roman"/>
                <w:color w:val="auto"/>
                <w:sz w:val="22"/>
              </w:rPr>
              <w:t xml:space="preserve"> </w:t>
            </w:r>
            <w:r w:rsidRPr="00E7497F">
              <w:rPr>
                <w:rFonts w:eastAsia="Calibri"/>
                <w:color w:val="auto"/>
                <w:sz w:val="22"/>
                <w:szCs w:val="22"/>
              </w:rPr>
              <w:t>ROM</w:t>
            </w:r>
          </w:p>
        </w:tc>
        <w:tc>
          <w:tcPr>
            <w:tcW w:w="2093" w:type="dxa"/>
            <w:shd w:val="clear" w:color="auto" w:fill="D9D9D9"/>
            <w:vAlign w:val="center"/>
          </w:tcPr>
          <w:p w:rsidR="00E7497F" w:rsidRPr="00E7497F" w:rsidRDefault="00E7497F" w:rsidP="00E7497F">
            <w:pPr>
              <w:contextualSpacing/>
              <w:rPr>
                <w:rFonts w:eastAsia="Calibri"/>
                <w:color w:val="auto"/>
                <w:sz w:val="22"/>
                <w:szCs w:val="22"/>
              </w:rPr>
            </w:pPr>
            <w:r>
              <w:rPr>
                <w:rFonts w:eastAsia="Calibri"/>
                <w:color w:val="auto"/>
                <w:sz w:val="22"/>
                <w:szCs w:val="22"/>
              </w:rPr>
              <w:t>MEB ~4</w:t>
            </w:r>
            <w:r w:rsidRPr="00E7497F">
              <w:rPr>
                <w:rFonts w:eastAsia="Calibri"/>
                <w:color w:val="auto"/>
                <w:sz w:val="22"/>
                <w:szCs w:val="22"/>
              </w:rPr>
              <w:t xml:space="preserve"> Mo. Pre-Sep</w:t>
            </w:r>
          </w:p>
        </w:tc>
        <w:tc>
          <w:tcPr>
            <w:tcW w:w="2613" w:type="dxa"/>
            <w:shd w:val="clear" w:color="auto" w:fill="D9D9D9"/>
            <w:vAlign w:val="center"/>
          </w:tcPr>
          <w:p w:rsidR="00E7497F" w:rsidRPr="00E7497F" w:rsidRDefault="00E7497F" w:rsidP="00E7497F">
            <w:pPr>
              <w:contextualSpacing/>
              <w:rPr>
                <w:rFonts w:eastAsia="Cambria"/>
                <w:color w:val="auto"/>
                <w:sz w:val="22"/>
                <w:szCs w:val="22"/>
              </w:rPr>
            </w:pPr>
            <w:r w:rsidRPr="00E7497F">
              <w:rPr>
                <w:rFonts w:eastAsia="Calibri"/>
                <w:color w:val="auto"/>
                <w:sz w:val="22"/>
                <w:szCs w:val="22"/>
              </w:rPr>
              <w:t>VA</w:t>
            </w:r>
            <w:r>
              <w:rPr>
                <w:rFonts w:eastAsia="Cambria"/>
                <w:color w:val="auto"/>
                <w:sz w:val="22"/>
                <w:szCs w:val="22"/>
              </w:rPr>
              <w:t xml:space="preserve"> C&amp;P ~13</w:t>
            </w:r>
            <w:r w:rsidRPr="00E7497F">
              <w:rPr>
                <w:rFonts w:eastAsia="Cambria"/>
                <w:color w:val="auto"/>
                <w:sz w:val="22"/>
                <w:szCs w:val="22"/>
              </w:rPr>
              <w:t xml:space="preserve"> Mo. Post-Sep</w:t>
            </w:r>
          </w:p>
        </w:tc>
      </w:tr>
      <w:tr w:rsidR="00E7497F" w:rsidRPr="00E7497F" w:rsidTr="00E7497F">
        <w:trPr>
          <w:jc w:val="center"/>
        </w:trPr>
        <w:tc>
          <w:tcPr>
            <w:tcW w:w="2188" w:type="dxa"/>
            <w:vAlign w:val="center"/>
          </w:tcPr>
          <w:p w:rsidR="00E7497F" w:rsidRPr="00E7497F" w:rsidRDefault="00E7497F" w:rsidP="00E7497F">
            <w:pPr>
              <w:spacing w:line="220" w:lineRule="exact"/>
              <w:contextualSpacing/>
              <w:rPr>
                <w:color w:val="000000"/>
                <w:sz w:val="22"/>
                <w:szCs w:val="22"/>
              </w:rPr>
            </w:pPr>
            <w:r w:rsidRPr="00E7497F">
              <w:rPr>
                <w:color w:val="000000"/>
                <w:sz w:val="22"/>
                <w:szCs w:val="22"/>
              </w:rPr>
              <w:t>Flexion (140⁰ Normal)</w:t>
            </w:r>
          </w:p>
        </w:tc>
        <w:tc>
          <w:tcPr>
            <w:tcW w:w="2093" w:type="dxa"/>
            <w:vAlign w:val="center"/>
          </w:tcPr>
          <w:p w:rsidR="00E7497F" w:rsidRPr="003C53E8" w:rsidRDefault="00E7497F" w:rsidP="00E7497F">
            <w:pPr>
              <w:contextualSpacing/>
              <w:rPr>
                <w:rFonts w:cs="Times New Roman"/>
                <w:color w:val="auto"/>
                <w:sz w:val="22"/>
              </w:rPr>
            </w:pPr>
            <w:r w:rsidRPr="003C53E8">
              <w:rPr>
                <w:rFonts w:cs="Times New Roman"/>
                <w:color w:val="auto"/>
                <w:sz w:val="22"/>
              </w:rPr>
              <w:t>60⁰</w:t>
            </w:r>
          </w:p>
        </w:tc>
        <w:tc>
          <w:tcPr>
            <w:tcW w:w="2613" w:type="dxa"/>
            <w:vAlign w:val="center"/>
          </w:tcPr>
          <w:p w:rsidR="00E7497F" w:rsidRPr="003C53E8" w:rsidRDefault="00E7497F" w:rsidP="00E7497F">
            <w:pPr>
              <w:contextualSpacing/>
              <w:rPr>
                <w:rFonts w:cs="Times New Roman"/>
                <w:color w:val="auto"/>
                <w:sz w:val="22"/>
              </w:rPr>
            </w:pPr>
            <w:r w:rsidRPr="003C53E8">
              <w:rPr>
                <w:rFonts w:cs="Times New Roman"/>
                <w:color w:val="auto"/>
                <w:sz w:val="22"/>
              </w:rPr>
              <w:t>50⁰</w:t>
            </w:r>
          </w:p>
        </w:tc>
      </w:tr>
      <w:tr w:rsidR="00E7497F" w:rsidRPr="00E7497F" w:rsidTr="00E7497F">
        <w:trPr>
          <w:jc w:val="center"/>
        </w:trPr>
        <w:tc>
          <w:tcPr>
            <w:tcW w:w="2188" w:type="dxa"/>
            <w:vAlign w:val="center"/>
          </w:tcPr>
          <w:p w:rsidR="00E7497F" w:rsidRPr="00E7497F" w:rsidRDefault="00E7497F" w:rsidP="00E7497F">
            <w:pPr>
              <w:spacing w:line="220" w:lineRule="exact"/>
              <w:contextualSpacing/>
              <w:rPr>
                <w:color w:val="000000"/>
                <w:sz w:val="22"/>
                <w:szCs w:val="22"/>
              </w:rPr>
            </w:pPr>
            <w:r>
              <w:rPr>
                <w:color w:val="000000"/>
                <w:sz w:val="22"/>
                <w:szCs w:val="22"/>
              </w:rPr>
              <w:t>Combined</w:t>
            </w:r>
            <w:r w:rsidRPr="00E7497F">
              <w:rPr>
                <w:color w:val="000000"/>
                <w:sz w:val="22"/>
                <w:szCs w:val="22"/>
              </w:rPr>
              <w:t xml:space="preserve"> (</w:t>
            </w:r>
            <w:r>
              <w:rPr>
                <w:color w:val="000000"/>
                <w:sz w:val="22"/>
                <w:szCs w:val="22"/>
              </w:rPr>
              <w:t>24</w:t>
            </w:r>
            <w:r w:rsidRPr="00E7497F">
              <w:rPr>
                <w:color w:val="000000"/>
                <w:sz w:val="22"/>
                <w:szCs w:val="22"/>
              </w:rPr>
              <w:t>0⁰)</w:t>
            </w:r>
          </w:p>
        </w:tc>
        <w:tc>
          <w:tcPr>
            <w:tcW w:w="2093" w:type="dxa"/>
            <w:vAlign w:val="center"/>
          </w:tcPr>
          <w:p w:rsidR="00E7497F" w:rsidRPr="003C53E8" w:rsidRDefault="00E7497F" w:rsidP="00E7497F">
            <w:pPr>
              <w:contextualSpacing/>
              <w:rPr>
                <w:rFonts w:cs="Times New Roman"/>
                <w:color w:val="auto"/>
                <w:sz w:val="22"/>
              </w:rPr>
            </w:pPr>
            <w:r w:rsidRPr="003C53E8">
              <w:rPr>
                <w:rFonts w:cs="Times New Roman"/>
                <w:color w:val="auto"/>
                <w:sz w:val="22"/>
              </w:rPr>
              <w:t>1</w:t>
            </w:r>
            <w:r>
              <w:rPr>
                <w:rFonts w:cs="Times New Roman"/>
                <w:color w:val="auto"/>
                <w:sz w:val="22"/>
              </w:rPr>
              <w:t>4</w:t>
            </w:r>
            <w:r w:rsidRPr="003C53E8">
              <w:rPr>
                <w:rFonts w:cs="Times New Roman"/>
                <w:color w:val="auto"/>
                <w:sz w:val="22"/>
              </w:rPr>
              <w:t>0⁰</w:t>
            </w:r>
          </w:p>
        </w:tc>
        <w:tc>
          <w:tcPr>
            <w:tcW w:w="2613" w:type="dxa"/>
            <w:vAlign w:val="center"/>
          </w:tcPr>
          <w:p w:rsidR="00E7497F" w:rsidRPr="003C53E8" w:rsidRDefault="00E7497F" w:rsidP="00E7497F">
            <w:pPr>
              <w:contextualSpacing/>
              <w:rPr>
                <w:rFonts w:cs="Times New Roman"/>
                <w:color w:val="auto"/>
                <w:sz w:val="22"/>
              </w:rPr>
            </w:pPr>
            <w:r w:rsidRPr="003C53E8">
              <w:rPr>
                <w:rFonts w:cs="Times New Roman"/>
                <w:color w:val="auto"/>
                <w:sz w:val="22"/>
              </w:rPr>
              <w:t>196⁰</w:t>
            </w:r>
          </w:p>
        </w:tc>
      </w:tr>
      <w:tr w:rsidR="00E7497F" w:rsidRPr="00E7497F" w:rsidTr="00E7497F">
        <w:trPr>
          <w:jc w:val="center"/>
        </w:trPr>
        <w:tc>
          <w:tcPr>
            <w:tcW w:w="2188" w:type="dxa"/>
            <w:vAlign w:val="center"/>
          </w:tcPr>
          <w:p w:rsidR="00E7497F" w:rsidRPr="00E7497F" w:rsidRDefault="00E7497F" w:rsidP="00E7497F">
            <w:pPr>
              <w:tabs>
                <w:tab w:val="left" w:pos="288"/>
                <w:tab w:val="left" w:pos="4752"/>
              </w:tabs>
              <w:rPr>
                <w:rFonts w:eastAsia="Cambria"/>
                <w:color w:val="auto"/>
                <w:sz w:val="22"/>
                <w:szCs w:val="22"/>
              </w:rPr>
            </w:pPr>
            <w:r w:rsidRPr="00E7497F">
              <w:rPr>
                <w:rFonts w:eastAsia="Cambria"/>
                <w:color w:val="auto"/>
                <w:sz w:val="22"/>
                <w:szCs w:val="22"/>
              </w:rPr>
              <w:t>Comments</w:t>
            </w:r>
          </w:p>
        </w:tc>
        <w:tc>
          <w:tcPr>
            <w:tcW w:w="2093" w:type="dxa"/>
            <w:vAlign w:val="center"/>
          </w:tcPr>
          <w:p w:rsidR="00E7497F" w:rsidRPr="003C53E8" w:rsidRDefault="00E7497F" w:rsidP="00E7497F">
            <w:pPr>
              <w:tabs>
                <w:tab w:val="left" w:pos="288"/>
                <w:tab w:val="left" w:pos="4752"/>
              </w:tabs>
              <w:rPr>
                <w:rFonts w:cs="Times New Roman"/>
                <w:color w:val="auto"/>
                <w:sz w:val="22"/>
              </w:rPr>
            </w:pPr>
            <w:r w:rsidRPr="003C53E8">
              <w:rPr>
                <w:rFonts w:cs="Times New Roman"/>
                <w:color w:val="auto"/>
                <w:sz w:val="22"/>
              </w:rPr>
              <w:t>Pain with all motion.</w:t>
            </w:r>
          </w:p>
        </w:tc>
        <w:tc>
          <w:tcPr>
            <w:tcW w:w="2613" w:type="dxa"/>
            <w:vAlign w:val="center"/>
          </w:tcPr>
          <w:p w:rsidR="00E7497F" w:rsidRPr="003C53E8" w:rsidRDefault="00E7497F" w:rsidP="00E7497F">
            <w:pPr>
              <w:tabs>
                <w:tab w:val="left" w:pos="288"/>
                <w:tab w:val="left" w:pos="4752"/>
              </w:tabs>
              <w:rPr>
                <w:rFonts w:cs="Times New Roman"/>
                <w:color w:val="auto"/>
                <w:sz w:val="22"/>
              </w:rPr>
            </w:pPr>
            <w:r w:rsidRPr="003C53E8">
              <w:rPr>
                <w:rFonts w:cs="Times New Roman"/>
                <w:color w:val="auto"/>
                <w:sz w:val="22"/>
              </w:rPr>
              <w:t>Pain with all motion.</w:t>
            </w:r>
          </w:p>
        </w:tc>
      </w:tr>
      <w:tr w:rsidR="00E7497F" w:rsidRPr="00E7497F" w:rsidTr="00E7497F">
        <w:trPr>
          <w:trHeight w:val="70"/>
          <w:jc w:val="center"/>
        </w:trPr>
        <w:tc>
          <w:tcPr>
            <w:tcW w:w="2188" w:type="dxa"/>
            <w:vAlign w:val="center"/>
          </w:tcPr>
          <w:p w:rsidR="00E7497F" w:rsidRPr="00E7497F" w:rsidRDefault="00E7497F" w:rsidP="00E7497F">
            <w:pPr>
              <w:tabs>
                <w:tab w:val="left" w:pos="288"/>
                <w:tab w:val="left" w:pos="4752"/>
              </w:tabs>
              <w:rPr>
                <w:rFonts w:eastAsia="Cambria"/>
                <w:color w:val="auto"/>
                <w:sz w:val="22"/>
                <w:szCs w:val="22"/>
              </w:rPr>
            </w:pPr>
            <w:r w:rsidRPr="00E7497F">
              <w:rPr>
                <w:rFonts w:eastAsia="Cambria"/>
                <w:color w:val="auto"/>
                <w:sz w:val="22"/>
                <w:szCs w:val="22"/>
              </w:rPr>
              <w:t>§4.71a Rating</w:t>
            </w:r>
          </w:p>
        </w:tc>
        <w:tc>
          <w:tcPr>
            <w:tcW w:w="2093" w:type="dxa"/>
            <w:vAlign w:val="center"/>
          </w:tcPr>
          <w:p w:rsidR="00E7497F" w:rsidRPr="003C53E8" w:rsidRDefault="00E7497F" w:rsidP="00E7497F">
            <w:pPr>
              <w:tabs>
                <w:tab w:val="left" w:pos="288"/>
                <w:tab w:val="left" w:pos="4752"/>
              </w:tabs>
              <w:rPr>
                <w:rFonts w:cs="Times New Roman"/>
                <w:color w:val="auto"/>
                <w:sz w:val="22"/>
              </w:rPr>
            </w:pPr>
            <w:r w:rsidRPr="003C53E8">
              <w:rPr>
                <w:rFonts w:cs="Times New Roman"/>
                <w:color w:val="auto"/>
                <w:sz w:val="22"/>
              </w:rPr>
              <w:t>20%</w:t>
            </w:r>
          </w:p>
        </w:tc>
        <w:tc>
          <w:tcPr>
            <w:tcW w:w="2613" w:type="dxa"/>
            <w:vAlign w:val="center"/>
          </w:tcPr>
          <w:p w:rsidR="00E7497F" w:rsidRPr="003C53E8" w:rsidRDefault="00E7497F" w:rsidP="00E7497F">
            <w:pPr>
              <w:tabs>
                <w:tab w:val="left" w:pos="288"/>
                <w:tab w:val="left" w:pos="4752"/>
              </w:tabs>
              <w:rPr>
                <w:rFonts w:cs="Times New Roman"/>
                <w:color w:val="auto"/>
                <w:sz w:val="22"/>
              </w:rPr>
            </w:pPr>
            <w:r w:rsidRPr="003C53E8">
              <w:rPr>
                <w:rFonts w:cs="Times New Roman"/>
                <w:color w:val="auto"/>
                <w:sz w:val="22"/>
              </w:rPr>
              <w:t>20%</w:t>
            </w:r>
          </w:p>
        </w:tc>
      </w:tr>
    </w:tbl>
    <w:p w:rsidR="00155623" w:rsidRPr="003C53E8" w:rsidRDefault="00155623" w:rsidP="003C53E8">
      <w:pPr>
        <w:tabs>
          <w:tab w:val="left" w:pos="288"/>
          <w:tab w:val="left" w:pos="4752"/>
        </w:tabs>
        <w:jc w:val="left"/>
        <w:rPr>
          <w:rFonts w:cs="Times New Roman"/>
          <w:color w:val="auto"/>
        </w:rPr>
      </w:pPr>
      <w:r w:rsidRPr="003C53E8">
        <w:rPr>
          <w:rFonts w:cs="Times New Roman"/>
          <w:color w:val="auto"/>
          <w:sz w:val="18"/>
        </w:rPr>
        <w:tab/>
        <w:t xml:space="preserve">                       </w:t>
      </w:r>
    </w:p>
    <w:p w:rsidR="00155623" w:rsidRDefault="00155623">
      <w:pPr>
        <w:jc w:val="both"/>
        <w:rPr>
          <w:color w:val="auto"/>
        </w:rPr>
      </w:pPr>
      <w:r w:rsidRPr="008A28B2">
        <w:rPr>
          <w:color w:val="auto"/>
        </w:rPr>
        <w:t>At the MEB exam, the CI reported moderate occasional pain throughout the low back with numbness in his lower right extremity</w:t>
      </w:r>
      <w:r w:rsidR="009A35E3">
        <w:rPr>
          <w:color w:val="auto"/>
        </w:rPr>
        <w:t xml:space="preserve">; </w:t>
      </w:r>
      <w:r w:rsidRPr="008A28B2">
        <w:rPr>
          <w:color w:val="auto"/>
        </w:rPr>
        <w:t xml:space="preserve">aggravated by heavy lifting, running, and marching more than a quarter mile. </w:t>
      </w:r>
      <w:r w:rsidR="009A35E3">
        <w:rPr>
          <w:color w:val="auto"/>
        </w:rPr>
        <w:t xml:space="preserve"> The MEB examiner </w:t>
      </w:r>
      <w:r w:rsidR="009A35E3" w:rsidRPr="008A28B2">
        <w:rPr>
          <w:color w:val="auto"/>
        </w:rPr>
        <w:t xml:space="preserve">noted no </w:t>
      </w:r>
      <w:proofErr w:type="spellStart"/>
      <w:r w:rsidR="009A35E3" w:rsidRPr="008A28B2">
        <w:rPr>
          <w:color w:val="auto"/>
        </w:rPr>
        <w:t>radicular</w:t>
      </w:r>
      <w:proofErr w:type="spellEnd"/>
      <w:r w:rsidR="009A35E3" w:rsidRPr="008A28B2">
        <w:rPr>
          <w:color w:val="auto"/>
        </w:rPr>
        <w:t xml:space="preserve"> symptoms</w:t>
      </w:r>
      <w:r w:rsidR="009A35E3">
        <w:rPr>
          <w:color w:val="auto"/>
        </w:rPr>
        <w:t xml:space="preserve">, and identified no tenderness or other relevant spine findings; although, </w:t>
      </w:r>
      <w:r w:rsidR="00563000">
        <w:rPr>
          <w:color w:val="auto"/>
        </w:rPr>
        <w:t>his neurologic exam</w:t>
      </w:r>
      <w:r w:rsidR="009A35E3">
        <w:rPr>
          <w:color w:val="auto"/>
        </w:rPr>
        <w:t xml:space="preserve"> identified a mild </w:t>
      </w:r>
      <w:r w:rsidR="009A35E3">
        <w:rPr>
          <w:color w:val="000000"/>
          <w:szCs w:val="24"/>
        </w:rPr>
        <w:t>sensory deficit in the right distal L5/S1 dermatome</w:t>
      </w:r>
      <w:r w:rsidR="00563000">
        <w:rPr>
          <w:color w:val="000000"/>
          <w:szCs w:val="24"/>
        </w:rPr>
        <w:t>,</w:t>
      </w:r>
      <w:r w:rsidR="009A35E3">
        <w:rPr>
          <w:color w:val="000000"/>
          <w:szCs w:val="24"/>
        </w:rPr>
        <w:t xml:space="preserve"> and diminished right tendon reflexes</w:t>
      </w:r>
      <w:r w:rsidR="00563000">
        <w:rPr>
          <w:color w:val="000000"/>
          <w:szCs w:val="24"/>
        </w:rPr>
        <w:t>.</w:t>
      </w:r>
      <w:r w:rsidR="00FD77EC">
        <w:rPr>
          <w:color w:val="000000"/>
          <w:szCs w:val="24"/>
        </w:rPr>
        <w:t xml:space="preserve"> </w:t>
      </w:r>
      <w:r w:rsidR="00563000">
        <w:rPr>
          <w:color w:val="000000"/>
          <w:szCs w:val="24"/>
        </w:rPr>
        <w:t>S</w:t>
      </w:r>
      <w:r w:rsidR="00FD77EC">
        <w:rPr>
          <w:color w:val="000000"/>
          <w:szCs w:val="24"/>
        </w:rPr>
        <w:t xml:space="preserve">trength </w:t>
      </w:r>
      <w:r w:rsidR="00563000">
        <w:rPr>
          <w:color w:val="000000"/>
          <w:szCs w:val="24"/>
        </w:rPr>
        <w:t xml:space="preserve">testing </w:t>
      </w:r>
      <w:r w:rsidR="00FD77EC">
        <w:rPr>
          <w:color w:val="000000"/>
          <w:szCs w:val="24"/>
        </w:rPr>
        <w:t>was normal</w:t>
      </w:r>
      <w:r w:rsidR="00563000">
        <w:rPr>
          <w:color w:val="000000"/>
          <w:szCs w:val="24"/>
        </w:rPr>
        <w:t>, however</w:t>
      </w:r>
      <w:r w:rsidR="009A35E3">
        <w:rPr>
          <w:color w:val="000000"/>
          <w:szCs w:val="24"/>
        </w:rPr>
        <w:t xml:space="preserve">.  </w:t>
      </w:r>
      <w:r w:rsidRPr="008A28B2">
        <w:rPr>
          <w:color w:val="auto"/>
        </w:rPr>
        <w:t xml:space="preserve">At the VA Compensation &amp; Pension (C&amp;P) exam </w:t>
      </w:r>
      <w:r w:rsidR="00FD77EC">
        <w:rPr>
          <w:color w:val="auto"/>
        </w:rPr>
        <w:t>significantly remote from separation</w:t>
      </w:r>
      <w:r w:rsidRPr="008A28B2">
        <w:rPr>
          <w:color w:val="auto"/>
        </w:rPr>
        <w:t>, the CI reported daily pain but was not taking any medications</w:t>
      </w:r>
      <w:r>
        <w:rPr>
          <w:color w:val="auto"/>
        </w:rPr>
        <w:t xml:space="preserve"> due to liver problems</w:t>
      </w:r>
      <w:r w:rsidRPr="008A28B2">
        <w:rPr>
          <w:color w:val="auto"/>
        </w:rPr>
        <w:t xml:space="preserve">. </w:t>
      </w:r>
      <w:r w:rsidR="00FD77EC">
        <w:rPr>
          <w:color w:val="auto"/>
        </w:rPr>
        <w:t xml:space="preserve"> </w:t>
      </w:r>
      <w:r w:rsidRPr="008A28B2">
        <w:rPr>
          <w:color w:val="auto"/>
        </w:rPr>
        <w:t xml:space="preserve">He could walk a half-mile, sit for 15 minutes or stand for </w:t>
      </w:r>
      <w:r w:rsidR="00D801F6">
        <w:rPr>
          <w:color w:val="auto"/>
        </w:rPr>
        <w:lastRenderedPageBreak/>
        <w:t>five</w:t>
      </w:r>
      <w:r w:rsidRPr="008A28B2">
        <w:rPr>
          <w:color w:val="auto"/>
        </w:rPr>
        <w:t xml:space="preserve"> minutes before experiencing pain.</w:t>
      </w:r>
      <w:r w:rsidR="00FD77EC">
        <w:rPr>
          <w:color w:val="auto"/>
        </w:rPr>
        <w:t xml:space="preserve"> </w:t>
      </w:r>
      <w:r w:rsidRPr="008A28B2">
        <w:rPr>
          <w:color w:val="auto"/>
        </w:rPr>
        <w:t xml:space="preserve"> Numbness in the right lower extremity was also noted. </w:t>
      </w:r>
      <w:r w:rsidR="00FD77EC">
        <w:rPr>
          <w:color w:val="auto"/>
        </w:rPr>
        <w:t xml:space="preserve"> </w:t>
      </w:r>
      <w:r w:rsidR="00FD77EC" w:rsidRPr="00FD77EC">
        <w:rPr>
          <w:color w:val="auto"/>
        </w:rPr>
        <w:t xml:space="preserve">The </w:t>
      </w:r>
      <w:r w:rsidR="00FD77EC">
        <w:rPr>
          <w:color w:val="auto"/>
        </w:rPr>
        <w:t xml:space="preserve">VA examiner noted a normal gait; and, the only neurologic finding was diminished sensation of the right heel; motor strength and reflexes were normal.  </w:t>
      </w:r>
    </w:p>
    <w:p w:rsidR="00FD77EC" w:rsidRPr="0019638E" w:rsidRDefault="00FD77EC">
      <w:pPr>
        <w:jc w:val="both"/>
        <w:rPr>
          <w:color w:val="auto"/>
          <w:highlight w:val="green"/>
        </w:rPr>
      </w:pPr>
    </w:p>
    <w:p w:rsidR="00FD77EC" w:rsidRDefault="00155623" w:rsidP="00FD77EC">
      <w:pPr>
        <w:tabs>
          <w:tab w:val="left" w:pos="288"/>
          <w:tab w:val="left" w:pos="4752"/>
        </w:tabs>
        <w:jc w:val="both"/>
        <w:rPr>
          <w:rFonts w:cs="Times New Roman"/>
          <w:color w:val="auto"/>
        </w:rPr>
      </w:pPr>
      <w:r w:rsidRPr="008A28B2">
        <w:rPr>
          <w:rFonts w:cs="Times New Roman"/>
          <w:color w:val="auto"/>
        </w:rPr>
        <w:t>The Board directs attenti</w:t>
      </w:r>
      <w:r w:rsidR="00FD77EC">
        <w:rPr>
          <w:rFonts w:cs="Times New Roman"/>
          <w:color w:val="auto"/>
        </w:rPr>
        <w:t xml:space="preserve">on to its rating recommendation based on the above evidence. </w:t>
      </w:r>
      <w:r w:rsidRPr="008A28B2">
        <w:rPr>
          <w:rFonts w:cs="Times New Roman"/>
          <w:color w:val="auto"/>
        </w:rPr>
        <w:t xml:space="preserve"> </w:t>
      </w:r>
      <w:r w:rsidR="00FD77EC">
        <w:rPr>
          <w:rFonts w:cs="Times New Roman"/>
          <w:color w:val="auto"/>
        </w:rPr>
        <w:t xml:space="preserve"> Although there are no relevant differences in the ratable parameters between the MEB and VA exams, it was agreed that the MEB evidence was most probative for its proximity to the date of separation.  </w:t>
      </w:r>
      <w:r w:rsidR="00FD77EC" w:rsidRPr="003C53E8">
        <w:rPr>
          <w:rFonts w:cs="Times New Roman"/>
          <w:color w:val="auto"/>
        </w:rPr>
        <w:t xml:space="preserve">The PEB and VA both </w:t>
      </w:r>
      <w:r w:rsidR="00FD77EC">
        <w:rPr>
          <w:rFonts w:cs="Times New Roman"/>
          <w:color w:val="auto"/>
        </w:rPr>
        <w:t xml:space="preserve">applied the code </w:t>
      </w:r>
      <w:r w:rsidR="00FD77EC" w:rsidRPr="003C53E8">
        <w:rPr>
          <w:rFonts w:cs="Times New Roman"/>
          <w:color w:val="auto"/>
        </w:rPr>
        <w:t>5242 (degenerative arthritis of the spine)</w:t>
      </w:r>
      <w:r w:rsidR="00FD77EC">
        <w:rPr>
          <w:rFonts w:cs="Times New Roman"/>
          <w:color w:val="auto"/>
        </w:rPr>
        <w:t xml:space="preserve">, which is </w:t>
      </w:r>
      <w:r w:rsidR="00AA4893">
        <w:rPr>
          <w:rFonts w:cs="Times New Roman"/>
          <w:color w:val="auto"/>
        </w:rPr>
        <w:t>appropriate to the diagnosis</w:t>
      </w:r>
      <w:r w:rsidR="00FD77EC" w:rsidRPr="003C53E8">
        <w:rPr>
          <w:rFonts w:cs="Times New Roman"/>
          <w:color w:val="auto"/>
        </w:rPr>
        <w:t xml:space="preserve">. </w:t>
      </w:r>
      <w:r w:rsidR="00FD77EC">
        <w:rPr>
          <w:rFonts w:cs="Times New Roman"/>
          <w:color w:val="auto"/>
        </w:rPr>
        <w:t xml:space="preserve"> The PEB’s </w:t>
      </w:r>
      <w:r w:rsidR="00E4756E">
        <w:rPr>
          <w:rFonts w:cs="Times New Roman"/>
          <w:color w:val="auto"/>
        </w:rPr>
        <w:t xml:space="preserve">0% rating, derived from the </w:t>
      </w:r>
      <w:r w:rsidR="00FD77EC">
        <w:rPr>
          <w:rFonts w:cs="Times New Roman"/>
          <w:color w:val="auto"/>
        </w:rPr>
        <w:t>USAPDA pain policy</w:t>
      </w:r>
      <w:r w:rsidR="00E4756E">
        <w:rPr>
          <w:rFonts w:cs="Times New Roman"/>
          <w:color w:val="auto"/>
        </w:rPr>
        <w:t>,</w:t>
      </w:r>
      <w:r w:rsidR="00FD77EC">
        <w:rPr>
          <w:rFonts w:cs="Times New Roman"/>
          <w:color w:val="auto"/>
        </w:rPr>
        <w:t xml:space="preserve"> is not compliant with VASRD </w:t>
      </w:r>
      <w:r w:rsidR="00FD77EC" w:rsidRPr="00FD77EC">
        <w:rPr>
          <w:rFonts w:cs="Times New Roman"/>
          <w:color w:val="auto"/>
        </w:rPr>
        <w:t>§4.</w:t>
      </w:r>
      <w:r w:rsidR="00FD77EC">
        <w:rPr>
          <w:rFonts w:cs="Times New Roman"/>
          <w:color w:val="auto"/>
        </w:rPr>
        <w:t xml:space="preserve">71a criteria.  The ROM measurements by both the MEB and VA are consistent with a 20% rating IAW </w:t>
      </w:r>
      <w:r w:rsidR="00FD77EC" w:rsidRPr="00FD77EC">
        <w:rPr>
          <w:rFonts w:cs="Times New Roman"/>
          <w:color w:val="auto"/>
        </w:rPr>
        <w:t>§4.</w:t>
      </w:r>
      <w:r w:rsidR="00FD77EC">
        <w:rPr>
          <w:rFonts w:cs="Times New Roman"/>
          <w:color w:val="auto"/>
        </w:rPr>
        <w:t xml:space="preserve">71a.  </w:t>
      </w:r>
      <w:r w:rsidR="00AA4893" w:rsidRPr="00AA4893">
        <w:rPr>
          <w:rFonts w:cs="Times New Roman"/>
          <w:color w:val="auto"/>
        </w:rPr>
        <w:t xml:space="preserve">The Board considered whether additional </w:t>
      </w:r>
      <w:r w:rsidR="00305EB1">
        <w:rPr>
          <w:rFonts w:cs="Times New Roman"/>
          <w:color w:val="auto"/>
        </w:rPr>
        <w:t>s</w:t>
      </w:r>
      <w:r w:rsidR="00AA4893" w:rsidRPr="00AA4893">
        <w:rPr>
          <w:rFonts w:cs="Times New Roman"/>
          <w:color w:val="auto"/>
        </w:rPr>
        <w:t>ervice rating could be recommended</w:t>
      </w:r>
      <w:r w:rsidR="00AA4893">
        <w:rPr>
          <w:rFonts w:cs="Times New Roman"/>
          <w:color w:val="auto"/>
        </w:rPr>
        <w:t xml:space="preserve"> under a peripheral nerve code </w:t>
      </w:r>
      <w:r w:rsidR="00AA4893" w:rsidRPr="00AA4893">
        <w:rPr>
          <w:rFonts w:cs="Times New Roman"/>
          <w:color w:val="auto"/>
        </w:rPr>
        <w:t xml:space="preserve">for the residual sciatic </w:t>
      </w:r>
      <w:proofErr w:type="spellStart"/>
      <w:r w:rsidR="00AA4893" w:rsidRPr="00AA4893">
        <w:rPr>
          <w:rFonts w:cs="Times New Roman"/>
          <w:color w:val="auto"/>
        </w:rPr>
        <w:t>radiculopathy</w:t>
      </w:r>
      <w:proofErr w:type="spellEnd"/>
      <w:r w:rsidR="00AA4893" w:rsidRPr="00AA4893">
        <w:rPr>
          <w:rFonts w:cs="Times New Roman"/>
          <w:color w:val="auto"/>
        </w:rPr>
        <w:t xml:space="preserve"> at separation.  Firm Board precedent requires a functional impairment tied to fitness is required to support a recommendation for addition o</w:t>
      </w:r>
      <w:r w:rsidR="00305EB1">
        <w:rPr>
          <w:rFonts w:cs="Times New Roman"/>
          <w:color w:val="auto"/>
        </w:rPr>
        <w:t>f a peripheral nerve rating to s</w:t>
      </w:r>
      <w:r w:rsidR="00AA4893" w:rsidRPr="00AA4893">
        <w:rPr>
          <w:rFonts w:cs="Times New Roman"/>
          <w:color w:val="auto"/>
        </w:rPr>
        <w:t>ervice disability in spine cases.</w:t>
      </w:r>
      <w:r w:rsidR="00AA4893">
        <w:rPr>
          <w:rFonts w:cs="Times New Roman"/>
          <w:color w:val="auto"/>
        </w:rPr>
        <w:t xml:space="preserve"> </w:t>
      </w:r>
      <w:r w:rsidR="00AA4893" w:rsidRPr="00AA4893">
        <w:rPr>
          <w:rFonts w:cs="Times New Roman"/>
          <w:color w:val="auto"/>
        </w:rPr>
        <w:t xml:space="preserve"> The pain component of a </w:t>
      </w:r>
      <w:proofErr w:type="spellStart"/>
      <w:r w:rsidR="00AA4893" w:rsidRPr="00AA4893">
        <w:rPr>
          <w:rFonts w:cs="Times New Roman"/>
          <w:color w:val="auto"/>
        </w:rPr>
        <w:t>radiculopathy</w:t>
      </w:r>
      <w:proofErr w:type="spellEnd"/>
      <w:r w:rsidR="00AA4893" w:rsidRPr="00AA4893">
        <w:rPr>
          <w:rFonts w:cs="Times New Roman"/>
          <w:color w:val="auto"/>
        </w:rPr>
        <w:t xml:space="preserve"> is subsumed under the general spine rating as specified in §4.71a.  The sensory component in this case has no functional implications</w:t>
      </w:r>
      <w:r w:rsidR="00AA4893">
        <w:rPr>
          <w:rFonts w:cs="Times New Roman"/>
          <w:color w:val="auto"/>
        </w:rPr>
        <w:t>; and no motor weakness was in evidence</w:t>
      </w:r>
      <w:r w:rsidR="00AA4893" w:rsidRPr="00AA4893">
        <w:rPr>
          <w:rFonts w:cs="Times New Roman"/>
          <w:color w:val="auto"/>
        </w:rPr>
        <w:t>.  Since no evidence of functional impairment exists in this case, the Board cannot support a recommendation for additional rating based on peripheral nerve impairment.</w:t>
      </w:r>
      <w:r w:rsidR="00AA4893">
        <w:rPr>
          <w:rFonts w:cs="Times New Roman"/>
          <w:color w:val="auto"/>
        </w:rPr>
        <w:t xml:space="preserve">  </w:t>
      </w:r>
      <w:r w:rsidR="00FD77EC" w:rsidRPr="003C53E8">
        <w:rPr>
          <w:rFonts w:cs="Times New Roman"/>
          <w:color w:val="auto"/>
        </w:rPr>
        <w:t>There was no documentation of incapacitating episodes which would provide for higher rating.</w:t>
      </w:r>
      <w:r w:rsidR="00FD77EC">
        <w:rPr>
          <w:rFonts w:cs="Times New Roman"/>
          <w:color w:val="auto"/>
        </w:rPr>
        <w:t xml:space="preserve">  </w:t>
      </w:r>
      <w:r w:rsidR="00FD77EC" w:rsidRPr="00151BF6">
        <w:rPr>
          <w:rFonts w:cs="Times New Roman"/>
          <w:color w:val="auto"/>
        </w:rPr>
        <w:t xml:space="preserve">After due deliberation, considering all of the evidence and mindful of VASRD §4.3 (reasonable doubt), the Board recommends a separation rating of </w:t>
      </w:r>
      <w:r w:rsidR="00FD77EC">
        <w:rPr>
          <w:rFonts w:cs="Times New Roman"/>
          <w:color w:val="auto"/>
        </w:rPr>
        <w:t>2</w:t>
      </w:r>
      <w:r w:rsidR="00FD77EC" w:rsidRPr="00151BF6">
        <w:rPr>
          <w:rFonts w:cs="Times New Roman"/>
          <w:color w:val="auto"/>
        </w:rPr>
        <w:t xml:space="preserve">0% for the </w:t>
      </w:r>
      <w:r w:rsidR="00FD77EC">
        <w:rPr>
          <w:rFonts w:cs="Times New Roman"/>
          <w:color w:val="auto"/>
        </w:rPr>
        <w:t>lumbar spine</w:t>
      </w:r>
      <w:r w:rsidR="00FD77EC" w:rsidRPr="00151BF6">
        <w:rPr>
          <w:rFonts w:cs="Times New Roman"/>
          <w:color w:val="auto"/>
        </w:rPr>
        <w:t xml:space="preserve"> condition.</w:t>
      </w:r>
    </w:p>
    <w:p w:rsidR="00155623" w:rsidRPr="0042770B" w:rsidRDefault="00155623" w:rsidP="00BF0E94">
      <w:pPr>
        <w:jc w:val="left"/>
        <w:rPr>
          <w:color w:val="000000"/>
          <w:u w:val="single"/>
        </w:rPr>
      </w:pPr>
    </w:p>
    <w:p w:rsidR="00BA32AA" w:rsidRPr="001F29F9" w:rsidRDefault="00155623" w:rsidP="00BA32AA">
      <w:pPr>
        <w:tabs>
          <w:tab w:val="left" w:pos="288"/>
          <w:tab w:val="left" w:pos="4752"/>
        </w:tabs>
        <w:jc w:val="both"/>
        <w:rPr>
          <w:color w:val="000000"/>
        </w:rPr>
      </w:pPr>
      <w:proofErr w:type="gramStart"/>
      <w:r w:rsidRPr="001F29F9">
        <w:rPr>
          <w:rFonts w:eastAsia="HiddenHorzOCR"/>
          <w:color w:val="000000"/>
          <w:u w:val="single"/>
        </w:rPr>
        <w:t>Other Contended Conditions</w:t>
      </w:r>
      <w:r w:rsidRPr="001F29F9">
        <w:rPr>
          <w:rFonts w:eastAsia="HiddenHorzOCR"/>
          <w:color w:val="000000"/>
        </w:rPr>
        <w:t>.</w:t>
      </w:r>
      <w:proofErr w:type="gramEnd"/>
      <w:r w:rsidRPr="001F29F9">
        <w:rPr>
          <w:rFonts w:eastAsia="HiddenHorzOCR"/>
          <w:color w:val="000000"/>
        </w:rPr>
        <w:t xml:space="preserve"> </w:t>
      </w:r>
      <w:r w:rsidR="00FD77EC">
        <w:rPr>
          <w:rFonts w:eastAsia="HiddenHorzOCR"/>
          <w:color w:val="000000"/>
        </w:rPr>
        <w:t xml:space="preserve"> </w:t>
      </w:r>
      <w:r w:rsidRPr="001F29F9">
        <w:rPr>
          <w:rFonts w:eastAsia="HiddenHorzOCR"/>
          <w:color w:val="000000"/>
        </w:rPr>
        <w:t>The CI’s application asserts that compensable ratings should be considered for anxiety disorder, irritable bowel syndrome</w:t>
      </w:r>
      <w:r w:rsidR="00BA32AA">
        <w:rPr>
          <w:rFonts w:eastAsia="HiddenHorzOCR"/>
          <w:color w:val="000000"/>
        </w:rPr>
        <w:t xml:space="preserve"> (IBS)</w:t>
      </w:r>
      <w:r w:rsidRPr="001F29F9">
        <w:rPr>
          <w:rFonts w:eastAsia="HiddenHorzOCR"/>
          <w:color w:val="000000"/>
        </w:rPr>
        <w:t xml:space="preserve">, </w:t>
      </w:r>
      <w:r w:rsidR="00A52D88">
        <w:rPr>
          <w:rFonts w:eastAsia="HiddenHorzOCR"/>
          <w:color w:val="000000"/>
        </w:rPr>
        <w:t>and knee pain</w:t>
      </w:r>
      <w:r w:rsidRPr="001F29F9">
        <w:rPr>
          <w:rFonts w:eastAsia="HiddenHorzOCR"/>
          <w:color w:val="000000"/>
        </w:rPr>
        <w:t xml:space="preserve">. </w:t>
      </w:r>
      <w:r w:rsidR="00A52D88">
        <w:rPr>
          <w:rFonts w:eastAsia="HiddenHorzOCR"/>
          <w:color w:val="000000"/>
        </w:rPr>
        <w:t xml:space="preserve"> In 2005 the CI received a command referral for mental health evaluation for “a pattern of anger management problems, paranoia and threatening speech</w:t>
      </w:r>
      <w:r w:rsidR="00305EB1">
        <w:rPr>
          <w:rFonts w:eastAsia="HiddenHorzOCR"/>
          <w:color w:val="000000"/>
        </w:rPr>
        <w:t>.</w:t>
      </w:r>
      <w:r w:rsidR="00A52D88">
        <w:rPr>
          <w:rFonts w:eastAsia="HiddenHorzOCR"/>
          <w:color w:val="000000"/>
        </w:rPr>
        <w:t xml:space="preserve">”  The outcome of this evaluation is not evidenced in the available records, but concurrent and subsequent performance evaluations do not reflect any active issues along behavioral lines.  </w:t>
      </w:r>
      <w:r w:rsidR="00BA32AA">
        <w:rPr>
          <w:rFonts w:eastAsia="HiddenHorzOCR"/>
          <w:color w:val="000000"/>
        </w:rPr>
        <w:t xml:space="preserve">A history of anxiety and past counseling was noted by the CI on the MEB physical, but there are no mental health encounters in evidence during the MEB period; and only analgesics for the back pain were listed </w:t>
      </w:r>
      <w:r w:rsidR="00E4756E">
        <w:rPr>
          <w:rFonts w:eastAsia="HiddenHorzOCR"/>
          <w:color w:val="000000"/>
        </w:rPr>
        <w:t>as</w:t>
      </w:r>
      <w:r w:rsidR="00BA32AA">
        <w:rPr>
          <w:rFonts w:eastAsia="HiddenHorzOCR"/>
          <w:color w:val="000000"/>
        </w:rPr>
        <w:t xml:space="preserve"> medications at discharge.  Neither the IBS nor the knee problem was clinically active during the MEB period.  </w:t>
      </w:r>
      <w:r w:rsidR="00BA32AA" w:rsidRPr="007C74D7">
        <w:rPr>
          <w:color w:val="000000"/>
        </w:rPr>
        <w:t xml:space="preserve">None of these conditions were profiled, implicated in the commander’s statement or noted as failing retention standards.  All </w:t>
      </w:r>
      <w:r w:rsidR="00E4756E">
        <w:rPr>
          <w:color w:val="000000"/>
        </w:rPr>
        <w:t xml:space="preserve">three conditions </w:t>
      </w:r>
      <w:r w:rsidR="00305EB1">
        <w:rPr>
          <w:color w:val="000000"/>
        </w:rPr>
        <w:t>were reviewed by the action o</w:t>
      </w:r>
      <w:r w:rsidR="00BA32AA" w:rsidRPr="007C74D7">
        <w:rPr>
          <w:color w:val="000000"/>
        </w:rPr>
        <w:t xml:space="preserve">fficer and considered by the Board.  </w:t>
      </w:r>
      <w:r w:rsidR="00BA32AA" w:rsidRPr="001F29F9">
        <w:rPr>
          <w:color w:val="000000"/>
        </w:rPr>
        <w:t xml:space="preserve">There was no evidence for concluding that any of </w:t>
      </w:r>
      <w:r w:rsidR="00E4756E">
        <w:rPr>
          <w:color w:val="000000"/>
        </w:rPr>
        <w:t>them</w:t>
      </w:r>
      <w:r w:rsidR="00BA32AA" w:rsidRPr="001F29F9">
        <w:rPr>
          <w:color w:val="000000"/>
        </w:rPr>
        <w:t xml:space="preserve"> interfered with duty performance to a degree that could be argued as unfitting.</w:t>
      </w:r>
      <w:r w:rsidR="00E4756E">
        <w:rPr>
          <w:color w:val="000000"/>
        </w:rPr>
        <w:t xml:space="preserve"> </w:t>
      </w:r>
      <w:r w:rsidR="00BA32AA" w:rsidRPr="001F29F9">
        <w:rPr>
          <w:color w:val="000000"/>
        </w:rPr>
        <w:t xml:space="preserve"> The Board determined therefore that none of the sta</w:t>
      </w:r>
      <w:r w:rsidR="00305EB1">
        <w:rPr>
          <w:color w:val="000000"/>
        </w:rPr>
        <w:t>ted conditions were subject to s</w:t>
      </w:r>
      <w:r w:rsidR="00BA32AA" w:rsidRPr="001F29F9">
        <w:rPr>
          <w:color w:val="000000"/>
        </w:rPr>
        <w:t>ervice disability rating.</w:t>
      </w:r>
    </w:p>
    <w:p w:rsidR="00155623" w:rsidRPr="001F29F9" w:rsidRDefault="00155623" w:rsidP="0019638E">
      <w:pPr>
        <w:jc w:val="both"/>
        <w:rPr>
          <w:color w:val="000000"/>
        </w:rPr>
      </w:pPr>
    </w:p>
    <w:p w:rsidR="00155623" w:rsidRPr="001F29F9" w:rsidRDefault="00155623" w:rsidP="00A02AA8">
      <w:pPr>
        <w:jc w:val="both"/>
        <w:rPr>
          <w:color w:val="000000"/>
        </w:rPr>
      </w:pPr>
      <w:proofErr w:type="gramStart"/>
      <w:r w:rsidRPr="0019638E">
        <w:rPr>
          <w:color w:val="000000"/>
          <w:u w:val="single"/>
        </w:rPr>
        <w:t>Remaining Conditions</w:t>
      </w:r>
      <w:r w:rsidRPr="00FD77EC">
        <w:rPr>
          <w:color w:val="000000"/>
        </w:rPr>
        <w:t>.</w:t>
      </w:r>
      <w:proofErr w:type="gramEnd"/>
      <w:r w:rsidRPr="0019638E">
        <w:rPr>
          <w:color w:val="000000"/>
        </w:rPr>
        <w:t xml:space="preserve"> </w:t>
      </w:r>
      <w:r w:rsidR="00BA32AA">
        <w:rPr>
          <w:color w:val="000000"/>
        </w:rPr>
        <w:t xml:space="preserve"> </w:t>
      </w:r>
      <w:r w:rsidRPr="0019638E">
        <w:rPr>
          <w:color w:val="000000"/>
        </w:rPr>
        <w:t>Other</w:t>
      </w:r>
      <w:r w:rsidRPr="00806F1E">
        <w:rPr>
          <w:color w:val="000000"/>
        </w:rPr>
        <w:t xml:space="preserve"> conditions identified in the DES file were headaches, heartburn, insomnia, psoriasis, and lower jaw pain.</w:t>
      </w:r>
      <w:r w:rsidR="00BA32AA">
        <w:rPr>
          <w:color w:val="000000"/>
        </w:rPr>
        <w:t xml:space="preserve"> </w:t>
      </w:r>
      <w:r w:rsidRPr="00806F1E">
        <w:rPr>
          <w:color w:val="000000"/>
        </w:rPr>
        <w:t xml:space="preserve"> Several additional non-acute conditions or medical complaints were also documented.</w:t>
      </w:r>
      <w:r w:rsidR="00E4756E">
        <w:rPr>
          <w:color w:val="000000"/>
        </w:rPr>
        <w:t xml:space="preserve"> </w:t>
      </w:r>
      <w:r w:rsidRPr="00806F1E">
        <w:rPr>
          <w:color w:val="000000"/>
        </w:rPr>
        <w:t xml:space="preserve"> None of these conditions were significantly clinically or occupational</w:t>
      </w:r>
      <w:r w:rsidR="00BA32AA">
        <w:rPr>
          <w:color w:val="000000"/>
        </w:rPr>
        <w:t>ly active during the MEB period; none carried attached profiles;</w:t>
      </w:r>
      <w:r w:rsidRPr="00806F1E">
        <w:rPr>
          <w:color w:val="000000"/>
        </w:rPr>
        <w:t xml:space="preserve"> and</w:t>
      </w:r>
      <w:r w:rsidR="00E4756E">
        <w:rPr>
          <w:color w:val="000000"/>
        </w:rPr>
        <w:t>,</w:t>
      </w:r>
      <w:r w:rsidRPr="00806F1E">
        <w:rPr>
          <w:color w:val="000000"/>
        </w:rPr>
        <w:t xml:space="preserve"> none were implicated in the commander’s statement.</w:t>
      </w:r>
      <w:r w:rsidR="00E4756E">
        <w:rPr>
          <w:color w:val="000000"/>
        </w:rPr>
        <w:t xml:space="preserve"> </w:t>
      </w:r>
      <w:r w:rsidRPr="00806F1E">
        <w:rPr>
          <w:color w:val="000000"/>
        </w:rPr>
        <w:t xml:space="preserve"> These conditions were reviewed by the </w:t>
      </w:r>
      <w:r w:rsidR="00305EB1">
        <w:rPr>
          <w:color w:val="000000"/>
        </w:rPr>
        <w:t>a</w:t>
      </w:r>
      <w:r w:rsidR="00BA32AA" w:rsidRPr="00806F1E">
        <w:rPr>
          <w:color w:val="000000"/>
        </w:rPr>
        <w:t xml:space="preserve">ction </w:t>
      </w:r>
      <w:r w:rsidR="00305EB1">
        <w:rPr>
          <w:color w:val="000000"/>
        </w:rPr>
        <w:t>o</w:t>
      </w:r>
      <w:r w:rsidR="00BA32AA" w:rsidRPr="00806F1E">
        <w:rPr>
          <w:color w:val="000000"/>
        </w:rPr>
        <w:t xml:space="preserve">fficer </w:t>
      </w:r>
      <w:r w:rsidRPr="00806F1E">
        <w:rPr>
          <w:color w:val="000000"/>
        </w:rPr>
        <w:t xml:space="preserve">and considered by the Board.  It was determined that none could be argued as unfitting and subject to separation rating. </w:t>
      </w:r>
      <w:r w:rsidR="00E4756E">
        <w:rPr>
          <w:color w:val="000000"/>
        </w:rPr>
        <w:t xml:space="preserve"> </w:t>
      </w:r>
      <w:r w:rsidRPr="00806F1E">
        <w:rPr>
          <w:color w:val="000000"/>
        </w:rPr>
        <w:t xml:space="preserve">The Board therefore has no reasonable basis for recommending any additional unfitting conditions for </w:t>
      </w:r>
      <w:r w:rsidR="00305EB1">
        <w:rPr>
          <w:color w:val="000000"/>
        </w:rPr>
        <w:t>s</w:t>
      </w:r>
      <w:r w:rsidR="00E4756E" w:rsidRPr="001F29F9">
        <w:rPr>
          <w:color w:val="000000"/>
        </w:rPr>
        <w:t xml:space="preserve">ervice disability </w:t>
      </w:r>
      <w:r w:rsidRPr="00806F1E">
        <w:rPr>
          <w:color w:val="000000"/>
        </w:rPr>
        <w:t>rating.</w:t>
      </w:r>
    </w:p>
    <w:p w:rsidR="00155623" w:rsidRPr="001F29F9" w:rsidRDefault="00155623" w:rsidP="00BF0E94">
      <w:pPr>
        <w:pBdr>
          <w:bottom w:val="single" w:sz="12" w:space="1" w:color="auto"/>
        </w:pBdr>
        <w:tabs>
          <w:tab w:val="left" w:pos="288"/>
          <w:tab w:val="left" w:pos="4752"/>
        </w:tabs>
        <w:jc w:val="both"/>
        <w:rPr>
          <w:color w:val="000000"/>
        </w:rPr>
      </w:pPr>
    </w:p>
    <w:p w:rsidR="00155623" w:rsidRPr="001F29F9" w:rsidRDefault="00155623" w:rsidP="006364ED">
      <w:pPr>
        <w:jc w:val="left"/>
        <w:rPr>
          <w:color w:val="000000"/>
        </w:rPr>
      </w:pPr>
    </w:p>
    <w:p w:rsidR="00155623" w:rsidRPr="003C53E8" w:rsidRDefault="00155623" w:rsidP="00806F1E">
      <w:pPr>
        <w:jc w:val="both"/>
        <w:rPr>
          <w:rFonts w:cs="Times New Roman"/>
          <w:color w:val="auto"/>
        </w:rPr>
      </w:pPr>
      <w:r w:rsidRPr="0019638E">
        <w:rPr>
          <w:color w:val="000000"/>
          <w:u w:val="single"/>
        </w:rPr>
        <w:t>BOARD FINDINGS</w:t>
      </w:r>
      <w:r w:rsidRPr="0019638E">
        <w:rPr>
          <w:color w:val="000000"/>
        </w:rPr>
        <w:t>:</w:t>
      </w:r>
      <w:r w:rsidRPr="00806F1E">
        <w:rPr>
          <w:color w:val="000000"/>
        </w:rPr>
        <w:t xml:space="preserve"> IAW </w:t>
      </w:r>
      <w:proofErr w:type="spellStart"/>
      <w:r w:rsidRPr="00806F1E">
        <w:rPr>
          <w:color w:val="000000"/>
        </w:rPr>
        <w:t>DoDI</w:t>
      </w:r>
      <w:proofErr w:type="spellEnd"/>
      <w:r w:rsidRPr="00806F1E">
        <w:rPr>
          <w:color w:val="000000"/>
        </w:rPr>
        <w:t xml:space="preserve"> 6040.44, provisions of </w:t>
      </w:r>
      <w:proofErr w:type="spellStart"/>
      <w:r w:rsidRPr="00806F1E">
        <w:rPr>
          <w:color w:val="000000"/>
        </w:rPr>
        <w:t>DoD</w:t>
      </w:r>
      <w:proofErr w:type="spellEnd"/>
      <w:r w:rsidRPr="00806F1E">
        <w:rPr>
          <w:color w:val="000000"/>
        </w:rPr>
        <w:t xml:space="preserve"> or Military Department regulations or guidelines relied upon by the PEB will not be considered by the Board to the extent they were inconsistent with the VASRD in effect at the time of </w:t>
      </w:r>
      <w:r w:rsidRPr="0019638E">
        <w:rPr>
          <w:color w:val="auto"/>
        </w:rPr>
        <w:t>the adjudication</w:t>
      </w:r>
      <w:r w:rsidRPr="0019638E">
        <w:rPr>
          <w:rFonts w:cs="Times New Roman"/>
          <w:color w:val="auto"/>
        </w:rPr>
        <w:t xml:space="preserve">. </w:t>
      </w:r>
      <w:r w:rsidR="00BA32AA">
        <w:rPr>
          <w:rFonts w:cs="Times New Roman"/>
          <w:color w:val="auto"/>
        </w:rPr>
        <w:t xml:space="preserve"> </w:t>
      </w:r>
      <w:r w:rsidR="00BA32AA" w:rsidRPr="00BA32AA">
        <w:rPr>
          <w:rFonts w:cs="Times New Roman"/>
          <w:color w:val="auto"/>
        </w:rPr>
        <w:t xml:space="preserve">As discussed above, PEB reliance on the USAPDA pain policy for rating </w:t>
      </w:r>
      <w:r w:rsidR="00BA32AA">
        <w:rPr>
          <w:rFonts w:cs="Times New Roman"/>
          <w:color w:val="auto"/>
        </w:rPr>
        <w:t>the lumbar spine condition</w:t>
      </w:r>
      <w:r w:rsidR="00BA32AA" w:rsidRPr="00BA32AA">
        <w:rPr>
          <w:rFonts w:cs="Times New Roman"/>
          <w:color w:val="auto"/>
        </w:rPr>
        <w:t xml:space="preserve"> was operant in this case and the condition was adjudicated independently of that policy by the Boa</w:t>
      </w:r>
      <w:r w:rsidR="00BA32AA">
        <w:rPr>
          <w:rFonts w:cs="Times New Roman"/>
          <w:color w:val="auto"/>
        </w:rPr>
        <w:t xml:space="preserve">rd.  </w:t>
      </w:r>
      <w:r w:rsidRPr="0019638E">
        <w:rPr>
          <w:rFonts w:cs="Times New Roman"/>
          <w:color w:val="auto"/>
        </w:rPr>
        <w:t xml:space="preserve">In the </w:t>
      </w:r>
      <w:r w:rsidRPr="0019638E">
        <w:rPr>
          <w:rFonts w:cs="Times New Roman"/>
          <w:color w:val="auto"/>
        </w:rPr>
        <w:lastRenderedPageBreak/>
        <w:t xml:space="preserve">matter of the </w:t>
      </w:r>
      <w:r w:rsidR="00BA32AA">
        <w:rPr>
          <w:rFonts w:cs="Times New Roman"/>
          <w:color w:val="auto"/>
        </w:rPr>
        <w:t xml:space="preserve">lumbar spine </w:t>
      </w:r>
      <w:r w:rsidRPr="0019638E">
        <w:rPr>
          <w:rFonts w:cs="Times New Roman"/>
          <w:color w:val="auto"/>
        </w:rPr>
        <w:t xml:space="preserve">condition, the Board unanimously recommends a rating of 20% coded 5299-5242 IAW VASRD §4.71a. </w:t>
      </w:r>
      <w:r w:rsidR="00BA32AA">
        <w:rPr>
          <w:rFonts w:cs="Times New Roman"/>
          <w:color w:val="auto"/>
        </w:rPr>
        <w:t xml:space="preserve"> </w:t>
      </w:r>
      <w:r w:rsidRPr="0019638E">
        <w:rPr>
          <w:rFonts w:cs="Times New Roman"/>
          <w:color w:val="auto"/>
        </w:rPr>
        <w:t xml:space="preserve">In the matter of the </w:t>
      </w:r>
      <w:r w:rsidR="00BA32AA">
        <w:rPr>
          <w:rFonts w:cs="Times New Roman"/>
          <w:color w:val="auto"/>
        </w:rPr>
        <w:t xml:space="preserve">contended </w:t>
      </w:r>
      <w:r w:rsidR="00273E39" w:rsidRPr="001F29F9">
        <w:rPr>
          <w:rFonts w:eastAsia="HiddenHorzOCR"/>
          <w:color w:val="000000"/>
        </w:rPr>
        <w:t xml:space="preserve">anxiety disorder, irritable bowel syndrome, </w:t>
      </w:r>
      <w:r w:rsidR="00273E39">
        <w:rPr>
          <w:rFonts w:eastAsia="HiddenHorzOCR"/>
          <w:color w:val="000000"/>
        </w:rPr>
        <w:t>and knee pain</w:t>
      </w:r>
      <w:r w:rsidR="00273E39" w:rsidRPr="00806F1E">
        <w:rPr>
          <w:rFonts w:cs="Times New Roman"/>
          <w:color w:val="auto"/>
        </w:rPr>
        <w:t xml:space="preserve"> </w:t>
      </w:r>
      <w:r w:rsidR="00273E39">
        <w:rPr>
          <w:rFonts w:cs="Times New Roman"/>
          <w:color w:val="auto"/>
        </w:rPr>
        <w:t xml:space="preserve">conditions; </w:t>
      </w:r>
      <w:r w:rsidRPr="00806F1E">
        <w:rPr>
          <w:rFonts w:cs="Times New Roman"/>
          <w:color w:val="auto"/>
        </w:rPr>
        <w:t>the Board unanimously agrees that it cannot</w:t>
      </w:r>
      <w:r w:rsidRPr="00806F1E">
        <w:rPr>
          <w:rFonts w:cs="Times New Roman"/>
          <w:color w:val="000080"/>
        </w:rPr>
        <w:t xml:space="preserve"> </w:t>
      </w:r>
      <w:r w:rsidRPr="00806F1E">
        <w:rPr>
          <w:rFonts w:cs="Times New Roman"/>
          <w:color w:val="auto"/>
        </w:rPr>
        <w:t>recommend any findings of unfit for additional rating at separation.</w:t>
      </w:r>
      <w:r w:rsidR="00273E39">
        <w:rPr>
          <w:rFonts w:cs="Times New Roman"/>
          <w:color w:val="auto"/>
        </w:rPr>
        <w:t xml:space="preserve">  </w:t>
      </w:r>
      <w:r w:rsidR="00273E39" w:rsidRPr="00273E39">
        <w:rPr>
          <w:rFonts w:cs="Times New Roman"/>
          <w:color w:val="auto"/>
        </w:rPr>
        <w:t>The Board unanimously agrees that there were no other conditions eligible for Board consideration which could be recommended as additionally unfitting for rating at separation.</w:t>
      </w:r>
    </w:p>
    <w:p w:rsidR="00155623" w:rsidRPr="001F29F9" w:rsidRDefault="00155623" w:rsidP="00BF0E94">
      <w:pPr>
        <w:pBdr>
          <w:bottom w:val="single" w:sz="12" w:space="1" w:color="auto"/>
        </w:pBdr>
        <w:tabs>
          <w:tab w:val="left" w:pos="288"/>
          <w:tab w:val="left" w:pos="4752"/>
        </w:tabs>
        <w:jc w:val="both"/>
        <w:rPr>
          <w:color w:val="000000"/>
        </w:rPr>
      </w:pPr>
    </w:p>
    <w:p w:rsidR="00155623" w:rsidRDefault="00155623" w:rsidP="0019638E">
      <w:pPr>
        <w:jc w:val="both"/>
        <w:rPr>
          <w:color w:val="000000"/>
        </w:rPr>
      </w:pPr>
    </w:p>
    <w:p w:rsidR="00155623" w:rsidRDefault="00155623" w:rsidP="0019638E">
      <w:pPr>
        <w:jc w:val="both"/>
        <w:rPr>
          <w:color w:val="000000"/>
        </w:rPr>
      </w:pPr>
      <w:r w:rsidRPr="0019638E">
        <w:rPr>
          <w:color w:val="000000"/>
          <w:u w:val="single"/>
        </w:rPr>
        <w:t>RECOMMENDATION</w:t>
      </w:r>
      <w:r w:rsidRPr="0019638E">
        <w:rPr>
          <w:color w:val="000000"/>
        </w:rPr>
        <w:t>: The Board</w:t>
      </w:r>
      <w:r w:rsidRPr="001F29F9">
        <w:rPr>
          <w:color w:val="000000"/>
        </w:rPr>
        <w:t xml:space="preserve"> recommends that the CI’s prior determination be modified as follows, effective as of the date of his prior medical separation:</w:t>
      </w:r>
    </w:p>
    <w:p w:rsidR="00273E39" w:rsidRDefault="00273E39" w:rsidP="0019638E">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273E39" w:rsidRPr="00494FB5" w:rsidTr="00EE253A">
        <w:trPr>
          <w:trHeight w:val="233"/>
          <w:jc w:val="center"/>
        </w:trPr>
        <w:tc>
          <w:tcPr>
            <w:tcW w:w="6768" w:type="dxa"/>
            <w:shd w:val="clear" w:color="auto" w:fill="D9D9D9"/>
            <w:vAlign w:val="center"/>
          </w:tcPr>
          <w:p w:rsidR="00273E39" w:rsidRPr="00494FB5" w:rsidRDefault="00273E39" w:rsidP="00EE253A">
            <w:pPr>
              <w:tabs>
                <w:tab w:val="left" w:pos="288"/>
                <w:tab w:val="left" w:pos="4752"/>
              </w:tabs>
              <w:rPr>
                <w:b/>
                <w:color w:val="000000"/>
              </w:rPr>
            </w:pPr>
            <w:r w:rsidRPr="00494FB5">
              <w:rPr>
                <w:b/>
                <w:color w:val="000000"/>
              </w:rPr>
              <w:t>UNFITTING CONDITION</w:t>
            </w:r>
          </w:p>
        </w:tc>
        <w:tc>
          <w:tcPr>
            <w:tcW w:w="1530" w:type="dxa"/>
            <w:shd w:val="clear" w:color="auto" w:fill="D9D9D9"/>
            <w:vAlign w:val="center"/>
          </w:tcPr>
          <w:p w:rsidR="00273E39" w:rsidRPr="00494FB5" w:rsidRDefault="00273E39" w:rsidP="00EE253A">
            <w:pPr>
              <w:tabs>
                <w:tab w:val="left" w:pos="288"/>
                <w:tab w:val="left" w:pos="4752"/>
              </w:tabs>
              <w:rPr>
                <w:b/>
                <w:color w:val="000000"/>
              </w:rPr>
            </w:pPr>
            <w:r w:rsidRPr="00494FB5">
              <w:rPr>
                <w:b/>
                <w:color w:val="000000"/>
              </w:rPr>
              <w:t>VASRD CODE</w:t>
            </w:r>
          </w:p>
        </w:tc>
        <w:tc>
          <w:tcPr>
            <w:tcW w:w="1026" w:type="dxa"/>
            <w:shd w:val="clear" w:color="auto" w:fill="D9D9D9"/>
            <w:vAlign w:val="center"/>
          </w:tcPr>
          <w:p w:rsidR="00273E39" w:rsidRPr="00494FB5" w:rsidRDefault="00273E39" w:rsidP="00EE253A">
            <w:pPr>
              <w:tabs>
                <w:tab w:val="left" w:pos="288"/>
                <w:tab w:val="left" w:pos="4752"/>
              </w:tabs>
              <w:rPr>
                <w:b/>
                <w:color w:val="000000"/>
              </w:rPr>
            </w:pPr>
            <w:r w:rsidRPr="00494FB5">
              <w:rPr>
                <w:b/>
                <w:color w:val="000000"/>
              </w:rPr>
              <w:t>RATING</w:t>
            </w:r>
          </w:p>
        </w:tc>
      </w:tr>
      <w:tr w:rsidR="00273E39" w:rsidRPr="00494FB5" w:rsidTr="00EE253A">
        <w:trPr>
          <w:jc w:val="center"/>
        </w:trPr>
        <w:tc>
          <w:tcPr>
            <w:tcW w:w="6768" w:type="dxa"/>
            <w:vAlign w:val="center"/>
          </w:tcPr>
          <w:p w:rsidR="00273E39" w:rsidRPr="00494FB5" w:rsidRDefault="00273E39" w:rsidP="00273E39">
            <w:pPr>
              <w:tabs>
                <w:tab w:val="left" w:pos="288"/>
                <w:tab w:val="left" w:pos="4752"/>
              </w:tabs>
              <w:jc w:val="left"/>
              <w:rPr>
                <w:color w:val="000000"/>
              </w:rPr>
            </w:pPr>
            <w:r>
              <w:rPr>
                <w:color w:val="000000"/>
              </w:rPr>
              <w:t>Degenerative Disc Disease, Lumbar Spine</w:t>
            </w:r>
          </w:p>
        </w:tc>
        <w:tc>
          <w:tcPr>
            <w:tcW w:w="1530" w:type="dxa"/>
            <w:vAlign w:val="center"/>
          </w:tcPr>
          <w:p w:rsidR="00273E39" w:rsidRPr="000D5DBE" w:rsidRDefault="00273E39" w:rsidP="00273E39">
            <w:pPr>
              <w:tabs>
                <w:tab w:val="left" w:pos="288"/>
                <w:tab w:val="left" w:pos="4752"/>
              </w:tabs>
              <w:rPr>
                <w:color w:val="000000"/>
              </w:rPr>
            </w:pPr>
            <w:r w:rsidRPr="000D5DBE">
              <w:rPr>
                <w:color w:val="000000"/>
              </w:rPr>
              <w:t>5299-5242</w:t>
            </w:r>
          </w:p>
        </w:tc>
        <w:tc>
          <w:tcPr>
            <w:tcW w:w="1026" w:type="dxa"/>
            <w:vAlign w:val="center"/>
          </w:tcPr>
          <w:p w:rsidR="00273E39" w:rsidRPr="000D5DBE" w:rsidRDefault="00273E39" w:rsidP="00273E39">
            <w:pPr>
              <w:tabs>
                <w:tab w:val="left" w:pos="288"/>
                <w:tab w:val="left" w:pos="4752"/>
              </w:tabs>
              <w:rPr>
                <w:color w:val="000000"/>
              </w:rPr>
            </w:pPr>
            <w:r w:rsidRPr="000D5DBE">
              <w:rPr>
                <w:color w:val="000000"/>
              </w:rPr>
              <w:t>20%</w:t>
            </w:r>
          </w:p>
        </w:tc>
      </w:tr>
      <w:tr w:rsidR="00273E39" w:rsidRPr="00494FB5" w:rsidTr="00EE253A">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273E39" w:rsidRPr="00494FB5" w:rsidRDefault="00273E39" w:rsidP="00273E39">
            <w:pPr>
              <w:tabs>
                <w:tab w:val="left" w:pos="288"/>
                <w:tab w:val="left" w:pos="4752"/>
              </w:tabs>
              <w:rPr>
                <w:b/>
                <w:color w:val="000000"/>
              </w:rPr>
            </w:pPr>
            <w:r w:rsidRPr="00494FB5">
              <w:rPr>
                <w:b/>
                <w:color w:val="000000"/>
              </w:rPr>
              <w:t>COMBINED</w:t>
            </w:r>
          </w:p>
        </w:tc>
        <w:tc>
          <w:tcPr>
            <w:tcW w:w="1026" w:type="dxa"/>
            <w:shd w:val="clear" w:color="auto" w:fill="D9D9D9"/>
            <w:vAlign w:val="center"/>
          </w:tcPr>
          <w:p w:rsidR="00273E39" w:rsidRPr="000D5DBE" w:rsidRDefault="00273E39" w:rsidP="00273E39">
            <w:pPr>
              <w:tabs>
                <w:tab w:val="left" w:pos="288"/>
                <w:tab w:val="left" w:pos="4752"/>
              </w:tabs>
              <w:rPr>
                <w:b/>
                <w:color w:val="000000"/>
              </w:rPr>
            </w:pPr>
            <w:r w:rsidRPr="000D5DBE">
              <w:rPr>
                <w:b/>
                <w:color w:val="000000"/>
              </w:rPr>
              <w:t>20%</w:t>
            </w:r>
          </w:p>
        </w:tc>
      </w:tr>
    </w:tbl>
    <w:p w:rsidR="00155623" w:rsidRPr="001F29F9" w:rsidRDefault="00155623" w:rsidP="00BF0E94">
      <w:pPr>
        <w:pBdr>
          <w:bottom w:val="single" w:sz="12" w:space="1" w:color="auto"/>
        </w:pBdr>
        <w:tabs>
          <w:tab w:val="left" w:pos="288"/>
          <w:tab w:val="left" w:pos="4752"/>
        </w:tabs>
        <w:jc w:val="both"/>
        <w:rPr>
          <w:color w:val="000000"/>
        </w:rPr>
      </w:pPr>
    </w:p>
    <w:p w:rsidR="00155623" w:rsidRPr="001F29F9" w:rsidRDefault="00155623" w:rsidP="00BF0E94">
      <w:pPr>
        <w:rPr>
          <w:color w:val="000000"/>
        </w:rPr>
      </w:pPr>
    </w:p>
    <w:p w:rsidR="00155623" w:rsidRPr="001F29F9" w:rsidRDefault="00155623" w:rsidP="00BF0E94">
      <w:pPr>
        <w:tabs>
          <w:tab w:val="left" w:pos="288"/>
          <w:tab w:val="left" w:pos="4752"/>
        </w:tabs>
        <w:jc w:val="both"/>
        <w:rPr>
          <w:color w:val="000000"/>
        </w:rPr>
      </w:pPr>
      <w:r w:rsidRPr="001F29F9">
        <w:rPr>
          <w:color w:val="000000"/>
        </w:rPr>
        <w:t>The following documentary evidence was considered:</w:t>
      </w:r>
    </w:p>
    <w:p w:rsidR="00155623" w:rsidRPr="001F29F9" w:rsidRDefault="00155623" w:rsidP="00BF0E94">
      <w:pPr>
        <w:tabs>
          <w:tab w:val="left" w:pos="288"/>
          <w:tab w:val="left" w:pos="4752"/>
        </w:tabs>
        <w:jc w:val="both"/>
        <w:rPr>
          <w:color w:val="000000"/>
        </w:rPr>
      </w:pPr>
    </w:p>
    <w:p w:rsidR="00155623" w:rsidRPr="001F29F9" w:rsidRDefault="00155623" w:rsidP="00B3575C">
      <w:pPr>
        <w:tabs>
          <w:tab w:val="left" w:pos="288"/>
          <w:tab w:val="left" w:pos="4752"/>
        </w:tabs>
        <w:spacing w:line="440" w:lineRule="exact"/>
        <w:jc w:val="both"/>
        <w:rPr>
          <w:color w:val="000000"/>
        </w:rPr>
      </w:pPr>
      <w:r w:rsidRPr="001F29F9">
        <w:rPr>
          <w:color w:val="000000"/>
        </w:rPr>
        <w:t>Exhibit A.  DD Fo</w:t>
      </w:r>
      <w:r w:rsidR="00305EB1">
        <w:rPr>
          <w:color w:val="000000"/>
        </w:rPr>
        <w:t>rm 294, dated 20110803, w/</w:t>
      </w:r>
      <w:proofErr w:type="spellStart"/>
      <w:r w:rsidR="00305EB1">
        <w:rPr>
          <w:color w:val="000000"/>
        </w:rPr>
        <w:t>atchs</w:t>
      </w:r>
      <w:proofErr w:type="spellEnd"/>
    </w:p>
    <w:p w:rsidR="00155623" w:rsidRPr="001F29F9" w:rsidRDefault="00155623" w:rsidP="00BF0E94">
      <w:pPr>
        <w:tabs>
          <w:tab w:val="left" w:pos="288"/>
          <w:tab w:val="left" w:pos="4752"/>
        </w:tabs>
        <w:jc w:val="both"/>
        <w:rPr>
          <w:color w:val="000000"/>
        </w:rPr>
      </w:pPr>
      <w:r w:rsidRPr="001F29F9">
        <w:rPr>
          <w:color w:val="000000"/>
        </w:rPr>
        <w:t>Exhib</w:t>
      </w:r>
      <w:r w:rsidR="00305EB1">
        <w:rPr>
          <w:color w:val="000000"/>
        </w:rPr>
        <w:t>it B.  Service Treatment Record</w:t>
      </w:r>
    </w:p>
    <w:p w:rsidR="00155623" w:rsidRPr="001F29F9" w:rsidRDefault="00155623" w:rsidP="00BF0E94">
      <w:pPr>
        <w:tabs>
          <w:tab w:val="left" w:pos="288"/>
          <w:tab w:val="left" w:pos="4752"/>
        </w:tabs>
        <w:jc w:val="both"/>
        <w:rPr>
          <w:color w:val="000000"/>
        </w:rPr>
      </w:pPr>
      <w:r w:rsidRPr="001F29F9">
        <w:rPr>
          <w:color w:val="000000"/>
        </w:rPr>
        <w:t>Exhibit C.  Department of Ve</w:t>
      </w:r>
      <w:r w:rsidR="00305EB1">
        <w:rPr>
          <w:color w:val="000000"/>
        </w:rPr>
        <w:t>terans Affairs Treatment Record</w:t>
      </w:r>
    </w:p>
    <w:p w:rsidR="00155623" w:rsidRPr="001F29F9" w:rsidRDefault="00155623" w:rsidP="00BF0E94">
      <w:pPr>
        <w:tabs>
          <w:tab w:val="left" w:pos="288"/>
          <w:tab w:val="left" w:pos="4752"/>
        </w:tabs>
        <w:jc w:val="both"/>
        <w:rPr>
          <w:color w:val="000000"/>
        </w:rPr>
      </w:pPr>
    </w:p>
    <w:p w:rsidR="00155623" w:rsidRPr="001F29F9" w:rsidRDefault="00155623" w:rsidP="00BF0E94">
      <w:pPr>
        <w:tabs>
          <w:tab w:val="left" w:pos="288"/>
          <w:tab w:val="left" w:pos="4752"/>
        </w:tabs>
        <w:jc w:val="both"/>
        <w:rPr>
          <w:color w:val="000000"/>
        </w:rPr>
      </w:pPr>
    </w:p>
    <w:p w:rsidR="00155623" w:rsidRPr="001F29F9" w:rsidRDefault="00155623" w:rsidP="00BF0E94">
      <w:pPr>
        <w:tabs>
          <w:tab w:val="left" w:pos="0"/>
          <w:tab w:val="left" w:pos="4320"/>
        </w:tabs>
        <w:jc w:val="both"/>
        <w:rPr>
          <w:color w:val="000000"/>
        </w:rPr>
      </w:pPr>
      <w:r w:rsidRPr="001F29F9">
        <w:rPr>
          <w:color w:val="000000"/>
        </w:rPr>
        <w:tab/>
        <w:t xml:space="preserve">           President</w:t>
      </w:r>
    </w:p>
    <w:p w:rsidR="00FD0237" w:rsidRDefault="00155623" w:rsidP="00BF0E94">
      <w:pPr>
        <w:tabs>
          <w:tab w:val="left" w:pos="0"/>
          <w:tab w:val="left" w:pos="4320"/>
        </w:tabs>
        <w:jc w:val="both"/>
        <w:rPr>
          <w:color w:val="000000"/>
        </w:rPr>
      </w:pPr>
      <w:r w:rsidRPr="001F29F9">
        <w:rPr>
          <w:color w:val="000000"/>
        </w:rPr>
        <w:tab/>
        <w:t xml:space="preserve">           Physical Disability Board of Review</w:t>
      </w:r>
    </w:p>
    <w:p w:rsidR="00FD0237" w:rsidRDefault="00FD0237">
      <w:pPr>
        <w:spacing w:line="240" w:lineRule="auto"/>
        <w:jc w:val="left"/>
        <w:rPr>
          <w:color w:val="000000"/>
        </w:rPr>
      </w:pPr>
      <w:r>
        <w:rPr>
          <w:color w:val="000000"/>
        </w:rPr>
        <w:br w:type="page"/>
      </w:r>
    </w:p>
    <w:p w:rsidR="00FD0237" w:rsidRDefault="00FD0237" w:rsidP="00FD0237">
      <w:pPr>
        <w:pStyle w:val="Header"/>
        <w:tabs>
          <w:tab w:val="clear" w:pos="4320"/>
          <w:tab w:val="clear" w:pos="8640"/>
        </w:tabs>
        <w:jc w:val="left"/>
      </w:pPr>
      <w:r>
        <w:lastRenderedPageBreak/>
        <w:t>SFMR-RB</w:t>
      </w:r>
      <w:r>
        <w:tab/>
      </w:r>
      <w:r>
        <w:tab/>
      </w:r>
      <w:r>
        <w:tab/>
      </w:r>
      <w:r>
        <w:tab/>
      </w:r>
      <w:r>
        <w:tab/>
      </w:r>
      <w:r>
        <w:tab/>
      </w:r>
      <w:r>
        <w:tab/>
      </w:r>
      <w:r>
        <w:tab/>
      </w:r>
      <w:r>
        <w:tab/>
      </w:r>
    </w:p>
    <w:p w:rsidR="00FD0237" w:rsidRDefault="00FD0237" w:rsidP="00FD0237">
      <w:pPr>
        <w:pStyle w:val="Header"/>
        <w:tabs>
          <w:tab w:val="clear" w:pos="4320"/>
          <w:tab w:val="clear" w:pos="8640"/>
        </w:tabs>
        <w:jc w:val="left"/>
      </w:pPr>
    </w:p>
    <w:p w:rsidR="00FD0237" w:rsidRDefault="00FD0237" w:rsidP="00FD0237">
      <w:pPr>
        <w:jc w:val="left"/>
      </w:pPr>
    </w:p>
    <w:p w:rsidR="00FD0237" w:rsidRDefault="00FD0237" w:rsidP="00FD0237">
      <w:pPr>
        <w:jc w:val="left"/>
      </w:pPr>
      <w:r>
        <w:t xml:space="preserve">MEMORANDUM FOR Commander, US Army Physical Disability Agency </w:t>
      </w:r>
    </w:p>
    <w:p w:rsidR="00FD0237" w:rsidRDefault="00FD0237" w:rsidP="00FD0237">
      <w:pPr>
        <w:jc w:val="left"/>
      </w:pPr>
      <w:r>
        <w:t xml:space="preserve"> </w:t>
      </w:r>
    </w:p>
    <w:p w:rsidR="00FD0237" w:rsidRDefault="00FD0237" w:rsidP="00FD0237">
      <w:pPr>
        <w:jc w:val="left"/>
      </w:pPr>
    </w:p>
    <w:p w:rsidR="00FD0237" w:rsidRDefault="00FD0237" w:rsidP="00FD0237">
      <w:pPr>
        <w:ind w:right="-180"/>
        <w:jc w:val="left"/>
      </w:pPr>
      <w:r>
        <w:t xml:space="preserve">SUBJECT:  Department of Defense Physical Disability Board of Review Recommendation </w:t>
      </w:r>
    </w:p>
    <w:p w:rsidR="00FD0237" w:rsidRDefault="00FD0237" w:rsidP="00FD0237">
      <w:pPr>
        <w:pStyle w:val="Header"/>
        <w:tabs>
          <w:tab w:val="left" w:pos="720"/>
        </w:tabs>
        <w:jc w:val="left"/>
      </w:pPr>
      <w:r>
        <w:t xml:space="preserve"> </w:t>
      </w:r>
    </w:p>
    <w:p w:rsidR="00FD0237" w:rsidRDefault="00FD0237" w:rsidP="00FD0237">
      <w:pPr>
        <w:pStyle w:val="Header"/>
        <w:tabs>
          <w:tab w:val="left" w:pos="720"/>
        </w:tabs>
        <w:jc w:val="left"/>
      </w:pPr>
    </w:p>
    <w:p w:rsidR="00FD0237" w:rsidRDefault="00FD0237" w:rsidP="00FD0237">
      <w:pPr>
        <w:jc w:val="left"/>
      </w:pPr>
    </w:p>
    <w:p w:rsidR="00FD0237" w:rsidRDefault="00FD0237" w:rsidP="00FD0237">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D0237" w:rsidRDefault="00FD0237" w:rsidP="00FD0237">
      <w:pPr>
        <w:jc w:val="left"/>
      </w:pPr>
    </w:p>
    <w:p w:rsidR="00FD0237" w:rsidRDefault="00FD0237" w:rsidP="00FD0237">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FD0237" w:rsidRDefault="00FD0237" w:rsidP="00FD0237">
      <w:pPr>
        <w:jc w:val="left"/>
      </w:pPr>
    </w:p>
    <w:p w:rsidR="00FD0237" w:rsidRDefault="00FD0237" w:rsidP="00FD0237">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FD0237" w:rsidRDefault="00FD0237" w:rsidP="00FD0237">
      <w:pPr>
        <w:jc w:val="left"/>
      </w:pPr>
    </w:p>
    <w:p w:rsidR="00FD0237" w:rsidRDefault="00FD0237" w:rsidP="00FD0237">
      <w:pPr>
        <w:jc w:val="left"/>
      </w:pPr>
      <w:r>
        <w:t xml:space="preserve"> BY ORDER OF THE SECRETARY OF THE ARMY:</w:t>
      </w:r>
    </w:p>
    <w:p w:rsidR="00FD0237" w:rsidRDefault="00FD0237" w:rsidP="00FD0237">
      <w:pPr>
        <w:jc w:val="left"/>
      </w:pPr>
    </w:p>
    <w:p w:rsidR="00FD0237" w:rsidRDefault="00FD0237" w:rsidP="00FD0237">
      <w:pPr>
        <w:jc w:val="left"/>
      </w:pPr>
    </w:p>
    <w:p w:rsidR="00FD0237" w:rsidRDefault="00FD0237" w:rsidP="00FD0237">
      <w:pPr>
        <w:pStyle w:val="Header"/>
        <w:tabs>
          <w:tab w:val="clear" w:pos="4320"/>
          <w:tab w:val="clear" w:pos="8640"/>
        </w:tabs>
        <w:jc w:val="left"/>
      </w:pPr>
    </w:p>
    <w:p w:rsidR="00FD0237" w:rsidRDefault="00FD0237" w:rsidP="00FD0237">
      <w:pPr>
        <w:jc w:val="left"/>
      </w:pPr>
    </w:p>
    <w:p w:rsidR="00FD0237" w:rsidRDefault="00FD0237" w:rsidP="00FD0237">
      <w:pPr>
        <w:jc w:val="left"/>
      </w:pPr>
      <w:bookmarkStart w:id="0" w:name="OLE_LINK3"/>
      <w:bookmarkStart w:id="1" w:name="OLE_LINK4"/>
      <w:r>
        <w:t>Encl</w:t>
      </w:r>
      <w:r>
        <w:tab/>
      </w:r>
      <w:r>
        <w:tab/>
      </w:r>
      <w:r>
        <w:tab/>
      </w:r>
      <w:r>
        <w:tab/>
      </w:r>
      <w:r>
        <w:tab/>
      </w:r>
      <w:r>
        <w:tab/>
        <w:t xml:space="preserve"> </w:t>
      </w:r>
    </w:p>
    <w:p w:rsidR="00FD0237" w:rsidRDefault="00FD0237" w:rsidP="00FD0237">
      <w:pPr>
        <w:jc w:val="left"/>
      </w:pPr>
      <w:r>
        <w:tab/>
      </w:r>
      <w:r>
        <w:tab/>
      </w:r>
      <w:r>
        <w:tab/>
      </w:r>
      <w:r>
        <w:tab/>
      </w:r>
      <w:r>
        <w:tab/>
      </w:r>
      <w:r>
        <w:tab/>
        <w:t xml:space="preserve">     Deputy Assistant Secretary</w:t>
      </w:r>
    </w:p>
    <w:p w:rsidR="00FD0237" w:rsidRDefault="00FD0237" w:rsidP="00FD0237">
      <w:pPr>
        <w:jc w:val="left"/>
      </w:pPr>
      <w:r>
        <w:tab/>
      </w:r>
      <w:r>
        <w:tab/>
      </w:r>
      <w:r>
        <w:tab/>
      </w:r>
      <w:r>
        <w:tab/>
      </w:r>
      <w:r>
        <w:tab/>
      </w:r>
      <w:r>
        <w:tab/>
        <w:t xml:space="preserve">         (Army Review Boards)</w:t>
      </w:r>
      <w:bookmarkEnd w:id="0"/>
      <w:bookmarkEnd w:id="1"/>
    </w:p>
    <w:p w:rsidR="00155623" w:rsidRPr="001F29F9" w:rsidRDefault="00155623" w:rsidP="00BF0E94">
      <w:pPr>
        <w:tabs>
          <w:tab w:val="left" w:pos="0"/>
          <w:tab w:val="left" w:pos="4320"/>
        </w:tabs>
        <w:jc w:val="both"/>
        <w:rPr>
          <w:color w:val="000000"/>
        </w:rPr>
      </w:pPr>
    </w:p>
    <w:sectPr w:rsidR="00155623"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05A" w:rsidRDefault="00DD105A">
      <w:r>
        <w:separator/>
      </w:r>
    </w:p>
  </w:endnote>
  <w:endnote w:type="continuationSeparator" w:id="0">
    <w:p w:rsidR="00DD105A" w:rsidRDefault="00DD1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623" w:rsidRPr="00374247" w:rsidRDefault="00155623" w:rsidP="00374247">
    <w:pPr>
      <w:pStyle w:val="Footer"/>
      <w:ind w:firstLine="4320"/>
      <w:rPr>
        <w:color w:val="auto"/>
      </w:rPr>
    </w:pPr>
    <w:r w:rsidRPr="00374247">
      <w:rPr>
        <w:color w:val="auto"/>
      </w:rPr>
      <w:t xml:space="preserve">   </w:t>
    </w:r>
    <w:fldSimple w:instr=" PAGE   \* MERGEFORMAT ">
      <w:r w:rsidR="00FD0237" w:rsidRPr="00FD0237">
        <w:rPr>
          <w:noProof/>
          <w:color w:val="auto"/>
        </w:rPr>
        <w:t>4</w:t>
      </w:r>
    </w:fldSimple>
    <w:r w:rsidRPr="00374247">
      <w:rPr>
        <w:color w:val="auto"/>
      </w:rPr>
      <w:t xml:space="preserve">                                                           </w:t>
    </w:r>
    <w:r w:rsidRPr="001D64F3">
      <w:rPr>
        <w:color w:val="auto"/>
      </w:rPr>
      <w:t>PD1100600</w:t>
    </w:r>
  </w:p>
  <w:p w:rsidR="00155623" w:rsidRPr="00684CE6" w:rsidRDefault="0015562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05A" w:rsidRDefault="00DD105A">
      <w:r>
        <w:separator/>
      </w:r>
    </w:p>
  </w:footnote>
  <w:footnote w:type="continuationSeparator" w:id="0">
    <w:p w:rsidR="00DD105A" w:rsidRDefault="00DD1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59FA"/>
    <w:rsid w:val="00006186"/>
    <w:rsid w:val="00006F87"/>
    <w:rsid w:val="00007107"/>
    <w:rsid w:val="00010471"/>
    <w:rsid w:val="00010ABA"/>
    <w:rsid w:val="00010AF0"/>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6B5"/>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27"/>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4F0C"/>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683"/>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902"/>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3AA"/>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4667"/>
    <w:rsid w:val="00145965"/>
    <w:rsid w:val="00150B8A"/>
    <w:rsid w:val="00150DCB"/>
    <w:rsid w:val="00151912"/>
    <w:rsid w:val="00153740"/>
    <w:rsid w:val="001537D8"/>
    <w:rsid w:val="00153D88"/>
    <w:rsid w:val="001541C5"/>
    <w:rsid w:val="00155011"/>
    <w:rsid w:val="00155623"/>
    <w:rsid w:val="0015623F"/>
    <w:rsid w:val="00156585"/>
    <w:rsid w:val="00156BA9"/>
    <w:rsid w:val="00156D25"/>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638E"/>
    <w:rsid w:val="001A025E"/>
    <w:rsid w:val="001A08CD"/>
    <w:rsid w:val="001A0A1E"/>
    <w:rsid w:val="001A0F7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CF8"/>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3E39"/>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47F4"/>
    <w:rsid w:val="002A58B7"/>
    <w:rsid w:val="002A5943"/>
    <w:rsid w:val="002A5C3C"/>
    <w:rsid w:val="002A685E"/>
    <w:rsid w:val="002A72C7"/>
    <w:rsid w:val="002B0204"/>
    <w:rsid w:val="002B03B2"/>
    <w:rsid w:val="002B0749"/>
    <w:rsid w:val="002B2645"/>
    <w:rsid w:val="002B303A"/>
    <w:rsid w:val="002B32E9"/>
    <w:rsid w:val="002B4E22"/>
    <w:rsid w:val="002B6E48"/>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A71"/>
    <w:rsid w:val="002F0D6A"/>
    <w:rsid w:val="002F0E28"/>
    <w:rsid w:val="002F195B"/>
    <w:rsid w:val="002F287E"/>
    <w:rsid w:val="002F2981"/>
    <w:rsid w:val="002F2D63"/>
    <w:rsid w:val="002F2D72"/>
    <w:rsid w:val="002F6AD8"/>
    <w:rsid w:val="002F7F81"/>
    <w:rsid w:val="00300075"/>
    <w:rsid w:val="00300A36"/>
    <w:rsid w:val="00300E2F"/>
    <w:rsid w:val="003016EF"/>
    <w:rsid w:val="00301B45"/>
    <w:rsid w:val="00305856"/>
    <w:rsid w:val="00305867"/>
    <w:rsid w:val="00305EB1"/>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82A"/>
    <w:rsid w:val="00330D55"/>
    <w:rsid w:val="003320E8"/>
    <w:rsid w:val="0033238E"/>
    <w:rsid w:val="003328FD"/>
    <w:rsid w:val="00332DE3"/>
    <w:rsid w:val="0033334F"/>
    <w:rsid w:val="00333438"/>
    <w:rsid w:val="0033414F"/>
    <w:rsid w:val="00334514"/>
    <w:rsid w:val="0033555E"/>
    <w:rsid w:val="0033601F"/>
    <w:rsid w:val="00336805"/>
    <w:rsid w:val="00337351"/>
    <w:rsid w:val="00341A54"/>
    <w:rsid w:val="003435C6"/>
    <w:rsid w:val="00344A4F"/>
    <w:rsid w:val="00344D17"/>
    <w:rsid w:val="0034669F"/>
    <w:rsid w:val="003470C4"/>
    <w:rsid w:val="00351498"/>
    <w:rsid w:val="00352777"/>
    <w:rsid w:val="00352B22"/>
    <w:rsid w:val="00352CBF"/>
    <w:rsid w:val="00354547"/>
    <w:rsid w:val="003549F5"/>
    <w:rsid w:val="00355ACB"/>
    <w:rsid w:val="003567DE"/>
    <w:rsid w:val="003574F3"/>
    <w:rsid w:val="00357831"/>
    <w:rsid w:val="00357972"/>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1301"/>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70B"/>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1FF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747"/>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000"/>
    <w:rsid w:val="00563FAD"/>
    <w:rsid w:val="00565553"/>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B9C"/>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92F"/>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0DFA"/>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08AA"/>
    <w:rsid w:val="006A10FA"/>
    <w:rsid w:val="006A12E0"/>
    <w:rsid w:val="006A1CA1"/>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56F"/>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ADE"/>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43B"/>
    <w:rsid w:val="007D67CB"/>
    <w:rsid w:val="007D6BFE"/>
    <w:rsid w:val="007D7002"/>
    <w:rsid w:val="007D7120"/>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AD0"/>
    <w:rsid w:val="00801B85"/>
    <w:rsid w:val="00803850"/>
    <w:rsid w:val="008039E8"/>
    <w:rsid w:val="00804385"/>
    <w:rsid w:val="00804E0E"/>
    <w:rsid w:val="008051EB"/>
    <w:rsid w:val="0080588E"/>
    <w:rsid w:val="00805AFD"/>
    <w:rsid w:val="00806397"/>
    <w:rsid w:val="00806F1E"/>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4F7"/>
    <w:rsid w:val="008A0C99"/>
    <w:rsid w:val="008A0D4F"/>
    <w:rsid w:val="008A1CC3"/>
    <w:rsid w:val="008A28B2"/>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E7613"/>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253"/>
    <w:rsid w:val="00914ADB"/>
    <w:rsid w:val="00917182"/>
    <w:rsid w:val="00920251"/>
    <w:rsid w:val="00921CFD"/>
    <w:rsid w:val="00923B25"/>
    <w:rsid w:val="0092402E"/>
    <w:rsid w:val="009259BA"/>
    <w:rsid w:val="00926FCB"/>
    <w:rsid w:val="009303BB"/>
    <w:rsid w:val="0093108A"/>
    <w:rsid w:val="009319EF"/>
    <w:rsid w:val="00931B6D"/>
    <w:rsid w:val="0093311A"/>
    <w:rsid w:val="009346D0"/>
    <w:rsid w:val="009369A6"/>
    <w:rsid w:val="00937F57"/>
    <w:rsid w:val="0094031E"/>
    <w:rsid w:val="009419B4"/>
    <w:rsid w:val="00941A4C"/>
    <w:rsid w:val="00942645"/>
    <w:rsid w:val="00944151"/>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B4A"/>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35E3"/>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2685"/>
    <w:rsid w:val="00A52D88"/>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893"/>
    <w:rsid w:val="00AA493E"/>
    <w:rsid w:val="00AA73AF"/>
    <w:rsid w:val="00AB062D"/>
    <w:rsid w:val="00AB0A8A"/>
    <w:rsid w:val="00AB1754"/>
    <w:rsid w:val="00AB1F8D"/>
    <w:rsid w:val="00AB25A1"/>
    <w:rsid w:val="00AB27DD"/>
    <w:rsid w:val="00AB4BA4"/>
    <w:rsid w:val="00AB5380"/>
    <w:rsid w:val="00AB592E"/>
    <w:rsid w:val="00AC0C1C"/>
    <w:rsid w:val="00AC1305"/>
    <w:rsid w:val="00AC37BE"/>
    <w:rsid w:val="00AC439D"/>
    <w:rsid w:val="00AC5C36"/>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367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1807"/>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5B7"/>
    <w:rsid w:val="00B83F87"/>
    <w:rsid w:val="00B8478F"/>
    <w:rsid w:val="00B84F93"/>
    <w:rsid w:val="00B91676"/>
    <w:rsid w:val="00B9322B"/>
    <w:rsid w:val="00B93640"/>
    <w:rsid w:val="00B940A4"/>
    <w:rsid w:val="00B955D5"/>
    <w:rsid w:val="00B95833"/>
    <w:rsid w:val="00BA1824"/>
    <w:rsid w:val="00BA2D98"/>
    <w:rsid w:val="00BA2F0C"/>
    <w:rsid w:val="00BA30D1"/>
    <w:rsid w:val="00BA30E1"/>
    <w:rsid w:val="00BA32AA"/>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073A"/>
    <w:rsid w:val="00C81937"/>
    <w:rsid w:val="00C81D96"/>
    <w:rsid w:val="00C826F5"/>
    <w:rsid w:val="00C83740"/>
    <w:rsid w:val="00C84527"/>
    <w:rsid w:val="00C84AD1"/>
    <w:rsid w:val="00C85579"/>
    <w:rsid w:val="00C8590C"/>
    <w:rsid w:val="00C862F1"/>
    <w:rsid w:val="00C863E5"/>
    <w:rsid w:val="00C87BE6"/>
    <w:rsid w:val="00C87F76"/>
    <w:rsid w:val="00C9071E"/>
    <w:rsid w:val="00C931FC"/>
    <w:rsid w:val="00C932C5"/>
    <w:rsid w:val="00C94CB6"/>
    <w:rsid w:val="00C95299"/>
    <w:rsid w:val="00C95A72"/>
    <w:rsid w:val="00C9650E"/>
    <w:rsid w:val="00C97000"/>
    <w:rsid w:val="00C975BD"/>
    <w:rsid w:val="00CA068D"/>
    <w:rsid w:val="00CA08DF"/>
    <w:rsid w:val="00CA1228"/>
    <w:rsid w:val="00CA1C73"/>
    <w:rsid w:val="00CA1EA0"/>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BCB"/>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2F8D"/>
    <w:rsid w:val="00D73D53"/>
    <w:rsid w:val="00D7402C"/>
    <w:rsid w:val="00D7408A"/>
    <w:rsid w:val="00D74261"/>
    <w:rsid w:val="00D7441B"/>
    <w:rsid w:val="00D75589"/>
    <w:rsid w:val="00D76AB2"/>
    <w:rsid w:val="00D801F6"/>
    <w:rsid w:val="00D80490"/>
    <w:rsid w:val="00D828F9"/>
    <w:rsid w:val="00D829AD"/>
    <w:rsid w:val="00D82EE2"/>
    <w:rsid w:val="00D838A6"/>
    <w:rsid w:val="00D83D1B"/>
    <w:rsid w:val="00D84133"/>
    <w:rsid w:val="00D84B8D"/>
    <w:rsid w:val="00D8545C"/>
    <w:rsid w:val="00D86AB5"/>
    <w:rsid w:val="00D86E57"/>
    <w:rsid w:val="00D876AD"/>
    <w:rsid w:val="00D876BF"/>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105A"/>
    <w:rsid w:val="00DD286D"/>
    <w:rsid w:val="00DD2CAF"/>
    <w:rsid w:val="00DD3593"/>
    <w:rsid w:val="00DD64E0"/>
    <w:rsid w:val="00DD775C"/>
    <w:rsid w:val="00DD7BE0"/>
    <w:rsid w:val="00DE0C67"/>
    <w:rsid w:val="00DE3555"/>
    <w:rsid w:val="00DE3AAD"/>
    <w:rsid w:val="00DE598A"/>
    <w:rsid w:val="00DE6952"/>
    <w:rsid w:val="00DE6FBE"/>
    <w:rsid w:val="00DE7A7D"/>
    <w:rsid w:val="00DE7E74"/>
    <w:rsid w:val="00DF071B"/>
    <w:rsid w:val="00DF5C84"/>
    <w:rsid w:val="00DF5EC0"/>
    <w:rsid w:val="00DF6EF8"/>
    <w:rsid w:val="00DF6EFE"/>
    <w:rsid w:val="00E006D6"/>
    <w:rsid w:val="00E00A69"/>
    <w:rsid w:val="00E017BC"/>
    <w:rsid w:val="00E017F0"/>
    <w:rsid w:val="00E01A0E"/>
    <w:rsid w:val="00E025FE"/>
    <w:rsid w:val="00E0346A"/>
    <w:rsid w:val="00E041E4"/>
    <w:rsid w:val="00E04AEE"/>
    <w:rsid w:val="00E04CDA"/>
    <w:rsid w:val="00E06BBD"/>
    <w:rsid w:val="00E071E5"/>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249E"/>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56E"/>
    <w:rsid w:val="00E47B47"/>
    <w:rsid w:val="00E50BEB"/>
    <w:rsid w:val="00E53460"/>
    <w:rsid w:val="00E548FA"/>
    <w:rsid w:val="00E54DD6"/>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A83"/>
    <w:rsid w:val="00E670F8"/>
    <w:rsid w:val="00E6741B"/>
    <w:rsid w:val="00E67FAC"/>
    <w:rsid w:val="00E70164"/>
    <w:rsid w:val="00E71485"/>
    <w:rsid w:val="00E7200B"/>
    <w:rsid w:val="00E738CB"/>
    <w:rsid w:val="00E73C88"/>
    <w:rsid w:val="00E74437"/>
    <w:rsid w:val="00E7443D"/>
    <w:rsid w:val="00E744D7"/>
    <w:rsid w:val="00E7497F"/>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1145"/>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237"/>
    <w:rsid w:val="00FD076A"/>
    <w:rsid w:val="00FD0AA0"/>
    <w:rsid w:val="00FD1D5A"/>
    <w:rsid w:val="00FD5059"/>
    <w:rsid w:val="00FD554D"/>
    <w:rsid w:val="00FD5BCC"/>
    <w:rsid w:val="00FD5BF3"/>
    <w:rsid w:val="00FD6C2D"/>
    <w:rsid w:val="00FD77EC"/>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uiPriority w:val="99"/>
    <w:rsid w:val="00806F1E"/>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42770B"/>
    <w:rPr>
      <w:color w:val="008080"/>
      <w:sz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5512-7A68-446F-8260-F69964FB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dcterms:created xsi:type="dcterms:W3CDTF">2012-03-15T20:07:00Z</dcterms:created>
  <dcterms:modified xsi:type="dcterms:W3CDTF">2012-04-06T15:36:00Z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