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98" w:rsidRDefault="003F2B98" w:rsidP="003F2B98">
      <w:pPr>
        <w:tabs>
          <w:tab w:val="left" w:pos="288"/>
          <w:tab w:val="left" w:pos="4752"/>
        </w:tabs>
        <w:jc w:val="both"/>
        <w:rPr>
          <w:color w:val="000000"/>
        </w:rPr>
      </w:pPr>
    </w:p>
    <w:p w:rsidR="00CA4670" w:rsidRPr="001F29F9" w:rsidRDefault="00540BEF" w:rsidP="003F2B98">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1F29F9" w:rsidRDefault="00F629C0" w:rsidP="003C53E8">
      <w:pPr>
        <w:tabs>
          <w:tab w:val="left" w:pos="288"/>
          <w:tab w:val="left" w:pos="4752"/>
          <w:tab w:val="left" w:pos="6390"/>
          <w:tab w:val="left" w:pos="9270"/>
        </w:tabs>
        <w:jc w:val="both"/>
        <w:rPr>
          <w:caps/>
          <w:color w:val="000000"/>
        </w:rPr>
      </w:pPr>
      <w:r w:rsidRPr="001F29F9">
        <w:rPr>
          <w:caps/>
          <w:color w:val="000000"/>
        </w:rPr>
        <w:t xml:space="preserve">NAME:  </w:t>
      </w:r>
      <w:r w:rsidR="00725813">
        <w:rPr>
          <w:caps/>
          <w:color w:val="000000"/>
        </w:rPr>
        <w:t>XXXXXXXXXXXXXXXX</w:t>
      </w:r>
      <w:r w:rsidR="001C2657" w:rsidRPr="007B4DE6">
        <w:rPr>
          <w:caps/>
          <w:color w:val="000000"/>
        </w:rPr>
        <w:t xml:space="preserve">                                     </w:t>
      </w:r>
      <w:r w:rsidR="00800E44">
        <w:rPr>
          <w:caps/>
          <w:color w:val="000000"/>
        </w:rPr>
        <w:t xml:space="preserve">                          </w:t>
      </w:r>
      <w:r w:rsidRPr="001F29F9">
        <w:rPr>
          <w:caps/>
          <w:color w:val="000000"/>
        </w:rPr>
        <w:t xml:space="preserve">BRANCH OF SERVICE: </w:t>
      </w:r>
      <w:r w:rsidR="004C24C5" w:rsidRPr="001C2657">
        <w:rPr>
          <w:caps/>
          <w:color w:val="000000"/>
        </w:rPr>
        <w:t xml:space="preserve"> </w:t>
      </w:r>
      <w:r w:rsidR="00800E44">
        <w:rPr>
          <w:caps/>
          <w:color w:val="000000"/>
        </w:rPr>
        <w:t>Army</w:t>
      </w:r>
    </w:p>
    <w:p w:rsidR="00DE3AAD" w:rsidRPr="001F29F9" w:rsidRDefault="00012733" w:rsidP="0068098E">
      <w:pPr>
        <w:tabs>
          <w:tab w:val="left" w:pos="288"/>
          <w:tab w:val="left" w:pos="4166"/>
          <w:tab w:val="left" w:pos="4752"/>
          <w:tab w:val="left" w:pos="5130"/>
          <w:tab w:val="left" w:pos="9270"/>
        </w:tabs>
        <w:jc w:val="both"/>
        <w:rPr>
          <w:caps/>
          <w:color w:val="000000"/>
        </w:rPr>
      </w:pPr>
      <w:r w:rsidRPr="001F29F9">
        <w:rPr>
          <w:caps/>
          <w:color w:val="000000"/>
        </w:rPr>
        <w:t>C</w:t>
      </w:r>
      <w:r w:rsidR="00DE3AAD" w:rsidRPr="001F29F9">
        <w:rPr>
          <w:caps/>
          <w:color w:val="000000"/>
        </w:rPr>
        <w:t xml:space="preserve">ASE NUMBER:  </w:t>
      </w:r>
      <w:r w:rsidR="001C2657" w:rsidRPr="007B4DE6">
        <w:rPr>
          <w:caps/>
          <w:color w:val="000000"/>
        </w:rPr>
        <w:t>PD1100584</w:t>
      </w:r>
      <w:r w:rsidR="00DE3AAD" w:rsidRPr="001F29F9">
        <w:rPr>
          <w:color w:val="000000"/>
        </w:rPr>
        <w:tab/>
      </w:r>
      <w:r w:rsidR="0068098E" w:rsidRPr="001F29F9">
        <w:rPr>
          <w:color w:val="000000"/>
        </w:rPr>
        <w:tab/>
      </w:r>
      <w:r w:rsidR="00DE3AAD" w:rsidRPr="001F29F9">
        <w:rPr>
          <w:color w:val="000000"/>
        </w:rPr>
        <w:t xml:space="preserve">         </w:t>
      </w:r>
      <w:r w:rsidR="00E51B93">
        <w:rPr>
          <w:color w:val="000000"/>
        </w:rPr>
        <w:t xml:space="preserve">                 </w:t>
      </w:r>
      <w:r w:rsidR="00DE3AAD" w:rsidRPr="001F29F9">
        <w:rPr>
          <w:color w:val="000000"/>
        </w:rPr>
        <w:t xml:space="preserve">SEPARATION DATE:  </w:t>
      </w:r>
      <w:r w:rsidR="001C2657" w:rsidRPr="007B4DE6">
        <w:rPr>
          <w:color w:val="000000"/>
        </w:rPr>
        <w:t>20041202</w:t>
      </w:r>
    </w:p>
    <w:p w:rsidR="003B2143" w:rsidRPr="001F29F9" w:rsidRDefault="004F3639" w:rsidP="00BF0E94">
      <w:pPr>
        <w:tabs>
          <w:tab w:val="left" w:pos="288"/>
          <w:tab w:val="left" w:pos="5130"/>
        </w:tabs>
        <w:jc w:val="both"/>
        <w:rPr>
          <w:color w:val="000000"/>
        </w:rPr>
      </w:pPr>
      <w:r w:rsidRPr="001F29F9">
        <w:rPr>
          <w:caps/>
          <w:color w:val="000000"/>
        </w:rPr>
        <w:t>BOA</w:t>
      </w:r>
      <w:r w:rsidR="00C626A4">
        <w:rPr>
          <w:caps/>
          <w:color w:val="000000"/>
        </w:rPr>
        <w:t>RD DATE:  2012</w:t>
      </w:r>
      <w:r w:rsidR="00E51B93">
        <w:rPr>
          <w:caps/>
          <w:color w:val="000000"/>
        </w:rPr>
        <w:t>0229</w:t>
      </w:r>
      <w:r w:rsidR="003B2143" w:rsidRPr="001F29F9">
        <w:rPr>
          <w:caps/>
          <w:color w:val="000000"/>
        </w:rPr>
        <w:tab/>
      </w:r>
    </w:p>
    <w:p w:rsidR="003C53E8" w:rsidRPr="001F29F9" w:rsidRDefault="003C53E8" w:rsidP="003C53E8">
      <w:pPr>
        <w:pBdr>
          <w:bottom w:val="single" w:sz="12" w:space="1" w:color="auto"/>
        </w:pBdr>
        <w:tabs>
          <w:tab w:val="left" w:pos="288"/>
          <w:tab w:val="left" w:pos="4752"/>
        </w:tabs>
        <w:jc w:val="both"/>
        <w:rPr>
          <w:color w:val="000000"/>
        </w:rPr>
      </w:pPr>
    </w:p>
    <w:p w:rsidR="009369A6" w:rsidRPr="001F29F9" w:rsidRDefault="009369A6" w:rsidP="00BF0E94">
      <w:pPr>
        <w:tabs>
          <w:tab w:val="left" w:pos="288"/>
          <w:tab w:val="left" w:pos="4752"/>
        </w:tabs>
        <w:jc w:val="both"/>
        <w:rPr>
          <w:color w:val="000000"/>
        </w:rPr>
      </w:pPr>
    </w:p>
    <w:p w:rsidR="001C2657" w:rsidRPr="007B4DE6" w:rsidRDefault="00FB0E80" w:rsidP="001C2657">
      <w:pPr>
        <w:tabs>
          <w:tab w:val="left" w:pos="288"/>
          <w:tab w:val="left" w:pos="4752"/>
        </w:tabs>
        <w:jc w:val="both"/>
        <w:rPr>
          <w:color w:val="000000"/>
        </w:rPr>
      </w:pPr>
      <w:r w:rsidRPr="001F29F9">
        <w:rPr>
          <w:color w:val="000000"/>
          <w:u w:val="single"/>
        </w:rPr>
        <w:t>SUMMARY OF CASE</w:t>
      </w:r>
      <w:r w:rsidRPr="001F29F9">
        <w:rPr>
          <w:color w:val="000000"/>
        </w:rPr>
        <w:t xml:space="preserve">:  </w:t>
      </w:r>
      <w:r w:rsidR="001C2657" w:rsidRPr="007B4DE6">
        <w:rPr>
          <w:color w:val="000000"/>
        </w:rPr>
        <w:t xml:space="preserve">Data extracted from the available evidence of record reflects that this covered individual (CI) </w:t>
      </w:r>
      <w:r w:rsidR="001C2657" w:rsidRPr="007B4DE6">
        <w:rPr>
          <w:color w:val="000000"/>
          <w:szCs w:val="24"/>
        </w:rPr>
        <w:t xml:space="preserve">was an active </w:t>
      </w:r>
      <w:r w:rsidR="00D64DA2" w:rsidRPr="007B4DE6">
        <w:rPr>
          <w:color w:val="000000"/>
          <w:szCs w:val="24"/>
        </w:rPr>
        <w:t>duty SPC</w:t>
      </w:r>
      <w:r w:rsidR="001C2657" w:rsidRPr="007B4DE6">
        <w:rPr>
          <w:color w:val="000000"/>
          <w:szCs w:val="24"/>
        </w:rPr>
        <w:t xml:space="preserve">/E-4 (91W/Health Care Specialist), medically separated for </w:t>
      </w:r>
      <w:r w:rsidR="00745037" w:rsidRPr="00E51B93">
        <w:rPr>
          <w:color w:val="000000"/>
          <w:szCs w:val="24"/>
        </w:rPr>
        <w:t xml:space="preserve">a </w:t>
      </w:r>
      <w:r w:rsidR="00745037" w:rsidRPr="00E51B93">
        <w:rPr>
          <w:color w:val="auto"/>
          <w:szCs w:val="24"/>
        </w:rPr>
        <w:t xml:space="preserve">right </w:t>
      </w:r>
      <w:r w:rsidR="00D75A25" w:rsidRPr="00E51B93">
        <w:rPr>
          <w:color w:val="auto"/>
          <w:szCs w:val="24"/>
        </w:rPr>
        <w:t>lower leg/</w:t>
      </w:r>
      <w:r w:rsidR="00745037" w:rsidRPr="00E51B93">
        <w:rPr>
          <w:color w:val="auto"/>
          <w:szCs w:val="24"/>
        </w:rPr>
        <w:t>ankle condition (</w:t>
      </w:r>
      <w:r w:rsidR="001C2657" w:rsidRPr="00E51B93">
        <w:rPr>
          <w:color w:val="auto"/>
          <w:szCs w:val="24"/>
        </w:rPr>
        <w:t>chronic pain, due to delayed union, stress fracture right fibula</w:t>
      </w:r>
      <w:r w:rsidR="00745037" w:rsidRPr="00E51B93">
        <w:rPr>
          <w:color w:val="auto"/>
          <w:szCs w:val="24"/>
        </w:rPr>
        <w:t>)</w:t>
      </w:r>
      <w:r w:rsidR="001C2657" w:rsidRPr="00E51B93">
        <w:rPr>
          <w:color w:val="auto"/>
          <w:szCs w:val="24"/>
        </w:rPr>
        <w:t>.</w:t>
      </w:r>
      <w:r w:rsidR="0013337C" w:rsidRPr="00E51B93">
        <w:rPr>
          <w:color w:val="auto"/>
          <w:szCs w:val="24"/>
        </w:rPr>
        <w:t xml:space="preserve">  </w:t>
      </w:r>
      <w:r w:rsidR="00745037" w:rsidRPr="00E51B93">
        <w:rPr>
          <w:color w:val="auto"/>
          <w:szCs w:val="24"/>
        </w:rPr>
        <w:t xml:space="preserve">The CI was running and felt a pop above his right ankle which was a fracture felt to be a completion of a stress fracture.  </w:t>
      </w:r>
      <w:r w:rsidR="001C2657" w:rsidRPr="00E51B93">
        <w:rPr>
          <w:color w:val="auto"/>
          <w:szCs w:val="24"/>
        </w:rPr>
        <w:t>He did not respond adequately to treatment and was unable</w:t>
      </w:r>
      <w:r w:rsidR="001C2657" w:rsidRPr="007B4DE6">
        <w:rPr>
          <w:color w:val="000000"/>
          <w:szCs w:val="24"/>
        </w:rPr>
        <w:t xml:space="preserve"> to perform within his Military Occupational Specialty (MOS) or meet physical fitness standards.  He was issued a permanent </w:t>
      </w:r>
      <w:r w:rsidR="0013337C">
        <w:rPr>
          <w:color w:val="000000"/>
          <w:szCs w:val="24"/>
        </w:rPr>
        <w:t>L3</w:t>
      </w:r>
      <w:r w:rsidR="001C2657" w:rsidRPr="007B4DE6">
        <w:rPr>
          <w:color w:val="000000"/>
          <w:szCs w:val="24"/>
        </w:rPr>
        <w:t xml:space="preserve"> profile and underwent a Medical Evaluation Board (MEB).</w:t>
      </w:r>
      <w:r w:rsidR="0013337C">
        <w:rPr>
          <w:color w:val="000000"/>
          <w:szCs w:val="24"/>
        </w:rPr>
        <w:t xml:space="preserve">  Right distant fibula delay union</w:t>
      </w:r>
      <w:r w:rsidR="001C2657" w:rsidRPr="007B4DE6">
        <w:rPr>
          <w:color w:val="000000"/>
          <w:szCs w:val="24"/>
        </w:rPr>
        <w:t xml:space="preserve"> </w:t>
      </w:r>
      <w:r w:rsidR="00143E8D" w:rsidRPr="007B4DE6">
        <w:rPr>
          <w:color w:val="000000"/>
          <w:szCs w:val="24"/>
        </w:rPr>
        <w:t>was forwarded</w:t>
      </w:r>
      <w:r w:rsidR="001C2657" w:rsidRPr="007B4DE6">
        <w:rPr>
          <w:color w:val="000000"/>
          <w:szCs w:val="24"/>
        </w:rPr>
        <w:t xml:space="preserve"> to the Physical Evaluation Board (PEB) as medically unacceptable IAW AR 40-501.</w:t>
      </w:r>
      <w:r w:rsidR="0013337C">
        <w:rPr>
          <w:color w:val="000000"/>
          <w:szCs w:val="24"/>
        </w:rPr>
        <w:t xml:space="preserve">  </w:t>
      </w:r>
      <w:r w:rsidR="001C2657" w:rsidRPr="007B4DE6">
        <w:rPr>
          <w:color w:val="000000"/>
          <w:szCs w:val="24"/>
        </w:rPr>
        <w:t>No other conditions appeared on the MEB’s submission.  Other conditions included in the Disability Evaluation System (DES) packet will be discussed below.</w:t>
      </w:r>
      <w:r w:rsidR="0013337C">
        <w:rPr>
          <w:color w:val="000000"/>
          <w:szCs w:val="24"/>
        </w:rPr>
        <w:t xml:space="preserve">  </w:t>
      </w:r>
      <w:r w:rsidR="001C2657" w:rsidRPr="007B4DE6">
        <w:rPr>
          <w:color w:val="000000"/>
          <w:szCs w:val="24"/>
        </w:rPr>
        <w:t xml:space="preserve">The PEB adjudicated the </w:t>
      </w:r>
      <w:r w:rsidR="0013337C">
        <w:rPr>
          <w:color w:val="000000"/>
          <w:szCs w:val="24"/>
        </w:rPr>
        <w:t xml:space="preserve">chronic pain due to </w:t>
      </w:r>
      <w:proofErr w:type="gramStart"/>
      <w:r w:rsidR="0013337C">
        <w:rPr>
          <w:color w:val="000000"/>
          <w:szCs w:val="24"/>
        </w:rPr>
        <w:t>delay</w:t>
      </w:r>
      <w:proofErr w:type="gramEnd"/>
      <w:r w:rsidR="0013337C">
        <w:rPr>
          <w:color w:val="000000"/>
          <w:szCs w:val="24"/>
        </w:rPr>
        <w:t xml:space="preserve"> union stress fracture right fibula</w:t>
      </w:r>
      <w:r w:rsidR="00143E8D" w:rsidRPr="007B4DE6">
        <w:rPr>
          <w:color w:val="000000"/>
          <w:szCs w:val="24"/>
        </w:rPr>
        <w:t xml:space="preserve"> condition</w:t>
      </w:r>
      <w:r w:rsidR="001C2657" w:rsidRPr="007B4DE6">
        <w:rPr>
          <w:color w:val="000000"/>
          <w:szCs w:val="24"/>
        </w:rPr>
        <w:t xml:space="preserve"> as unfitting, rated 10%</w:t>
      </w:r>
      <w:r w:rsidR="00372C72">
        <w:rPr>
          <w:color w:val="000000"/>
          <w:szCs w:val="24"/>
        </w:rPr>
        <w:t>, with specified application of the USAPDA pain policy</w:t>
      </w:r>
      <w:r w:rsidR="001C2657" w:rsidRPr="007B4DE6">
        <w:rPr>
          <w:color w:val="000000"/>
          <w:szCs w:val="24"/>
        </w:rPr>
        <w:t>.</w:t>
      </w:r>
      <w:r w:rsidR="0013337C">
        <w:rPr>
          <w:color w:val="000000"/>
          <w:szCs w:val="24"/>
        </w:rPr>
        <w:t xml:space="preserve">  </w:t>
      </w:r>
      <w:r w:rsidR="001C2657" w:rsidRPr="007B4DE6">
        <w:rPr>
          <w:color w:val="000000"/>
        </w:rPr>
        <w:t>The CI made no appeals, and was medically separated with a 10% disability rating.</w:t>
      </w:r>
    </w:p>
    <w:p w:rsidR="001C2657" w:rsidRPr="007B4DE6" w:rsidRDefault="001C2657" w:rsidP="001C2657">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4174F0" w:rsidRDefault="002C6E5B" w:rsidP="001C2657">
      <w:pPr>
        <w:tabs>
          <w:tab w:val="left" w:pos="288"/>
          <w:tab w:val="left" w:pos="4752"/>
        </w:tabs>
        <w:jc w:val="both"/>
        <w:rPr>
          <w:color w:val="000000"/>
        </w:rPr>
      </w:pPr>
      <w:r w:rsidRPr="00E51B93">
        <w:rPr>
          <w:color w:val="000000"/>
          <w:u w:val="single"/>
        </w:rPr>
        <w:t>CI CONTENTION</w:t>
      </w:r>
      <w:r w:rsidRPr="00E51B93">
        <w:rPr>
          <w:color w:val="000000"/>
        </w:rPr>
        <w:t>:</w:t>
      </w:r>
      <w:r w:rsidR="001C2657" w:rsidRPr="00E51B93">
        <w:rPr>
          <w:color w:val="000000"/>
        </w:rPr>
        <w:t xml:space="preserve"> “It should be changed because the level of disability of my fractured right distal fibula is so painful that I cannot stand over 10 minutes.  Also, I cannot run or jog anymore and most of the time the pain is so bad with the weather especially when is raining or snowing that I have to wear a brace.  I have to wear special orthotics everyday due to fact that this injury changed my walking mechanics to a point that affects my back as well.</w:t>
      </w:r>
      <w:r w:rsidR="00570223" w:rsidRPr="00E51B93">
        <w:rPr>
          <w:color w:val="000000"/>
        </w:rPr>
        <w:t xml:space="preserve">  </w:t>
      </w:r>
      <w:r w:rsidR="001C2657" w:rsidRPr="00E51B93">
        <w:rPr>
          <w:color w:val="000000"/>
        </w:rPr>
        <w:t xml:space="preserve"> My right distal fibula injury is a permanent disability of which I have never recovered.  On the other hand, even though I was not found unfit because of my dried eye syndrome, lower back condition, bilateral tinnitus, migraines and headaches conjunctivitis (dry eyes), sexual dysfunction and Tinea Pedis; these condition should be evaluated in accordance with Department of Defense INSTRUCTION NUMBER 6040.44, which states:  “The PDBR shall review appeals by eligible individuals as provided for in Reference (b) pertaining to conditions indentified but not determined to be unfitting by the Physical Evaluation Board (PEB) of the Military Department concerned”.  As a result, I am respectfully requesting from this honorable Board to evaluate those conditions for the purpose of combined rating.  Retaking the issue of my right distal fibula injury, as I said, I have to wear especial orthotics and braces that were provided by the Department of Veterans Affairs due to that injury.  Therefore, giving the level of disability of my right distal fibula injury I think that the rating of 40% would be fair and just.”</w:t>
      </w:r>
    </w:p>
    <w:p w:rsidR="001C2657" w:rsidRPr="001F29F9" w:rsidRDefault="001C2657"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1537D8" w:rsidRPr="001F29F9" w:rsidRDefault="00800E44" w:rsidP="00BF0E94">
      <w:pPr>
        <w:jc w:val="left"/>
        <w:rPr>
          <w:color w:val="000000"/>
        </w:rPr>
      </w:pPr>
      <w:r>
        <w:rPr>
          <w:color w:val="000000"/>
          <w:u w:val="single"/>
        </w:rPr>
        <w:br w:type="page"/>
      </w:r>
      <w:r w:rsidR="007F0AB7" w:rsidRPr="001F29F9">
        <w:rPr>
          <w:color w:val="000000"/>
          <w:u w:val="single"/>
        </w:rPr>
        <w:lastRenderedPageBreak/>
        <w:t>R</w:t>
      </w:r>
      <w:r w:rsidR="002C6E5B" w:rsidRPr="001F29F9">
        <w:rPr>
          <w:color w:val="000000"/>
          <w:u w:val="single"/>
        </w:rPr>
        <w:t>ATING COMPARISON</w:t>
      </w:r>
      <w:r w:rsidR="002C6E5B" w:rsidRPr="001F29F9">
        <w:rPr>
          <w:color w:val="000000"/>
        </w:rPr>
        <w:t>:</w:t>
      </w:r>
    </w:p>
    <w:p w:rsidR="002151AB" w:rsidRPr="0002102E" w:rsidRDefault="002151AB" w:rsidP="00FE7C22">
      <w:pPr>
        <w:jc w:val="both"/>
        <w:rPr>
          <w:color w:val="auto"/>
        </w:rPr>
      </w:pPr>
    </w:p>
    <w:tbl>
      <w:tblPr>
        <w:tblpPr w:leftFromText="187" w:rightFromText="187" w:vertAnchor="text" w:tblpXSpec="center" w:tblpY="1"/>
        <w:tblOverlap w:val="never"/>
        <w:tblW w:w="9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170"/>
        <w:gridCol w:w="810"/>
        <w:gridCol w:w="2250"/>
        <w:gridCol w:w="1080"/>
        <w:gridCol w:w="756"/>
        <w:gridCol w:w="990"/>
      </w:tblGrid>
      <w:tr w:rsidR="002B4E22" w:rsidRPr="0002102E" w:rsidTr="008C47FC">
        <w:trPr>
          <w:trHeight w:val="170"/>
          <w:jc w:val="center"/>
        </w:trPr>
        <w:tc>
          <w:tcPr>
            <w:tcW w:w="4248" w:type="dxa"/>
            <w:gridSpan w:val="3"/>
            <w:tcBorders>
              <w:right w:val="thinThickThinSmallGap" w:sz="24" w:space="0" w:color="auto"/>
            </w:tcBorders>
            <w:shd w:val="clear" w:color="auto" w:fill="D9D9D9"/>
            <w:vAlign w:val="center"/>
          </w:tcPr>
          <w:p w:rsidR="002B4E22" w:rsidRPr="0002102E" w:rsidRDefault="00B731E4" w:rsidP="00D64DA2">
            <w:pPr>
              <w:spacing w:line="180" w:lineRule="exact"/>
              <w:contextualSpacing/>
              <w:rPr>
                <w:rFonts w:eastAsia="Calibri"/>
                <w:b/>
                <w:color w:val="auto"/>
                <w:sz w:val="18"/>
                <w:szCs w:val="18"/>
              </w:rPr>
            </w:pPr>
            <w:r w:rsidRPr="0002102E">
              <w:rPr>
                <w:rFonts w:eastAsia="Calibri"/>
                <w:b/>
                <w:color w:val="auto"/>
                <w:sz w:val="18"/>
                <w:szCs w:val="18"/>
              </w:rPr>
              <w:t xml:space="preserve">Service </w:t>
            </w:r>
            <w:r w:rsidR="00570223" w:rsidRPr="0002102E">
              <w:rPr>
                <w:rFonts w:eastAsia="Calibri"/>
                <w:b/>
                <w:color w:val="auto"/>
                <w:sz w:val="18"/>
                <w:szCs w:val="18"/>
              </w:rPr>
              <w:t>I</w:t>
            </w:r>
            <w:r w:rsidRPr="0002102E">
              <w:rPr>
                <w:rFonts w:eastAsia="Calibri"/>
                <w:b/>
                <w:color w:val="auto"/>
                <w:sz w:val="18"/>
                <w:szCs w:val="18"/>
              </w:rPr>
              <w:t>PEB – Dated 200</w:t>
            </w:r>
            <w:r w:rsidR="00570223" w:rsidRPr="0002102E">
              <w:rPr>
                <w:rFonts w:eastAsia="Calibri"/>
                <w:b/>
                <w:color w:val="auto"/>
                <w:sz w:val="18"/>
                <w:szCs w:val="18"/>
              </w:rPr>
              <w:t>40816</w:t>
            </w:r>
          </w:p>
        </w:tc>
        <w:tc>
          <w:tcPr>
            <w:tcW w:w="5076" w:type="dxa"/>
            <w:gridSpan w:val="4"/>
            <w:tcBorders>
              <w:left w:val="thinThickThinSmallGap" w:sz="24" w:space="0" w:color="auto"/>
            </w:tcBorders>
            <w:shd w:val="clear" w:color="auto" w:fill="D9D9D9"/>
            <w:vAlign w:val="center"/>
          </w:tcPr>
          <w:p w:rsidR="002B4E22" w:rsidRPr="0002102E" w:rsidRDefault="002B4E22" w:rsidP="00D64DA2">
            <w:pPr>
              <w:spacing w:line="180" w:lineRule="exact"/>
              <w:contextualSpacing/>
              <w:rPr>
                <w:rFonts w:eastAsia="Calibri"/>
                <w:b/>
                <w:color w:val="auto"/>
                <w:sz w:val="18"/>
                <w:szCs w:val="18"/>
              </w:rPr>
            </w:pPr>
            <w:r w:rsidRPr="0002102E">
              <w:rPr>
                <w:rFonts w:eastAsia="Calibri"/>
                <w:b/>
                <w:color w:val="auto"/>
                <w:sz w:val="18"/>
                <w:szCs w:val="18"/>
              </w:rPr>
              <w:t>VA (</w:t>
            </w:r>
            <w:r w:rsidR="005D6CFB" w:rsidRPr="0002102E">
              <w:rPr>
                <w:rFonts w:eastAsia="Calibri"/>
                <w:b/>
                <w:color w:val="auto"/>
                <w:sz w:val="18"/>
                <w:szCs w:val="18"/>
              </w:rPr>
              <w:t>1</w:t>
            </w:r>
            <w:r w:rsidR="00D64DA2">
              <w:rPr>
                <w:rFonts w:eastAsia="Calibri"/>
                <w:b/>
                <w:color w:val="auto"/>
                <w:sz w:val="18"/>
                <w:szCs w:val="18"/>
              </w:rPr>
              <w:t xml:space="preserve"> </w:t>
            </w:r>
            <w:r w:rsidRPr="0002102E">
              <w:rPr>
                <w:rFonts w:eastAsia="Calibri"/>
                <w:b/>
                <w:color w:val="auto"/>
                <w:sz w:val="18"/>
                <w:szCs w:val="18"/>
              </w:rPr>
              <w:t xml:space="preserve">Mo. After </w:t>
            </w:r>
            <w:r w:rsidRPr="00E51B93">
              <w:rPr>
                <w:rFonts w:eastAsia="Calibri"/>
                <w:b/>
                <w:color w:val="auto"/>
                <w:sz w:val="18"/>
                <w:szCs w:val="18"/>
              </w:rPr>
              <w:t>Separation</w:t>
            </w:r>
            <w:r w:rsidR="00D75A25" w:rsidRPr="00E51B93">
              <w:rPr>
                <w:rFonts w:eastAsia="Calibri"/>
                <w:b/>
                <w:color w:val="auto"/>
                <w:sz w:val="18"/>
                <w:szCs w:val="18"/>
              </w:rPr>
              <w:t xml:space="preserve"> &amp; Later</w:t>
            </w:r>
            <w:r w:rsidR="00F11103">
              <w:rPr>
                <w:rFonts w:eastAsia="Calibri"/>
                <w:b/>
                <w:color w:val="auto"/>
                <w:sz w:val="18"/>
                <w:szCs w:val="18"/>
              </w:rPr>
              <w:t>*</w:t>
            </w:r>
            <w:r w:rsidRPr="0002102E">
              <w:rPr>
                <w:rFonts w:eastAsia="Calibri"/>
                <w:b/>
                <w:color w:val="auto"/>
                <w:sz w:val="18"/>
                <w:szCs w:val="18"/>
              </w:rPr>
              <w:t xml:space="preserve">) – All </w:t>
            </w:r>
            <w:r w:rsidRPr="00D75A25">
              <w:rPr>
                <w:rFonts w:eastAsia="Calibri"/>
                <w:b/>
                <w:color w:val="auto"/>
                <w:sz w:val="18"/>
                <w:szCs w:val="18"/>
              </w:rPr>
              <w:t xml:space="preserve">Effective </w:t>
            </w:r>
            <w:r w:rsidR="002D08F3" w:rsidRPr="00D75A25">
              <w:rPr>
                <w:rFonts w:eastAsia="Calibri"/>
                <w:b/>
                <w:color w:val="auto"/>
                <w:sz w:val="18"/>
                <w:szCs w:val="18"/>
              </w:rPr>
              <w:t>200</w:t>
            </w:r>
            <w:r w:rsidR="00570223" w:rsidRPr="00D75A25">
              <w:rPr>
                <w:rFonts w:eastAsia="Calibri"/>
                <w:b/>
                <w:color w:val="auto"/>
                <w:sz w:val="18"/>
                <w:szCs w:val="18"/>
              </w:rPr>
              <w:t>41203</w:t>
            </w:r>
          </w:p>
        </w:tc>
      </w:tr>
      <w:tr w:rsidR="002B4E22" w:rsidRPr="0002102E" w:rsidTr="00D64DA2">
        <w:trPr>
          <w:trHeight w:val="97"/>
          <w:jc w:val="center"/>
        </w:trPr>
        <w:tc>
          <w:tcPr>
            <w:tcW w:w="2268" w:type="dxa"/>
            <w:tcBorders>
              <w:bottom w:val="single" w:sz="4" w:space="0" w:color="000000"/>
              <w:right w:val="single" w:sz="4" w:space="0" w:color="auto"/>
            </w:tcBorders>
            <w:shd w:val="clear" w:color="auto" w:fill="D9D9D9"/>
            <w:vAlign w:val="center"/>
          </w:tcPr>
          <w:p w:rsidR="002B4E22" w:rsidRPr="0002102E" w:rsidRDefault="002B4E22" w:rsidP="000A604D">
            <w:pPr>
              <w:contextualSpacing/>
              <w:rPr>
                <w:rFonts w:eastAsia="Calibri"/>
                <w:b/>
                <w:color w:val="auto"/>
                <w:sz w:val="18"/>
                <w:szCs w:val="18"/>
              </w:rPr>
            </w:pPr>
            <w:r w:rsidRPr="0002102E">
              <w:rPr>
                <w:rFonts w:eastAsia="Calibri"/>
                <w:b/>
                <w:color w:val="auto"/>
                <w:sz w:val="18"/>
                <w:szCs w:val="18"/>
              </w:rPr>
              <w:t>Condition</w:t>
            </w:r>
          </w:p>
        </w:tc>
        <w:tc>
          <w:tcPr>
            <w:tcW w:w="1170" w:type="dxa"/>
            <w:tcBorders>
              <w:left w:val="single" w:sz="4" w:space="0" w:color="auto"/>
              <w:bottom w:val="single" w:sz="4" w:space="0" w:color="000000"/>
            </w:tcBorders>
            <w:shd w:val="clear" w:color="auto" w:fill="D9D9D9"/>
            <w:vAlign w:val="center"/>
          </w:tcPr>
          <w:p w:rsidR="002B4E22" w:rsidRPr="0002102E" w:rsidRDefault="002B4E22" w:rsidP="00D64DA2">
            <w:pPr>
              <w:spacing w:line="180" w:lineRule="exact"/>
              <w:contextualSpacing/>
              <w:rPr>
                <w:rFonts w:eastAsia="Calibri"/>
                <w:b/>
                <w:color w:val="auto"/>
                <w:sz w:val="18"/>
                <w:szCs w:val="18"/>
              </w:rPr>
            </w:pPr>
            <w:r w:rsidRPr="0002102E">
              <w:rPr>
                <w:rFonts w:eastAsia="Calibri"/>
                <w:b/>
                <w:color w:val="auto"/>
                <w:sz w:val="18"/>
                <w:szCs w:val="18"/>
              </w:rPr>
              <w:t>Code</w:t>
            </w:r>
          </w:p>
        </w:tc>
        <w:tc>
          <w:tcPr>
            <w:tcW w:w="810" w:type="dxa"/>
            <w:tcBorders>
              <w:bottom w:val="single" w:sz="4" w:space="0" w:color="000000"/>
              <w:right w:val="thinThickThinSmallGap" w:sz="24" w:space="0" w:color="auto"/>
            </w:tcBorders>
            <w:shd w:val="clear" w:color="auto" w:fill="D9D9D9"/>
            <w:vAlign w:val="center"/>
          </w:tcPr>
          <w:p w:rsidR="002B4E22" w:rsidRPr="0002102E" w:rsidRDefault="002B4E22" w:rsidP="00D64DA2">
            <w:pPr>
              <w:spacing w:line="180" w:lineRule="exact"/>
              <w:contextualSpacing/>
              <w:rPr>
                <w:rFonts w:eastAsia="Calibri"/>
                <w:b/>
                <w:color w:val="auto"/>
                <w:sz w:val="18"/>
                <w:szCs w:val="18"/>
              </w:rPr>
            </w:pPr>
            <w:r w:rsidRPr="0002102E">
              <w:rPr>
                <w:rFonts w:eastAsia="Calibri"/>
                <w:b/>
                <w:color w:val="auto"/>
                <w:sz w:val="18"/>
                <w:szCs w:val="18"/>
              </w:rPr>
              <w:t>Rating</w:t>
            </w:r>
          </w:p>
        </w:tc>
        <w:tc>
          <w:tcPr>
            <w:tcW w:w="2250" w:type="dxa"/>
            <w:tcBorders>
              <w:left w:val="thinThickThinSmallGap" w:sz="24" w:space="0" w:color="auto"/>
              <w:bottom w:val="single" w:sz="4" w:space="0" w:color="000000"/>
            </w:tcBorders>
            <w:shd w:val="clear" w:color="auto" w:fill="D9D9D9"/>
            <w:vAlign w:val="center"/>
          </w:tcPr>
          <w:p w:rsidR="002B4E22" w:rsidRPr="0002102E" w:rsidRDefault="002B4E22" w:rsidP="00D64DA2">
            <w:pPr>
              <w:spacing w:line="180" w:lineRule="exact"/>
              <w:contextualSpacing/>
              <w:rPr>
                <w:rFonts w:eastAsia="Calibri"/>
                <w:b/>
                <w:color w:val="auto"/>
                <w:sz w:val="18"/>
                <w:szCs w:val="18"/>
              </w:rPr>
            </w:pPr>
            <w:r w:rsidRPr="0002102E">
              <w:rPr>
                <w:rFonts w:eastAsia="Calibri"/>
                <w:b/>
                <w:color w:val="auto"/>
                <w:sz w:val="18"/>
                <w:szCs w:val="18"/>
              </w:rPr>
              <w:t>Condition</w:t>
            </w:r>
          </w:p>
        </w:tc>
        <w:tc>
          <w:tcPr>
            <w:tcW w:w="1080" w:type="dxa"/>
            <w:tcBorders>
              <w:bottom w:val="single" w:sz="4" w:space="0" w:color="000000"/>
            </w:tcBorders>
            <w:shd w:val="clear" w:color="auto" w:fill="D9D9D9"/>
            <w:vAlign w:val="center"/>
          </w:tcPr>
          <w:p w:rsidR="002B4E22" w:rsidRPr="0002102E" w:rsidRDefault="002B4E22" w:rsidP="00D64DA2">
            <w:pPr>
              <w:spacing w:line="180" w:lineRule="exact"/>
              <w:contextualSpacing/>
              <w:rPr>
                <w:rFonts w:eastAsia="Calibri"/>
                <w:b/>
                <w:color w:val="auto"/>
                <w:sz w:val="18"/>
                <w:szCs w:val="18"/>
              </w:rPr>
            </w:pPr>
            <w:r w:rsidRPr="0002102E">
              <w:rPr>
                <w:rFonts w:eastAsia="Calibri"/>
                <w:b/>
                <w:color w:val="auto"/>
                <w:sz w:val="18"/>
                <w:szCs w:val="18"/>
              </w:rPr>
              <w:t>Code</w:t>
            </w:r>
          </w:p>
        </w:tc>
        <w:tc>
          <w:tcPr>
            <w:tcW w:w="756" w:type="dxa"/>
            <w:tcBorders>
              <w:bottom w:val="single" w:sz="4" w:space="0" w:color="000000"/>
            </w:tcBorders>
            <w:shd w:val="clear" w:color="auto" w:fill="D9D9D9"/>
            <w:vAlign w:val="center"/>
          </w:tcPr>
          <w:p w:rsidR="002B4E22" w:rsidRPr="0002102E" w:rsidRDefault="002B4E22" w:rsidP="00D64DA2">
            <w:pPr>
              <w:spacing w:line="180" w:lineRule="exact"/>
              <w:contextualSpacing/>
              <w:rPr>
                <w:rFonts w:eastAsia="Calibri"/>
                <w:b/>
                <w:color w:val="auto"/>
                <w:sz w:val="18"/>
                <w:szCs w:val="18"/>
              </w:rPr>
            </w:pPr>
            <w:r w:rsidRPr="0002102E">
              <w:rPr>
                <w:rFonts w:eastAsia="Calibri"/>
                <w:b/>
                <w:color w:val="auto"/>
                <w:sz w:val="18"/>
                <w:szCs w:val="18"/>
              </w:rPr>
              <w:t>Rating</w:t>
            </w:r>
          </w:p>
        </w:tc>
        <w:tc>
          <w:tcPr>
            <w:tcW w:w="990" w:type="dxa"/>
            <w:tcBorders>
              <w:bottom w:val="single" w:sz="4" w:space="0" w:color="000000"/>
            </w:tcBorders>
            <w:shd w:val="clear" w:color="auto" w:fill="D9D9D9"/>
            <w:vAlign w:val="center"/>
          </w:tcPr>
          <w:p w:rsidR="002B4E22" w:rsidRPr="0002102E" w:rsidRDefault="002B4E22" w:rsidP="00D64DA2">
            <w:pPr>
              <w:spacing w:line="180" w:lineRule="exact"/>
              <w:contextualSpacing/>
              <w:rPr>
                <w:rFonts w:eastAsia="Calibri"/>
                <w:b/>
                <w:color w:val="auto"/>
                <w:sz w:val="18"/>
                <w:szCs w:val="18"/>
              </w:rPr>
            </w:pPr>
            <w:r w:rsidRPr="0002102E">
              <w:rPr>
                <w:rFonts w:eastAsia="Calibri"/>
                <w:b/>
                <w:color w:val="auto"/>
                <w:sz w:val="18"/>
                <w:szCs w:val="18"/>
              </w:rPr>
              <w:t>Exam</w:t>
            </w:r>
          </w:p>
        </w:tc>
      </w:tr>
      <w:tr w:rsidR="009D1925" w:rsidRPr="0002102E" w:rsidTr="00D64DA2">
        <w:trPr>
          <w:trHeight w:val="115"/>
          <w:jc w:val="center"/>
        </w:trPr>
        <w:tc>
          <w:tcPr>
            <w:tcW w:w="2268" w:type="dxa"/>
            <w:tcBorders>
              <w:right w:val="single" w:sz="4" w:space="0" w:color="auto"/>
            </w:tcBorders>
            <w:shd w:val="clear" w:color="auto" w:fill="FFFFFF"/>
            <w:vAlign w:val="center"/>
          </w:tcPr>
          <w:p w:rsidR="009D1925" w:rsidRPr="0002102E" w:rsidRDefault="009D1925" w:rsidP="000A604D">
            <w:pPr>
              <w:spacing w:line="180" w:lineRule="exact"/>
              <w:contextualSpacing/>
              <w:jc w:val="left"/>
              <w:rPr>
                <w:color w:val="auto"/>
                <w:sz w:val="18"/>
                <w:szCs w:val="18"/>
              </w:rPr>
            </w:pPr>
            <w:r w:rsidRPr="0002102E">
              <w:rPr>
                <w:rFonts w:eastAsia="Calibri"/>
                <w:color w:val="auto"/>
                <w:sz w:val="18"/>
                <w:szCs w:val="18"/>
              </w:rPr>
              <w:t xml:space="preserve">Chronic Pain, Right Due to Delay Union Stress Fracture </w:t>
            </w:r>
            <w:r w:rsidRPr="00E51B93">
              <w:rPr>
                <w:rFonts w:eastAsia="Calibri"/>
                <w:color w:val="auto"/>
                <w:sz w:val="18"/>
                <w:szCs w:val="18"/>
              </w:rPr>
              <w:t>Right</w:t>
            </w:r>
            <w:r w:rsidRPr="0002102E">
              <w:rPr>
                <w:rFonts w:eastAsia="Calibri"/>
                <w:color w:val="auto"/>
                <w:sz w:val="18"/>
                <w:szCs w:val="18"/>
              </w:rPr>
              <w:t xml:space="preserve"> Fibula</w:t>
            </w:r>
          </w:p>
        </w:tc>
        <w:tc>
          <w:tcPr>
            <w:tcW w:w="1170" w:type="dxa"/>
            <w:tcBorders>
              <w:left w:val="single" w:sz="4" w:space="0" w:color="auto"/>
            </w:tcBorders>
            <w:shd w:val="clear" w:color="auto" w:fill="FFFFFF"/>
            <w:vAlign w:val="center"/>
          </w:tcPr>
          <w:p w:rsidR="009D1925" w:rsidRPr="0002102E" w:rsidRDefault="009D1925" w:rsidP="00D64DA2">
            <w:pPr>
              <w:spacing w:line="180" w:lineRule="exact"/>
              <w:contextualSpacing/>
              <w:rPr>
                <w:color w:val="auto"/>
                <w:sz w:val="18"/>
                <w:szCs w:val="18"/>
              </w:rPr>
            </w:pPr>
            <w:r w:rsidRPr="0002102E">
              <w:rPr>
                <w:rFonts w:eastAsia="Calibri"/>
                <w:color w:val="auto"/>
                <w:sz w:val="18"/>
                <w:szCs w:val="18"/>
              </w:rPr>
              <w:t>5099</w:t>
            </w:r>
            <w:r w:rsidR="008C47FC">
              <w:rPr>
                <w:rFonts w:eastAsia="Calibri"/>
                <w:color w:val="auto"/>
                <w:sz w:val="18"/>
                <w:szCs w:val="18"/>
              </w:rPr>
              <w:t>-</w:t>
            </w:r>
            <w:r w:rsidRPr="0002102E">
              <w:rPr>
                <w:rFonts w:eastAsia="Calibri"/>
                <w:color w:val="auto"/>
                <w:sz w:val="18"/>
                <w:szCs w:val="18"/>
              </w:rPr>
              <w:t>5003</w:t>
            </w:r>
          </w:p>
        </w:tc>
        <w:tc>
          <w:tcPr>
            <w:tcW w:w="810" w:type="dxa"/>
            <w:tcBorders>
              <w:right w:val="thinThickThinSmallGap" w:sz="24" w:space="0" w:color="auto"/>
            </w:tcBorders>
            <w:shd w:val="clear" w:color="auto" w:fill="FFFFFF"/>
            <w:vAlign w:val="center"/>
          </w:tcPr>
          <w:p w:rsidR="009D1925" w:rsidRPr="0002102E" w:rsidRDefault="009D1925" w:rsidP="00D64DA2">
            <w:pPr>
              <w:spacing w:line="180" w:lineRule="exact"/>
              <w:rPr>
                <w:color w:val="auto"/>
                <w:sz w:val="18"/>
                <w:szCs w:val="18"/>
              </w:rPr>
            </w:pPr>
            <w:r w:rsidRPr="0002102E">
              <w:rPr>
                <w:rFonts w:eastAsia="Calibri"/>
                <w:color w:val="auto"/>
                <w:sz w:val="18"/>
                <w:szCs w:val="18"/>
              </w:rPr>
              <w:t>10%</w:t>
            </w:r>
          </w:p>
        </w:tc>
        <w:tc>
          <w:tcPr>
            <w:tcW w:w="2250" w:type="dxa"/>
            <w:tcBorders>
              <w:left w:val="thinThickThinSmallGap" w:sz="24" w:space="0" w:color="auto"/>
            </w:tcBorders>
            <w:shd w:val="clear" w:color="auto" w:fill="FFFFFF"/>
            <w:vAlign w:val="center"/>
          </w:tcPr>
          <w:p w:rsidR="009D1925" w:rsidRPr="0002102E" w:rsidRDefault="009D1925" w:rsidP="00D64DA2">
            <w:pPr>
              <w:spacing w:line="180" w:lineRule="exact"/>
              <w:contextualSpacing/>
              <w:jc w:val="left"/>
              <w:rPr>
                <w:rFonts w:eastAsia="Calibri"/>
                <w:color w:val="auto"/>
                <w:sz w:val="18"/>
                <w:szCs w:val="18"/>
              </w:rPr>
            </w:pPr>
            <w:r w:rsidRPr="0002102E">
              <w:rPr>
                <w:rFonts w:eastAsia="Calibri"/>
                <w:color w:val="auto"/>
                <w:sz w:val="18"/>
                <w:szCs w:val="18"/>
              </w:rPr>
              <w:t xml:space="preserve">Residual of </w:t>
            </w:r>
            <w:proofErr w:type="spellStart"/>
            <w:r w:rsidRPr="0002102E">
              <w:rPr>
                <w:rFonts w:eastAsia="Calibri"/>
                <w:color w:val="auto"/>
                <w:sz w:val="18"/>
                <w:szCs w:val="18"/>
              </w:rPr>
              <w:t>F</w:t>
            </w:r>
            <w:r w:rsidR="008C47FC">
              <w:rPr>
                <w:rFonts w:eastAsia="Calibri"/>
                <w:color w:val="auto"/>
                <w:sz w:val="18"/>
                <w:szCs w:val="18"/>
              </w:rPr>
              <w:t>x</w:t>
            </w:r>
            <w:proofErr w:type="spellEnd"/>
            <w:r w:rsidRPr="0002102E">
              <w:rPr>
                <w:rFonts w:eastAsia="Calibri"/>
                <w:color w:val="auto"/>
                <w:sz w:val="18"/>
                <w:szCs w:val="18"/>
              </w:rPr>
              <w:t xml:space="preserve"> of </w:t>
            </w:r>
            <w:proofErr w:type="spellStart"/>
            <w:r w:rsidRPr="0002102E">
              <w:rPr>
                <w:rFonts w:eastAsia="Calibri"/>
                <w:color w:val="auto"/>
                <w:sz w:val="18"/>
                <w:szCs w:val="18"/>
              </w:rPr>
              <w:t>R</w:t>
            </w:r>
            <w:r w:rsidR="00D64DA2">
              <w:rPr>
                <w:rFonts w:eastAsia="Calibri"/>
                <w:color w:val="auto"/>
                <w:sz w:val="18"/>
                <w:szCs w:val="18"/>
              </w:rPr>
              <w:t>t</w:t>
            </w:r>
            <w:proofErr w:type="spellEnd"/>
            <w:r w:rsidRPr="0002102E">
              <w:rPr>
                <w:rFonts w:eastAsia="Calibri"/>
                <w:color w:val="auto"/>
                <w:sz w:val="18"/>
                <w:szCs w:val="18"/>
              </w:rPr>
              <w:t xml:space="preserve"> Distal Fibula w</w:t>
            </w:r>
            <w:r w:rsidR="008C47FC">
              <w:rPr>
                <w:rFonts w:eastAsia="Calibri"/>
                <w:color w:val="auto"/>
                <w:sz w:val="18"/>
                <w:szCs w:val="18"/>
              </w:rPr>
              <w:t>/</w:t>
            </w:r>
            <w:r w:rsidRPr="0002102E">
              <w:rPr>
                <w:rFonts w:eastAsia="Calibri"/>
                <w:color w:val="auto"/>
                <w:sz w:val="18"/>
                <w:szCs w:val="18"/>
              </w:rPr>
              <w:t xml:space="preserve"> Stress Syndrome to Include </w:t>
            </w:r>
            <w:proofErr w:type="spellStart"/>
            <w:r w:rsidRPr="0002102E">
              <w:rPr>
                <w:rFonts w:eastAsia="Calibri"/>
                <w:color w:val="auto"/>
                <w:sz w:val="18"/>
                <w:szCs w:val="18"/>
              </w:rPr>
              <w:t>Rt</w:t>
            </w:r>
            <w:proofErr w:type="spellEnd"/>
            <w:r w:rsidRPr="0002102E">
              <w:rPr>
                <w:rFonts w:eastAsia="Calibri"/>
                <w:color w:val="auto"/>
                <w:sz w:val="18"/>
                <w:szCs w:val="18"/>
              </w:rPr>
              <w:t xml:space="preserve"> Ankle Pain</w:t>
            </w:r>
          </w:p>
        </w:tc>
        <w:tc>
          <w:tcPr>
            <w:tcW w:w="1080" w:type="dxa"/>
            <w:shd w:val="clear" w:color="auto" w:fill="FFFFFF"/>
            <w:vAlign w:val="center"/>
          </w:tcPr>
          <w:p w:rsidR="009D1925" w:rsidRPr="0002102E" w:rsidRDefault="009D1925" w:rsidP="00D64DA2">
            <w:pPr>
              <w:spacing w:line="180" w:lineRule="exact"/>
              <w:contextualSpacing/>
              <w:rPr>
                <w:rFonts w:eastAsia="Calibri"/>
                <w:color w:val="auto"/>
                <w:sz w:val="18"/>
                <w:szCs w:val="18"/>
              </w:rPr>
            </w:pPr>
            <w:r w:rsidRPr="0002102E">
              <w:rPr>
                <w:rFonts w:eastAsia="Calibri"/>
                <w:color w:val="auto"/>
                <w:sz w:val="18"/>
                <w:szCs w:val="18"/>
              </w:rPr>
              <w:t>5262</w:t>
            </w:r>
          </w:p>
        </w:tc>
        <w:tc>
          <w:tcPr>
            <w:tcW w:w="756" w:type="dxa"/>
            <w:shd w:val="clear" w:color="auto" w:fill="FFFFFF"/>
            <w:vAlign w:val="center"/>
          </w:tcPr>
          <w:p w:rsidR="009D1925" w:rsidRPr="0002102E" w:rsidRDefault="009D1925" w:rsidP="00D64DA2">
            <w:pPr>
              <w:spacing w:line="180" w:lineRule="exact"/>
              <w:contextualSpacing/>
              <w:rPr>
                <w:rFonts w:eastAsia="Calibri"/>
                <w:color w:val="auto"/>
                <w:sz w:val="18"/>
                <w:szCs w:val="18"/>
              </w:rPr>
            </w:pPr>
            <w:r w:rsidRPr="0002102E">
              <w:rPr>
                <w:rFonts w:eastAsia="Calibri"/>
                <w:color w:val="auto"/>
                <w:sz w:val="18"/>
                <w:szCs w:val="18"/>
              </w:rPr>
              <w:t>10%</w:t>
            </w:r>
          </w:p>
        </w:tc>
        <w:tc>
          <w:tcPr>
            <w:tcW w:w="990" w:type="dxa"/>
            <w:shd w:val="clear" w:color="auto" w:fill="FFFFFF"/>
            <w:vAlign w:val="center"/>
          </w:tcPr>
          <w:p w:rsidR="009D1925" w:rsidRPr="0002102E" w:rsidRDefault="009D1925" w:rsidP="00D64DA2">
            <w:pPr>
              <w:spacing w:line="180" w:lineRule="exact"/>
              <w:contextualSpacing/>
              <w:rPr>
                <w:rFonts w:eastAsia="Calibri"/>
                <w:color w:val="auto"/>
                <w:sz w:val="18"/>
                <w:szCs w:val="18"/>
              </w:rPr>
            </w:pPr>
            <w:r w:rsidRPr="0002102E">
              <w:rPr>
                <w:rFonts w:eastAsia="Calibri"/>
                <w:color w:val="auto"/>
                <w:sz w:val="18"/>
                <w:szCs w:val="18"/>
              </w:rPr>
              <w:t>20050114</w:t>
            </w:r>
          </w:p>
        </w:tc>
      </w:tr>
      <w:tr w:rsidR="009D1925" w:rsidRPr="0002102E" w:rsidTr="00D64DA2">
        <w:trPr>
          <w:trHeight w:val="115"/>
          <w:jc w:val="center"/>
        </w:trPr>
        <w:tc>
          <w:tcPr>
            <w:tcW w:w="4248" w:type="dxa"/>
            <w:gridSpan w:val="3"/>
            <w:vMerge w:val="restart"/>
            <w:tcBorders>
              <w:right w:val="thinThickThinSmallGap" w:sz="24" w:space="0" w:color="auto"/>
            </w:tcBorders>
            <w:shd w:val="clear" w:color="auto" w:fill="FFFFFF"/>
            <w:vAlign w:val="center"/>
          </w:tcPr>
          <w:p w:rsidR="009D1925" w:rsidRPr="0002102E" w:rsidRDefault="009D1925" w:rsidP="00D64DA2">
            <w:pPr>
              <w:spacing w:line="180" w:lineRule="exact"/>
              <w:rPr>
                <w:rFonts w:eastAsia="Calibri"/>
                <w:color w:val="auto"/>
                <w:sz w:val="18"/>
                <w:szCs w:val="18"/>
              </w:rPr>
            </w:pPr>
            <w:r w:rsidRPr="0002102E">
              <w:rPr>
                <w:rFonts w:eastAsia="Calibri"/>
                <w:color w:val="auto"/>
                <w:sz w:val="18"/>
                <w:szCs w:val="18"/>
              </w:rPr>
              <w:t>↓No Additional MEB/PEB Entries↓</w:t>
            </w:r>
          </w:p>
        </w:tc>
        <w:tc>
          <w:tcPr>
            <w:tcW w:w="2250" w:type="dxa"/>
            <w:tcBorders>
              <w:left w:val="thinThickThinSmallGap" w:sz="24" w:space="0" w:color="auto"/>
            </w:tcBorders>
            <w:shd w:val="clear" w:color="auto" w:fill="FFFFFF"/>
            <w:vAlign w:val="center"/>
          </w:tcPr>
          <w:p w:rsidR="009D1925" w:rsidRPr="0002102E" w:rsidRDefault="009D1925" w:rsidP="00D64DA2">
            <w:pPr>
              <w:spacing w:line="180" w:lineRule="exact"/>
              <w:contextualSpacing/>
              <w:jc w:val="left"/>
              <w:rPr>
                <w:rFonts w:eastAsia="Calibri"/>
                <w:color w:val="auto"/>
                <w:sz w:val="18"/>
                <w:szCs w:val="18"/>
              </w:rPr>
            </w:pPr>
            <w:r w:rsidRPr="0002102E">
              <w:rPr>
                <w:rFonts w:eastAsia="Calibri"/>
                <w:color w:val="auto"/>
                <w:sz w:val="18"/>
                <w:szCs w:val="18"/>
              </w:rPr>
              <w:t>DJD of the Right Knee</w:t>
            </w:r>
          </w:p>
        </w:tc>
        <w:tc>
          <w:tcPr>
            <w:tcW w:w="1080" w:type="dxa"/>
            <w:shd w:val="clear" w:color="auto" w:fill="FFFFFF"/>
            <w:vAlign w:val="center"/>
          </w:tcPr>
          <w:p w:rsidR="009D1925" w:rsidRPr="0002102E" w:rsidRDefault="009D1925" w:rsidP="00D64DA2">
            <w:pPr>
              <w:spacing w:line="180" w:lineRule="exact"/>
              <w:contextualSpacing/>
              <w:rPr>
                <w:color w:val="auto"/>
                <w:sz w:val="18"/>
                <w:szCs w:val="18"/>
              </w:rPr>
            </w:pPr>
            <w:r w:rsidRPr="0002102E">
              <w:rPr>
                <w:rFonts w:eastAsia="Calibri"/>
                <w:color w:val="auto"/>
                <w:sz w:val="18"/>
                <w:szCs w:val="18"/>
              </w:rPr>
              <w:t>5010</w:t>
            </w:r>
          </w:p>
        </w:tc>
        <w:tc>
          <w:tcPr>
            <w:tcW w:w="756" w:type="dxa"/>
            <w:shd w:val="clear" w:color="auto" w:fill="FFFFFF"/>
            <w:vAlign w:val="center"/>
          </w:tcPr>
          <w:p w:rsidR="009D1925" w:rsidRPr="0002102E" w:rsidRDefault="009D1925" w:rsidP="00D64DA2">
            <w:pPr>
              <w:spacing w:line="180" w:lineRule="exact"/>
              <w:contextualSpacing/>
              <w:rPr>
                <w:color w:val="auto"/>
                <w:sz w:val="18"/>
                <w:szCs w:val="18"/>
              </w:rPr>
            </w:pPr>
            <w:r w:rsidRPr="0002102E">
              <w:rPr>
                <w:rFonts w:eastAsia="Calibri"/>
                <w:color w:val="auto"/>
                <w:sz w:val="18"/>
                <w:szCs w:val="18"/>
              </w:rPr>
              <w:t>10%</w:t>
            </w:r>
            <w:r w:rsidR="00F11103">
              <w:rPr>
                <w:rFonts w:eastAsia="Calibri"/>
                <w:color w:val="auto"/>
                <w:sz w:val="18"/>
                <w:szCs w:val="18"/>
              </w:rPr>
              <w:t>*</w:t>
            </w:r>
          </w:p>
        </w:tc>
        <w:tc>
          <w:tcPr>
            <w:tcW w:w="990" w:type="dxa"/>
            <w:shd w:val="clear" w:color="auto" w:fill="FFFFFF"/>
            <w:vAlign w:val="center"/>
          </w:tcPr>
          <w:p w:rsidR="009D1925" w:rsidRPr="0002102E" w:rsidRDefault="009D1925" w:rsidP="00D64DA2">
            <w:pPr>
              <w:spacing w:line="180" w:lineRule="exact"/>
              <w:contextualSpacing/>
              <w:rPr>
                <w:color w:val="auto"/>
                <w:sz w:val="18"/>
                <w:szCs w:val="18"/>
              </w:rPr>
            </w:pPr>
            <w:r w:rsidRPr="0002102E">
              <w:rPr>
                <w:rFonts w:eastAsia="Calibri"/>
                <w:color w:val="auto"/>
                <w:sz w:val="18"/>
                <w:szCs w:val="18"/>
              </w:rPr>
              <w:t>20050114</w:t>
            </w:r>
          </w:p>
        </w:tc>
      </w:tr>
      <w:tr w:rsidR="009D1925" w:rsidRPr="0002102E" w:rsidTr="00D64DA2">
        <w:trPr>
          <w:trHeight w:val="251"/>
          <w:jc w:val="center"/>
        </w:trPr>
        <w:tc>
          <w:tcPr>
            <w:tcW w:w="4248" w:type="dxa"/>
            <w:gridSpan w:val="3"/>
            <w:vMerge/>
            <w:tcBorders>
              <w:right w:val="thinThickThinSmallGap" w:sz="24" w:space="0" w:color="auto"/>
            </w:tcBorders>
            <w:shd w:val="clear" w:color="auto" w:fill="FFFFFF"/>
            <w:vAlign w:val="center"/>
          </w:tcPr>
          <w:p w:rsidR="009D1925" w:rsidRPr="0002102E" w:rsidRDefault="009D1925" w:rsidP="00D64DA2">
            <w:pPr>
              <w:spacing w:line="180" w:lineRule="exact"/>
              <w:rPr>
                <w:rFonts w:eastAsia="Calibri"/>
                <w:color w:val="auto"/>
                <w:sz w:val="18"/>
                <w:szCs w:val="18"/>
              </w:rPr>
            </w:pPr>
          </w:p>
        </w:tc>
        <w:tc>
          <w:tcPr>
            <w:tcW w:w="2250" w:type="dxa"/>
            <w:tcBorders>
              <w:left w:val="thinThickThinSmallGap" w:sz="24" w:space="0" w:color="auto"/>
              <w:right w:val="single" w:sz="4" w:space="0" w:color="auto"/>
            </w:tcBorders>
            <w:shd w:val="clear" w:color="auto" w:fill="FFFFFF"/>
            <w:vAlign w:val="center"/>
          </w:tcPr>
          <w:p w:rsidR="009D1925" w:rsidRPr="0002102E" w:rsidRDefault="009D1925" w:rsidP="00D64DA2">
            <w:pPr>
              <w:spacing w:line="180" w:lineRule="exact"/>
              <w:contextualSpacing/>
              <w:jc w:val="left"/>
              <w:rPr>
                <w:color w:val="auto"/>
                <w:sz w:val="18"/>
                <w:szCs w:val="18"/>
              </w:rPr>
            </w:pPr>
            <w:r w:rsidRPr="0002102E">
              <w:rPr>
                <w:rFonts w:eastAsia="Calibri"/>
                <w:color w:val="auto"/>
                <w:sz w:val="18"/>
                <w:szCs w:val="18"/>
              </w:rPr>
              <w:t>GERD</w:t>
            </w:r>
          </w:p>
        </w:tc>
        <w:tc>
          <w:tcPr>
            <w:tcW w:w="1080" w:type="dxa"/>
            <w:tcBorders>
              <w:left w:val="single" w:sz="4" w:space="0" w:color="auto"/>
            </w:tcBorders>
            <w:shd w:val="clear" w:color="auto" w:fill="FFFFFF"/>
            <w:vAlign w:val="center"/>
          </w:tcPr>
          <w:p w:rsidR="009D1925" w:rsidRPr="0002102E" w:rsidRDefault="009D1925" w:rsidP="00D64DA2">
            <w:pPr>
              <w:spacing w:line="180" w:lineRule="exact"/>
              <w:contextualSpacing/>
              <w:rPr>
                <w:color w:val="auto"/>
                <w:sz w:val="18"/>
                <w:szCs w:val="18"/>
              </w:rPr>
            </w:pPr>
            <w:r w:rsidRPr="0002102E">
              <w:rPr>
                <w:rFonts w:eastAsia="Calibri"/>
                <w:color w:val="auto"/>
                <w:sz w:val="18"/>
                <w:szCs w:val="18"/>
              </w:rPr>
              <w:t>7307</w:t>
            </w:r>
            <w:r w:rsidR="00D64DA2">
              <w:rPr>
                <w:rFonts w:eastAsia="Calibri"/>
                <w:color w:val="auto"/>
                <w:sz w:val="18"/>
                <w:szCs w:val="18"/>
              </w:rPr>
              <w:t>-</w:t>
            </w:r>
            <w:r w:rsidRPr="0002102E">
              <w:rPr>
                <w:rFonts w:eastAsia="Calibri"/>
                <w:color w:val="auto"/>
                <w:sz w:val="18"/>
                <w:szCs w:val="18"/>
              </w:rPr>
              <w:t>7346</w:t>
            </w:r>
          </w:p>
        </w:tc>
        <w:tc>
          <w:tcPr>
            <w:tcW w:w="756" w:type="dxa"/>
            <w:shd w:val="clear" w:color="auto" w:fill="FFFFFF"/>
            <w:vAlign w:val="center"/>
          </w:tcPr>
          <w:p w:rsidR="009D1925" w:rsidRPr="0002102E" w:rsidRDefault="009D1925" w:rsidP="00D64DA2">
            <w:pPr>
              <w:spacing w:line="180" w:lineRule="exact"/>
              <w:contextualSpacing/>
              <w:rPr>
                <w:color w:val="auto"/>
                <w:sz w:val="18"/>
                <w:szCs w:val="18"/>
              </w:rPr>
            </w:pPr>
            <w:r w:rsidRPr="0002102E">
              <w:rPr>
                <w:rFonts w:eastAsia="Calibri"/>
                <w:color w:val="auto"/>
                <w:sz w:val="18"/>
                <w:szCs w:val="18"/>
              </w:rPr>
              <w:t>30%</w:t>
            </w:r>
            <w:r w:rsidR="00F11103">
              <w:rPr>
                <w:rFonts w:eastAsia="Calibri"/>
                <w:color w:val="auto"/>
                <w:sz w:val="18"/>
                <w:szCs w:val="18"/>
              </w:rPr>
              <w:t>*</w:t>
            </w:r>
          </w:p>
        </w:tc>
        <w:tc>
          <w:tcPr>
            <w:tcW w:w="990" w:type="dxa"/>
            <w:shd w:val="clear" w:color="auto" w:fill="FFFFFF"/>
            <w:vAlign w:val="center"/>
          </w:tcPr>
          <w:p w:rsidR="009D1925" w:rsidRPr="0002102E" w:rsidRDefault="009D1925" w:rsidP="00D64DA2">
            <w:pPr>
              <w:spacing w:line="180" w:lineRule="exact"/>
              <w:contextualSpacing/>
              <w:rPr>
                <w:b/>
                <w:color w:val="auto"/>
                <w:sz w:val="18"/>
                <w:szCs w:val="18"/>
              </w:rPr>
            </w:pPr>
            <w:r w:rsidRPr="0002102E">
              <w:rPr>
                <w:rFonts w:eastAsia="Calibri"/>
                <w:b/>
                <w:color w:val="auto"/>
                <w:sz w:val="18"/>
                <w:szCs w:val="18"/>
              </w:rPr>
              <w:t>20060522</w:t>
            </w:r>
          </w:p>
        </w:tc>
      </w:tr>
      <w:tr w:rsidR="009D1925" w:rsidRPr="0002102E" w:rsidTr="00D64DA2">
        <w:trPr>
          <w:trHeight w:val="260"/>
          <w:jc w:val="center"/>
        </w:trPr>
        <w:tc>
          <w:tcPr>
            <w:tcW w:w="4248" w:type="dxa"/>
            <w:gridSpan w:val="3"/>
            <w:vMerge/>
            <w:tcBorders>
              <w:right w:val="thinThickThinSmallGap" w:sz="24" w:space="0" w:color="auto"/>
            </w:tcBorders>
            <w:shd w:val="clear" w:color="auto" w:fill="FFFFFF"/>
            <w:vAlign w:val="center"/>
          </w:tcPr>
          <w:p w:rsidR="009D1925" w:rsidRPr="0002102E" w:rsidRDefault="009D1925" w:rsidP="00D64DA2">
            <w:pPr>
              <w:spacing w:line="180" w:lineRule="exact"/>
              <w:contextualSpacing/>
              <w:rPr>
                <w:color w:val="auto"/>
                <w:sz w:val="18"/>
                <w:szCs w:val="18"/>
                <w:highlight w:val="yellow"/>
              </w:rPr>
            </w:pPr>
          </w:p>
        </w:tc>
        <w:tc>
          <w:tcPr>
            <w:tcW w:w="2250" w:type="dxa"/>
            <w:tcBorders>
              <w:left w:val="thinThickThinSmallGap" w:sz="24" w:space="0" w:color="auto"/>
              <w:right w:val="single" w:sz="4" w:space="0" w:color="auto"/>
            </w:tcBorders>
            <w:shd w:val="clear" w:color="auto" w:fill="FFFFFF"/>
            <w:vAlign w:val="center"/>
          </w:tcPr>
          <w:p w:rsidR="009D1925" w:rsidRPr="0002102E" w:rsidRDefault="009D1925" w:rsidP="00D64DA2">
            <w:pPr>
              <w:spacing w:line="180" w:lineRule="exact"/>
              <w:contextualSpacing/>
              <w:jc w:val="left"/>
              <w:rPr>
                <w:rFonts w:eastAsia="Calibri"/>
                <w:color w:val="auto"/>
                <w:sz w:val="18"/>
                <w:szCs w:val="18"/>
              </w:rPr>
            </w:pPr>
            <w:r w:rsidRPr="0002102E">
              <w:rPr>
                <w:rFonts w:eastAsia="Calibri"/>
                <w:color w:val="auto"/>
                <w:sz w:val="18"/>
                <w:szCs w:val="18"/>
              </w:rPr>
              <w:t>Major Depressive Disorder</w:t>
            </w:r>
          </w:p>
        </w:tc>
        <w:tc>
          <w:tcPr>
            <w:tcW w:w="1080" w:type="dxa"/>
            <w:tcBorders>
              <w:left w:val="single" w:sz="4" w:space="0" w:color="auto"/>
            </w:tcBorders>
            <w:shd w:val="clear" w:color="auto" w:fill="FFFFFF"/>
            <w:vAlign w:val="center"/>
          </w:tcPr>
          <w:p w:rsidR="009D1925" w:rsidRPr="0002102E" w:rsidRDefault="009D1925" w:rsidP="00D64DA2">
            <w:pPr>
              <w:spacing w:line="180" w:lineRule="exact"/>
              <w:contextualSpacing/>
              <w:rPr>
                <w:rFonts w:eastAsia="Calibri"/>
                <w:color w:val="auto"/>
                <w:sz w:val="18"/>
                <w:szCs w:val="18"/>
              </w:rPr>
            </w:pPr>
            <w:r w:rsidRPr="0002102E">
              <w:rPr>
                <w:rFonts w:eastAsia="Calibri"/>
                <w:color w:val="auto"/>
                <w:sz w:val="18"/>
                <w:szCs w:val="18"/>
              </w:rPr>
              <w:t>9434</w:t>
            </w:r>
          </w:p>
        </w:tc>
        <w:tc>
          <w:tcPr>
            <w:tcW w:w="756" w:type="dxa"/>
            <w:shd w:val="clear" w:color="auto" w:fill="FFFFFF"/>
            <w:vAlign w:val="center"/>
          </w:tcPr>
          <w:p w:rsidR="009D1925" w:rsidRPr="0002102E" w:rsidRDefault="009D1925" w:rsidP="00D64DA2">
            <w:pPr>
              <w:spacing w:line="180" w:lineRule="exact"/>
              <w:contextualSpacing/>
              <w:rPr>
                <w:rFonts w:eastAsia="Calibri"/>
                <w:color w:val="auto"/>
                <w:sz w:val="18"/>
                <w:szCs w:val="18"/>
              </w:rPr>
            </w:pPr>
            <w:r w:rsidRPr="0002102E">
              <w:rPr>
                <w:rFonts w:eastAsia="Calibri"/>
                <w:color w:val="auto"/>
                <w:sz w:val="18"/>
                <w:szCs w:val="18"/>
              </w:rPr>
              <w:t>30%</w:t>
            </w:r>
            <w:r w:rsidR="00F11103">
              <w:rPr>
                <w:rFonts w:eastAsia="Calibri"/>
                <w:color w:val="auto"/>
                <w:sz w:val="18"/>
                <w:szCs w:val="18"/>
              </w:rPr>
              <w:t>*</w:t>
            </w:r>
          </w:p>
        </w:tc>
        <w:tc>
          <w:tcPr>
            <w:tcW w:w="990" w:type="dxa"/>
            <w:shd w:val="clear" w:color="auto" w:fill="FFFFFF"/>
            <w:vAlign w:val="center"/>
          </w:tcPr>
          <w:p w:rsidR="009D1925" w:rsidRPr="0002102E" w:rsidRDefault="009D1925" w:rsidP="00D64DA2">
            <w:pPr>
              <w:spacing w:line="180" w:lineRule="exact"/>
              <w:contextualSpacing/>
              <w:rPr>
                <w:b/>
                <w:color w:val="auto"/>
                <w:sz w:val="18"/>
                <w:szCs w:val="18"/>
              </w:rPr>
            </w:pPr>
            <w:r w:rsidRPr="0002102E">
              <w:rPr>
                <w:b/>
                <w:color w:val="auto"/>
                <w:sz w:val="18"/>
                <w:szCs w:val="18"/>
              </w:rPr>
              <w:t>20091020</w:t>
            </w:r>
          </w:p>
        </w:tc>
      </w:tr>
      <w:tr w:rsidR="009D1925" w:rsidRPr="0002102E" w:rsidTr="00D64DA2">
        <w:trPr>
          <w:trHeight w:val="260"/>
          <w:jc w:val="center"/>
        </w:trPr>
        <w:tc>
          <w:tcPr>
            <w:tcW w:w="4248" w:type="dxa"/>
            <w:gridSpan w:val="3"/>
            <w:vMerge/>
            <w:tcBorders>
              <w:right w:val="thinThickThinSmallGap" w:sz="24" w:space="0" w:color="auto"/>
            </w:tcBorders>
            <w:shd w:val="clear" w:color="auto" w:fill="FFFFFF"/>
            <w:vAlign w:val="center"/>
          </w:tcPr>
          <w:p w:rsidR="009D1925" w:rsidRPr="0002102E" w:rsidRDefault="009D1925" w:rsidP="00D64DA2">
            <w:pPr>
              <w:spacing w:line="180" w:lineRule="exact"/>
              <w:contextualSpacing/>
              <w:rPr>
                <w:color w:val="auto"/>
                <w:sz w:val="18"/>
                <w:szCs w:val="18"/>
                <w:highlight w:val="yellow"/>
              </w:rPr>
            </w:pPr>
          </w:p>
        </w:tc>
        <w:tc>
          <w:tcPr>
            <w:tcW w:w="2250" w:type="dxa"/>
            <w:tcBorders>
              <w:left w:val="thinThickThinSmallGap" w:sz="24" w:space="0" w:color="auto"/>
              <w:right w:val="single" w:sz="4" w:space="0" w:color="auto"/>
            </w:tcBorders>
            <w:shd w:val="clear" w:color="auto" w:fill="FFFFFF"/>
            <w:vAlign w:val="center"/>
          </w:tcPr>
          <w:p w:rsidR="009D1925" w:rsidRPr="0002102E" w:rsidRDefault="009D1925" w:rsidP="00D64DA2">
            <w:pPr>
              <w:spacing w:line="180" w:lineRule="exact"/>
              <w:contextualSpacing/>
              <w:jc w:val="left"/>
              <w:rPr>
                <w:rFonts w:eastAsia="Calibri"/>
                <w:color w:val="auto"/>
                <w:sz w:val="18"/>
                <w:szCs w:val="18"/>
              </w:rPr>
            </w:pPr>
            <w:r w:rsidRPr="0002102E">
              <w:rPr>
                <w:rFonts w:eastAsia="Calibri"/>
                <w:color w:val="auto"/>
                <w:sz w:val="18"/>
                <w:szCs w:val="18"/>
              </w:rPr>
              <w:t>Lumbar Strain</w:t>
            </w:r>
          </w:p>
        </w:tc>
        <w:tc>
          <w:tcPr>
            <w:tcW w:w="1080" w:type="dxa"/>
            <w:tcBorders>
              <w:left w:val="single" w:sz="4" w:space="0" w:color="auto"/>
            </w:tcBorders>
            <w:shd w:val="clear" w:color="auto" w:fill="FFFFFF"/>
            <w:vAlign w:val="center"/>
          </w:tcPr>
          <w:p w:rsidR="009D1925" w:rsidRPr="0002102E" w:rsidRDefault="009D1925" w:rsidP="00D64DA2">
            <w:pPr>
              <w:spacing w:line="180" w:lineRule="exact"/>
              <w:contextualSpacing/>
              <w:rPr>
                <w:rFonts w:eastAsia="Calibri"/>
                <w:color w:val="auto"/>
                <w:sz w:val="18"/>
                <w:szCs w:val="18"/>
              </w:rPr>
            </w:pPr>
            <w:r w:rsidRPr="0002102E">
              <w:rPr>
                <w:rFonts w:eastAsia="Calibri"/>
                <w:color w:val="auto"/>
                <w:sz w:val="18"/>
                <w:szCs w:val="18"/>
              </w:rPr>
              <w:t>5237</w:t>
            </w:r>
          </w:p>
        </w:tc>
        <w:tc>
          <w:tcPr>
            <w:tcW w:w="756" w:type="dxa"/>
            <w:shd w:val="clear" w:color="auto" w:fill="FFFFFF"/>
            <w:vAlign w:val="center"/>
          </w:tcPr>
          <w:p w:rsidR="009D1925" w:rsidRPr="0002102E" w:rsidRDefault="009D1925" w:rsidP="00D64DA2">
            <w:pPr>
              <w:spacing w:line="180" w:lineRule="exact"/>
              <w:contextualSpacing/>
              <w:rPr>
                <w:rFonts w:eastAsia="Calibri"/>
                <w:color w:val="auto"/>
                <w:sz w:val="18"/>
                <w:szCs w:val="18"/>
              </w:rPr>
            </w:pPr>
            <w:r w:rsidRPr="0002102E">
              <w:rPr>
                <w:rFonts w:eastAsia="Calibri"/>
                <w:color w:val="auto"/>
                <w:sz w:val="18"/>
                <w:szCs w:val="18"/>
              </w:rPr>
              <w:t>10%</w:t>
            </w:r>
            <w:r w:rsidR="00F11103">
              <w:rPr>
                <w:rFonts w:eastAsia="Calibri"/>
                <w:color w:val="auto"/>
                <w:sz w:val="18"/>
                <w:szCs w:val="18"/>
              </w:rPr>
              <w:t>*</w:t>
            </w:r>
          </w:p>
        </w:tc>
        <w:tc>
          <w:tcPr>
            <w:tcW w:w="990" w:type="dxa"/>
            <w:shd w:val="clear" w:color="auto" w:fill="FFFFFF"/>
            <w:vAlign w:val="center"/>
          </w:tcPr>
          <w:p w:rsidR="009D1925" w:rsidRPr="0002102E" w:rsidRDefault="009D1925" w:rsidP="00D64DA2">
            <w:pPr>
              <w:spacing w:line="180" w:lineRule="exact"/>
              <w:contextualSpacing/>
              <w:rPr>
                <w:b/>
                <w:color w:val="auto"/>
                <w:sz w:val="18"/>
                <w:szCs w:val="18"/>
              </w:rPr>
            </w:pPr>
            <w:r w:rsidRPr="0002102E">
              <w:rPr>
                <w:b/>
                <w:color w:val="auto"/>
                <w:sz w:val="18"/>
                <w:szCs w:val="18"/>
              </w:rPr>
              <w:t>20100415</w:t>
            </w:r>
          </w:p>
        </w:tc>
      </w:tr>
      <w:tr w:rsidR="009D1925" w:rsidRPr="0002102E" w:rsidTr="00D64DA2">
        <w:trPr>
          <w:trHeight w:val="260"/>
          <w:jc w:val="center"/>
        </w:trPr>
        <w:tc>
          <w:tcPr>
            <w:tcW w:w="4248" w:type="dxa"/>
            <w:gridSpan w:val="3"/>
            <w:vMerge/>
            <w:tcBorders>
              <w:right w:val="thinThickThinSmallGap" w:sz="24" w:space="0" w:color="auto"/>
            </w:tcBorders>
            <w:shd w:val="clear" w:color="auto" w:fill="FFFFFF"/>
            <w:vAlign w:val="center"/>
          </w:tcPr>
          <w:p w:rsidR="009D1925" w:rsidRPr="0002102E" w:rsidRDefault="009D1925" w:rsidP="00D64DA2">
            <w:pPr>
              <w:spacing w:line="180" w:lineRule="exact"/>
              <w:contextualSpacing/>
              <w:rPr>
                <w:color w:val="auto"/>
                <w:sz w:val="18"/>
                <w:szCs w:val="18"/>
              </w:rPr>
            </w:pPr>
          </w:p>
        </w:tc>
        <w:tc>
          <w:tcPr>
            <w:tcW w:w="2250" w:type="dxa"/>
            <w:tcBorders>
              <w:left w:val="thinThickThinSmallGap" w:sz="24" w:space="0" w:color="auto"/>
              <w:right w:val="single" w:sz="4" w:space="0" w:color="auto"/>
            </w:tcBorders>
            <w:shd w:val="clear" w:color="auto" w:fill="FFFFFF"/>
            <w:vAlign w:val="center"/>
          </w:tcPr>
          <w:p w:rsidR="009D1925" w:rsidRPr="0002102E" w:rsidRDefault="009D1925" w:rsidP="00D64DA2">
            <w:pPr>
              <w:spacing w:line="180" w:lineRule="exact"/>
              <w:contextualSpacing/>
              <w:jc w:val="left"/>
              <w:rPr>
                <w:rFonts w:eastAsia="Calibri"/>
                <w:color w:val="auto"/>
                <w:sz w:val="18"/>
                <w:szCs w:val="18"/>
              </w:rPr>
            </w:pPr>
            <w:r w:rsidRPr="0002102E">
              <w:rPr>
                <w:rFonts w:eastAsia="Calibri"/>
                <w:color w:val="auto"/>
                <w:sz w:val="18"/>
                <w:szCs w:val="18"/>
              </w:rPr>
              <w:t>Keratoconjunctivitis Scicca</w:t>
            </w:r>
          </w:p>
        </w:tc>
        <w:tc>
          <w:tcPr>
            <w:tcW w:w="1080" w:type="dxa"/>
            <w:tcBorders>
              <w:left w:val="single" w:sz="4" w:space="0" w:color="auto"/>
              <w:right w:val="single" w:sz="4" w:space="0" w:color="auto"/>
            </w:tcBorders>
            <w:shd w:val="clear" w:color="auto" w:fill="FFFFFF"/>
            <w:vAlign w:val="center"/>
          </w:tcPr>
          <w:p w:rsidR="009D1925" w:rsidRPr="0002102E" w:rsidRDefault="009D1925" w:rsidP="00D64DA2">
            <w:pPr>
              <w:spacing w:line="180" w:lineRule="exact"/>
              <w:contextualSpacing/>
              <w:rPr>
                <w:rFonts w:eastAsia="Calibri"/>
                <w:color w:val="auto"/>
                <w:sz w:val="18"/>
                <w:szCs w:val="18"/>
              </w:rPr>
            </w:pPr>
            <w:r w:rsidRPr="0002102E">
              <w:rPr>
                <w:rFonts w:eastAsia="Calibri"/>
                <w:color w:val="auto"/>
                <w:sz w:val="18"/>
                <w:szCs w:val="18"/>
              </w:rPr>
              <w:t>6018</w:t>
            </w:r>
          </w:p>
        </w:tc>
        <w:tc>
          <w:tcPr>
            <w:tcW w:w="756" w:type="dxa"/>
            <w:tcBorders>
              <w:left w:val="single" w:sz="4" w:space="0" w:color="auto"/>
            </w:tcBorders>
            <w:shd w:val="clear" w:color="auto" w:fill="FFFFFF"/>
            <w:vAlign w:val="center"/>
          </w:tcPr>
          <w:p w:rsidR="009D1925" w:rsidRPr="0002102E" w:rsidRDefault="009D1925" w:rsidP="00D64DA2">
            <w:pPr>
              <w:spacing w:line="180" w:lineRule="exact"/>
              <w:contextualSpacing/>
              <w:rPr>
                <w:rFonts w:eastAsia="Calibri"/>
                <w:color w:val="auto"/>
                <w:sz w:val="18"/>
                <w:szCs w:val="18"/>
              </w:rPr>
            </w:pPr>
            <w:r w:rsidRPr="0002102E">
              <w:rPr>
                <w:rFonts w:eastAsia="Calibri"/>
                <w:color w:val="auto"/>
                <w:sz w:val="18"/>
                <w:szCs w:val="18"/>
              </w:rPr>
              <w:t>10%</w:t>
            </w:r>
            <w:r w:rsidR="00F11103">
              <w:rPr>
                <w:rFonts w:eastAsia="Calibri"/>
                <w:color w:val="auto"/>
                <w:sz w:val="18"/>
                <w:szCs w:val="18"/>
              </w:rPr>
              <w:t>*</w:t>
            </w:r>
          </w:p>
        </w:tc>
        <w:tc>
          <w:tcPr>
            <w:tcW w:w="990" w:type="dxa"/>
            <w:shd w:val="clear" w:color="auto" w:fill="FFFFFF"/>
            <w:vAlign w:val="center"/>
          </w:tcPr>
          <w:p w:rsidR="009D1925" w:rsidRPr="0002102E" w:rsidRDefault="009D1925" w:rsidP="00D64DA2">
            <w:pPr>
              <w:spacing w:line="180" w:lineRule="exact"/>
              <w:contextualSpacing/>
              <w:rPr>
                <w:color w:val="auto"/>
                <w:sz w:val="18"/>
                <w:szCs w:val="18"/>
              </w:rPr>
            </w:pPr>
            <w:r w:rsidRPr="0002102E">
              <w:rPr>
                <w:rFonts w:eastAsia="Calibri"/>
                <w:color w:val="auto"/>
                <w:sz w:val="18"/>
                <w:szCs w:val="18"/>
              </w:rPr>
              <w:t>20050114</w:t>
            </w:r>
          </w:p>
        </w:tc>
      </w:tr>
      <w:tr w:rsidR="009D1925" w:rsidRPr="0002102E" w:rsidTr="008C47FC">
        <w:trPr>
          <w:trHeight w:val="251"/>
          <w:jc w:val="center"/>
        </w:trPr>
        <w:tc>
          <w:tcPr>
            <w:tcW w:w="4248" w:type="dxa"/>
            <w:gridSpan w:val="3"/>
            <w:vMerge/>
            <w:tcBorders>
              <w:right w:val="thinThickThinSmallGap" w:sz="24" w:space="0" w:color="auto"/>
            </w:tcBorders>
            <w:shd w:val="clear" w:color="auto" w:fill="FFFFFF"/>
          </w:tcPr>
          <w:p w:rsidR="009D1925" w:rsidRPr="0002102E" w:rsidRDefault="009D1925" w:rsidP="00D64DA2">
            <w:pPr>
              <w:spacing w:line="180" w:lineRule="exact"/>
              <w:contextualSpacing/>
              <w:rPr>
                <w:color w:val="auto"/>
                <w:sz w:val="18"/>
                <w:szCs w:val="18"/>
              </w:rPr>
            </w:pPr>
          </w:p>
        </w:tc>
        <w:tc>
          <w:tcPr>
            <w:tcW w:w="4086" w:type="dxa"/>
            <w:gridSpan w:val="3"/>
            <w:tcBorders>
              <w:left w:val="thinThickThinSmallGap" w:sz="24" w:space="0" w:color="auto"/>
            </w:tcBorders>
            <w:shd w:val="clear" w:color="auto" w:fill="FFFFFF"/>
            <w:vAlign w:val="center"/>
          </w:tcPr>
          <w:p w:rsidR="009D1925" w:rsidRPr="0002102E" w:rsidRDefault="009D1925" w:rsidP="00D64DA2">
            <w:pPr>
              <w:spacing w:line="180" w:lineRule="exact"/>
              <w:contextualSpacing/>
              <w:rPr>
                <w:color w:val="auto"/>
                <w:sz w:val="18"/>
                <w:szCs w:val="18"/>
              </w:rPr>
            </w:pPr>
            <w:r w:rsidRPr="0002102E">
              <w:rPr>
                <w:rFonts w:eastAsia="Calibri"/>
                <w:color w:val="auto"/>
                <w:sz w:val="18"/>
                <w:szCs w:val="18"/>
              </w:rPr>
              <w:t>0% x 1/Not Service Connected x 18</w:t>
            </w:r>
          </w:p>
        </w:tc>
        <w:tc>
          <w:tcPr>
            <w:tcW w:w="990" w:type="dxa"/>
            <w:shd w:val="clear" w:color="auto" w:fill="FFFFFF"/>
            <w:vAlign w:val="center"/>
          </w:tcPr>
          <w:p w:rsidR="009D1925" w:rsidRPr="0002102E" w:rsidRDefault="009D1925" w:rsidP="00D64DA2">
            <w:pPr>
              <w:spacing w:line="180" w:lineRule="exact"/>
              <w:contextualSpacing/>
              <w:rPr>
                <w:color w:val="auto"/>
                <w:sz w:val="18"/>
                <w:szCs w:val="18"/>
              </w:rPr>
            </w:pPr>
            <w:r w:rsidRPr="0002102E">
              <w:rPr>
                <w:rFonts w:eastAsia="Calibri"/>
                <w:color w:val="auto"/>
                <w:sz w:val="18"/>
                <w:szCs w:val="18"/>
              </w:rPr>
              <w:t>20050114</w:t>
            </w:r>
          </w:p>
        </w:tc>
      </w:tr>
      <w:tr w:rsidR="009D1925" w:rsidRPr="0002102E" w:rsidTr="008C47FC">
        <w:trPr>
          <w:trHeight w:val="124"/>
          <w:jc w:val="center"/>
        </w:trPr>
        <w:tc>
          <w:tcPr>
            <w:tcW w:w="4248" w:type="dxa"/>
            <w:gridSpan w:val="3"/>
            <w:tcBorders>
              <w:right w:val="thinThickThinSmallGap" w:sz="24" w:space="0" w:color="auto"/>
            </w:tcBorders>
            <w:shd w:val="clear" w:color="auto" w:fill="D9D9D9"/>
            <w:vAlign w:val="center"/>
          </w:tcPr>
          <w:p w:rsidR="009D1925" w:rsidRPr="0002102E" w:rsidRDefault="009D1925" w:rsidP="00D64DA2">
            <w:pPr>
              <w:spacing w:line="180" w:lineRule="exact"/>
              <w:contextualSpacing/>
              <w:rPr>
                <w:rFonts w:eastAsia="Calibri"/>
                <w:b/>
                <w:color w:val="auto"/>
                <w:sz w:val="18"/>
                <w:szCs w:val="18"/>
              </w:rPr>
            </w:pPr>
            <w:r w:rsidRPr="0002102E">
              <w:rPr>
                <w:rFonts w:eastAsia="Calibri"/>
                <w:b/>
                <w:color w:val="auto"/>
                <w:sz w:val="18"/>
                <w:szCs w:val="18"/>
              </w:rPr>
              <w:t>Combined:  10%</w:t>
            </w:r>
          </w:p>
        </w:tc>
        <w:tc>
          <w:tcPr>
            <w:tcW w:w="5076" w:type="dxa"/>
            <w:gridSpan w:val="4"/>
            <w:tcBorders>
              <w:left w:val="thinThickThinSmallGap" w:sz="24" w:space="0" w:color="auto"/>
            </w:tcBorders>
            <w:shd w:val="clear" w:color="auto" w:fill="D9D9D9"/>
            <w:vAlign w:val="center"/>
          </w:tcPr>
          <w:p w:rsidR="009D1925" w:rsidRPr="0002102E" w:rsidRDefault="009D1925" w:rsidP="00D64DA2">
            <w:pPr>
              <w:spacing w:line="180" w:lineRule="exact"/>
              <w:contextualSpacing/>
              <w:rPr>
                <w:rFonts w:eastAsia="Calibri"/>
                <w:b/>
                <w:color w:val="auto"/>
                <w:sz w:val="18"/>
                <w:szCs w:val="18"/>
              </w:rPr>
            </w:pPr>
            <w:r w:rsidRPr="0002102E">
              <w:rPr>
                <w:rFonts w:eastAsia="Calibri"/>
                <w:b/>
                <w:color w:val="auto"/>
                <w:sz w:val="18"/>
                <w:szCs w:val="18"/>
              </w:rPr>
              <w:t>Combined:  70%</w:t>
            </w:r>
            <w:r w:rsidR="00D75A25">
              <w:rPr>
                <w:rFonts w:eastAsia="Calibri"/>
                <w:b/>
                <w:color w:val="auto"/>
                <w:sz w:val="18"/>
                <w:szCs w:val="18"/>
              </w:rPr>
              <w:t>*</w:t>
            </w:r>
          </w:p>
        </w:tc>
      </w:tr>
    </w:tbl>
    <w:p w:rsidR="00A97CD9" w:rsidRPr="003B33B4" w:rsidRDefault="00143E8D" w:rsidP="00F11103">
      <w:pPr>
        <w:pBdr>
          <w:bottom w:val="single" w:sz="12" w:space="1" w:color="auto"/>
        </w:pBdr>
        <w:tabs>
          <w:tab w:val="left" w:pos="288"/>
          <w:tab w:val="left" w:pos="4752"/>
        </w:tabs>
        <w:spacing w:line="200" w:lineRule="exact"/>
        <w:jc w:val="both"/>
        <w:rPr>
          <w:color w:val="auto"/>
          <w:sz w:val="20"/>
        </w:rPr>
      </w:pPr>
      <w:r w:rsidRPr="00E51B93">
        <w:rPr>
          <w:color w:val="auto"/>
          <w:sz w:val="20"/>
        </w:rPr>
        <w:t xml:space="preserve">* </w:t>
      </w:r>
      <w:r w:rsidR="006A59DF" w:rsidRPr="00E51B93">
        <w:rPr>
          <w:color w:val="auto"/>
          <w:sz w:val="20"/>
        </w:rPr>
        <w:t xml:space="preserve">VA initial rating </w:t>
      </w:r>
      <w:r w:rsidR="0002102E" w:rsidRPr="00E51B93">
        <w:rPr>
          <w:color w:val="auto"/>
          <w:sz w:val="20"/>
        </w:rPr>
        <w:t xml:space="preserve">was </w:t>
      </w:r>
      <w:r w:rsidR="006A59DF" w:rsidRPr="00E51B93">
        <w:rPr>
          <w:color w:val="auto"/>
          <w:sz w:val="20"/>
        </w:rPr>
        <w:t xml:space="preserve">for </w:t>
      </w:r>
      <w:r w:rsidR="003B33B4" w:rsidRPr="00E51B93">
        <w:rPr>
          <w:color w:val="auto"/>
          <w:sz w:val="20"/>
        </w:rPr>
        <w:t xml:space="preserve">the right leg coded 5262 at 10% (combined 10%) with other conditions added by later rating determinations, all effective </w:t>
      </w:r>
      <w:r w:rsidR="006A59DF" w:rsidRPr="00E51B93">
        <w:rPr>
          <w:color w:val="auto"/>
          <w:sz w:val="20"/>
        </w:rPr>
        <w:t>20041203</w:t>
      </w:r>
      <w:r w:rsidR="003B33B4" w:rsidRPr="00E51B93">
        <w:rPr>
          <w:color w:val="auto"/>
          <w:sz w:val="20"/>
        </w:rPr>
        <w:t xml:space="preserve"> (combined 70%) as charted above;</w:t>
      </w:r>
      <w:r w:rsidR="003B33B4">
        <w:rPr>
          <w:color w:val="auto"/>
          <w:sz w:val="20"/>
        </w:rPr>
        <w:t xml:space="preserve"> added Migraines 8100 at 30% effective 20061004 (combined 80%); increased OSA 6847 to 30% effective 20070309 then OSA at 50% and </w:t>
      </w:r>
      <w:r w:rsidR="00D75A25">
        <w:rPr>
          <w:color w:val="auto"/>
          <w:sz w:val="20"/>
        </w:rPr>
        <w:t xml:space="preserve">added </w:t>
      </w:r>
      <w:r w:rsidR="003B33B4">
        <w:rPr>
          <w:color w:val="auto"/>
          <w:sz w:val="20"/>
        </w:rPr>
        <w:t xml:space="preserve">tinnitus </w:t>
      </w:r>
      <w:r w:rsidR="00D75A25">
        <w:rPr>
          <w:color w:val="auto"/>
          <w:sz w:val="20"/>
        </w:rPr>
        <w:t xml:space="preserve">6260 </w:t>
      </w:r>
      <w:r w:rsidR="003B33B4">
        <w:rPr>
          <w:color w:val="auto"/>
          <w:sz w:val="20"/>
        </w:rPr>
        <w:t xml:space="preserve">at 10% effective </w:t>
      </w:r>
      <w:r w:rsidR="00D75A25">
        <w:rPr>
          <w:color w:val="auto"/>
          <w:sz w:val="20"/>
        </w:rPr>
        <w:t>20100411 (combined 90%)</w:t>
      </w:r>
    </w:p>
    <w:p w:rsidR="004174F0" w:rsidRPr="001F29F9" w:rsidRDefault="004174F0" w:rsidP="00BF0E94">
      <w:pPr>
        <w:pBdr>
          <w:bottom w:val="single" w:sz="12" w:space="1" w:color="auto"/>
        </w:pBdr>
        <w:tabs>
          <w:tab w:val="left" w:pos="288"/>
          <w:tab w:val="left" w:pos="4752"/>
        </w:tabs>
        <w:jc w:val="both"/>
        <w:rPr>
          <w:color w:val="000000"/>
        </w:rPr>
      </w:pPr>
    </w:p>
    <w:p w:rsidR="009369A6" w:rsidRPr="001F29F9" w:rsidRDefault="009369A6" w:rsidP="00DA62AF">
      <w:pPr>
        <w:jc w:val="both"/>
        <w:rPr>
          <w:color w:val="000000"/>
          <w:szCs w:val="24"/>
          <w:u w:val="single"/>
        </w:rPr>
      </w:pPr>
    </w:p>
    <w:p w:rsidR="00F52896" w:rsidRDefault="002C6E5B" w:rsidP="00F52896">
      <w:pPr>
        <w:jc w:val="both"/>
        <w:rPr>
          <w:color w:val="000000"/>
          <w:szCs w:val="24"/>
        </w:rPr>
      </w:pPr>
      <w:r w:rsidRPr="001F29F9">
        <w:rPr>
          <w:color w:val="000000"/>
          <w:szCs w:val="24"/>
          <w:u w:val="single"/>
        </w:rPr>
        <w:t>ANALYSIS SUMMARY</w:t>
      </w:r>
      <w:r w:rsidRPr="001F29F9">
        <w:rPr>
          <w:color w:val="000000"/>
          <w:szCs w:val="24"/>
        </w:rPr>
        <w:t>:</w:t>
      </w:r>
      <w:r w:rsidR="00B505E9">
        <w:rPr>
          <w:color w:val="000000"/>
          <w:szCs w:val="24"/>
        </w:rPr>
        <w:t xml:space="preserve">  </w:t>
      </w:r>
      <w:r w:rsidR="00B505E9" w:rsidRPr="00B505E9">
        <w:rPr>
          <w:color w:val="000000"/>
          <w:szCs w:val="24"/>
        </w:rPr>
        <w:t xml:space="preserve">The Board acknowledges the sentiment expressed in the CI’s application regarding the significant impairment with which his service-aggravated condition continues to burden him.  It is a fact, however, that the </w:t>
      </w:r>
      <w:r w:rsidR="007634D0">
        <w:rPr>
          <w:color w:val="000000"/>
          <w:szCs w:val="24"/>
        </w:rPr>
        <w:t>Disability Evaluation System (</w:t>
      </w:r>
      <w:r w:rsidR="00B505E9" w:rsidRPr="00B505E9">
        <w:rPr>
          <w:color w:val="000000"/>
          <w:szCs w:val="24"/>
        </w:rPr>
        <w:t>DES</w:t>
      </w:r>
      <w:r w:rsidR="007634D0">
        <w:rPr>
          <w:color w:val="000000"/>
          <w:szCs w:val="24"/>
        </w:rPr>
        <w:t>)</w:t>
      </w:r>
      <w:r w:rsidR="00B505E9" w:rsidRPr="00B505E9">
        <w:rPr>
          <w:color w:val="000000"/>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7634D0">
        <w:rPr>
          <w:color w:val="000000"/>
          <w:szCs w:val="24"/>
        </w:rPr>
        <w:t>s’</w:t>
      </w:r>
      <w:r w:rsidR="00B505E9" w:rsidRPr="00B505E9">
        <w:rPr>
          <w:color w:val="000000"/>
          <w:szCs w:val="24"/>
        </w:rPr>
        <w:t xml:space="preserve"> Affairs (DVA).  The DVA, operating under a different set of laws (Title 38, United States Code), is </w:t>
      </w:r>
      <w:r w:rsidR="007634D0">
        <w:rPr>
          <w:color w:val="000000"/>
          <w:szCs w:val="24"/>
        </w:rPr>
        <w:t>empowered to compensate service-</w:t>
      </w:r>
      <w:r w:rsidR="00B505E9" w:rsidRPr="00B505E9">
        <w:rPr>
          <w:color w:val="000000"/>
          <w:szCs w:val="24"/>
        </w:rPr>
        <w:t xml:space="preserve">connected conditions and to periodically re-evaluate said conditions for the purpose of adjusting the </w:t>
      </w:r>
      <w:r w:rsidR="007634D0">
        <w:rPr>
          <w:color w:val="000000"/>
          <w:szCs w:val="24"/>
        </w:rPr>
        <w:t>V</w:t>
      </w:r>
      <w:r w:rsidR="00B505E9" w:rsidRPr="00B505E9">
        <w:rPr>
          <w:color w:val="000000"/>
          <w:szCs w:val="24"/>
        </w:rPr>
        <w:t xml:space="preserve">eteran’s disability rating should </w:t>
      </w:r>
      <w:r w:rsidR="007634D0">
        <w:rPr>
          <w:color w:val="000000"/>
          <w:szCs w:val="24"/>
        </w:rPr>
        <w:t>the</w:t>
      </w:r>
      <w:r w:rsidR="00B505E9" w:rsidRPr="00B505E9">
        <w:rPr>
          <w:color w:val="000000"/>
          <w:szCs w:val="24"/>
        </w:rPr>
        <w:t xml:space="preserve"> degree of impairment vary over time.  The Board utilizes VA evidence proximal to separation in arriving at its recommendations; and, DoDI 6040.44 defines a 12</w:t>
      </w:r>
      <w:r w:rsidR="00F942AE">
        <w:rPr>
          <w:color w:val="000000"/>
          <w:szCs w:val="24"/>
        </w:rPr>
        <w:t>-</w:t>
      </w:r>
      <w:r w:rsidR="00B505E9" w:rsidRPr="00B505E9">
        <w:rPr>
          <w:color w:val="000000"/>
          <w:szCs w:val="24"/>
        </w:rPr>
        <w:t xml:space="preserve">month interval for special consideration to post-separation evidence. The Board’s authority as defined in DoDI 6044.40, however, resides in evaluating the fairness of DES fitness determinations and rating decisions for disability at the time of separation. </w:t>
      </w:r>
      <w:r w:rsidR="00F52896">
        <w:rPr>
          <w:color w:val="000000"/>
          <w:szCs w:val="24"/>
        </w:rPr>
        <w:t xml:space="preserve"> </w:t>
      </w:r>
      <w:r w:rsidR="00B505E9" w:rsidRPr="00B505E9">
        <w:rPr>
          <w:color w:val="000000"/>
          <w:szCs w:val="24"/>
        </w:rPr>
        <w:t>Post-separation evidence therefore is probative only to the extent that it reasonably reflects the disability and fitness implications at the time of separation.</w:t>
      </w:r>
      <w:r w:rsidR="00F52896">
        <w:rPr>
          <w:color w:val="000000"/>
          <w:szCs w:val="24"/>
        </w:rPr>
        <w:t xml:space="preserve">  </w:t>
      </w:r>
    </w:p>
    <w:p w:rsidR="00F52896" w:rsidRDefault="00F52896" w:rsidP="00F52896">
      <w:pPr>
        <w:jc w:val="both"/>
        <w:rPr>
          <w:color w:val="000000"/>
          <w:szCs w:val="24"/>
        </w:rPr>
      </w:pPr>
    </w:p>
    <w:p w:rsidR="00B505E9" w:rsidRPr="00B505E9" w:rsidRDefault="00F52896" w:rsidP="00F52896">
      <w:pPr>
        <w:jc w:val="both"/>
        <w:rPr>
          <w:color w:val="000000"/>
          <w:szCs w:val="24"/>
        </w:rPr>
      </w:pPr>
      <w:r w:rsidRPr="00E51B93">
        <w:rPr>
          <w:color w:val="000000"/>
          <w:szCs w:val="24"/>
        </w:rPr>
        <w:t xml:space="preserve">The Board also makes note that some of the CI’s contended conditions are derived from VA evaluations performed after separation, diagnosing conditions which were not addressed by the PEB.  By policy and precedent the Board has limited its jurisdiction for recommending unadjudicated conditions as unfitting and subject to additional separation rating to those conditions which are evidenced in the core DES file.  The core DES file consists of the MEB referral document (DA Form 3947), the PEB adjudication document (DA Form 199), the </w:t>
      </w:r>
      <w:r w:rsidR="007634D0">
        <w:rPr>
          <w:color w:val="000000"/>
          <w:szCs w:val="24"/>
        </w:rPr>
        <w:t>narrative summary (</w:t>
      </w:r>
      <w:r w:rsidRPr="00E51B93">
        <w:rPr>
          <w:color w:val="000000"/>
          <w:szCs w:val="24"/>
        </w:rPr>
        <w:t>NARSUM</w:t>
      </w:r>
      <w:r w:rsidR="007634D0">
        <w:rPr>
          <w:color w:val="000000"/>
          <w:szCs w:val="24"/>
        </w:rPr>
        <w:t>)</w:t>
      </w:r>
      <w:r w:rsidRPr="00E51B93">
        <w:rPr>
          <w:color w:val="000000"/>
          <w:szCs w:val="24"/>
        </w:rPr>
        <w:t xml:space="preserve"> (including any addendums or referenced examinations), the MEB physical exam, the</w:t>
      </w:r>
      <w:r w:rsidR="007634D0">
        <w:rPr>
          <w:color w:val="000000"/>
          <w:szCs w:val="24"/>
        </w:rPr>
        <w:t xml:space="preserve"> c</w:t>
      </w:r>
      <w:r w:rsidRPr="00E51B93">
        <w:rPr>
          <w:color w:val="000000"/>
          <w:szCs w:val="24"/>
        </w:rPr>
        <w:t>ommander’s statement, the physical profile(s), and any written appeals or internal DES correspondence.</w:t>
      </w:r>
    </w:p>
    <w:p w:rsidR="003A76AB" w:rsidRPr="001F29F9" w:rsidRDefault="003A76AB" w:rsidP="00BF0E94">
      <w:pPr>
        <w:jc w:val="left"/>
        <w:rPr>
          <w:color w:val="000000"/>
          <w:szCs w:val="24"/>
          <w:highlight w:val="yellow"/>
        </w:rPr>
      </w:pPr>
    </w:p>
    <w:p w:rsidR="003C53E8" w:rsidRPr="003C53E8" w:rsidRDefault="00F52896" w:rsidP="0002102E">
      <w:pPr>
        <w:jc w:val="both"/>
        <w:rPr>
          <w:rFonts w:cs="Times New Roman"/>
          <w:color w:val="auto"/>
          <w:szCs w:val="24"/>
        </w:rPr>
      </w:pPr>
      <w:r>
        <w:rPr>
          <w:color w:val="000000"/>
          <w:szCs w:val="24"/>
          <w:u w:val="single"/>
        </w:rPr>
        <w:br w:type="page"/>
      </w:r>
      <w:r w:rsidR="00302347" w:rsidRPr="00302347">
        <w:rPr>
          <w:color w:val="auto"/>
          <w:szCs w:val="24"/>
          <w:u w:val="single"/>
        </w:rPr>
        <w:lastRenderedPageBreak/>
        <w:t>Right Fibula Stress Fracture Delayed Union and Pain</w:t>
      </w:r>
      <w:r w:rsidR="00302347" w:rsidRPr="00302347">
        <w:rPr>
          <w:color w:val="000000"/>
          <w:szCs w:val="24"/>
          <w:u w:val="single"/>
        </w:rPr>
        <w:t xml:space="preserve"> </w:t>
      </w:r>
      <w:r w:rsidR="00302347">
        <w:rPr>
          <w:color w:val="000000"/>
          <w:szCs w:val="24"/>
          <w:u w:val="single"/>
        </w:rPr>
        <w:t>(</w:t>
      </w:r>
      <w:r w:rsidR="003F2EEE" w:rsidRPr="00302347">
        <w:rPr>
          <w:color w:val="000000"/>
          <w:szCs w:val="24"/>
          <w:u w:val="single"/>
        </w:rPr>
        <w:t xml:space="preserve">Right </w:t>
      </w:r>
      <w:r w:rsidR="00F97AF5">
        <w:rPr>
          <w:color w:val="000000"/>
          <w:szCs w:val="24"/>
          <w:u w:val="single"/>
        </w:rPr>
        <w:t>Lower Leg/</w:t>
      </w:r>
      <w:r w:rsidR="0074263F" w:rsidRPr="00302347">
        <w:rPr>
          <w:color w:val="000000"/>
          <w:szCs w:val="24"/>
          <w:u w:val="single"/>
        </w:rPr>
        <w:t>Ankle</w:t>
      </w:r>
      <w:r w:rsidR="00302347">
        <w:rPr>
          <w:color w:val="000000"/>
          <w:szCs w:val="24"/>
          <w:u w:val="single"/>
        </w:rPr>
        <w:t>)</w:t>
      </w:r>
      <w:r w:rsidR="0080588E" w:rsidRPr="00302347">
        <w:rPr>
          <w:color w:val="000000"/>
          <w:szCs w:val="24"/>
          <w:u w:val="single"/>
        </w:rPr>
        <w:t xml:space="preserve"> </w:t>
      </w:r>
      <w:r w:rsidR="003F2EEE" w:rsidRPr="00302347">
        <w:rPr>
          <w:color w:val="000000"/>
          <w:szCs w:val="24"/>
          <w:u w:val="single"/>
        </w:rPr>
        <w:t>Condition</w:t>
      </w:r>
      <w:r w:rsidR="003F2EEE" w:rsidRPr="004129ED">
        <w:rPr>
          <w:color w:val="000000"/>
          <w:szCs w:val="24"/>
        </w:rPr>
        <w:t xml:space="preserve">.  </w:t>
      </w:r>
      <w:r w:rsidR="0074263F">
        <w:rPr>
          <w:color w:val="000000"/>
          <w:szCs w:val="24"/>
        </w:rPr>
        <w:t>There were two</w:t>
      </w:r>
      <w:r w:rsidR="00A57C35" w:rsidRPr="0074263F">
        <w:rPr>
          <w:color w:val="000000"/>
          <w:szCs w:val="24"/>
        </w:rPr>
        <w:t xml:space="preserve"> goniometric range</w:t>
      </w:r>
      <w:r w:rsidR="0074263F">
        <w:rPr>
          <w:color w:val="000000"/>
          <w:szCs w:val="24"/>
        </w:rPr>
        <w:t>s</w:t>
      </w:r>
      <w:r w:rsidR="007634D0">
        <w:rPr>
          <w:color w:val="000000"/>
          <w:szCs w:val="24"/>
        </w:rPr>
        <w:t>-</w:t>
      </w:r>
      <w:r w:rsidR="00A57C35" w:rsidRPr="0074263F">
        <w:rPr>
          <w:color w:val="000000"/>
          <w:szCs w:val="24"/>
        </w:rPr>
        <w:t>of</w:t>
      </w:r>
      <w:r w:rsidR="007634D0">
        <w:rPr>
          <w:color w:val="000000"/>
          <w:szCs w:val="24"/>
        </w:rPr>
        <w:t>-</w:t>
      </w:r>
      <w:r w:rsidR="00A57C35" w:rsidRPr="0074263F">
        <w:rPr>
          <w:color w:val="000000"/>
          <w:szCs w:val="24"/>
        </w:rPr>
        <w:t>motion (ROM) evaluations in evidence, with documentation of additional ratable criteria, which the Board weighed in arriving at its rating recommendation</w:t>
      </w:r>
      <w:r w:rsidR="003C53E8" w:rsidRPr="0074263F">
        <w:rPr>
          <w:rFonts w:cs="Times New Roman"/>
          <w:color w:val="auto"/>
          <w:szCs w:val="24"/>
        </w:rPr>
        <w:t>.</w:t>
      </w:r>
    </w:p>
    <w:p w:rsidR="001778E1" w:rsidRPr="00F35A48" w:rsidRDefault="001778E1" w:rsidP="003C53E8">
      <w:pPr>
        <w:tabs>
          <w:tab w:val="left" w:pos="288"/>
          <w:tab w:val="left" w:pos="4752"/>
        </w:tabs>
        <w:jc w:val="left"/>
        <w:rPr>
          <w:rFonts w:cs="Times New Roman"/>
          <w:color w:val="auto"/>
          <w:sz w:val="18"/>
          <w:szCs w:val="24"/>
        </w:rPr>
      </w:pPr>
    </w:p>
    <w:tbl>
      <w:tblPr>
        <w:tblW w:w="7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6"/>
        <w:gridCol w:w="2683"/>
        <w:gridCol w:w="3376"/>
      </w:tblGrid>
      <w:tr w:rsidR="00800E44" w:rsidRPr="00F35A48" w:rsidTr="00F11103">
        <w:trPr>
          <w:trHeight w:val="180"/>
          <w:jc w:val="center"/>
        </w:trPr>
        <w:tc>
          <w:tcPr>
            <w:tcW w:w="1906" w:type="dxa"/>
            <w:tcBorders>
              <w:left w:val="single" w:sz="4" w:space="0" w:color="000000"/>
              <w:bottom w:val="single" w:sz="4" w:space="0" w:color="000000"/>
              <w:right w:val="single" w:sz="4" w:space="0" w:color="000000"/>
            </w:tcBorders>
            <w:shd w:val="clear" w:color="auto" w:fill="D9D9D9"/>
            <w:vAlign w:val="center"/>
            <w:hideMark/>
          </w:tcPr>
          <w:p w:rsidR="00800E44" w:rsidRPr="00F35A48" w:rsidRDefault="00F35A48" w:rsidP="00800E44">
            <w:pPr>
              <w:spacing w:line="180" w:lineRule="exact"/>
              <w:rPr>
                <w:rFonts w:eastAsia="Calibri"/>
                <w:color w:val="auto"/>
                <w:sz w:val="18"/>
                <w:szCs w:val="18"/>
              </w:rPr>
            </w:pPr>
            <w:r w:rsidRPr="00F35A48">
              <w:rPr>
                <w:rFonts w:eastAsia="Calibri"/>
                <w:color w:val="auto"/>
                <w:sz w:val="18"/>
                <w:szCs w:val="18"/>
              </w:rPr>
              <w:t>Right Ankle ROM</w:t>
            </w:r>
          </w:p>
        </w:tc>
        <w:tc>
          <w:tcPr>
            <w:tcW w:w="26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0E44" w:rsidRPr="00F35A48" w:rsidRDefault="00F35A48" w:rsidP="00800E44">
            <w:pPr>
              <w:spacing w:line="180" w:lineRule="exact"/>
              <w:rPr>
                <w:rFonts w:eastAsia="Calibri"/>
                <w:color w:val="auto"/>
                <w:sz w:val="18"/>
                <w:szCs w:val="18"/>
              </w:rPr>
            </w:pPr>
            <w:r w:rsidRPr="00F35A48">
              <w:rPr>
                <w:rFonts w:eastAsia="Calibri"/>
                <w:color w:val="auto"/>
                <w:sz w:val="18"/>
                <w:szCs w:val="18"/>
              </w:rPr>
              <w:t>MEB ~ 8 Mo. Pre-Sep</w:t>
            </w:r>
          </w:p>
        </w:tc>
        <w:tc>
          <w:tcPr>
            <w:tcW w:w="33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0E44" w:rsidRPr="00F35A48" w:rsidRDefault="00800E44" w:rsidP="00800E44">
            <w:pPr>
              <w:spacing w:line="180" w:lineRule="exact"/>
              <w:rPr>
                <w:rFonts w:eastAsia="Calibri"/>
                <w:color w:val="auto"/>
                <w:sz w:val="18"/>
                <w:szCs w:val="18"/>
              </w:rPr>
            </w:pPr>
            <w:r w:rsidRPr="00F35A48">
              <w:rPr>
                <w:rFonts w:eastAsia="Calibri"/>
                <w:color w:val="auto"/>
                <w:sz w:val="18"/>
                <w:szCs w:val="18"/>
              </w:rPr>
              <w:t>VA C&amp;P ~ 1Mo. After-Sep</w:t>
            </w:r>
          </w:p>
        </w:tc>
      </w:tr>
      <w:tr w:rsidR="00800E44" w:rsidRPr="00F35A48" w:rsidTr="00F11103">
        <w:trPr>
          <w:jc w:val="center"/>
        </w:trPr>
        <w:tc>
          <w:tcPr>
            <w:tcW w:w="1906" w:type="dxa"/>
            <w:tcBorders>
              <w:top w:val="single" w:sz="4" w:space="0" w:color="000000"/>
              <w:left w:val="single" w:sz="4" w:space="0" w:color="000000"/>
              <w:bottom w:val="single" w:sz="4" w:space="0" w:color="000000"/>
              <w:right w:val="single" w:sz="4" w:space="0" w:color="000000"/>
            </w:tcBorders>
            <w:vAlign w:val="center"/>
            <w:hideMark/>
          </w:tcPr>
          <w:p w:rsidR="00800E44" w:rsidRPr="00F35A48" w:rsidRDefault="0002102E" w:rsidP="00800E44">
            <w:pPr>
              <w:spacing w:line="180" w:lineRule="exact"/>
              <w:rPr>
                <w:rFonts w:eastAsia="Calibri"/>
                <w:color w:val="auto"/>
                <w:sz w:val="18"/>
                <w:szCs w:val="18"/>
              </w:rPr>
            </w:pPr>
            <w:r>
              <w:rPr>
                <w:rFonts w:eastAsia="Calibri"/>
                <w:color w:val="auto"/>
                <w:sz w:val="18"/>
                <w:szCs w:val="18"/>
              </w:rPr>
              <w:t xml:space="preserve">Dorsiflexion </w:t>
            </w:r>
            <w:r w:rsidR="00800E44" w:rsidRPr="00F35A48">
              <w:rPr>
                <w:rFonts w:eastAsia="Calibri"/>
                <w:color w:val="auto"/>
                <w:sz w:val="18"/>
                <w:szCs w:val="18"/>
              </w:rPr>
              <w:t>(0-20)</w:t>
            </w: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800E44" w:rsidRPr="00F35A48" w:rsidRDefault="00800E44" w:rsidP="00800E44">
            <w:pPr>
              <w:spacing w:line="180" w:lineRule="exact"/>
              <w:rPr>
                <w:rFonts w:eastAsia="Calibri"/>
                <w:color w:val="auto"/>
                <w:sz w:val="18"/>
                <w:szCs w:val="18"/>
              </w:rPr>
            </w:pPr>
            <w:r w:rsidRPr="00F35A48">
              <w:rPr>
                <w:rFonts w:eastAsia="Calibri"/>
                <w:color w:val="auto"/>
                <w:sz w:val="18"/>
                <w:szCs w:val="18"/>
              </w:rPr>
              <w:t>10⁰</w:t>
            </w:r>
          </w:p>
        </w:tc>
        <w:tc>
          <w:tcPr>
            <w:tcW w:w="3376" w:type="dxa"/>
            <w:tcBorders>
              <w:top w:val="single" w:sz="4" w:space="0" w:color="000000"/>
              <w:left w:val="single" w:sz="4" w:space="0" w:color="000000"/>
              <w:bottom w:val="single" w:sz="4" w:space="0" w:color="000000"/>
              <w:right w:val="single" w:sz="4" w:space="0" w:color="000000"/>
            </w:tcBorders>
            <w:vAlign w:val="center"/>
            <w:hideMark/>
          </w:tcPr>
          <w:p w:rsidR="00800E44" w:rsidRPr="00F35A48" w:rsidRDefault="00D23156" w:rsidP="00800E44">
            <w:pPr>
              <w:spacing w:line="180" w:lineRule="exact"/>
              <w:rPr>
                <w:rFonts w:eastAsia="Calibri"/>
                <w:color w:val="auto"/>
                <w:sz w:val="18"/>
                <w:szCs w:val="18"/>
              </w:rPr>
            </w:pPr>
            <w:r w:rsidRPr="00E51B93">
              <w:rPr>
                <w:rFonts w:eastAsia="Calibri"/>
                <w:color w:val="auto"/>
                <w:sz w:val="18"/>
                <w:szCs w:val="18"/>
              </w:rPr>
              <w:t>5⁰</w:t>
            </w:r>
          </w:p>
        </w:tc>
      </w:tr>
      <w:tr w:rsidR="00800E44" w:rsidRPr="00F35A48" w:rsidTr="00F11103">
        <w:trPr>
          <w:jc w:val="center"/>
        </w:trPr>
        <w:tc>
          <w:tcPr>
            <w:tcW w:w="1906" w:type="dxa"/>
            <w:tcBorders>
              <w:top w:val="single" w:sz="4" w:space="0" w:color="000000"/>
              <w:left w:val="single" w:sz="4" w:space="0" w:color="000000"/>
              <w:bottom w:val="single" w:sz="4" w:space="0" w:color="000000"/>
              <w:right w:val="single" w:sz="4" w:space="0" w:color="000000"/>
            </w:tcBorders>
            <w:vAlign w:val="center"/>
            <w:hideMark/>
          </w:tcPr>
          <w:p w:rsidR="00800E44" w:rsidRPr="00F35A48" w:rsidRDefault="00800E44" w:rsidP="00800E44">
            <w:pPr>
              <w:spacing w:line="180" w:lineRule="exact"/>
              <w:rPr>
                <w:rFonts w:eastAsia="Calibri"/>
                <w:color w:val="auto"/>
                <w:sz w:val="18"/>
                <w:szCs w:val="18"/>
              </w:rPr>
            </w:pPr>
            <w:r w:rsidRPr="00F35A48">
              <w:rPr>
                <w:rFonts w:eastAsia="Calibri"/>
                <w:color w:val="auto"/>
                <w:sz w:val="18"/>
                <w:szCs w:val="18"/>
              </w:rPr>
              <w:t>Plantar Flexion (0-45)</w:t>
            </w: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800E44" w:rsidRPr="00F35A48" w:rsidRDefault="00800E44" w:rsidP="00800E44">
            <w:pPr>
              <w:spacing w:line="180" w:lineRule="exact"/>
              <w:rPr>
                <w:rFonts w:eastAsia="Calibri"/>
                <w:color w:val="auto"/>
                <w:sz w:val="18"/>
                <w:szCs w:val="18"/>
              </w:rPr>
            </w:pPr>
            <w:r w:rsidRPr="00F35A48">
              <w:rPr>
                <w:rFonts w:eastAsia="Calibri"/>
                <w:color w:val="auto"/>
                <w:sz w:val="18"/>
                <w:szCs w:val="18"/>
              </w:rPr>
              <w:t>40⁰</w:t>
            </w:r>
          </w:p>
        </w:tc>
        <w:tc>
          <w:tcPr>
            <w:tcW w:w="3376" w:type="dxa"/>
            <w:tcBorders>
              <w:top w:val="single" w:sz="4" w:space="0" w:color="000000"/>
              <w:left w:val="single" w:sz="4" w:space="0" w:color="000000"/>
              <w:bottom w:val="single" w:sz="4" w:space="0" w:color="000000"/>
              <w:right w:val="single" w:sz="4" w:space="0" w:color="000000"/>
            </w:tcBorders>
            <w:vAlign w:val="center"/>
            <w:hideMark/>
          </w:tcPr>
          <w:p w:rsidR="00800E44" w:rsidRPr="00F35A48" w:rsidRDefault="00800E44" w:rsidP="00800E44">
            <w:pPr>
              <w:spacing w:line="180" w:lineRule="exact"/>
              <w:rPr>
                <w:rFonts w:eastAsia="Calibri"/>
                <w:color w:val="auto"/>
                <w:sz w:val="18"/>
                <w:szCs w:val="18"/>
              </w:rPr>
            </w:pPr>
            <w:r w:rsidRPr="00F35A48">
              <w:rPr>
                <w:rFonts w:eastAsia="Calibri"/>
                <w:color w:val="auto"/>
                <w:sz w:val="18"/>
                <w:szCs w:val="18"/>
              </w:rPr>
              <w:t>45⁰</w:t>
            </w:r>
          </w:p>
        </w:tc>
      </w:tr>
      <w:tr w:rsidR="0002102E" w:rsidRPr="00F35A48" w:rsidTr="00F11103">
        <w:trPr>
          <w:jc w:val="center"/>
        </w:trPr>
        <w:tc>
          <w:tcPr>
            <w:tcW w:w="1906" w:type="dxa"/>
            <w:tcBorders>
              <w:top w:val="single" w:sz="4" w:space="0" w:color="000000"/>
              <w:left w:val="single" w:sz="4" w:space="0" w:color="000000"/>
              <w:bottom w:val="single" w:sz="4" w:space="0" w:color="000000"/>
              <w:right w:val="single" w:sz="4" w:space="0" w:color="000000"/>
            </w:tcBorders>
            <w:vAlign w:val="center"/>
            <w:hideMark/>
          </w:tcPr>
          <w:p w:rsidR="0002102E" w:rsidRPr="00F35A48" w:rsidRDefault="0002102E" w:rsidP="00800E44">
            <w:pPr>
              <w:tabs>
                <w:tab w:val="left" w:pos="288"/>
                <w:tab w:val="left" w:pos="4752"/>
              </w:tabs>
              <w:spacing w:line="180" w:lineRule="exact"/>
              <w:rPr>
                <w:rFonts w:eastAsia="Calibri"/>
                <w:color w:val="auto"/>
                <w:sz w:val="18"/>
                <w:szCs w:val="18"/>
              </w:rPr>
            </w:pPr>
            <w:r w:rsidRPr="00F35A48">
              <w:rPr>
                <w:rFonts w:eastAsia="Calibri"/>
                <w:color w:val="auto"/>
                <w:sz w:val="18"/>
                <w:szCs w:val="18"/>
              </w:rPr>
              <w:t>Comment</w:t>
            </w:r>
          </w:p>
        </w:tc>
        <w:tc>
          <w:tcPr>
            <w:tcW w:w="2683" w:type="dxa"/>
            <w:tcBorders>
              <w:top w:val="single" w:sz="4" w:space="0" w:color="000000"/>
              <w:left w:val="single" w:sz="4" w:space="0" w:color="000000"/>
              <w:bottom w:val="single" w:sz="4" w:space="0" w:color="000000"/>
              <w:right w:val="single" w:sz="4" w:space="0" w:color="000000"/>
            </w:tcBorders>
            <w:hideMark/>
          </w:tcPr>
          <w:p w:rsidR="0002102E" w:rsidRPr="00E51B93" w:rsidRDefault="0002102E" w:rsidP="0002102E">
            <w:pPr>
              <w:spacing w:line="180" w:lineRule="exact"/>
              <w:contextualSpacing/>
              <w:jc w:val="left"/>
              <w:rPr>
                <w:rFonts w:eastAsia="Calibri"/>
                <w:color w:val="auto"/>
                <w:sz w:val="18"/>
                <w:szCs w:val="18"/>
              </w:rPr>
            </w:pPr>
            <w:r w:rsidRPr="00E51B93">
              <w:rPr>
                <w:rFonts w:eastAsia="Calibri"/>
                <w:color w:val="auto"/>
                <w:sz w:val="18"/>
                <w:szCs w:val="18"/>
              </w:rPr>
              <w:t xml:space="preserve">No gross motor or sensory deficit; Peroneal strength 5/5 as well as </w:t>
            </w:r>
            <w:proofErr w:type="spellStart"/>
            <w:r w:rsidRPr="00E51B93">
              <w:rPr>
                <w:rFonts w:eastAsia="Calibri"/>
                <w:color w:val="auto"/>
                <w:sz w:val="18"/>
                <w:szCs w:val="18"/>
              </w:rPr>
              <w:t>tibialis</w:t>
            </w:r>
            <w:proofErr w:type="spellEnd"/>
            <w:r w:rsidRPr="00E51B93">
              <w:rPr>
                <w:rFonts w:eastAsia="Calibri"/>
                <w:color w:val="auto"/>
                <w:sz w:val="18"/>
                <w:szCs w:val="18"/>
              </w:rPr>
              <w:t xml:space="preserve"> anterior and </w:t>
            </w:r>
            <w:proofErr w:type="spellStart"/>
            <w:r w:rsidRPr="00E51B93">
              <w:rPr>
                <w:rFonts w:eastAsia="Calibri"/>
                <w:color w:val="auto"/>
                <w:sz w:val="18"/>
                <w:szCs w:val="18"/>
              </w:rPr>
              <w:t>gastrocnemius</w:t>
            </w:r>
            <w:proofErr w:type="spellEnd"/>
            <w:r w:rsidRPr="00E51B93">
              <w:rPr>
                <w:rFonts w:eastAsia="Calibri"/>
                <w:color w:val="auto"/>
                <w:sz w:val="18"/>
                <w:szCs w:val="18"/>
              </w:rPr>
              <w:t xml:space="preserve"> – </w:t>
            </w:r>
            <w:proofErr w:type="spellStart"/>
            <w:r w:rsidRPr="00E51B93">
              <w:rPr>
                <w:rFonts w:eastAsia="Calibri"/>
                <w:color w:val="auto"/>
                <w:sz w:val="18"/>
                <w:szCs w:val="18"/>
              </w:rPr>
              <w:t>soleus</w:t>
            </w:r>
            <w:proofErr w:type="spellEnd"/>
            <w:r w:rsidRPr="00E51B93">
              <w:rPr>
                <w:rFonts w:eastAsia="Calibri"/>
                <w:color w:val="auto"/>
                <w:sz w:val="18"/>
                <w:szCs w:val="18"/>
              </w:rPr>
              <w:t xml:space="preserve"> muscle groups; no external rotation or squeeze test; no gross motion at the fracture site</w:t>
            </w:r>
            <w:r w:rsidR="00F97AF5" w:rsidRPr="00E51B93">
              <w:rPr>
                <w:rFonts w:eastAsia="Calibri"/>
                <w:color w:val="auto"/>
                <w:sz w:val="18"/>
                <w:szCs w:val="18"/>
              </w:rPr>
              <w:t>; x-ray ‘non-healed’ fibula fracture* see text</w:t>
            </w:r>
          </w:p>
        </w:tc>
        <w:tc>
          <w:tcPr>
            <w:tcW w:w="3376" w:type="dxa"/>
            <w:tcBorders>
              <w:top w:val="single" w:sz="4" w:space="0" w:color="000000"/>
              <w:left w:val="single" w:sz="4" w:space="0" w:color="000000"/>
              <w:bottom w:val="single" w:sz="4" w:space="0" w:color="000000"/>
              <w:right w:val="single" w:sz="4" w:space="0" w:color="000000"/>
            </w:tcBorders>
          </w:tcPr>
          <w:p w:rsidR="0002102E" w:rsidRPr="00F35A48" w:rsidRDefault="0002102E" w:rsidP="00800E44">
            <w:pPr>
              <w:spacing w:line="180" w:lineRule="exact"/>
              <w:contextualSpacing/>
              <w:jc w:val="left"/>
              <w:rPr>
                <w:rFonts w:eastAsia="Calibri"/>
                <w:color w:val="auto"/>
                <w:sz w:val="18"/>
                <w:szCs w:val="18"/>
              </w:rPr>
            </w:pPr>
            <w:r w:rsidRPr="00F35A48">
              <w:rPr>
                <w:rFonts w:eastAsia="Calibri"/>
                <w:color w:val="auto"/>
                <w:sz w:val="18"/>
                <w:szCs w:val="18"/>
              </w:rPr>
              <w:t>Pain on the right, eversion 10 degrees bilaterally; inversion 20 degrees bilaterally; no obvious swelling redness or inflammation; increase in pain, but no decrease in ROM with repetitive testing; no fatigue, weakness or lack of endurance related to ankle ROM</w:t>
            </w:r>
            <w:r w:rsidR="00F97AF5">
              <w:rPr>
                <w:rFonts w:eastAsia="Calibri"/>
                <w:color w:val="auto"/>
                <w:sz w:val="18"/>
                <w:szCs w:val="18"/>
              </w:rPr>
              <w:t xml:space="preserve">; </w:t>
            </w:r>
            <w:r w:rsidR="00F97AF5" w:rsidRPr="00E51B93">
              <w:rPr>
                <w:rFonts w:eastAsia="Calibri"/>
                <w:color w:val="auto"/>
                <w:sz w:val="18"/>
                <w:szCs w:val="18"/>
              </w:rPr>
              <w:t>x-ray well-healed fracture site</w:t>
            </w:r>
          </w:p>
        </w:tc>
      </w:tr>
      <w:tr w:rsidR="00800E44" w:rsidRPr="00F35A48" w:rsidTr="00F11103">
        <w:trPr>
          <w:jc w:val="center"/>
        </w:trPr>
        <w:tc>
          <w:tcPr>
            <w:tcW w:w="1906" w:type="dxa"/>
            <w:tcBorders>
              <w:top w:val="single" w:sz="4" w:space="0" w:color="000000"/>
              <w:left w:val="single" w:sz="4" w:space="0" w:color="000000"/>
              <w:bottom w:val="single" w:sz="4" w:space="0" w:color="000000"/>
              <w:right w:val="single" w:sz="4" w:space="0" w:color="000000"/>
            </w:tcBorders>
            <w:vAlign w:val="center"/>
            <w:hideMark/>
          </w:tcPr>
          <w:p w:rsidR="00800E44" w:rsidRPr="00F35A48" w:rsidRDefault="00800E44" w:rsidP="00C51FF3">
            <w:pPr>
              <w:tabs>
                <w:tab w:val="left" w:pos="288"/>
                <w:tab w:val="left" w:pos="4752"/>
              </w:tabs>
              <w:spacing w:line="180" w:lineRule="exact"/>
              <w:rPr>
                <w:rFonts w:eastAsia="Calibri"/>
                <w:color w:val="auto"/>
                <w:sz w:val="18"/>
                <w:szCs w:val="18"/>
              </w:rPr>
            </w:pPr>
            <w:r w:rsidRPr="00F35A48">
              <w:rPr>
                <w:rFonts w:eastAsia="Calibri"/>
                <w:color w:val="auto"/>
                <w:sz w:val="18"/>
                <w:szCs w:val="18"/>
              </w:rPr>
              <w:t>§4.71a Rating</w:t>
            </w: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800E44" w:rsidRPr="00E51B93" w:rsidRDefault="00800E44" w:rsidP="00C51FF3">
            <w:pPr>
              <w:spacing w:line="180" w:lineRule="exact"/>
              <w:contextualSpacing/>
              <w:rPr>
                <w:rFonts w:eastAsia="Calibri"/>
                <w:color w:val="auto"/>
                <w:sz w:val="18"/>
                <w:szCs w:val="18"/>
              </w:rPr>
            </w:pPr>
            <w:r w:rsidRPr="00E51B93">
              <w:rPr>
                <w:rFonts w:eastAsia="Calibri"/>
                <w:color w:val="auto"/>
                <w:sz w:val="18"/>
                <w:szCs w:val="18"/>
              </w:rPr>
              <w:t>10%</w:t>
            </w:r>
          </w:p>
        </w:tc>
        <w:tc>
          <w:tcPr>
            <w:tcW w:w="3376" w:type="dxa"/>
            <w:tcBorders>
              <w:top w:val="single" w:sz="4" w:space="0" w:color="000000"/>
              <w:left w:val="single" w:sz="4" w:space="0" w:color="000000"/>
              <w:bottom w:val="single" w:sz="4" w:space="0" w:color="000000"/>
              <w:right w:val="single" w:sz="4" w:space="0" w:color="000000"/>
            </w:tcBorders>
            <w:vAlign w:val="center"/>
            <w:hideMark/>
          </w:tcPr>
          <w:p w:rsidR="00800E44" w:rsidRPr="00F35A48" w:rsidRDefault="00800E44" w:rsidP="00C51FF3">
            <w:pPr>
              <w:spacing w:line="180" w:lineRule="exact"/>
              <w:contextualSpacing/>
              <w:rPr>
                <w:rFonts w:eastAsia="Calibri"/>
                <w:color w:val="auto"/>
                <w:sz w:val="18"/>
                <w:szCs w:val="18"/>
              </w:rPr>
            </w:pPr>
            <w:r w:rsidRPr="00F35A48">
              <w:rPr>
                <w:rFonts w:eastAsia="Calibri"/>
                <w:color w:val="auto"/>
                <w:sz w:val="18"/>
                <w:szCs w:val="18"/>
              </w:rPr>
              <w:t>10%</w:t>
            </w:r>
          </w:p>
        </w:tc>
      </w:tr>
    </w:tbl>
    <w:p w:rsidR="00800E44" w:rsidRDefault="00800E44" w:rsidP="003C53E8">
      <w:pPr>
        <w:tabs>
          <w:tab w:val="left" w:pos="288"/>
          <w:tab w:val="left" w:pos="4752"/>
        </w:tabs>
        <w:jc w:val="left"/>
        <w:rPr>
          <w:rFonts w:cs="Times New Roman"/>
          <w:color w:val="auto"/>
          <w:szCs w:val="24"/>
        </w:rPr>
      </w:pPr>
    </w:p>
    <w:p w:rsidR="003961CD" w:rsidRDefault="00745037" w:rsidP="003961CD">
      <w:pPr>
        <w:tabs>
          <w:tab w:val="left" w:pos="288"/>
          <w:tab w:val="left" w:pos="4752"/>
        </w:tabs>
        <w:jc w:val="both"/>
        <w:rPr>
          <w:rFonts w:cs="Times New Roman"/>
          <w:color w:val="auto"/>
          <w:szCs w:val="24"/>
        </w:rPr>
      </w:pPr>
      <w:r>
        <w:rPr>
          <w:rFonts w:cs="Times New Roman"/>
          <w:color w:val="auto"/>
          <w:szCs w:val="24"/>
        </w:rPr>
        <w:t xml:space="preserve">Radiographs </w:t>
      </w:r>
      <w:r w:rsidR="003961CD">
        <w:rPr>
          <w:rFonts w:cs="Times New Roman"/>
          <w:color w:val="auto"/>
          <w:szCs w:val="24"/>
        </w:rPr>
        <w:t xml:space="preserve">at the MEB timeframe (eight months pre-separation) </w:t>
      </w:r>
      <w:r>
        <w:rPr>
          <w:rFonts w:cs="Times New Roman"/>
          <w:color w:val="auto"/>
          <w:szCs w:val="24"/>
        </w:rPr>
        <w:t>demonstrated consistent distal fibula fracture</w:t>
      </w:r>
      <w:r w:rsidR="007634D0">
        <w:rPr>
          <w:rFonts w:cs="Times New Roman"/>
          <w:color w:val="auto"/>
          <w:szCs w:val="24"/>
        </w:rPr>
        <w:t xml:space="preserve"> findings of callus formation (</w:t>
      </w:r>
      <w:r>
        <w:rPr>
          <w:rFonts w:cs="Times New Roman"/>
          <w:color w:val="auto"/>
          <w:szCs w:val="24"/>
        </w:rPr>
        <w:t>2 cm) at the fracture site with correlating increased uptake on bone scans</w:t>
      </w:r>
      <w:r w:rsidR="003961CD">
        <w:rPr>
          <w:rFonts w:cs="Times New Roman"/>
          <w:color w:val="auto"/>
          <w:szCs w:val="24"/>
        </w:rPr>
        <w:t xml:space="preserve"> and questionable bridging</w:t>
      </w:r>
      <w:r>
        <w:rPr>
          <w:rFonts w:cs="Times New Roman"/>
          <w:color w:val="auto"/>
          <w:szCs w:val="24"/>
        </w:rPr>
        <w:t xml:space="preserve">.  </w:t>
      </w:r>
      <w:r w:rsidR="003961CD">
        <w:rPr>
          <w:rFonts w:cs="Times New Roman"/>
          <w:color w:val="auto"/>
          <w:szCs w:val="24"/>
        </w:rPr>
        <w:t>The NARSUM indicated</w:t>
      </w:r>
      <w:r>
        <w:rPr>
          <w:rFonts w:cs="Times New Roman"/>
          <w:color w:val="auto"/>
          <w:szCs w:val="24"/>
        </w:rPr>
        <w:t xml:space="preserve"> the CI was able to walk without pain, but was unable to run without pain</w:t>
      </w:r>
      <w:r w:rsidR="003961CD">
        <w:rPr>
          <w:rFonts w:cs="Times New Roman"/>
          <w:color w:val="auto"/>
          <w:szCs w:val="24"/>
        </w:rPr>
        <w:t>, and the CI was on as needed (but, used daily) narcotic pain medication</w:t>
      </w:r>
      <w:r>
        <w:rPr>
          <w:rFonts w:cs="Times New Roman"/>
          <w:color w:val="auto"/>
          <w:szCs w:val="24"/>
        </w:rPr>
        <w:t xml:space="preserve">.  </w:t>
      </w:r>
      <w:r w:rsidR="003961CD">
        <w:rPr>
          <w:rFonts w:cs="Times New Roman"/>
          <w:color w:val="auto"/>
          <w:szCs w:val="24"/>
        </w:rPr>
        <w:t xml:space="preserve">The VA exam, one month </w:t>
      </w:r>
      <w:r w:rsidR="00F942AE">
        <w:rPr>
          <w:rFonts w:cs="Times New Roman"/>
          <w:color w:val="auto"/>
          <w:szCs w:val="24"/>
        </w:rPr>
        <w:t xml:space="preserve">after </w:t>
      </w:r>
      <w:r w:rsidR="003961CD">
        <w:rPr>
          <w:rFonts w:cs="Times New Roman"/>
          <w:color w:val="auto"/>
          <w:szCs w:val="24"/>
        </w:rPr>
        <w:t>separation indicated continued pain and tenderness; however, radiograph at that time indicated findings were: “</w:t>
      </w:r>
      <w:r w:rsidR="003961CD" w:rsidRPr="003961CD">
        <w:rPr>
          <w:rFonts w:cs="Times New Roman"/>
          <w:color w:val="auto"/>
          <w:szCs w:val="24"/>
        </w:rPr>
        <w:t>There is a well-healed fracture</w:t>
      </w:r>
      <w:r w:rsidR="003961CD">
        <w:rPr>
          <w:rFonts w:cs="Times New Roman"/>
          <w:color w:val="auto"/>
          <w:szCs w:val="24"/>
        </w:rPr>
        <w:t xml:space="preserve"> </w:t>
      </w:r>
      <w:r w:rsidR="003961CD" w:rsidRPr="003961CD">
        <w:rPr>
          <w:rFonts w:cs="Times New Roman"/>
          <w:color w:val="auto"/>
          <w:szCs w:val="24"/>
        </w:rPr>
        <w:t xml:space="preserve">involving the distal right fibula. </w:t>
      </w:r>
      <w:r w:rsidR="003961CD">
        <w:rPr>
          <w:rFonts w:cs="Times New Roman"/>
          <w:color w:val="auto"/>
          <w:szCs w:val="24"/>
        </w:rPr>
        <w:t xml:space="preserve"> </w:t>
      </w:r>
      <w:r w:rsidR="003961CD" w:rsidRPr="003961CD">
        <w:rPr>
          <w:rFonts w:cs="Times New Roman"/>
          <w:color w:val="auto"/>
          <w:szCs w:val="24"/>
        </w:rPr>
        <w:t>The fracture site is well</w:t>
      </w:r>
      <w:r w:rsidR="003961CD">
        <w:rPr>
          <w:rFonts w:cs="Times New Roman"/>
          <w:color w:val="auto"/>
          <w:szCs w:val="24"/>
        </w:rPr>
        <w:t xml:space="preserve"> </w:t>
      </w:r>
      <w:r w:rsidR="003961CD" w:rsidRPr="003961CD">
        <w:rPr>
          <w:rFonts w:cs="Times New Roman"/>
          <w:color w:val="auto"/>
          <w:szCs w:val="24"/>
        </w:rPr>
        <w:t xml:space="preserve">healed. The ankles are otherwise normal. </w:t>
      </w:r>
      <w:r w:rsidR="003961CD">
        <w:rPr>
          <w:rFonts w:cs="Times New Roman"/>
          <w:color w:val="auto"/>
          <w:szCs w:val="24"/>
        </w:rPr>
        <w:t xml:space="preserve"> </w:t>
      </w:r>
      <w:r w:rsidR="003961CD" w:rsidRPr="003961CD">
        <w:rPr>
          <w:rFonts w:cs="Times New Roman"/>
          <w:color w:val="auto"/>
          <w:szCs w:val="24"/>
        </w:rPr>
        <w:t>The joint spaces are</w:t>
      </w:r>
      <w:r w:rsidR="003961CD">
        <w:rPr>
          <w:rFonts w:cs="Times New Roman"/>
          <w:color w:val="auto"/>
          <w:szCs w:val="24"/>
        </w:rPr>
        <w:t xml:space="preserve"> </w:t>
      </w:r>
      <w:r w:rsidR="003961CD" w:rsidRPr="003961CD">
        <w:rPr>
          <w:rFonts w:cs="Times New Roman"/>
          <w:color w:val="auto"/>
          <w:szCs w:val="24"/>
        </w:rPr>
        <w:t>well maintained.</w:t>
      </w:r>
      <w:r w:rsidR="003961CD">
        <w:rPr>
          <w:rFonts w:cs="Times New Roman"/>
          <w:color w:val="auto"/>
          <w:szCs w:val="24"/>
        </w:rPr>
        <w:t xml:space="preserve">”  </w:t>
      </w:r>
      <w:r w:rsidR="003961CD" w:rsidRPr="003961CD">
        <w:rPr>
          <w:rFonts w:cs="Times New Roman"/>
          <w:color w:val="auto"/>
          <w:szCs w:val="24"/>
        </w:rPr>
        <w:t>Impression</w:t>
      </w:r>
      <w:r w:rsidR="003961CD">
        <w:rPr>
          <w:rFonts w:cs="Times New Roman"/>
          <w:color w:val="auto"/>
          <w:szCs w:val="24"/>
        </w:rPr>
        <w:t xml:space="preserve"> was</w:t>
      </w:r>
      <w:r w:rsidR="003961CD" w:rsidRPr="003961CD">
        <w:rPr>
          <w:rFonts w:cs="Times New Roman"/>
          <w:color w:val="auto"/>
          <w:szCs w:val="24"/>
        </w:rPr>
        <w:t>:</w:t>
      </w:r>
      <w:r w:rsidR="003961CD">
        <w:rPr>
          <w:rFonts w:cs="Times New Roman"/>
          <w:color w:val="auto"/>
          <w:szCs w:val="24"/>
        </w:rPr>
        <w:t xml:space="preserve">  “</w:t>
      </w:r>
      <w:r w:rsidR="003961CD" w:rsidRPr="003961CD">
        <w:rPr>
          <w:rFonts w:cs="Times New Roman"/>
          <w:color w:val="auto"/>
          <w:szCs w:val="24"/>
        </w:rPr>
        <w:t>HEALED FRACTURE INVOLVING THE RIGHT DISTAL FIBULA, OTHERWISE</w:t>
      </w:r>
      <w:r w:rsidR="003961CD">
        <w:rPr>
          <w:rFonts w:cs="Times New Roman"/>
          <w:color w:val="auto"/>
          <w:szCs w:val="24"/>
        </w:rPr>
        <w:t xml:space="preserve"> </w:t>
      </w:r>
      <w:r w:rsidR="003961CD" w:rsidRPr="003961CD">
        <w:rPr>
          <w:rFonts w:cs="Times New Roman"/>
          <w:color w:val="auto"/>
          <w:szCs w:val="24"/>
        </w:rPr>
        <w:t>NORMAL VIEWS OF THE ANKLES.</w:t>
      </w:r>
      <w:r w:rsidR="003961CD">
        <w:rPr>
          <w:rFonts w:cs="Times New Roman"/>
          <w:color w:val="auto"/>
          <w:szCs w:val="24"/>
        </w:rPr>
        <w:t xml:space="preserve">”  </w:t>
      </w:r>
    </w:p>
    <w:p w:rsidR="00745037" w:rsidRDefault="00745037" w:rsidP="0002102E">
      <w:pPr>
        <w:tabs>
          <w:tab w:val="left" w:pos="288"/>
          <w:tab w:val="left" w:pos="4752"/>
        </w:tabs>
        <w:jc w:val="both"/>
        <w:rPr>
          <w:rFonts w:cs="Times New Roman"/>
          <w:color w:val="auto"/>
          <w:szCs w:val="24"/>
        </w:rPr>
      </w:pPr>
    </w:p>
    <w:p w:rsidR="0019279D" w:rsidRPr="00E51B93" w:rsidRDefault="00F938E8" w:rsidP="00F11103">
      <w:pPr>
        <w:tabs>
          <w:tab w:val="left" w:pos="288"/>
          <w:tab w:val="left" w:pos="4752"/>
        </w:tabs>
        <w:jc w:val="both"/>
        <w:rPr>
          <w:rFonts w:cs="Times New Roman"/>
          <w:color w:val="auto"/>
          <w:szCs w:val="24"/>
        </w:rPr>
      </w:pPr>
      <w:r w:rsidRPr="00E51B93">
        <w:rPr>
          <w:rFonts w:cs="Times New Roman"/>
          <w:color w:val="auto"/>
          <w:szCs w:val="24"/>
        </w:rPr>
        <w:t>The Board considered the VA exam had the highest probative value for rating as it was six months closer to the date of separation.</w:t>
      </w:r>
      <w:r>
        <w:rPr>
          <w:rFonts w:cs="Times New Roman"/>
          <w:color w:val="auto"/>
          <w:szCs w:val="24"/>
        </w:rPr>
        <w:t xml:space="preserve">  </w:t>
      </w:r>
      <w:r w:rsidR="00302347">
        <w:rPr>
          <w:rFonts w:cs="Times New Roman"/>
          <w:color w:val="auto"/>
          <w:szCs w:val="24"/>
        </w:rPr>
        <w:t xml:space="preserve">The PEB coding of </w:t>
      </w:r>
      <w:r w:rsidR="00302347" w:rsidRPr="00302347">
        <w:rPr>
          <w:rFonts w:cs="Times New Roman"/>
          <w:color w:val="auto"/>
          <w:szCs w:val="24"/>
        </w:rPr>
        <w:t xml:space="preserve">5099-5003 </w:t>
      </w:r>
      <w:r w:rsidR="00302347">
        <w:rPr>
          <w:rFonts w:cs="Times New Roman"/>
          <w:color w:val="auto"/>
          <w:szCs w:val="24"/>
        </w:rPr>
        <w:t xml:space="preserve">was analogous to ankle arthritis and although the pain policy was applied, rating the lower leg and ankle under VASRD only criteria would also result in a 10% rating of either exam charted above.  The VA coding under 5262, </w:t>
      </w:r>
      <w:r w:rsidR="003961CD">
        <w:rPr>
          <w:rFonts w:cs="Times New Roman"/>
          <w:color w:val="auto"/>
          <w:szCs w:val="24"/>
        </w:rPr>
        <w:t>“</w:t>
      </w:r>
      <w:r w:rsidR="00F97AF5">
        <w:rPr>
          <w:rFonts w:cs="Times New Roman"/>
          <w:color w:val="auto"/>
          <w:szCs w:val="24"/>
        </w:rPr>
        <w:t>(</w:t>
      </w:r>
      <w:r w:rsidR="007634D0">
        <w:rPr>
          <w:rFonts w:cs="Times New Roman"/>
          <w:color w:val="auto"/>
          <w:szCs w:val="24"/>
        </w:rPr>
        <w:t>t</w:t>
      </w:r>
      <w:r w:rsidR="00302347" w:rsidRPr="003961CD">
        <w:rPr>
          <w:rFonts w:cs="Times New Roman"/>
          <w:color w:val="auto"/>
          <w:szCs w:val="24"/>
        </w:rPr>
        <w:t>ibia and</w:t>
      </w:r>
      <w:r w:rsidR="00F97AF5">
        <w:rPr>
          <w:rFonts w:cs="Times New Roman"/>
          <w:color w:val="auto"/>
          <w:szCs w:val="24"/>
        </w:rPr>
        <w:t>)</w:t>
      </w:r>
      <w:r w:rsidR="00302347" w:rsidRPr="003961CD">
        <w:rPr>
          <w:rFonts w:cs="Times New Roman"/>
          <w:color w:val="auto"/>
          <w:szCs w:val="24"/>
        </w:rPr>
        <w:t xml:space="preserve"> fibula, impairment of,</w:t>
      </w:r>
      <w:r w:rsidR="003961CD">
        <w:rPr>
          <w:rFonts w:cs="Times New Roman"/>
          <w:color w:val="auto"/>
          <w:szCs w:val="24"/>
        </w:rPr>
        <w:t>”</w:t>
      </w:r>
      <w:r w:rsidR="00302347">
        <w:rPr>
          <w:rFonts w:cs="Times New Roman"/>
          <w:color w:val="auto"/>
          <w:szCs w:val="24"/>
        </w:rPr>
        <w:t xml:space="preserve"> </w:t>
      </w:r>
      <w:r w:rsidR="003961CD">
        <w:rPr>
          <w:rFonts w:cs="Times New Roman"/>
          <w:color w:val="auto"/>
          <w:szCs w:val="24"/>
        </w:rPr>
        <w:t>at 10% for “</w:t>
      </w:r>
      <w:r w:rsidR="007634D0">
        <w:rPr>
          <w:rFonts w:cs="Times New Roman"/>
          <w:color w:val="auto"/>
          <w:szCs w:val="24"/>
        </w:rPr>
        <w:t>w</w:t>
      </w:r>
      <w:r w:rsidR="003961CD" w:rsidRPr="003961CD">
        <w:rPr>
          <w:rFonts w:cs="Times New Roman"/>
          <w:color w:val="auto"/>
          <w:szCs w:val="24"/>
        </w:rPr>
        <w:t>ith slight (knee or) ankle disability</w:t>
      </w:r>
      <w:r w:rsidR="007634D0">
        <w:rPr>
          <w:rFonts w:cs="Times New Roman"/>
          <w:color w:val="auto"/>
          <w:szCs w:val="24"/>
        </w:rPr>
        <w:t>.</w:t>
      </w:r>
      <w:r w:rsidR="003961CD">
        <w:rPr>
          <w:rFonts w:cs="Times New Roman"/>
          <w:color w:val="auto"/>
          <w:szCs w:val="24"/>
        </w:rPr>
        <w:t xml:space="preserve">”  The Board considered alternate coding of </w:t>
      </w:r>
      <w:r w:rsidR="003961CD" w:rsidRPr="003961CD">
        <w:rPr>
          <w:rFonts w:cs="Times New Roman"/>
          <w:color w:val="auto"/>
          <w:szCs w:val="24"/>
        </w:rPr>
        <w:t xml:space="preserve">5271 </w:t>
      </w:r>
      <w:r w:rsidR="003961CD">
        <w:rPr>
          <w:rFonts w:cs="Times New Roman"/>
          <w:color w:val="auto"/>
          <w:szCs w:val="24"/>
        </w:rPr>
        <w:t>for limited a</w:t>
      </w:r>
      <w:r w:rsidR="003961CD" w:rsidRPr="003961CD">
        <w:rPr>
          <w:rFonts w:cs="Times New Roman"/>
          <w:color w:val="auto"/>
          <w:szCs w:val="24"/>
        </w:rPr>
        <w:t>nkle</w:t>
      </w:r>
      <w:r w:rsidR="003961CD">
        <w:rPr>
          <w:rFonts w:cs="Times New Roman"/>
          <w:color w:val="auto"/>
          <w:szCs w:val="24"/>
        </w:rPr>
        <w:t xml:space="preserve"> </w:t>
      </w:r>
      <w:r w:rsidR="003961CD" w:rsidRPr="003961CD">
        <w:rPr>
          <w:rFonts w:cs="Times New Roman"/>
          <w:color w:val="auto"/>
          <w:szCs w:val="24"/>
        </w:rPr>
        <w:t>motion</w:t>
      </w:r>
      <w:r w:rsidR="003961CD">
        <w:rPr>
          <w:rFonts w:cs="Times New Roman"/>
          <w:color w:val="auto"/>
          <w:szCs w:val="24"/>
        </w:rPr>
        <w:t xml:space="preserve">, but the evidence did not support greater than a moderate (10%) ankle impairment.  The Board also considered if the entirety of the record including </w:t>
      </w:r>
      <w:r w:rsidR="0019279D">
        <w:rPr>
          <w:rFonts w:cs="Times New Roman"/>
          <w:color w:val="auto"/>
          <w:szCs w:val="24"/>
        </w:rPr>
        <w:t xml:space="preserve">the degree of the CI’s pain, use of braces and orthotics, and pain medication supported a higher rating analogously to 5262 for moderate (20%) or marked (30%) impairment due to the CI’s fibula condition.  </w:t>
      </w:r>
      <w:r w:rsidRPr="00E51B93">
        <w:rPr>
          <w:color w:val="000000"/>
          <w:szCs w:val="24"/>
        </w:rPr>
        <w:t>Although ideal coding would be 5299-5262 at 10%, the 5099-5003 coding was considered acceptable and carried the same rating level of 10%.  All evidence considered</w:t>
      </w:r>
      <w:proofErr w:type="gramStart"/>
      <w:r w:rsidRPr="00E51B93">
        <w:rPr>
          <w:color w:val="000000"/>
          <w:szCs w:val="24"/>
        </w:rPr>
        <w:t>,</w:t>
      </w:r>
      <w:proofErr w:type="gramEnd"/>
      <w:r w:rsidRPr="00E51B93">
        <w:rPr>
          <w:color w:val="000000"/>
          <w:szCs w:val="24"/>
        </w:rPr>
        <w:t xml:space="preserve"> there is not reasonable doubt in the CI’s favor supporting a change from the PEB’s 10% rating decision for the right fibula/ankle condition</w:t>
      </w:r>
      <w:r w:rsidR="00E265EB">
        <w:rPr>
          <w:color w:val="000000"/>
          <w:szCs w:val="24"/>
        </w:rPr>
        <w:t>.</w:t>
      </w:r>
    </w:p>
    <w:p w:rsidR="0019279D" w:rsidRDefault="0019279D" w:rsidP="003C53E8">
      <w:pPr>
        <w:tabs>
          <w:tab w:val="left" w:pos="288"/>
          <w:tab w:val="left" w:pos="4752"/>
        </w:tabs>
        <w:jc w:val="left"/>
        <w:rPr>
          <w:rFonts w:cs="Times New Roman"/>
          <w:color w:val="auto"/>
          <w:szCs w:val="24"/>
        </w:rPr>
      </w:pPr>
    </w:p>
    <w:p w:rsidR="005F6F7B" w:rsidRDefault="005F6F7B" w:rsidP="005F6F7B">
      <w:pPr>
        <w:jc w:val="both"/>
        <w:rPr>
          <w:color w:val="000000"/>
          <w:szCs w:val="24"/>
        </w:rPr>
      </w:pPr>
      <w:proofErr w:type="gramStart"/>
      <w:r w:rsidRPr="00E265EB">
        <w:rPr>
          <w:rFonts w:eastAsia="HiddenHorzOCR"/>
          <w:color w:val="000000"/>
          <w:szCs w:val="24"/>
          <w:u w:val="single"/>
        </w:rPr>
        <w:t>Other Contended Conditions</w:t>
      </w:r>
      <w:r w:rsidRPr="00E265EB">
        <w:rPr>
          <w:rFonts w:eastAsia="HiddenHorzOCR"/>
          <w:color w:val="000000"/>
          <w:szCs w:val="24"/>
        </w:rPr>
        <w:t>.</w:t>
      </w:r>
      <w:proofErr w:type="gramEnd"/>
      <w:r w:rsidRPr="00E265EB">
        <w:rPr>
          <w:rFonts w:eastAsia="HiddenHorzOCR"/>
          <w:color w:val="000000"/>
          <w:szCs w:val="24"/>
        </w:rPr>
        <w:t xml:space="preserve">  The CI’s application asserts that compensable ratings should be considered for lower back condition</w:t>
      </w:r>
      <w:r w:rsidR="003535AC" w:rsidRPr="00E265EB">
        <w:rPr>
          <w:rFonts w:eastAsia="HiddenHorzOCR"/>
          <w:color w:val="000000"/>
          <w:szCs w:val="24"/>
        </w:rPr>
        <w:t xml:space="preserve"> (VA 10%)</w:t>
      </w:r>
      <w:r w:rsidRPr="00E265EB">
        <w:rPr>
          <w:rFonts w:eastAsia="HiddenHorzOCR"/>
          <w:color w:val="000000"/>
          <w:szCs w:val="24"/>
        </w:rPr>
        <w:t>, bilateral tinnitus</w:t>
      </w:r>
      <w:r w:rsidR="003535AC" w:rsidRPr="00E265EB">
        <w:rPr>
          <w:rFonts w:eastAsia="HiddenHorzOCR"/>
          <w:color w:val="000000"/>
          <w:szCs w:val="24"/>
        </w:rPr>
        <w:t xml:space="preserve"> (VA 10%)</w:t>
      </w:r>
      <w:r w:rsidRPr="00E265EB">
        <w:rPr>
          <w:rFonts w:eastAsia="HiddenHorzOCR"/>
          <w:color w:val="000000"/>
          <w:szCs w:val="24"/>
        </w:rPr>
        <w:t>, migraines and headaches</w:t>
      </w:r>
      <w:r w:rsidR="003535AC" w:rsidRPr="00E265EB">
        <w:rPr>
          <w:rFonts w:eastAsia="HiddenHorzOCR"/>
          <w:color w:val="000000"/>
          <w:szCs w:val="24"/>
        </w:rPr>
        <w:t xml:space="preserve"> (VA 30%)</w:t>
      </w:r>
      <w:r w:rsidRPr="00E265EB">
        <w:rPr>
          <w:rFonts w:eastAsia="HiddenHorzOCR"/>
          <w:color w:val="000000"/>
          <w:szCs w:val="24"/>
        </w:rPr>
        <w:t>, conjunctivitis (dry eyes)</w:t>
      </w:r>
      <w:r w:rsidR="003535AC" w:rsidRPr="00E265EB">
        <w:rPr>
          <w:rFonts w:eastAsia="HiddenHorzOCR"/>
          <w:color w:val="000000"/>
          <w:szCs w:val="24"/>
        </w:rPr>
        <w:t xml:space="preserve"> (VA 10%), </w:t>
      </w:r>
      <w:r w:rsidRPr="00E265EB">
        <w:rPr>
          <w:rFonts w:eastAsia="HiddenHorzOCR"/>
          <w:color w:val="000000"/>
          <w:szCs w:val="24"/>
        </w:rPr>
        <w:t>sexual dysfunction</w:t>
      </w:r>
      <w:r w:rsidR="003535AC" w:rsidRPr="00E265EB">
        <w:rPr>
          <w:rFonts w:eastAsia="HiddenHorzOCR"/>
          <w:color w:val="000000"/>
          <w:szCs w:val="24"/>
        </w:rPr>
        <w:t xml:space="preserve"> (VA 0%)</w:t>
      </w:r>
      <w:r w:rsidRPr="00E265EB">
        <w:rPr>
          <w:rFonts w:eastAsia="HiddenHorzOCR"/>
          <w:color w:val="000000"/>
          <w:szCs w:val="24"/>
        </w:rPr>
        <w:t xml:space="preserve"> and </w:t>
      </w:r>
      <w:proofErr w:type="spellStart"/>
      <w:r w:rsidRPr="00E265EB">
        <w:rPr>
          <w:rFonts w:eastAsia="HiddenHorzOCR"/>
          <w:color w:val="000000"/>
          <w:szCs w:val="24"/>
        </w:rPr>
        <w:t>tinea</w:t>
      </w:r>
      <w:proofErr w:type="spellEnd"/>
      <w:r w:rsidRPr="00E265EB">
        <w:rPr>
          <w:rFonts w:eastAsia="HiddenHorzOCR"/>
          <w:color w:val="000000"/>
          <w:szCs w:val="24"/>
        </w:rPr>
        <w:t xml:space="preserve"> </w:t>
      </w:r>
      <w:proofErr w:type="spellStart"/>
      <w:r w:rsidRPr="00E265EB">
        <w:rPr>
          <w:rFonts w:eastAsia="HiddenHorzOCR"/>
          <w:color w:val="000000"/>
          <w:szCs w:val="24"/>
        </w:rPr>
        <w:t>pedis</w:t>
      </w:r>
      <w:proofErr w:type="spellEnd"/>
      <w:r w:rsidR="003535AC" w:rsidRPr="00E265EB">
        <w:rPr>
          <w:rFonts w:eastAsia="HiddenHorzOCR"/>
          <w:color w:val="000000"/>
          <w:szCs w:val="24"/>
        </w:rPr>
        <w:t xml:space="preserve"> (VA 0%)</w:t>
      </w:r>
      <w:r w:rsidRPr="00E265EB">
        <w:rPr>
          <w:rFonts w:eastAsia="HiddenHorzOCR"/>
          <w:color w:val="000000"/>
          <w:szCs w:val="24"/>
        </w:rPr>
        <w:t xml:space="preserve">.  </w:t>
      </w:r>
      <w:r w:rsidR="003535AC" w:rsidRPr="00E265EB">
        <w:rPr>
          <w:rFonts w:eastAsia="HiddenHorzOCR"/>
          <w:color w:val="000000"/>
          <w:szCs w:val="24"/>
        </w:rPr>
        <w:t>The conjunctivitis condition was mentioned in the DES file.  There was no significant</w:t>
      </w:r>
      <w:r w:rsidR="003535AC">
        <w:rPr>
          <w:rFonts w:eastAsia="HiddenHorzOCR"/>
          <w:color w:val="000000"/>
          <w:szCs w:val="24"/>
        </w:rPr>
        <w:t xml:space="preserve"> visual acuity impairment </w:t>
      </w:r>
      <w:r w:rsidR="00D23156">
        <w:rPr>
          <w:rFonts w:eastAsia="HiddenHorzOCR"/>
          <w:color w:val="000000"/>
          <w:szCs w:val="24"/>
        </w:rPr>
        <w:t xml:space="preserve">(corrected to normal vision) </w:t>
      </w:r>
      <w:r w:rsidR="003535AC">
        <w:rPr>
          <w:rFonts w:eastAsia="HiddenHorzOCR"/>
          <w:color w:val="000000"/>
          <w:szCs w:val="24"/>
        </w:rPr>
        <w:t xml:space="preserve">and the condition was not profiled or noted in the commander’s statement.  </w:t>
      </w:r>
      <w:r w:rsidR="00F52896">
        <w:rPr>
          <w:rFonts w:eastAsia="HiddenHorzOCR"/>
          <w:color w:val="000000"/>
          <w:szCs w:val="24"/>
        </w:rPr>
        <w:t>C</w:t>
      </w:r>
      <w:r w:rsidR="00F52896" w:rsidRPr="00743785">
        <w:rPr>
          <w:rFonts w:eastAsia="HiddenHorzOCR"/>
          <w:color w:val="000000"/>
          <w:szCs w:val="24"/>
        </w:rPr>
        <w:t>onjunctivitis (dry eyes</w:t>
      </w:r>
      <w:r w:rsidR="00F52896">
        <w:rPr>
          <w:rFonts w:eastAsia="HiddenHorzOCR"/>
          <w:color w:val="000000"/>
          <w:szCs w:val="24"/>
        </w:rPr>
        <w:t>/</w:t>
      </w:r>
      <w:proofErr w:type="spellStart"/>
      <w:r w:rsidR="00F52896" w:rsidRPr="00F52896">
        <w:rPr>
          <w:rFonts w:eastAsia="HiddenHorzOCR"/>
          <w:color w:val="000000"/>
          <w:szCs w:val="24"/>
        </w:rPr>
        <w:t>Keratoconjunctivitis</w:t>
      </w:r>
      <w:proofErr w:type="spellEnd"/>
      <w:r w:rsidR="00F52896" w:rsidRPr="00F52896">
        <w:rPr>
          <w:rFonts w:eastAsia="HiddenHorzOCR"/>
          <w:color w:val="000000"/>
          <w:szCs w:val="24"/>
        </w:rPr>
        <w:t xml:space="preserve"> </w:t>
      </w:r>
      <w:proofErr w:type="spellStart"/>
      <w:r w:rsidR="007634D0">
        <w:rPr>
          <w:rFonts w:eastAsia="HiddenHorzOCR"/>
          <w:color w:val="000000"/>
          <w:szCs w:val="24"/>
        </w:rPr>
        <w:t>s</w:t>
      </w:r>
      <w:r w:rsidR="00F52896" w:rsidRPr="00F52896">
        <w:rPr>
          <w:rFonts w:eastAsia="HiddenHorzOCR"/>
          <w:color w:val="000000"/>
          <w:szCs w:val="24"/>
        </w:rPr>
        <w:t>cicca</w:t>
      </w:r>
      <w:proofErr w:type="spellEnd"/>
      <w:r w:rsidR="00F52896" w:rsidRPr="00743785">
        <w:rPr>
          <w:rFonts w:eastAsia="HiddenHorzOCR"/>
          <w:color w:val="000000"/>
          <w:szCs w:val="24"/>
        </w:rPr>
        <w:t>)</w:t>
      </w:r>
      <w:r w:rsidR="00F52896">
        <w:rPr>
          <w:rFonts w:eastAsia="HiddenHorzOCR"/>
          <w:color w:val="000000"/>
          <w:szCs w:val="24"/>
        </w:rPr>
        <w:t xml:space="preserve"> was </w:t>
      </w:r>
      <w:r w:rsidRPr="001F29F9">
        <w:rPr>
          <w:color w:val="000000"/>
          <w:szCs w:val="24"/>
        </w:rPr>
        <w:t xml:space="preserve">reviewed by the action officer and considered by the Board.  There was no evidence for concluding that any </w:t>
      </w:r>
      <w:r w:rsidR="00F52896">
        <w:rPr>
          <w:color w:val="000000"/>
          <w:szCs w:val="24"/>
        </w:rPr>
        <w:t xml:space="preserve">eye </w:t>
      </w:r>
      <w:r w:rsidRPr="001F29F9">
        <w:rPr>
          <w:color w:val="000000"/>
          <w:szCs w:val="24"/>
        </w:rPr>
        <w:t xml:space="preserve">condition interfered with duty performance to a degree that could be argued as unfitting.  </w:t>
      </w:r>
      <w:r w:rsidR="00F52896">
        <w:rPr>
          <w:color w:val="000000"/>
          <w:szCs w:val="24"/>
        </w:rPr>
        <w:t xml:space="preserve">None of the remaining conditions were noted in the DES </w:t>
      </w:r>
      <w:r w:rsidR="00F52896" w:rsidRPr="00F11103">
        <w:rPr>
          <w:rFonts w:eastAsia="HiddenHorzOCR"/>
          <w:color w:val="000000"/>
          <w:szCs w:val="24"/>
        </w:rPr>
        <w:t xml:space="preserve">file.  Sexual dysfunction is not a condition constituting a physical disability IAW DoDI 1332.39.  The </w:t>
      </w:r>
      <w:r w:rsidR="00171BA8" w:rsidRPr="00E265EB">
        <w:rPr>
          <w:rFonts w:eastAsia="HiddenHorzOCR"/>
          <w:color w:val="000000"/>
          <w:szCs w:val="24"/>
        </w:rPr>
        <w:t xml:space="preserve">lower </w:t>
      </w:r>
      <w:r w:rsidR="00171BA8" w:rsidRPr="00E265EB">
        <w:rPr>
          <w:rFonts w:eastAsia="HiddenHorzOCR"/>
          <w:color w:val="000000"/>
          <w:szCs w:val="24"/>
        </w:rPr>
        <w:lastRenderedPageBreak/>
        <w:t xml:space="preserve">back, bilateral tinnitus, migraines and headaches, sexual dysfunction and </w:t>
      </w:r>
      <w:proofErr w:type="spellStart"/>
      <w:r w:rsidR="00171BA8" w:rsidRPr="00E265EB">
        <w:rPr>
          <w:rFonts w:eastAsia="HiddenHorzOCR"/>
          <w:color w:val="000000"/>
          <w:szCs w:val="24"/>
        </w:rPr>
        <w:t>tinea</w:t>
      </w:r>
      <w:proofErr w:type="spellEnd"/>
      <w:r w:rsidR="00171BA8" w:rsidRPr="00E265EB">
        <w:rPr>
          <w:rFonts w:eastAsia="HiddenHorzOCR"/>
          <w:color w:val="000000"/>
          <w:szCs w:val="24"/>
        </w:rPr>
        <w:t xml:space="preserve"> </w:t>
      </w:r>
      <w:proofErr w:type="spellStart"/>
      <w:r w:rsidR="00171BA8" w:rsidRPr="00E265EB">
        <w:rPr>
          <w:rFonts w:eastAsia="HiddenHorzOCR"/>
          <w:color w:val="000000"/>
          <w:szCs w:val="24"/>
        </w:rPr>
        <w:t>pedis</w:t>
      </w:r>
      <w:proofErr w:type="spellEnd"/>
      <w:r w:rsidR="00171BA8" w:rsidRPr="00E265EB">
        <w:rPr>
          <w:rFonts w:eastAsia="HiddenHorzOCR"/>
          <w:color w:val="000000"/>
          <w:szCs w:val="24"/>
        </w:rPr>
        <w:t xml:space="preserve"> </w:t>
      </w:r>
      <w:r w:rsidR="00171BA8" w:rsidRPr="00F11103">
        <w:rPr>
          <w:rFonts w:eastAsia="HiddenHorzOCR"/>
          <w:color w:val="000000"/>
          <w:szCs w:val="24"/>
        </w:rPr>
        <w:t>con</w:t>
      </w:r>
      <w:r w:rsidR="00171BA8" w:rsidRPr="00E265EB">
        <w:rPr>
          <w:color w:val="auto"/>
          <w:szCs w:val="24"/>
        </w:rPr>
        <w:t>ditions were not documented in the DES file.  The Board does not have the authority under DoDI 6040.44</w:t>
      </w:r>
      <w:r w:rsidR="00171BA8">
        <w:rPr>
          <w:color w:val="auto"/>
          <w:szCs w:val="24"/>
        </w:rPr>
        <w:t xml:space="preserve"> to render fitness or rating recommendations for any conditions not considered by the DES.  </w:t>
      </w:r>
      <w:r w:rsidRPr="001F29F9">
        <w:rPr>
          <w:color w:val="000000"/>
          <w:szCs w:val="24"/>
        </w:rPr>
        <w:t>The Board determined therefore that none of the stated conditions were subject to service disability rating.</w:t>
      </w:r>
    </w:p>
    <w:p w:rsidR="009E3ED7" w:rsidRDefault="009E3ED7" w:rsidP="003C53E8">
      <w:pPr>
        <w:tabs>
          <w:tab w:val="left" w:pos="288"/>
          <w:tab w:val="left" w:pos="4752"/>
        </w:tabs>
        <w:jc w:val="left"/>
        <w:rPr>
          <w:rFonts w:cs="Times New Roman"/>
          <w:color w:val="auto"/>
          <w:szCs w:val="24"/>
        </w:rPr>
      </w:pPr>
    </w:p>
    <w:p w:rsidR="003C53E8" w:rsidRDefault="009E3ED7" w:rsidP="0002102E">
      <w:pPr>
        <w:tabs>
          <w:tab w:val="left" w:pos="288"/>
          <w:tab w:val="left" w:pos="4752"/>
        </w:tabs>
        <w:jc w:val="both"/>
        <w:rPr>
          <w:rFonts w:cs="Times New Roman"/>
          <w:color w:val="auto"/>
          <w:szCs w:val="24"/>
        </w:rPr>
      </w:pPr>
      <w:r>
        <w:rPr>
          <w:rFonts w:cs="Times New Roman"/>
          <w:color w:val="auto"/>
          <w:szCs w:val="24"/>
          <w:u w:val="single"/>
        </w:rPr>
        <w:t>Other non PEB conditions</w:t>
      </w:r>
      <w:r w:rsidRPr="0002102E">
        <w:rPr>
          <w:rFonts w:cs="Times New Roman"/>
          <w:color w:val="auto"/>
          <w:szCs w:val="24"/>
        </w:rPr>
        <w:t>:</w:t>
      </w:r>
      <w:r>
        <w:rPr>
          <w:rFonts w:cs="Times New Roman"/>
          <w:color w:val="auto"/>
          <w:szCs w:val="24"/>
        </w:rPr>
        <w:t xml:space="preserve"> </w:t>
      </w:r>
      <w:r w:rsidR="0002102E">
        <w:rPr>
          <w:rFonts w:cs="Times New Roman"/>
          <w:color w:val="auto"/>
          <w:szCs w:val="24"/>
        </w:rPr>
        <w:t xml:space="preserve"> </w:t>
      </w:r>
      <w:r>
        <w:rPr>
          <w:rFonts w:cs="Times New Roman"/>
          <w:color w:val="auto"/>
          <w:szCs w:val="24"/>
        </w:rPr>
        <w:t xml:space="preserve">There </w:t>
      </w:r>
      <w:r w:rsidR="00171BA8">
        <w:rPr>
          <w:rFonts w:cs="Times New Roman"/>
          <w:color w:val="auto"/>
          <w:szCs w:val="24"/>
        </w:rPr>
        <w:t>wer</w:t>
      </w:r>
      <w:r>
        <w:rPr>
          <w:rFonts w:cs="Times New Roman"/>
          <w:color w:val="auto"/>
          <w:szCs w:val="24"/>
        </w:rPr>
        <w:t>e several conditions that were</w:t>
      </w:r>
      <w:r w:rsidR="001B16E2">
        <w:rPr>
          <w:rFonts w:cs="Times New Roman"/>
          <w:color w:val="auto"/>
          <w:szCs w:val="24"/>
        </w:rPr>
        <w:t xml:space="preserve"> </w:t>
      </w:r>
      <w:r w:rsidR="007634D0">
        <w:rPr>
          <w:rFonts w:cs="Times New Roman"/>
          <w:color w:val="auto"/>
          <w:szCs w:val="24"/>
        </w:rPr>
        <w:t>recognized by the VA as service-</w:t>
      </w:r>
      <w:r w:rsidR="001B16E2">
        <w:rPr>
          <w:rFonts w:cs="Times New Roman"/>
          <w:color w:val="auto"/>
          <w:szCs w:val="24"/>
        </w:rPr>
        <w:t xml:space="preserve">connected </w:t>
      </w:r>
      <w:r w:rsidR="007909D1">
        <w:rPr>
          <w:rFonts w:cs="Times New Roman"/>
          <w:color w:val="auto"/>
          <w:szCs w:val="24"/>
        </w:rPr>
        <w:t xml:space="preserve">with rating effective within 12 months of separation, </w:t>
      </w:r>
      <w:r w:rsidR="00171BA8">
        <w:rPr>
          <w:rFonts w:cs="Times New Roman"/>
          <w:color w:val="auto"/>
          <w:szCs w:val="24"/>
        </w:rPr>
        <w:t>including</w:t>
      </w:r>
      <w:r w:rsidR="001B16E2">
        <w:rPr>
          <w:rFonts w:cs="Times New Roman"/>
          <w:color w:val="auto"/>
          <w:szCs w:val="24"/>
        </w:rPr>
        <w:t xml:space="preserve"> right knee D</w:t>
      </w:r>
      <w:r w:rsidR="00ED156F">
        <w:rPr>
          <w:rFonts w:cs="Times New Roman"/>
          <w:color w:val="auto"/>
          <w:szCs w:val="24"/>
        </w:rPr>
        <w:t>JD</w:t>
      </w:r>
      <w:r w:rsidR="00171BA8">
        <w:rPr>
          <w:rFonts w:cs="Times New Roman"/>
          <w:color w:val="auto"/>
          <w:szCs w:val="24"/>
        </w:rPr>
        <w:t xml:space="preserve"> (VA 10%)</w:t>
      </w:r>
      <w:r w:rsidR="00ED156F">
        <w:rPr>
          <w:rFonts w:cs="Times New Roman"/>
          <w:color w:val="auto"/>
          <w:szCs w:val="24"/>
        </w:rPr>
        <w:t>, depression</w:t>
      </w:r>
      <w:r w:rsidR="00171BA8">
        <w:rPr>
          <w:rFonts w:cs="Times New Roman"/>
          <w:color w:val="auto"/>
          <w:szCs w:val="24"/>
        </w:rPr>
        <w:t xml:space="preserve"> (VA 30%)</w:t>
      </w:r>
      <w:r w:rsidR="00ED156F">
        <w:rPr>
          <w:rFonts w:cs="Times New Roman"/>
          <w:color w:val="auto"/>
          <w:szCs w:val="24"/>
        </w:rPr>
        <w:t>, and GERD</w:t>
      </w:r>
      <w:r w:rsidR="00171BA8">
        <w:rPr>
          <w:rFonts w:cs="Times New Roman"/>
          <w:color w:val="auto"/>
          <w:szCs w:val="24"/>
        </w:rPr>
        <w:t xml:space="preserve"> (VA 30%) that were not mentioned in the DES file</w:t>
      </w:r>
      <w:r w:rsidR="001B16E2">
        <w:rPr>
          <w:rFonts w:cs="Times New Roman"/>
          <w:color w:val="auto"/>
          <w:szCs w:val="24"/>
        </w:rPr>
        <w:t xml:space="preserve">. </w:t>
      </w:r>
      <w:r w:rsidR="008C47FC">
        <w:rPr>
          <w:rFonts w:cs="Times New Roman"/>
          <w:color w:val="auto"/>
          <w:szCs w:val="24"/>
        </w:rPr>
        <w:t xml:space="preserve"> </w:t>
      </w:r>
      <w:r w:rsidR="00171BA8">
        <w:rPr>
          <w:color w:val="auto"/>
          <w:szCs w:val="24"/>
        </w:rPr>
        <w:t xml:space="preserve">The Board does not have the authority under DoDI 6040.44 to render fitness or rating recommendations for any conditions not considered by the DES.  </w:t>
      </w:r>
      <w:r w:rsidR="00171BA8" w:rsidRPr="001F29F9">
        <w:rPr>
          <w:color w:val="000000"/>
          <w:szCs w:val="24"/>
        </w:rPr>
        <w:t>The Board determined therefore that none of the stated conditions were subject to service disability rating.</w:t>
      </w:r>
    </w:p>
    <w:p w:rsidR="008C47FC" w:rsidRDefault="008C47FC" w:rsidP="0002102E">
      <w:pPr>
        <w:tabs>
          <w:tab w:val="left" w:pos="288"/>
          <w:tab w:val="left" w:pos="4752"/>
        </w:tabs>
        <w:jc w:val="both"/>
        <w:rPr>
          <w:rFonts w:cs="Times New Roman"/>
          <w:color w:val="auto"/>
          <w:szCs w:val="24"/>
        </w:rPr>
      </w:pPr>
    </w:p>
    <w:p w:rsidR="00F52896" w:rsidRDefault="001B16E2" w:rsidP="005F6F7B">
      <w:pPr>
        <w:jc w:val="both"/>
        <w:rPr>
          <w:color w:val="000000"/>
          <w:szCs w:val="24"/>
        </w:rPr>
      </w:pPr>
      <w:r>
        <w:rPr>
          <w:rFonts w:cs="Times New Roman"/>
          <w:color w:val="auto"/>
          <w:szCs w:val="24"/>
          <w:u w:val="single"/>
        </w:rPr>
        <w:t>Remaining conditions</w:t>
      </w:r>
      <w:r w:rsidRPr="00171BA8">
        <w:rPr>
          <w:rFonts w:cs="Times New Roman"/>
          <w:color w:val="auto"/>
          <w:szCs w:val="24"/>
        </w:rPr>
        <w:t xml:space="preserve">: </w:t>
      </w:r>
      <w:r w:rsidR="00171BA8">
        <w:rPr>
          <w:rFonts w:cs="Times New Roman"/>
          <w:color w:val="auto"/>
          <w:szCs w:val="24"/>
        </w:rPr>
        <w:t xml:space="preserve"> </w:t>
      </w:r>
      <w:r>
        <w:rPr>
          <w:rFonts w:cs="Times New Roman"/>
          <w:color w:val="auto"/>
          <w:szCs w:val="24"/>
        </w:rPr>
        <w:t xml:space="preserve">There </w:t>
      </w:r>
      <w:r w:rsidR="00171BA8">
        <w:rPr>
          <w:rFonts w:cs="Times New Roman"/>
          <w:color w:val="auto"/>
          <w:szCs w:val="24"/>
        </w:rPr>
        <w:t xml:space="preserve">were </w:t>
      </w:r>
      <w:r>
        <w:rPr>
          <w:rFonts w:cs="Times New Roman"/>
          <w:color w:val="auto"/>
          <w:szCs w:val="24"/>
        </w:rPr>
        <w:t xml:space="preserve">several non acute </w:t>
      </w:r>
      <w:r w:rsidR="00171BA8">
        <w:rPr>
          <w:rFonts w:cs="Times New Roman"/>
          <w:color w:val="auto"/>
          <w:szCs w:val="24"/>
        </w:rPr>
        <w:t xml:space="preserve">conditions </w:t>
      </w:r>
      <w:r>
        <w:rPr>
          <w:rFonts w:cs="Times New Roman"/>
          <w:color w:val="auto"/>
          <w:szCs w:val="24"/>
        </w:rPr>
        <w:t>or medical complaint</w:t>
      </w:r>
      <w:r w:rsidR="00171BA8">
        <w:rPr>
          <w:rFonts w:cs="Times New Roman"/>
          <w:color w:val="auto"/>
          <w:szCs w:val="24"/>
        </w:rPr>
        <w:t>s</w:t>
      </w:r>
      <w:r>
        <w:rPr>
          <w:rFonts w:cs="Times New Roman"/>
          <w:color w:val="auto"/>
          <w:szCs w:val="24"/>
        </w:rPr>
        <w:t xml:space="preserve"> documented </w:t>
      </w:r>
      <w:r w:rsidR="00171BA8">
        <w:rPr>
          <w:rFonts w:cs="Times New Roman"/>
          <w:color w:val="auto"/>
          <w:szCs w:val="24"/>
        </w:rPr>
        <w:t xml:space="preserve">in the DES file including foot trouble and a positive </w:t>
      </w:r>
      <w:r w:rsidR="007909D1">
        <w:rPr>
          <w:rFonts w:cs="Times New Roman"/>
          <w:color w:val="auto"/>
          <w:szCs w:val="24"/>
        </w:rPr>
        <w:t xml:space="preserve">screening </w:t>
      </w:r>
      <w:r w:rsidR="00171BA8">
        <w:rPr>
          <w:rFonts w:cs="Times New Roman"/>
          <w:color w:val="auto"/>
          <w:szCs w:val="24"/>
        </w:rPr>
        <w:t>skin test (</w:t>
      </w:r>
      <w:r w:rsidR="007909D1">
        <w:rPr>
          <w:rFonts w:cs="Times New Roman"/>
          <w:color w:val="auto"/>
          <w:szCs w:val="24"/>
        </w:rPr>
        <w:t>+</w:t>
      </w:r>
      <w:r w:rsidR="00171BA8">
        <w:rPr>
          <w:rFonts w:cs="Times New Roman"/>
          <w:color w:val="auto"/>
          <w:szCs w:val="24"/>
        </w:rPr>
        <w:t>PPD)</w:t>
      </w:r>
      <w:r w:rsidR="007909D1">
        <w:rPr>
          <w:rFonts w:cs="Times New Roman"/>
          <w:color w:val="auto"/>
          <w:szCs w:val="24"/>
        </w:rPr>
        <w:t xml:space="preserve"> for tuberculosis, without signs or symptoms of tuberculosis</w:t>
      </w:r>
      <w:r w:rsidR="00171BA8">
        <w:rPr>
          <w:rFonts w:cs="Times New Roman"/>
          <w:color w:val="auto"/>
          <w:szCs w:val="24"/>
        </w:rPr>
        <w:t xml:space="preserve">.  The foot trouble, as related to the right lower leg condition was considered above.  </w:t>
      </w:r>
      <w:r w:rsidR="005F6F7B" w:rsidRPr="00341D57">
        <w:rPr>
          <w:color w:val="000000"/>
          <w:szCs w:val="24"/>
        </w:rPr>
        <w:t xml:space="preserve">None of these conditions were </w:t>
      </w:r>
      <w:r w:rsidR="005F6F7B" w:rsidRPr="00341D57">
        <w:rPr>
          <w:color w:val="auto"/>
          <w:szCs w:val="24"/>
        </w:rPr>
        <w:t xml:space="preserve">significantly clinically or occupationally active </w:t>
      </w:r>
      <w:r w:rsidR="005F6F7B" w:rsidRPr="00341D57">
        <w:rPr>
          <w:color w:val="000000"/>
          <w:szCs w:val="24"/>
        </w:rPr>
        <w:t>during the MEB period, none carried attached profiles, and none were implicated in the commander’s statement.</w:t>
      </w:r>
      <w:r w:rsidR="005F6F7B" w:rsidRPr="001F29F9">
        <w:rPr>
          <w:color w:val="000000"/>
          <w:szCs w:val="24"/>
        </w:rPr>
        <w:t xml:space="preserve">  These conditions were reviewed by the action officer and considered by the Board.  It was determined that none could be argued as unfitting and subject to separation rating.</w:t>
      </w:r>
      <w:r w:rsidR="005F6F7B">
        <w:rPr>
          <w:color w:val="000000"/>
          <w:szCs w:val="24"/>
        </w:rPr>
        <w:t xml:space="preserve"> </w:t>
      </w:r>
      <w:r w:rsidR="00F52896">
        <w:rPr>
          <w:color w:val="000000"/>
          <w:szCs w:val="24"/>
        </w:rPr>
        <w:t xml:space="preserve"> </w:t>
      </w:r>
    </w:p>
    <w:p w:rsidR="001031F4" w:rsidRPr="001F29F9" w:rsidRDefault="001031F4"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5F6F7B" w:rsidRPr="001F29F9" w:rsidRDefault="00C56FC8" w:rsidP="0002102E">
      <w:pPr>
        <w:jc w:val="both"/>
        <w:rPr>
          <w:color w:val="000000"/>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eastAsia="Calibri" w:cs="Times New Roman"/>
          <w:color w:val="auto"/>
          <w:szCs w:val="24"/>
        </w:rPr>
        <w:t xml:space="preserve">. </w:t>
      </w:r>
      <w:r w:rsidR="007909D1">
        <w:rPr>
          <w:rFonts w:eastAsia="Calibri" w:cs="Times New Roman"/>
          <w:color w:val="auto"/>
          <w:szCs w:val="24"/>
        </w:rPr>
        <w:t xml:space="preserve"> </w:t>
      </w:r>
      <w:r w:rsidR="007909D1" w:rsidRPr="007909D1">
        <w:rPr>
          <w:rFonts w:eastAsia="Calibri" w:cs="Times New Roman"/>
          <w:color w:val="auto"/>
          <w:szCs w:val="24"/>
        </w:rPr>
        <w:t xml:space="preserve">As discussed above, PEB reliance on the USAPDA </w:t>
      </w:r>
      <w:r w:rsidR="007909D1" w:rsidRPr="00E265EB">
        <w:rPr>
          <w:rFonts w:eastAsia="Calibri" w:cs="Times New Roman"/>
          <w:color w:val="auto"/>
          <w:szCs w:val="24"/>
        </w:rPr>
        <w:t>pain policy</w:t>
      </w:r>
      <w:r w:rsidR="007909D1">
        <w:rPr>
          <w:rFonts w:eastAsia="Calibri" w:cs="Times New Roman"/>
          <w:color w:val="auto"/>
          <w:szCs w:val="24"/>
        </w:rPr>
        <w:t xml:space="preserve"> </w:t>
      </w:r>
      <w:r w:rsidR="007909D1" w:rsidRPr="007909D1">
        <w:rPr>
          <w:rFonts w:eastAsia="Calibri" w:cs="Times New Roman"/>
          <w:color w:val="auto"/>
          <w:szCs w:val="24"/>
        </w:rPr>
        <w:t xml:space="preserve">for rating </w:t>
      </w:r>
      <w:r w:rsidR="007909D1">
        <w:rPr>
          <w:rFonts w:eastAsia="Calibri" w:cs="Times New Roman"/>
          <w:color w:val="auto"/>
          <w:szCs w:val="24"/>
        </w:rPr>
        <w:t>the right lower leg condition</w:t>
      </w:r>
      <w:r w:rsidR="007909D1" w:rsidRPr="007909D1">
        <w:rPr>
          <w:rFonts w:eastAsia="Calibri" w:cs="Times New Roman"/>
          <w:color w:val="auto"/>
          <w:szCs w:val="24"/>
        </w:rPr>
        <w:t xml:space="preserve"> was operant in this case and the condition was adjudicated independently of that policy</w:t>
      </w:r>
      <w:r w:rsidR="007909D1">
        <w:rPr>
          <w:rFonts w:eastAsia="Calibri" w:cs="Times New Roman"/>
          <w:color w:val="auto"/>
          <w:szCs w:val="24"/>
        </w:rPr>
        <w:t xml:space="preserve"> </w:t>
      </w:r>
      <w:r w:rsidR="007909D1" w:rsidRPr="007909D1">
        <w:rPr>
          <w:rFonts w:eastAsia="Calibri" w:cs="Times New Roman"/>
          <w:color w:val="auto"/>
          <w:szCs w:val="24"/>
        </w:rPr>
        <w:t>by the Board.</w:t>
      </w:r>
      <w:r w:rsidR="007909D1">
        <w:rPr>
          <w:rFonts w:eastAsia="Calibri" w:cs="Times New Roman"/>
          <w:color w:val="auto"/>
          <w:szCs w:val="24"/>
        </w:rPr>
        <w:t xml:space="preserve">  </w:t>
      </w:r>
      <w:r w:rsidR="005F6F7B">
        <w:rPr>
          <w:rFonts w:cs="Times New Roman"/>
          <w:color w:val="auto"/>
          <w:szCs w:val="24"/>
        </w:rPr>
        <w:t xml:space="preserve">In the matter of right </w:t>
      </w:r>
      <w:r w:rsidR="00302347">
        <w:rPr>
          <w:color w:val="auto"/>
          <w:szCs w:val="24"/>
        </w:rPr>
        <w:t xml:space="preserve">lower leg and ankle </w:t>
      </w:r>
      <w:r w:rsidR="005F6F7B">
        <w:rPr>
          <w:rFonts w:cs="Times New Roman"/>
          <w:color w:val="auto"/>
          <w:szCs w:val="24"/>
        </w:rPr>
        <w:t>condition</w:t>
      </w:r>
      <w:r w:rsidR="007909D1">
        <w:rPr>
          <w:rFonts w:cs="Times New Roman"/>
          <w:color w:val="auto"/>
          <w:szCs w:val="24"/>
        </w:rPr>
        <w:t xml:space="preserve"> </w:t>
      </w:r>
      <w:r w:rsidR="007909D1">
        <w:rPr>
          <w:color w:val="auto"/>
          <w:szCs w:val="24"/>
        </w:rPr>
        <w:t>and IAW VASRD §4.71a</w:t>
      </w:r>
      <w:r w:rsidR="005F6F7B">
        <w:rPr>
          <w:rFonts w:cs="Times New Roman"/>
          <w:color w:val="auto"/>
          <w:szCs w:val="24"/>
        </w:rPr>
        <w:t xml:space="preserve">, the Board </w:t>
      </w:r>
      <w:r w:rsidR="007909D1">
        <w:rPr>
          <w:color w:val="auto"/>
          <w:szCs w:val="24"/>
        </w:rPr>
        <w:t>unanimously</w:t>
      </w:r>
      <w:r w:rsidR="007909D1">
        <w:rPr>
          <w:rFonts w:cs="Times New Roman"/>
          <w:color w:val="auto"/>
          <w:szCs w:val="24"/>
        </w:rPr>
        <w:t xml:space="preserve"> </w:t>
      </w:r>
      <w:r w:rsidR="005F6F7B">
        <w:rPr>
          <w:rFonts w:cs="Times New Roman"/>
          <w:color w:val="auto"/>
          <w:szCs w:val="24"/>
        </w:rPr>
        <w:t xml:space="preserve">recommends no recharacterization of the </w:t>
      </w:r>
      <w:r w:rsidR="007909D1">
        <w:rPr>
          <w:rFonts w:cs="Times New Roman"/>
          <w:color w:val="auto"/>
          <w:szCs w:val="24"/>
        </w:rPr>
        <w:t xml:space="preserve">PEB 10% </w:t>
      </w:r>
      <w:r w:rsidR="005F6F7B">
        <w:rPr>
          <w:rFonts w:cs="Times New Roman"/>
          <w:color w:val="auto"/>
          <w:szCs w:val="24"/>
        </w:rPr>
        <w:t>rating.</w:t>
      </w:r>
      <w:r w:rsidR="007909D1">
        <w:rPr>
          <w:rFonts w:cs="Times New Roman"/>
          <w:color w:val="auto"/>
          <w:szCs w:val="24"/>
        </w:rPr>
        <w:t xml:space="preserve">  </w:t>
      </w:r>
      <w:r w:rsidR="005F6F7B" w:rsidRPr="00164885">
        <w:rPr>
          <w:color w:val="000000"/>
        </w:rPr>
        <w:t>In the matter of the</w:t>
      </w:r>
      <w:r w:rsidR="00ED156F">
        <w:rPr>
          <w:color w:val="000000"/>
        </w:rPr>
        <w:t xml:space="preserve"> conjunctivitis </w:t>
      </w:r>
      <w:r w:rsidR="005F6F7B" w:rsidRPr="00164885">
        <w:rPr>
          <w:color w:val="000000"/>
        </w:rPr>
        <w:t>condition or any</w:t>
      </w:r>
      <w:r w:rsidR="005F6F7B">
        <w:rPr>
          <w:color w:val="000000"/>
        </w:rPr>
        <w:t xml:space="preserve"> </w:t>
      </w:r>
      <w:r w:rsidR="005F6F7B" w:rsidRPr="00164885">
        <w:rPr>
          <w:color w:val="000000"/>
        </w:rPr>
        <w:t>other medical conditions eligible for Board consideration, the Board unanimously agrees that it cannot</w:t>
      </w:r>
      <w:r w:rsidR="005F6F7B">
        <w:rPr>
          <w:color w:val="000000"/>
        </w:rPr>
        <w:t xml:space="preserve"> </w:t>
      </w:r>
      <w:r w:rsidR="005F6F7B" w:rsidRPr="00164885">
        <w:rPr>
          <w:color w:val="000000"/>
        </w:rPr>
        <w:t>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6B4AA2" w:rsidRPr="001F29F9" w:rsidRDefault="00C56FC8" w:rsidP="0002102E">
      <w:pPr>
        <w:jc w:val="left"/>
        <w:rPr>
          <w:color w:val="000000"/>
          <w:szCs w:val="24"/>
        </w:rPr>
      </w:pPr>
      <w:r w:rsidRPr="001F29F9">
        <w:rPr>
          <w:color w:val="000000"/>
          <w:szCs w:val="24"/>
          <w:u w:val="single"/>
        </w:rPr>
        <w:t>RECOMMENDATION</w:t>
      </w:r>
      <w:r w:rsidRPr="001F29F9">
        <w:rPr>
          <w:color w:val="000000"/>
          <w:szCs w:val="24"/>
        </w:rPr>
        <w:t>:</w:t>
      </w:r>
      <w:r w:rsidR="0002102E">
        <w:rPr>
          <w:color w:val="000000"/>
          <w:szCs w:val="24"/>
        </w:rPr>
        <w:t xml:space="preserve">  </w:t>
      </w:r>
      <w:r w:rsidRPr="001F29F9">
        <w:rPr>
          <w:color w:val="000000"/>
          <w:szCs w:val="24"/>
        </w:rPr>
        <w:t>The Board</w:t>
      </w:r>
      <w:r w:rsidR="006A543A" w:rsidRPr="001F29F9">
        <w:rPr>
          <w:color w:val="000000"/>
          <w:szCs w:val="24"/>
        </w:rPr>
        <w:t>,</w:t>
      </w:r>
      <w:r w:rsidRPr="001F29F9">
        <w:rPr>
          <w:color w:val="000000"/>
          <w:szCs w:val="24"/>
        </w:rPr>
        <w:t xml:space="preserve"> therefore</w:t>
      </w:r>
      <w:r w:rsidR="006A543A" w:rsidRPr="001F29F9">
        <w:rPr>
          <w:color w:val="000000"/>
          <w:szCs w:val="24"/>
        </w:rPr>
        <w:t>,</w:t>
      </w:r>
      <w:r w:rsidRPr="001F29F9">
        <w:rPr>
          <w:color w:val="000000"/>
          <w:szCs w:val="24"/>
        </w:rPr>
        <w:t xml:space="preserve"> recommends that there be no recharacterization of the CI’s disability and separation determination</w:t>
      </w:r>
      <w:r w:rsidR="008C3FD0" w:rsidRPr="001F29F9">
        <w:rPr>
          <w:color w:val="000000"/>
          <w:szCs w:val="24"/>
        </w:rPr>
        <w:t>,</w:t>
      </w:r>
      <w:r w:rsidR="00BD2A49" w:rsidRPr="001F29F9">
        <w:rPr>
          <w:color w:val="000000"/>
          <w:szCs w:val="24"/>
        </w:rPr>
        <w:t xml:space="preserve"> as follows:</w:t>
      </w:r>
      <w:r w:rsidR="003604A5" w:rsidRPr="001F29F9">
        <w:rPr>
          <w:color w:val="000000"/>
          <w:szCs w:val="24"/>
        </w:rPr>
        <w:t xml:space="preserve"> </w:t>
      </w:r>
    </w:p>
    <w:p w:rsidR="00BA6A9C" w:rsidRPr="0002102E"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02102E" w:rsidTr="0080588E">
        <w:trPr>
          <w:trHeight w:val="233"/>
          <w:jc w:val="center"/>
        </w:trPr>
        <w:tc>
          <w:tcPr>
            <w:tcW w:w="6282" w:type="dxa"/>
            <w:shd w:val="clear" w:color="auto" w:fill="D9D9D9"/>
            <w:vAlign w:val="center"/>
          </w:tcPr>
          <w:p w:rsidR="00A95BBA" w:rsidRPr="0002102E" w:rsidRDefault="00A95BBA" w:rsidP="00BF0E94">
            <w:pPr>
              <w:tabs>
                <w:tab w:val="left" w:pos="288"/>
                <w:tab w:val="left" w:pos="4752"/>
              </w:tabs>
              <w:rPr>
                <w:b/>
                <w:color w:val="auto"/>
                <w:szCs w:val="24"/>
              </w:rPr>
            </w:pPr>
            <w:r w:rsidRPr="0002102E">
              <w:rPr>
                <w:b/>
                <w:color w:val="auto"/>
                <w:szCs w:val="24"/>
              </w:rPr>
              <w:t>UNFITTING CONDITION</w:t>
            </w:r>
          </w:p>
        </w:tc>
        <w:tc>
          <w:tcPr>
            <w:tcW w:w="1710" w:type="dxa"/>
            <w:shd w:val="clear" w:color="auto" w:fill="D9D9D9"/>
            <w:vAlign w:val="center"/>
          </w:tcPr>
          <w:p w:rsidR="00A95BBA" w:rsidRPr="0002102E" w:rsidRDefault="00A95BBA" w:rsidP="00BF0E94">
            <w:pPr>
              <w:tabs>
                <w:tab w:val="left" w:pos="288"/>
                <w:tab w:val="left" w:pos="4752"/>
              </w:tabs>
              <w:rPr>
                <w:b/>
                <w:color w:val="auto"/>
                <w:szCs w:val="24"/>
              </w:rPr>
            </w:pPr>
            <w:r w:rsidRPr="0002102E">
              <w:rPr>
                <w:b/>
                <w:color w:val="auto"/>
                <w:szCs w:val="24"/>
              </w:rPr>
              <w:t>VASRD CODE</w:t>
            </w:r>
          </w:p>
        </w:tc>
        <w:tc>
          <w:tcPr>
            <w:tcW w:w="1170" w:type="dxa"/>
            <w:shd w:val="clear" w:color="auto" w:fill="D9D9D9"/>
            <w:vAlign w:val="center"/>
          </w:tcPr>
          <w:p w:rsidR="00A95BBA" w:rsidRPr="0002102E" w:rsidRDefault="00A95BBA" w:rsidP="00BF0E94">
            <w:pPr>
              <w:tabs>
                <w:tab w:val="left" w:pos="288"/>
                <w:tab w:val="left" w:pos="4752"/>
              </w:tabs>
              <w:rPr>
                <w:b/>
                <w:color w:val="auto"/>
                <w:szCs w:val="24"/>
              </w:rPr>
            </w:pPr>
            <w:r w:rsidRPr="0002102E">
              <w:rPr>
                <w:b/>
                <w:color w:val="auto"/>
                <w:szCs w:val="24"/>
              </w:rPr>
              <w:t>RATING</w:t>
            </w:r>
          </w:p>
        </w:tc>
      </w:tr>
      <w:tr w:rsidR="00A95BBA" w:rsidRPr="0002102E" w:rsidTr="0080588E">
        <w:trPr>
          <w:jc w:val="center"/>
        </w:trPr>
        <w:tc>
          <w:tcPr>
            <w:tcW w:w="6282" w:type="dxa"/>
            <w:vAlign w:val="center"/>
          </w:tcPr>
          <w:p w:rsidR="00A95BBA" w:rsidRPr="0002102E" w:rsidRDefault="007909D1" w:rsidP="00302347">
            <w:pPr>
              <w:tabs>
                <w:tab w:val="left" w:pos="288"/>
                <w:tab w:val="left" w:pos="4752"/>
              </w:tabs>
              <w:jc w:val="left"/>
              <w:rPr>
                <w:color w:val="auto"/>
                <w:szCs w:val="24"/>
              </w:rPr>
            </w:pPr>
            <w:r w:rsidRPr="007909D1">
              <w:rPr>
                <w:color w:val="auto"/>
                <w:szCs w:val="24"/>
              </w:rPr>
              <w:t xml:space="preserve">Right Fibula Stress Fracture </w:t>
            </w:r>
            <w:r w:rsidR="00302347" w:rsidRPr="007909D1">
              <w:rPr>
                <w:color w:val="auto"/>
                <w:szCs w:val="24"/>
              </w:rPr>
              <w:t>Delay</w:t>
            </w:r>
            <w:r w:rsidR="00302347">
              <w:rPr>
                <w:color w:val="auto"/>
                <w:szCs w:val="24"/>
              </w:rPr>
              <w:t>ed</w:t>
            </w:r>
            <w:r w:rsidR="00302347" w:rsidRPr="007909D1">
              <w:rPr>
                <w:color w:val="auto"/>
                <w:szCs w:val="24"/>
              </w:rPr>
              <w:t xml:space="preserve"> Union </w:t>
            </w:r>
            <w:r w:rsidR="00302347">
              <w:rPr>
                <w:color w:val="auto"/>
                <w:szCs w:val="24"/>
              </w:rPr>
              <w:t>and Pain</w:t>
            </w:r>
          </w:p>
        </w:tc>
        <w:tc>
          <w:tcPr>
            <w:tcW w:w="1710" w:type="dxa"/>
            <w:vAlign w:val="center"/>
          </w:tcPr>
          <w:p w:rsidR="00A95BBA" w:rsidRPr="0002102E" w:rsidRDefault="00ED156F" w:rsidP="00BF0E94">
            <w:pPr>
              <w:tabs>
                <w:tab w:val="left" w:pos="288"/>
                <w:tab w:val="left" w:pos="4752"/>
              </w:tabs>
              <w:rPr>
                <w:color w:val="auto"/>
                <w:szCs w:val="24"/>
              </w:rPr>
            </w:pPr>
            <w:r w:rsidRPr="0002102E">
              <w:rPr>
                <w:color w:val="auto"/>
                <w:szCs w:val="24"/>
              </w:rPr>
              <w:t>5099-5003</w:t>
            </w:r>
          </w:p>
        </w:tc>
        <w:tc>
          <w:tcPr>
            <w:tcW w:w="1170" w:type="dxa"/>
            <w:vAlign w:val="center"/>
          </w:tcPr>
          <w:p w:rsidR="00A95BBA" w:rsidRPr="00E265EB" w:rsidRDefault="00ED156F" w:rsidP="00BF0E94">
            <w:pPr>
              <w:tabs>
                <w:tab w:val="left" w:pos="288"/>
                <w:tab w:val="left" w:pos="4752"/>
              </w:tabs>
              <w:rPr>
                <w:color w:val="auto"/>
                <w:szCs w:val="24"/>
              </w:rPr>
            </w:pPr>
            <w:r w:rsidRPr="00E265EB">
              <w:rPr>
                <w:color w:val="auto"/>
                <w:szCs w:val="24"/>
              </w:rPr>
              <w:t>1</w:t>
            </w:r>
            <w:r w:rsidR="00A95BBA" w:rsidRPr="00E265EB">
              <w:rPr>
                <w:color w:val="auto"/>
                <w:szCs w:val="24"/>
              </w:rPr>
              <w:t>0%</w:t>
            </w:r>
          </w:p>
        </w:tc>
      </w:tr>
      <w:tr w:rsidR="00A95BBA" w:rsidRPr="0002102E"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vAlign w:val="center"/>
          </w:tcPr>
          <w:p w:rsidR="00A95BBA" w:rsidRPr="0002102E" w:rsidRDefault="00A95BBA" w:rsidP="00BF0E94">
            <w:pPr>
              <w:tabs>
                <w:tab w:val="left" w:pos="288"/>
                <w:tab w:val="left" w:pos="4752"/>
              </w:tabs>
              <w:rPr>
                <w:b/>
                <w:color w:val="auto"/>
                <w:szCs w:val="24"/>
              </w:rPr>
            </w:pPr>
            <w:r w:rsidRPr="0002102E">
              <w:rPr>
                <w:b/>
                <w:color w:val="auto"/>
                <w:szCs w:val="24"/>
              </w:rPr>
              <w:t>COMBINED</w:t>
            </w:r>
          </w:p>
        </w:tc>
        <w:tc>
          <w:tcPr>
            <w:tcW w:w="1170" w:type="dxa"/>
            <w:tcBorders>
              <w:bottom w:val="single" w:sz="4" w:space="0" w:color="000000"/>
            </w:tcBorders>
            <w:shd w:val="clear" w:color="auto" w:fill="D9D9D9"/>
            <w:vAlign w:val="center"/>
          </w:tcPr>
          <w:p w:rsidR="00A95BBA" w:rsidRPr="00E265EB" w:rsidRDefault="00ED156F" w:rsidP="00BF0E94">
            <w:pPr>
              <w:tabs>
                <w:tab w:val="left" w:pos="288"/>
                <w:tab w:val="left" w:pos="4752"/>
              </w:tabs>
              <w:rPr>
                <w:b/>
                <w:color w:val="auto"/>
                <w:szCs w:val="24"/>
              </w:rPr>
            </w:pPr>
            <w:r w:rsidRPr="00E265EB">
              <w:rPr>
                <w:b/>
                <w:color w:val="auto"/>
                <w:szCs w:val="24"/>
              </w:rPr>
              <w:t>1</w:t>
            </w:r>
            <w:r w:rsidR="00A95BBA" w:rsidRPr="00E265EB">
              <w:rPr>
                <w:b/>
                <w:color w:val="auto"/>
                <w:szCs w:val="24"/>
              </w:rPr>
              <w:t>0%</w:t>
            </w:r>
          </w:p>
        </w:tc>
      </w:tr>
    </w:tbl>
    <w:p w:rsidR="005B1D09" w:rsidRPr="001F29F9" w:rsidRDefault="005B1D09" w:rsidP="00BF0E94">
      <w:pPr>
        <w:pBdr>
          <w:bottom w:val="single" w:sz="12" w:space="1" w:color="auto"/>
        </w:pBdr>
        <w:tabs>
          <w:tab w:val="left" w:pos="288"/>
          <w:tab w:val="left" w:pos="4752"/>
        </w:tabs>
        <w:jc w:val="both"/>
        <w:rPr>
          <w:color w:val="000000"/>
        </w:rPr>
      </w:pPr>
    </w:p>
    <w:p w:rsidR="005B1D09" w:rsidRPr="001F29F9" w:rsidRDefault="005B1D09" w:rsidP="0002102E">
      <w:pPr>
        <w:jc w:val="both"/>
        <w:rPr>
          <w:color w:val="000000"/>
          <w:szCs w:val="24"/>
        </w:rPr>
      </w:pPr>
    </w:p>
    <w:p w:rsidR="00D91DA6" w:rsidRPr="001F29F9" w:rsidRDefault="00FB1725" w:rsidP="0002102E">
      <w:pPr>
        <w:tabs>
          <w:tab w:val="left" w:pos="288"/>
          <w:tab w:val="left" w:pos="4752"/>
        </w:tabs>
        <w:jc w:val="both"/>
        <w:rPr>
          <w:color w:val="000000"/>
        </w:rPr>
      </w:pPr>
      <w:r w:rsidRPr="001F29F9">
        <w:rPr>
          <w:color w:val="000000"/>
        </w:rPr>
        <w:t>The following documentary evidence was considered:</w:t>
      </w:r>
    </w:p>
    <w:p w:rsidR="00EB5EFD" w:rsidRPr="001F29F9" w:rsidRDefault="00EB5EFD" w:rsidP="0002102E">
      <w:pPr>
        <w:tabs>
          <w:tab w:val="left" w:pos="288"/>
          <w:tab w:val="left" w:pos="4752"/>
        </w:tabs>
        <w:jc w:val="both"/>
        <w:rPr>
          <w:color w:val="000000"/>
        </w:rPr>
      </w:pPr>
    </w:p>
    <w:p w:rsidR="00114F20" w:rsidRPr="001F29F9" w:rsidRDefault="00FB1725" w:rsidP="0002102E">
      <w:pPr>
        <w:tabs>
          <w:tab w:val="left" w:pos="288"/>
          <w:tab w:val="left" w:pos="4752"/>
        </w:tabs>
        <w:jc w:val="both"/>
        <w:rPr>
          <w:color w:val="000000"/>
        </w:rPr>
      </w:pPr>
      <w:r w:rsidRPr="001F29F9">
        <w:rPr>
          <w:color w:val="000000"/>
        </w:rPr>
        <w:t xml:space="preserve">Exhibit A.  DD Form 294, </w:t>
      </w:r>
      <w:r w:rsidRPr="001F29F9">
        <w:rPr>
          <w:color w:val="000000"/>
          <w:szCs w:val="24"/>
        </w:rPr>
        <w:t>dated 20</w:t>
      </w:r>
      <w:r w:rsidR="001215DF" w:rsidRPr="001F29F9">
        <w:rPr>
          <w:color w:val="000000"/>
          <w:szCs w:val="24"/>
        </w:rPr>
        <w:t>1</w:t>
      </w:r>
      <w:r w:rsidR="009D1925">
        <w:rPr>
          <w:color w:val="000000"/>
          <w:szCs w:val="24"/>
        </w:rPr>
        <w:t>10802</w:t>
      </w:r>
      <w:r w:rsidR="007634D0">
        <w:rPr>
          <w:color w:val="000000"/>
        </w:rPr>
        <w:t>, w/</w:t>
      </w:r>
      <w:proofErr w:type="spellStart"/>
      <w:r w:rsidR="007634D0">
        <w:rPr>
          <w:color w:val="000000"/>
        </w:rPr>
        <w:t>atchs</w:t>
      </w:r>
      <w:proofErr w:type="spellEnd"/>
    </w:p>
    <w:p w:rsidR="00114F20" w:rsidRPr="001F29F9" w:rsidRDefault="00FB1725" w:rsidP="0002102E">
      <w:pPr>
        <w:tabs>
          <w:tab w:val="left" w:pos="288"/>
          <w:tab w:val="left" w:pos="4752"/>
        </w:tabs>
        <w:jc w:val="both"/>
        <w:rPr>
          <w:color w:val="000000"/>
        </w:rPr>
      </w:pPr>
      <w:r w:rsidRPr="001F29F9">
        <w:rPr>
          <w:color w:val="000000"/>
        </w:rPr>
        <w:t>Exhib</w:t>
      </w:r>
      <w:r w:rsidR="007634D0">
        <w:rPr>
          <w:color w:val="000000"/>
        </w:rPr>
        <w:t>it B.  Service Treatment Record</w:t>
      </w:r>
    </w:p>
    <w:p w:rsidR="00114F20" w:rsidRPr="001F29F9" w:rsidRDefault="00FB1725" w:rsidP="0002102E">
      <w:pPr>
        <w:tabs>
          <w:tab w:val="left" w:pos="288"/>
          <w:tab w:val="left" w:pos="4752"/>
        </w:tabs>
        <w:jc w:val="both"/>
        <w:rPr>
          <w:color w:val="000000"/>
        </w:rPr>
      </w:pPr>
      <w:r w:rsidRPr="001F29F9">
        <w:rPr>
          <w:color w:val="000000"/>
        </w:rPr>
        <w:t>Exhibit C.  Department of Ve</w:t>
      </w:r>
      <w:r w:rsidR="007634D0">
        <w:rPr>
          <w:color w:val="000000"/>
        </w:rPr>
        <w:t>terans Affairs Treatment Record</w:t>
      </w:r>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725813">
        <w:rPr>
          <w:color w:val="000000"/>
          <w:szCs w:val="24"/>
        </w:rPr>
        <w:t>XXXXXXXXXXXXXXXX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725813" w:rsidRDefault="002F195B" w:rsidP="00BF0E9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725813" w:rsidRDefault="00725813" w:rsidP="00725813">
      <w:pPr>
        <w:sectPr w:rsidR="00725813">
          <w:pgSz w:w="12240" w:h="15840"/>
          <w:pgMar w:top="2160" w:right="1440" w:bottom="1440" w:left="1440" w:header="720" w:footer="720" w:gutter="0"/>
          <w:cols w:space="720"/>
        </w:sectPr>
      </w:pPr>
    </w:p>
    <w:p w:rsidR="00725813" w:rsidRDefault="00725813" w:rsidP="00725813">
      <w:pPr>
        <w:pStyle w:val="Header"/>
        <w:tabs>
          <w:tab w:val="left" w:pos="720"/>
        </w:tabs>
        <w:jc w:val="left"/>
      </w:pPr>
      <w:r>
        <w:lastRenderedPageBreak/>
        <w:t>SFMR-RB</w:t>
      </w:r>
      <w:r>
        <w:tab/>
      </w:r>
      <w:r>
        <w:tab/>
      </w:r>
      <w:r>
        <w:tab/>
      </w:r>
      <w:r>
        <w:tab/>
      </w:r>
      <w:r>
        <w:tab/>
      </w:r>
      <w:r>
        <w:tab/>
      </w:r>
      <w:r>
        <w:tab/>
      </w:r>
      <w:r>
        <w:tab/>
      </w:r>
      <w:r>
        <w:tab/>
      </w:r>
    </w:p>
    <w:p w:rsidR="00725813" w:rsidRDefault="00725813" w:rsidP="00725813">
      <w:pPr>
        <w:pStyle w:val="Header"/>
        <w:tabs>
          <w:tab w:val="left" w:pos="720"/>
        </w:tabs>
        <w:jc w:val="left"/>
      </w:pPr>
    </w:p>
    <w:p w:rsidR="00725813" w:rsidRDefault="00725813" w:rsidP="00725813">
      <w:pPr>
        <w:jc w:val="left"/>
      </w:pPr>
    </w:p>
    <w:p w:rsidR="00725813" w:rsidRDefault="00725813" w:rsidP="00725813">
      <w:pPr>
        <w:jc w:val="left"/>
      </w:pPr>
      <w:r>
        <w:t xml:space="preserve">MEMORANDUM FOR Commander, US Army Physical Disability Agency </w:t>
      </w:r>
    </w:p>
    <w:p w:rsidR="00725813" w:rsidRDefault="00725813" w:rsidP="00725813">
      <w:pPr>
        <w:jc w:val="left"/>
      </w:pPr>
      <w:r>
        <w:t xml:space="preserve">(TAPD-ZB </w:t>
      </w:r>
      <w:proofErr w:type="gramStart"/>
      <w:r>
        <w:t>/  )</w:t>
      </w:r>
      <w:proofErr w:type="gramEnd"/>
      <w:r>
        <w:t>, 2900 Crystal Drive, Suite 300, Arlington, VA  22202</w:t>
      </w:r>
    </w:p>
    <w:p w:rsidR="00725813" w:rsidRDefault="00725813" w:rsidP="00725813">
      <w:pPr>
        <w:jc w:val="left"/>
      </w:pPr>
    </w:p>
    <w:p w:rsidR="00725813" w:rsidRDefault="00725813" w:rsidP="00725813">
      <w:pPr>
        <w:ind w:right="-180"/>
        <w:jc w:val="left"/>
      </w:pPr>
      <w:r>
        <w:t xml:space="preserve">SUBJECT:  Department of Defense Physical Disability Board of Review Recommendation </w:t>
      </w:r>
    </w:p>
    <w:p w:rsidR="00725813" w:rsidRDefault="00725813" w:rsidP="00725813">
      <w:pPr>
        <w:pStyle w:val="Header"/>
        <w:tabs>
          <w:tab w:val="left" w:pos="720"/>
        </w:tabs>
        <w:jc w:val="left"/>
      </w:pPr>
      <w:proofErr w:type="gramStart"/>
      <w:r>
        <w:t>for</w:t>
      </w:r>
      <w:proofErr w:type="gramEnd"/>
      <w:r>
        <w:t xml:space="preserve"> XXXXXXXXXXXXXXXX, AR20120004764 (PD201100584)</w:t>
      </w:r>
    </w:p>
    <w:p w:rsidR="00725813" w:rsidRDefault="00725813" w:rsidP="00725813">
      <w:pPr>
        <w:jc w:val="left"/>
      </w:pPr>
    </w:p>
    <w:p w:rsidR="00725813" w:rsidRDefault="00725813" w:rsidP="0072581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25813" w:rsidRDefault="00725813" w:rsidP="00725813">
      <w:pPr>
        <w:jc w:val="left"/>
      </w:pPr>
      <w:r>
        <w:t>This decision is final.  The individual concerned, counsel (if any), and any Members of Congress who have shown interest in this application have been notified of this decision by mail.</w:t>
      </w:r>
    </w:p>
    <w:p w:rsidR="00725813" w:rsidRDefault="00725813" w:rsidP="00725813">
      <w:pPr>
        <w:jc w:val="left"/>
      </w:pPr>
    </w:p>
    <w:p w:rsidR="00725813" w:rsidRDefault="00725813" w:rsidP="00725813">
      <w:pPr>
        <w:jc w:val="left"/>
      </w:pPr>
      <w:r>
        <w:t xml:space="preserve"> BY ORDER OF THE SECRETARY OF THE ARMY:</w:t>
      </w:r>
    </w:p>
    <w:p w:rsidR="00725813" w:rsidRDefault="00725813" w:rsidP="00725813">
      <w:pPr>
        <w:jc w:val="left"/>
      </w:pPr>
    </w:p>
    <w:p w:rsidR="00725813" w:rsidRDefault="00725813" w:rsidP="00725813">
      <w:pPr>
        <w:jc w:val="left"/>
      </w:pPr>
    </w:p>
    <w:p w:rsidR="00725813" w:rsidRDefault="00725813" w:rsidP="00725813">
      <w:pPr>
        <w:pStyle w:val="Header"/>
        <w:tabs>
          <w:tab w:val="left" w:pos="720"/>
        </w:tabs>
        <w:jc w:val="left"/>
      </w:pPr>
    </w:p>
    <w:p w:rsidR="00725813" w:rsidRDefault="00725813" w:rsidP="00725813">
      <w:pPr>
        <w:jc w:val="left"/>
      </w:pPr>
    </w:p>
    <w:p w:rsidR="00725813" w:rsidRDefault="00725813" w:rsidP="00725813">
      <w:pPr>
        <w:jc w:val="left"/>
      </w:pPr>
      <w:bookmarkStart w:id="0" w:name="OLE_LINK4"/>
      <w:bookmarkStart w:id="1" w:name="OLE_LINK3"/>
      <w:r>
        <w:t>Encl</w:t>
      </w:r>
      <w:r>
        <w:tab/>
      </w:r>
      <w:r>
        <w:tab/>
      </w:r>
      <w:r>
        <w:tab/>
      </w:r>
      <w:r>
        <w:tab/>
      </w:r>
      <w:r>
        <w:tab/>
      </w:r>
      <w:r>
        <w:tab/>
        <w:t xml:space="preserve">     XXXXXXXXXXXXXXXXXXX</w:t>
      </w:r>
    </w:p>
    <w:p w:rsidR="00725813" w:rsidRDefault="00725813" w:rsidP="00725813">
      <w:pPr>
        <w:jc w:val="left"/>
      </w:pPr>
      <w:r>
        <w:tab/>
      </w:r>
      <w:r>
        <w:tab/>
      </w:r>
      <w:r>
        <w:tab/>
      </w:r>
      <w:r>
        <w:tab/>
      </w:r>
      <w:r>
        <w:tab/>
      </w:r>
      <w:r>
        <w:tab/>
        <w:t xml:space="preserve">     Deputy Assistant Secretary</w:t>
      </w:r>
    </w:p>
    <w:p w:rsidR="00725813" w:rsidRDefault="00725813" w:rsidP="00725813">
      <w:pPr>
        <w:jc w:val="left"/>
      </w:pPr>
      <w:r>
        <w:tab/>
      </w:r>
      <w:r>
        <w:tab/>
      </w:r>
      <w:r>
        <w:tab/>
      </w:r>
      <w:r>
        <w:tab/>
      </w:r>
      <w:r>
        <w:tab/>
      </w:r>
      <w:r>
        <w:tab/>
        <w:t xml:space="preserve">         (Army Review Boards)</w:t>
      </w:r>
      <w:bookmarkEnd w:id="0"/>
      <w:bookmarkEnd w:id="1"/>
    </w:p>
    <w:p w:rsidR="00725813" w:rsidRDefault="00725813" w:rsidP="00725813">
      <w:pPr>
        <w:jc w:val="left"/>
      </w:pPr>
    </w:p>
    <w:p w:rsidR="00725813" w:rsidRDefault="00725813" w:rsidP="00725813">
      <w:pPr>
        <w:jc w:val="left"/>
      </w:pPr>
      <w:r>
        <w:t xml:space="preserve">CF: </w:t>
      </w:r>
    </w:p>
    <w:p w:rsidR="00725813" w:rsidRDefault="00725813" w:rsidP="00725813">
      <w:pPr>
        <w:jc w:val="left"/>
      </w:pPr>
      <w:r>
        <w:t xml:space="preserve">(  ) </w:t>
      </w:r>
      <w:proofErr w:type="spellStart"/>
      <w:proofErr w:type="gramStart"/>
      <w:r>
        <w:t>DoD</w:t>
      </w:r>
      <w:proofErr w:type="spellEnd"/>
      <w:proofErr w:type="gramEnd"/>
      <w:r>
        <w:t xml:space="preserve"> PDBR</w:t>
      </w:r>
    </w:p>
    <w:p w:rsidR="00725813" w:rsidRDefault="00725813" w:rsidP="00725813">
      <w:pPr>
        <w:jc w:val="left"/>
      </w:pPr>
      <w:r>
        <w:t>(  ) DVA</w:t>
      </w:r>
    </w:p>
    <w:p w:rsidR="00725813" w:rsidRDefault="00725813" w:rsidP="00725813">
      <w:pPr>
        <w:jc w:val="left"/>
      </w:pPr>
    </w:p>
    <w:p w:rsidR="00E3077F" w:rsidRPr="001F29F9" w:rsidRDefault="00E3077F" w:rsidP="00BF0E94">
      <w:pPr>
        <w:tabs>
          <w:tab w:val="left" w:pos="0"/>
          <w:tab w:val="left" w:pos="4320"/>
        </w:tabs>
        <w:jc w:val="both"/>
        <w:rPr>
          <w:color w:val="000000"/>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64" w:rsidRDefault="00F36464">
      <w:r>
        <w:separator/>
      </w:r>
    </w:p>
  </w:endnote>
  <w:endnote w:type="continuationSeparator" w:id="0">
    <w:p w:rsidR="00F36464" w:rsidRDefault="00F36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F" w:rsidRPr="00374247" w:rsidRDefault="0074263F" w:rsidP="00374247">
    <w:pPr>
      <w:pStyle w:val="Footer"/>
      <w:ind w:firstLine="4320"/>
      <w:rPr>
        <w:color w:val="auto"/>
        <w:szCs w:val="24"/>
      </w:rPr>
    </w:pPr>
    <w:r w:rsidRPr="00374247">
      <w:rPr>
        <w:color w:val="auto"/>
        <w:szCs w:val="24"/>
      </w:rPr>
      <w:t xml:space="preserve">   </w:t>
    </w:r>
    <w:r w:rsidR="00FD48E3" w:rsidRPr="00374247">
      <w:rPr>
        <w:color w:val="auto"/>
        <w:szCs w:val="24"/>
      </w:rPr>
      <w:fldChar w:fldCharType="begin"/>
    </w:r>
    <w:r w:rsidRPr="00374247">
      <w:rPr>
        <w:color w:val="auto"/>
        <w:szCs w:val="24"/>
      </w:rPr>
      <w:instrText xml:space="preserve"> PAGE   \* MERGEFORMAT </w:instrText>
    </w:r>
    <w:r w:rsidR="00FD48E3" w:rsidRPr="00374247">
      <w:rPr>
        <w:color w:val="auto"/>
        <w:szCs w:val="24"/>
      </w:rPr>
      <w:fldChar w:fldCharType="separate"/>
    </w:r>
    <w:r w:rsidR="00725813" w:rsidRPr="00725813">
      <w:rPr>
        <w:noProof/>
        <w:color w:val="auto"/>
      </w:rPr>
      <w:t>5</w:t>
    </w:r>
    <w:r w:rsidR="00FD48E3" w:rsidRPr="00374247">
      <w:rPr>
        <w:color w:val="auto"/>
        <w:szCs w:val="24"/>
      </w:rPr>
      <w:fldChar w:fldCharType="end"/>
    </w:r>
    <w:r w:rsidRPr="00374247">
      <w:rPr>
        <w:color w:val="auto"/>
        <w:szCs w:val="24"/>
      </w:rPr>
      <w:t xml:space="preserve">                                                           </w:t>
    </w:r>
    <w:r w:rsidRPr="00C626A4">
      <w:rPr>
        <w:color w:val="auto"/>
        <w:szCs w:val="24"/>
      </w:rPr>
      <w:t>PD1100</w:t>
    </w:r>
    <w:r w:rsidR="00C626A4" w:rsidRPr="00C626A4">
      <w:rPr>
        <w:color w:val="auto"/>
        <w:szCs w:val="24"/>
      </w:rPr>
      <w:t>584</w:t>
    </w:r>
  </w:p>
  <w:p w:rsidR="0074263F" w:rsidRPr="00684CE6" w:rsidRDefault="0074263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64" w:rsidRDefault="00F36464">
      <w:r>
        <w:separator/>
      </w:r>
    </w:p>
  </w:footnote>
  <w:footnote w:type="continuationSeparator" w:id="0">
    <w:p w:rsidR="00F36464" w:rsidRDefault="00F36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F2380"/>
    <w:multiLevelType w:val="hybridMultilevel"/>
    <w:tmpl w:val="42B0AF48"/>
    <w:lvl w:ilvl="0" w:tplc="262E1238">
      <w:start w:val="730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89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10ABA"/>
    <w:rsid w:val="00010B0F"/>
    <w:rsid w:val="00012428"/>
    <w:rsid w:val="00012733"/>
    <w:rsid w:val="00013417"/>
    <w:rsid w:val="00013A07"/>
    <w:rsid w:val="000145C2"/>
    <w:rsid w:val="0001473F"/>
    <w:rsid w:val="00014A47"/>
    <w:rsid w:val="00014A9E"/>
    <w:rsid w:val="00017778"/>
    <w:rsid w:val="0002102E"/>
    <w:rsid w:val="00021361"/>
    <w:rsid w:val="00022CF3"/>
    <w:rsid w:val="00023913"/>
    <w:rsid w:val="00023D43"/>
    <w:rsid w:val="00024002"/>
    <w:rsid w:val="00024DE7"/>
    <w:rsid w:val="00026092"/>
    <w:rsid w:val="0003061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604D"/>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2BBE"/>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664"/>
    <w:rsid w:val="00122ABE"/>
    <w:rsid w:val="001231DC"/>
    <w:rsid w:val="0012453A"/>
    <w:rsid w:val="0012489B"/>
    <w:rsid w:val="001272AE"/>
    <w:rsid w:val="00130756"/>
    <w:rsid w:val="001315DD"/>
    <w:rsid w:val="0013337C"/>
    <w:rsid w:val="0013525F"/>
    <w:rsid w:val="00135385"/>
    <w:rsid w:val="00136204"/>
    <w:rsid w:val="001364D1"/>
    <w:rsid w:val="001374C7"/>
    <w:rsid w:val="00140FA4"/>
    <w:rsid w:val="00141BC9"/>
    <w:rsid w:val="001421FD"/>
    <w:rsid w:val="001425C8"/>
    <w:rsid w:val="00142EBA"/>
    <w:rsid w:val="00143B79"/>
    <w:rsid w:val="00143E8D"/>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1BA8"/>
    <w:rsid w:val="001724C8"/>
    <w:rsid w:val="001732C4"/>
    <w:rsid w:val="001745DD"/>
    <w:rsid w:val="00174FDE"/>
    <w:rsid w:val="00174FE3"/>
    <w:rsid w:val="00176D63"/>
    <w:rsid w:val="00177659"/>
    <w:rsid w:val="001778E1"/>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279D"/>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6E2"/>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657"/>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1703"/>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623"/>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1C9E"/>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2347"/>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35AC"/>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C72"/>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1CD"/>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3B4"/>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B98"/>
    <w:rsid w:val="003F2EEE"/>
    <w:rsid w:val="003F58B0"/>
    <w:rsid w:val="003F776F"/>
    <w:rsid w:val="004007E9"/>
    <w:rsid w:val="00400810"/>
    <w:rsid w:val="00401825"/>
    <w:rsid w:val="00401BBC"/>
    <w:rsid w:val="004026FC"/>
    <w:rsid w:val="00403AAA"/>
    <w:rsid w:val="00403BFB"/>
    <w:rsid w:val="00404B45"/>
    <w:rsid w:val="00405BCF"/>
    <w:rsid w:val="004068E0"/>
    <w:rsid w:val="00406CC5"/>
    <w:rsid w:val="00406FCA"/>
    <w:rsid w:val="004074A4"/>
    <w:rsid w:val="004101B2"/>
    <w:rsid w:val="004123D7"/>
    <w:rsid w:val="00412658"/>
    <w:rsid w:val="004129DA"/>
    <w:rsid w:val="004129ED"/>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3AEE"/>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57F58"/>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223"/>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E4A"/>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D6CFB"/>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6F7B"/>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070"/>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9DF"/>
    <w:rsid w:val="006A5C07"/>
    <w:rsid w:val="006A65DE"/>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3914"/>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813"/>
    <w:rsid w:val="00725BC5"/>
    <w:rsid w:val="007260A9"/>
    <w:rsid w:val="00726C1D"/>
    <w:rsid w:val="007272F1"/>
    <w:rsid w:val="00727565"/>
    <w:rsid w:val="0073062D"/>
    <w:rsid w:val="0073093B"/>
    <w:rsid w:val="0073254D"/>
    <w:rsid w:val="007340F3"/>
    <w:rsid w:val="007347BB"/>
    <w:rsid w:val="00735704"/>
    <w:rsid w:val="00736A49"/>
    <w:rsid w:val="007419A1"/>
    <w:rsid w:val="0074263F"/>
    <w:rsid w:val="00743785"/>
    <w:rsid w:val="00743B71"/>
    <w:rsid w:val="00743C2D"/>
    <w:rsid w:val="00743C3A"/>
    <w:rsid w:val="00743E36"/>
    <w:rsid w:val="00743F05"/>
    <w:rsid w:val="007441C1"/>
    <w:rsid w:val="007446F7"/>
    <w:rsid w:val="00744C68"/>
    <w:rsid w:val="00744EBB"/>
    <w:rsid w:val="00745037"/>
    <w:rsid w:val="00745B0A"/>
    <w:rsid w:val="00745DBE"/>
    <w:rsid w:val="007468AC"/>
    <w:rsid w:val="00746AE2"/>
    <w:rsid w:val="00750C82"/>
    <w:rsid w:val="00750E3A"/>
    <w:rsid w:val="00752035"/>
    <w:rsid w:val="0076100C"/>
    <w:rsid w:val="007612A5"/>
    <w:rsid w:val="007634D0"/>
    <w:rsid w:val="00763CAE"/>
    <w:rsid w:val="00763F95"/>
    <w:rsid w:val="007651ED"/>
    <w:rsid w:val="00766C87"/>
    <w:rsid w:val="00766EF7"/>
    <w:rsid w:val="00771043"/>
    <w:rsid w:val="0077272B"/>
    <w:rsid w:val="00773AF7"/>
    <w:rsid w:val="00774FFD"/>
    <w:rsid w:val="00775D3D"/>
    <w:rsid w:val="00780378"/>
    <w:rsid w:val="0078085E"/>
    <w:rsid w:val="00781BD4"/>
    <w:rsid w:val="00782562"/>
    <w:rsid w:val="007828B4"/>
    <w:rsid w:val="00784832"/>
    <w:rsid w:val="00784EA0"/>
    <w:rsid w:val="00785D77"/>
    <w:rsid w:val="00786111"/>
    <w:rsid w:val="00790963"/>
    <w:rsid w:val="007909D1"/>
    <w:rsid w:val="00790DD1"/>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68FB"/>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140"/>
    <w:rsid w:val="0080064F"/>
    <w:rsid w:val="00800E44"/>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7FC"/>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112"/>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E62"/>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925"/>
    <w:rsid w:val="009D1ADE"/>
    <w:rsid w:val="009D297C"/>
    <w:rsid w:val="009D3652"/>
    <w:rsid w:val="009D37CA"/>
    <w:rsid w:val="009D4229"/>
    <w:rsid w:val="009D4268"/>
    <w:rsid w:val="009D5DE9"/>
    <w:rsid w:val="009E09D0"/>
    <w:rsid w:val="009E1181"/>
    <w:rsid w:val="009E1283"/>
    <w:rsid w:val="009E3A7F"/>
    <w:rsid w:val="009E3ED7"/>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2E8"/>
    <w:rsid w:val="00AA3593"/>
    <w:rsid w:val="00AA38CA"/>
    <w:rsid w:val="00AA493E"/>
    <w:rsid w:val="00AA5CB4"/>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24B"/>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1FF3"/>
    <w:rsid w:val="00C5377C"/>
    <w:rsid w:val="00C53E8A"/>
    <w:rsid w:val="00C54DF3"/>
    <w:rsid w:val="00C560A7"/>
    <w:rsid w:val="00C56FC8"/>
    <w:rsid w:val="00C60F23"/>
    <w:rsid w:val="00C6170B"/>
    <w:rsid w:val="00C626A4"/>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DA3"/>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156"/>
    <w:rsid w:val="00D2321B"/>
    <w:rsid w:val="00D23350"/>
    <w:rsid w:val="00D237E7"/>
    <w:rsid w:val="00D23DE4"/>
    <w:rsid w:val="00D25A5C"/>
    <w:rsid w:val="00D2631A"/>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DA2"/>
    <w:rsid w:val="00D67FD7"/>
    <w:rsid w:val="00D704E4"/>
    <w:rsid w:val="00D72410"/>
    <w:rsid w:val="00D73D53"/>
    <w:rsid w:val="00D7402C"/>
    <w:rsid w:val="00D7408A"/>
    <w:rsid w:val="00D74261"/>
    <w:rsid w:val="00D7441B"/>
    <w:rsid w:val="00D75589"/>
    <w:rsid w:val="00D75A25"/>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2AF"/>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3593"/>
    <w:rsid w:val="00DD64E0"/>
    <w:rsid w:val="00DD75C0"/>
    <w:rsid w:val="00DD775C"/>
    <w:rsid w:val="00DD7BE0"/>
    <w:rsid w:val="00DE0C67"/>
    <w:rsid w:val="00DE3AAD"/>
    <w:rsid w:val="00DE479E"/>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5E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4252"/>
    <w:rsid w:val="00E464F0"/>
    <w:rsid w:val="00E46EF3"/>
    <w:rsid w:val="00E47370"/>
    <w:rsid w:val="00E473E9"/>
    <w:rsid w:val="00E47B47"/>
    <w:rsid w:val="00E50BEB"/>
    <w:rsid w:val="00E51B93"/>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156F"/>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103"/>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5A48"/>
    <w:rsid w:val="00F36464"/>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896"/>
    <w:rsid w:val="00F531D9"/>
    <w:rsid w:val="00F54D8E"/>
    <w:rsid w:val="00F5580D"/>
    <w:rsid w:val="00F56EA1"/>
    <w:rsid w:val="00F57EC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8E8"/>
    <w:rsid w:val="00F93C74"/>
    <w:rsid w:val="00F93DCC"/>
    <w:rsid w:val="00F942AE"/>
    <w:rsid w:val="00F9435D"/>
    <w:rsid w:val="00F966F9"/>
    <w:rsid w:val="00F96F61"/>
    <w:rsid w:val="00F97740"/>
    <w:rsid w:val="00F97AF5"/>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8E3"/>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25813"/>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7520190">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5159-8C2D-41D3-B509-06781190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2132</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2012-03-12T14:47:00Z</cp:lastPrinted>
  <dcterms:created xsi:type="dcterms:W3CDTF">2012-09-28T18:11:00Z</dcterms:created>
  <dcterms:modified xsi:type="dcterms:W3CDTF">2012-09-28T18:11:00Z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