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A017FF" w:rsidRPr="00A017FF" w:rsidRDefault="00A017FF" w:rsidP="00A017FF">
      <w:pPr>
        <w:tabs>
          <w:tab w:val="left" w:pos="288"/>
          <w:tab w:val="left" w:pos="4680"/>
          <w:tab w:val="left" w:pos="5130"/>
          <w:tab w:val="left" w:pos="6300"/>
          <w:tab w:val="left" w:pos="9270"/>
        </w:tabs>
        <w:jc w:val="left"/>
        <w:rPr>
          <w:rFonts w:cs="Times New Roman"/>
          <w:caps/>
          <w:color w:val="auto"/>
        </w:rPr>
      </w:pPr>
      <w:r w:rsidRPr="00A017FF">
        <w:rPr>
          <w:rFonts w:cs="Times New Roman"/>
          <w:caps/>
          <w:color w:val="auto"/>
        </w:rPr>
        <w:t xml:space="preserve">NAME:  </w:t>
      </w:r>
      <w:r w:rsidR="00DE2D5F">
        <w:rPr>
          <w:caps/>
          <w:color w:val="000000" w:themeColor="text1"/>
        </w:rPr>
        <w:t>xxxxxxxxxxxxx</w:t>
      </w:r>
      <w:r w:rsidRPr="00A017FF">
        <w:rPr>
          <w:rFonts w:cs="Times New Roman"/>
          <w:caps/>
          <w:color w:val="auto"/>
        </w:rPr>
        <w:t xml:space="preserve">               </w:t>
      </w:r>
      <w:r w:rsidRPr="00A017FF">
        <w:rPr>
          <w:rFonts w:cs="Times New Roman"/>
          <w:caps/>
          <w:color w:val="auto"/>
        </w:rPr>
        <w:tab/>
        <w:t xml:space="preserve"> BRANCH OF SERVICE:  Army </w:t>
      </w:r>
    </w:p>
    <w:p w:rsidR="00A017FF" w:rsidRPr="00A017FF" w:rsidRDefault="00A017FF" w:rsidP="00A017FF">
      <w:pPr>
        <w:tabs>
          <w:tab w:val="left" w:pos="288"/>
          <w:tab w:val="left" w:pos="4680"/>
          <w:tab w:val="left" w:pos="5130"/>
          <w:tab w:val="left" w:pos="6300"/>
          <w:tab w:val="left" w:pos="9270"/>
        </w:tabs>
        <w:jc w:val="left"/>
        <w:rPr>
          <w:rFonts w:cs="Times New Roman"/>
          <w:caps/>
          <w:color w:val="auto"/>
        </w:rPr>
      </w:pPr>
      <w:r w:rsidRPr="00A017FF">
        <w:rPr>
          <w:rFonts w:cs="Times New Roman"/>
          <w:caps/>
          <w:color w:val="auto"/>
        </w:rPr>
        <w:t>CASE NUMBER:  PD</w:t>
      </w:r>
      <w:r w:rsidRPr="001F29F9">
        <w:rPr>
          <w:caps/>
          <w:color w:val="000000" w:themeColor="text1"/>
        </w:rPr>
        <w:t>11</w:t>
      </w:r>
      <w:r w:rsidRPr="00593DB6">
        <w:rPr>
          <w:caps/>
          <w:color w:val="000000" w:themeColor="text1"/>
        </w:rPr>
        <w:t>00573</w:t>
      </w:r>
      <w:r w:rsidRPr="00A017FF">
        <w:rPr>
          <w:rFonts w:cs="Times New Roman"/>
          <w:caps/>
          <w:color w:val="auto"/>
        </w:rPr>
        <w:tab/>
      </w:r>
      <w:r w:rsidR="00796B0A">
        <w:rPr>
          <w:rFonts w:cs="Times New Roman"/>
          <w:caps/>
          <w:color w:val="auto"/>
        </w:rPr>
        <w:t xml:space="preserve"> </w:t>
      </w:r>
      <w:r w:rsidRPr="00A017FF">
        <w:rPr>
          <w:rFonts w:cs="Times New Roman"/>
          <w:color w:val="auto"/>
        </w:rPr>
        <w:t xml:space="preserve">DATE OF </w:t>
      </w:r>
      <w:r w:rsidR="00171AA7">
        <w:rPr>
          <w:rFonts w:cs="Times New Roman"/>
          <w:color w:val="auto"/>
        </w:rPr>
        <w:t>TEMPORARY RETIREMENT</w:t>
      </w:r>
      <w:r w:rsidRPr="00A017FF">
        <w:rPr>
          <w:rFonts w:cs="Times New Roman"/>
          <w:color w:val="auto"/>
        </w:rPr>
        <w:t xml:space="preserve">:  </w:t>
      </w:r>
      <w:r w:rsidRPr="001F29F9">
        <w:rPr>
          <w:color w:val="000000" w:themeColor="text1"/>
        </w:rPr>
        <w:t>200</w:t>
      </w:r>
      <w:r>
        <w:rPr>
          <w:color w:val="000000" w:themeColor="text1"/>
        </w:rPr>
        <w:t>1080</w:t>
      </w:r>
      <w:r w:rsidR="00171AA7">
        <w:rPr>
          <w:color w:val="000000" w:themeColor="text1"/>
        </w:rPr>
        <w:t>1</w:t>
      </w:r>
      <w:r w:rsidRPr="00A017FF">
        <w:rPr>
          <w:rFonts w:cs="Times New Roman"/>
          <w:color w:val="auto"/>
        </w:rPr>
        <w:tab/>
      </w:r>
    </w:p>
    <w:p w:rsidR="0095270D" w:rsidRPr="00347AF5" w:rsidRDefault="00A017FF" w:rsidP="00796B0A">
      <w:pPr>
        <w:pBdr>
          <w:bottom w:val="single" w:sz="12" w:space="1" w:color="auto"/>
        </w:pBdr>
        <w:tabs>
          <w:tab w:val="left" w:pos="288"/>
          <w:tab w:val="left" w:pos="4752"/>
        </w:tabs>
        <w:jc w:val="left"/>
        <w:rPr>
          <w:rFonts w:cs="Times New Roman"/>
          <w:caps/>
          <w:color w:val="auto"/>
        </w:rPr>
      </w:pPr>
      <w:r w:rsidRPr="00A017FF">
        <w:rPr>
          <w:rFonts w:cs="Times New Roman"/>
          <w:caps/>
          <w:color w:val="auto"/>
        </w:rPr>
        <w:t>BOARD DATE:  2012</w:t>
      </w:r>
      <w:r w:rsidR="00347AF5">
        <w:rPr>
          <w:rFonts w:cs="Times New Roman"/>
          <w:caps/>
          <w:color w:val="auto"/>
        </w:rPr>
        <w:t>0508</w:t>
      </w:r>
      <w:r w:rsidRPr="00A017FF">
        <w:rPr>
          <w:rFonts w:cs="Times New Roman"/>
          <w:caps/>
          <w:color w:val="auto"/>
        </w:rPr>
        <w:t xml:space="preserve">   </w:t>
      </w:r>
      <w:r>
        <w:rPr>
          <w:rFonts w:cs="Times New Roman"/>
          <w:caps/>
          <w:color w:val="auto"/>
        </w:rPr>
        <w:t xml:space="preserve">          </w:t>
      </w:r>
      <w:r w:rsidR="00796B0A">
        <w:rPr>
          <w:rFonts w:cs="Times New Roman"/>
          <w:caps/>
          <w:color w:val="auto"/>
        </w:rPr>
        <w:t xml:space="preserve">                             </w:t>
      </w:r>
      <w:r w:rsidRPr="00A017FF">
        <w:rPr>
          <w:rFonts w:cs="Times New Roman"/>
          <w:caps/>
          <w:color w:val="auto"/>
        </w:rPr>
        <w:t xml:space="preserve">Date of Permanent </w:t>
      </w:r>
      <w:r w:rsidRPr="00A017FF">
        <w:rPr>
          <w:rFonts w:cs="Times New Roman"/>
          <w:color w:val="auto"/>
        </w:rPr>
        <w:t xml:space="preserve">SEPARATION:  </w:t>
      </w:r>
      <w:r w:rsidRPr="001F29F9">
        <w:rPr>
          <w:color w:val="000000" w:themeColor="text1"/>
        </w:rPr>
        <w:t>200</w:t>
      </w:r>
      <w:r>
        <w:rPr>
          <w:color w:val="000000" w:themeColor="text1"/>
        </w:rPr>
        <w:t>50127</w:t>
      </w:r>
    </w:p>
    <w:p w:rsidR="00A017FF" w:rsidRPr="001F29F9" w:rsidRDefault="00A017FF" w:rsidP="00A017FF">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094878" w:rsidRPr="00D94F76" w:rsidRDefault="00AD2379" w:rsidP="00094878">
      <w:pPr>
        <w:tabs>
          <w:tab w:val="left" w:pos="288"/>
          <w:tab w:val="left" w:pos="4752"/>
        </w:tabs>
        <w:jc w:val="both"/>
        <w:rPr>
          <w:color w:val="auto"/>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an active duty SGT/E-5</w:t>
      </w:r>
      <w:r w:rsidRPr="001F29F9">
        <w:rPr>
          <w:color w:val="000000"/>
        </w:rPr>
        <w:t xml:space="preserve"> (</w:t>
      </w:r>
      <w:r w:rsidR="00225745">
        <w:rPr>
          <w:color w:val="000000" w:themeColor="text1"/>
          <w:szCs w:val="24"/>
        </w:rPr>
        <w:t>75B</w:t>
      </w:r>
      <w:r w:rsidR="00225745" w:rsidRPr="001F29F9">
        <w:rPr>
          <w:color w:val="000000" w:themeColor="text1"/>
          <w:szCs w:val="24"/>
        </w:rPr>
        <w:t xml:space="preserve">, </w:t>
      </w:r>
      <w:r w:rsidR="00225745">
        <w:rPr>
          <w:color w:val="000000" w:themeColor="text1"/>
          <w:szCs w:val="24"/>
        </w:rPr>
        <w:t>Personnel Admin Specialist</w:t>
      </w:r>
      <w:r w:rsidR="00A70270">
        <w:rPr>
          <w:color w:val="000000"/>
        </w:rPr>
        <w:t>)</w:t>
      </w:r>
      <w:r w:rsidR="00565636">
        <w:rPr>
          <w:color w:val="000000"/>
        </w:rPr>
        <w:t>,</w:t>
      </w:r>
      <w:r w:rsidR="00A70270">
        <w:rPr>
          <w:color w:val="000000"/>
        </w:rPr>
        <w:t xml:space="preserve"> </w:t>
      </w:r>
      <w:r w:rsidRPr="001F29F9">
        <w:rPr>
          <w:color w:val="000000"/>
        </w:rPr>
        <w:t xml:space="preserve">medically separated for </w:t>
      </w:r>
      <w:r w:rsidR="00225745">
        <w:rPr>
          <w:color w:val="000000"/>
        </w:rPr>
        <w:t>anxiety disorder, with associated attention-deficit hyperactivity disorder (ADHD). The CI first developed psychiatric symptoms and manifested cognitive features of ADHD during a deployment to Hungary in 2000</w:t>
      </w:r>
      <w:r w:rsidRPr="001F29F9">
        <w:rPr>
          <w:color w:val="000000"/>
        </w:rPr>
        <w:t xml:space="preserve">. </w:t>
      </w:r>
      <w:r w:rsidR="00261B7E">
        <w:rPr>
          <w:color w:val="000000"/>
        </w:rPr>
        <w:t xml:space="preserve"> </w:t>
      </w:r>
      <w:r w:rsidR="00225745">
        <w:rPr>
          <w:color w:val="000000"/>
        </w:rPr>
        <w:t>These worsened and resulted in a</w:t>
      </w:r>
      <w:r w:rsidR="008B496D">
        <w:rPr>
          <w:color w:val="000000"/>
        </w:rPr>
        <w:t xml:space="preserve"> psychiatric hospitalization and redeployment.  Outpatient medications and therapy did not result in adequate improvement to meet the </w:t>
      </w:r>
      <w:r w:rsidR="008B496D" w:rsidRPr="00F566B7">
        <w:rPr>
          <w:color w:val="000000"/>
        </w:rPr>
        <w:t>requirements of his Military Occupational Specialty (MOS)</w:t>
      </w:r>
      <w:r w:rsidR="008B496D">
        <w:rPr>
          <w:color w:val="000000"/>
        </w:rPr>
        <w:t xml:space="preserve">; and, he was issued an S3 profile and </w:t>
      </w:r>
      <w:r w:rsidR="008B496D" w:rsidRPr="008B496D">
        <w:rPr>
          <w:color w:val="000000"/>
        </w:rPr>
        <w:t>referred for a Medical Evaluation Board (MEB).  Anxiety disorder and ADHD were forwarded separately to the Physical Evaluation Board (PEB) as medically unacceptable conditions IAW AR 40-501.</w:t>
      </w:r>
      <w:r w:rsidR="008B496D" w:rsidRPr="00F566B7">
        <w:rPr>
          <w:color w:val="000000"/>
        </w:rPr>
        <w:t xml:space="preserve">  </w:t>
      </w:r>
      <w:r w:rsidR="00B56603">
        <w:rPr>
          <w:color w:val="auto"/>
        </w:rPr>
        <w:t>The</w:t>
      </w:r>
      <w:r w:rsidR="003674A9" w:rsidRPr="00FC7796">
        <w:rPr>
          <w:color w:val="auto"/>
        </w:rPr>
        <w:t xml:space="preserve"> PEB adjudicated the </w:t>
      </w:r>
      <w:r w:rsidR="008B496D">
        <w:rPr>
          <w:color w:val="auto"/>
        </w:rPr>
        <w:t>anxiety disorder</w:t>
      </w:r>
      <w:r w:rsidR="00094878">
        <w:rPr>
          <w:color w:val="auto"/>
        </w:rPr>
        <w:t xml:space="preserve"> as unfitting</w:t>
      </w:r>
      <w:r w:rsidR="00380601">
        <w:rPr>
          <w:color w:val="auto"/>
        </w:rPr>
        <w:t xml:space="preserve"> </w:t>
      </w:r>
      <w:r w:rsidR="00094878">
        <w:rPr>
          <w:color w:val="auto"/>
        </w:rPr>
        <w:t xml:space="preserve">and </w:t>
      </w:r>
      <w:r w:rsidR="00380601">
        <w:rPr>
          <w:color w:val="auto"/>
        </w:rPr>
        <w:t xml:space="preserve">rated </w:t>
      </w:r>
      <w:r w:rsidR="008B496D">
        <w:rPr>
          <w:color w:val="auto"/>
        </w:rPr>
        <w:t>3</w:t>
      </w:r>
      <w:r w:rsidR="003674A9" w:rsidRPr="00FC7796">
        <w:rPr>
          <w:color w:val="auto"/>
        </w:rPr>
        <w:t>0%</w:t>
      </w:r>
      <w:r w:rsidR="00094878">
        <w:rPr>
          <w:color w:val="auto"/>
        </w:rPr>
        <w:t>,</w:t>
      </w:r>
      <w:r w:rsidR="003674A9" w:rsidRPr="00FC7796">
        <w:rPr>
          <w:color w:val="auto"/>
        </w:rPr>
        <w:t xml:space="preserve"> </w:t>
      </w:r>
      <w:r w:rsidR="008B496D">
        <w:rPr>
          <w:color w:val="auto"/>
        </w:rPr>
        <w:t xml:space="preserve">citing </w:t>
      </w:r>
      <w:r w:rsidR="008B496D" w:rsidRPr="004207F2">
        <w:rPr>
          <w:color w:val="auto"/>
        </w:rPr>
        <w:t>criteria</w:t>
      </w:r>
      <w:r w:rsidR="003674A9" w:rsidRPr="004207F2">
        <w:rPr>
          <w:color w:val="auto"/>
        </w:rPr>
        <w:t xml:space="preserve"> of </w:t>
      </w:r>
      <w:r w:rsidR="004207F2" w:rsidRPr="004207F2">
        <w:rPr>
          <w:color w:val="000000"/>
        </w:rPr>
        <w:t>Department of Defense Instruction (DoDI) 1332.39</w:t>
      </w:r>
      <w:r w:rsidR="004207F2">
        <w:rPr>
          <w:color w:val="auto"/>
        </w:rPr>
        <w:t xml:space="preserve">.  The ADHD condition was determined to be ineligible for </w:t>
      </w:r>
      <w:r w:rsidR="00B56603">
        <w:rPr>
          <w:color w:val="auto"/>
        </w:rPr>
        <w:t>s</w:t>
      </w:r>
      <w:r w:rsidR="004207F2">
        <w:rPr>
          <w:color w:val="auto"/>
        </w:rPr>
        <w:t xml:space="preserve">ervice rating, </w:t>
      </w:r>
      <w:r w:rsidR="00DE79D9">
        <w:rPr>
          <w:color w:val="auto"/>
        </w:rPr>
        <w:t xml:space="preserve">referencing the </w:t>
      </w:r>
      <w:r w:rsidR="00DE79D9">
        <w:rPr>
          <w:color w:val="000000"/>
        </w:rPr>
        <w:t>DoDI</w:t>
      </w:r>
      <w:r w:rsidR="00DE79D9" w:rsidRPr="004207F2">
        <w:rPr>
          <w:color w:val="000000"/>
        </w:rPr>
        <w:t xml:space="preserve"> 1332.39</w:t>
      </w:r>
      <w:r w:rsidR="00DE79D9">
        <w:rPr>
          <w:color w:val="000000"/>
        </w:rPr>
        <w:t xml:space="preserve"> (E5.1.3.4) provision that it does not </w:t>
      </w:r>
      <w:r w:rsidR="00094878">
        <w:rPr>
          <w:color w:val="000000"/>
        </w:rPr>
        <w:t xml:space="preserve">constitute a ratable physical disability.  </w:t>
      </w:r>
      <w:r w:rsidR="00094878">
        <w:rPr>
          <w:color w:val="auto"/>
        </w:rPr>
        <w:t>The</w:t>
      </w:r>
      <w:r w:rsidR="003674A9" w:rsidRPr="004207F2">
        <w:rPr>
          <w:color w:val="auto"/>
        </w:rPr>
        <w:t xml:space="preserve"> CI </w:t>
      </w:r>
      <w:r w:rsidR="00094878">
        <w:rPr>
          <w:color w:val="auto"/>
        </w:rPr>
        <w:t>was placed on</w:t>
      </w:r>
      <w:r w:rsidR="003674A9" w:rsidRPr="004207F2">
        <w:rPr>
          <w:color w:val="auto"/>
        </w:rPr>
        <w:t xml:space="preserve"> the Temporary</w:t>
      </w:r>
      <w:r w:rsidR="003674A9" w:rsidRPr="00C472C7">
        <w:rPr>
          <w:color w:val="auto"/>
        </w:rPr>
        <w:t xml:space="preserve"> D</w:t>
      </w:r>
      <w:r w:rsidR="00347AF5">
        <w:rPr>
          <w:color w:val="auto"/>
        </w:rPr>
        <w:t xml:space="preserve">isability Retired List (TDRL) for </w:t>
      </w:r>
      <w:r w:rsidR="00094878">
        <w:rPr>
          <w:color w:val="auto"/>
        </w:rPr>
        <w:t>43</w:t>
      </w:r>
      <w:r w:rsidR="00380601">
        <w:rPr>
          <w:color w:val="auto"/>
        </w:rPr>
        <w:t xml:space="preserve"> </w:t>
      </w:r>
      <w:r w:rsidR="003674A9">
        <w:rPr>
          <w:color w:val="auto"/>
        </w:rPr>
        <w:t xml:space="preserve">months, </w:t>
      </w:r>
      <w:r w:rsidR="00347AF5">
        <w:rPr>
          <w:color w:val="auto"/>
        </w:rPr>
        <w:t xml:space="preserve">at which point </w:t>
      </w:r>
      <w:r w:rsidR="003674A9">
        <w:rPr>
          <w:color w:val="auto"/>
        </w:rPr>
        <w:t xml:space="preserve">the </w:t>
      </w:r>
      <w:r w:rsidR="00094878">
        <w:rPr>
          <w:color w:val="auto"/>
        </w:rPr>
        <w:t>psychiatric</w:t>
      </w:r>
      <w:r w:rsidR="003674A9">
        <w:rPr>
          <w:color w:val="auto"/>
        </w:rPr>
        <w:t xml:space="preserve"> condition was considered to be stable </w:t>
      </w:r>
      <w:r w:rsidR="00380601">
        <w:rPr>
          <w:color w:val="auto"/>
        </w:rPr>
        <w:t xml:space="preserve">but still unfitting.  </w:t>
      </w:r>
      <w:r w:rsidR="00094878">
        <w:rPr>
          <w:color w:val="auto"/>
        </w:rPr>
        <w:t xml:space="preserve">The anxiety disorder was </w:t>
      </w:r>
      <w:r w:rsidR="00347AF5">
        <w:rPr>
          <w:color w:val="auto"/>
        </w:rPr>
        <w:t xml:space="preserve">then </w:t>
      </w:r>
      <w:r w:rsidR="00094878">
        <w:rPr>
          <w:color w:val="auto"/>
        </w:rPr>
        <w:t xml:space="preserve">rated 10% under criteria of DoDI 1332.39, and the ADHD condition was not readdressed.  The CI appealed to a Formal </w:t>
      </w:r>
      <w:r w:rsidR="00B56603">
        <w:rPr>
          <w:color w:val="auto"/>
        </w:rPr>
        <w:t xml:space="preserve">PEB (FPEB), which affirmed the </w:t>
      </w:r>
      <w:r w:rsidR="00094878">
        <w:rPr>
          <w:color w:val="auto"/>
        </w:rPr>
        <w:t xml:space="preserve">PEB decision, and he was permanently separated </w:t>
      </w:r>
      <w:r w:rsidR="003674A9" w:rsidRPr="00C472C7">
        <w:rPr>
          <w:color w:val="auto"/>
        </w:rPr>
        <w:t xml:space="preserve">with a </w:t>
      </w:r>
      <w:r w:rsidR="00094878">
        <w:rPr>
          <w:color w:val="auto"/>
        </w:rPr>
        <w:t>1</w:t>
      </w:r>
      <w:r w:rsidR="003674A9" w:rsidRPr="00B37345">
        <w:rPr>
          <w:color w:val="auto"/>
        </w:rPr>
        <w:t>0</w:t>
      </w:r>
      <w:r w:rsidR="003674A9" w:rsidRPr="00C472C7">
        <w:rPr>
          <w:color w:val="auto"/>
        </w:rPr>
        <w:t xml:space="preserve">% </w:t>
      </w:r>
      <w:r w:rsidR="00B56603">
        <w:rPr>
          <w:color w:val="auto"/>
        </w:rPr>
        <w:t>s</w:t>
      </w:r>
      <w:r w:rsidR="00094878">
        <w:rPr>
          <w:color w:val="auto"/>
        </w:rPr>
        <w:t xml:space="preserve">ervice </w:t>
      </w:r>
      <w:r w:rsidR="003674A9" w:rsidRPr="00C472C7">
        <w:rPr>
          <w:color w:val="auto"/>
        </w:rPr>
        <w:t>disability rating</w:t>
      </w:r>
      <w:r w:rsidR="00CA2DC2">
        <w:rPr>
          <w:color w:val="auto"/>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B30211">
        <w:rPr>
          <w:color w:val="000000"/>
        </w:rPr>
        <w:t xml:space="preserve">The application simply references </w:t>
      </w:r>
      <w:r w:rsidR="00B56603">
        <w:rPr>
          <w:color w:val="000000"/>
        </w:rPr>
        <w:t>VA documentation of the service-</w:t>
      </w:r>
      <w:r w:rsidR="00B30211">
        <w:rPr>
          <w:color w:val="000000"/>
        </w:rPr>
        <w:t>connected conditions, codes and ratings as charted below; and, additionally lists each VA condition documented in the chart below.  It is presumed that the CI is requesting a review of all VA conditions identified at the time of temporary retirement.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CA2DC2" w:rsidRDefault="00CA2DC2" w:rsidP="00CA2DC2">
      <w:pPr>
        <w:pBdr>
          <w:bottom w:val="single" w:sz="12" w:space="1" w:color="auto"/>
        </w:pBdr>
        <w:tabs>
          <w:tab w:val="left" w:pos="288"/>
          <w:tab w:val="left" w:pos="4752"/>
        </w:tabs>
        <w:jc w:val="both"/>
        <w:rPr>
          <w:color w:val="auto"/>
        </w:rPr>
      </w:pPr>
      <w:r w:rsidRPr="00DF70F4">
        <w:rPr>
          <w:color w:val="000000"/>
          <w:u w:val="single"/>
        </w:rPr>
        <w:t xml:space="preserve">SCOPE </w:t>
      </w:r>
      <w:r>
        <w:rPr>
          <w:color w:val="000000"/>
          <w:u w:val="single"/>
        </w:rPr>
        <w:t xml:space="preserve">OF </w:t>
      </w:r>
      <w:r w:rsidRPr="00DF70F4">
        <w:rPr>
          <w:color w:val="000000"/>
          <w:u w:val="single"/>
        </w:rPr>
        <w:t>REVIEW</w:t>
      </w:r>
      <w:r w:rsidRPr="006D5E1E">
        <w:rPr>
          <w:color w:val="000000"/>
        </w:rPr>
        <w:t>:</w:t>
      </w:r>
      <w:r w:rsidRPr="00C566C9">
        <w:rPr>
          <w:color w:val="000000"/>
        </w:rPr>
        <w:t xml:space="preserve">  </w:t>
      </w:r>
      <w:r w:rsidRPr="00C566C9">
        <w:rPr>
          <w:color w:val="auto"/>
        </w:rPr>
        <w:t>The Board wishes to clarify that the scope of its review as defined in DoDI 6040.44 (4.a)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56603">
        <w:rPr>
          <w:color w:val="auto"/>
        </w:rPr>
        <w:t>.</w:t>
      </w:r>
      <w:r w:rsidRPr="00C566C9">
        <w:rPr>
          <w:color w:val="auto"/>
        </w:rPr>
        <w:t xml:space="preserve">”  </w:t>
      </w:r>
      <w:r>
        <w:rPr>
          <w:color w:val="auto"/>
        </w:rPr>
        <w:t xml:space="preserve">None of the conditions </w:t>
      </w:r>
      <w:r w:rsidR="001D3D86">
        <w:rPr>
          <w:color w:val="auto"/>
        </w:rPr>
        <w:t>requested for consideration</w:t>
      </w:r>
      <w:r>
        <w:rPr>
          <w:color w:val="auto"/>
        </w:rPr>
        <w:t xml:space="preserve"> meet the criteria prescribed in DoDI 6040.44 </w:t>
      </w:r>
      <w:r w:rsidR="000252B8">
        <w:rPr>
          <w:color w:val="auto"/>
        </w:rPr>
        <w:t>for Board purview</w:t>
      </w:r>
      <w:r w:rsidR="001D3D86">
        <w:rPr>
          <w:color w:val="auto"/>
        </w:rPr>
        <w:t xml:space="preserve">; except for </w:t>
      </w:r>
      <w:r w:rsidR="00173996">
        <w:rPr>
          <w:color w:val="auto"/>
        </w:rPr>
        <w:t xml:space="preserve">anxiety disorder and </w:t>
      </w:r>
      <w:r w:rsidR="001D3D86">
        <w:rPr>
          <w:color w:val="auto"/>
        </w:rPr>
        <w:t xml:space="preserve">ADHD which </w:t>
      </w:r>
      <w:r w:rsidR="00173996">
        <w:rPr>
          <w:color w:val="auto"/>
        </w:rPr>
        <w:t>are</w:t>
      </w:r>
      <w:r w:rsidR="001D3D86">
        <w:rPr>
          <w:color w:val="auto"/>
        </w:rPr>
        <w:t xml:space="preserve"> addressed below</w:t>
      </w:r>
      <w:r w:rsidR="000252B8">
        <w:rPr>
          <w:color w:val="auto"/>
        </w:rPr>
        <w:t xml:space="preserve">.  </w:t>
      </w:r>
      <w:r w:rsidR="00E463F1" w:rsidRPr="00C566C9">
        <w:rPr>
          <w:color w:val="auto"/>
        </w:rPr>
        <w:t>Any condition</w:t>
      </w:r>
      <w:r w:rsidR="00E463F1">
        <w:rPr>
          <w:color w:val="auto"/>
        </w:rPr>
        <w:t>s</w:t>
      </w:r>
      <w:r w:rsidR="00E463F1" w:rsidRPr="00C566C9">
        <w:rPr>
          <w:color w:val="auto"/>
        </w:rPr>
        <w:t xml:space="preserve"> or contention not requested in this application</w:t>
      </w:r>
      <w:r w:rsidR="00E463F1">
        <w:rPr>
          <w:color w:val="auto"/>
        </w:rPr>
        <w:t>, or</w:t>
      </w:r>
      <w:r w:rsidR="00E463F1" w:rsidRPr="00C566C9">
        <w:rPr>
          <w:color w:val="auto"/>
        </w:rPr>
        <w:t xml:space="preserve"> otherwise outside the Board’s defined scope of review</w:t>
      </w:r>
      <w:r w:rsidR="00E463F1">
        <w:rPr>
          <w:color w:val="auto"/>
        </w:rPr>
        <w:t>, remain</w:t>
      </w:r>
      <w:r w:rsidR="00E463F1" w:rsidRPr="00C566C9">
        <w:rPr>
          <w:color w:val="auto"/>
        </w:rPr>
        <w:t xml:space="preserve"> eligible for future consideration by the </w:t>
      </w:r>
      <w:r w:rsidRPr="001D3D86">
        <w:rPr>
          <w:color w:val="auto"/>
        </w:rPr>
        <w:t>Army Board for the Correction of Military Records (</w:t>
      </w:r>
      <w:r w:rsidR="00A76A0B">
        <w:rPr>
          <w:color w:val="auto"/>
        </w:rPr>
        <w:t>A</w:t>
      </w:r>
      <w:r w:rsidRPr="001D3D86">
        <w:rPr>
          <w:color w:val="auto"/>
        </w:rPr>
        <w:t>BCMR).</w:t>
      </w:r>
    </w:p>
    <w:p w:rsidR="00CA2DC2" w:rsidRPr="001F29F9" w:rsidRDefault="00CA2DC2" w:rsidP="00CA2DC2">
      <w:pPr>
        <w:pBdr>
          <w:bottom w:val="single" w:sz="12" w:space="1" w:color="auto"/>
        </w:pBdr>
        <w:tabs>
          <w:tab w:val="left" w:pos="288"/>
          <w:tab w:val="left" w:pos="4752"/>
        </w:tabs>
        <w:jc w:val="both"/>
        <w:rPr>
          <w:color w:val="000000"/>
        </w:rPr>
      </w:pPr>
    </w:p>
    <w:p w:rsidR="00CA2DC2" w:rsidRPr="001F29F9" w:rsidRDefault="00CA2DC2" w:rsidP="00CA2DC2">
      <w:pPr>
        <w:tabs>
          <w:tab w:val="left" w:pos="288"/>
          <w:tab w:val="left" w:pos="4752"/>
        </w:tabs>
        <w:jc w:val="both"/>
        <w:rPr>
          <w:color w:val="000000"/>
        </w:rPr>
      </w:pPr>
    </w:p>
    <w:p w:rsidR="0099088F" w:rsidRDefault="0099088F">
      <w:pPr>
        <w:spacing w:line="240" w:lineRule="auto"/>
        <w:jc w:val="left"/>
        <w:rPr>
          <w:color w:val="000000"/>
          <w:u w:val="single"/>
        </w:rPr>
      </w:pPr>
      <w:r>
        <w:rPr>
          <w:color w:val="000000"/>
          <w:u w:val="single"/>
        </w:rPr>
        <w:br w:type="page"/>
      </w: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99088F" w:rsidRPr="0099088F" w:rsidRDefault="0099088F" w:rsidP="0099088F">
      <w:pPr>
        <w:jc w:val="left"/>
        <w:rPr>
          <w:rFonts w:eastAsia="Calibri" w:cs="Times New Roman"/>
          <w:color w:val="auto"/>
          <w:sz w:val="22"/>
          <w:szCs w:val="22"/>
        </w:rPr>
      </w:pPr>
    </w:p>
    <w:tbl>
      <w:tblPr>
        <w:tblStyle w:val="TableGrid1"/>
        <w:tblW w:w="9360" w:type="dxa"/>
        <w:tblInd w:w="108" w:type="dxa"/>
        <w:tblLayout w:type="fixed"/>
        <w:tblLook w:val="04A0"/>
      </w:tblPr>
      <w:tblGrid>
        <w:gridCol w:w="1886"/>
        <w:gridCol w:w="634"/>
        <w:gridCol w:w="630"/>
        <w:gridCol w:w="630"/>
        <w:gridCol w:w="2787"/>
        <w:gridCol w:w="1083"/>
        <w:gridCol w:w="720"/>
        <w:gridCol w:w="990"/>
      </w:tblGrid>
      <w:tr w:rsidR="0099088F" w:rsidRPr="0099088F" w:rsidTr="00792DBD">
        <w:trPr>
          <w:trHeight w:val="107"/>
        </w:trPr>
        <w:tc>
          <w:tcPr>
            <w:tcW w:w="3780" w:type="dxa"/>
            <w:gridSpan w:val="4"/>
            <w:tcBorders>
              <w:right w:val="thinThickThinSmallGap" w:sz="24" w:space="0" w:color="auto"/>
            </w:tcBorders>
            <w:shd w:val="clear" w:color="auto" w:fill="D9D9D9"/>
            <w:vAlign w:val="center"/>
          </w:tcPr>
          <w:p w:rsidR="0099088F" w:rsidRPr="0099088F" w:rsidRDefault="0099088F" w:rsidP="00C53627">
            <w:pPr>
              <w:contextualSpacing/>
              <w:rPr>
                <w:b/>
                <w:color w:val="auto"/>
                <w:sz w:val="18"/>
                <w:szCs w:val="18"/>
              </w:rPr>
            </w:pPr>
            <w:r w:rsidRPr="0099088F">
              <w:rPr>
                <w:b/>
                <w:color w:val="auto"/>
                <w:sz w:val="18"/>
                <w:szCs w:val="18"/>
              </w:rPr>
              <w:t xml:space="preserve">Final Service PEB - </w:t>
            </w:r>
            <w:r w:rsidRPr="00453C00">
              <w:rPr>
                <w:b/>
                <w:color w:val="000000" w:themeColor="text1"/>
                <w:sz w:val="18"/>
                <w:szCs w:val="18"/>
              </w:rPr>
              <w:t>20050111</w:t>
            </w:r>
          </w:p>
        </w:tc>
        <w:tc>
          <w:tcPr>
            <w:tcW w:w="5580" w:type="dxa"/>
            <w:gridSpan w:val="4"/>
            <w:tcBorders>
              <w:left w:val="thinThickThinSmallGap" w:sz="24" w:space="0" w:color="auto"/>
            </w:tcBorders>
            <w:shd w:val="clear" w:color="auto" w:fill="D9D9D9"/>
            <w:vAlign w:val="center"/>
          </w:tcPr>
          <w:p w:rsidR="0099088F" w:rsidRPr="0099088F" w:rsidRDefault="0099088F" w:rsidP="00C53627">
            <w:pPr>
              <w:contextualSpacing/>
              <w:rPr>
                <w:b/>
                <w:color w:val="auto"/>
                <w:sz w:val="18"/>
                <w:szCs w:val="18"/>
              </w:rPr>
            </w:pPr>
            <w:r w:rsidRPr="0099088F">
              <w:rPr>
                <w:b/>
                <w:color w:val="auto"/>
                <w:sz w:val="18"/>
                <w:szCs w:val="18"/>
              </w:rPr>
              <w:t>VA (</w:t>
            </w:r>
            <w:r w:rsidR="00C53627">
              <w:rPr>
                <w:b/>
                <w:color w:val="auto"/>
                <w:sz w:val="18"/>
                <w:szCs w:val="18"/>
              </w:rPr>
              <w:t>42</w:t>
            </w:r>
            <w:r w:rsidRPr="0099088F">
              <w:rPr>
                <w:b/>
                <w:color w:val="auto"/>
                <w:sz w:val="18"/>
                <w:szCs w:val="18"/>
              </w:rPr>
              <w:t xml:space="preserve"> Mo. Prior to </w:t>
            </w:r>
            <w:r w:rsidRPr="0099088F">
              <w:rPr>
                <w:b/>
                <w:color w:val="000000"/>
                <w:sz w:val="18"/>
                <w:szCs w:val="18"/>
              </w:rPr>
              <w:t>Adjudication Date</w:t>
            </w:r>
            <w:r w:rsidRPr="0099088F">
              <w:rPr>
                <w:b/>
                <w:color w:val="auto"/>
                <w:sz w:val="18"/>
                <w:szCs w:val="18"/>
              </w:rPr>
              <w:t xml:space="preserve">)* – All Effective </w:t>
            </w:r>
            <w:r w:rsidRPr="0099088F">
              <w:rPr>
                <w:b/>
                <w:color w:val="000000"/>
                <w:sz w:val="18"/>
                <w:szCs w:val="18"/>
              </w:rPr>
              <w:t>200</w:t>
            </w:r>
            <w:r w:rsidR="00171AA7">
              <w:rPr>
                <w:b/>
                <w:color w:val="000000"/>
                <w:sz w:val="18"/>
                <w:szCs w:val="18"/>
              </w:rPr>
              <w:t>10802</w:t>
            </w:r>
          </w:p>
        </w:tc>
      </w:tr>
      <w:tr w:rsidR="0032066B" w:rsidRPr="00453C00" w:rsidTr="00C53627">
        <w:trPr>
          <w:trHeight w:val="65"/>
        </w:trPr>
        <w:tc>
          <w:tcPr>
            <w:tcW w:w="1886" w:type="dxa"/>
            <w:tcBorders>
              <w:bottom w:val="single" w:sz="4" w:space="0" w:color="000000"/>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On TDRL - 200</w:t>
            </w:r>
            <w:r w:rsidRPr="00453C00">
              <w:rPr>
                <w:b/>
                <w:color w:val="auto"/>
                <w:sz w:val="18"/>
                <w:szCs w:val="18"/>
              </w:rPr>
              <w:t>1080</w:t>
            </w:r>
            <w:r w:rsidR="00C53627">
              <w:rPr>
                <w:b/>
                <w:color w:val="auto"/>
                <w:sz w:val="18"/>
                <w:szCs w:val="18"/>
              </w:rPr>
              <w:t>1</w:t>
            </w:r>
          </w:p>
        </w:tc>
        <w:tc>
          <w:tcPr>
            <w:tcW w:w="634" w:type="dxa"/>
            <w:vMerge w:val="restart"/>
            <w:tcBorders>
              <w:bottom w:val="single" w:sz="4" w:space="0" w:color="000000"/>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Code</w:t>
            </w:r>
          </w:p>
        </w:tc>
        <w:tc>
          <w:tcPr>
            <w:tcW w:w="1260" w:type="dxa"/>
            <w:gridSpan w:val="2"/>
            <w:tcBorders>
              <w:bottom w:val="single" w:sz="4" w:space="0" w:color="000000"/>
              <w:right w:val="thinThickThinSmallGap" w:sz="24" w:space="0" w:color="auto"/>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Rating</w:t>
            </w:r>
          </w:p>
        </w:tc>
        <w:tc>
          <w:tcPr>
            <w:tcW w:w="2787" w:type="dxa"/>
            <w:vMerge w:val="restart"/>
            <w:tcBorders>
              <w:left w:val="thinThickThinSmallGap" w:sz="24" w:space="0" w:color="auto"/>
              <w:right w:val="single" w:sz="4" w:space="0" w:color="auto"/>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Condition</w:t>
            </w:r>
          </w:p>
        </w:tc>
        <w:tc>
          <w:tcPr>
            <w:tcW w:w="1083" w:type="dxa"/>
            <w:vMerge w:val="restart"/>
            <w:tcBorders>
              <w:left w:val="single" w:sz="4" w:space="0" w:color="auto"/>
              <w:right w:val="single" w:sz="4" w:space="0" w:color="auto"/>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Code</w:t>
            </w:r>
          </w:p>
        </w:tc>
        <w:tc>
          <w:tcPr>
            <w:tcW w:w="720" w:type="dxa"/>
            <w:vMerge w:val="restart"/>
            <w:tcBorders>
              <w:left w:val="single" w:sz="4" w:space="0" w:color="auto"/>
              <w:right w:val="single" w:sz="4" w:space="0" w:color="auto"/>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Rating</w:t>
            </w:r>
          </w:p>
        </w:tc>
        <w:tc>
          <w:tcPr>
            <w:tcW w:w="990" w:type="dxa"/>
            <w:vMerge w:val="restart"/>
            <w:tcBorders>
              <w:left w:val="single" w:sz="4" w:space="0" w:color="auto"/>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Exam</w:t>
            </w:r>
          </w:p>
        </w:tc>
      </w:tr>
      <w:tr w:rsidR="00792DBD" w:rsidRPr="00453C00" w:rsidTr="00C53627">
        <w:trPr>
          <w:trHeight w:val="152"/>
        </w:trPr>
        <w:tc>
          <w:tcPr>
            <w:tcW w:w="1886" w:type="dxa"/>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Condition</w:t>
            </w:r>
          </w:p>
        </w:tc>
        <w:tc>
          <w:tcPr>
            <w:tcW w:w="634" w:type="dxa"/>
            <w:vMerge/>
            <w:shd w:val="clear" w:color="auto" w:fill="D9D9D9"/>
            <w:vAlign w:val="center"/>
          </w:tcPr>
          <w:p w:rsidR="0099088F" w:rsidRPr="0099088F" w:rsidRDefault="0099088F" w:rsidP="00C53627">
            <w:pPr>
              <w:spacing w:line="220" w:lineRule="exact"/>
              <w:contextualSpacing/>
              <w:rPr>
                <w:color w:val="auto"/>
                <w:sz w:val="18"/>
                <w:szCs w:val="18"/>
              </w:rPr>
            </w:pPr>
          </w:p>
        </w:tc>
        <w:tc>
          <w:tcPr>
            <w:tcW w:w="630" w:type="dxa"/>
            <w:tcBorders>
              <w:right w:val="single" w:sz="4" w:space="0" w:color="auto"/>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TDRL</w:t>
            </w:r>
          </w:p>
        </w:tc>
        <w:tc>
          <w:tcPr>
            <w:tcW w:w="630" w:type="dxa"/>
            <w:tcBorders>
              <w:left w:val="single" w:sz="4" w:space="0" w:color="auto"/>
              <w:right w:val="thinThickThinSmallGap" w:sz="24" w:space="0" w:color="auto"/>
            </w:tcBorders>
            <w:shd w:val="clear" w:color="auto" w:fill="D9D9D9"/>
            <w:vAlign w:val="center"/>
          </w:tcPr>
          <w:p w:rsidR="0099088F" w:rsidRPr="0099088F" w:rsidRDefault="0099088F" w:rsidP="00C53627">
            <w:pPr>
              <w:spacing w:line="220" w:lineRule="exact"/>
              <w:contextualSpacing/>
              <w:rPr>
                <w:b/>
                <w:color w:val="auto"/>
                <w:sz w:val="18"/>
                <w:szCs w:val="18"/>
              </w:rPr>
            </w:pPr>
            <w:r w:rsidRPr="0099088F">
              <w:rPr>
                <w:b/>
                <w:color w:val="auto"/>
                <w:sz w:val="18"/>
                <w:szCs w:val="18"/>
              </w:rPr>
              <w:t>Sep.</w:t>
            </w:r>
          </w:p>
        </w:tc>
        <w:tc>
          <w:tcPr>
            <w:tcW w:w="2787" w:type="dxa"/>
            <w:vMerge/>
            <w:tcBorders>
              <w:left w:val="thinThickThinSmallGap" w:sz="24" w:space="0" w:color="auto"/>
              <w:right w:val="single" w:sz="4" w:space="0" w:color="auto"/>
            </w:tcBorders>
            <w:shd w:val="clear" w:color="auto" w:fill="D9D9D9"/>
            <w:vAlign w:val="center"/>
          </w:tcPr>
          <w:p w:rsidR="0099088F" w:rsidRPr="0099088F" w:rsidRDefault="0099088F" w:rsidP="00C53627">
            <w:pPr>
              <w:spacing w:line="220" w:lineRule="exact"/>
              <w:contextualSpacing/>
              <w:rPr>
                <w:b/>
                <w:color w:val="auto"/>
                <w:sz w:val="18"/>
                <w:szCs w:val="18"/>
              </w:rPr>
            </w:pPr>
          </w:p>
        </w:tc>
        <w:tc>
          <w:tcPr>
            <w:tcW w:w="1083" w:type="dxa"/>
            <w:vMerge/>
            <w:tcBorders>
              <w:left w:val="single" w:sz="4" w:space="0" w:color="auto"/>
              <w:right w:val="single" w:sz="4" w:space="0" w:color="auto"/>
            </w:tcBorders>
            <w:shd w:val="clear" w:color="auto" w:fill="C6D9F1"/>
            <w:vAlign w:val="center"/>
          </w:tcPr>
          <w:p w:rsidR="0099088F" w:rsidRPr="0099088F" w:rsidRDefault="0099088F" w:rsidP="00C53627">
            <w:pPr>
              <w:spacing w:line="220" w:lineRule="exact"/>
              <w:contextualSpacing/>
              <w:rPr>
                <w:color w:val="auto"/>
                <w:sz w:val="18"/>
                <w:szCs w:val="18"/>
              </w:rPr>
            </w:pPr>
          </w:p>
        </w:tc>
        <w:tc>
          <w:tcPr>
            <w:tcW w:w="720" w:type="dxa"/>
            <w:vMerge/>
            <w:tcBorders>
              <w:left w:val="single" w:sz="4" w:space="0" w:color="auto"/>
              <w:right w:val="single" w:sz="4" w:space="0" w:color="auto"/>
            </w:tcBorders>
            <w:shd w:val="clear" w:color="auto" w:fill="C6D9F1"/>
            <w:vAlign w:val="center"/>
          </w:tcPr>
          <w:p w:rsidR="0099088F" w:rsidRPr="0099088F" w:rsidRDefault="0099088F" w:rsidP="00C53627">
            <w:pPr>
              <w:spacing w:line="220" w:lineRule="exact"/>
              <w:contextualSpacing/>
              <w:rPr>
                <w:color w:val="auto"/>
                <w:sz w:val="18"/>
                <w:szCs w:val="18"/>
              </w:rPr>
            </w:pPr>
          </w:p>
        </w:tc>
        <w:tc>
          <w:tcPr>
            <w:tcW w:w="990" w:type="dxa"/>
            <w:vMerge/>
            <w:tcBorders>
              <w:left w:val="single" w:sz="4" w:space="0" w:color="auto"/>
            </w:tcBorders>
            <w:shd w:val="clear" w:color="auto" w:fill="C6D9F1"/>
            <w:vAlign w:val="center"/>
          </w:tcPr>
          <w:p w:rsidR="0099088F" w:rsidRPr="0099088F" w:rsidRDefault="0099088F" w:rsidP="00C53627">
            <w:pPr>
              <w:spacing w:line="220" w:lineRule="exact"/>
              <w:contextualSpacing/>
              <w:rPr>
                <w:color w:val="auto"/>
                <w:sz w:val="18"/>
                <w:szCs w:val="18"/>
              </w:rPr>
            </w:pPr>
          </w:p>
        </w:tc>
      </w:tr>
      <w:tr w:rsidR="00453C00" w:rsidRPr="00453C00" w:rsidTr="00C53627">
        <w:trPr>
          <w:trHeight w:val="143"/>
        </w:trPr>
        <w:tc>
          <w:tcPr>
            <w:tcW w:w="1886" w:type="dxa"/>
            <w:tcBorders>
              <w:right w:val="single" w:sz="4" w:space="0" w:color="auto"/>
            </w:tcBorders>
            <w:shd w:val="clear" w:color="auto" w:fill="FFFFFF"/>
            <w:vAlign w:val="center"/>
          </w:tcPr>
          <w:p w:rsidR="00453C00" w:rsidRPr="0099088F" w:rsidRDefault="00453C00" w:rsidP="00C53627">
            <w:pPr>
              <w:spacing w:line="220" w:lineRule="exact"/>
              <w:contextualSpacing/>
              <w:jc w:val="left"/>
              <w:rPr>
                <w:color w:val="auto"/>
                <w:sz w:val="18"/>
                <w:szCs w:val="18"/>
              </w:rPr>
            </w:pPr>
            <w:r w:rsidRPr="00453C00">
              <w:rPr>
                <w:color w:val="auto"/>
                <w:sz w:val="18"/>
                <w:szCs w:val="18"/>
              </w:rPr>
              <w:t>Anxiety Disorder, NOS</w:t>
            </w:r>
          </w:p>
        </w:tc>
        <w:tc>
          <w:tcPr>
            <w:tcW w:w="634" w:type="dxa"/>
            <w:tcBorders>
              <w:left w:val="single" w:sz="4" w:space="0" w:color="auto"/>
            </w:tcBorders>
            <w:shd w:val="clear" w:color="auto" w:fill="FFFFFF"/>
            <w:vAlign w:val="center"/>
          </w:tcPr>
          <w:p w:rsidR="00453C00" w:rsidRPr="0099088F" w:rsidRDefault="00453C00" w:rsidP="00C53627">
            <w:pPr>
              <w:spacing w:line="220" w:lineRule="exact"/>
              <w:contextualSpacing/>
              <w:rPr>
                <w:color w:val="auto"/>
                <w:sz w:val="18"/>
                <w:szCs w:val="18"/>
              </w:rPr>
            </w:pPr>
            <w:r w:rsidRPr="00453C00">
              <w:rPr>
                <w:color w:val="auto"/>
                <w:sz w:val="18"/>
                <w:szCs w:val="18"/>
              </w:rPr>
              <w:t>9413</w:t>
            </w:r>
          </w:p>
        </w:tc>
        <w:tc>
          <w:tcPr>
            <w:tcW w:w="630" w:type="dxa"/>
            <w:tcBorders>
              <w:right w:val="single" w:sz="4" w:space="0" w:color="auto"/>
            </w:tcBorders>
            <w:shd w:val="clear" w:color="auto" w:fill="FFFFFF"/>
            <w:vAlign w:val="center"/>
          </w:tcPr>
          <w:p w:rsidR="00453C00" w:rsidRPr="0099088F" w:rsidRDefault="00453C00" w:rsidP="00C53627">
            <w:pPr>
              <w:spacing w:line="220" w:lineRule="exact"/>
              <w:contextualSpacing/>
              <w:rPr>
                <w:color w:val="auto"/>
                <w:sz w:val="18"/>
                <w:szCs w:val="18"/>
              </w:rPr>
            </w:pPr>
            <w:r w:rsidRPr="0099088F">
              <w:rPr>
                <w:color w:val="auto"/>
                <w:sz w:val="18"/>
                <w:szCs w:val="18"/>
              </w:rPr>
              <w:t>30%</w:t>
            </w:r>
          </w:p>
        </w:tc>
        <w:tc>
          <w:tcPr>
            <w:tcW w:w="630" w:type="dxa"/>
            <w:tcBorders>
              <w:left w:val="single" w:sz="4" w:space="0" w:color="auto"/>
              <w:right w:val="thinThickThinSmallGap" w:sz="24" w:space="0" w:color="auto"/>
            </w:tcBorders>
            <w:shd w:val="clear" w:color="auto" w:fill="FFFFFF"/>
            <w:vAlign w:val="center"/>
          </w:tcPr>
          <w:p w:rsidR="00453C00" w:rsidRPr="0099088F" w:rsidRDefault="00453C00" w:rsidP="00C53627">
            <w:pPr>
              <w:spacing w:line="220" w:lineRule="exact"/>
              <w:contextualSpacing/>
              <w:rPr>
                <w:color w:val="auto"/>
                <w:sz w:val="18"/>
                <w:szCs w:val="18"/>
              </w:rPr>
            </w:pPr>
            <w:r w:rsidRPr="0099088F">
              <w:rPr>
                <w:color w:val="auto"/>
                <w:sz w:val="18"/>
                <w:szCs w:val="18"/>
              </w:rPr>
              <w:t>10%</w:t>
            </w:r>
          </w:p>
        </w:tc>
        <w:tc>
          <w:tcPr>
            <w:tcW w:w="2787" w:type="dxa"/>
            <w:vMerge w:val="restart"/>
            <w:tcBorders>
              <w:left w:val="thinThickThinSmallGap" w:sz="24" w:space="0" w:color="auto"/>
              <w:right w:val="single" w:sz="4" w:space="0" w:color="auto"/>
            </w:tcBorders>
            <w:shd w:val="clear" w:color="auto" w:fill="FFFFFF"/>
            <w:vAlign w:val="center"/>
          </w:tcPr>
          <w:p w:rsidR="00453C00" w:rsidRPr="0099088F" w:rsidRDefault="00453C00" w:rsidP="00C53627">
            <w:pPr>
              <w:spacing w:line="220" w:lineRule="exact"/>
              <w:contextualSpacing/>
              <w:jc w:val="left"/>
              <w:rPr>
                <w:color w:val="auto"/>
                <w:sz w:val="18"/>
                <w:szCs w:val="18"/>
              </w:rPr>
            </w:pPr>
            <w:r w:rsidRPr="00453C00">
              <w:rPr>
                <w:color w:val="auto"/>
                <w:sz w:val="18"/>
                <w:szCs w:val="18"/>
              </w:rPr>
              <w:t>ADHD with Anxiety Disorder</w:t>
            </w:r>
          </w:p>
        </w:tc>
        <w:tc>
          <w:tcPr>
            <w:tcW w:w="1083" w:type="dxa"/>
            <w:vMerge w:val="restart"/>
            <w:tcBorders>
              <w:left w:val="single" w:sz="4" w:space="0" w:color="auto"/>
              <w:right w:val="single" w:sz="4" w:space="0" w:color="auto"/>
            </w:tcBorders>
            <w:shd w:val="clear" w:color="auto" w:fill="FFFFFF"/>
            <w:vAlign w:val="center"/>
          </w:tcPr>
          <w:p w:rsidR="00453C00" w:rsidRPr="00453C00" w:rsidRDefault="00453C00" w:rsidP="00C53627">
            <w:pPr>
              <w:spacing w:line="220" w:lineRule="exact"/>
              <w:contextualSpacing/>
              <w:rPr>
                <w:color w:val="auto"/>
                <w:sz w:val="18"/>
                <w:szCs w:val="18"/>
              </w:rPr>
            </w:pPr>
            <w:r w:rsidRPr="00453C00">
              <w:rPr>
                <w:color w:val="auto"/>
                <w:sz w:val="18"/>
                <w:szCs w:val="18"/>
              </w:rPr>
              <w:t>9499-9513</w:t>
            </w:r>
          </w:p>
        </w:tc>
        <w:tc>
          <w:tcPr>
            <w:tcW w:w="720" w:type="dxa"/>
            <w:vMerge w:val="restart"/>
            <w:tcBorders>
              <w:left w:val="single" w:sz="4" w:space="0" w:color="auto"/>
              <w:right w:val="single" w:sz="4" w:space="0" w:color="auto"/>
            </w:tcBorders>
            <w:shd w:val="clear" w:color="auto" w:fill="FFFFFF"/>
            <w:vAlign w:val="center"/>
          </w:tcPr>
          <w:p w:rsidR="00453C00" w:rsidRPr="00453C00" w:rsidRDefault="00453C00" w:rsidP="00C53627">
            <w:pPr>
              <w:spacing w:line="220" w:lineRule="exact"/>
              <w:contextualSpacing/>
              <w:rPr>
                <w:color w:val="auto"/>
                <w:sz w:val="18"/>
                <w:szCs w:val="18"/>
              </w:rPr>
            </w:pPr>
            <w:r>
              <w:rPr>
                <w:color w:val="auto"/>
                <w:sz w:val="18"/>
                <w:szCs w:val="18"/>
              </w:rPr>
              <w:t>50%</w:t>
            </w:r>
          </w:p>
        </w:tc>
        <w:tc>
          <w:tcPr>
            <w:tcW w:w="990" w:type="dxa"/>
            <w:vMerge w:val="restart"/>
            <w:tcBorders>
              <w:left w:val="single" w:sz="4" w:space="0" w:color="auto"/>
            </w:tcBorders>
            <w:shd w:val="clear" w:color="auto" w:fill="FFFFFF"/>
            <w:vAlign w:val="center"/>
          </w:tcPr>
          <w:p w:rsidR="00453C00" w:rsidRPr="00453C00" w:rsidRDefault="00792DBD" w:rsidP="00C53627">
            <w:pPr>
              <w:spacing w:line="220" w:lineRule="exact"/>
              <w:contextualSpacing/>
              <w:rPr>
                <w:color w:val="auto"/>
                <w:sz w:val="18"/>
                <w:szCs w:val="18"/>
              </w:rPr>
            </w:pPr>
            <w:r>
              <w:rPr>
                <w:color w:val="auto"/>
                <w:sz w:val="18"/>
                <w:szCs w:val="18"/>
              </w:rPr>
              <w:t>20010829</w:t>
            </w:r>
          </w:p>
        </w:tc>
      </w:tr>
      <w:tr w:rsidR="00453C00" w:rsidRPr="00453C00" w:rsidTr="00C53627">
        <w:trPr>
          <w:trHeight w:val="170"/>
        </w:trPr>
        <w:tc>
          <w:tcPr>
            <w:tcW w:w="1886" w:type="dxa"/>
            <w:tcBorders>
              <w:right w:val="single" w:sz="4" w:space="0" w:color="auto"/>
            </w:tcBorders>
            <w:shd w:val="clear" w:color="auto" w:fill="FFFFFF"/>
            <w:vAlign w:val="center"/>
          </w:tcPr>
          <w:p w:rsidR="00453C00" w:rsidRPr="0099088F" w:rsidRDefault="00453C00" w:rsidP="00C53627">
            <w:pPr>
              <w:spacing w:line="220" w:lineRule="exact"/>
              <w:contextualSpacing/>
              <w:jc w:val="left"/>
              <w:rPr>
                <w:color w:val="auto"/>
                <w:sz w:val="18"/>
                <w:szCs w:val="18"/>
              </w:rPr>
            </w:pPr>
            <w:r w:rsidRPr="00453C00">
              <w:rPr>
                <w:color w:val="auto"/>
                <w:sz w:val="18"/>
                <w:szCs w:val="18"/>
              </w:rPr>
              <w:t>ADHD</w:t>
            </w:r>
          </w:p>
        </w:tc>
        <w:tc>
          <w:tcPr>
            <w:tcW w:w="1894" w:type="dxa"/>
            <w:gridSpan w:val="3"/>
            <w:tcBorders>
              <w:right w:val="thinThickThinSmallGap" w:sz="24" w:space="0" w:color="auto"/>
            </w:tcBorders>
            <w:shd w:val="clear" w:color="auto" w:fill="FFFFFF"/>
            <w:vAlign w:val="center"/>
          </w:tcPr>
          <w:p w:rsidR="00453C00" w:rsidRPr="0099088F" w:rsidRDefault="00453C00" w:rsidP="005866C7">
            <w:pPr>
              <w:spacing w:line="220" w:lineRule="exact"/>
              <w:contextualSpacing/>
              <w:rPr>
                <w:color w:val="auto"/>
                <w:sz w:val="18"/>
                <w:szCs w:val="18"/>
              </w:rPr>
            </w:pPr>
            <w:r w:rsidRPr="00453C00">
              <w:rPr>
                <w:color w:val="auto"/>
                <w:sz w:val="18"/>
                <w:szCs w:val="18"/>
              </w:rPr>
              <w:t>Non-</w:t>
            </w:r>
            <w:r w:rsidR="005866C7">
              <w:rPr>
                <w:color w:val="auto"/>
                <w:sz w:val="18"/>
                <w:szCs w:val="18"/>
              </w:rPr>
              <w:t>Ratable</w:t>
            </w:r>
            <w:r w:rsidR="00792DBD">
              <w:rPr>
                <w:color w:val="auto"/>
                <w:sz w:val="18"/>
                <w:szCs w:val="18"/>
              </w:rPr>
              <w:t>**</w:t>
            </w:r>
          </w:p>
        </w:tc>
        <w:tc>
          <w:tcPr>
            <w:tcW w:w="2787" w:type="dxa"/>
            <w:vMerge/>
            <w:tcBorders>
              <w:left w:val="thinThickThinSmallGap" w:sz="24" w:space="0" w:color="auto"/>
              <w:right w:val="single" w:sz="4" w:space="0" w:color="auto"/>
            </w:tcBorders>
            <w:shd w:val="clear" w:color="auto" w:fill="FFFFFF"/>
            <w:vAlign w:val="center"/>
          </w:tcPr>
          <w:p w:rsidR="00453C00" w:rsidRPr="0099088F" w:rsidRDefault="00453C00" w:rsidP="00C53627">
            <w:pPr>
              <w:spacing w:line="220" w:lineRule="exact"/>
              <w:contextualSpacing/>
              <w:jc w:val="left"/>
              <w:rPr>
                <w:color w:val="auto"/>
                <w:sz w:val="18"/>
                <w:szCs w:val="18"/>
              </w:rPr>
            </w:pPr>
          </w:p>
        </w:tc>
        <w:tc>
          <w:tcPr>
            <w:tcW w:w="1083" w:type="dxa"/>
            <w:vMerge/>
            <w:tcBorders>
              <w:left w:val="single" w:sz="4" w:space="0" w:color="auto"/>
              <w:right w:val="single" w:sz="4" w:space="0" w:color="auto"/>
            </w:tcBorders>
            <w:shd w:val="clear" w:color="auto" w:fill="FFFFFF"/>
            <w:vAlign w:val="center"/>
          </w:tcPr>
          <w:p w:rsidR="00453C00" w:rsidRPr="00453C00" w:rsidRDefault="00453C00" w:rsidP="00C53627">
            <w:pPr>
              <w:spacing w:line="220" w:lineRule="exact"/>
              <w:contextualSpacing/>
              <w:rPr>
                <w:color w:val="auto"/>
                <w:sz w:val="18"/>
                <w:szCs w:val="18"/>
              </w:rPr>
            </w:pPr>
          </w:p>
        </w:tc>
        <w:tc>
          <w:tcPr>
            <w:tcW w:w="720" w:type="dxa"/>
            <w:vMerge/>
            <w:tcBorders>
              <w:left w:val="single" w:sz="4" w:space="0" w:color="auto"/>
              <w:right w:val="single" w:sz="4" w:space="0" w:color="auto"/>
            </w:tcBorders>
            <w:shd w:val="clear" w:color="auto" w:fill="FFFFFF"/>
            <w:vAlign w:val="center"/>
          </w:tcPr>
          <w:p w:rsidR="00453C00" w:rsidRPr="00453C00" w:rsidRDefault="00453C00" w:rsidP="00C53627">
            <w:pPr>
              <w:spacing w:line="220" w:lineRule="exact"/>
              <w:contextualSpacing/>
              <w:rPr>
                <w:color w:val="auto"/>
                <w:sz w:val="18"/>
                <w:szCs w:val="18"/>
              </w:rPr>
            </w:pPr>
          </w:p>
        </w:tc>
        <w:tc>
          <w:tcPr>
            <w:tcW w:w="990" w:type="dxa"/>
            <w:vMerge/>
            <w:tcBorders>
              <w:left w:val="single" w:sz="4" w:space="0" w:color="auto"/>
            </w:tcBorders>
            <w:shd w:val="clear" w:color="auto" w:fill="FFFFFF"/>
            <w:vAlign w:val="center"/>
          </w:tcPr>
          <w:p w:rsidR="00453C00" w:rsidRPr="00453C00" w:rsidRDefault="00453C00" w:rsidP="00C53627">
            <w:pPr>
              <w:spacing w:line="220" w:lineRule="exact"/>
              <w:contextualSpacing/>
              <w:rPr>
                <w:color w:val="auto"/>
                <w:sz w:val="18"/>
                <w:szCs w:val="18"/>
              </w:rPr>
            </w:pPr>
          </w:p>
        </w:tc>
      </w:tr>
      <w:tr w:rsidR="00792DBD" w:rsidRPr="00453C00" w:rsidTr="00C53627">
        <w:trPr>
          <w:trHeight w:val="188"/>
        </w:trPr>
        <w:tc>
          <w:tcPr>
            <w:tcW w:w="3780" w:type="dxa"/>
            <w:gridSpan w:val="4"/>
            <w:vMerge w:val="restart"/>
            <w:tcBorders>
              <w:right w:val="thinThickThinSmallGap" w:sz="24" w:space="0" w:color="auto"/>
            </w:tcBorders>
            <w:shd w:val="clear" w:color="auto" w:fill="FFFFFF"/>
            <w:vAlign w:val="center"/>
          </w:tcPr>
          <w:p w:rsidR="00792DBD" w:rsidRPr="0099088F" w:rsidRDefault="00792DBD" w:rsidP="00C53627">
            <w:pPr>
              <w:spacing w:line="220" w:lineRule="exact"/>
              <w:contextualSpacing/>
              <w:rPr>
                <w:color w:val="auto"/>
                <w:sz w:val="18"/>
                <w:szCs w:val="18"/>
              </w:rPr>
            </w:pPr>
            <w:r w:rsidRPr="0099088F">
              <w:rPr>
                <w:color w:val="auto"/>
                <w:sz w:val="20"/>
                <w:szCs w:val="20"/>
              </w:rPr>
              <w:t>No Additional MEB Entries</w:t>
            </w:r>
          </w:p>
        </w:tc>
        <w:tc>
          <w:tcPr>
            <w:tcW w:w="2787" w:type="dxa"/>
            <w:tcBorders>
              <w:left w:val="thinThickThinSmallGap" w:sz="24" w:space="0" w:color="auto"/>
              <w:right w:val="single" w:sz="4" w:space="0" w:color="auto"/>
            </w:tcBorders>
            <w:shd w:val="clear" w:color="auto" w:fill="FFFFFF"/>
            <w:vAlign w:val="center"/>
          </w:tcPr>
          <w:p w:rsidR="00792DBD" w:rsidRPr="0099088F" w:rsidRDefault="00792DBD" w:rsidP="00C53627">
            <w:pPr>
              <w:spacing w:line="220" w:lineRule="exact"/>
              <w:contextualSpacing/>
              <w:jc w:val="left"/>
              <w:rPr>
                <w:color w:val="auto"/>
                <w:sz w:val="18"/>
                <w:szCs w:val="18"/>
              </w:rPr>
            </w:pPr>
            <w:r>
              <w:rPr>
                <w:color w:val="auto"/>
                <w:sz w:val="18"/>
                <w:szCs w:val="18"/>
              </w:rPr>
              <w:t>Neurologic Integrative Disorder***</w:t>
            </w:r>
          </w:p>
        </w:tc>
        <w:tc>
          <w:tcPr>
            <w:tcW w:w="1083" w:type="dxa"/>
            <w:tcBorders>
              <w:left w:val="single" w:sz="4" w:space="0" w:color="auto"/>
              <w:right w:val="single" w:sz="4" w:space="0" w:color="auto"/>
            </w:tcBorders>
            <w:shd w:val="clear" w:color="auto" w:fill="FFFFFF"/>
            <w:vAlign w:val="center"/>
          </w:tcPr>
          <w:p w:rsidR="00792DBD" w:rsidRPr="0099088F" w:rsidRDefault="00792DBD" w:rsidP="00C53627">
            <w:pPr>
              <w:spacing w:line="220" w:lineRule="exact"/>
              <w:contextualSpacing/>
              <w:rPr>
                <w:color w:val="auto"/>
                <w:sz w:val="18"/>
                <w:szCs w:val="18"/>
              </w:rPr>
            </w:pPr>
            <w:r>
              <w:rPr>
                <w:color w:val="auto"/>
                <w:sz w:val="18"/>
                <w:szCs w:val="18"/>
              </w:rPr>
              <w:t>6299-6204</w:t>
            </w:r>
          </w:p>
        </w:tc>
        <w:tc>
          <w:tcPr>
            <w:tcW w:w="720" w:type="dxa"/>
            <w:tcBorders>
              <w:left w:val="single" w:sz="4" w:space="0" w:color="auto"/>
              <w:right w:val="single" w:sz="4" w:space="0" w:color="auto"/>
            </w:tcBorders>
            <w:shd w:val="clear" w:color="auto" w:fill="FFFFFF"/>
            <w:vAlign w:val="center"/>
          </w:tcPr>
          <w:p w:rsidR="00792DBD" w:rsidRPr="0099088F" w:rsidRDefault="00171AA7" w:rsidP="00C53627">
            <w:pPr>
              <w:spacing w:line="220" w:lineRule="exact"/>
              <w:contextualSpacing/>
              <w:rPr>
                <w:color w:val="auto"/>
                <w:sz w:val="18"/>
                <w:szCs w:val="18"/>
              </w:rPr>
            </w:pPr>
            <w:r>
              <w:rPr>
                <w:color w:val="auto"/>
                <w:sz w:val="18"/>
                <w:szCs w:val="18"/>
              </w:rPr>
              <w:t>30%</w:t>
            </w:r>
          </w:p>
        </w:tc>
        <w:tc>
          <w:tcPr>
            <w:tcW w:w="990" w:type="dxa"/>
            <w:tcBorders>
              <w:left w:val="single" w:sz="4" w:space="0" w:color="auto"/>
            </w:tcBorders>
            <w:shd w:val="clear" w:color="auto" w:fill="FFFFFF"/>
            <w:vAlign w:val="center"/>
          </w:tcPr>
          <w:p w:rsidR="00792DBD" w:rsidRPr="0099088F" w:rsidRDefault="00171AA7" w:rsidP="00C53627">
            <w:pPr>
              <w:spacing w:line="220" w:lineRule="exact"/>
              <w:contextualSpacing/>
              <w:rPr>
                <w:color w:val="auto"/>
                <w:sz w:val="18"/>
                <w:szCs w:val="18"/>
              </w:rPr>
            </w:pPr>
            <w:r>
              <w:rPr>
                <w:color w:val="auto"/>
                <w:sz w:val="18"/>
                <w:szCs w:val="18"/>
              </w:rPr>
              <w:t>20010830</w:t>
            </w:r>
          </w:p>
        </w:tc>
      </w:tr>
      <w:tr w:rsidR="00792DBD" w:rsidRPr="00453C00" w:rsidTr="00C53627">
        <w:trPr>
          <w:trHeight w:val="188"/>
        </w:trPr>
        <w:tc>
          <w:tcPr>
            <w:tcW w:w="3780" w:type="dxa"/>
            <w:gridSpan w:val="4"/>
            <w:vMerge/>
            <w:tcBorders>
              <w:right w:val="thinThickThinSmallGap" w:sz="24" w:space="0" w:color="auto"/>
            </w:tcBorders>
            <w:shd w:val="clear" w:color="auto" w:fill="FFFFFF"/>
            <w:vAlign w:val="center"/>
          </w:tcPr>
          <w:p w:rsidR="00792DBD" w:rsidRPr="0099088F" w:rsidRDefault="00792DBD" w:rsidP="00C53627">
            <w:pPr>
              <w:spacing w:line="220" w:lineRule="exact"/>
              <w:contextualSpacing/>
              <w:rPr>
                <w:color w:val="auto"/>
                <w:sz w:val="20"/>
              </w:rPr>
            </w:pPr>
          </w:p>
        </w:tc>
        <w:tc>
          <w:tcPr>
            <w:tcW w:w="2787" w:type="dxa"/>
            <w:tcBorders>
              <w:left w:val="thinThickThinSmallGap" w:sz="24" w:space="0" w:color="auto"/>
              <w:right w:val="single" w:sz="4" w:space="0" w:color="auto"/>
            </w:tcBorders>
            <w:shd w:val="clear" w:color="auto" w:fill="FFFFFF"/>
            <w:vAlign w:val="center"/>
          </w:tcPr>
          <w:p w:rsidR="00792DBD" w:rsidRPr="0099088F" w:rsidRDefault="00C53627" w:rsidP="00C53627">
            <w:pPr>
              <w:spacing w:line="220" w:lineRule="exact"/>
              <w:contextualSpacing/>
              <w:jc w:val="left"/>
              <w:rPr>
                <w:color w:val="auto"/>
                <w:sz w:val="18"/>
                <w:szCs w:val="18"/>
              </w:rPr>
            </w:pPr>
            <w:proofErr w:type="spellStart"/>
            <w:r>
              <w:rPr>
                <w:color w:val="auto"/>
                <w:sz w:val="18"/>
                <w:szCs w:val="18"/>
              </w:rPr>
              <w:t>Sural</w:t>
            </w:r>
            <w:proofErr w:type="spellEnd"/>
            <w:r>
              <w:rPr>
                <w:color w:val="auto"/>
                <w:sz w:val="18"/>
                <w:szCs w:val="18"/>
              </w:rPr>
              <w:t xml:space="preserve"> Neuropathy, L Ankle</w:t>
            </w:r>
          </w:p>
        </w:tc>
        <w:tc>
          <w:tcPr>
            <w:tcW w:w="1083" w:type="dxa"/>
            <w:tcBorders>
              <w:left w:val="single" w:sz="4" w:space="0" w:color="auto"/>
              <w:right w:val="single" w:sz="4" w:space="0" w:color="auto"/>
            </w:tcBorders>
            <w:shd w:val="clear" w:color="auto" w:fill="FFFFFF"/>
            <w:vAlign w:val="center"/>
          </w:tcPr>
          <w:p w:rsidR="00792DBD" w:rsidRPr="0099088F" w:rsidRDefault="00C53627" w:rsidP="00C53627">
            <w:pPr>
              <w:spacing w:line="220" w:lineRule="exact"/>
              <w:contextualSpacing/>
              <w:rPr>
                <w:color w:val="auto"/>
                <w:sz w:val="18"/>
                <w:szCs w:val="18"/>
              </w:rPr>
            </w:pPr>
            <w:r>
              <w:rPr>
                <w:color w:val="auto"/>
                <w:sz w:val="18"/>
                <w:szCs w:val="18"/>
              </w:rPr>
              <w:t>8521</w:t>
            </w:r>
          </w:p>
        </w:tc>
        <w:tc>
          <w:tcPr>
            <w:tcW w:w="720" w:type="dxa"/>
            <w:tcBorders>
              <w:left w:val="single" w:sz="4" w:space="0" w:color="auto"/>
              <w:right w:val="single" w:sz="4" w:space="0" w:color="auto"/>
            </w:tcBorders>
            <w:shd w:val="clear" w:color="auto" w:fill="FFFFFF"/>
            <w:vAlign w:val="center"/>
          </w:tcPr>
          <w:p w:rsidR="00792DBD" w:rsidRPr="0099088F" w:rsidRDefault="00C53627" w:rsidP="00C53627">
            <w:pPr>
              <w:spacing w:line="220" w:lineRule="exact"/>
              <w:contextualSpacing/>
              <w:rPr>
                <w:color w:val="auto"/>
                <w:sz w:val="18"/>
                <w:szCs w:val="18"/>
              </w:rPr>
            </w:pPr>
            <w:r>
              <w:rPr>
                <w:color w:val="auto"/>
                <w:sz w:val="18"/>
                <w:szCs w:val="18"/>
              </w:rPr>
              <w:t>10</w:t>
            </w:r>
            <w:r w:rsidR="00171AA7">
              <w:rPr>
                <w:color w:val="auto"/>
                <w:sz w:val="18"/>
                <w:szCs w:val="18"/>
              </w:rPr>
              <w:t>%</w:t>
            </w:r>
          </w:p>
        </w:tc>
        <w:tc>
          <w:tcPr>
            <w:tcW w:w="990" w:type="dxa"/>
            <w:tcBorders>
              <w:left w:val="single" w:sz="4" w:space="0" w:color="auto"/>
            </w:tcBorders>
            <w:shd w:val="clear" w:color="auto" w:fill="FFFFFF"/>
            <w:vAlign w:val="center"/>
          </w:tcPr>
          <w:p w:rsidR="00792DBD" w:rsidRPr="0099088F" w:rsidRDefault="00171AA7" w:rsidP="00C53627">
            <w:pPr>
              <w:spacing w:line="220" w:lineRule="exact"/>
              <w:contextualSpacing/>
              <w:rPr>
                <w:color w:val="auto"/>
                <w:sz w:val="18"/>
                <w:szCs w:val="18"/>
              </w:rPr>
            </w:pPr>
            <w:r>
              <w:rPr>
                <w:color w:val="auto"/>
                <w:sz w:val="18"/>
                <w:szCs w:val="18"/>
              </w:rPr>
              <w:t>20010906</w:t>
            </w:r>
          </w:p>
        </w:tc>
      </w:tr>
      <w:tr w:rsidR="00792DBD" w:rsidRPr="00453C00" w:rsidTr="00C53627">
        <w:trPr>
          <w:trHeight w:val="188"/>
        </w:trPr>
        <w:tc>
          <w:tcPr>
            <w:tcW w:w="3780" w:type="dxa"/>
            <w:gridSpan w:val="4"/>
            <w:vMerge/>
            <w:tcBorders>
              <w:right w:val="thinThickThinSmallGap" w:sz="24" w:space="0" w:color="auto"/>
            </w:tcBorders>
            <w:shd w:val="clear" w:color="auto" w:fill="FFFFFF"/>
            <w:vAlign w:val="center"/>
          </w:tcPr>
          <w:p w:rsidR="00792DBD" w:rsidRPr="0099088F" w:rsidRDefault="00792DBD" w:rsidP="00C53627">
            <w:pPr>
              <w:spacing w:line="220" w:lineRule="exact"/>
              <w:contextualSpacing/>
              <w:rPr>
                <w:color w:val="auto"/>
                <w:sz w:val="20"/>
              </w:rPr>
            </w:pPr>
          </w:p>
        </w:tc>
        <w:tc>
          <w:tcPr>
            <w:tcW w:w="2787" w:type="dxa"/>
            <w:tcBorders>
              <w:left w:val="thinThickThinSmallGap" w:sz="24" w:space="0" w:color="auto"/>
              <w:right w:val="single" w:sz="4" w:space="0" w:color="auto"/>
            </w:tcBorders>
            <w:shd w:val="clear" w:color="auto" w:fill="FFFFFF"/>
            <w:vAlign w:val="center"/>
          </w:tcPr>
          <w:p w:rsidR="00792DBD" w:rsidRPr="0099088F" w:rsidRDefault="00C53627" w:rsidP="00C53627">
            <w:pPr>
              <w:spacing w:line="220" w:lineRule="exact"/>
              <w:contextualSpacing/>
              <w:jc w:val="left"/>
              <w:rPr>
                <w:color w:val="auto"/>
                <w:sz w:val="18"/>
                <w:szCs w:val="18"/>
              </w:rPr>
            </w:pPr>
            <w:r>
              <w:rPr>
                <w:color w:val="auto"/>
                <w:sz w:val="18"/>
                <w:szCs w:val="18"/>
              </w:rPr>
              <w:t>Broken L Great Toe</w:t>
            </w:r>
          </w:p>
        </w:tc>
        <w:tc>
          <w:tcPr>
            <w:tcW w:w="1083" w:type="dxa"/>
            <w:tcBorders>
              <w:left w:val="single" w:sz="4" w:space="0" w:color="auto"/>
              <w:right w:val="single" w:sz="4" w:space="0" w:color="auto"/>
            </w:tcBorders>
            <w:shd w:val="clear" w:color="auto" w:fill="FFFFFF"/>
            <w:vAlign w:val="center"/>
          </w:tcPr>
          <w:p w:rsidR="00792DBD" w:rsidRPr="0099088F" w:rsidRDefault="00C53627" w:rsidP="00C53627">
            <w:pPr>
              <w:spacing w:line="220" w:lineRule="exact"/>
              <w:contextualSpacing/>
              <w:rPr>
                <w:color w:val="auto"/>
                <w:sz w:val="18"/>
                <w:szCs w:val="18"/>
              </w:rPr>
            </w:pPr>
            <w:r>
              <w:rPr>
                <w:color w:val="auto"/>
                <w:sz w:val="18"/>
                <w:szCs w:val="18"/>
              </w:rPr>
              <w:t>5299-5283</w:t>
            </w:r>
          </w:p>
        </w:tc>
        <w:tc>
          <w:tcPr>
            <w:tcW w:w="720" w:type="dxa"/>
            <w:tcBorders>
              <w:left w:val="single" w:sz="4" w:space="0" w:color="auto"/>
              <w:right w:val="single" w:sz="4" w:space="0" w:color="auto"/>
            </w:tcBorders>
            <w:shd w:val="clear" w:color="auto" w:fill="FFFFFF"/>
            <w:vAlign w:val="center"/>
          </w:tcPr>
          <w:p w:rsidR="00792DBD" w:rsidRPr="0099088F" w:rsidRDefault="00C53627" w:rsidP="00C53627">
            <w:pPr>
              <w:spacing w:line="220" w:lineRule="exact"/>
              <w:contextualSpacing/>
              <w:rPr>
                <w:color w:val="auto"/>
                <w:sz w:val="18"/>
                <w:szCs w:val="18"/>
              </w:rPr>
            </w:pPr>
            <w:r>
              <w:rPr>
                <w:color w:val="auto"/>
                <w:sz w:val="18"/>
                <w:szCs w:val="18"/>
              </w:rPr>
              <w:t>0</w:t>
            </w:r>
            <w:r w:rsidR="00171AA7">
              <w:rPr>
                <w:color w:val="auto"/>
                <w:sz w:val="18"/>
                <w:szCs w:val="18"/>
              </w:rPr>
              <w:t>%</w:t>
            </w:r>
          </w:p>
        </w:tc>
        <w:tc>
          <w:tcPr>
            <w:tcW w:w="990" w:type="dxa"/>
            <w:tcBorders>
              <w:left w:val="single" w:sz="4" w:space="0" w:color="auto"/>
            </w:tcBorders>
            <w:shd w:val="clear" w:color="auto" w:fill="FFFFFF"/>
            <w:vAlign w:val="center"/>
          </w:tcPr>
          <w:p w:rsidR="00792DBD" w:rsidRPr="0099088F" w:rsidRDefault="00171AA7" w:rsidP="00C53627">
            <w:pPr>
              <w:spacing w:line="220" w:lineRule="exact"/>
              <w:contextualSpacing/>
              <w:rPr>
                <w:color w:val="auto"/>
                <w:sz w:val="18"/>
                <w:szCs w:val="18"/>
              </w:rPr>
            </w:pPr>
            <w:r>
              <w:rPr>
                <w:color w:val="auto"/>
                <w:sz w:val="18"/>
                <w:szCs w:val="18"/>
              </w:rPr>
              <w:t>20010906</w:t>
            </w:r>
          </w:p>
        </w:tc>
      </w:tr>
      <w:tr w:rsidR="00792DBD" w:rsidRPr="00453C00" w:rsidTr="00C53627">
        <w:trPr>
          <w:trHeight w:val="188"/>
        </w:trPr>
        <w:tc>
          <w:tcPr>
            <w:tcW w:w="3780" w:type="dxa"/>
            <w:gridSpan w:val="4"/>
            <w:vMerge/>
            <w:tcBorders>
              <w:right w:val="thinThickThinSmallGap" w:sz="24" w:space="0" w:color="auto"/>
            </w:tcBorders>
            <w:shd w:val="clear" w:color="auto" w:fill="FFFFFF"/>
            <w:vAlign w:val="center"/>
          </w:tcPr>
          <w:p w:rsidR="00792DBD" w:rsidRPr="0099088F" w:rsidRDefault="00792DBD" w:rsidP="00C53627">
            <w:pPr>
              <w:spacing w:line="220" w:lineRule="exact"/>
              <w:contextualSpacing/>
              <w:rPr>
                <w:color w:val="auto"/>
                <w:sz w:val="20"/>
              </w:rPr>
            </w:pPr>
          </w:p>
        </w:tc>
        <w:tc>
          <w:tcPr>
            <w:tcW w:w="2787" w:type="dxa"/>
            <w:tcBorders>
              <w:left w:val="thinThickThinSmallGap" w:sz="24" w:space="0" w:color="auto"/>
              <w:right w:val="single" w:sz="4" w:space="0" w:color="auto"/>
            </w:tcBorders>
            <w:shd w:val="clear" w:color="auto" w:fill="FFFFFF"/>
            <w:vAlign w:val="center"/>
          </w:tcPr>
          <w:p w:rsidR="00792DBD" w:rsidRPr="0099088F" w:rsidRDefault="00C53627" w:rsidP="00C53627">
            <w:pPr>
              <w:spacing w:line="220" w:lineRule="exact"/>
              <w:contextualSpacing/>
              <w:jc w:val="left"/>
              <w:rPr>
                <w:color w:val="auto"/>
                <w:sz w:val="18"/>
                <w:szCs w:val="18"/>
              </w:rPr>
            </w:pPr>
            <w:r>
              <w:rPr>
                <w:color w:val="auto"/>
                <w:sz w:val="18"/>
                <w:szCs w:val="18"/>
              </w:rPr>
              <w:t>Bronchitis</w:t>
            </w:r>
          </w:p>
        </w:tc>
        <w:tc>
          <w:tcPr>
            <w:tcW w:w="1083" w:type="dxa"/>
            <w:tcBorders>
              <w:left w:val="single" w:sz="4" w:space="0" w:color="auto"/>
              <w:right w:val="single" w:sz="4" w:space="0" w:color="auto"/>
            </w:tcBorders>
            <w:shd w:val="clear" w:color="auto" w:fill="FFFFFF"/>
            <w:vAlign w:val="center"/>
          </w:tcPr>
          <w:p w:rsidR="00792DBD" w:rsidRPr="0099088F" w:rsidRDefault="00C53627" w:rsidP="00C53627">
            <w:pPr>
              <w:spacing w:line="220" w:lineRule="exact"/>
              <w:contextualSpacing/>
              <w:rPr>
                <w:color w:val="auto"/>
                <w:sz w:val="18"/>
                <w:szCs w:val="18"/>
              </w:rPr>
            </w:pPr>
            <w:r>
              <w:rPr>
                <w:color w:val="auto"/>
                <w:sz w:val="18"/>
                <w:szCs w:val="18"/>
              </w:rPr>
              <w:t>6600</w:t>
            </w:r>
          </w:p>
        </w:tc>
        <w:tc>
          <w:tcPr>
            <w:tcW w:w="720" w:type="dxa"/>
            <w:tcBorders>
              <w:left w:val="single" w:sz="4" w:space="0" w:color="auto"/>
              <w:right w:val="single" w:sz="4" w:space="0" w:color="auto"/>
            </w:tcBorders>
            <w:shd w:val="clear" w:color="auto" w:fill="FFFFFF"/>
            <w:vAlign w:val="center"/>
          </w:tcPr>
          <w:p w:rsidR="00792DBD" w:rsidRPr="0099088F" w:rsidRDefault="00C53627" w:rsidP="00C53627">
            <w:pPr>
              <w:spacing w:line="220" w:lineRule="exact"/>
              <w:contextualSpacing/>
              <w:rPr>
                <w:color w:val="auto"/>
                <w:sz w:val="18"/>
                <w:szCs w:val="18"/>
              </w:rPr>
            </w:pPr>
            <w:r>
              <w:rPr>
                <w:color w:val="auto"/>
                <w:sz w:val="18"/>
                <w:szCs w:val="18"/>
              </w:rPr>
              <w:t>0</w:t>
            </w:r>
            <w:r w:rsidR="00171AA7">
              <w:rPr>
                <w:color w:val="auto"/>
                <w:sz w:val="18"/>
                <w:szCs w:val="18"/>
              </w:rPr>
              <w:t>%</w:t>
            </w:r>
          </w:p>
        </w:tc>
        <w:tc>
          <w:tcPr>
            <w:tcW w:w="990" w:type="dxa"/>
            <w:tcBorders>
              <w:left w:val="single" w:sz="4" w:space="0" w:color="auto"/>
            </w:tcBorders>
            <w:shd w:val="clear" w:color="auto" w:fill="FFFFFF"/>
            <w:vAlign w:val="center"/>
          </w:tcPr>
          <w:p w:rsidR="00792DBD" w:rsidRPr="0099088F" w:rsidRDefault="00171AA7" w:rsidP="00C53627">
            <w:pPr>
              <w:spacing w:line="220" w:lineRule="exact"/>
              <w:contextualSpacing/>
              <w:rPr>
                <w:color w:val="auto"/>
                <w:sz w:val="18"/>
                <w:szCs w:val="18"/>
              </w:rPr>
            </w:pPr>
            <w:r>
              <w:rPr>
                <w:color w:val="auto"/>
                <w:sz w:val="18"/>
                <w:szCs w:val="18"/>
              </w:rPr>
              <w:t>20010906</w:t>
            </w:r>
          </w:p>
        </w:tc>
      </w:tr>
      <w:tr w:rsidR="00792DBD" w:rsidRPr="00453C00" w:rsidTr="00C53627">
        <w:trPr>
          <w:trHeight w:val="188"/>
        </w:trPr>
        <w:tc>
          <w:tcPr>
            <w:tcW w:w="3780" w:type="dxa"/>
            <w:gridSpan w:val="4"/>
            <w:vMerge/>
            <w:tcBorders>
              <w:right w:val="thinThickThinSmallGap" w:sz="24" w:space="0" w:color="auto"/>
            </w:tcBorders>
            <w:shd w:val="clear" w:color="auto" w:fill="FFFFFF"/>
            <w:vAlign w:val="center"/>
          </w:tcPr>
          <w:p w:rsidR="00792DBD" w:rsidRPr="0099088F" w:rsidRDefault="00792DBD" w:rsidP="00C53627">
            <w:pPr>
              <w:spacing w:line="220" w:lineRule="exact"/>
              <w:contextualSpacing/>
              <w:rPr>
                <w:color w:val="auto"/>
                <w:sz w:val="20"/>
              </w:rPr>
            </w:pPr>
          </w:p>
        </w:tc>
        <w:tc>
          <w:tcPr>
            <w:tcW w:w="2787" w:type="dxa"/>
            <w:tcBorders>
              <w:left w:val="thinThickThinSmallGap" w:sz="24" w:space="0" w:color="auto"/>
              <w:right w:val="single" w:sz="4" w:space="0" w:color="auto"/>
            </w:tcBorders>
            <w:shd w:val="clear" w:color="auto" w:fill="FFFFFF"/>
            <w:vAlign w:val="center"/>
          </w:tcPr>
          <w:p w:rsidR="00792DBD" w:rsidRPr="0099088F" w:rsidRDefault="00C53627" w:rsidP="00C53627">
            <w:pPr>
              <w:spacing w:line="220" w:lineRule="exact"/>
              <w:contextualSpacing/>
              <w:jc w:val="left"/>
              <w:rPr>
                <w:color w:val="auto"/>
                <w:sz w:val="18"/>
                <w:szCs w:val="18"/>
              </w:rPr>
            </w:pPr>
            <w:r>
              <w:rPr>
                <w:color w:val="auto"/>
                <w:sz w:val="18"/>
                <w:szCs w:val="18"/>
              </w:rPr>
              <w:t>L Wrist Condition</w:t>
            </w:r>
          </w:p>
        </w:tc>
        <w:tc>
          <w:tcPr>
            <w:tcW w:w="1083" w:type="dxa"/>
            <w:tcBorders>
              <w:left w:val="single" w:sz="4" w:space="0" w:color="auto"/>
              <w:right w:val="single" w:sz="4" w:space="0" w:color="auto"/>
            </w:tcBorders>
            <w:shd w:val="clear" w:color="auto" w:fill="FFFFFF"/>
            <w:vAlign w:val="center"/>
          </w:tcPr>
          <w:p w:rsidR="00792DBD" w:rsidRPr="0099088F" w:rsidRDefault="00C53627" w:rsidP="00C53627">
            <w:pPr>
              <w:spacing w:line="220" w:lineRule="exact"/>
              <w:contextualSpacing/>
              <w:rPr>
                <w:color w:val="auto"/>
                <w:sz w:val="18"/>
                <w:szCs w:val="18"/>
              </w:rPr>
            </w:pPr>
            <w:r>
              <w:rPr>
                <w:color w:val="auto"/>
                <w:sz w:val="18"/>
                <w:szCs w:val="18"/>
              </w:rPr>
              <w:t>5215</w:t>
            </w:r>
          </w:p>
        </w:tc>
        <w:tc>
          <w:tcPr>
            <w:tcW w:w="720" w:type="dxa"/>
            <w:tcBorders>
              <w:left w:val="single" w:sz="4" w:space="0" w:color="auto"/>
              <w:right w:val="single" w:sz="4" w:space="0" w:color="auto"/>
            </w:tcBorders>
            <w:shd w:val="clear" w:color="auto" w:fill="FFFFFF"/>
            <w:vAlign w:val="center"/>
          </w:tcPr>
          <w:p w:rsidR="00792DBD" w:rsidRPr="0099088F" w:rsidRDefault="00C53627" w:rsidP="00C53627">
            <w:pPr>
              <w:spacing w:line="220" w:lineRule="exact"/>
              <w:contextualSpacing/>
              <w:rPr>
                <w:color w:val="auto"/>
                <w:sz w:val="18"/>
                <w:szCs w:val="18"/>
              </w:rPr>
            </w:pPr>
            <w:r>
              <w:rPr>
                <w:color w:val="auto"/>
                <w:sz w:val="18"/>
                <w:szCs w:val="18"/>
              </w:rPr>
              <w:t>0</w:t>
            </w:r>
            <w:r w:rsidR="00171AA7">
              <w:rPr>
                <w:color w:val="auto"/>
                <w:sz w:val="18"/>
                <w:szCs w:val="18"/>
              </w:rPr>
              <w:t>%</w:t>
            </w:r>
          </w:p>
        </w:tc>
        <w:tc>
          <w:tcPr>
            <w:tcW w:w="990" w:type="dxa"/>
            <w:tcBorders>
              <w:left w:val="single" w:sz="4" w:space="0" w:color="auto"/>
            </w:tcBorders>
            <w:shd w:val="clear" w:color="auto" w:fill="FFFFFF"/>
            <w:vAlign w:val="center"/>
          </w:tcPr>
          <w:p w:rsidR="00792DBD" w:rsidRPr="0099088F" w:rsidRDefault="00171AA7" w:rsidP="00C53627">
            <w:pPr>
              <w:spacing w:line="220" w:lineRule="exact"/>
              <w:contextualSpacing/>
              <w:rPr>
                <w:color w:val="auto"/>
                <w:sz w:val="18"/>
                <w:szCs w:val="18"/>
              </w:rPr>
            </w:pPr>
            <w:r>
              <w:rPr>
                <w:color w:val="auto"/>
                <w:sz w:val="18"/>
                <w:szCs w:val="18"/>
              </w:rPr>
              <w:t>20010906</w:t>
            </w:r>
          </w:p>
        </w:tc>
      </w:tr>
      <w:tr w:rsidR="0099088F" w:rsidRPr="0099088F" w:rsidTr="00C53627">
        <w:trPr>
          <w:trHeight w:val="188"/>
        </w:trPr>
        <w:tc>
          <w:tcPr>
            <w:tcW w:w="3780" w:type="dxa"/>
            <w:gridSpan w:val="4"/>
            <w:vMerge/>
            <w:tcBorders>
              <w:bottom w:val="single" w:sz="4" w:space="0" w:color="000000"/>
              <w:right w:val="thinThickThinSmallGap" w:sz="24" w:space="0" w:color="auto"/>
            </w:tcBorders>
            <w:shd w:val="clear" w:color="auto" w:fill="FFFFFF"/>
            <w:vAlign w:val="center"/>
          </w:tcPr>
          <w:p w:rsidR="0099088F" w:rsidRPr="0099088F" w:rsidRDefault="0099088F" w:rsidP="00C53627">
            <w:pPr>
              <w:spacing w:line="220" w:lineRule="exact"/>
              <w:contextualSpacing/>
              <w:rPr>
                <w:color w:val="auto"/>
                <w:sz w:val="18"/>
                <w:szCs w:val="18"/>
              </w:rPr>
            </w:pPr>
          </w:p>
        </w:tc>
        <w:tc>
          <w:tcPr>
            <w:tcW w:w="4590" w:type="dxa"/>
            <w:gridSpan w:val="3"/>
            <w:tcBorders>
              <w:left w:val="thinThickThinSmallGap" w:sz="24" w:space="0" w:color="auto"/>
              <w:bottom w:val="single" w:sz="4" w:space="0" w:color="000000"/>
            </w:tcBorders>
            <w:shd w:val="clear" w:color="auto" w:fill="FFFFFF"/>
            <w:vAlign w:val="center"/>
          </w:tcPr>
          <w:p w:rsidR="0099088F" w:rsidRPr="0099088F" w:rsidRDefault="00B56603" w:rsidP="00C53627">
            <w:pPr>
              <w:spacing w:line="220" w:lineRule="exact"/>
              <w:contextualSpacing/>
              <w:rPr>
                <w:color w:val="auto"/>
                <w:sz w:val="18"/>
                <w:szCs w:val="18"/>
              </w:rPr>
            </w:pPr>
            <w:r>
              <w:rPr>
                <w:color w:val="auto"/>
                <w:sz w:val="18"/>
                <w:szCs w:val="18"/>
              </w:rPr>
              <w:t>Not Service-</w:t>
            </w:r>
            <w:r w:rsidR="0099088F" w:rsidRPr="0099088F">
              <w:rPr>
                <w:color w:val="auto"/>
                <w:sz w:val="18"/>
                <w:szCs w:val="18"/>
              </w:rPr>
              <w:t xml:space="preserve">Connected X </w:t>
            </w:r>
            <w:r w:rsidR="00171AA7">
              <w:rPr>
                <w:color w:val="auto"/>
                <w:sz w:val="18"/>
                <w:szCs w:val="18"/>
              </w:rPr>
              <w:t>3</w:t>
            </w:r>
          </w:p>
        </w:tc>
        <w:tc>
          <w:tcPr>
            <w:tcW w:w="990" w:type="dxa"/>
            <w:tcBorders>
              <w:bottom w:val="single" w:sz="4" w:space="0" w:color="000000"/>
            </w:tcBorders>
            <w:shd w:val="clear" w:color="auto" w:fill="FFFFFF"/>
            <w:vAlign w:val="center"/>
          </w:tcPr>
          <w:p w:rsidR="0099088F" w:rsidRPr="0099088F" w:rsidRDefault="00171AA7" w:rsidP="00C53627">
            <w:pPr>
              <w:spacing w:line="220" w:lineRule="exact"/>
              <w:contextualSpacing/>
              <w:rPr>
                <w:color w:val="auto"/>
                <w:sz w:val="18"/>
                <w:szCs w:val="18"/>
              </w:rPr>
            </w:pPr>
            <w:r>
              <w:rPr>
                <w:color w:val="auto"/>
                <w:sz w:val="18"/>
                <w:szCs w:val="18"/>
              </w:rPr>
              <w:t>20010906</w:t>
            </w:r>
          </w:p>
        </w:tc>
      </w:tr>
      <w:tr w:rsidR="0099088F" w:rsidRPr="0099088F" w:rsidTr="00C53627">
        <w:trPr>
          <w:trHeight w:val="242"/>
        </w:trPr>
        <w:tc>
          <w:tcPr>
            <w:tcW w:w="3780" w:type="dxa"/>
            <w:gridSpan w:val="4"/>
            <w:tcBorders>
              <w:right w:val="thinThickThinSmallGap" w:sz="24" w:space="0" w:color="auto"/>
            </w:tcBorders>
            <w:shd w:val="clear" w:color="auto" w:fill="D9D9D9"/>
          </w:tcPr>
          <w:p w:rsidR="0099088F" w:rsidRPr="0099088F" w:rsidRDefault="0099088F" w:rsidP="00C53627">
            <w:pPr>
              <w:contextualSpacing/>
              <w:rPr>
                <w:b/>
                <w:color w:val="auto"/>
                <w:sz w:val="20"/>
                <w:szCs w:val="20"/>
              </w:rPr>
            </w:pPr>
            <w:r w:rsidRPr="0099088F">
              <w:rPr>
                <w:b/>
                <w:color w:val="auto"/>
                <w:sz w:val="20"/>
                <w:szCs w:val="20"/>
              </w:rPr>
              <w:t xml:space="preserve">Combined:  </w:t>
            </w:r>
            <w:r w:rsidR="00171AA7">
              <w:rPr>
                <w:b/>
                <w:color w:val="auto"/>
                <w:sz w:val="20"/>
                <w:szCs w:val="20"/>
              </w:rPr>
              <w:t>1</w:t>
            </w:r>
            <w:r w:rsidRPr="0099088F">
              <w:rPr>
                <w:b/>
                <w:color w:val="auto"/>
                <w:sz w:val="20"/>
                <w:szCs w:val="20"/>
              </w:rPr>
              <w:t>0%</w:t>
            </w:r>
          </w:p>
        </w:tc>
        <w:tc>
          <w:tcPr>
            <w:tcW w:w="5580" w:type="dxa"/>
            <w:gridSpan w:val="4"/>
            <w:tcBorders>
              <w:left w:val="thinThickThinSmallGap" w:sz="24" w:space="0" w:color="auto"/>
            </w:tcBorders>
            <w:shd w:val="clear" w:color="auto" w:fill="D9D9D9"/>
          </w:tcPr>
          <w:p w:rsidR="0099088F" w:rsidRPr="0099088F" w:rsidRDefault="00171AA7" w:rsidP="00C53627">
            <w:pPr>
              <w:contextualSpacing/>
              <w:rPr>
                <w:b/>
                <w:color w:val="auto"/>
                <w:sz w:val="20"/>
                <w:szCs w:val="20"/>
              </w:rPr>
            </w:pPr>
            <w:r>
              <w:rPr>
                <w:b/>
                <w:color w:val="auto"/>
                <w:sz w:val="20"/>
                <w:szCs w:val="20"/>
              </w:rPr>
              <w:t>Combined: 7</w:t>
            </w:r>
            <w:r w:rsidR="0099088F" w:rsidRPr="0099088F">
              <w:rPr>
                <w:b/>
                <w:color w:val="auto"/>
                <w:sz w:val="20"/>
                <w:szCs w:val="20"/>
              </w:rPr>
              <w:t>0%</w:t>
            </w:r>
          </w:p>
        </w:tc>
      </w:tr>
    </w:tbl>
    <w:p w:rsidR="0099088F" w:rsidRDefault="0099088F" w:rsidP="00792DBD">
      <w:pPr>
        <w:spacing w:line="200" w:lineRule="exact"/>
        <w:jc w:val="both"/>
        <w:rPr>
          <w:rFonts w:eastAsia="Calibri" w:cs="Times New Roman"/>
          <w:b/>
          <w:color w:val="000000"/>
          <w:sz w:val="18"/>
          <w:szCs w:val="18"/>
        </w:rPr>
      </w:pPr>
      <w:r w:rsidRPr="0099088F">
        <w:rPr>
          <w:rFonts w:eastAsia="Calibri" w:cs="Times New Roman"/>
          <w:color w:val="000000"/>
          <w:sz w:val="18"/>
          <w:szCs w:val="18"/>
        </w:rPr>
        <w:t>*</w:t>
      </w:r>
      <w:r w:rsidR="00792DBD">
        <w:rPr>
          <w:rFonts w:eastAsia="Calibri" w:cs="Times New Roman"/>
          <w:color w:val="000000"/>
          <w:sz w:val="18"/>
          <w:szCs w:val="18"/>
        </w:rPr>
        <w:t xml:space="preserve">     </w:t>
      </w:r>
      <w:r w:rsidRPr="0099088F">
        <w:rPr>
          <w:rFonts w:eastAsia="Calibri" w:cs="Times New Roman"/>
          <w:color w:val="000000"/>
          <w:sz w:val="18"/>
          <w:szCs w:val="18"/>
        </w:rPr>
        <w:t>Represents VA rating proximate to TDRL placement; no VA rating proximate to permanent separation</w:t>
      </w:r>
      <w:r w:rsidRPr="0099088F">
        <w:rPr>
          <w:rFonts w:eastAsia="Calibri" w:cs="Times New Roman"/>
          <w:b/>
          <w:color w:val="000000"/>
          <w:sz w:val="18"/>
          <w:szCs w:val="18"/>
        </w:rPr>
        <w:t>.</w:t>
      </w:r>
    </w:p>
    <w:p w:rsidR="00792DBD" w:rsidRDefault="00792DBD" w:rsidP="00792DBD">
      <w:pPr>
        <w:spacing w:line="200" w:lineRule="exact"/>
        <w:jc w:val="both"/>
        <w:rPr>
          <w:rFonts w:eastAsia="Calibri" w:cs="Times New Roman"/>
          <w:color w:val="000000"/>
          <w:sz w:val="18"/>
          <w:szCs w:val="18"/>
        </w:rPr>
      </w:pPr>
      <w:r w:rsidRPr="00792DBD">
        <w:rPr>
          <w:rFonts w:eastAsia="Calibri" w:cs="Times New Roman"/>
          <w:color w:val="000000"/>
          <w:sz w:val="18"/>
          <w:szCs w:val="18"/>
        </w:rPr>
        <w:t xml:space="preserve">** </w:t>
      </w:r>
      <w:r>
        <w:rPr>
          <w:rFonts w:eastAsia="Calibri" w:cs="Times New Roman"/>
          <w:color w:val="000000"/>
          <w:sz w:val="18"/>
          <w:szCs w:val="18"/>
        </w:rPr>
        <w:t xml:space="preserve">  </w:t>
      </w:r>
      <w:r w:rsidRPr="00792DBD">
        <w:rPr>
          <w:rFonts w:eastAsia="Calibri" w:cs="Times New Roman"/>
          <w:color w:val="000000"/>
          <w:sz w:val="18"/>
          <w:szCs w:val="18"/>
        </w:rPr>
        <w:t>MEB</w:t>
      </w:r>
      <w:r w:rsidR="00171AA7">
        <w:rPr>
          <w:rFonts w:eastAsia="Calibri" w:cs="Times New Roman"/>
          <w:color w:val="000000"/>
          <w:sz w:val="18"/>
          <w:szCs w:val="18"/>
        </w:rPr>
        <w:t xml:space="preserve"> forwarded as EPTS</w:t>
      </w:r>
      <w:r w:rsidR="00B56603">
        <w:rPr>
          <w:rFonts w:eastAsia="Calibri" w:cs="Times New Roman"/>
          <w:color w:val="000000"/>
          <w:sz w:val="18"/>
          <w:szCs w:val="18"/>
        </w:rPr>
        <w:t xml:space="preserve"> with s</w:t>
      </w:r>
      <w:r w:rsidR="008B496D">
        <w:rPr>
          <w:rFonts w:eastAsia="Calibri" w:cs="Times New Roman"/>
          <w:color w:val="000000"/>
          <w:sz w:val="18"/>
          <w:szCs w:val="18"/>
        </w:rPr>
        <w:t>ervice aggravation</w:t>
      </w:r>
      <w:r w:rsidR="00171AA7">
        <w:rPr>
          <w:rFonts w:eastAsia="Calibri" w:cs="Times New Roman"/>
          <w:color w:val="000000"/>
          <w:sz w:val="18"/>
          <w:szCs w:val="18"/>
        </w:rPr>
        <w:t>;</w:t>
      </w:r>
      <w:r>
        <w:rPr>
          <w:rFonts w:eastAsia="Calibri" w:cs="Times New Roman"/>
          <w:color w:val="000000"/>
          <w:sz w:val="18"/>
          <w:szCs w:val="18"/>
        </w:rPr>
        <w:t xml:space="preserve"> PEB adjudicated as a non-</w:t>
      </w:r>
      <w:r w:rsidR="005866C7">
        <w:rPr>
          <w:rFonts w:eastAsia="Calibri" w:cs="Times New Roman"/>
          <w:color w:val="000000"/>
          <w:sz w:val="18"/>
          <w:szCs w:val="18"/>
        </w:rPr>
        <w:t>ratable</w:t>
      </w:r>
      <w:r>
        <w:rPr>
          <w:rFonts w:eastAsia="Calibri" w:cs="Times New Roman"/>
          <w:color w:val="000000"/>
          <w:sz w:val="18"/>
          <w:szCs w:val="18"/>
        </w:rPr>
        <w:t xml:space="preserve"> condition IAW DoDI 1332.38.</w:t>
      </w:r>
    </w:p>
    <w:p w:rsidR="00792DBD" w:rsidRPr="0099088F" w:rsidRDefault="00792DBD" w:rsidP="00792DBD">
      <w:pPr>
        <w:spacing w:line="200" w:lineRule="exact"/>
        <w:jc w:val="both"/>
        <w:rPr>
          <w:rFonts w:eastAsia="Calibri" w:cs="Times New Roman"/>
          <w:color w:val="000000"/>
          <w:sz w:val="18"/>
          <w:szCs w:val="18"/>
        </w:rPr>
      </w:pPr>
      <w:r>
        <w:rPr>
          <w:rFonts w:eastAsia="Calibri" w:cs="Times New Roman"/>
          <w:color w:val="000000"/>
          <w:sz w:val="18"/>
          <w:szCs w:val="18"/>
        </w:rPr>
        <w:t>*** Derived from dyscoordination/</w:t>
      </w:r>
      <w:r w:rsidR="00171AA7">
        <w:rPr>
          <w:rFonts w:eastAsia="Calibri" w:cs="Times New Roman"/>
          <w:color w:val="000000"/>
          <w:sz w:val="18"/>
          <w:szCs w:val="18"/>
        </w:rPr>
        <w:t>dy</w:t>
      </w:r>
      <w:r>
        <w:rPr>
          <w:rFonts w:eastAsia="Calibri" w:cs="Times New Roman"/>
          <w:color w:val="000000"/>
          <w:sz w:val="18"/>
          <w:szCs w:val="18"/>
        </w:rPr>
        <w:t>sequilibrium</w:t>
      </w:r>
      <w:r w:rsidR="00171AA7">
        <w:rPr>
          <w:rFonts w:eastAsia="Calibri" w:cs="Times New Roman"/>
          <w:color w:val="000000"/>
          <w:sz w:val="18"/>
          <w:szCs w:val="18"/>
        </w:rPr>
        <w:t xml:space="preserve"> symptoms not addressed by MEB.</w:t>
      </w:r>
      <w:r>
        <w:rPr>
          <w:rFonts w:eastAsia="Calibri" w:cs="Times New Roman"/>
          <w:color w:val="000000"/>
          <w:sz w:val="18"/>
          <w:szCs w:val="18"/>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AE638B">
        <w:rPr>
          <w:color w:val="000000"/>
        </w:rPr>
        <w:t xml:space="preserve"> The Board must note that there is a significant interval (&gt; 3 years) between the submitted </w:t>
      </w:r>
      <w:r w:rsidR="00B56603">
        <w:rPr>
          <w:color w:val="000000"/>
        </w:rPr>
        <w:t xml:space="preserve">Department of Veterans’ Affairs (DVA) </w:t>
      </w:r>
      <w:r w:rsidR="00AE638B">
        <w:rPr>
          <w:color w:val="000000"/>
        </w:rPr>
        <w:t>evidence and ratings which were</w:t>
      </w:r>
      <w:r w:rsidR="00317C96">
        <w:rPr>
          <w:color w:val="000000"/>
        </w:rPr>
        <w:t xml:space="preserve"> proximal</w:t>
      </w:r>
      <w:r w:rsidR="00AE638B">
        <w:rPr>
          <w:color w:val="000000"/>
        </w:rPr>
        <w:t xml:space="preserve"> to the onset of TDRL, and the date of permanent separation which is the interval to which the Board must apply its recommendations.  DoDI 6040.44 </w:t>
      </w:r>
      <w:r w:rsidR="00B56603">
        <w:rPr>
          <w:color w:val="000000"/>
        </w:rPr>
        <w:t>specifies a 12-</w:t>
      </w:r>
      <w:r w:rsidR="00AE638B" w:rsidRPr="00AE638B">
        <w:rPr>
          <w:color w:val="000000"/>
        </w:rPr>
        <w:t>month interval for speci</w:t>
      </w:r>
      <w:r w:rsidR="00AE638B">
        <w:rPr>
          <w:color w:val="000000"/>
        </w:rPr>
        <w:t xml:space="preserve">al consideration to </w:t>
      </w:r>
      <w:r w:rsidR="00B56603">
        <w:rPr>
          <w:color w:val="000000"/>
        </w:rPr>
        <w:t>D</w:t>
      </w:r>
      <w:r w:rsidR="00AE638B">
        <w:rPr>
          <w:color w:val="000000"/>
        </w:rPr>
        <w:t xml:space="preserve">VA findings, and thus little probative value can be assigned to the clinical evidence rated by the </w:t>
      </w:r>
      <w:r w:rsidR="00B56603">
        <w:rPr>
          <w:color w:val="000000"/>
        </w:rPr>
        <w:t>D</w:t>
      </w:r>
      <w:r w:rsidR="00AE638B">
        <w:rPr>
          <w:color w:val="000000"/>
        </w:rPr>
        <w:t>VA.</w:t>
      </w:r>
      <w:r w:rsidR="00317C96">
        <w:rPr>
          <w:color w:val="000000"/>
        </w:rPr>
        <w:t xml:space="preserve">  Since there was no </w:t>
      </w:r>
      <w:r w:rsidR="00B56603">
        <w:rPr>
          <w:color w:val="000000"/>
        </w:rPr>
        <w:t>s</w:t>
      </w:r>
      <w:r w:rsidR="00317C96">
        <w:rPr>
          <w:color w:val="000000"/>
        </w:rPr>
        <w:t xml:space="preserve">ervice or </w:t>
      </w:r>
      <w:r w:rsidR="00B56603">
        <w:rPr>
          <w:color w:val="000000"/>
        </w:rPr>
        <w:t>D</w:t>
      </w:r>
      <w:r w:rsidR="00317C96">
        <w:rPr>
          <w:color w:val="000000"/>
        </w:rPr>
        <w:t xml:space="preserve">VA outpatient evidence reasonably proximal to the date of permanent separation, the Board must rely heavily on the TDRL revaluation of </w:t>
      </w:r>
      <w:r w:rsidR="00B56603">
        <w:rPr>
          <w:color w:val="000000"/>
        </w:rPr>
        <w:t xml:space="preserve">30 September </w:t>
      </w:r>
      <w:r w:rsidR="00317C96">
        <w:rPr>
          <w:color w:val="000000"/>
        </w:rPr>
        <w:t xml:space="preserve">2004 (5 months prior to permanent separation) to assess the severity of symptoms relevant to its rating recommendation. </w:t>
      </w:r>
    </w:p>
    <w:p w:rsidR="00AD2379" w:rsidRPr="001F29F9" w:rsidRDefault="00AD2379" w:rsidP="00B22D42">
      <w:pPr>
        <w:jc w:val="both"/>
        <w:rPr>
          <w:color w:val="000000"/>
          <w:highlight w:val="yellow"/>
        </w:rPr>
      </w:pPr>
    </w:p>
    <w:p w:rsidR="00FB091C" w:rsidRDefault="00FB091C" w:rsidP="00FB091C">
      <w:pPr>
        <w:jc w:val="both"/>
        <w:rPr>
          <w:color w:val="000000"/>
        </w:rPr>
      </w:pPr>
      <w:proofErr w:type="gramStart"/>
      <w:r>
        <w:rPr>
          <w:color w:val="000000"/>
          <w:u w:val="single"/>
        </w:rPr>
        <w:t>ADHD</w:t>
      </w:r>
      <w:r>
        <w:rPr>
          <w:color w:val="000000"/>
        </w:rPr>
        <w:t>.</w:t>
      </w:r>
      <w:proofErr w:type="gramEnd"/>
      <w:r>
        <w:rPr>
          <w:color w:val="000000"/>
        </w:rPr>
        <w:t xml:space="preserve">  This was the first diagnosis listed on </w:t>
      </w:r>
      <w:r w:rsidR="00B56603">
        <w:rPr>
          <w:color w:val="000000"/>
        </w:rPr>
        <w:t>a</w:t>
      </w:r>
      <w:r>
        <w:rPr>
          <w:color w:val="000000"/>
        </w:rPr>
        <w:t>xis I by the MEB psychiatrist prior to TDRL placement.  Attendant symptoms as noted in this examiner’s narrative summary (NARSUM) were “</w:t>
      </w:r>
      <w:r w:rsidRPr="00FB091C">
        <w:rPr>
          <w:color w:val="000000"/>
        </w:rPr>
        <w:t>inattention, distractibility, difficulty completing tasks, hyperactivity and impulsivity</w:t>
      </w:r>
      <w:r w:rsidR="00B56603">
        <w:rPr>
          <w:color w:val="000000"/>
        </w:rPr>
        <w:t>.</w:t>
      </w:r>
      <w:r>
        <w:rPr>
          <w:color w:val="000000"/>
        </w:rPr>
        <w:t xml:space="preserve">” </w:t>
      </w:r>
      <w:r w:rsidR="00B56603">
        <w:rPr>
          <w:color w:val="000000"/>
        </w:rPr>
        <w:t xml:space="preserve"> The </w:t>
      </w:r>
      <w:r>
        <w:rPr>
          <w:color w:val="000000"/>
        </w:rPr>
        <w:t xml:space="preserve">onset of these symptoms was concurrent with those of the anxiety disorder.   </w:t>
      </w:r>
      <w:r w:rsidR="005866C7">
        <w:rPr>
          <w:color w:val="000000"/>
        </w:rPr>
        <w:t>There was no preceding formal diagnosis of ADHD, although the NARSUM stated, “</w:t>
      </w:r>
      <w:r w:rsidR="00B56603">
        <w:rPr>
          <w:color w:val="000000"/>
        </w:rPr>
        <w:t>s</w:t>
      </w:r>
      <w:r w:rsidR="005866C7" w:rsidRPr="005866C7">
        <w:rPr>
          <w:color w:val="000000"/>
        </w:rPr>
        <w:t>oldier reported history of inattention since childhood.  His grades were poor to mediocre at best.</w:t>
      </w:r>
      <w:r w:rsidR="005866C7">
        <w:rPr>
          <w:color w:val="000000"/>
        </w:rPr>
        <w:t xml:space="preserve">” </w:t>
      </w:r>
      <w:r w:rsidR="00994D47">
        <w:rPr>
          <w:color w:val="000000"/>
        </w:rPr>
        <w:t xml:space="preserve"> The ADHD diagnosis was confirmed, and delineated from the psychiatric illness, by neuropsychological testing.</w:t>
      </w:r>
      <w:r w:rsidR="005866C7">
        <w:rPr>
          <w:color w:val="000000"/>
        </w:rPr>
        <w:t xml:space="preserve"> </w:t>
      </w:r>
      <w:r w:rsidR="00796B0A">
        <w:rPr>
          <w:color w:val="000000"/>
        </w:rPr>
        <w:t xml:space="preserve"> </w:t>
      </w:r>
      <w:r w:rsidR="005866C7">
        <w:rPr>
          <w:color w:val="000000"/>
        </w:rPr>
        <w:t xml:space="preserve">As noted it was opined that the condition was EPTS, but with </w:t>
      </w:r>
      <w:r w:rsidR="00B56603">
        <w:rPr>
          <w:color w:val="000000"/>
        </w:rPr>
        <w:t>s</w:t>
      </w:r>
      <w:r w:rsidR="00963259">
        <w:rPr>
          <w:color w:val="000000"/>
        </w:rPr>
        <w:t>ervice aggravation</w:t>
      </w:r>
      <w:r w:rsidR="00FF2E27">
        <w:rPr>
          <w:color w:val="000000"/>
        </w:rPr>
        <w:t xml:space="preserve"> (moot given &gt; 8 years of active duty </w:t>
      </w:r>
      <w:r w:rsidR="00B82FA8">
        <w:rPr>
          <w:color w:val="000000"/>
        </w:rPr>
        <w:t>via</w:t>
      </w:r>
      <w:r w:rsidR="00FF2E27">
        <w:rPr>
          <w:color w:val="000000"/>
        </w:rPr>
        <w:t xml:space="preserve"> Title 10)</w:t>
      </w:r>
      <w:r w:rsidR="00963259">
        <w:rPr>
          <w:color w:val="000000"/>
        </w:rPr>
        <w:t xml:space="preserve">.  The severity of the ADHD symptoms was assessed as “moderate” and the DoDI 1332.39 defined level of social/industrial impairment was </w:t>
      </w:r>
      <w:r w:rsidR="00994D47">
        <w:rPr>
          <w:color w:val="000000"/>
        </w:rPr>
        <w:t>entered</w:t>
      </w:r>
      <w:r w:rsidR="00963259">
        <w:rPr>
          <w:color w:val="000000"/>
        </w:rPr>
        <w:t xml:space="preserve"> as “definite</w:t>
      </w:r>
      <w:r w:rsidR="00B56603">
        <w:rPr>
          <w:color w:val="000000"/>
        </w:rPr>
        <w:t>.</w:t>
      </w:r>
      <w:r w:rsidR="00963259">
        <w:rPr>
          <w:color w:val="000000"/>
        </w:rPr>
        <w:t xml:space="preserve">”  </w:t>
      </w:r>
      <w:r w:rsidR="00AA2961">
        <w:rPr>
          <w:color w:val="000000"/>
        </w:rPr>
        <w:t xml:space="preserve">The VA rating psychiatrist proximal to TDRL placement formally concurred with the MEB psychiatric opinion, listing ADHD as a separate </w:t>
      </w:r>
      <w:r w:rsidR="00B56603">
        <w:rPr>
          <w:color w:val="000000"/>
        </w:rPr>
        <w:t>a</w:t>
      </w:r>
      <w:r w:rsidR="00AA2961">
        <w:rPr>
          <w:color w:val="000000"/>
        </w:rPr>
        <w:t xml:space="preserve">xis I diagnosis; although, not providing a separate assessment of severity </w:t>
      </w:r>
      <w:r w:rsidR="00EF65BF">
        <w:rPr>
          <w:color w:val="000000"/>
        </w:rPr>
        <w:t xml:space="preserve">as did the MEB examiner.  </w:t>
      </w:r>
      <w:r w:rsidR="00963259">
        <w:rPr>
          <w:color w:val="000000"/>
        </w:rPr>
        <w:t xml:space="preserve">An equivalent assessment of ADHD was provided by a different psychiatrist on the TDRL reevaluation </w:t>
      </w:r>
      <w:r w:rsidR="00AA2961">
        <w:rPr>
          <w:color w:val="000000"/>
        </w:rPr>
        <w:t>prior to permanent separation</w:t>
      </w:r>
      <w:r w:rsidR="00EF65BF">
        <w:rPr>
          <w:color w:val="000000"/>
        </w:rPr>
        <w:t xml:space="preserve">; who also provided a separate assessment of </w:t>
      </w:r>
      <w:r w:rsidR="00B82FA8">
        <w:rPr>
          <w:color w:val="000000"/>
        </w:rPr>
        <w:t>“</w:t>
      </w:r>
      <w:r w:rsidR="00EF65BF">
        <w:rPr>
          <w:color w:val="000000"/>
        </w:rPr>
        <w:t>moderate</w:t>
      </w:r>
      <w:r w:rsidR="00B82FA8">
        <w:rPr>
          <w:color w:val="000000"/>
        </w:rPr>
        <w:t>”</w:t>
      </w:r>
      <w:r w:rsidR="00EF65BF">
        <w:rPr>
          <w:color w:val="000000"/>
        </w:rPr>
        <w:t xml:space="preserve"> severity.  The </w:t>
      </w:r>
      <w:r w:rsidR="00B56603">
        <w:rPr>
          <w:color w:val="000000"/>
        </w:rPr>
        <w:t>a</w:t>
      </w:r>
      <w:r w:rsidR="00EF65BF">
        <w:rPr>
          <w:color w:val="000000"/>
        </w:rPr>
        <w:t xml:space="preserve">ction </w:t>
      </w:r>
      <w:r w:rsidR="00B56603">
        <w:rPr>
          <w:color w:val="000000"/>
        </w:rPr>
        <w:t>o</w:t>
      </w:r>
      <w:r w:rsidR="00EF65BF">
        <w:rPr>
          <w:color w:val="000000"/>
        </w:rPr>
        <w:t>fficer opines</w:t>
      </w:r>
      <w:r w:rsidR="00AA2961">
        <w:rPr>
          <w:color w:val="000000"/>
        </w:rPr>
        <w:t xml:space="preserve"> that the ADHD condition made a significant and independent contribution to the overall soc</w:t>
      </w:r>
      <w:r w:rsidR="00EF65BF">
        <w:rPr>
          <w:color w:val="000000"/>
        </w:rPr>
        <w:t xml:space="preserve">ial and occupational impairment, although separate ratings based on VASRD §4.130 criteria are neither permitted </w:t>
      </w:r>
      <w:r w:rsidR="000D7ABB">
        <w:rPr>
          <w:color w:val="000000"/>
        </w:rPr>
        <w:t>n</w:t>
      </w:r>
      <w:r w:rsidR="00EF65BF">
        <w:rPr>
          <w:color w:val="000000"/>
        </w:rPr>
        <w:t>or possible.</w:t>
      </w:r>
    </w:p>
    <w:p w:rsidR="00EF65BF" w:rsidRDefault="00EF65BF" w:rsidP="00FB091C">
      <w:pPr>
        <w:jc w:val="both"/>
        <w:rPr>
          <w:color w:val="000000"/>
        </w:rPr>
      </w:pPr>
    </w:p>
    <w:p w:rsidR="008E238E" w:rsidRPr="00D0252D" w:rsidRDefault="00EF65BF" w:rsidP="00796B0A">
      <w:pPr>
        <w:jc w:val="both"/>
        <w:rPr>
          <w:color w:val="000000"/>
        </w:rPr>
      </w:pPr>
      <w:r>
        <w:rPr>
          <w:color w:val="000000"/>
        </w:rPr>
        <w:t xml:space="preserve">The Board’s </w:t>
      </w:r>
      <w:r w:rsidR="000D7ABB">
        <w:rPr>
          <w:color w:val="000000"/>
        </w:rPr>
        <w:t>first</w:t>
      </w:r>
      <w:r>
        <w:rPr>
          <w:color w:val="000000"/>
        </w:rPr>
        <w:t xml:space="preserve"> charge with respect to the ADHD condition </w:t>
      </w:r>
      <w:r w:rsidR="000D7ABB">
        <w:rPr>
          <w:color w:val="000000"/>
        </w:rPr>
        <w:t>is a determina</w:t>
      </w:r>
      <w:r w:rsidR="00B56603">
        <w:rPr>
          <w:color w:val="000000"/>
        </w:rPr>
        <w:t>tion as to its eligibility for s</w:t>
      </w:r>
      <w:r w:rsidR="000D7ABB">
        <w:rPr>
          <w:color w:val="000000"/>
        </w:rPr>
        <w:t xml:space="preserve">ervice rating.  DoDI 1332.38, </w:t>
      </w:r>
      <w:r w:rsidR="00351320">
        <w:rPr>
          <w:color w:val="000000"/>
        </w:rPr>
        <w:t>as referenced above</w:t>
      </w:r>
      <w:r w:rsidR="000D7ABB">
        <w:rPr>
          <w:color w:val="000000"/>
        </w:rPr>
        <w:t xml:space="preserve">, unequivocally lists ADHD as one of the “conditions and circumstances not constituting a physical disability” </w:t>
      </w:r>
      <w:r w:rsidR="00D0252D">
        <w:rPr>
          <w:color w:val="000000"/>
        </w:rPr>
        <w:t>which “</w:t>
      </w:r>
      <w:r w:rsidR="00D0252D" w:rsidRPr="00DE79D9">
        <w:rPr>
          <w:color w:val="000000"/>
        </w:rPr>
        <w:t xml:space="preserve">are not </w:t>
      </w:r>
      <w:r w:rsidR="00D0252D" w:rsidRPr="00DE79D9">
        <w:rPr>
          <w:color w:val="000000"/>
        </w:rPr>
        <w:lastRenderedPageBreak/>
        <w:t>ratable</w:t>
      </w:r>
      <w:r w:rsidR="00D0252D" w:rsidRPr="00D0252D">
        <w:rPr>
          <w:color w:val="000000"/>
        </w:rPr>
        <w:t xml:space="preserve"> </w:t>
      </w:r>
      <w:r w:rsidR="00D0252D" w:rsidRPr="00DE79D9">
        <w:rPr>
          <w:color w:val="000000"/>
        </w:rPr>
        <w:t>in the absence of an underlying ratable causative disorder</w:t>
      </w:r>
      <w:r w:rsidR="00B56603">
        <w:rPr>
          <w:color w:val="000000"/>
        </w:rPr>
        <w:t>.</w:t>
      </w:r>
      <w:r w:rsidR="00D0252D">
        <w:rPr>
          <w:color w:val="000000"/>
        </w:rPr>
        <w:t xml:space="preserve">”  The evidence clearly establishes that ADHD was a separate disorder, most likely pre-existing, and not a result of the ratable psychiatric condition.  </w:t>
      </w:r>
      <w:r w:rsidR="00DF5DC4" w:rsidRPr="00DF5DC4">
        <w:rPr>
          <w:iCs/>
          <w:color w:val="000000"/>
        </w:rPr>
        <w:t>DoDI 6040.44</w:t>
      </w:r>
      <w:r w:rsidR="00370CDB">
        <w:rPr>
          <w:iCs/>
          <w:color w:val="000000"/>
        </w:rPr>
        <w:t xml:space="preserve">, Enclosure 3, </w:t>
      </w:r>
      <w:r w:rsidR="00DF5DC4" w:rsidRPr="00DF5DC4">
        <w:rPr>
          <w:iCs/>
          <w:color w:val="000000"/>
        </w:rPr>
        <w:t>4.d</w:t>
      </w:r>
      <w:r w:rsidR="00370CDB">
        <w:rPr>
          <w:iCs/>
          <w:color w:val="000000"/>
        </w:rPr>
        <w:t>.,</w:t>
      </w:r>
      <w:r w:rsidR="00DF5DC4" w:rsidRPr="00DF5DC4">
        <w:rPr>
          <w:iCs/>
          <w:color w:val="000000"/>
        </w:rPr>
        <w:t xml:space="preserve"> specifies that the Board will apply “all applicable statute</w:t>
      </w:r>
      <w:r w:rsidR="00B56603">
        <w:rPr>
          <w:iCs/>
          <w:color w:val="000000"/>
        </w:rPr>
        <w:t>s and any directives in effect</w:t>
      </w:r>
      <w:r w:rsidR="00DF5DC4" w:rsidRPr="00DF5DC4">
        <w:rPr>
          <w:iCs/>
          <w:color w:val="000000"/>
        </w:rPr>
        <w:t xml:space="preserve"> to the extent they do not conflict with the VASRD in effect” in arriving at its recommendations.  </w:t>
      </w:r>
      <w:r w:rsidR="00DF5DC4">
        <w:rPr>
          <w:iCs/>
          <w:color w:val="000000"/>
        </w:rPr>
        <w:t xml:space="preserve">The VASRD does not offer formal guidance defining conditions which do not constitute ratable disabilities, although VA policy and practices clearly deny </w:t>
      </w:r>
      <w:r w:rsidR="00DF5DC4" w:rsidRPr="00351320">
        <w:rPr>
          <w:iCs/>
          <w:color w:val="000000"/>
        </w:rPr>
        <w:t xml:space="preserve">ratings for many of the conditions </w:t>
      </w:r>
      <w:r w:rsidR="00B82FA8">
        <w:rPr>
          <w:iCs/>
          <w:color w:val="000000"/>
        </w:rPr>
        <w:t>listed in</w:t>
      </w:r>
      <w:r w:rsidR="00DF5DC4" w:rsidRPr="00351320">
        <w:rPr>
          <w:iCs/>
          <w:color w:val="000000"/>
        </w:rPr>
        <w:t xml:space="preserve"> DoDI 1332.38</w:t>
      </w:r>
      <w:r w:rsidR="00351320">
        <w:rPr>
          <w:iCs/>
          <w:color w:val="000000"/>
        </w:rPr>
        <w:t xml:space="preserve">; examples </w:t>
      </w:r>
      <w:r w:rsidR="0027480B">
        <w:rPr>
          <w:iCs/>
          <w:color w:val="000000"/>
        </w:rPr>
        <w:t>include</w:t>
      </w:r>
      <w:r w:rsidR="00DF5DC4" w:rsidRPr="00351320">
        <w:rPr>
          <w:iCs/>
          <w:color w:val="000000"/>
        </w:rPr>
        <w:t xml:space="preserve"> obesity, alcoholism</w:t>
      </w:r>
      <w:r w:rsidR="007954E5">
        <w:rPr>
          <w:iCs/>
          <w:color w:val="000000"/>
        </w:rPr>
        <w:t>,</w:t>
      </w:r>
      <w:r w:rsidR="00DF5DC4" w:rsidRPr="00351320">
        <w:rPr>
          <w:iCs/>
          <w:color w:val="000000"/>
        </w:rPr>
        <w:t xml:space="preserve"> and </w:t>
      </w:r>
      <w:r w:rsidR="00351320">
        <w:rPr>
          <w:iCs/>
          <w:color w:val="000000"/>
        </w:rPr>
        <w:t>learning</w:t>
      </w:r>
      <w:r w:rsidR="00351320" w:rsidRPr="00351320">
        <w:rPr>
          <w:iCs/>
          <w:color w:val="000000"/>
        </w:rPr>
        <w:t xml:space="preserve"> disorders</w:t>
      </w:r>
      <w:r w:rsidR="0027480B">
        <w:rPr>
          <w:iCs/>
          <w:color w:val="000000"/>
        </w:rPr>
        <w:t xml:space="preserve"> such as dyslexia (arguably in the same class of disorders as ADHD).  </w:t>
      </w:r>
      <w:r w:rsidR="00DF5DC4" w:rsidRPr="00351320">
        <w:rPr>
          <w:iCs/>
          <w:color w:val="000000"/>
        </w:rPr>
        <w:t>Furthermore</w:t>
      </w:r>
      <w:r w:rsidR="00DF5DC4">
        <w:rPr>
          <w:iCs/>
          <w:color w:val="000000"/>
        </w:rPr>
        <w:t xml:space="preserve"> VASRD §4.130 does not </w:t>
      </w:r>
      <w:r w:rsidR="00B82FA8">
        <w:rPr>
          <w:iCs/>
          <w:color w:val="000000"/>
        </w:rPr>
        <w:t>list or provide a code for ADHD;</w:t>
      </w:r>
      <w:r w:rsidR="00351320">
        <w:rPr>
          <w:iCs/>
          <w:color w:val="000000"/>
        </w:rPr>
        <w:t xml:space="preserve"> hence the VA decision to </w:t>
      </w:r>
      <w:r w:rsidR="0027480B">
        <w:rPr>
          <w:iCs/>
          <w:color w:val="000000"/>
        </w:rPr>
        <w:t xml:space="preserve">combine </w:t>
      </w:r>
      <w:r w:rsidR="00B82FA8">
        <w:rPr>
          <w:iCs/>
          <w:color w:val="000000"/>
        </w:rPr>
        <w:t xml:space="preserve">it with, </w:t>
      </w:r>
      <w:r w:rsidR="0027480B">
        <w:rPr>
          <w:iCs/>
          <w:color w:val="000000"/>
        </w:rPr>
        <w:t xml:space="preserve">and </w:t>
      </w:r>
      <w:r w:rsidR="00351320">
        <w:rPr>
          <w:iCs/>
          <w:color w:val="000000"/>
        </w:rPr>
        <w:t xml:space="preserve">code </w:t>
      </w:r>
      <w:r w:rsidR="00B82FA8">
        <w:rPr>
          <w:iCs/>
          <w:color w:val="000000"/>
        </w:rPr>
        <w:t xml:space="preserve">it </w:t>
      </w:r>
      <w:r w:rsidR="00351320">
        <w:rPr>
          <w:iCs/>
          <w:color w:val="000000"/>
        </w:rPr>
        <w:t>analogously to</w:t>
      </w:r>
      <w:r w:rsidR="00B82FA8">
        <w:rPr>
          <w:iCs/>
          <w:color w:val="000000"/>
        </w:rPr>
        <w:t>,</w:t>
      </w:r>
      <w:r w:rsidR="00351320">
        <w:rPr>
          <w:iCs/>
          <w:color w:val="000000"/>
        </w:rPr>
        <w:t xml:space="preserve"> the concomitant anxiety disorder.  As directed by an applicable directive in effect (DoDI 1332.38) which did not conflict with the VASRD in effect</w:t>
      </w:r>
      <w:r w:rsidR="00B30F37">
        <w:rPr>
          <w:iCs/>
          <w:color w:val="000000"/>
        </w:rPr>
        <w:t xml:space="preserve">, </w:t>
      </w:r>
      <w:r w:rsidR="005E096B">
        <w:rPr>
          <w:iCs/>
          <w:color w:val="000000"/>
        </w:rPr>
        <w:t>and IAW</w:t>
      </w:r>
      <w:r w:rsidR="00D701D2">
        <w:rPr>
          <w:iCs/>
          <w:color w:val="000000"/>
        </w:rPr>
        <w:t xml:space="preserve"> DoDI 6040.44, </w:t>
      </w:r>
      <w:r w:rsidR="00B30F37">
        <w:rPr>
          <w:iCs/>
          <w:color w:val="000000"/>
        </w:rPr>
        <w:t xml:space="preserve">the Board cannot </w:t>
      </w:r>
      <w:r w:rsidR="00D701D2">
        <w:rPr>
          <w:iCs/>
          <w:color w:val="000000"/>
        </w:rPr>
        <w:t>recommend</w:t>
      </w:r>
      <w:r w:rsidR="00B30F37">
        <w:rPr>
          <w:iCs/>
          <w:color w:val="000000"/>
        </w:rPr>
        <w:t xml:space="preserve"> </w:t>
      </w:r>
      <w:r w:rsidR="00B56603">
        <w:rPr>
          <w:iCs/>
          <w:color w:val="000000"/>
        </w:rPr>
        <w:t>a s</w:t>
      </w:r>
      <w:r w:rsidR="00D701D2">
        <w:rPr>
          <w:iCs/>
          <w:color w:val="000000"/>
        </w:rPr>
        <w:t xml:space="preserve">ervice disability rating for impairment </w:t>
      </w:r>
      <w:r w:rsidR="00B82FA8">
        <w:rPr>
          <w:iCs/>
          <w:color w:val="000000"/>
        </w:rPr>
        <w:t>resulting from</w:t>
      </w:r>
      <w:r w:rsidR="00D701D2">
        <w:rPr>
          <w:iCs/>
          <w:color w:val="000000"/>
        </w:rPr>
        <w:t xml:space="preserve"> the ADHD condition.  The impairment from ADHD is intertwined with that of the anxiety disorder, and share</w:t>
      </w:r>
      <w:r w:rsidR="005E096B">
        <w:rPr>
          <w:iCs/>
          <w:color w:val="000000"/>
        </w:rPr>
        <w:t>s</w:t>
      </w:r>
      <w:r w:rsidR="00D701D2">
        <w:rPr>
          <w:iCs/>
          <w:color w:val="000000"/>
        </w:rPr>
        <w:t xml:space="preserve"> some of the §4.130 criteria in common with the ratable condition.  A formal deduction from the rating recommendations for anxiety disorder is not practical, however.  The </w:t>
      </w:r>
      <w:r w:rsidR="00B56603">
        <w:rPr>
          <w:iCs/>
          <w:color w:val="000000"/>
        </w:rPr>
        <w:t>a</w:t>
      </w:r>
      <w:r w:rsidR="00D701D2">
        <w:rPr>
          <w:iCs/>
          <w:color w:val="000000"/>
        </w:rPr>
        <w:t xml:space="preserve">ction </w:t>
      </w:r>
      <w:r w:rsidR="00B56603">
        <w:rPr>
          <w:iCs/>
          <w:color w:val="000000"/>
        </w:rPr>
        <w:t>o</w:t>
      </w:r>
      <w:r w:rsidR="00D701D2">
        <w:rPr>
          <w:iCs/>
          <w:color w:val="000000"/>
        </w:rPr>
        <w:t xml:space="preserve">fficer opines that </w:t>
      </w:r>
      <w:r w:rsidR="008E238E">
        <w:rPr>
          <w:iCs/>
          <w:color w:val="000000"/>
        </w:rPr>
        <w:t xml:space="preserve">only </w:t>
      </w:r>
      <w:r w:rsidR="00D701D2">
        <w:rPr>
          <w:iCs/>
          <w:color w:val="000000"/>
        </w:rPr>
        <w:t>the preponderant impairment linked to cognitive dysfunction</w:t>
      </w:r>
      <w:r w:rsidR="008E238E">
        <w:rPr>
          <w:iCs/>
          <w:color w:val="000000"/>
        </w:rPr>
        <w:t>, as</w:t>
      </w:r>
      <w:r w:rsidR="00D701D2">
        <w:rPr>
          <w:iCs/>
          <w:color w:val="000000"/>
        </w:rPr>
        <w:t xml:space="preserve"> associated with </w:t>
      </w:r>
      <w:r w:rsidR="008E238E" w:rsidRPr="008E238E">
        <w:rPr>
          <w:iCs/>
          <w:color w:val="000000"/>
        </w:rPr>
        <w:t>“inattention, distractibility, difficulty completing tasks, hyperactivity and impulsivity</w:t>
      </w:r>
      <w:r w:rsidR="00B56603">
        <w:rPr>
          <w:iCs/>
          <w:color w:val="000000"/>
        </w:rPr>
        <w:t>,</w:t>
      </w:r>
      <w:r w:rsidR="008E238E" w:rsidRPr="008E238E">
        <w:rPr>
          <w:iCs/>
          <w:color w:val="000000"/>
        </w:rPr>
        <w:t>”</w:t>
      </w:r>
      <w:r w:rsidR="008E238E">
        <w:rPr>
          <w:iCs/>
          <w:color w:val="000000"/>
        </w:rPr>
        <w:t xml:space="preserve"> should be ascribed to ADHD.   All other psychiatric impairment, and the benefit of the doubt for mixed impairment, shoul</w:t>
      </w:r>
      <w:r w:rsidR="00B82FA8">
        <w:rPr>
          <w:iCs/>
          <w:color w:val="000000"/>
        </w:rPr>
        <w:t>d fall within the §4.130 ratings</w:t>
      </w:r>
      <w:r w:rsidR="008E238E">
        <w:rPr>
          <w:iCs/>
          <w:color w:val="000000"/>
        </w:rPr>
        <w:t xml:space="preserve"> recommended for anxiety disorder.</w:t>
      </w:r>
    </w:p>
    <w:p w:rsidR="005866C7" w:rsidRDefault="005866C7" w:rsidP="00F20A43">
      <w:pPr>
        <w:jc w:val="both"/>
        <w:rPr>
          <w:color w:val="000000"/>
          <w:u w:val="single"/>
        </w:rPr>
      </w:pPr>
    </w:p>
    <w:p w:rsidR="00B56603" w:rsidRDefault="00FA40B7" w:rsidP="00F20A43">
      <w:pPr>
        <w:jc w:val="both"/>
        <w:rPr>
          <w:color w:val="000000"/>
        </w:rPr>
      </w:pPr>
      <w:proofErr w:type="gramStart"/>
      <w:r>
        <w:rPr>
          <w:color w:val="000000"/>
          <w:u w:val="single"/>
        </w:rPr>
        <w:t>Anxiety Disorder</w:t>
      </w:r>
      <w:r w:rsidR="00AD2379" w:rsidRPr="009A7578">
        <w:rPr>
          <w:color w:val="000000"/>
        </w:rPr>
        <w:t>.</w:t>
      </w:r>
      <w:proofErr w:type="gramEnd"/>
      <w:r w:rsidR="00AD2379" w:rsidRPr="009A7578">
        <w:rPr>
          <w:color w:val="000000"/>
        </w:rPr>
        <w:t xml:space="preserve"> </w:t>
      </w:r>
      <w:r w:rsidR="00385708">
        <w:rPr>
          <w:color w:val="000000"/>
        </w:rPr>
        <w:t xml:space="preserve"> </w:t>
      </w:r>
      <w:r w:rsidR="0066025D">
        <w:rPr>
          <w:color w:val="000000"/>
        </w:rPr>
        <w:t xml:space="preserve">The CI’s psychiatric symptoms began in March 2000 during a deployment to Hungary.  He reported </w:t>
      </w:r>
      <w:r w:rsidR="005A2B5E">
        <w:rPr>
          <w:color w:val="000000"/>
        </w:rPr>
        <w:t xml:space="preserve">to the VA examiner </w:t>
      </w:r>
      <w:r w:rsidR="0066025D">
        <w:rPr>
          <w:color w:val="000000"/>
        </w:rPr>
        <w:t xml:space="preserve">that he was in an isolated and stressful administrative position; and developed symptoms of anxiety, depression and withdrawal.  He related to the MEB examiner that this was compounded by family and marital separation </w:t>
      </w:r>
      <w:r w:rsidR="005A2B5E">
        <w:rPr>
          <w:color w:val="000000"/>
        </w:rPr>
        <w:t>stressors</w:t>
      </w:r>
      <w:r w:rsidR="0066025D">
        <w:rPr>
          <w:color w:val="000000"/>
        </w:rPr>
        <w:t xml:space="preserve"> which were elaborated.  The symptoms escalated to the point that he was unable to adequately function</w:t>
      </w:r>
      <w:r w:rsidR="00614392">
        <w:rPr>
          <w:color w:val="000000"/>
        </w:rPr>
        <w:t>,</w:t>
      </w:r>
      <w:r w:rsidR="002C4373">
        <w:rPr>
          <w:color w:val="000000"/>
        </w:rPr>
        <w:t xml:space="preserve"> and </w:t>
      </w:r>
      <w:r w:rsidR="00614392">
        <w:rPr>
          <w:color w:val="000000"/>
        </w:rPr>
        <w:t>were associated with</w:t>
      </w:r>
      <w:r w:rsidR="002C4373">
        <w:rPr>
          <w:color w:val="000000"/>
        </w:rPr>
        <w:t xml:space="preserve"> some transient suicidal ideation</w:t>
      </w:r>
      <w:r w:rsidR="00614392">
        <w:rPr>
          <w:color w:val="000000"/>
        </w:rPr>
        <w:t xml:space="preserve"> (equivocal)</w:t>
      </w:r>
      <w:r w:rsidR="002C4373">
        <w:rPr>
          <w:color w:val="000000"/>
        </w:rPr>
        <w:t xml:space="preserve">.  He consequently underwent a 7 day psychiatric admission in Germany during May 2000; and, was subsequently evacuated stateside.  The symptoms improved significantly after the hospitalization and redeployment, and the depressive symptoms resolved.  The residual symptoms of anxiety disorder were listed as “general feelings of anxiety, insomnia, ruminative behavior, and hair picking behavior” by the MEB psychiatrist.  He was prescribed </w:t>
      </w:r>
      <w:r w:rsidR="00A149F9">
        <w:rPr>
          <w:color w:val="000000"/>
        </w:rPr>
        <w:t xml:space="preserve">stimulant type medication for ADHD; and a mood stabilizer and anxiolytic for anxiety.  No further hospitalizations were required.  He remained assigned to his MOS, but his commander documented that his performance suffered from </w:t>
      </w:r>
      <w:r w:rsidR="00614392">
        <w:rPr>
          <w:color w:val="000000"/>
        </w:rPr>
        <w:t>the</w:t>
      </w:r>
      <w:r w:rsidR="00A149F9">
        <w:rPr>
          <w:color w:val="000000"/>
        </w:rPr>
        <w:t xml:space="preserve"> need for </w:t>
      </w:r>
      <w:r w:rsidR="00614392">
        <w:rPr>
          <w:color w:val="000000"/>
        </w:rPr>
        <w:t xml:space="preserve">frequent </w:t>
      </w:r>
      <w:r w:rsidR="00A149F9">
        <w:rPr>
          <w:color w:val="000000"/>
        </w:rPr>
        <w:t>mental health care and side effects of psychotropic medications.  The MEB psychiatrist opined that</w:t>
      </w:r>
      <w:r w:rsidR="00614392">
        <w:rPr>
          <w:color w:val="000000"/>
        </w:rPr>
        <w:t>,</w:t>
      </w:r>
      <w:r w:rsidR="00A149F9">
        <w:rPr>
          <w:color w:val="000000"/>
        </w:rPr>
        <w:t xml:space="preserve"> “</w:t>
      </w:r>
      <w:r w:rsidR="00B56603">
        <w:rPr>
          <w:color w:val="000000"/>
        </w:rPr>
        <w:t>c</w:t>
      </w:r>
      <w:r w:rsidR="00A149F9">
        <w:rPr>
          <w:color w:val="000000"/>
        </w:rPr>
        <w:t>linically, at least some of his anxiety symptoms seemed to be partly associated with the problems of his ADHD symptoms, particularly in the work setting.”</w:t>
      </w:r>
      <w:r w:rsidR="005A2B5E">
        <w:rPr>
          <w:color w:val="000000"/>
        </w:rPr>
        <w:t xml:space="preserve">  The MEB mental status exam (MSE) noted an “okay” mood and “moderately anxious” affect.  His speech was marked by anxious pauses, and psychomotor symptoms of fidgeting and “occasional hair picking gestures” were documented.  </w:t>
      </w:r>
    </w:p>
    <w:p w:rsidR="00B56603" w:rsidRDefault="00B56603" w:rsidP="00F20A43">
      <w:pPr>
        <w:jc w:val="both"/>
        <w:rPr>
          <w:color w:val="000000"/>
        </w:rPr>
      </w:pPr>
    </w:p>
    <w:p w:rsidR="00CF0280" w:rsidRDefault="005A2B5E" w:rsidP="00F20A43">
      <w:pPr>
        <w:jc w:val="both"/>
        <w:rPr>
          <w:color w:val="000000"/>
        </w:rPr>
      </w:pPr>
      <w:r>
        <w:rPr>
          <w:color w:val="000000"/>
        </w:rPr>
        <w:t xml:space="preserve">Some distractibility and issues with concentration and short term memory were also noted.  There was no suicidal ideation, delusional content, signs of psychosis or other abnormalities.  The </w:t>
      </w:r>
      <w:r w:rsidR="00B56603">
        <w:rPr>
          <w:color w:val="000000"/>
        </w:rPr>
        <w:t>G</w:t>
      </w:r>
      <w:r>
        <w:rPr>
          <w:color w:val="000000"/>
        </w:rPr>
        <w:t xml:space="preserve">lobal </w:t>
      </w:r>
      <w:r w:rsidR="00B56603">
        <w:rPr>
          <w:color w:val="000000"/>
        </w:rPr>
        <w:t>A</w:t>
      </w:r>
      <w:r>
        <w:rPr>
          <w:color w:val="000000"/>
        </w:rPr>
        <w:t xml:space="preserve">ssessment of </w:t>
      </w:r>
      <w:r w:rsidR="00B56603">
        <w:rPr>
          <w:color w:val="000000"/>
        </w:rPr>
        <w:t>F</w:t>
      </w:r>
      <w:r>
        <w:rPr>
          <w:color w:val="000000"/>
        </w:rPr>
        <w:t>unctioning (GAF) s</w:t>
      </w:r>
      <w:r w:rsidR="00614392">
        <w:rPr>
          <w:color w:val="000000"/>
        </w:rPr>
        <w:t>core assignment</w:t>
      </w:r>
      <w:r>
        <w:rPr>
          <w:color w:val="000000"/>
        </w:rPr>
        <w:t xml:space="preserve"> was 60, </w:t>
      </w:r>
      <w:r w:rsidR="00CB2D0A">
        <w:rPr>
          <w:color w:val="000000"/>
        </w:rPr>
        <w:t xml:space="preserve">connoting moderate psychosocial and occupational impairment.  The VA examiner (4 weeks after initiation of TDRL) confirmed a similar history and noted similar symptoms as documented in the MEB evaluation.  The CI was keeping monthly outpatient mental health appointments, and remained on the same medications.  He was pursuing educational studies, although half of his courses were on-line.  Difficulty with meeting the academic challenges </w:t>
      </w:r>
      <w:r w:rsidR="00687316">
        <w:rPr>
          <w:color w:val="000000"/>
        </w:rPr>
        <w:t xml:space="preserve">was documented, however, and the examiner opined that the CI would not be able to engage regular work.  Significant social isolation was noted, although no marital relationship issues were apparent.  </w:t>
      </w:r>
      <w:r w:rsidR="00161DA4">
        <w:rPr>
          <w:color w:val="000000"/>
        </w:rPr>
        <w:t xml:space="preserve">The MSE was </w:t>
      </w:r>
      <w:r w:rsidR="00161DA4">
        <w:rPr>
          <w:color w:val="000000"/>
        </w:rPr>
        <w:lastRenderedPageBreak/>
        <w:t xml:space="preserve">similar to that described by the MEB examiner, although detailed cognitive testing was normal without </w:t>
      </w:r>
      <w:r w:rsidR="009A1D2E">
        <w:rPr>
          <w:color w:val="000000"/>
        </w:rPr>
        <w:t xml:space="preserve">memory or concentration deficits.  </w:t>
      </w:r>
      <w:r w:rsidR="00687316">
        <w:rPr>
          <w:color w:val="000000"/>
        </w:rPr>
        <w:t xml:space="preserve">The examiner assessed “moderate difficulty in social and occupational functioning” (applicable to both </w:t>
      </w:r>
      <w:r w:rsidR="00B56603">
        <w:rPr>
          <w:color w:val="000000"/>
        </w:rPr>
        <w:t>a</w:t>
      </w:r>
      <w:r w:rsidR="00687316">
        <w:rPr>
          <w:color w:val="000000"/>
        </w:rPr>
        <w:t xml:space="preserve">xis I diagnoses); and, assigned the same GAF score as the MEB examiner (60).  </w:t>
      </w:r>
    </w:p>
    <w:p w:rsidR="00687316" w:rsidRDefault="00687316" w:rsidP="00F20A43">
      <w:pPr>
        <w:jc w:val="both"/>
        <w:rPr>
          <w:color w:val="000000"/>
        </w:rPr>
      </w:pPr>
    </w:p>
    <w:p w:rsidR="00687316" w:rsidRDefault="00687316" w:rsidP="00F20A43">
      <w:pPr>
        <w:jc w:val="both"/>
        <w:rPr>
          <w:color w:val="000000"/>
          <w:szCs w:val="24"/>
        </w:rPr>
      </w:pPr>
      <w:r>
        <w:rPr>
          <w:color w:val="000000"/>
        </w:rPr>
        <w:t xml:space="preserve">There are no further VA psychiatric evaluations or outpatient records in evidence for the full period of TDRL.  The TDRL reevaluation performed proximal to permanent separation noted that it was the second TDRL evaluation, but the preceding one is not on file.  </w:t>
      </w:r>
      <w:r w:rsidR="003B602F">
        <w:rPr>
          <w:color w:val="000000"/>
        </w:rPr>
        <w:t xml:space="preserve">The TDRL examination </w:t>
      </w:r>
      <w:r w:rsidR="00B56603">
        <w:rPr>
          <w:color w:val="000000"/>
        </w:rPr>
        <w:t xml:space="preserve">prior to separation, </w:t>
      </w:r>
      <w:r w:rsidR="00617592">
        <w:rPr>
          <w:color w:val="000000"/>
        </w:rPr>
        <w:t>documented that the CI’s “psychiatric illness has continued during this TDRL period</w:t>
      </w:r>
      <w:r w:rsidR="00B56603">
        <w:rPr>
          <w:color w:val="000000"/>
        </w:rPr>
        <w:t>.</w:t>
      </w:r>
      <w:r w:rsidR="00617592">
        <w:rPr>
          <w:color w:val="000000"/>
        </w:rPr>
        <w:t>”  He remained on two medications (the same mood stabilizer and the same ADHD medication).  He reported “frequent anxiety on most days that results in interference with his daily activities</w:t>
      </w:r>
      <w:r w:rsidR="00B56603">
        <w:rPr>
          <w:color w:val="000000"/>
        </w:rPr>
        <w:t>,</w:t>
      </w:r>
      <w:r w:rsidR="00617592">
        <w:rPr>
          <w:color w:val="000000"/>
        </w:rPr>
        <w:t>” and “occasional” depression.  He also reported “frequent procrastination and difficulty with task completion</w:t>
      </w:r>
      <w:r w:rsidR="00B56603">
        <w:rPr>
          <w:color w:val="000000"/>
        </w:rPr>
        <w:t>,</w:t>
      </w:r>
      <w:r w:rsidR="00617592">
        <w:rPr>
          <w:color w:val="000000"/>
        </w:rPr>
        <w:t>” and “lifelong problems with attention and impulsivity</w:t>
      </w:r>
      <w:r w:rsidR="00B56603">
        <w:rPr>
          <w:color w:val="000000"/>
        </w:rPr>
        <w:t>.</w:t>
      </w:r>
      <w:r w:rsidR="00617592">
        <w:rPr>
          <w:color w:val="000000"/>
        </w:rPr>
        <w:t xml:space="preserve">”  The examiner documented successful full time employment as a firefighter, without specifying </w:t>
      </w:r>
      <w:r w:rsidR="00161DA4">
        <w:rPr>
          <w:color w:val="000000"/>
        </w:rPr>
        <w:t>any work loss or performance issues; although, it was noted that preceding college pursuits had resulted in academic probation for poor performance.  There was no mention of the earlier social isolation, and the CI was living with his wife and daughter in a “happy marriage</w:t>
      </w:r>
      <w:r w:rsidR="00B56603">
        <w:rPr>
          <w:color w:val="000000"/>
        </w:rPr>
        <w:t>.</w:t>
      </w:r>
      <w:r w:rsidR="00161DA4">
        <w:rPr>
          <w:color w:val="000000"/>
        </w:rPr>
        <w:t>”  The MSE described the mood as “a little anxious” and the affect as “appropriate and full range</w:t>
      </w:r>
      <w:r w:rsidR="00B56603">
        <w:rPr>
          <w:color w:val="000000"/>
        </w:rPr>
        <w:t>.</w:t>
      </w:r>
      <w:r w:rsidR="00161DA4">
        <w:rPr>
          <w:color w:val="000000"/>
        </w:rPr>
        <w:t>”  The psychomotor component still manifested “moderate fidgety behaviors</w:t>
      </w:r>
      <w:r w:rsidR="00B56603">
        <w:rPr>
          <w:color w:val="000000"/>
        </w:rPr>
        <w:t>,</w:t>
      </w:r>
      <w:r w:rsidR="00161DA4">
        <w:rPr>
          <w:color w:val="000000"/>
        </w:rPr>
        <w:t xml:space="preserve">” although the previous speech disturbances had normalized.  </w:t>
      </w:r>
      <w:r w:rsidR="009A1D2E">
        <w:rPr>
          <w:color w:val="000000"/>
        </w:rPr>
        <w:t>Cognition was described as “intact</w:t>
      </w:r>
      <w:r w:rsidR="00B56603">
        <w:rPr>
          <w:color w:val="000000"/>
        </w:rPr>
        <w:t>,</w:t>
      </w:r>
      <w:r w:rsidR="009A1D2E">
        <w:rPr>
          <w:color w:val="000000"/>
        </w:rPr>
        <w:t xml:space="preserve">” and the remainder of the MSE was normal.  The </w:t>
      </w:r>
      <w:r w:rsidR="00B56603">
        <w:rPr>
          <w:color w:val="000000"/>
        </w:rPr>
        <w:t>a</w:t>
      </w:r>
      <w:r w:rsidR="009A1D2E">
        <w:rPr>
          <w:color w:val="000000"/>
        </w:rPr>
        <w:t>xis I diagnosis of anxiety disorder was manifested by “persistent feelings of anxiety and worry, middle insomnia [inability to stay asleep] and picking behaviors</w:t>
      </w:r>
      <w:r w:rsidR="00B56603">
        <w:rPr>
          <w:color w:val="000000"/>
        </w:rPr>
        <w:t>.</w:t>
      </w:r>
      <w:r w:rsidR="009A1D2E">
        <w:rPr>
          <w:color w:val="000000"/>
        </w:rPr>
        <w:t>”  The examiner further opined that</w:t>
      </w:r>
      <w:r w:rsidR="00614392">
        <w:rPr>
          <w:color w:val="000000"/>
        </w:rPr>
        <w:t>,</w:t>
      </w:r>
      <w:r w:rsidR="009A1D2E">
        <w:rPr>
          <w:color w:val="000000"/>
        </w:rPr>
        <w:t xml:space="preserve"> “Most of these manifestations appear aggravated by ADHD symptoms.”  The severity was characterized as “moderate” and the</w:t>
      </w:r>
      <w:r w:rsidR="009A1D2E" w:rsidRPr="009A1D2E">
        <w:rPr>
          <w:color w:val="000000"/>
        </w:rPr>
        <w:t xml:space="preserve"> </w:t>
      </w:r>
      <w:r w:rsidR="009A1D2E">
        <w:rPr>
          <w:color w:val="000000"/>
        </w:rPr>
        <w:t>DoDI 1332.39 defined social/industrial impairment as “definite”</w:t>
      </w:r>
      <w:r w:rsidR="00C852E5">
        <w:rPr>
          <w:color w:val="000000"/>
        </w:rPr>
        <w:t xml:space="preserve"> (</w:t>
      </w:r>
      <w:r w:rsidR="009A1D2E">
        <w:rPr>
          <w:color w:val="000000"/>
        </w:rPr>
        <w:t>although the PEB insisted that the DoDI 1332.39 derived impairment was more compatible with the “mild” definition</w:t>
      </w:r>
      <w:r w:rsidR="00C852E5">
        <w:rPr>
          <w:color w:val="000000"/>
        </w:rPr>
        <w:t>,</w:t>
      </w:r>
      <w:r w:rsidR="009A1D2E">
        <w:rPr>
          <w:color w:val="000000"/>
        </w:rPr>
        <w:t xml:space="preserve"> given the full time employment</w:t>
      </w:r>
      <w:r w:rsidR="00C852E5">
        <w:rPr>
          <w:color w:val="000000"/>
        </w:rPr>
        <w:t>)</w:t>
      </w:r>
      <w:r w:rsidR="009A1D2E">
        <w:rPr>
          <w:color w:val="000000"/>
        </w:rPr>
        <w:t xml:space="preserve">.  </w:t>
      </w:r>
      <w:r w:rsidR="00C852E5">
        <w:rPr>
          <w:color w:val="000000"/>
        </w:rPr>
        <w:t xml:space="preserve">The </w:t>
      </w:r>
      <w:r w:rsidR="00B56603">
        <w:rPr>
          <w:color w:val="000000"/>
        </w:rPr>
        <w:t>a</w:t>
      </w:r>
      <w:r w:rsidR="00C852E5">
        <w:rPr>
          <w:color w:val="000000"/>
        </w:rPr>
        <w:t>xis II diagnosis of ADHD was manifested by “inattention, distractibility, problems with task completion and hyperactivity-impulsivity”.  It was also assessed with “moderate” severity and “definite” social/industrial impairment.  There was no GAF assignment documented</w:t>
      </w:r>
      <w:r w:rsidR="00F94A69">
        <w:rPr>
          <w:color w:val="000000"/>
        </w:rPr>
        <w:t xml:space="preserve"> on the TDRL exam</w:t>
      </w:r>
      <w:r w:rsidR="00C852E5">
        <w:rPr>
          <w:color w:val="000000"/>
        </w:rPr>
        <w:t>.</w:t>
      </w:r>
    </w:p>
    <w:p w:rsidR="00CF0280" w:rsidRDefault="00CF0280" w:rsidP="0069687C">
      <w:pPr>
        <w:jc w:val="both"/>
        <w:rPr>
          <w:color w:val="000000"/>
          <w:szCs w:val="24"/>
        </w:rPr>
      </w:pPr>
    </w:p>
    <w:p w:rsidR="00B42F66" w:rsidRPr="008B77DD" w:rsidRDefault="00AD2379" w:rsidP="00B42F66">
      <w:pPr>
        <w:pStyle w:val="Default"/>
        <w:spacing w:line="240" w:lineRule="exact"/>
        <w:jc w:val="both"/>
      </w:pPr>
      <w:r w:rsidRPr="009A7578">
        <w:rPr>
          <w:rFonts w:cs="Times New Roman"/>
          <w:color w:val="auto"/>
        </w:rPr>
        <w:t>The Board directs attenti</w:t>
      </w:r>
      <w:r w:rsidR="00782CC1">
        <w:rPr>
          <w:rFonts w:cs="Times New Roman"/>
          <w:color w:val="auto"/>
        </w:rPr>
        <w:t>on to its rating recommendation</w:t>
      </w:r>
      <w:r w:rsidR="00C852E5">
        <w:rPr>
          <w:rFonts w:cs="Times New Roman"/>
          <w:color w:val="auto"/>
        </w:rPr>
        <w:t>s</w:t>
      </w:r>
      <w:r w:rsidRPr="009A7578">
        <w:rPr>
          <w:rFonts w:cs="Times New Roman"/>
          <w:color w:val="auto"/>
        </w:rPr>
        <w:t xml:space="preserve"> </w:t>
      </w:r>
      <w:r w:rsidR="00C852E5">
        <w:rPr>
          <w:rFonts w:cs="Times New Roman"/>
          <w:color w:val="auto"/>
        </w:rPr>
        <w:t xml:space="preserve">for the anxiety disorder, tempered by accommodation for the unratable ADHD contribution to disability,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C852E5">
        <w:rPr>
          <w:rFonts w:cs="Times New Roman"/>
          <w:color w:val="auto"/>
        </w:rPr>
        <w:t xml:space="preserve">The </w:t>
      </w:r>
      <w:r w:rsidR="00730005">
        <w:rPr>
          <w:rFonts w:cs="Times New Roman"/>
          <w:color w:val="auto"/>
        </w:rPr>
        <w:t xml:space="preserve">Board first considered if the </w:t>
      </w:r>
      <w:proofErr w:type="gramStart"/>
      <w:r w:rsidR="00730005">
        <w:rPr>
          <w:rFonts w:cs="Times New Roman"/>
          <w:color w:val="auto"/>
        </w:rPr>
        <w:t>DoD</w:t>
      </w:r>
      <w:proofErr w:type="gramEnd"/>
      <w:r w:rsidR="00730005">
        <w:rPr>
          <w:rFonts w:cs="Times New Roman"/>
          <w:color w:val="auto"/>
        </w:rPr>
        <w:t xml:space="preserve"> mandated application of VASRD §4.129 was appropriate to this case, but all members agreed that there was no “highly stressful event” meeting the VASRD definition for application of §4.129.  The Board next considered if the TDRL rating of </w:t>
      </w:r>
      <w:r w:rsidR="00B56603">
        <w:rPr>
          <w:rFonts w:cs="Times New Roman"/>
          <w:color w:val="auto"/>
        </w:rPr>
        <w:t>30%, as assigned by the s</w:t>
      </w:r>
      <w:r w:rsidR="00730005">
        <w:rPr>
          <w:rFonts w:cs="Times New Roman"/>
          <w:color w:val="auto"/>
        </w:rPr>
        <w:t>ervice under DoDI 1332.39, was consistent with §4.130 criteria.  Although a 50% recommendation was entertained</w:t>
      </w:r>
      <w:r w:rsidR="00F94A69">
        <w:rPr>
          <w:rFonts w:cs="Times New Roman"/>
          <w:color w:val="auto"/>
        </w:rPr>
        <w:t xml:space="preserve"> (</w:t>
      </w:r>
      <w:r w:rsidR="00F94A69" w:rsidRPr="00730005">
        <w:rPr>
          <w:rFonts w:cs="Times New Roman"/>
          <w:color w:val="auto"/>
        </w:rPr>
        <w:t>occupational and social impairment with reduced reliability and productivity</w:t>
      </w:r>
      <w:r w:rsidR="00F94A69">
        <w:rPr>
          <w:rFonts w:cs="Times New Roman"/>
          <w:color w:val="auto"/>
        </w:rPr>
        <w:t>)</w:t>
      </w:r>
      <w:r w:rsidR="00730005">
        <w:rPr>
          <w:rFonts w:cs="Times New Roman"/>
          <w:color w:val="auto"/>
        </w:rPr>
        <w:t xml:space="preserve">, </w:t>
      </w:r>
      <w:r w:rsidR="00602785">
        <w:rPr>
          <w:rFonts w:cs="Times New Roman"/>
          <w:color w:val="auto"/>
        </w:rPr>
        <w:t xml:space="preserve">support for this rating was mitigated by the fact </w:t>
      </w:r>
      <w:r w:rsidR="00730005">
        <w:rPr>
          <w:rFonts w:cs="Times New Roman"/>
          <w:color w:val="auto"/>
        </w:rPr>
        <w:t xml:space="preserve">the CI remained occupationally functional </w:t>
      </w:r>
      <w:r w:rsidR="00602785">
        <w:rPr>
          <w:rFonts w:cs="Times New Roman"/>
          <w:color w:val="auto"/>
        </w:rPr>
        <w:t xml:space="preserve">and was on a stable improving treatment course at the time of temporary retirement.  All members ultimately agreed that 30% was a fair §4.130 based rating for the period of TDRL.  </w:t>
      </w:r>
      <w:r w:rsidR="00B42F66">
        <w:rPr>
          <w:rFonts w:cs="Times New Roman"/>
          <w:color w:val="auto"/>
        </w:rPr>
        <w:t xml:space="preserve">Finally, the Board considered its permanent rating recommendation for anxiety disorder.  </w:t>
      </w:r>
      <w:r w:rsidR="00B42F66">
        <w:rPr>
          <w:color w:val="auto"/>
        </w:rPr>
        <w:t>A</w:t>
      </w:r>
      <w:r w:rsidR="00B42F66" w:rsidRPr="00E81763">
        <w:rPr>
          <w:color w:val="auto"/>
        </w:rPr>
        <w:t xml:space="preserve">ll members agreed that the §4.130 threshold for a </w:t>
      </w:r>
      <w:r w:rsidR="00B42F66">
        <w:rPr>
          <w:color w:val="auto"/>
        </w:rPr>
        <w:t>5</w:t>
      </w:r>
      <w:r w:rsidR="00B42F66" w:rsidRPr="00E81763">
        <w:rPr>
          <w:color w:val="auto"/>
        </w:rPr>
        <w:t>0% rating was not approached</w:t>
      </w:r>
      <w:r w:rsidR="00B42F66">
        <w:rPr>
          <w:color w:val="auto"/>
        </w:rPr>
        <w:t xml:space="preserve">, given the significant continued improvement evidenced in the TDRL reevaluation. </w:t>
      </w:r>
      <w:r w:rsidR="00B42F66" w:rsidRPr="00E81763">
        <w:rPr>
          <w:color w:val="auto"/>
        </w:rPr>
        <w:t xml:space="preserve"> The deliberation </w:t>
      </w:r>
      <w:r w:rsidR="00B42F66">
        <w:rPr>
          <w:color w:val="auto"/>
        </w:rPr>
        <w:t xml:space="preserve">thus </w:t>
      </w:r>
      <w:r w:rsidR="00B42F66" w:rsidRPr="00E81763">
        <w:rPr>
          <w:color w:val="auto"/>
        </w:rPr>
        <w:t xml:space="preserve">settled on arguments for a </w:t>
      </w:r>
      <w:r w:rsidR="00B42F66">
        <w:rPr>
          <w:color w:val="auto"/>
        </w:rPr>
        <w:t>3</w:t>
      </w:r>
      <w:r w:rsidR="00B42F66" w:rsidRPr="00E81763">
        <w:rPr>
          <w:color w:val="auto"/>
        </w:rPr>
        <w:t xml:space="preserve">0% </w:t>
      </w:r>
      <w:r w:rsidR="00B42F66">
        <w:rPr>
          <w:color w:val="auto"/>
        </w:rPr>
        <w:t>versus the PEB-assigned</w:t>
      </w:r>
      <w:r w:rsidR="00B42F66" w:rsidRPr="00E81763">
        <w:rPr>
          <w:color w:val="auto"/>
        </w:rPr>
        <w:t xml:space="preserve"> </w:t>
      </w:r>
      <w:r w:rsidR="00B42F66">
        <w:rPr>
          <w:color w:val="auto"/>
        </w:rPr>
        <w:t>1</w:t>
      </w:r>
      <w:r w:rsidR="00B42F66" w:rsidRPr="00E81763">
        <w:rPr>
          <w:color w:val="auto"/>
        </w:rPr>
        <w:t xml:space="preserve">0% permanent rating recommendation.  The §4.130 description </w:t>
      </w:r>
      <w:r w:rsidR="00B42F66">
        <w:rPr>
          <w:color w:val="auto"/>
        </w:rPr>
        <w:t xml:space="preserve">for a </w:t>
      </w:r>
      <w:r w:rsidR="00B42F66" w:rsidRPr="00E81763">
        <w:rPr>
          <w:color w:val="auto"/>
        </w:rPr>
        <w:t xml:space="preserve">30% </w:t>
      </w:r>
      <w:r w:rsidR="00B42F66">
        <w:rPr>
          <w:color w:val="auto"/>
        </w:rPr>
        <w:t xml:space="preserve">rating is </w:t>
      </w:r>
      <w:r w:rsidR="00B42F66" w:rsidRPr="00E81763">
        <w:rPr>
          <w:color w:val="auto"/>
        </w:rPr>
        <w:t>“occupational and social impairment with occasional decrease in work efficiency and intermittent periods of inability</w:t>
      </w:r>
      <w:r w:rsidR="00B42F66">
        <w:rPr>
          <w:color w:val="auto"/>
        </w:rPr>
        <w:t xml:space="preserve"> to perform occupational tasks</w:t>
      </w:r>
      <w:r w:rsidR="00B56603">
        <w:rPr>
          <w:color w:val="auto"/>
        </w:rPr>
        <w:t>;</w:t>
      </w:r>
      <w:r w:rsidR="00B42F66">
        <w:rPr>
          <w:color w:val="auto"/>
        </w:rPr>
        <w:t>” while that for 10%</w:t>
      </w:r>
      <w:r w:rsidR="00B42F66" w:rsidRPr="00E81763">
        <w:rPr>
          <w:color w:val="auto"/>
        </w:rPr>
        <w:t xml:space="preserve"> is </w:t>
      </w:r>
      <w:r w:rsidR="00B42F66" w:rsidRPr="007277DA">
        <w:t>“occupational and social impairment due to mild or transient symptoms which decrease work efficiency only during periods of significant stress, or; symptoms controlled by continuous medication</w:t>
      </w:r>
      <w:r w:rsidR="00B56603">
        <w:t>.</w:t>
      </w:r>
      <w:r w:rsidR="00B42F66">
        <w:t xml:space="preserve">”  </w:t>
      </w:r>
      <w:r w:rsidR="00287FF5">
        <w:t>The TDRL examiner documented that there were persistent symptoms</w:t>
      </w:r>
      <w:r w:rsidR="00F94A69">
        <w:t>,</w:t>
      </w:r>
      <w:r w:rsidR="00287FF5">
        <w:t xml:space="preserve"> despite </w:t>
      </w:r>
      <w:r w:rsidR="00287FF5">
        <w:lastRenderedPageBreak/>
        <w:t>treatment</w:t>
      </w:r>
      <w:r w:rsidR="00F94A69">
        <w:t>,</w:t>
      </w:r>
      <w:r w:rsidR="00287FF5">
        <w:t xml:space="preserve"> for both anxiety disorder and ADHD.  The examiner further stated that the anxiety was near daily in frequency and that it interfered with daily activities.  The examiner, however</w:t>
      </w:r>
      <w:r w:rsidR="00F939F4">
        <w:t xml:space="preserve">, </w:t>
      </w:r>
      <w:r w:rsidR="00287FF5">
        <w:t xml:space="preserve">did not </w:t>
      </w:r>
      <w:r w:rsidR="00F939F4">
        <w:t xml:space="preserve">in turn </w:t>
      </w:r>
      <w:r w:rsidR="00287FF5">
        <w:t xml:space="preserve">elaborate any impairment of daily activities; nor, for that matter, any specific occupational or social </w:t>
      </w:r>
      <w:r w:rsidR="00F939F4">
        <w:t>impairment</w:t>
      </w:r>
      <w:r w:rsidR="00287FF5">
        <w:t xml:space="preserve">.  </w:t>
      </w:r>
      <w:r w:rsidR="008377D5">
        <w:t xml:space="preserve">Although it was opined by the TDRL psychiatrist that even the symptoms ascribed to anxiety disorder were exacerbated by ADHD, members agreed that the impairment from all symptoms within that spectrum should be conceded as ratable (see opening discussion).  </w:t>
      </w:r>
      <w:r w:rsidR="00F365B0">
        <w:t xml:space="preserve">Given the CI’s failure on the academic front, it must be assumed that occupational impairment existed; albeit not interfering with his employment as a firefighter.  It is more likely than not, however, that the impairment manifested in the academic arena was preponderantly attributable to the </w:t>
      </w:r>
      <w:r w:rsidR="00F939F4">
        <w:t xml:space="preserve">attention and concentration deficits resulting from the unratable ADHD.  </w:t>
      </w:r>
      <w:r w:rsidR="001A0356">
        <w:t xml:space="preserve">It can be reasonably inferred from the CI’s history of learning difficulties and </w:t>
      </w:r>
      <w:r w:rsidR="00C87634">
        <w:t xml:space="preserve">marginal school performance that his adult academic pursuits would have suffered independently of any non-ADHD related psychiatric impairment.  </w:t>
      </w:r>
      <w:r w:rsidR="00F939F4">
        <w:t>Relat</w:t>
      </w:r>
      <w:r w:rsidR="008A576E">
        <w:t>ive to the 30% rating criteria (as quoted above)</w:t>
      </w:r>
      <w:r w:rsidR="00F939F4">
        <w:t xml:space="preserve"> it </w:t>
      </w:r>
      <w:r w:rsidR="00C87634">
        <w:t>may be reasonably argued</w:t>
      </w:r>
      <w:r w:rsidR="00F939F4">
        <w:t xml:space="preserve"> that </w:t>
      </w:r>
      <w:r w:rsidR="00F939F4">
        <w:rPr>
          <w:iCs/>
          <w:color w:val="auto"/>
        </w:rPr>
        <w:t>s</w:t>
      </w:r>
      <w:r w:rsidR="00F939F4" w:rsidRPr="004F5D27">
        <w:rPr>
          <w:iCs/>
          <w:color w:val="auto"/>
        </w:rPr>
        <w:t xml:space="preserve">ome </w:t>
      </w:r>
      <w:r w:rsidR="00F939F4">
        <w:rPr>
          <w:iCs/>
          <w:color w:val="auto"/>
        </w:rPr>
        <w:t xml:space="preserve">undocumented </w:t>
      </w:r>
      <w:r w:rsidR="00F939F4" w:rsidRPr="004F5D27">
        <w:rPr>
          <w:iCs/>
          <w:color w:val="auto"/>
        </w:rPr>
        <w:t xml:space="preserve">level of inefficiency </w:t>
      </w:r>
      <w:r w:rsidR="008A576E">
        <w:rPr>
          <w:iCs/>
          <w:color w:val="auto"/>
        </w:rPr>
        <w:t xml:space="preserve">on the job </w:t>
      </w:r>
      <w:r w:rsidR="00C87634">
        <w:rPr>
          <w:iCs/>
          <w:color w:val="auto"/>
        </w:rPr>
        <w:t>could</w:t>
      </w:r>
      <w:r w:rsidR="008A576E">
        <w:rPr>
          <w:iCs/>
          <w:color w:val="auto"/>
        </w:rPr>
        <w:t xml:space="preserve"> have been present, </w:t>
      </w:r>
      <w:r w:rsidR="00D8700E">
        <w:rPr>
          <w:iCs/>
          <w:color w:val="auto"/>
        </w:rPr>
        <w:t>and</w:t>
      </w:r>
      <w:r w:rsidR="008377D5">
        <w:rPr>
          <w:iCs/>
          <w:color w:val="auto"/>
        </w:rPr>
        <w:t xml:space="preserve"> associated with the ratable anxiety disorder to the extent that it should be fairly conceded</w:t>
      </w:r>
      <w:r w:rsidR="008A576E">
        <w:rPr>
          <w:iCs/>
          <w:color w:val="auto"/>
        </w:rPr>
        <w:t xml:space="preserve">.  Given the </w:t>
      </w:r>
      <w:r w:rsidR="00F94A69">
        <w:rPr>
          <w:iCs/>
          <w:color w:val="auto"/>
        </w:rPr>
        <w:t>demands</w:t>
      </w:r>
      <w:r w:rsidR="008A576E">
        <w:rPr>
          <w:iCs/>
          <w:color w:val="auto"/>
        </w:rPr>
        <w:t xml:space="preserve"> of the CI’s </w:t>
      </w:r>
      <w:r w:rsidR="00F94A69">
        <w:rPr>
          <w:iCs/>
          <w:color w:val="auto"/>
        </w:rPr>
        <w:t>field and his successful negotiation of them</w:t>
      </w:r>
      <w:r w:rsidR="00B56603">
        <w:rPr>
          <w:iCs/>
          <w:color w:val="auto"/>
        </w:rPr>
        <w:t>;</w:t>
      </w:r>
      <w:r w:rsidR="008A576E">
        <w:rPr>
          <w:iCs/>
          <w:color w:val="auto"/>
        </w:rPr>
        <w:t xml:space="preserve"> however, </w:t>
      </w:r>
      <w:r w:rsidR="008377D5">
        <w:rPr>
          <w:iCs/>
          <w:color w:val="auto"/>
        </w:rPr>
        <w:t>a good deal of</w:t>
      </w:r>
      <w:r w:rsidR="008A576E">
        <w:rPr>
          <w:iCs/>
          <w:color w:val="auto"/>
        </w:rPr>
        <w:t xml:space="preserve"> speculation</w:t>
      </w:r>
      <w:r w:rsidR="008377D5">
        <w:rPr>
          <w:iCs/>
          <w:color w:val="auto"/>
        </w:rPr>
        <w:t xml:space="preserve"> is required to support such an argument as a basis for a 30% recommendation in this case.  Furthermore</w:t>
      </w:r>
      <w:r w:rsidR="008B77DD">
        <w:rPr>
          <w:iCs/>
          <w:color w:val="auto"/>
        </w:rPr>
        <w:t>, t</w:t>
      </w:r>
      <w:r w:rsidR="00F939F4">
        <w:rPr>
          <w:iCs/>
          <w:color w:val="auto"/>
        </w:rPr>
        <w:t xml:space="preserve">he evidence clearly </w:t>
      </w:r>
      <w:r w:rsidR="008377D5">
        <w:rPr>
          <w:iCs/>
          <w:color w:val="auto"/>
        </w:rPr>
        <w:t>establishes</w:t>
      </w:r>
      <w:r w:rsidR="00F939F4">
        <w:rPr>
          <w:iCs/>
          <w:color w:val="auto"/>
        </w:rPr>
        <w:t xml:space="preserve"> that there were no </w:t>
      </w:r>
      <w:r w:rsidR="00B56603">
        <w:rPr>
          <w:iCs/>
          <w:color w:val="auto"/>
        </w:rPr>
        <w:t>“</w:t>
      </w:r>
      <w:r w:rsidR="00F939F4" w:rsidRPr="004F5D27">
        <w:rPr>
          <w:iCs/>
          <w:color w:val="auto"/>
        </w:rPr>
        <w:t>intermittent periods of inability</w:t>
      </w:r>
      <w:r w:rsidR="00B56603">
        <w:rPr>
          <w:iCs/>
          <w:color w:val="auto"/>
        </w:rPr>
        <w:t>”</w:t>
      </w:r>
      <w:r w:rsidR="00F939F4">
        <w:rPr>
          <w:iCs/>
          <w:color w:val="auto"/>
        </w:rPr>
        <w:t xml:space="preserve"> relative to occupational capacity</w:t>
      </w:r>
      <w:r w:rsidR="008377D5">
        <w:rPr>
          <w:iCs/>
          <w:color w:val="auto"/>
        </w:rPr>
        <w:t xml:space="preserve">; another important </w:t>
      </w:r>
      <w:r w:rsidR="001A0356">
        <w:rPr>
          <w:iCs/>
          <w:color w:val="auto"/>
        </w:rPr>
        <w:t>element</w:t>
      </w:r>
      <w:r w:rsidR="008377D5">
        <w:rPr>
          <w:iCs/>
          <w:color w:val="auto"/>
        </w:rPr>
        <w:t xml:space="preserve"> of the §4.130 criteria </w:t>
      </w:r>
      <w:r w:rsidR="001A0356">
        <w:rPr>
          <w:iCs/>
          <w:color w:val="auto"/>
        </w:rPr>
        <w:t>for a 30% rating</w:t>
      </w:r>
      <w:r w:rsidR="00F939F4">
        <w:rPr>
          <w:iCs/>
          <w:color w:val="auto"/>
        </w:rPr>
        <w:t>.</w:t>
      </w:r>
      <w:r w:rsidR="00F939F4" w:rsidRPr="004F5D27">
        <w:rPr>
          <w:iCs/>
          <w:color w:val="auto"/>
        </w:rPr>
        <w:t xml:space="preserve"> </w:t>
      </w:r>
      <w:r w:rsidR="00F939F4">
        <w:rPr>
          <w:iCs/>
          <w:color w:val="auto"/>
        </w:rPr>
        <w:t xml:space="preserve"> </w:t>
      </w:r>
      <w:r w:rsidR="00B42F66" w:rsidRPr="00E81763">
        <w:rPr>
          <w:color w:val="auto"/>
        </w:rPr>
        <w:t>After due deliberation, considering the totality of the evidence and mindful of VASRD §4.3 (reasonable doubt), t</w:t>
      </w:r>
      <w:r w:rsidR="00B42F66">
        <w:rPr>
          <w:color w:val="auto"/>
        </w:rPr>
        <w:t xml:space="preserve">he Board </w:t>
      </w:r>
      <w:r w:rsidR="008B77DD">
        <w:rPr>
          <w:color w:val="auto"/>
        </w:rPr>
        <w:t>can recommend no change in the PEB’s</w:t>
      </w:r>
      <w:r w:rsidR="00B42F66">
        <w:rPr>
          <w:color w:val="auto"/>
        </w:rPr>
        <w:t xml:space="preserve"> permanent</w:t>
      </w:r>
      <w:r w:rsidR="00B42F66" w:rsidRPr="00E81763">
        <w:rPr>
          <w:color w:val="auto"/>
        </w:rPr>
        <w:t xml:space="preserve"> </w:t>
      </w:r>
      <w:r w:rsidR="00B56603">
        <w:rPr>
          <w:color w:val="auto"/>
        </w:rPr>
        <w:t>s</w:t>
      </w:r>
      <w:r w:rsidR="008B77DD">
        <w:rPr>
          <w:color w:val="auto"/>
        </w:rPr>
        <w:t>ervice</w:t>
      </w:r>
      <w:r w:rsidR="00B42F66" w:rsidRPr="00E81763">
        <w:rPr>
          <w:color w:val="auto"/>
        </w:rPr>
        <w:t xml:space="preserve"> rating of </w:t>
      </w:r>
      <w:r w:rsidR="00B42F66">
        <w:rPr>
          <w:color w:val="auto"/>
        </w:rPr>
        <w:t>1</w:t>
      </w:r>
      <w:r w:rsidR="00B42F66" w:rsidRPr="00E81763">
        <w:rPr>
          <w:color w:val="auto"/>
        </w:rPr>
        <w:t xml:space="preserve">0% </w:t>
      </w:r>
      <w:r w:rsidR="00B42F66">
        <w:rPr>
          <w:color w:val="auto"/>
        </w:rPr>
        <w:t xml:space="preserve">for </w:t>
      </w:r>
      <w:r w:rsidR="008B77DD">
        <w:rPr>
          <w:color w:val="auto"/>
        </w:rPr>
        <w:t>anxiety</w:t>
      </w:r>
      <w:r w:rsidR="00B42F66">
        <w:rPr>
          <w:color w:val="auto"/>
        </w:rPr>
        <w:t xml:space="preserve"> disorder </w:t>
      </w:r>
      <w:r w:rsidR="00B42F66" w:rsidRPr="00E81763">
        <w:rPr>
          <w:color w:val="auto"/>
        </w:rPr>
        <w:t xml:space="preserve">in this case.  </w:t>
      </w:r>
    </w:p>
    <w:p w:rsidR="00AD2379" w:rsidRPr="006E77D6"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B55FB5" w:rsidRPr="000267DF" w:rsidRDefault="00AD2379" w:rsidP="00B55FB5">
      <w:pPr>
        <w:jc w:val="both"/>
        <w:rPr>
          <w:rFonts w:cstheme="minorBidi"/>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w:t>
      </w:r>
      <w:r w:rsidR="006E77D6">
        <w:rPr>
          <w:rFonts w:eastAsia="Calibri" w:cs="Times New Roman"/>
          <w:color w:val="auto"/>
          <w:szCs w:val="24"/>
        </w:rPr>
        <w:t>DoDI 1332.39</w:t>
      </w:r>
      <w:r w:rsidR="00241B01" w:rsidRPr="00241B01">
        <w:rPr>
          <w:rFonts w:eastAsia="Calibri" w:cs="Times New Roman"/>
          <w:color w:val="auto"/>
          <w:szCs w:val="24"/>
        </w:rPr>
        <w:t xml:space="preserve"> for rating </w:t>
      </w:r>
      <w:r w:rsidR="006E77D6" w:rsidRPr="00796B0A">
        <w:rPr>
          <w:rFonts w:eastAsia="Calibri" w:cs="Times New Roman"/>
          <w:color w:val="auto"/>
          <w:szCs w:val="24"/>
        </w:rPr>
        <w:t>anxiety disorder</w:t>
      </w:r>
      <w:r w:rsidR="00241B01" w:rsidRPr="00796B0A">
        <w:rPr>
          <w:rFonts w:eastAsia="Calibri" w:cs="Times New Roman"/>
          <w:color w:val="auto"/>
          <w:szCs w:val="24"/>
        </w:rPr>
        <w:t xml:space="preserve"> was operant in this case and the condition was adjudicated independently of that policy by the Board. </w:t>
      </w:r>
      <w:r w:rsidR="00A541E4" w:rsidRPr="00796B0A">
        <w:rPr>
          <w:rFonts w:eastAsia="Calibri" w:cs="Times New Roman"/>
          <w:color w:val="auto"/>
          <w:szCs w:val="24"/>
        </w:rPr>
        <w:t xml:space="preserve"> Since </w:t>
      </w:r>
      <w:r w:rsidR="00A541E4" w:rsidRPr="00796B0A">
        <w:rPr>
          <w:color w:val="auto"/>
          <w:szCs w:val="24"/>
        </w:rPr>
        <w:t>DoDI 6040.44</w:t>
      </w:r>
      <w:r w:rsidR="007A4E4C">
        <w:rPr>
          <w:color w:val="auto"/>
          <w:szCs w:val="24"/>
        </w:rPr>
        <w:t>, Enclosure 3</w:t>
      </w:r>
      <w:proofErr w:type="gramStart"/>
      <w:r w:rsidR="007A4E4C">
        <w:rPr>
          <w:color w:val="auto"/>
          <w:szCs w:val="24"/>
        </w:rPr>
        <w:t xml:space="preserve">, </w:t>
      </w:r>
      <w:r w:rsidR="00A541E4" w:rsidRPr="00796B0A">
        <w:rPr>
          <w:color w:val="auto"/>
          <w:szCs w:val="24"/>
        </w:rPr>
        <w:t xml:space="preserve"> 4.d</w:t>
      </w:r>
      <w:proofErr w:type="gramEnd"/>
      <w:r w:rsidR="007A4E4C">
        <w:rPr>
          <w:color w:val="auto"/>
          <w:szCs w:val="24"/>
        </w:rPr>
        <w:t>.,</w:t>
      </w:r>
      <w:r w:rsidR="00A541E4" w:rsidRPr="00796B0A">
        <w:rPr>
          <w:color w:val="auto"/>
          <w:szCs w:val="24"/>
        </w:rPr>
        <w:t xml:space="preserve"> directs that all statutes and directives in effect which do not conflict with the VASRD will be followed</w:t>
      </w:r>
      <w:r w:rsidR="00A541E4" w:rsidRPr="00796B0A">
        <w:rPr>
          <w:rFonts w:cstheme="minorBidi"/>
          <w:color w:val="auto"/>
          <w:szCs w:val="24"/>
        </w:rPr>
        <w:t xml:space="preserve">, the Board’s has determined that the </w:t>
      </w:r>
      <w:r w:rsidR="00A541E4" w:rsidRPr="00796B0A">
        <w:rPr>
          <w:color w:val="000000"/>
        </w:rPr>
        <w:t>attention-deficit hyperactivity disorder</w:t>
      </w:r>
      <w:r w:rsidR="00A541E4" w:rsidRPr="00796B0A">
        <w:rPr>
          <w:rFonts w:cstheme="minorBidi"/>
          <w:color w:val="auto"/>
          <w:szCs w:val="24"/>
        </w:rPr>
        <w:t xml:space="preserve"> is not eligible for </w:t>
      </w:r>
      <w:r w:rsidR="00B56603">
        <w:rPr>
          <w:rFonts w:cstheme="minorBidi"/>
          <w:color w:val="auto"/>
          <w:szCs w:val="24"/>
        </w:rPr>
        <w:t>s</w:t>
      </w:r>
      <w:r w:rsidR="00A541E4" w:rsidRPr="00796B0A">
        <w:rPr>
          <w:rFonts w:cstheme="minorBidi"/>
          <w:color w:val="auto"/>
          <w:szCs w:val="24"/>
        </w:rPr>
        <w:t xml:space="preserve">ervice disability rating IAW </w:t>
      </w:r>
      <w:r w:rsidR="00A541E4" w:rsidRPr="00796B0A">
        <w:rPr>
          <w:color w:val="000000"/>
        </w:rPr>
        <w:t xml:space="preserve">DoDI 1332.39 (E5.1.3.4), which was in effect at the time of permanent separation and </w:t>
      </w:r>
      <w:r w:rsidR="00A541E4" w:rsidRPr="00796B0A">
        <w:rPr>
          <w:rFonts w:cstheme="minorBidi"/>
          <w:color w:val="auto"/>
          <w:szCs w:val="24"/>
        </w:rPr>
        <w:t>not superseded by VASRD guidance.</w:t>
      </w:r>
      <w:r w:rsidR="000267DF" w:rsidRPr="00796B0A">
        <w:rPr>
          <w:rFonts w:cstheme="minorBidi"/>
          <w:color w:val="auto"/>
          <w:szCs w:val="24"/>
        </w:rPr>
        <w:t xml:space="preserve">  In the matter of the anxiety disorder, the Board unanimously recommends no change in the </w:t>
      </w:r>
      <w:r w:rsidR="00B56603">
        <w:rPr>
          <w:rFonts w:cstheme="minorBidi"/>
          <w:color w:val="auto"/>
          <w:szCs w:val="24"/>
        </w:rPr>
        <w:t>s</w:t>
      </w:r>
      <w:r w:rsidR="000267DF" w:rsidRPr="00796B0A">
        <w:rPr>
          <w:rFonts w:cstheme="minorBidi"/>
          <w:color w:val="auto"/>
          <w:szCs w:val="24"/>
        </w:rPr>
        <w:t xml:space="preserve">ervice rating of 30% during the prescribed period of TDRL; and, no change in the permanent </w:t>
      </w:r>
      <w:r w:rsidR="00B56603">
        <w:rPr>
          <w:rFonts w:cstheme="minorBidi"/>
          <w:color w:val="auto"/>
          <w:szCs w:val="24"/>
        </w:rPr>
        <w:t>s</w:t>
      </w:r>
      <w:r w:rsidR="000267DF" w:rsidRPr="00796B0A">
        <w:rPr>
          <w:rFonts w:cstheme="minorBidi"/>
          <w:color w:val="auto"/>
          <w:szCs w:val="24"/>
        </w:rPr>
        <w:t xml:space="preserve">ervice disability rating of 10%, coded 9413 IAW VASRD §4.130.  </w:t>
      </w:r>
      <w:r w:rsidR="00B55FB5" w:rsidRPr="00796B0A">
        <w:rPr>
          <w:rFonts w:eastAsia="Calibri" w:cs="Times New Roman"/>
          <w:color w:val="auto"/>
          <w:szCs w:val="24"/>
        </w:rPr>
        <w:t>There were no other conditions</w:t>
      </w:r>
      <w:r w:rsidR="00B55FB5" w:rsidRPr="000267DF">
        <w:rPr>
          <w:rFonts w:eastAsia="Calibri" w:cs="Times New Roman"/>
          <w:color w:val="auto"/>
          <w:szCs w:val="24"/>
        </w:rPr>
        <w:t xml:space="preserve">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05259B" w:rsidRPr="00796B0A" w:rsidRDefault="00AD2379" w:rsidP="00796B0A">
      <w:pPr>
        <w:jc w:val="both"/>
        <w:rPr>
          <w:color w:val="auto"/>
          <w:szCs w:val="24"/>
        </w:rPr>
      </w:pPr>
      <w:r w:rsidRPr="00796B0A">
        <w:rPr>
          <w:color w:val="auto"/>
          <w:szCs w:val="24"/>
          <w:u w:val="single"/>
        </w:rPr>
        <w:t>RECOMMENDATION</w:t>
      </w:r>
      <w:r w:rsidRPr="00796B0A">
        <w:rPr>
          <w:color w:val="auto"/>
          <w:szCs w:val="24"/>
        </w:rPr>
        <w:t xml:space="preserve">: </w:t>
      </w:r>
      <w:r w:rsidR="0005259B" w:rsidRPr="00796B0A">
        <w:rPr>
          <w:color w:val="auto"/>
          <w:szCs w:val="24"/>
        </w:rPr>
        <w:t xml:space="preserve">The Board recommends that the CI’s prior determination remain unmodified as follows; with a disability rating of 30% for the prescribed period of TDRL and a final </w:t>
      </w:r>
      <w:r w:rsidR="00B56603">
        <w:rPr>
          <w:color w:val="auto"/>
          <w:szCs w:val="24"/>
        </w:rPr>
        <w:t>s</w:t>
      </w:r>
      <w:r w:rsidR="0005259B" w:rsidRPr="00796B0A">
        <w:rPr>
          <w:color w:val="auto"/>
          <w:szCs w:val="24"/>
        </w:rPr>
        <w:t>ervice disability rating of 10%, effective as of the date of her prior medical separation:</w:t>
      </w:r>
      <w:r w:rsidR="00235E47" w:rsidRPr="00796B0A">
        <w:rPr>
          <w:color w:val="auto"/>
          <w:szCs w:val="24"/>
        </w:rPr>
        <w:t xml:space="preserve"> </w:t>
      </w:r>
    </w:p>
    <w:p w:rsidR="00235E47" w:rsidRDefault="00235E47" w:rsidP="00BF0E94">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071071" w:rsidRPr="00071071" w:rsidTr="00CB274E">
        <w:trPr>
          <w:trHeight w:val="206"/>
          <w:jc w:val="center"/>
        </w:trPr>
        <w:tc>
          <w:tcPr>
            <w:tcW w:w="5490" w:type="dxa"/>
            <w:vMerge w:val="restart"/>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UNFITTING CONDITION</w:t>
            </w:r>
          </w:p>
        </w:tc>
        <w:tc>
          <w:tcPr>
            <w:tcW w:w="1530" w:type="dxa"/>
            <w:vMerge w:val="restart"/>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071071" w:rsidRPr="00071071" w:rsidRDefault="00071071" w:rsidP="00071071">
            <w:pPr>
              <w:rPr>
                <w:color w:val="000000"/>
              </w:rPr>
            </w:pPr>
            <w:r w:rsidRPr="00071071">
              <w:rPr>
                <w:rFonts w:eastAsia="Calibri" w:cs="Times New Roman"/>
                <w:b/>
                <w:color w:val="auto"/>
                <w:szCs w:val="24"/>
              </w:rPr>
              <w:t>RATING</w:t>
            </w:r>
          </w:p>
        </w:tc>
      </w:tr>
      <w:tr w:rsidR="00071071" w:rsidRPr="00071071" w:rsidTr="00CB274E">
        <w:trPr>
          <w:trHeight w:val="194"/>
          <w:jc w:val="center"/>
        </w:trPr>
        <w:tc>
          <w:tcPr>
            <w:tcW w:w="5490" w:type="dxa"/>
            <w:vMerge/>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071071" w:rsidRDefault="00071071" w:rsidP="00071071">
            <w:pPr>
              <w:rPr>
                <w:color w:val="000000"/>
              </w:rPr>
            </w:pPr>
            <w:r w:rsidRPr="00071071">
              <w:rPr>
                <w:rFonts w:eastAsia="Calibri" w:cs="Times New Roman"/>
                <w:b/>
                <w:color w:val="auto"/>
                <w:szCs w:val="24"/>
              </w:rPr>
              <w:t>TDRL</w:t>
            </w:r>
          </w:p>
        </w:tc>
        <w:tc>
          <w:tcPr>
            <w:tcW w:w="1530" w:type="dxa"/>
            <w:tcBorders>
              <w:top w:val="single" w:sz="4" w:space="0" w:color="auto"/>
            </w:tcBorders>
            <w:shd w:val="pct15" w:color="auto" w:fill="auto"/>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PERMANENT</w:t>
            </w:r>
          </w:p>
        </w:tc>
      </w:tr>
      <w:tr w:rsidR="00071071" w:rsidRPr="00071071" w:rsidTr="00CB274E">
        <w:trPr>
          <w:trHeight w:val="197"/>
          <w:jc w:val="center"/>
        </w:trPr>
        <w:tc>
          <w:tcPr>
            <w:tcW w:w="5490" w:type="dxa"/>
            <w:vAlign w:val="center"/>
          </w:tcPr>
          <w:p w:rsidR="00071071" w:rsidRPr="00071071" w:rsidRDefault="0005259B" w:rsidP="00071071">
            <w:pPr>
              <w:tabs>
                <w:tab w:val="left" w:pos="288"/>
                <w:tab w:val="left" w:pos="4752"/>
              </w:tabs>
              <w:jc w:val="left"/>
              <w:rPr>
                <w:rFonts w:eastAsia="Calibri" w:cs="Times New Roman"/>
                <w:color w:val="auto"/>
                <w:szCs w:val="24"/>
              </w:rPr>
            </w:pPr>
            <w:r>
              <w:rPr>
                <w:color w:val="000000"/>
              </w:rPr>
              <w:t>Anxiety Disorder</w:t>
            </w:r>
          </w:p>
        </w:tc>
        <w:tc>
          <w:tcPr>
            <w:tcW w:w="1530" w:type="dxa"/>
            <w:tcBorders>
              <w:bottom w:val="single" w:sz="4" w:space="0" w:color="000000"/>
            </w:tcBorders>
            <w:vAlign w:val="center"/>
          </w:tcPr>
          <w:p w:rsidR="00071071" w:rsidRPr="000D5DBE" w:rsidRDefault="0005259B" w:rsidP="00071071">
            <w:pPr>
              <w:tabs>
                <w:tab w:val="left" w:pos="288"/>
                <w:tab w:val="left" w:pos="4752"/>
              </w:tabs>
              <w:rPr>
                <w:color w:val="000000"/>
              </w:rPr>
            </w:pPr>
            <w:r>
              <w:rPr>
                <w:color w:val="000000"/>
              </w:rPr>
              <w:t>9413</w:t>
            </w:r>
          </w:p>
        </w:tc>
        <w:tc>
          <w:tcPr>
            <w:tcW w:w="810" w:type="dxa"/>
            <w:tcBorders>
              <w:bottom w:val="single" w:sz="4" w:space="0" w:color="000000"/>
            </w:tcBorders>
            <w:vAlign w:val="center"/>
          </w:tcPr>
          <w:p w:rsidR="00071071" w:rsidRPr="000D5DBE" w:rsidRDefault="0005259B" w:rsidP="00071071">
            <w:pPr>
              <w:tabs>
                <w:tab w:val="left" w:pos="288"/>
                <w:tab w:val="left" w:pos="4752"/>
              </w:tabs>
              <w:rPr>
                <w:color w:val="000000"/>
              </w:rPr>
            </w:pPr>
            <w:r>
              <w:rPr>
                <w:color w:val="000000"/>
              </w:rPr>
              <w:t>3</w:t>
            </w:r>
            <w:r w:rsidR="00071071" w:rsidRPr="000D5DBE">
              <w:rPr>
                <w:color w:val="000000"/>
              </w:rPr>
              <w:t>0%</w:t>
            </w:r>
          </w:p>
        </w:tc>
        <w:tc>
          <w:tcPr>
            <w:tcW w:w="1530" w:type="dxa"/>
            <w:tcBorders>
              <w:bottom w:val="single" w:sz="4" w:space="0" w:color="000000"/>
            </w:tcBorders>
            <w:vAlign w:val="center"/>
          </w:tcPr>
          <w:p w:rsidR="00071071" w:rsidRPr="00071071" w:rsidRDefault="0005259B" w:rsidP="00071071">
            <w:pPr>
              <w:tabs>
                <w:tab w:val="left" w:pos="288"/>
                <w:tab w:val="left" w:pos="4752"/>
              </w:tabs>
              <w:rPr>
                <w:rFonts w:eastAsia="Calibri" w:cs="Times New Roman"/>
                <w:color w:val="auto"/>
                <w:szCs w:val="24"/>
              </w:rPr>
            </w:pPr>
            <w:r>
              <w:rPr>
                <w:rFonts w:eastAsia="Calibri" w:cs="Times New Roman"/>
                <w:color w:val="auto"/>
                <w:szCs w:val="24"/>
              </w:rPr>
              <w:t>1</w:t>
            </w:r>
            <w:r w:rsidR="00071071" w:rsidRPr="00071071">
              <w:rPr>
                <w:rFonts w:eastAsia="Calibri" w:cs="Times New Roman"/>
                <w:color w:val="auto"/>
                <w:szCs w:val="24"/>
              </w:rPr>
              <w:t>0%</w:t>
            </w:r>
          </w:p>
        </w:tc>
      </w:tr>
      <w:tr w:rsidR="0005259B" w:rsidRPr="00071071" w:rsidTr="00984726">
        <w:trPr>
          <w:trHeight w:val="197"/>
          <w:jc w:val="center"/>
        </w:trPr>
        <w:tc>
          <w:tcPr>
            <w:tcW w:w="5490" w:type="dxa"/>
            <w:vAlign w:val="center"/>
          </w:tcPr>
          <w:p w:rsidR="0005259B" w:rsidRDefault="0005259B" w:rsidP="00071071">
            <w:pPr>
              <w:tabs>
                <w:tab w:val="left" w:pos="288"/>
                <w:tab w:val="left" w:pos="4752"/>
              </w:tabs>
              <w:jc w:val="left"/>
              <w:rPr>
                <w:color w:val="000000"/>
              </w:rPr>
            </w:pPr>
            <w:r w:rsidRPr="0005259B">
              <w:rPr>
                <w:color w:val="000000"/>
              </w:rPr>
              <w:t>Attention-Deficit Hyperactivity Disorder</w:t>
            </w:r>
          </w:p>
        </w:tc>
        <w:tc>
          <w:tcPr>
            <w:tcW w:w="3870" w:type="dxa"/>
            <w:gridSpan w:val="3"/>
            <w:tcBorders>
              <w:bottom w:val="single" w:sz="4" w:space="0" w:color="000000"/>
            </w:tcBorders>
            <w:vAlign w:val="center"/>
          </w:tcPr>
          <w:p w:rsidR="0005259B" w:rsidRDefault="0005259B" w:rsidP="00071071">
            <w:pPr>
              <w:tabs>
                <w:tab w:val="left" w:pos="288"/>
                <w:tab w:val="left" w:pos="4752"/>
              </w:tabs>
              <w:rPr>
                <w:rFonts w:eastAsia="Calibri" w:cs="Times New Roman"/>
                <w:color w:val="auto"/>
                <w:szCs w:val="24"/>
              </w:rPr>
            </w:pPr>
            <w:r>
              <w:rPr>
                <w:rFonts w:eastAsia="Calibri" w:cs="Times New Roman"/>
                <w:color w:val="auto"/>
                <w:szCs w:val="24"/>
              </w:rPr>
              <w:t>Not ratable IAW DoDI 1332.38.</w:t>
            </w:r>
          </w:p>
        </w:tc>
      </w:tr>
      <w:tr w:rsidR="00071071" w:rsidRPr="00071071" w:rsidTr="00CB274E">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COMBINED</w:t>
            </w:r>
          </w:p>
        </w:tc>
        <w:tc>
          <w:tcPr>
            <w:tcW w:w="810" w:type="dxa"/>
            <w:tcBorders>
              <w:left w:val="single" w:sz="4" w:space="0" w:color="auto"/>
            </w:tcBorders>
            <w:shd w:val="pct15" w:color="auto" w:fill="auto"/>
            <w:vAlign w:val="center"/>
          </w:tcPr>
          <w:p w:rsidR="00071071" w:rsidRPr="00071071" w:rsidRDefault="0005259B" w:rsidP="00071071">
            <w:pPr>
              <w:tabs>
                <w:tab w:val="left" w:pos="288"/>
                <w:tab w:val="left" w:pos="4752"/>
              </w:tabs>
              <w:rPr>
                <w:rFonts w:eastAsia="Calibri" w:cs="Times New Roman"/>
                <w:b/>
                <w:color w:val="auto"/>
                <w:szCs w:val="24"/>
              </w:rPr>
            </w:pPr>
            <w:r>
              <w:rPr>
                <w:rFonts w:eastAsia="Calibri" w:cs="Times New Roman"/>
                <w:b/>
                <w:color w:val="auto"/>
                <w:szCs w:val="24"/>
              </w:rPr>
              <w:t>3</w:t>
            </w:r>
            <w:r w:rsidR="00071071" w:rsidRPr="00071071">
              <w:rPr>
                <w:rFonts w:eastAsia="Calibri" w:cs="Times New Roman"/>
                <w:b/>
                <w:color w:val="auto"/>
                <w:szCs w:val="24"/>
              </w:rPr>
              <w:t>0%</w:t>
            </w:r>
          </w:p>
        </w:tc>
        <w:tc>
          <w:tcPr>
            <w:tcW w:w="1530" w:type="dxa"/>
            <w:shd w:val="pct15" w:color="auto" w:fill="auto"/>
            <w:vAlign w:val="center"/>
          </w:tcPr>
          <w:p w:rsidR="00071071" w:rsidRPr="00071071" w:rsidRDefault="0005259B" w:rsidP="00071071">
            <w:pPr>
              <w:tabs>
                <w:tab w:val="left" w:pos="288"/>
                <w:tab w:val="left" w:pos="4752"/>
              </w:tabs>
              <w:rPr>
                <w:rFonts w:eastAsia="Calibri" w:cs="Times New Roman"/>
                <w:b/>
                <w:color w:val="auto"/>
                <w:szCs w:val="24"/>
              </w:rPr>
            </w:pPr>
            <w:r>
              <w:rPr>
                <w:rFonts w:eastAsia="Calibri" w:cs="Times New Roman"/>
                <w:b/>
                <w:color w:val="auto"/>
                <w:szCs w:val="24"/>
              </w:rPr>
              <w:t>1</w:t>
            </w:r>
            <w:r w:rsidR="00071071" w:rsidRPr="00071071">
              <w:rPr>
                <w:rFonts w:eastAsia="Calibri" w:cs="Times New Roman"/>
                <w:b/>
                <w:color w:val="auto"/>
                <w:szCs w:val="24"/>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w:t>
      </w:r>
      <w:r w:rsidRPr="00A017FF">
        <w:rPr>
          <w:color w:val="000000"/>
        </w:rPr>
        <w:t xml:space="preserve">dated </w:t>
      </w:r>
      <w:r w:rsidR="00A017FF" w:rsidRPr="00A017FF">
        <w:rPr>
          <w:color w:val="000000"/>
        </w:rPr>
        <w:t>20110803</w:t>
      </w:r>
      <w:r w:rsidRPr="00A017FF">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B56603">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B56603">
        <w:rPr>
          <w:color w:val="000000"/>
        </w:rPr>
        <w:t>’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DE2D5F">
        <w:rPr>
          <w:color w:val="000000"/>
        </w:rPr>
        <w:t>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DE2D5F" w:rsidRDefault="00AD2379" w:rsidP="00BF0E94">
      <w:pPr>
        <w:tabs>
          <w:tab w:val="left" w:pos="0"/>
          <w:tab w:val="left" w:pos="4320"/>
        </w:tabs>
        <w:jc w:val="both"/>
        <w:rPr>
          <w:color w:val="000000"/>
        </w:rPr>
      </w:pPr>
      <w:r w:rsidRPr="001F29F9">
        <w:rPr>
          <w:color w:val="000000"/>
        </w:rPr>
        <w:tab/>
        <w:t xml:space="preserve">           Physical Disability Board of Review</w:t>
      </w:r>
    </w:p>
    <w:p w:rsidR="00DE2D5F" w:rsidRDefault="00DE2D5F">
      <w:pPr>
        <w:spacing w:line="240" w:lineRule="auto"/>
        <w:jc w:val="left"/>
        <w:rPr>
          <w:color w:val="000000"/>
        </w:rPr>
      </w:pPr>
      <w:r>
        <w:rPr>
          <w:color w:val="000000"/>
        </w:rPr>
        <w:br w:type="page"/>
      </w:r>
    </w:p>
    <w:p w:rsidR="00DE2D5F" w:rsidRDefault="00DE2D5F" w:rsidP="00DE2D5F">
      <w:pPr>
        <w:sectPr w:rsidR="00DE2D5F">
          <w:pgSz w:w="12240" w:h="15840"/>
          <w:pgMar w:top="2160" w:right="1440" w:bottom="1440" w:left="1440" w:header="720" w:footer="720" w:gutter="0"/>
          <w:cols w:space="720"/>
        </w:sectPr>
      </w:pPr>
    </w:p>
    <w:p w:rsidR="00DE2D5F" w:rsidRDefault="00DE2D5F" w:rsidP="00DE2D5F">
      <w:pPr>
        <w:pStyle w:val="Header"/>
        <w:tabs>
          <w:tab w:val="left" w:pos="720"/>
        </w:tabs>
        <w:jc w:val="left"/>
      </w:pPr>
      <w:r>
        <w:lastRenderedPageBreak/>
        <w:t>SFMR-RB</w:t>
      </w:r>
      <w:r>
        <w:tab/>
      </w:r>
      <w:r>
        <w:tab/>
      </w:r>
      <w:r>
        <w:tab/>
      </w:r>
      <w:r>
        <w:tab/>
      </w:r>
      <w:r>
        <w:tab/>
      </w:r>
      <w:r>
        <w:tab/>
      </w:r>
      <w:r>
        <w:tab/>
      </w:r>
      <w:r>
        <w:tab/>
      </w:r>
      <w:r>
        <w:tab/>
      </w:r>
    </w:p>
    <w:p w:rsidR="00DE2D5F" w:rsidRDefault="00DE2D5F" w:rsidP="00DE2D5F">
      <w:pPr>
        <w:pStyle w:val="Header"/>
        <w:tabs>
          <w:tab w:val="left" w:pos="720"/>
        </w:tabs>
        <w:jc w:val="left"/>
      </w:pPr>
    </w:p>
    <w:p w:rsidR="00DE2D5F" w:rsidRDefault="00DE2D5F" w:rsidP="00DE2D5F">
      <w:pPr>
        <w:jc w:val="left"/>
      </w:pPr>
    </w:p>
    <w:p w:rsidR="00DE2D5F" w:rsidRDefault="00DE2D5F" w:rsidP="00DE2D5F">
      <w:pPr>
        <w:jc w:val="left"/>
      </w:pPr>
      <w:r>
        <w:t xml:space="preserve">MEMORANDUM FOR Commander, US Army Physical Disability Agency </w:t>
      </w:r>
    </w:p>
    <w:p w:rsidR="00DE2D5F" w:rsidRDefault="00DE2D5F" w:rsidP="00DE2D5F">
      <w:pPr>
        <w:jc w:val="left"/>
      </w:pPr>
      <w:r>
        <w:t xml:space="preserve">(TAPD-ZB </w:t>
      </w:r>
      <w:proofErr w:type="gramStart"/>
      <w:r>
        <w:t>/  )</w:t>
      </w:r>
      <w:proofErr w:type="gramEnd"/>
      <w:r>
        <w:t>, 2900 Crystal Drive, Suite 300, Arlington, VA  22202</w:t>
      </w:r>
    </w:p>
    <w:p w:rsidR="00DE2D5F" w:rsidRDefault="00DE2D5F" w:rsidP="00DE2D5F">
      <w:pPr>
        <w:jc w:val="left"/>
      </w:pPr>
    </w:p>
    <w:p w:rsidR="00DE2D5F" w:rsidRDefault="00DE2D5F" w:rsidP="00DE2D5F">
      <w:pPr>
        <w:ind w:right="-180"/>
        <w:jc w:val="left"/>
      </w:pPr>
      <w:r>
        <w:t>SUBJECT:  Department of Defense Physical Disability Board of Review Recommendation for XXXXXXXXXXXXXXXXX, AR20120008892 (PD201100573)</w:t>
      </w:r>
    </w:p>
    <w:p w:rsidR="00DE2D5F" w:rsidRDefault="00DE2D5F" w:rsidP="00DE2D5F">
      <w:pPr>
        <w:pStyle w:val="Header"/>
        <w:tabs>
          <w:tab w:val="left" w:pos="720"/>
        </w:tabs>
        <w:jc w:val="left"/>
      </w:pPr>
    </w:p>
    <w:p w:rsidR="00DE2D5F" w:rsidRDefault="00DE2D5F" w:rsidP="00DE2D5F">
      <w:pPr>
        <w:jc w:val="left"/>
      </w:pPr>
    </w:p>
    <w:p w:rsidR="00DE2D5F" w:rsidRDefault="00DE2D5F" w:rsidP="00DE2D5F">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DE2D5F" w:rsidRDefault="00DE2D5F" w:rsidP="00DE2D5F">
      <w:pPr>
        <w:jc w:val="left"/>
      </w:pPr>
      <w:r>
        <w:t>This decision is final.  The individual concerned, counsel (if any), and any Members of Congress who have shown interest in this application have been notified of this decision by mail.</w:t>
      </w:r>
    </w:p>
    <w:p w:rsidR="00DE2D5F" w:rsidRDefault="00DE2D5F" w:rsidP="00DE2D5F">
      <w:pPr>
        <w:jc w:val="left"/>
      </w:pPr>
    </w:p>
    <w:p w:rsidR="00DE2D5F" w:rsidRDefault="00DE2D5F" w:rsidP="00DE2D5F">
      <w:pPr>
        <w:jc w:val="left"/>
      </w:pPr>
      <w:r>
        <w:t xml:space="preserve"> BY ORDER OF THE SECRETARY OF THE ARMY:</w:t>
      </w:r>
    </w:p>
    <w:p w:rsidR="00DE2D5F" w:rsidRDefault="00DE2D5F" w:rsidP="00DE2D5F">
      <w:pPr>
        <w:jc w:val="left"/>
      </w:pPr>
    </w:p>
    <w:p w:rsidR="00DE2D5F" w:rsidRDefault="00DE2D5F" w:rsidP="00DE2D5F">
      <w:pPr>
        <w:jc w:val="left"/>
      </w:pPr>
    </w:p>
    <w:p w:rsidR="00DE2D5F" w:rsidRDefault="00DE2D5F" w:rsidP="00DE2D5F">
      <w:pPr>
        <w:pStyle w:val="Header"/>
        <w:tabs>
          <w:tab w:val="left" w:pos="720"/>
        </w:tabs>
        <w:jc w:val="left"/>
      </w:pPr>
    </w:p>
    <w:p w:rsidR="00DE2D5F" w:rsidRDefault="00DE2D5F" w:rsidP="00DE2D5F">
      <w:pPr>
        <w:jc w:val="left"/>
      </w:pPr>
    </w:p>
    <w:p w:rsidR="00DE2D5F" w:rsidRDefault="00DE2D5F" w:rsidP="00DE2D5F">
      <w:pPr>
        <w:jc w:val="left"/>
      </w:pPr>
      <w:bookmarkStart w:id="0" w:name="OLE_LINK4"/>
      <w:bookmarkStart w:id="1" w:name="OLE_LINK3"/>
      <w:r>
        <w:t>Encl</w:t>
      </w:r>
      <w:r>
        <w:tab/>
      </w:r>
      <w:r>
        <w:tab/>
      </w:r>
      <w:r>
        <w:tab/>
      </w:r>
      <w:r>
        <w:tab/>
      </w:r>
      <w:r>
        <w:tab/>
      </w:r>
      <w:r>
        <w:tab/>
        <w:t xml:space="preserve">     XXXXXXXXXX</w:t>
      </w:r>
    </w:p>
    <w:p w:rsidR="00DE2D5F" w:rsidRDefault="00DE2D5F" w:rsidP="00DE2D5F">
      <w:pPr>
        <w:jc w:val="left"/>
      </w:pPr>
      <w:r>
        <w:tab/>
      </w:r>
      <w:r>
        <w:tab/>
      </w:r>
      <w:r>
        <w:tab/>
      </w:r>
      <w:r>
        <w:tab/>
      </w:r>
      <w:r>
        <w:tab/>
      </w:r>
      <w:r>
        <w:tab/>
        <w:t xml:space="preserve">     Deputy Assistant Secretary</w:t>
      </w:r>
    </w:p>
    <w:p w:rsidR="00DE2D5F" w:rsidRDefault="00DE2D5F" w:rsidP="00DE2D5F">
      <w:pPr>
        <w:jc w:val="left"/>
      </w:pPr>
      <w:r>
        <w:tab/>
      </w:r>
      <w:r>
        <w:tab/>
      </w:r>
      <w:r>
        <w:tab/>
      </w:r>
      <w:r>
        <w:tab/>
      </w:r>
      <w:r>
        <w:tab/>
      </w:r>
      <w:r>
        <w:tab/>
        <w:t xml:space="preserve">         (Army Review Boards)</w:t>
      </w:r>
      <w:bookmarkEnd w:id="0"/>
      <w:bookmarkEnd w:id="1"/>
    </w:p>
    <w:p w:rsidR="00DE2D5F" w:rsidRDefault="00DE2D5F" w:rsidP="00DE2D5F">
      <w:pPr>
        <w:jc w:val="left"/>
      </w:pPr>
    </w:p>
    <w:p w:rsidR="00DE2D5F" w:rsidRDefault="00DE2D5F" w:rsidP="00DE2D5F">
      <w:pPr>
        <w:jc w:val="left"/>
      </w:pPr>
      <w:r>
        <w:t xml:space="preserve">CF: </w:t>
      </w:r>
    </w:p>
    <w:p w:rsidR="00DE2D5F" w:rsidRDefault="00DE2D5F" w:rsidP="00DE2D5F">
      <w:pPr>
        <w:jc w:val="left"/>
      </w:pPr>
      <w:r>
        <w:t xml:space="preserve">(  ) </w:t>
      </w:r>
      <w:proofErr w:type="gramStart"/>
      <w:r>
        <w:t>DoD</w:t>
      </w:r>
      <w:proofErr w:type="gramEnd"/>
      <w:r>
        <w:t xml:space="preserve"> PDBR</w:t>
      </w:r>
    </w:p>
    <w:p w:rsidR="00DE2D5F" w:rsidRDefault="00DE2D5F" w:rsidP="00DE2D5F">
      <w:pPr>
        <w:jc w:val="left"/>
      </w:pPr>
      <w:r>
        <w:t>(  ) DVA</w:t>
      </w:r>
    </w:p>
    <w:p w:rsidR="00DE2D5F" w:rsidRDefault="00DE2D5F" w:rsidP="00DE2D5F"/>
    <w:p w:rsidR="00AD2379" w:rsidRPr="001F29F9" w:rsidRDefault="00AD2379" w:rsidP="00BF0E94">
      <w:pPr>
        <w:tabs>
          <w:tab w:val="left" w:pos="0"/>
          <w:tab w:val="left" w:pos="4320"/>
        </w:tabs>
        <w:jc w:val="both"/>
        <w:rPr>
          <w:color w:val="000000"/>
        </w:rPr>
      </w:pPr>
    </w:p>
    <w:sectPr w:rsidR="00AD2379" w:rsidRPr="001F29F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F0" w:rsidRDefault="00565BF0">
      <w:r>
        <w:separator/>
      </w:r>
    </w:p>
  </w:endnote>
  <w:endnote w:type="continuationSeparator" w:id="0">
    <w:p w:rsidR="00565BF0" w:rsidRDefault="00565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4E" w:rsidRPr="00374247" w:rsidRDefault="00CB274E" w:rsidP="00726F84">
    <w:pPr>
      <w:pStyle w:val="Footer"/>
      <w:ind w:firstLine="4320"/>
      <w:rPr>
        <w:color w:val="auto"/>
      </w:rPr>
    </w:pPr>
    <w:r w:rsidRPr="00374247">
      <w:rPr>
        <w:color w:val="auto"/>
      </w:rPr>
      <w:t xml:space="preserve">   </w:t>
    </w:r>
    <w:fldSimple w:instr=" PAGE   \* MERGEFORMAT ">
      <w:r w:rsidR="00DE2D5F" w:rsidRPr="00DE2D5F">
        <w:rPr>
          <w:noProof/>
          <w:color w:val="auto"/>
        </w:rPr>
        <w:t>7</w:t>
      </w:r>
    </w:fldSimple>
    <w:r w:rsidRPr="00374247">
      <w:rPr>
        <w:color w:val="auto"/>
      </w:rPr>
      <w:t xml:space="preserve">                                                           </w:t>
    </w:r>
    <w:r w:rsidRPr="001D64F3">
      <w:rPr>
        <w:color w:val="auto"/>
      </w:rPr>
      <w:t>PD1</w:t>
    </w:r>
    <w:r w:rsidRPr="009369A6">
      <w:rPr>
        <w:color w:val="auto"/>
      </w:rPr>
      <w:t>100657</w:t>
    </w:r>
  </w:p>
  <w:p w:rsidR="00CB274E" w:rsidRPr="00684CE6" w:rsidRDefault="00CB274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F0" w:rsidRDefault="00565BF0">
      <w:r>
        <w:separator/>
      </w:r>
    </w:p>
  </w:footnote>
  <w:footnote w:type="continuationSeparator" w:id="0">
    <w:p w:rsidR="00565BF0" w:rsidRDefault="00565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52B8"/>
    <w:rsid w:val="00026092"/>
    <w:rsid w:val="000267D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259B"/>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878"/>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ABB"/>
    <w:rsid w:val="000D7D55"/>
    <w:rsid w:val="000E0993"/>
    <w:rsid w:val="000E2E50"/>
    <w:rsid w:val="000E37E0"/>
    <w:rsid w:val="000E3F20"/>
    <w:rsid w:val="000E4C25"/>
    <w:rsid w:val="000E4CBF"/>
    <w:rsid w:val="000E5577"/>
    <w:rsid w:val="000E655A"/>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1DA4"/>
    <w:rsid w:val="00162C40"/>
    <w:rsid w:val="00164413"/>
    <w:rsid w:val="00166182"/>
    <w:rsid w:val="0017038B"/>
    <w:rsid w:val="00170C94"/>
    <w:rsid w:val="0017139A"/>
    <w:rsid w:val="00171AA7"/>
    <w:rsid w:val="00171F97"/>
    <w:rsid w:val="001720D2"/>
    <w:rsid w:val="001724C8"/>
    <w:rsid w:val="001732C4"/>
    <w:rsid w:val="00173996"/>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356"/>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86"/>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745"/>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E47"/>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80B"/>
    <w:rsid w:val="00274E46"/>
    <w:rsid w:val="002752AE"/>
    <w:rsid w:val="00275AFD"/>
    <w:rsid w:val="002769AF"/>
    <w:rsid w:val="00276C86"/>
    <w:rsid w:val="00276FD0"/>
    <w:rsid w:val="00277217"/>
    <w:rsid w:val="002810A4"/>
    <w:rsid w:val="0028261C"/>
    <w:rsid w:val="00282DB6"/>
    <w:rsid w:val="00284A26"/>
    <w:rsid w:val="00285095"/>
    <w:rsid w:val="00287006"/>
    <w:rsid w:val="00287FF5"/>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4373"/>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7C96"/>
    <w:rsid w:val="0032066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AF5"/>
    <w:rsid w:val="00347D0D"/>
    <w:rsid w:val="00351320"/>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CDB"/>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2772"/>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02F"/>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7F2"/>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C00"/>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33A"/>
    <w:rsid w:val="00472535"/>
    <w:rsid w:val="004761CC"/>
    <w:rsid w:val="00476229"/>
    <w:rsid w:val="004766C9"/>
    <w:rsid w:val="00480D4A"/>
    <w:rsid w:val="00481DA1"/>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A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65BF0"/>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6C7"/>
    <w:rsid w:val="00586EC6"/>
    <w:rsid w:val="00587DDE"/>
    <w:rsid w:val="00593043"/>
    <w:rsid w:val="00595B60"/>
    <w:rsid w:val="00595B63"/>
    <w:rsid w:val="00595BF0"/>
    <w:rsid w:val="00597E16"/>
    <w:rsid w:val="005A0B1D"/>
    <w:rsid w:val="005A1846"/>
    <w:rsid w:val="005A258C"/>
    <w:rsid w:val="005A2B5E"/>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096B"/>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2785"/>
    <w:rsid w:val="006036C2"/>
    <w:rsid w:val="00605AAB"/>
    <w:rsid w:val="00606BEB"/>
    <w:rsid w:val="00607AC8"/>
    <w:rsid w:val="0061010C"/>
    <w:rsid w:val="0061014A"/>
    <w:rsid w:val="0061054B"/>
    <w:rsid w:val="006110FB"/>
    <w:rsid w:val="006114BB"/>
    <w:rsid w:val="00612FB0"/>
    <w:rsid w:val="0061356D"/>
    <w:rsid w:val="00613E26"/>
    <w:rsid w:val="00614392"/>
    <w:rsid w:val="00615641"/>
    <w:rsid w:val="00615A66"/>
    <w:rsid w:val="00616959"/>
    <w:rsid w:val="00617592"/>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5E47"/>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025D"/>
    <w:rsid w:val="00661BA2"/>
    <w:rsid w:val="006628CB"/>
    <w:rsid w:val="00662AD0"/>
    <w:rsid w:val="00662F08"/>
    <w:rsid w:val="00663589"/>
    <w:rsid w:val="00664296"/>
    <w:rsid w:val="00664427"/>
    <w:rsid w:val="00664840"/>
    <w:rsid w:val="006649CD"/>
    <w:rsid w:val="00665D75"/>
    <w:rsid w:val="006708E3"/>
    <w:rsid w:val="00670DDC"/>
    <w:rsid w:val="00671389"/>
    <w:rsid w:val="00671563"/>
    <w:rsid w:val="00671EB4"/>
    <w:rsid w:val="00673CDC"/>
    <w:rsid w:val="0067443B"/>
    <w:rsid w:val="006770AA"/>
    <w:rsid w:val="00680450"/>
    <w:rsid w:val="0068098E"/>
    <w:rsid w:val="006810BD"/>
    <w:rsid w:val="00682486"/>
    <w:rsid w:val="006833A7"/>
    <w:rsid w:val="00684CE6"/>
    <w:rsid w:val="00684E2B"/>
    <w:rsid w:val="006857A0"/>
    <w:rsid w:val="006870CE"/>
    <w:rsid w:val="00687316"/>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7D6"/>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00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2DBD"/>
    <w:rsid w:val="007935B8"/>
    <w:rsid w:val="00794ADE"/>
    <w:rsid w:val="00794F3D"/>
    <w:rsid w:val="007954E5"/>
    <w:rsid w:val="00795CE9"/>
    <w:rsid w:val="00796045"/>
    <w:rsid w:val="007968AC"/>
    <w:rsid w:val="007969AB"/>
    <w:rsid w:val="00796B0A"/>
    <w:rsid w:val="007973D8"/>
    <w:rsid w:val="00797801"/>
    <w:rsid w:val="007A0861"/>
    <w:rsid w:val="007A0B39"/>
    <w:rsid w:val="007A14A4"/>
    <w:rsid w:val="007A168F"/>
    <w:rsid w:val="007A2346"/>
    <w:rsid w:val="007A28E4"/>
    <w:rsid w:val="007A3BB3"/>
    <w:rsid w:val="007A3F91"/>
    <w:rsid w:val="007A3F9C"/>
    <w:rsid w:val="007A4E4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D53"/>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377D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7EB"/>
    <w:rsid w:val="008A0C99"/>
    <w:rsid w:val="008A0D4F"/>
    <w:rsid w:val="008A1CC3"/>
    <w:rsid w:val="008A39D7"/>
    <w:rsid w:val="008A55DE"/>
    <w:rsid w:val="008A5705"/>
    <w:rsid w:val="008A576E"/>
    <w:rsid w:val="008A5C34"/>
    <w:rsid w:val="008A63A9"/>
    <w:rsid w:val="008A7073"/>
    <w:rsid w:val="008A79F0"/>
    <w:rsid w:val="008A7F7E"/>
    <w:rsid w:val="008B04DB"/>
    <w:rsid w:val="008B09B4"/>
    <w:rsid w:val="008B1B11"/>
    <w:rsid w:val="008B1DF4"/>
    <w:rsid w:val="008B27FD"/>
    <w:rsid w:val="008B2FDB"/>
    <w:rsid w:val="008B3AF2"/>
    <w:rsid w:val="008B446D"/>
    <w:rsid w:val="008B496D"/>
    <w:rsid w:val="008B515D"/>
    <w:rsid w:val="008B5D31"/>
    <w:rsid w:val="008B6705"/>
    <w:rsid w:val="008B77D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38E"/>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196"/>
    <w:rsid w:val="00917182"/>
    <w:rsid w:val="00920251"/>
    <w:rsid w:val="00920259"/>
    <w:rsid w:val="00921CFD"/>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259"/>
    <w:rsid w:val="00963A7A"/>
    <w:rsid w:val="00963ED7"/>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88F"/>
    <w:rsid w:val="00990FD6"/>
    <w:rsid w:val="009935C3"/>
    <w:rsid w:val="0099421F"/>
    <w:rsid w:val="00994D33"/>
    <w:rsid w:val="00994D47"/>
    <w:rsid w:val="00994FC8"/>
    <w:rsid w:val="009A0346"/>
    <w:rsid w:val="009A0DE3"/>
    <w:rsid w:val="009A1643"/>
    <w:rsid w:val="009A1D2E"/>
    <w:rsid w:val="009A215A"/>
    <w:rsid w:val="009A26B9"/>
    <w:rsid w:val="009A3A4F"/>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17FF"/>
    <w:rsid w:val="00A02457"/>
    <w:rsid w:val="00A02AA8"/>
    <w:rsid w:val="00A03190"/>
    <w:rsid w:val="00A03A9E"/>
    <w:rsid w:val="00A0404B"/>
    <w:rsid w:val="00A06F66"/>
    <w:rsid w:val="00A0798C"/>
    <w:rsid w:val="00A07BDD"/>
    <w:rsid w:val="00A07F12"/>
    <w:rsid w:val="00A1105B"/>
    <w:rsid w:val="00A1213C"/>
    <w:rsid w:val="00A130E8"/>
    <w:rsid w:val="00A149F9"/>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4141"/>
    <w:rsid w:val="00A44CCA"/>
    <w:rsid w:val="00A44D75"/>
    <w:rsid w:val="00A47CF1"/>
    <w:rsid w:val="00A50418"/>
    <w:rsid w:val="00A50B17"/>
    <w:rsid w:val="00A53A9B"/>
    <w:rsid w:val="00A541E4"/>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68D"/>
    <w:rsid w:val="00A768E2"/>
    <w:rsid w:val="00A76A0B"/>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2961"/>
    <w:rsid w:val="00AA3593"/>
    <w:rsid w:val="00AA38CA"/>
    <w:rsid w:val="00AA493E"/>
    <w:rsid w:val="00AA73AF"/>
    <w:rsid w:val="00AB062D"/>
    <w:rsid w:val="00AB0A8A"/>
    <w:rsid w:val="00AB1754"/>
    <w:rsid w:val="00AB1F8D"/>
    <w:rsid w:val="00AB27DD"/>
    <w:rsid w:val="00AB4BA4"/>
    <w:rsid w:val="00AB592E"/>
    <w:rsid w:val="00AC0C1C"/>
    <w:rsid w:val="00AC10EA"/>
    <w:rsid w:val="00AC1305"/>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38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0211"/>
    <w:rsid w:val="00B30F37"/>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2F66"/>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603"/>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2FA8"/>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790"/>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0C0"/>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627"/>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2E5"/>
    <w:rsid w:val="00C85579"/>
    <w:rsid w:val="00C8590C"/>
    <w:rsid w:val="00C862F1"/>
    <w:rsid w:val="00C863E5"/>
    <w:rsid w:val="00C87634"/>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2DC2"/>
    <w:rsid w:val="00CA3F73"/>
    <w:rsid w:val="00CA4670"/>
    <w:rsid w:val="00CA5F89"/>
    <w:rsid w:val="00CA6B1A"/>
    <w:rsid w:val="00CA720B"/>
    <w:rsid w:val="00CB1B18"/>
    <w:rsid w:val="00CB20DC"/>
    <w:rsid w:val="00CB23DC"/>
    <w:rsid w:val="00CB244C"/>
    <w:rsid w:val="00CB2487"/>
    <w:rsid w:val="00CB274E"/>
    <w:rsid w:val="00CB28E2"/>
    <w:rsid w:val="00CB2D0A"/>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2DB1"/>
    <w:rsid w:val="00CF4340"/>
    <w:rsid w:val="00CF4394"/>
    <w:rsid w:val="00CF48B4"/>
    <w:rsid w:val="00CF5C12"/>
    <w:rsid w:val="00CF7B72"/>
    <w:rsid w:val="00CF7FC0"/>
    <w:rsid w:val="00D000A9"/>
    <w:rsid w:val="00D00384"/>
    <w:rsid w:val="00D005DB"/>
    <w:rsid w:val="00D0064E"/>
    <w:rsid w:val="00D00981"/>
    <w:rsid w:val="00D0252D"/>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B3"/>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1D2"/>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00E"/>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4E11"/>
    <w:rsid w:val="00DD64E0"/>
    <w:rsid w:val="00DD775C"/>
    <w:rsid w:val="00DD7BE0"/>
    <w:rsid w:val="00DE0C67"/>
    <w:rsid w:val="00DE2D5F"/>
    <w:rsid w:val="00DE3555"/>
    <w:rsid w:val="00DE3AAD"/>
    <w:rsid w:val="00DE598A"/>
    <w:rsid w:val="00DE5A80"/>
    <w:rsid w:val="00DE6952"/>
    <w:rsid w:val="00DE6FBE"/>
    <w:rsid w:val="00DE79D9"/>
    <w:rsid w:val="00DE7A7D"/>
    <w:rsid w:val="00DE7E74"/>
    <w:rsid w:val="00DF071B"/>
    <w:rsid w:val="00DF5C84"/>
    <w:rsid w:val="00DF5D3A"/>
    <w:rsid w:val="00DF5DC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3F1"/>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366"/>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5BF"/>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EE5"/>
    <w:rsid w:val="00F171F9"/>
    <w:rsid w:val="00F1737C"/>
    <w:rsid w:val="00F173AA"/>
    <w:rsid w:val="00F20A43"/>
    <w:rsid w:val="00F22A26"/>
    <w:rsid w:val="00F24072"/>
    <w:rsid w:val="00F26432"/>
    <w:rsid w:val="00F3197A"/>
    <w:rsid w:val="00F32139"/>
    <w:rsid w:val="00F33CF0"/>
    <w:rsid w:val="00F33D56"/>
    <w:rsid w:val="00F34E08"/>
    <w:rsid w:val="00F365B0"/>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9F4"/>
    <w:rsid w:val="00F93C74"/>
    <w:rsid w:val="00F93DCC"/>
    <w:rsid w:val="00F9435D"/>
    <w:rsid w:val="00F94A69"/>
    <w:rsid w:val="00F966F9"/>
    <w:rsid w:val="00F96F61"/>
    <w:rsid w:val="00F97740"/>
    <w:rsid w:val="00FA0C8F"/>
    <w:rsid w:val="00FA24F2"/>
    <w:rsid w:val="00FA2DEF"/>
    <w:rsid w:val="00FA2F7B"/>
    <w:rsid w:val="00FA3C90"/>
    <w:rsid w:val="00FA3C97"/>
    <w:rsid w:val="00FA3D30"/>
    <w:rsid w:val="00FA40B7"/>
    <w:rsid w:val="00FA4B49"/>
    <w:rsid w:val="00FA54F8"/>
    <w:rsid w:val="00FA6CA9"/>
    <w:rsid w:val="00FA78C8"/>
    <w:rsid w:val="00FA7A2F"/>
    <w:rsid w:val="00FB00AD"/>
    <w:rsid w:val="00FB091C"/>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2E27"/>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table" w:customStyle="1" w:styleId="TableGrid1">
    <w:name w:val="Table Grid1"/>
    <w:basedOn w:val="TableNormal"/>
    <w:uiPriority w:val="59"/>
    <w:rsid w:val="0099088F"/>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41649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dcterms:created xsi:type="dcterms:W3CDTF">2012-05-31T19:44:00Z</dcterms:created>
  <dcterms:modified xsi:type="dcterms:W3CDTF">2012-06-05T15:51:00Z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