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76" w:rsidRDefault="00AE5B76">
      <w:pPr>
        <w:spacing w:line="240" w:lineRule="auto"/>
        <w:jc w:val="left"/>
        <w:rPr>
          <w:rFonts w:asciiTheme="majorHAnsi" w:hAnsiTheme="majorHAnsi" w:cstheme="majorHAnsi"/>
          <w:color w:val="auto"/>
        </w:rPr>
      </w:pPr>
    </w:p>
    <w:p w:rsidR="00AD2379" w:rsidRPr="00895E69" w:rsidRDefault="00AD2379" w:rsidP="000D4AF7">
      <w:pPr>
        <w:tabs>
          <w:tab w:val="left" w:pos="288"/>
          <w:tab w:val="left" w:pos="4770"/>
        </w:tabs>
        <w:rPr>
          <w:rFonts w:asciiTheme="majorHAnsi" w:hAnsiTheme="majorHAnsi" w:cstheme="majorHAnsi"/>
          <w:color w:val="auto"/>
        </w:rPr>
      </w:pPr>
      <w:r w:rsidRPr="00895E69">
        <w:rPr>
          <w:rFonts w:asciiTheme="majorHAnsi" w:hAnsiTheme="majorHAnsi" w:cstheme="majorHAnsi"/>
          <w:color w:val="auto"/>
        </w:rPr>
        <w:t>RECORD OF PROCEEDINGS</w:t>
      </w:r>
    </w:p>
    <w:p w:rsidR="00AD2379" w:rsidRPr="00895E69" w:rsidRDefault="00AD2379" w:rsidP="00BF0E94">
      <w:pPr>
        <w:tabs>
          <w:tab w:val="left" w:pos="288"/>
          <w:tab w:val="left" w:pos="4752"/>
        </w:tabs>
        <w:rPr>
          <w:rFonts w:asciiTheme="majorHAnsi" w:hAnsiTheme="majorHAnsi" w:cstheme="majorHAnsi"/>
          <w:color w:val="auto"/>
        </w:rPr>
      </w:pPr>
      <w:r w:rsidRPr="00895E69">
        <w:rPr>
          <w:rFonts w:asciiTheme="majorHAnsi" w:hAnsiTheme="majorHAnsi" w:cstheme="majorHAnsi"/>
          <w:color w:val="auto"/>
        </w:rPr>
        <w:t>PHYSICAL DISABILITY BOARD OF REVIEW</w:t>
      </w:r>
    </w:p>
    <w:p w:rsidR="00AD2379" w:rsidRPr="00895E69" w:rsidRDefault="00AD2379" w:rsidP="00BF0E94">
      <w:pPr>
        <w:tabs>
          <w:tab w:val="left" w:pos="288"/>
          <w:tab w:val="left" w:pos="4752"/>
        </w:tabs>
        <w:jc w:val="both"/>
        <w:rPr>
          <w:rFonts w:asciiTheme="majorHAnsi" w:hAnsiTheme="majorHAnsi" w:cstheme="majorHAnsi"/>
          <w:caps/>
          <w:color w:val="auto"/>
        </w:rPr>
      </w:pPr>
    </w:p>
    <w:p w:rsidR="0095270D" w:rsidRPr="00895E69" w:rsidRDefault="0095270D" w:rsidP="00BF697B">
      <w:pPr>
        <w:tabs>
          <w:tab w:val="right" w:pos="9360"/>
        </w:tabs>
        <w:jc w:val="both"/>
        <w:rPr>
          <w:rFonts w:asciiTheme="majorHAnsi" w:hAnsiTheme="majorHAnsi" w:cstheme="majorHAnsi"/>
          <w:caps/>
          <w:color w:val="auto"/>
        </w:rPr>
      </w:pPr>
      <w:r w:rsidRPr="00895E69">
        <w:rPr>
          <w:rFonts w:asciiTheme="majorHAnsi" w:hAnsiTheme="majorHAnsi" w:cstheme="majorHAnsi"/>
          <w:caps/>
          <w:color w:val="auto"/>
        </w:rPr>
        <w:t xml:space="preserve">NAME:  </w:t>
      </w:r>
      <w:r w:rsidR="00AE5B76">
        <w:rPr>
          <w:rFonts w:asciiTheme="majorHAnsi" w:hAnsiTheme="majorHAnsi" w:cstheme="majorHAnsi"/>
          <w:caps/>
          <w:color w:val="auto"/>
        </w:rPr>
        <w:t>XXXXXXXXXXXXXXXX</w:t>
      </w:r>
      <w:r w:rsidR="00355414">
        <w:rPr>
          <w:rFonts w:asciiTheme="majorHAnsi" w:hAnsiTheme="majorHAnsi" w:cstheme="majorHAnsi"/>
          <w:caps/>
          <w:color w:val="auto"/>
        </w:rPr>
        <w:t xml:space="preserve">                                  </w:t>
      </w:r>
      <w:r w:rsidR="00E402C8">
        <w:rPr>
          <w:rFonts w:asciiTheme="majorHAnsi" w:hAnsiTheme="majorHAnsi" w:cstheme="majorHAnsi"/>
          <w:caps/>
          <w:color w:val="auto"/>
        </w:rPr>
        <w:t xml:space="preserve">                         </w:t>
      </w:r>
      <w:r w:rsidR="001D1653">
        <w:rPr>
          <w:rFonts w:asciiTheme="majorHAnsi" w:hAnsiTheme="majorHAnsi" w:cstheme="majorHAnsi"/>
          <w:caps/>
          <w:color w:val="auto"/>
        </w:rPr>
        <w:t xml:space="preserve">    </w:t>
      </w:r>
      <w:r w:rsidR="00E402C8">
        <w:rPr>
          <w:rFonts w:asciiTheme="majorHAnsi" w:hAnsiTheme="majorHAnsi" w:cstheme="majorHAnsi"/>
          <w:caps/>
          <w:color w:val="auto"/>
        </w:rPr>
        <w:t xml:space="preserve">    </w:t>
      </w:r>
      <w:r w:rsidR="00C211A6">
        <w:rPr>
          <w:rFonts w:asciiTheme="majorHAnsi" w:hAnsiTheme="majorHAnsi" w:cstheme="majorHAnsi"/>
          <w:caps/>
          <w:color w:val="auto"/>
        </w:rPr>
        <w:tab/>
      </w:r>
      <w:r w:rsidRPr="00895E69">
        <w:rPr>
          <w:rFonts w:asciiTheme="majorHAnsi" w:hAnsiTheme="majorHAnsi" w:cstheme="majorHAnsi"/>
          <w:caps/>
          <w:color w:val="auto"/>
        </w:rPr>
        <w:t xml:space="preserve">BRANCH OF SERVICE:  </w:t>
      </w:r>
      <w:r w:rsidR="00DF70F4" w:rsidRPr="00895E69">
        <w:rPr>
          <w:rFonts w:asciiTheme="majorHAnsi" w:hAnsiTheme="majorHAnsi" w:cstheme="majorHAnsi"/>
          <w:caps/>
          <w:color w:val="auto"/>
        </w:rPr>
        <w:t xml:space="preserve">Army </w:t>
      </w:r>
    </w:p>
    <w:p w:rsidR="0095270D" w:rsidRPr="00895E69" w:rsidRDefault="0095270D" w:rsidP="00BF697B">
      <w:pPr>
        <w:tabs>
          <w:tab w:val="right" w:pos="9360"/>
        </w:tabs>
        <w:jc w:val="both"/>
        <w:rPr>
          <w:rFonts w:asciiTheme="majorHAnsi" w:hAnsiTheme="majorHAnsi" w:cstheme="majorHAnsi"/>
          <w:color w:val="auto"/>
        </w:rPr>
      </w:pPr>
      <w:r w:rsidRPr="00895E69">
        <w:rPr>
          <w:rFonts w:asciiTheme="majorHAnsi" w:hAnsiTheme="majorHAnsi" w:cstheme="majorHAnsi"/>
          <w:caps/>
          <w:color w:val="auto"/>
        </w:rPr>
        <w:t>CASE NUMBER:  PD1100</w:t>
      </w:r>
      <w:r w:rsidR="00065191" w:rsidRPr="00895E69">
        <w:rPr>
          <w:rFonts w:asciiTheme="majorHAnsi" w:hAnsiTheme="majorHAnsi" w:cstheme="majorHAnsi"/>
          <w:caps/>
          <w:color w:val="auto"/>
        </w:rPr>
        <w:t>561</w:t>
      </w:r>
      <w:r w:rsidR="00355414">
        <w:rPr>
          <w:rFonts w:asciiTheme="majorHAnsi" w:hAnsiTheme="majorHAnsi" w:cstheme="majorHAnsi"/>
          <w:color w:val="auto"/>
        </w:rPr>
        <w:t xml:space="preserve">                                                                   </w:t>
      </w:r>
      <w:r w:rsidR="0018208F" w:rsidRPr="00895E69">
        <w:rPr>
          <w:rFonts w:asciiTheme="majorHAnsi" w:hAnsiTheme="majorHAnsi" w:cstheme="majorHAnsi"/>
          <w:color w:val="auto"/>
        </w:rPr>
        <w:t>SE</w:t>
      </w:r>
      <w:r w:rsidRPr="00895E69">
        <w:rPr>
          <w:rFonts w:asciiTheme="majorHAnsi" w:hAnsiTheme="majorHAnsi" w:cstheme="majorHAnsi"/>
          <w:color w:val="auto"/>
        </w:rPr>
        <w:t>PARATION DATE:  200</w:t>
      </w:r>
      <w:r w:rsidR="00065191" w:rsidRPr="00895E69">
        <w:rPr>
          <w:rFonts w:asciiTheme="majorHAnsi" w:hAnsiTheme="majorHAnsi" w:cstheme="majorHAnsi"/>
          <w:color w:val="auto"/>
        </w:rPr>
        <w:t>6</w:t>
      </w:r>
      <w:r w:rsidR="004458D5">
        <w:rPr>
          <w:rFonts w:asciiTheme="majorHAnsi" w:hAnsiTheme="majorHAnsi" w:cstheme="majorHAnsi"/>
          <w:color w:val="auto"/>
        </w:rPr>
        <w:t>1115</w:t>
      </w:r>
    </w:p>
    <w:p w:rsidR="00AD2379" w:rsidRPr="00895E69" w:rsidRDefault="0095270D" w:rsidP="00BF697B">
      <w:pPr>
        <w:tabs>
          <w:tab w:val="left" w:pos="288"/>
          <w:tab w:val="left" w:pos="4752"/>
        </w:tabs>
        <w:jc w:val="both"/>
        <w:rPr>
          <w:rFonts w:asciiTheme="majorHAnsi" w:hAnsiTheme="majorHAnsi" w:cstheme="majorHAnsi"/>
          <w:caps/>
          <w:color w:val="auto"/>
        </w:rPr>
      </w:pPr>
      <w:r w:rsidRPr="00895E69">
        <w:rPr>
          <w:rFonts w:asciiTheme="majorHAnsi" w:hAnsiTheme="majorHAnsi" w:cstheme="majorHAnsi"/>
          <w:caps/>
          <w:color w:val="auto"/>
        </w:rPr>
        <w:t>BOARD DATE:  201</w:t>
      </w:r>
      <w:r w:rsidRPr="002A09E4">
        <w:rPr>
          <w:rFonts w:asciiTheme="majorHAnsi" w:hAnsiTheme="majorHAnsi" w:cstheme="majorHAnsi"/>
          <w:caps/>
          <w:color w:val="auto"/>
        </w:rPr>
        <w:t>2</w:t>
      </w:r>
      <w:r w:rsidR="00815366" w:rsidRPr="002A09E4">
        <w:rPr>
          <w:rFonts w:asciiTheme="majorHAnsi" w:hAnsiTheme="majorHAnsi" w:cstheme="majorHAnsi"/>
          <w:caps/>
          <w:color w:val="auto"/>
        </w:rPr>
        <w:t>0815</w:t>
      </w:r>
      <w:r w:rsidR="002A09E4">
        <w:rPr>
          <w:rFonts w:asciiTheme="majorHAnsi" w:hAnsiTheme="majorHAnsi" w:cstheme="majorHAnsi"/>
          <w:caps/>
          <w:color w:val="auto"/>
        </w:rPr>
        <w:t xml:space="preserve">  </w:t>
      </w:r>
    </w:p>
    <w:p w:rsidR="004458D5" w:rsidRPr="00895E69" w:rsidRDefault="004458D5" w:rsidP="004458D5">
      <w:pPr>
        <w:pBdr>
          <w:bottom w:val="single" w:sz="12" w:space="1" w:color="auto"/>
        </w:pBdr>
        <w:tabs>
          <w:tab w:val="left" w:pos="288"/>
          <w:tab w:val="left" w:pos="4752"/>
        </w:tabs>
        <w:jc w:val="both"/>
        <w:rPr>
          <w:rFonts w:asciiTheme="majorHAnsi" w:hAnsiTheme="majorHAnsi" w:cstheme="majorHAnsi"/>
          <w:color w:val="auto"/>
        </w:rPr>
      </w:pPr>
    </w:p>
    <w:p w:rsidR="004458D5" w:rsidRDefault="004458D5" w:rsidP="004458D5">
      <w:pPr>
        <w:tabs>
          <w:tab w:val="left" w:pos="288"/>
          <w:tab w:val="left" w:pos="4752"/>
        </w:tabs>
        <w:jc w:val="both"/>
        <w:rPr>
          <w:rFonts w:asciiTheme="majorHAnsi" w:hAnsiTheme="majorHAnsi" w:cstheme="majorHAnsi"/>
          <w:color w:val="auto"/>
        </w:rPr>
      </w:pPr>
    </w:p>
    <w:p w:rsidR="00876D66" w:rsidRDefault="00AD2379" w:rsidP="00876D66">
      <w:pPr>
        <w:tabs>
          <w:tab w:val="left" w:pos="288"/>
          <w:tab w:val="left" w:pos="4752"/>
        </w:tabs>
        <w:jc w:val="both"/>
        <w:rPr>
          <w:color w:val="auto"/>
        </w:rPr>
      </w:pPr>
      <w:r w:rsidRPr="00895E69">
        <w:rPr>
          <w:rFonts w:asciiTheme="majorHAnsi" w:hAnsiTheme="majorHAnsi" w:cstheme="majorHAnsi"/>
          <w:color w:val="auto"/>
          <w:u w:val="single"/>
        </w:rPr>
        <w:t>SUMMARY OF CASE</w:t>
      </w:r>
      <w:r w:rsidRPr="00895E69">
        <w:rPr>
          <w:rFonts w:asciiTheme="majorHAnsi" w:hAnsiTheme="majorHAnsi" w:cstheme="majorHAnsi"/>
          <w:color w:val="auto"/>
        </w:rPr>
        <w:t>:</w:t>
      </w:r>
      <w:r w:rsidR="00532B33" w:rsidRPr="00895E69">
        <w:rPr>
          <w:rFonts w:asciiTheme="majorHAnsi" w:hAnsiTheme="majorHAnsi" w:cstheme="majorHAnsi"/>
          <w:color w:val="auto"/>
        </w:rPr>
        <w:t xml:space="preserve"> </w:t>
      </w:r>
      <w:r w:rsidRPr="00895E69">
        <w:rPr>
          <w:rFonts w:asciiTheme="majorHAnsi" w:hAnsiTheme="majorHAnsi" w:cstheme="majorHAnsi"/>
          <w:color w:val="auto"/>
        </w:rPr>
        <w:t xml:space="preserve"> Data extracted from the available evidence of record reflects that this covered individual (CI) was </w:t>
      </w:r>
      <w:r w:rsidR="00A70270" w:rsidRPr="00895E69">
        <w:rPr>
          <w:rFonts w:asciiTheme="majorHAnsi" w:hAnsiTheme="majorHAnsi" w:cstheme="majorHAnsi"/>
          <w:color w:val="auto"/>
        </w:rPr>
        <w:t xml:space="preserve">a </w:t>
      </w:r>
      <w:r w:rsidR="00065191" w:rsidRPr="00895E69">
        <w:rPr>
          <w:rFonts w:asciiTheme="majorHAnsi" w:hAnsiTheme="majorHAnsi" w:cstheme="majorHAnsi"/>
          <w:color w:val="auto"/>
        </w:rPr>
        <w:t>Reserve member</w:t>
      </w:r>
      <w:r w:rsidRPr="00895E69">
        <w:rPr>
          <w:rFonts w:asciiTheme="majorHAnsi" w:hAnsiTheme="majorHAnsi" w:cstheme="majorHAnsi"/>
          <w:color w:val="auto"/>
        </w:rPr>
        <w:t xml:space="preserve"> </w:t>
      </w:r>
      <w:r w:rsidR="0017172C" w:rsidRPr="00895E69">
        <w:rPr>
          <w:rFonts w:asciiTheme="majorHAnsi" w:hAnsiTheme="majorHAnsi" w:cstheme="majorHAnsi"/>
          <w:color w:val="auto"/>
        </w:rPr>
        <w:t>SGT/</w:t>
      </w:r>
      <w:r w:rsidR="0017172C" w:rsidRPr="00355414">
        <w:rPr>
          <w:rFonts w:asciiTheme="majorHAnsi" w:hAnsiTheme="majorHAnsi" w:cstheme="majorHAnsi"/>
          <w:color w:val="auto"/>
        </w:rPr>
        <w:t>E-5</w:t>
      </w:r>
      <w:r w:rsidRPr="00355414">
        <w:rPr>
          <w:rFonts w:asciiTheme="majorHAnsi" w:hAnsiTheme="majorHAnsi" w:cstheme="majorHAnsi"/>
          <w:color w:val="auto"/>
        </w:rPr>
        <w:t xml:space="preserve"> (</w:t>
      </w:r>
      <w:r w:rsidR="00065191" w:rsidRPr="00355414">
        <w:rPr>
          <w:rFonts w:asciiTheme="majorHAnsi" w:hAnsiTheme="majorHAnsi" w:cstheme="majorHAnsi"/>
          <w:color w:val="auto"/>
          <w:szCs w:val="24"/>
        </w:rPr>
        <w:t>76V</w:t>
      </w:r>
      <w:r w:rsidR="00C211A6">
        <w:rPr>
          <w:rFonts w:asciiTheme="majorHAnsi" w:hAnsiTheme="majorHAnsi" w:cstheme="majorHAnsi"/>
          <w:color w:val="auto"/>
          <w:szCs w:val="24"/>
        </w:rPr>
        <w:t xml:space="preserve">, </w:t>
      </w:r>
      <w:r w:rsidR="006D41B8" w:rsidRPr="00355414">
        <w:rPr>
          <w:rFonts w:asciiTheme="majorHAnsi" w:hAnsiTheme="majorHAnsi" w:cstheme="majorHAnsi"/>
          <w:color w:val="auto"/>
          <w:szCs w:val="24"/>
        </w:rPr>
        <w:t>Materiel Storage and Handling Specialist</w:t>
      </w:r>
      <w:r w:rsidR="00E402C8">
        <w:rPr>
          <w:rFonts w:asciiTheme="majorHAnsi" w:hAnsiTheme="majorHAnsi" w:cstheme="majorHAnsi"/>
          <w:color w:val="auto"/>
          <w:szCs w:val="24"/>
        </w:rPr>
        <w:t xml:space="preserve"> </w:t>
      </w:r>
      <w:r w:rsidR="00C211A6">
        <w:rPr>
          <w:rFonts w:asciiTheme="majorHAnsi" w:hAnsiTheme="majorHAnsi" w:cstheme="majorHAnsi"/>
          <w:color w:val="auto"/>
          <w:szCs w:val="24"/>
        </w:rPr>
        <w:t xml:space="preserve">and </w:t>
      </w:r>
      <w:r w:rsidR="00E402C8">
        <w:rPr>
          <w:rFonts w:asciiTheme="majorHAnsi" w:hAnsiTheme="majorHAnsi" w:cstheme="majorHAnsi"/>
          <w:color w:val="auto"/>
          <w:szCs w:val="24"/>
        </w:rPr>
        <w:t>88M/Motor Vehicle Operator</w:t>
      </w:r>
      <w:r w:rsidR="00A70270" w:rsidRPr="00D33946">
        <w:rPr>
          <w:rFonts w:asciiTheme="majorHAnsi" w:hAnsiTheme="majorHAnsi" w:cstheme="majorHAnsi"/>
          <w:color w:val="auto"/>
        </w:rPr>
        <w:t>)</w:t>
      </w:r>
      <w:r w:rsidR="00565636" w:rsidRPr="00D33946">
        <w:rPr>
          <w:rFonts w:asciiTheme="majorHAnsi" w:hAnsiTheme="majorHAnsi" w:cstheme="majorHAnsi"/>
          <w:color w:val="auto"/>
        </w:rPr>
        <w:t>,</w:t>
      </w:r>
      <w:r w:rsidR="00A70270" w:rsidRPr="00D33946">
        <w:rPr>
          <w:rFonts w:asciiTheme="majorHAnsi" w:hAnsiTheme="majorHAnsi" w:cstheme="majorHAnsi"/>
          <w:color w:val="auto"/>
        </w:rPr>
        <w:t xml:space="preserve"> </w:t>
      </w:r>
      <w:r w:rsidRPr="00D33946">
        <w:rPr>
          <w:rFonts w:asciiTheme="majorHAnsi" w:hAnsiTheme="majorHAnsi" w:cstheme="majorHAnsi"/>
          <w:color w:val="auto"/>
        </w:rPr>
        <w:t xml:space="preserve">medically separated for </w:t>
      </w:r>
      <w:r w:rsidR="00355414" w:rsidRPr="00D33946">
        <w:rPr>
          <w:rFonts w:asciiTheme="majorHAnsi" w:hAnsiTheme="majorHAnsi" w:cstheme="majorHAnsi"/>
          <w:color w:val="auto"/>
        </w:rPr>
        <w:t xml:space="preserve">chronic anti-coagulation secondary to recurrent pulmonary </w:t>
      </w:r>
      <w:r w:rsidR="00065191" w:rsidRPr="00D33946">
        <w:rPr>
          <w:rFonts w:asciiTheme="majorHAnsi" w:hAnsiTheme="majorHAnsi" w:cstheme="majorHAnsi"/>
          <w:color w:val="auto"/>
          <w:szCs w:val="24"/>
        </w:rPr>
        <w:t>embolism</w:t>
      </w:r>
      <w:r w:rsidR="0021565F" w:rsidRPr="00D33946">
        <w:rPr>
          <w:rFonts w:asciiTheme="majorHAnsi" w:hAnsiTheme="majorHAnsi" w:cstheme="majorHAnsi"/>
          <w:color w:val="auto"/>
          <w:szCs w:val="24"/>
        </w:rPr>
        <w:t>.</w:t>
      </w:r>
      <w:r w:rsidR="006D5E1E" w:rsidRPr="00D33946">
        <w:rPr>
          <w:rFonts w:asciiTheme="majorHAnsi" w:hAnsiTheme="majorHAnsi" w:cstheme="majorHAnsi"/>
          <w:color w:val="auto"/>
          <w:szCs w:val="24"/>
        </w:rPr>
        <w:t xml:space="preserve">  </w:t>
      </w:r>
      <w:r w:rsidR="00C211A6">
        <w:rPr>
          <w:color w:val="auto"/>
        </w:rPr>
        <w:t>The CI related a history of d</w:t>
      </w:r>
      <w:r w:rsidR="006A3A55" w:rsidRPr="00D33946">
        <w:rPr>
          <w:color w:val="auto"/>
        </w:rPr>
        <w:t>eep vein thrombosis (DVT) in his left calf in 1994 with</w:t>
      </w:r>
      <w:r w:rsidR="00C211A6">
        <w:rPr>
          <w:color w:val="auto"/>
        </w:rPr>
        <w:t xml:space="preserve"> blood thinners (Coumadin) for one-</w:t>
      </w:r>
      <w:r w:rsidR="006A3A55" w:rsidRPr="00D33946">
        <w:rPr>
          <w:color w:val="auto"/>
        </w:rPr>
        <w:t xml:space="preserve">year with resolution of symptoms.  </w:t>
      </w:r>
      <w:r w:rsidR="00567F4D" w:rsidRPr="00D33946">
        <w:rPr>
          <w:color w:val="auto"/>
        </w:rPr>
        <w:t>In 2004</w:t>
      </w:r>
      <w:r w:rsidR="00B621D1">
        <w:rPr>
          <w:color w:val="auto"/>
        </w:rPr>
        <w:t>,</w:t>
      </w:r>
      <w:r w:rsidR="00567F4D" w:rsidRPr="00D33946">
        <w:rPr>
          <w:color w:val="auto"/>
        </w:rPr>
        <w:t xml:space="preserve"> </w:t>
      </w:r>
      <w:r w:rsidR="006A3A55" w:rsidRPr="00D33946">
        <w:rPr>
          <w:color w:val="auto"/>
        </w:rPr>
        <w:t>t</w:t>
      </w:r>
      <w:r w:rsidR="00567F4D" w:rsidRPr="00D33946">
        <w:rPr>
          <w:color w:val="auto"/>
        </w:rPr>
        <w:t xml:space="preserve">he </w:t>
      </w:r>
      <w:r w:rsidR="006A3A55" w:rsidRPr="00D33946">
        <w:rPr>
          <w:color w:val="auto"/>
        </w:rPr>
        <w:t xml:space="preserve">CI </w:t>
      </w:r>
      <w:r w:rsidR="00567F4D" w:rsidRPr="00D33946">
        <w:rPr>
          <w:color w:val="auto"/>
        </w:rPr>
        <w:t xml:space="preserve">developed dyspnea on exertion (DOE) and chest pain with decreased exercise ability.  Increased symptoms in 2005 led to medical evacuation </w:t>
      </w:r>
      <w:r w:rsidR="006A3A55" w:rsidRPr="00D33946">
        <w:rPr>
          <w:color w:val="auto"/>
        </w:rPr>
        <w:t xml:space="preserve">from Iraq.  The CI had </w:t>
      </w:r>
      <w:r w:rsidR="00876D66" w:rsidRPr="00D33946">
        <w:rPr>
          <w:color w:val="auto"/>
        </w:rPr>
        <w:t xml:space="preserve">an abnormal ventilation perfusion (VQ) scan </w:t>
      </w:r>
      <w:r w:rsidR="00567F4D" w:rsidRPr="00D33946">
        <w:rPr>
          <w:color w:val="auto"/>
        </w:rPr>
        <w:t xml:space="preserve">and diagnosis of pulmonary embolism. </w:t>
      </w:r>
      <w:r w:rsidR="002143E5" w:rsidRPr="00D33946">
        <w:rPr>
          <w:color w:val="auto"/>
        </w:rPr>
        <w:t xml:space="preserve"> </w:t>
      </w:r>
      <w:r w:rsidR="00567F4D" w:rsidRPr="00D33946">
        <w:rPr>
          <w:color w:val="auto"/>
        </w:rPr>
        <w:t xml:space="preserve">He was place on Coumadin and had </w:t>
      </w:r>
      <w:r w:rsidR="00876D66" w:rsidRPr="00D33946">
        <w:rPr>
          <w:color w:val="auto"/>
        </w:rPr>
        <w:t xml:space="preserve">initial decrease in symptoms.  While on Coumadin, he had increased chest pain symptoms and was found to have multiple pulmonary emboli on VQ scan.  </w:t>
      </w:r>
      <w:r w:rsidR="00065191" w:rsidRPr="00D33946">
        <w:rPr>
          <w:color w:val="auto"/>
        </w:rPr>
        <w:t xml:space="preserve">His </w:t>
      </w:r>
      <w:r w:rsidR="00876D66" w:rsidRPr="00D33946">
        <w:rPr>
          <w:color w:val="auto"/>
          <w:szCs w:val="24"/>
        </w:rPr>
        <w:t>chronic</w:t>
      </w:r>
      <w:r w:rsidR="00065191" w:rsidRPr="00D33946">
        <w:rPr>
          <w:color w:val="auto"/>
          <w:szCs w:val="24"/>
        </w:rPr>
        <w:t xml:space="preserve"> pulmonary embolism</w:t>
      </w:r>
      <w:r w:rsidR="00F566B7" w:rsidRPr="00D33946">
        <w:rPr>
          <w:color w:val="auto"/>
        </w:rPr>
        <w:t xml:space="preserve"> </w:t>
      </w:r>
      <w:r w:rsidR="002D1ED8">
        <w:rPr>
          <w:color w:val="auto"/>
        </w:rPr>
        <w:t>r</w:t>
      </w:r>
      <w:r w:rsidR="00876D66" w:rsidRPr="00D33946">
        <w:rPr>
          <w:color w:val="auto"/>
        </w:rPr>
        <w:t xml:space="preserve">equired life-long anticoagulation therapy.  He could not </w:t>
      </w:r>
      <w:r w:rsidR="00F566B7" w:rsidRPr="00D33946">
        <w:rPr>
          <w:color w:val="auto"/>
        </w:rPr>
        <w:t>meet the physical requirements of his Military Occupational Specialty (MOS)</w:t>
      </w:r>
      <w:r w:rsidR="006A0909" w:rsidRPr="00D33946">
        <w:rPr>
          <w:color w:val="auto"/>
        </w:rPr>
        <w:t xml:space="preserve"> </w:t>
      </w:r>
      <w:r w:rsidR="00F566B7" w:rsidRPr="00D33946">
        <w:rPr>
          <w:color w:val="auto"/>
        </w:rPr>
        <w:t>or satis</w:t>
      </w:r>
      <w:r w:rsidR="009C12A1" w:rsidRPr="00D33946">
        <w:rPr>
          <w:color w:val="auto"/>
        </w:rPr>
        <w:t>fy physical fitness standards.</w:t>
      </w:r>
      <w:r w:rsidR="00F566B7" w:rsidRPr="00D33946">
        <w:rPr>
          <w:color w:val="auto"/>
        </w:rPr>
        <w:t xml:space="preserve"> </w:t>
      </w:r>
      <w:r w:rsidR="009C12A1" w:rsidRPr="00D33946">
        <w:rPr>
          <w:color w:val="auto"/>
        </w:rPr>
        <w:t xml:space="preserve"> He </w:t>
      </w:r>
      <w:r w:rsidR="00F566B7" w:rsidRPr="00D33946">
        <w:rPr>
          <w:color w:val="auto"/>
        </w:rPr>
        <w:t xml:space="preserve">was issued a permanent </w:t>
      </w:r>
      <w:r w:rsidR="00895E69" w:rsidRPr="00D33946">
        <w:rPr>
          <w:color w:val="auto"/>
        </w:rPr>
        <w:t>P</w:t>
      </w:r>
      <w:r w:rsidR="00F566B7" w:rsidRPr="00D33946">
        <w:rPr>
          <w:color w:val="auto"/>
        </w:rPr>
        <w:t>3 profile</w:t>
      </w:r>
      <w:r w:rsidR="00252A84" w:rsidRPr="00D33946">
        <w:rPr>
          <w:color w:val="auto"/>
        </w:rPr>
        <w:t xml:space="preserve"> </w:t>
      </w:r>
      <w:r w:rsidR="00F566B7" w:rsidRPr="00D33946">
        <w:rPr>
          <w:color w:val="auto"/>
        </w:rPr>
        <w:t>and</w:t>
      </w:r>
      <w:r w:rsidR="009C12A1" w:rsidRPr="00D33946">
        <w:rPr>
          <w:color w:val="auto"/>
        </w:rPr>
        <w:t xml:space="preserve"> </w:t>
      </w:r>
      <w:r w:rsidR="00F566B7" w:rsidRPr="00D33946">
        <w:rPr>
          <w:color w:val="auto"/>
        </w:rPr>
        <w:t>referred for a Medical Evaluation Board (MEB).</w:t>
      </w:r>
      <w:r w:rsidR="006D5E1E" w:rsidRPr="00D33946">
        <w:rPr>
          <w:color w:val="auto"/>
        </w:rPr>
        <w:t xml:space="preserve">  </w:t>
      </w:r>
      <w:r w:rsidR="00BF697B" w:rsidRPr="00D33946">
        <w:rPr>
          <w:color w:val="auto"/>
        </w:rPr>
        <w:t>The MEB forwarded r</w:t>
      </w:r>
      <w:r w:rsidR="00895E69" w:rsidRPr="00D33946">
        <w:rPr>
          <w:color w:val="auto"/>
        </w:rPr>
        <w:t>ecurrent pulmonary emboli</w:t>
      </w:r>
      <w:r w:rsidR="00BF697B" w:rsidRPr="00D33946">
        <w:rPr>
          <w:color w:val="auto"/>
        </w:rPr>
        <w:t xml:space="preserve"> causing </w:t>
      </w:r>
      <w:r w:rsidR="00B621D1">
        <w:rPr>
          <w:color w:val="auto"/>
        </w:rPr>
        <w:t xml:space="preserve">shortness of breath </w:t>
      </w:r>
      <w:r w:rsidR="00005D70">
        <w:rPr>
          <w:color w:val="auto"/>
        </w:rPr>
        <w:t xml:space="preserve">(SOB) </w:t>
      </w:r>
      <w:r w:rsidR="00BF697B" w:rsidRPr="00D33946">
        <w:rPr>
          <w:color w:val="auto"/>
        </w:rPr>
        <w:t xml:space="preserve">and requiring lifelong anticoagulation as medically unacceptable and </w:t>
      </w:r>
      <w:r w:rsidR="00071F0D" w:rsidRPr="00D33946">
        <w:rPr>
          <w:color w:val="auto"/>
        </w:rPr>
        <w:t xml:space="preserve">also identified and forwarded </w:t>
      </w:r>
      <w:r w:rsidR="00895E69" w:rsidRPr="00D33946">
        <w:rPr>
          <w:color w:val="auto"/>
        </w:rPr>
        <w:t xml:space="preserve">five </w:t>
      </w:r>
      <w:r w:rsidR="00BF697B" w:rsidRPr="00D33946">
        <w:rPr>
          <w:color w:val="auto"/>
        </w:rPr>
        <w:t xml:space="preserve">conditions as charted below </w:t>
      </w:r>
      <w:r w:rsidR="00895E69" w:rsidRPr="00D33946">
        <w:rPr>
          <w:color w:val="auto"/>
        </w:rPr>
        <w:t>as medically acceptable</w:t>
      </w:r>
      <w:r w:rsidR="00F566B7" w:rsidRPr="00D33946">
        <w:rPr>
          <w:color w:val="auto"/>
        </w:rPr>
        <w:t xml:space="preserve">.  </w:t>
      </w:r>
      <w:r w:rsidRPr="00D33946">
        <w:rPr>
          <w:color w:val="auto"/>
        </w:rPr>
        <w:t xml:space="preserve">The </w:t>
      </w:r>
      <w:r w:rsidR="00005D70">
        <w:rPr>
          <w:color w:val="auto"/>
        </w:rPr>
        <w:t>Physical Evaluation Board (</w:t>
      </w:r>
      <w:r w:rsidRPr="00D33946">
        <w:rPr>
          <w:color w:val="auto"/>
        </w:rPr>
        <w:t>PEB</w:t>
      </w:r>
      <w:r w:rsidR="00005D70">
        <w:rPr>
          <w:color w:val="auto"/>
        </w:rPr>
        <w:t>)</w:t>
      </w:r>
      <w:r w:rsidRPr="00D33946">
        <w:rPr>
          <w:color w:val="auto"/>
        </w:rPr>
        <w:t xml:space="preserve"> </w:t>
      </w:r>
      <w:r w:rsidR="00895E69" w:rsidRPr="00005D70">
        <w:rPr>
          <w:color w:val="auto"/>
        </w:rPr>
        <w:t>(</w:t>
      </w:r>
      <w:r w:rsidR="00005D70" w:rsidRPr="00005D70">
        <w:rPr>
          <w:color w:val="auto"/>
        </w:rPr>
        <w:t>PEB</w:t>
      </w:r>
      <w:r w:rsidR="00895E69" w:rsidRPr="00005D70">
        <w:rPr>
          <w:color w:val="auto"/>
        </w:rPr>
        <w:t>)</w:t>
      </w:r>
      <w:r w:rsidR="00895E69" w:rsidRPr="00D33946">
        <w:rPr>
          <w:color w:val="auto"/>
        </w:rPr>
        <w:t xml:space="preserve"> </w:t>
      </w:r>
      <w:r w:rsidRPr="00D33946">
        <w:rPr>
          <w:color w:val="auto"/>
        </w:rPr>
        <w:t xml:space="preserve">adjudicated </w:t>
      </w:r>
      <w:r w:rsidR="00BF697B" w:rsidRPr="00D33946">
        <w:rPr>
          <w:rFonts w:asciiTheme="majorHAnsi" w:hAnsiTheme="majorHAnsi" w:cstheme="majorHAnsi"/>
          <w:color w:val="auto"/>
        </w:rPr>
        <w:t xml:space="preserve">chronic anti-coagulation secondary to recurrent pulmonary </w:t>
      </w:r>
      <w:r w:rsidR="00BF697B" w:rsidRPr="00D33946">
        <w:rPr>
          <w:rFonts w:asciiTheme="majorHAnsi" w:hAnsiTheme="majorHAnsi" w:cstheme="majorHAnsi"/>
          <w:color w:val="auto"/>
          <w:szCs w:val="24"/>
        </w:rPr>
        <w:t>embolism</w:t>
      </w:r>
      <w:r w:rsidR="00E46D90" w:rsidRPr="00D33946">
        <w:rPr>
          <w:color w:val="auto"/>
        </w:rPr>
        <w:t xml:space="preserve"> </w:t>
      </w:r>
      <w:r w:rsidR="008530E3" w:rsidRPr="00D33946">
        <w:rPr>
          <w:color w:val="auto"/>
        </w:rPr>
        <w:t>as unfitting</w:t>
      </w:r>
      <w:r w:rsidR="00876D66" w:rsidRPr="00D33946">
        <w:rPr>
          <w:color w:val="auto"/>
        </w:rPr>
        <w:t xml:space="preserve"> (service incurred and/or aggravated)</w:t>
      </w:r>
      <w:r w:rsidR="008530E3" w:rsidRPr="00D33946">
        <w:rPr>
          <w:color w:val="auto"/>
        </w:rPr>
        <w:t xml:space="preserve">, rated </w:t>
      </w:r>
      <w:r w:rsidR="00895E69" w:rsidRPr="00D33946">
        <w:rPr>
          <w:color w:val="auto"/>
        </w:rPr>
        <w:t>0</w:t>
      </w:r>
      <w:r w:rsidRPr="00D33946">
        <w:rPr>
          <w:color w:val="auto"/>
        </w:rPr>
        <w:t xml:space="preserve">%, </w:t>
      </w:r>
      <w:r w:rsidR="00895E69" w:rsidRPr="00D33946">
        <w:rPr>
          <w:color w:val="auto"/>
        </w:rPr>
        <w:t>with application of the Department of Defense Instruction (DoDI) 1332.39 and guidance from the US Army Physical Disability Agency</w:t>
      </w:r>
      <w:r w:rsidR="004450A8" w:rsidRPr="00D33946">
        <w:rPr>
          <w:color w:val="auto"/>
        </w:rPr>
        <w:t xml:space="preserve"> (USAPDA)</w:t>
      </w:r>
      <w:r w:rsidR="00BF72CA" w:rsidRPr="00D33946">
        <w:rPr>
          <w:color w:val="auto"/>
        </w:rPr>
        <w:t>.</w:t>
      </w:r>
      <w:r w:rsidR="00165C7B" w:rsidRPr="00D33946">
        <w:rPr>
          <w:color w:val="auto"/>
        </w:rPr>
        <w:t xml:space="preserve">  </w:t>
      </w:r>
      <w:r w:rsidR="00380601" w:rsidRPr="00D33946">
        <w:rPr>
          <w:color w:val="auto"/>
        </w:rPr>
        <w:t xml:space="preserve">The remaining conditions were determined to </w:t>
      </w:r>
      <w:r w:rsidR="00876D66" w:rsidRPr="00D33946">
        <w:rPr>
          <w:color w:val="auto"/>
        </w:rPr>
        <w:t xml:space="preserve">be </w:t>
      </w:r>
      <w:r w:rsidR="00BF697B" w:rsidRPr="00D33946">
        <w:rPr>
          <w:color w:val="auto"/>
        </w:rPr>
        <w:t>not unfitting.</w:t>
      </w:r>
      <w:r w:rsidR="00355414" w:rsidRPr="00D33946">
        <w:rPr>
          <w:color w:val="auto"/>
        </w:rPr>
        <w:t xml:space="preserve">  The CI non-concurred with the </w:t>
      </w:r>
      <w:r w:rsidR="00005D70">
        <w:rPr>
          <w:color w:val="auto"/>
        </w:rPr>
        <w:t>PEB</w:t>
      </w:r>
      <w:r w:rsidR="00BF697B" w:rsidRPr="00D33946">
        <w:rPr>
          <w:color w:val="auto"/>
        </w:rPr>
        <w:t>,</w:t>
      </w:r>
      <w:r w:rsidR="00355414" w:rsidRPr="00D33946">
        <w:rPr>
          <w:color w:val="auto"/>
        </w:rPr>
        <w:t xml:space="preserve"> and following multiple adjudications</w:t>
      </w:r>
      <w:r w:rsidR="00876D66" w:rsidRPr="00D33946">
        <w:rPr>
          <w:color w:val="auto"/>
        </w:rPr>
        <w:t>,</w:t>
      </w:r>
      <w:r w:rsidR="00355414" w:rsidRPr="00D33946">
        <w:rPr>
          <w:color w:val="auto"/>
        </w:rPr>
        <w:t xml:space="preserve"> the </w:t>
      </w:r>
      <w:r w:rsidR="00005D70">
        <w:rPr>
          <w:color w:val="auto"/>
        </w:rPr>
        <w:t>PEB</w:t>
      </w:r>
      <w:r w:rsidR="00355414" w:rsidRPr="00D33946">
        <w:rPr>
          <w:color w:val="auto"/>
        </w:rPr>
        <w:t xml:space="preserve"> with administrative correction found the CI unfit </w:t>
      </w:r>
      <w:r w:rsidR="00BF697B" w:rsidRPr="00D33946">
        <w:rPr>
          <w:color w:val="auto"/>
        </w:rPr>
        <w:t>indicating</w:t>
      </w:r>
      <w:r w:rsidR="00355414" w:rsidRPr="00D33946">
        <w:rPr>
          <w:color w:val="auto"/>
        </w:rPr>
        <w:t xml:space="preserve"> an </w:t>
      </w:r>
      <w:r w:rsidR="00005D70">
        <w:rPr>
          <w:color w:val="auto"/>
        </w:rPr>
        <w:t>existed</w:t>
      </w:r>
      <w:r w:rsidR="00E13DC9">
        <w:rPr>
          <w:color w:val="auto"/>
        </w:rPr>
        <w:t>-</w:t>
      </w:r>
      <w:r w:rsidR="00005D70">
        <w:rPr>
          <w:color w:val="auto"/>
        </w:rPr>
        <w:t>prior</w:t>
      </w:r>
      <w:r w:rsidR="00E13DC9">
        <w:rPr>
          <w:color w:val="auto"/>
        </w:rPr>
        <w:t>-to-</w:t>
      </w:r>
      <w:r w:rsidR="00005D70">
        <w:rPr>
          <w:color w:val="auto"/>
        </w:rPr>
        <w:t>service (</w:t>
      </w:r>
      <w:r w:rsidR="00355414" w:rsidRPr="00D33946">
        <w:rPr>
          <w:color w:val="auto"/>
        </w:rPr>
        <w:t>EPTS</w:t>
      </w:r>
      <w:r w:rsidR="00005D70">
        <w:rPr>
          <w:color w:val="auto"/>
        </w:rPr>
        <w:t>)</w:t>
      </w:r>
      <w:r w:rsidR="00355414" w:rsidRPr="00D33946">
        <w:rPr>
          <w:color w:val="auto"/>
        </w:rPr>
        <w:t xml:space="preserve"> condition</w:t>
      </w:r>
      <w:r w:rsidR="00567F4D" w:rsidRPr="00D33946">
        <w:rPr>
          <w:color w:val="auto"/>
        </w:rPr>
        <w:t xml:space="preserve"> which was </w:t>
      </w:r>
      <w:r w:rsidR="004450A8" w:rsidRPr="00D33946">
        <w:rPr>
          <w:color w:val="auto"/>
        </w:rPr>
        <w:t>not permanently service aggravated, but</w:t>
      </w:r>
      <w:r w:rsidR="00355414" w:rsidRPr="00D33946">
        <w:rPr>
          <w:color w:val="auto"/>
        </w:rPr>
        <w:t xml:space="preserve"> which was </w:t>
      </w:r>
      <w:r w:rsidR="004450A8" w:rsidRPr="00D33946">
        <w:rPr>
          <w:color w:val="auto"/>
        </w:rPr>
        <w:t xml:space="preserve">a </w:t>
      </w:r>
      <w:r w:rsidR="00355414" w:rsidRPr="00D33946">
        <w:rPr>
          <w:color w:val="auto"/>
        </w:rPr>
        <w:t>compensable disability IAW 10 USC 1207a</w:t>
      </w:r>
      <w:r w:rsidR="004450A8" w:rsidRPr="00D33946">
        <w:rPr>
          <w:color w:val="auto"/>
        </w:rPr>
        <w:t xml:space="preserve">.  </w:t>
      </w:r>
      <w:r w:rsidR="00876D66" w:rsidRPr="00D33946">
        <w:rPr>
          <w:color w:val="auto"/>
        </w:rPr>
        <w:t xml:space="preserve">The CI concurred with the </w:t>
      </w:r>
      <w:r w:rsidR="00005D70">
        <w:rPr>
          <w:color w:val="auto"/>
        </w:rPr>
        <w:t>PEB</w:t>
      </w:r>
      <w:r w:rsidR="00876D66" w:rsidRPr="00D33946">
        <w:rPr>
          <w:color w:val="auto"/>
        </w:rPr>
        <w:t xml:space="preserve"> administrative change, waived a formal hearing and was medically separated with a 0% combined</w:t>
      </w:r>
      <w:r w:rsidR="00876D66" w:rsidRPr="001637A4">
        <w:rPr>
          <w:color w:val="auto"/>
        </w:rPr>
        <w:t xml:space="preserve"> disability rating.</w:t>
      </w:r>
      <w:r w:rsidR="0022362A">
        <w:rPr>
          <w:color w:val="auto"/>
        </w:rPr>
        <w:t xml:space="preserve">  </w:t>
      </w:r>
    </w:p>
    <w:p w:rsidR="001637A4" w:rsidRPr="00F64312" w:rsidRDefault="001637A4" w:rsidP="001637A4">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1637A4" w:rsidRDefault="00AD2379" w:rsidP="001637A4">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1637A4" w:rsidRPr="001637A4">
        <w:rPr>
          <w:color w:val="auto"/>
        </w:rPr>
        <w:t xml:space="preserve">“SM </w:t>
      </w:r>
      <w:r w:rsidR="00005D70">
        <w:rPr>
          <w:color w:val="auto"/>
        </w:rPr>
        <w:t xml:space="preserve">(service member) </w:t>
      </w:r>
      <w:r w:rsidR="001637A4" w:rsidRPr="00D33946">
        <w:rPr>
          <w:color w:val="auto"/>
        </w:rPr>
        <w:t xml:space="preserve">separated with joint pain, </w:t>
      </w:r>
      <w:proofErr w:type="gramStart"/>
      <w:r w:rsidR="001637A4" w:rsidRPr="00D33946">
        <w:rPr>
          <w:color w:val="auto"/>
        </w:rPr>
        <w:t>Graves</w:t>
      </w:r>
      <w:proofErr w:type="gramEnd"/>
      <w:r w:rsidR="001637A4" w:rsidRPr="00D33946">
        <w:rPr>
          <w:color w:val="auto"/>
        </w:rPr>
        <w:t xml:space="preserve"> disease, difficulty breathing, erectile disorder, hypothyroidism, pulmonary embolism, difficulty sleeping.  SM still exhibits service connected disabilities currently on medication for E.D. and blood clotting.  SM released from WRAMC w/o proper Med Board results or VA compensation.  Irregular heart beat, bilateral hearing loss, SOB, DVT.  VA compensation 20% only should be increased</w:t>
      </w:r>
      <w:r w:rsidR="001637A4" w:rsidRPr="001637A4">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E402C8"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w:t>
      </w:r>
      <w:r w:rsidRPr="00D33946">
        <w:rPr>
          <w:color w:val="auto"/>
        </w:rPr>
        <w:t>identified but not determined to be unfitting by the PEB</w:t>
      </w:r>
      <w:r w:rsidR="00005D70">
        <w:rPr>
          <w:color w:val="auto"/>
        </w:rPr>
        <w:t>.</w:t>
      </w:r>
      <w:r w:rsidRPr="00D33946">
        <w:rPr>
          <w:color w:val="auto"/>
        </w:rPr>
        <w:t xml:space="preserve">”  </w:t>
      </w:r>
      <w:r w:rsidR="00005D70">
        <w:rPr>
          <w:color w:val="auto"/>
        </w:rPr>
        <w:t>The s</w:t>
      </w:r>
      <w:r w:rsidR="00CB72C5" w:rsidRPr="00D33946">
        <w:rPr>
          <w:color w:val="auto"/>
        </w:rPr>
        <w:t xml:space="preserve">ervice ratings for unfitting conditions will be reviewed in all cases.  </w:t>
      </w:r>
      <w:r w:rsidRPr="00D33946">
        <w:rPr>
          <w:color w:val="auto"/>
        </w:rPr>
        <w:t xml:space="preserve">The conditions, </w:t>
      </w:r>
      <w:r w:rsidR="00E0570A" w:rsidRPr="00D33946">
        <w:rPr>
          <w:color w:val="auto"/>
        </w:rPr>
        <w:t>Graves disease</w:t>
      </w:r>
      <w:r w:rsidR="00E64A0E" w:rsidRPr="00D33946">
        <w:rPr>
          <w:color w:val="auto"/>
        </w:rPr>
        <w:t xml:space="preserve"> and</w:t>
      </w:r>
      <w:r w:rsidR="00E0570A" w:rsidRPr="00D33946">
        <w:rPr>
          <w:color w:val="auto"/>
        </w:rPr>
        <w:t xml:space="preserve"> hypothyroidism,</w:t>
      </w:r>
      <w:r w:rsidRPr="00D33946">
        <w:rPr>
          <w:color w:val="auto"/>
        </w:rPr>
        <w:t xml:space="preserve"> as requested for consideration meet the criteria prescribed in DoDI 6040.44 for Board purview</w:t>
      </w:r>
      <w:r w:rsidR="00E64A0E" w:rsidRPr="00D33946">
        <w:rPr>
          <w:color w:val="auto"/>
        </w:rPr>
        <w:t xml:space="preserve"> and will be addressed together.</w:t>
      </w:r>
      <w:r w:rsidR="00CB72C5" w:rsidRPr="00D33946">
        <w:rPr>
          <w:color w:val="auto"/>
        </w:rPr>
        <w:t xml:space="preserve">  </w:t>
      </w:r>
      <w:r w:rsidR="00E64A0E" w:rsidRPr="00D33946">
        <w:rPr>
          <w:color w:val="auto"/>
        </w:rPr>
        <w:t>The condition</w:t>
      </w:r>
      <w:r w:rsidR="00CB72C5" w:rsidRPr="00D33946">
        <w:rPr>
          <w:color w:val="auto"/>
        </w:rPr>
        <w:t>s of</w:t>
      </w:r>
      <w:r w:rsidR="00E64A0E" w:rsidRPr="00D33946">
        <w:rPr>
          <w:color w:val="auto"/>
        </w:rPr>
        <w:t xml:space="preserve"> difficulty breathing</w:t>
      </w:r>
      <w:r w:rsidR="008A139E" w:rsidRPr="00D33946">
        <w:rPr>
          <w:color w:val="auto"/>
        </w:rPr>
        <w:t xml:space="preserve">, </w:t>
      </w:r>
      <w:r w:rsidR="00005D70">
        <w:rPr>
          <w:color w:val="auto"/>
        </w:rPr>
        <w:t>SOB,</w:t>
      </w:r>
      <w:r w:rsidR="008A139E" w:rsidRPr="00D33946">
        <w:rPr>
          <w:color w:val="auto"/>
        </w:rPr>
        <w:t xml:space="preserve"> </w:t>
      </w:r>
      <w:r w:rsidR="00005D70">
        <w:rPr>
          <w:color w:val="auto"/>
        </w:rPr>
        <w:t>DVT</w:t>
      </w:r>
      <w:r w:rsidR="008A139E" w:rsidRPr="00D33946">
        <w:rPr>
          <w:color w:val="auto"/>
        </w:rPr>
        <w:t xml:space="preserve"> and blood clotting</w:t>
      </w:r>
      <w:r w:rsidR="00E64A0E" w:rsidRPr="00D33946">
        <w:rPr>
          <w:color w:val="auto"/>
        </w:rPr>
        <w:t xml:space="preserve"> also meet the criteria prescribed in DoDI 6040.44 for Board purview </w:t>
      </w:r>
      <w:r w:rsidR="00CB72C5" w:rsidRPr="00D33946">
        <w:rPr>
          <w:color w:val="auto"/>
        </w:rPr>
        <w:t>and</w:t>
      </w:r>
      <w:r w:rsidR="00E64A0E" w:rsidRPr="00D33946">
        <w:rPr>
          <w:color w:val="auto"/>
        </w:rPr>
        <w:t xml:space="preserve"> will be addressed as part of </w:t>
      </w:r>
      <w:r w:rsidR="00CB72C5" w:rsidRPr="00D33946">
        <w:rPr>
          <w:color w:val="auto"/>
        </w:rPr>
        <w:t>the primary unfitting condition</w:t>
      </w:r>
      <w:r w:rsidR="00E64A0E" w:rsidRPr="00D33946">
        <w:rPr>
          <w:color w:val="auto"/>
        </w:rPr>
        <w:t>.</w:t>
      </w:r>
      <w:r w:rsidR="00CB72C5" w:rsidRPr="00D33946">
        <w:rPr>
          <w:color w:val="auto"/>
        </w:rPr>
        <w:t xml:space="preserve">  </w:t>
      </w:r>
      <w:r w:rsidR="00E64A0E" w:rsidRPr="00D33946">
        <w:rPr>
          <w:color w:val="auto"/>
        </w:rPr>
        <w:t xml:space="preserve">These </w:t>
      </w:r>
      <w:r w:rsidRPr="00D33946">
        <w:rPr>
          <w:color w:val="auto"/>
        </w:rPr>
        <w:t>are accordingly addressed below</w:t>
      </w:r>
      <w:r w:rsidR="00E64A0E" w:rsidRPr="00D33946">
        <w:rPr>
          <w:color w:val="auto"/>
        </w:rPr>
        <w:t xml:space="preserve"> </w:t>
      </w:r>
      <w:r w:rsidR="00005D70">
        <w:rPr>
          <w:color w:val="auto"/>
        </w:rPr>
        <w:t>in addition to a review of the s</w:t>
      </w:r>
      <w:r w:rsidR="00E64A0E" w:rsidRPr="00D33946">
        <w:rPr>
          <w:color w:val="auto"/>
        </w:rPr>
        <w:t xml:space="preserve">ervice rating for the unfitting </w:t>
      </w:r>
      <w:r w:rsidR="00CB72C5" w:rsidRPr="00D33946">
        <w:rPr>
          <w:rFonts w:asciiTheme="majorHAnsi" w:hAnsiTheme="majorHAnsi" w:cstheme="majorHAnsi"/>
          <w:color w:val="auto"/>
        </w:rPr>
        <w:t xml:space="preserve">chronic anti-coagulation </w:t>
      </w:r>
      <w:r w:rsidR="00CB72C5" w:rsidRPr="00D33946">
        <w:rPr>
          <w:rFonts w:asciiTheme="majorHAnsi" w:hAnsiTheme="majorHAnsi" w:cstheme="majorHAnsi"/>
          <w:color w:val="auto"/>
        </w:rPr>
        <w:lastRenderedPageBreak/>
        <w:t xml:space="preserve">secondary to recurrent pulmonary </w:t>
      </w:r>
      <w:r w:rsidR="00CB72C5" w:rsidRPr="00D33946">
        <w:rPr>
          <w:rFonts w:asciiTheme="majorHAnsi" w:hAnsiTheme="majorHAnsi" w:cstheme="majorHAnsi"/>
          <w:color w:val="auto"/>
          <w:szCs w:val="24"/>
        </w:rPr>
        <w:t>embolism</w:t>
      </w:r>
      <w:r w:rsidR="00CB72C5" w:rsidRPr="00D33946">
        <w:rPr>
          <w:color w:val="auto"/>
        </w:rPr>
        <w:t xml:space="preserve"> </w:t>
      </w:r>
      <w:r w:rsidR="00E64A0E" w:rsidRPr="00D33946">
        <w:rPr>
          <w:color w:val="auto"/>
        </w:rPr>
        <w:t>condition</w:t>
      </w:r>
      <w:r w:rsidRPr="00D33946">
        <w:rPr>
          <w:color w:val="auto"/>
        </w:rPr>
        <w:t xml:space="preserve">.  </w:t>
      </w:r>
      <w:r w:rsidR="00876D66" w:rsidRPr="00D33946">
        <w:rPr>
          <w:color w:val="auto"/>
        </w:rPr>
        <w:t xml:space="preserve">However, DVT as a separately rated condition is outside of the scope of the Board.  </w:t>
      </w:r>
      <w:r w:rsidRPr="00D33946">
        <w:rPr>
          <w:color w:val="auto"/>
        </w:rPr>
        <w:t>The other requested conditions</w:t>
      </w:r>
      <w:r w:rsidR="00E64A0E" w:rsidRPr="00D33946">
        <w:rPr>
          <w:color w:val="auto"/>
        </w:rPr>
        <w:t xml:space="preserve">, joint pain, erectile disorder, </w:t>
      </w:r>
      <w:r w:rsidR="008A139E" w:rsidRPr="00D33946">
        <w:rPr>
          <w:color w:val="auto"/>
        </w:rPr>
        <w:t xml:space="preserve">irregular heartbeat, bilateral hearing loss </w:t>
      </w:r>
      <w:r w:rsidR="00E64A0E" w:rsidRPr="00D33946">
        <w:rPr>
          <w:color w:val="auto"/>
        </w:rPr>
        <w:t>and difficulty sleeping</w:t>
      </w:r>
      <w:r w:rsidRPr="00D33946">
        <w:rPr>
          <w:color w:val="auto"/>
        </w:rPr>
        <w:t xml:space="preserve"> are not within the Board’s purview. </w:t>
      </w:r>
      <w:r w:rsidR="00E64A0E" w:rsidRPr="00D33946">
        <w:rPr>
          <w:color w:val="auto"/>
        </w:rPr>
        <w:t xml:space="preserve"> </w:t>
      </w:r>
      <w:r w:rsidRPr="00D33946">
        <w:rPr>
          <w:color w:val="auto"/>
        </w:rPr>
        <w:t>Any conditions or contention not requested in this application</w:t>
      </w:r>
      <w:r w:rsidRPr="00E64A0E">
        <w:rPr>
          <w:color w:val="auto"/>
        </w:rPr>
        <w:t>, or otherwise outside the Board’s defined scope of review, remain eligible for future consideration by the Army Board for the Correction of Military Records (BCMR).</w:t>
      </w:r>
      <w:r>
        <w:rPr>
          <w:color w:val="auto"/>
        </w:rPr>
        <w:t xml:space="preserve">  </w:t>
      </w:r>
    </w:p>
    <w:p w:rsidR="000B63CF" w:rsidRPr="00E402C8" w:rsidRDefault="000B63CF" w:rsidP="000B63CF">
      <w:pPr>
        <w:pBdr>
          <w:bottom w:val="single" w:sz="12" w:space="1" w:color="auto"/>
        </w:pBdr>
        <w:tabs>
          <w:tab w:val="left" w:pos="288"/>
          <w:tab w:val="left" w:pos="4752"/>
        </w:tabs>
        <w:jc w:val="both"/>
        <w:rPr>
          <w:color w:val="auto"/>
        </w:rPr>
      </w:pPr>
    </w:p>
    <w:p w:rsidR="00921F7F" w:rsidRPr="00E402C8" w:rsidRDefault="00921F7F" w:rsidP="00BF0E94">
      <w:pPr>
        <w:tabs>
          <w:tab w:val="left" w:pos="288"/>
          <w:tab w:val="left" w:pos="4752"/>
        </w:tabs>
        <w:jc w:val="both"/>
        <w:rPr>
          <w:color w:val="auto"/>
        </w:rPr>
      </w:pPr>
    </w:p>
    <w:p w:rsidR="00AD2379" w:rsidRPr="00E402C8" w:rsidRDefault="00AD2379" w:rsidP="00BF0E94">
      <w:pPr>
        <w:jc w:val="left"/>
        <w:rPr>
          <w:color w:val="auto"/>
        </w:rPr>
      </w:pPr>
      <w:r w:rsidRPr="00E402C8">
        <w:rPr>
          <w:color w:val="auto"/>
          <w:u w:val="single"/>
        </w:rPr>
        <w:t>RATING COMPARISON</w:t>
      </w:r>
      <w:r w:rsidRPr="00E402C8">
        <w:rPr>
          <w:color w:val="auto"/>
        </w:rPr>
        <w:t xml:space="preserve">: </w:t>
      </w:r>
      <w:r w:rsidR="00855E73" w:rsidRPr="00E402C8">
        <w:rPr>
          <w:color w:val="auto"/>
        </w:rPr>
        <w:t xml:space="preserve"> </w:t>
      </w:r>
    </w:p>
    <w:p w:rsidR="00F90376" w:rsidRPr="00E402C8" w:rsidRDefault="00F90376" w:rsidP="00F90376">
      <w:pPr>
        <w:jc w:val="both"/>
        <w:rPr>
          <w:color w:val="auto"/>
        </w:rPr>
      </w:pPr>
    </w:p>
    <w:tbl>
      <w:tblPr>
        <w:tblStyle w:val="TableGrid"/>
        <w:tblW w:w="9273" w:type="dxa"/>
        <w:jc w:val="center"/>
        <w:tblInd w:w="9" w:type="dxa"/>
        <w:tblLayout w:type="fixed"/>
        <w:tblLook w:val="00A0"/>
      </w:tblPr>
      <w:tblGrid>
        <w:gridCol w:w="2163"/>
        <w:gridCol w:w="1080"/>
        <w:gridCol w:w="726"/>
        <w:gridCol w:w="1884"/>
        <w:gridCol w:w="1170"/>
        <w:gridCol w:w="1530"/>
        <w:gridCol w:w="720"/>
      </w:tblGrid>
      <w:tr w:rsidR="00F90376" w:rsidRPr="00E402C8" w:rsidTr="004450A8">
        <w:trPr>
          <w:trHeight w:val="170"/>
          <w:jc w:val="center"/>
        </w:trPr>
        <w:tc>
          <w:tcPr>
            <w:tcW w:w="3969" w:type="dxa"/>
            <w:gridSpan w:val="3"/>
            <w:tcBorders>
              <w:right w:val="thinThickThinSmallGap" w:sz="24" w:space="0" w:color="auto"/>
            </w:tcBorders>
            <w:shd w:val="clear" w:color="auto" w:fill="D9D9D9"/>
            <w:vAlign w:val="center"/>
          </w:tcPr>
          <w:p w:rsidR="00F90376" w:rsidRPr="00E402C8" w:rsidRDefault="001637A4" w:rsidP="006B690F">
            <w:pPr>
              <w:spacing w:line="180" w:lineRule="exact"/>
              <w:contextualSpacing/>
              <w:rPr>
                <w:rFonts w:cs="Calibri"/>
                <w:b/>
                <w:color w:val="auto"/>
                <w:sz w:val="18"/>
              </w:rPr>
            </w:pPr>
            <w:r w:rsidRPr="00E402C8">
              <w:rPr>
                <w:b/>
                <w:color w:val="auto"/>
                <w:sz w:val="18"/>
              </w:rPr>
              <w:t xml:space="preserve">Service </w:t>
            </w:r>
            <w:r w:rsidR="00005D70">
              <w:rPr>
                <w:b/>
                <w:color w:val="auto"/>
                <w:sz w:val="18"/>
              </w:rPr>
              <w:t>PEB</w:t>
            </w:r>
            <w:r w:rsidRPr="00E402C8">
              <w:rPr>
                <w:b/>
                <w:color w:val="auto"/>
                <w:sz w:val="18"/>
              </w:rPr>
              <w:t xml:space="preserve"> – Dated 20060920</w:t>
            </w:r>
          </w:p>
        </w:tc>
        <w:tc>
          <w:tcPr>
            <w:tcW w:w="5304" w:type="dxa"/>
            <w:gridSpan w:val="4"/>
            <w:tcBorders>
              <w:left w:val="thinThickThinSmallGap" w:sz="24" w:space="0" w:color="auto"/>
            </w:tcBorders>
            <w:shd w:val="clear" w:color="auto" w:fill="D9D9D9"/>
            <w:vAlign w:val="center"/>
          </w:tcPr>
          <w:p w:rsidR="00F90376" w:rsidRPr="00E402C8" w:rsidRDefault="001637A4" w:rsidP="00B1259E">
            <w:pPr>
              <w:spacing w:line="180" w:lineRule="exact"/>
              <w:contextualSpacing/>
              <w:rPr>
                <w:rFonts w:cs="Calibri"/>
                <w:b/>
                <w:color w:val="auto"/>
                <w:sz w:val="18"/>
              </w:rPr>
            </w:pPr>
            <w:r w:rsidRPr="00E402C8">
              <w:rPr>
                <w:b/>
                <w:color w:val="auto"/>
                <w:sz w:val="18"/>
              </w:rPr>
              <w:t xml:space="preserve">VA (No VA Exam) – Effective </w:t>
            </w:r>
            <w:r w:rsidR="00B1259E" w:rsidRPr="00E402C8">
              <w:rPr>
                <w:b/>
                <w:color w:val="auto"/>
                <w:sz w:val="18"/>
              </w:rPr>
              <w:t>N/A</w:t>
            </w:r>
          </w:p>
        </w:tc>
      </w:tr>
      <w:tr w:rsidR="00F90376" w:rsidRPr="00E402C8" w:rsidTr="004450A8">
        <w:trPr>
          <w:trHeight w:val="97"/>
          <w:jc w:val="center"/>
        </w:trPr>
        <w:tc>
          <w:tcPr>
            <w:tcW w:w="2163" w:type="dxa"/>
            <w:tcBorders>
              <w:bottom w:val="single" w:sz="4" w:space="0" w:color="000000"/>
              <w:right w:val="single" w:sz="4" w:space="0" w:color="auto"/>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Code</w:t>
            </w:r>
          </w:p>
        </w:tc>
        <w:tc>
          <w:tcPr>
            <w:tcW w:w="726" w:type="dxa"/>
            <w:tcBorders>
              <w:bottom w:val="single" w:sz="4" w:space="0" w:color="000000"/>
              <w:right w:val="thinThickThinSmallGap" w:sz="24" w:space="0" w:color="auto"/>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Rating</w:t>
            </w:r>
          </w:p>
        </w:tc>
        <w:tc>
          <w:tcPr>
            <w:tcW w:w="1884" w:type="dxa"/>
            <w:tcBorders>
              <w:left w:val="thinThickThinSmallGap" w:sz="24" w:space="0" w:color="auto"/>
              <w:bottom w:val="single" w:sz="4" w:space="0" w:color="000000"/>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Condition</w:t>
            </w:r>
          </w:p>
        </w:tc>
        <w:tc>
          <w:tcPr>
            <w:tcW w:w="1170" w:type="dxa"/>
            <w:tcBorders>
              <w:bottom w:val="single" w:sz="4" w:space="0" w:color="000000"/>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Code</w:t>
            </w:r>
          </w:p>
        </w:tc>
        <w:tc>
          <w:tcPr>
            <w:tcW w:w="1530" w:type="dxa"/>
            <w:tcBorders>
              <w:bottom w:val="single" w:sz="4" w:space="0" w:color="000000"/>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Rating</w:t>
            </w:r>
          </w:p>
        </w:tc>
        <w:tc>
          <w:tcPr>
            <w:tcW w:w="720" w:type="dxa"/>
            <w:tcBorders>
              <w:bottom w:val="single" w:sz="4" w:space="0" w:color="000000"/>
            </w:tcBorders>
            <w:shd w:val="clear" w:color="auto" w:fill="D9D9D9"/>
            <w:vAlign w:val="center"/>
          </w:tcPr>
          <w:p w:rsidR="00F90376" w:rsidRPr="00E402C8" w:rsidRDefault="00F90376" w:rsidP="006B690F">
            <w:pPr>
              <w:spacing w:line="180" w:lineRule="exact"/>
              <w:contextualSpacing/>
              <w:rPr>
                <w:rFonts w:cs="Calibri"/>
                <w:b/>
                <w:color w:val="auto"/>
                <w:sz w:val="18"/>
              </w:rPr>
            </w:pPr>
            <w:r w:rsidRPr="00E402C8">
              <w:rPr>
                <w:b/>
                <w:color w:val="auto"/>
                <w:sz w:val="18"/>
              </w:rPr>
              <w:t>Exam</w:t>
            </w:r>
          </w:p>
        </w:tc>
      </w:tr>
      <w:tr w:rsidR="00F4598F" w:rsidRPr="00E402C8" w:rsidTr="004450A8">
        <w:trPr>
          <w:trHeight w:val="118"/>
          <w:jc w:val="center"/>
        </w:trPr>
        <w:tc>
          <w:tcPr>
            <w:tcW w:w="2163" w:type="dxa"/>
            <w:tcBorders>
              <w:right w:val="single" w:sz="4" w:space="0" w:color="auto"/>
            </w:tcBorders>
            <w:shd w:val="clear" w:color="auto" w:fill="FFFFFF"/>
            <w:vAlign w:val="center"/>
          </w:tcPr>
          <w:p w:rsidR="00F4598F" w:rsidRPr="00E402C8" w:rsidRDefault="00BB433D" w:rsidP="00BF697B">
            <w:pPr>
              <w:spacing w:line="180" w:lineRule="exact"/>
              <w:contextualSpacing/>
              <w:jc w:val="left"/>
              <w:rPr>
                <w:rFonts w:cstheme="minorHAnsi"/>
                <w:color w:val="auto"/>
                <w:sz w:val="18"/>
                <w:szCs w:val="18"/>
              </w:rPr>
            </w:pPr>
            <w:r w:rsidRPr="00E402C8">
              <w:rPr>
                <w:rFonts w:cstheme="minorHAnsi"/>
                <w:color w:val="auto"/>
                <w:sz w:val="18"/>
                <w:szCs w:val="18"/>
              </w:rPr>
              <w:t>Chronic anti-coagulation secondary to recurrent pulmonary embolism</w:t>
            </w:r>
          </w:p>
        </w:tc>
        <w:tc>
          <w:tcPr>
            <w:tcW w:w="1080" w:type="dxa"/>
            <w:tcBorders>
              <w:left w:val="single" w:sz="4" w:space="0" w:color="auto"/>
            </w:tcBorders>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7199-7121</w:t>
            </w:r>
          </w:p>
        </w:tc>
        <w:tc>
          <w:tcPr>
            <w:tcW w:w="726" w:type="dxa"/>
            <w:tcBorders>
              <w:right w:val="thinThickThinSmallGap" w:sz="24" w:space="0" w:color="auto"/>
            </w:tcBorders>
            <w:shd w:val="clear" w:color="auto" w:fill="FFFFFF"/>
            <w:vAlign w:val="center"/>
          </w:tcPr>
          <w:p w:rsidR="00F4598F" w:rsidRPr="00E402C8" w:rsidRDefault="00F4598F" w:rsidP="00EE3C72">
            <w:pPr>
              <w:spacing w:line="180" w:lineRule="exact"/>
              <w:contextualSpacing/>
              <w:rPr>
                <w:rFonts w:cstheme="minorHAnsi"/>
                <w:color w:val="auto"/>
                <w:sz w:val="18"/>
                <w:szCs w:val="18"/>
              </w:rPr>
            </w:pPr>
            <w:r w:rsidRPr="00E402C8">
              <w:rPr>
                <w:rFonts w:cstheme="minorHAnsi"/>
                <w:color w:val="auto"/>
                <w:sz w:val="18"/>
                <w:szCs w:val="18"/>
              </w:rPr>
              <w:t>0%</w:t>
            </w:r>
          </w:p>
        </w:tc>
        <w:tc>
          <w:tcPr>
            <w:tcW w:w="1884" w:type="dxa"/>
            <w:tcBorders>
              <w:left w:val="thinThickThinSmallGap" w:sz="24" w:space="0" w:color="auto"/>
            </w:tcBorders>
            <w:shd w:val="clear" w:color="auto" w:fill="FFFFFF"/>
            <w:vAlign w:val="center"/>
          </w:tcPr>
          <w:p w:rsidR="00F4598F" w:rsidRPr="00E402C8" w:rsidRDefault="00F4598F" w:rsidP="00CB72C5">
            <w:pPr>
              <w:spacing w:line="180" w:lineRule="exact"/>
              <w:contextualSpacing/>
              <w:jc w:val="left"/>
              <w:rPr>
                <w:rFonts w:cstheme="minorHAnsi"/>
                <w:color w:val="auto"/>
                <w:sz w:val="18"/>
                <w:szCs w:val="18"/>
              </w:rPr>
            </w:pPr>
            <w:r w:rsidRPr="00E402C8">
              <w:rPr>
                <w:rFonts w:cstheme="minorHAnsi"/>
                <w:color w:val="auto"/>
                <w:sz w:val="18"/>
                <w:szCs w:val="18"/>
              </w:rPr>
              <w:t>Pulmonary Embolism</w:t>
            </w:r>
          </w:p>
        </w:tc>
        <w:tc>
          <w:tcPr>
            <w:tcW w:w="1170" w:type="dxa"/>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7199-7121</w:t>
            </w:r>
          </w:p>
        </w:tc>
        <w:tc>
          <w:tcPr>
            <w:tcW w:w="1530" w:type="dxa"/>
            <w:shd w:val="clear" w:color="auto" w:fill="FFFFFF"/>
            <w:vAlign w:val="center"/>
          </w:tcPr>
          <w:p w:rsidR="00F4598F" w:rsidRPr="00E402C8" w:rsidRDefault="00F4598F" w:rsidP="00471B5A">
            <w:pPr>
              <w:spacing w:line="180" w:lineRule="exact"/>
              <w:contextualSpacing/>
              <w:rPr>
                <w:rFonts w:cstheme="minorHAnsi"/>
                <w:color w:val="auto"/>
                <w:sz w:val="18"/>
                <w:szCs w:val="18"/>
              </w:rPr>
            </w:pPr>
            <w:r w:rsidRPr="00E402C8">
              <w:rPr>
                <w:rFonts w:cstheme="minorHAnsi"/>
                <w:color w:val="auto"/>
                <w:sz w:val="18"/>
                <w:szCs w:val="18"/>
              </w:rPr>
              <w:t>NSC,</w:t>
            </w:r>
            <w:r w:rsidR="00EA4CD3" w:rsidRPr="00E402C8">
              <w:rPr>
                <w:rFonts w:cstheme="minorHAnsi"/>
                <w:color w:val="auto"/>
                <w:sz w:val="18"/>
                <w:szCs w:val="18"/>
              </w:rPr>
              <w:t xml:space="preserve"> </w:t>
            </w:r>
            <w:r w:rsidRPr="00E402C8">
              <w:rPr>
                <w:rFonts w:cstheme="minorHAnsi"/>
                <w:color w:val="auto"/>
                <w:sz w:val="18"/>
                <w:szCs w:val="18"/>
              </w:rPr>
              <w:t>NABS</w:t>
            </w:r>
            <w:r w:rsidR="00471B5A" w:rsidRPr="00E402C8">
              <w:rPr>
                <w:rFonts w:cstheme="minorHAnsi"/>
                <w:color w:val="auto"/>
                <w:sz w:val="18"/>
                <w:szCs w:val="18"/>
              </w:rPr>
              <w:t>*</w:t>
            </w:r>
          </w:p>
        </w:tc>
        <w:tc>
          <w:tcPr>
            <w:tcW w:w="720" w:type="dxa"/>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STR</w:t>
            </w:r>
          </w:p>
        </w:tc>
      </w:tr>
      <w:tr w:rsidR="00F4598F" w:rsidRPr="00E402C8" w:rsidTr="004450A8">
        <w:trPr>
          <w:trHeight w:val="118"/>
          <w:jc w:val="center"/>
        </w:trPr>
        <w:tc>
          <w:tcPr>
            <w:tcW w:w="2163" w:type="dxa"/>
            <w:tcBorders>
              <w:right w:val="single" w:sz="4" w:space="0" w:color="auto"/>
            </w:tcBorders>
            <w:shd w:val="clear" w:color="auto" w:fill="FFFFFF"/>
            <w:vAlign w:val="center"/>
          </w:tcPr>
          <w:p w:rsidR="00F4598F" w:rsidRPr="00E402C8" w:rsidRDefault="00F4598F" w:rsidP="00CB72C5">
            <w:pPr>
              <w:spacing w:line="180" w:lineRule="exact"/>
              <w:contextualSpacing/>
              <w:jc w:val="left"/>
              <w:rPr>
                <w:rFonts w:cstheme="minorHAnsi"/>
                <w:color w:val="auto"/>
                <w:sz w:val="18"/>
                <w:szCs w:val="18"/>
              </w:rPr>
            </w:pPr>
            <w:r w:rsidRPr="00E402C8">
              <w:rPr>
                <w:rFonts w:cstheme="minorHAnsi"/>
                <w:color w:val="auto"/>
                <w:sz w:val="18"/>
                <w:szCs w:val="18"/>
              </w:rPr>
              <w:t>Latent T</w:t>
            </w:r>
            <w:r w:rsidR="00CB72C5" w:rsidRPr="00E402C8">
              <w:rPr>
                <w:rFonts w:cstheme="minorHAnsi"/>
                <w:color w:val="auto"/>
                <w:sz w:val="18"/>
                <w:szCs w:val="18"/>
              </w:rPr>
              <w:t>b</w:t>
            </w:r>
            <w:r w:rsidRPr="00E402C8">
              <w:rPr>
                <w:rFonts w:cstheme="minorHAnsi"/>
                <w:color w:val="auto"/>
                <w:sz w:val="18"/>
                <w:szCs w:val="18"/>
              </w:rPr>
              <w:t xml:space="preserve"> Infection</w:t>
            </w:r>
          </w:p>
        </w:tc>
        <w:tc>
          <w:tcPr>
            <w:tcW w:w="1806" w:type="dxa"/>
            <w:gridSpan w:val="2"/>
            <w:tcBorders>
              <w:left w:val="single" w:sz="4" w:space="0" w:color="auto"/>
              <w:right w:val="thinThickThinSmallGap" w:sz="24" w:space="0" w:color="auto"/>
            </w:tcBorders>
            <w:shd w:val="clear" w:color="auto" w:fill="FFFFFF"/>
            <w:vAlign w:val="center"/>
          </w:tcPr>
          <w:p w:rsidR="00F4598F" w:rsidRPr="00E402C8" w:rsidRDefault="00F4598F" w:rsidP="00355414">
            <w:pPr>
              <w:rPr>
                <w:rFonts w:cstheme="minorHAnsi"/>
                <w:color w:val="auto"/>
                <w:sz w:val="18"/>
                <w:szCs w:val="18"/>
              </w:rPr>
            </w:pPr>
            <w:r w:rsidRPr="00E402C8">
              <w:rPr>
                <w:rFonts w:cstheme="minorHAnsi"/>
                <w:color w:val="auto"/>
                <w:sz w:val="18"/>
                <w:szCs w:val="18"/>
              </w:rPr>
              <w:t>Not Unfitting</w:t>
            </w:r>
          </w:p>
        </w:tc>
        <w:tc>
          <w:tcPr>
            <w:tcW w:w="5304" w:type="dxa"/>
            <w:gridSpan w:val="4"/>
            <w:tcBorders>
              <w:left w:val="thinThickThinSmallGap" w:sz="24" w:space="0" w:color="auto"/>
            </w:tcBorders>
            <w:shd w:val="clear" w:color="auto" w:fill="FFFFFF"/>
            <w:vAlign w:val="center"/>
          </w:tcPr>
          <w:p w:rsidR="00F4598F" w:rsidRPr="00E402C8" w:rsidRDefault="00F4598F" w:rsidP="0017172C">
            <w:pPr>
              <w:spacing w:line="180" w:lineRule="exact"/>
              <w:contextualSpacing/>
              <w:rPr>
                <w:color w:val="auto"/>
                <w:sz w:val="18"/>
              </w:rPr>
            </w:pPr>
            <w:r w:rsidRPr="00E402C8">
              <w:rPr>
                <w:rFonts w:cs="Calibri"/>
                <w:color w:val="auto"/>
                <w:sz w:val="18"/>
              </w:rPr>
              <w:t>NO VA ENTRY</w:t>
            </w:r>
          </w:p>
        </w:tc>
      </w:tr>
      <w:tr w:rsidR="00F4598F" w:rsidRPr="00E402C8" w:rsidTr="004450A8">
        <w:trPr>
          <w:trHeight w:val="377"/>
          <w:jc w:val="center"/>
        </w:trPr>
        <w:tc>
          <w:tcPr>
            <w:tcW w:w="2163" w:type="dxa"/>
            <w:tcBorders>
              <w:right w:val="single" w:sz="4" w:space="0" w:color="auto"/>
            </w:tcBorders>
            <w:shd w:val="clear" w:color="auto" w:fill="FFFFFF"/>
            <w:vAlign w:val="center"/>
          </w:tcPr>
          <w:p w:rsidR="00F4598F" w:rsidRPr="00E402C8" w:rsidRDefault="00F4598F" w:rsidP="00BF697B">
            <w:pPr>
              <w:spacing w:line="180" w:lineRule="exact"/>
              <w:contextualSpacing/>
              <w:jc w:val="left"/>
              <w:rPr>
                <w:rFonts w:cstheme="minorHAnsi"/>
                <w:color w:val="auto"/>
                <w:sz w:val="18"/>
                <w:szCs w:val="18"/>
              </w:rPr>
            </w:pPr>
            <w:r w:rsidRPr="00E402C8">
              <w:rPr>
                <w:rFonts w:cstheme="minorHAnsi"/>
                <w:color w:val="auto"/>
                <w:sz w:val="18"/>
                <w:szCs w:val="18"/>
              </w:rPr>
              <w:t>Prostate Cancer</w:t>
            </w:r>
          </w:p>
        </w:tc>
        <w:tc>
          <w:tcPr>
            <w:tcW w:w="1806" w:type="dxa"/>
            <w:gridSpan w:val="2"/>
            <w:tcBorders>
              <w:left w:val="single" w:sz="4" w:space="0" w:color="auto"/>
              <w:right w:val="thinThickThinSmallGap" w:sz="24" w:space="0" w:color="auto"/>
            </w:tcBorders>
            <w:shd w:val="clear" w:color="auto" w:fill="FFFFFF"/>
            <w:vAlign w:val="center"/>
          </w:tcPr>
          <w:p w:rsidR="00F4598F" w:rsidRPr="00E402C8" w:rsidRDefault="00F4598F" w:rsidP="00355414">
            <w:pPr>
              <w:rPr>
                <w:rFonts w:cstheme="minorHAnsi"/>
                <w:color w:val="auto"/>
                <w:sz w:val="18"/>
                <w:szCs w:val="18"/>
              </w:rPr>
            </w:pPr>
            <w:r w:rsidRPr="00E402C8">
              <w:rPr>
                <w:rFonts w:cstheme="minorHAnsi"/>
                <w:color w:val="auto"/>
                <w:sz w:val="18"/>
                <w:szCs w:val="18"/>
              </w:rPr>
              <w:t>Not Unfitting</w:t>
            </w:r>
          </w:p>
        </w:tc>
        <w:tc>
          <w:tcPr>
            <w:tcW w:w="1884" w:type="dxa"/>
            <w:tcBorders>
              <w:left w:val="thinThickThinSmallGap" w:sz="24" w:space="0" w:color="auto"/>
            </w:tcBorders>
            <w:shd w:val="clear" w:color="auto" w:fill="FFFFFF"/>
            <w:vAlign w:val="center"/>
          </w:tcPr>
          <w:p w:rsidR="00F4598F" w:rsidRPr="00E402C8" w:rsidRDefault="00F4598F" w:rsidP="00CB72C5">
            <w:pPr>
              <w:spacing w:line="180" w:lineRule="exact"/>
              <w:contextualSpacing/>
              <w:jc w:val="left"/>
              <w:rPr>
                <w:rFonts w:cstheme="minorHAnsi"/>
                <w:color w:val="auto"/>
                <w:sz w:val="18"/>
                <w:szCs w:val="18"/>
              </w:rPr>
            </w:pPr>
            <w:r w:rsidRPr="00E402C8">
              <w:rPr>
                <w:rFonts w:cstheme="minorHAnsi"/>
                <w:color w:val="auto"/>
                <w:sz w:val="18"/>
                <w:szCs w:val="18"/>
              </w:rPr>
              <w:t>Prostate Cancer</w:t>
            </w:r>
          </w:p>
        </w:tc>
        <w:tc>
          <w:tcPr>
            <w:tcW w:w="1170" w:type="dxa"/>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7528</w:t>
            </w:r>
          </w:p>
        </w:tc>
        <w:tc>
          <w:tcPr>
            <w:tcW w:w="1530" w:type="dxa"/>
            <w:shd w:val="clear" w:color="auto" w:fill="FFFFFF"/>
            <w:vAlign w:val="center"/>
          </w:tcPr>
          <w:p w:rsidR="00F4598F" w:rsidRPr="00E402C8" w:rsidRDefault="00F4598F" w:rsidP="00471B5A">
            <w:pPr>
              <w:spacing w:line="180" w:lineRule="exact"/>
              <w:contextualSpacing/>
              <w:rPr>
                <w:rFonts w:cstheme="minorHAnsi"/>
                <w:color w:val="auto"/>
                <w:sz w:val="18"/>
                <w:szCs w:val="18"/>
              </w:rPr>
            </w:pPr>
            <w:r w:rsidRPr="00E402C8">
              <w:rPr>
                <w:rFonts w:cstheme="minorHAnsi"/>
                <w:color w:val="auto"/>
                <w:sz w:val="18"/>
                <w:szCs w:val="18"/>
              </w:rPr>
              <w:t>NSC,</w:t>
            </w:r>
            <w:r w:rsidR="00EA4CD3" w:rsidRPr="00E402C8">
              <w:rPr>
                <w:rFonts w:cstheme="minorHAnsi"/>
                <w:color w:val="auto"/>
                <w:sz w:val="18"/>
                <w:szCs w:val="18"/>
              </w:rPr>
              <w:t xml:space="preserve"> </w:t>
            </w:r>
            <w:r w:rsidRPr="00E402C8">
              <w:rPr>
                <w:rFonts w:cstheme="minorHAnsi"/>
                <w:color w:val="auto"/>
                <w:sz w:val="18"/>
                <w:szCs w:val="18"/>
              </w:rPr>
              <w:t>NI/CBS</w:t>
            </w:r>
            <w:r w:rsidR="00471B5A" w:rsidRPr="00E402C8">
              <w:rPr>
                <w:rFonts w:cstheme="minorHAnsi"/>
                <w:color w:val="auto"/>
                <w:sz w:val="18"/>
                <w:szCs w:val="18"/>
              </w:rPr>
              <w:t>*</w:t>
            </w:r>
          </w:p>
        </w:tc>
        <w:tc>
          <w:tcPr>
            <w:tcW w:w="720" w:type="dxa"/>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STR</w:t>
            </w:r>
          </w:p>
        </w:tc>
      </w:tr>
      <w:tr w:rsidR="00F4598F" w:rsidRPr="00E402C8" w:rsidTr="004450A8">
        <w:trPr>
          <w:trHeight w:val="118"/>
          <w:jc w:val="center"/>
        </w:trPr>
        <w:tc>
          <w:tcPr>
            <w:tcW w:w="2163" w:type="dxa"/>
            <w:tcBorders>
              <w:right w:val="single" w:sz="4" w:space="0" w:color="auto"/>
            </w:tcBorders>
            <w:shd w:val="clear" w:color="auto" w:fill="FFFFFF"/>
            <w:vAlign w:val="center"/>
          </w:tcPr>
          <w:p w:rsidR="00F4598F" w:rsidRPr="00E402C8" w:rsidRDefault="00F4598F" w:rsidP="00BF697B">
            <w:pPr>
              <w:spacing w:line="180" w:lineRule="exact"/>
              <w:contextualSpacing/>
              <w:jc w:val="left"/>
              <w:rPr>
                <w:rFonts w:cstheme="minorHAnsi"/>
                <w:color w:val="auto"/>
                <w:sz w:val="18"/>
                <w:szCs w:val="18"/>
              </w:rPr>
            </w:pPr>
            <w:r w:rsidRPr="00E402C8">
              <w:rPr>
                <w:rFonts w:cstheme="minorHAnsi"/>
                <w:color w:val="auto"/>
                <w:sz w:val="18"/>
                <w:szCs w:val="18"/>
              </w:rPr>
              <w:t>Essential Hematuria</w:t>
            </w:r>
          </w:p>
        </w:tc>
        <w:tc>
          <w:tcPr>
            <w:tcW w:w="1806" w:type="dxa"/>
            <w:gridSpan w:val="2"/>
            <w:tcBorders>
              <w:left w:val="single" w:sz="4" w:space="0" w:color="auto"/>
              <w:right w:val="thinThickThinSmallGap" w:sz="24" w:space="0" w:color="auto"/>
            </w:tcBorders>
            <w:shd w:val="clear" w:color="auto" w:fill="FFFFFF"/>
            <w:vAlign w:val="center"/>
          </w:tcPr>
          <w:p w:rsidR="00F4598F" w:rsidRPr="00E402C8" w:rsidRDefault="00F4598F" w:rsidP="00355414">
            <w:pPr>
              <w:rPr>
                <w:rFonts w:cstheme="minorHAnsi"/>
                <w:color w:val="auto"/>
                <w:sz w:val="18"/>
                <w:szCs w:val="18"/>
              </w:rPr>
            </w:pPr>
            <w:r w:rsidRPr="00E402C8">
              <w:rPr>
                <w:rFonts w:cstheme="minorHAnsi"/>
                <w:color w:val="auto"/>
                <w:sz w:val="18"/>
                <w:szCs w:val="18"/>
              </w:rPr>
              <w:t>Not Unfitting</w:t>
            </w:r>
          </w:p>
        </w:tc>
        <w:tc>
          <w:tcPr>
            <w:tcW w:w="5304" w:type="dxa"/>
            <w:gridSpan w:val="4"/>
            <w:tcBorders>
              <w:left w:val="thinThickThinSmallGap" w:sz="24" w:space="0" w:color="auto"/>
            </w:tcBorders>
            <w:shd w:val="clear" w:color="auto" w:fill="FFFFFF"/>
            <w:vAlign w:val="center"/>
          </w:tcPr>
          <w:p w:rsidR="00F4598F" w:rsidRPr="00E402C8" w:rsidRDefault="00F4598F" w:rsidP="0017172C">
            <w:pPr>
              <w:spacing w:line="180" w:lineRule="exact"/>
              <w:contextualSpacing/>
              <w:rPr>
                <w:color w:val="auto"/>
                <w:sz w:val="18"/>
              </w:rPr>
            </w:pPr>
            <w:r w:rsidRPr="00E402C8">
              <w:rPr>
                <w:rFonts w:cs="Calibri"/>
                <w:color w:val="auto"/>
                <w:sz w:val="18"/>
              </w:rPr>
              <w:t>NO VA ENTRY</w:t>
            </w:r>
          </w:p>
        </w:tc>
      </w:tr>
      <w:tr w:rsidR="00F4598F" w:rsidRPr="00E402C8" w:rsidTr="004450A8">
        <w:trPr>
          <w:trHeight w:val="97"/>
          <w:jc w:val="center"/>
        </w:trPr>
        <w:tc>
          <w:tcPr>
            <w:tcW w:w="2163" w:type="dxa"/>
            <w:tcBorders>
              <w:right w:val="single" w:sz="4" w:space="0" w:color="auto"/>
            </w:tcBorders>
            <w:shd w:val="clear" w:color="auto" w:fill="FFFFFF"/>
            <w:vAlign w:val="center"/>
          </w:tcPr>
          <w:p w:rsidR="00F4598F" w:rsidRPr="00E402C8" w:rsidRDefault="00F4598F" w:rsidP="00BF697B">
            <w:pPr>
              <w:spacing w:line="180" w:lineRule="exact"/>
              <w:contextualSpacing/>
              <w:jc w:val="left"/>
              <w:rPr>
                <w:rFonts w:cstheme="minorHAnsi"/>
                <w:color w:val="auto"/>
                <w:sz w:val="18"/>
                <w:szCs w:val="18"/>
              </w:rPr>
            </w:pPr>
            <w:r w:rsidRPr="00E402C8">
              <w:rPr>
                <w:rFonts w:cstheme="minorHAnsi"/>
                <w:color w:val="auto"/>
                <w:sz w:val="18"/>
                <w:szCs w:val="18"/>
              </w:rPr>
              <w:t>Graves Disease</w:t>
            </w:r>
          </w:p>
        </w:tc>
        <w:tc>
          <w:tcPr>
            <w:tcW w:w="1806" w:type="dxa"/>
            <w:gridSpan w:val="2"/>
            <w:tcBorders>
              <w:left w:val="single" w:sz="4" w:space="0" w:color="auto"/>
              <w:right w:val="thinThickThinSmallGap" w:sz="24" w:space="0" w:color="auto"/>
            </w:tcBorders>
            <w:shd w:val="clear" w:color="auto" w:fill="FFFFFF"/>
            <w:vAlign w:val="center"/>
          </w:tcPr>
          <w:p w:rsidR="00F4598F" w:rsidRPr="00E402C8" w:rsidRDefault="00F4598F" w:rsidP="00355414">
            <w:pPr>
              <w:rPr>
                <w:rFonts w:cstheme="minorHAnsi"/>
                <w:color w:val="auto"/>
                <w:sz w:val="18"/>
                <w:szCs w:val="18"/>
              </w:rPr>
            </w:pPr>
            <w:r w:rsidRPr="00E402C8">
              <w:rPr>
                <w:rFonts w:cstheme="minorHAnsi"/>
                <w:color w:val="auto"/>
                <w:sz w:val="18"/>
                <w:szCs w:val="18"/>
              </w:rPr>
              <w:t>Not Unfitting</w:t>
            </w:r>
          </w:p>
        </w:tc>
        <w:tc>
          <w:tcPr>
            <w:tcW w:w="5304" w:type="dxa"/>
            <w:gridSpan w:val="4"/>
            <w:tcBorders>
              <w:left w:val="thinThickThinSmallGap" w:sz="24" w:space="0" w:color="auto"/>
            </w:tcBorders>
            <w:shd w:val="clear" w:color="auto" w:fill="FFFFFF"/>
            <w:vAlign w:val="center"/>
          </w:tcPr>
          <w:p w:rsidR="00F4598F" w:rsidRPr="00E402C8" w:rsidRDefault="00F4598F" w:rsidP="0017172C">
            <w:pPr>
              <w:spacing w:line="180" w:lineRule="exact"/>
              <w:contextualSpacing/>
              <w:rPr>
                <w:rFonts w:cs="Calibri"/>
                <w:color w:val="auto"/>
                <w:sz w:val="18"/>
              </w:rPr>
            </w:pPr>
            <w:r w:rsidRPr="00E402C8">
              <w:rPr>
                <w:rFonts w:cs="Calibri"/>
                <w:color w:val="auto"/>
                <w:sz w:val="18"/>
              </w:rPr>
              <w:t>NO VA ENTRY</w:t>
            </w:r>
          </w:p>
        </w:tc>
      </w:tr>
      <w:tr w:rsidR="00F4598F" w:rsidRPr="00E402C8" w:rsidTr="004450A8">
        <w:trPr>
          <w:trHeight w:val="97"/>
          <w:jc w:val="center"/>
        </w:trPr>
        <w:tc>
          <w:tcPr>
            <w:tcW w:w="2163" w:type="dxa"/>
            <w:tcBorders>
              <w:right w:val="single" w:sz="4" w:space="0" w:color="auto"/>
            </w:tcBorders>
            <w:shd w:val="clear" w:color="auto" w:fill="FFFFFF"/>
            <w:vAlign w:val="center"/>
          </w:tcPr>
          <w:p w:rsidR="00F4598F" w:rsidRPr="00E402C8" w:rsidRDefault="00F4598F" w:rsidP="00BF697B">
            <w:pPr>
              <w:spacing w:line="180" w:lineRule="exact"/>
              <w:contextualSpacing/>
              <w:jc w:val="left"/>
              <w:rPr>
                <w:rFonts w:cstheme="minorHAnsi"/>
                <w:color w:val="auto"/>
                <w:sz w:val="18"/>
                <w:szCs w:val="18"/>
              </w:rPr>
            </w:pPr>
            <w:r w:rsidRPr="00E402C8">
              <w:rPr>
                <w:rFonts w:cstheme="minorHAnsi"/>
                <w:color w:val="auto"/>
                <w:sz w:val="18"/>
                <w:szCs w:val="18"/>
              </w:rPr>
              <w:t>Hammer Tow, s/p repair</w:t>
            </w:r>
          </w:p>
        </w:tc>
        <w:tc>
          <w:tcPr>
            <w:tcW w:w="1806" w:type="dxa"/>
            <w:gridSpan w:val="2"/>
            <w:tcBorders>
              <w:left w:val="single" w:sz="4" w:space="0" w:color="auto"/>
              <w:right w:val="thinThickThinSmallGap" w:sz="24" w:space="0" w:color="auto"/>
            </w:tcBorders>
            <w:shd w:val="clear" w:color="auto" w:fill="FFFFFF"/>
            <w:vAlign w:val="center"/>
          </w:tcPr>
          <w:p w:rsidR="00F4598F" w:rsidRPr="00E402C8" w:rsidRDefault="00F4598F" w:rsidP="00355414">
            <w:pPr>
              <w:rPr>
                <w:rFonts w:cstheme="minorHAnsi"/>
                <w:color w:val="auto"/>
                <w:sz w:val="18"/>
                <w:szCs w:val="18"/>
              </w:rPr>
            </w:pPr>
            <w:r w:rsidRPr="00E402C8">
              <w:rPr>
                <w:rFonts w:cstheme="minorHAnsi"/>
                <w:color w:val="auto"/>
                <w:sz w:val="18"/>
                <w:szCs w:val="18"/>
              </w:rPr>
              <w:t>Not Unfitting</w:t>
            </w:r>
          </w:p>
        </w:tc>
        <w:tc>
          <w:tcPr>
            <w:tcW w:w="1884" w:type="dxa"/>
            <w:tcBorders>
              <w:left w:val="thinThickThinSmallGap" w:sz="24" w:space="0" w:color="auto"/>
              <w:right w:val="single" w:sz="4" w:space="0" w:color="auto"/>
            </w:tcBorders>
            <w:shd w:val="clear" w:color="auto" w:fill="FFFFFF"/>
            <w:vAlign w:val="center"/>
          </w:tcPr>
          <w:p w:rsidR="00F4598F" w:rsidRPr="00E402C8" w:rsidRDefault="004450A8" w:rsidP="004450A8">
            <w:pPr>
              <w:spacing w:line="180" w:lineRule="exact"/>
              <w:contextualSpacing/>
              <w:jc w:val="left"/>
              <w:rPr>
                <w:rFonts w:cstheme="minorHAnsi"/>
                <w:color w:val="auto"/>
                <w:sz w:val="18"/>
                <w:szCs w:val="18"/>
              </w:rPr>
            </w:pPr>
            <w:r w:rsidRPr="00E402C8">
              <w:rPr>
                <w:rFonts w:cstheme="minorHAnsi"/>
                <w:color w:val="auto"/>
                <w:sz w:val="18"/>
                <w:szCs w:val="18"/>
              </w:rPr>
              <w:t xml:space="preserve">S/P </w:t>
            </w:r>
            <w:r w:rsidR="00F4598F" w:rsidRPr="00E402C8">
              <w:rPr>
                <w:rFonts w:cstheme="minorHAnsi"/>
                <w:color w:val="auto"/>
                <w:sz w:val="18"/>
                <w:szCs w:val="18"/>
              </w:rPr>
              <w:t>5</w:t>
            </w:r>
            <w:r w:rsidR="00F4598F" w:rsidRPr="00E402C8">
              <w:rPr>
                <w:rFonts w:cstheme="minorHAnsi"/>
                <w:color w:val="auto"/>
                <w:sz w:val="18"/>
                <w:szCs w:val="18"/>
                <w:vertAlign w:val="superscript"/>
              </w:rPr>
              <w:t>th</w:t>
            </w:r>
            <w:r w:rsidR="00F4598F" w:rsidRPr="00E402C8">
              <w:rPr>
                <w:rFonts w:cstheme="minorHAnsi"/>
                <w:color w:val="auto"/>
                <w:sz w:val="18"/>
                <w:szCs w:val="18"/>
              </w:rPr>
              <w:t xml:space="preserve"> L</w:t>
            </w:r>
            <w:r w:rsidRPr="00E402C8">
              <w:rPr>
                <w:rFonts w:cstheme="minorHAnsi"/>
                <w:color w:val="auto"/>
                <w:sz w:val="18"/>
                <w:szCs w:val="18"/>
              </w:rPr>
              <w:t>.</w:t>
            </w:r>
            <w:r w:rsidR="00F4598F" w:rsidRPr="00E402C8">
              <w:rPr>
                <w:rFonts w:cstheme="minorHAnsi"/>
                <w:color w:val="auto"/>
                <w:sz w:val="18"/>
                <w:szCs w:val="18"/>
              </w:rPr>
              <w:t xml:space="preserve"> Toe Surgery</w:t>
            </w:r>
          </w:p>
        </w:tc>
        <w:tc>
          <w:tcPr>
            <w:tcW w:w="1170" w:type="dxa"/>
            <w:tcBorders>
              <w:left w:val="single" w:sz="4" w:space="0" w:color="auto"/>
            </w:tcBorders>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5282</w:t>
            </w:r>
          </w:p>
        </w:tc>
        <w:tc>
          <w:tcPr>
            <w:tcW w:w="1530" w:type="dxa"/>
            <w:shd w:val="clear" w:color="auto" w:fill="FFFFFF"/>
            <w:vAlign w:val="center"/>
          </w:tcPr>
          <w:p w:rsidR="00F4598F" w:rsidRPr="00E402C8" w:rsidRDefault="00F4598F" w:rsidP="00471B5A">
            <w:pPr>
              <w:spacing w:line="180" w:lineRule="exact"/>
              <w:contextualSpacing/>
              <w:rPr>
                <w:rFonts w:cstheme="minorHAnsi"/>
                <w:color w:val="auto"/>
                <w:sz w:val="18"/>
                <w:szCs w:val="18"/>
              </w:rPr>
            </w:pPr>
            <w:r w:rsidRPr="00E402C8">
              <w:rPr>
                <w:rFonts w:cstheme="minorHAnsi"/>
                <w:color w:val="auto"/>
                <w:sz w:val="18"/>
                <w:szCs w:val="18"/>
              </w:rPr>
              <w:t>NI/CBS</w:t>
            </w:r>
            <w:r w:rsidR="00471B5A" w:rsidRPr="00E402C8">
              <w:rPr>
                <w:rFonts w:cstheme="minorHAnsi"/>
                <w:color w:val="auto"/>
                <w:sz w:val="18"/>
                <w:szCs w:val="18"/>
              </w:rPr>
              <w:t>*</w:t>
            </w:r>
            <w:r w:rsidR="00024212" w:rsidRPr="00E402C8">
              <w:rPr>
                <w:rFonts w:cstheme="minorHAnsi"/>
                <w:color w:val="auto"/>
                <w:sz w:val="18"/>
                <w:szCs w:val="18"/>
                <w:vertAlign w:val="superscript"/>
              </w:rPr>
              <w:t>,</w:t>
            </w:r>
          </w:p>
        </w:tc>
        <w:tc>
          <w:tcPr>
            <w:tcW w:w="720" w:type="dxa"/>
            <w:shd w:val="clear" w:color="auto" w:fill="FFFFFF"/>
            <w:vAlign w:val="center"/>
          </w:tcPr>
          <w:p w:rsidR="00F4598F" w:rsidRPr="00E402C8" w:rsidRDefault="00F4598F" w:rsidP="00355414">
            <w:pPr>
              <w:spacing w:line="180" w:lineRule="exact"/>
              <w:contextualSpacing/>
              <w:rPr>
                <w:rFonts w:cstheme="minorHAnsi"/>
                <w:color w:val="auto"/>
                <w:sz w:val="18"/>
                <w:szCs w:val="18"/>
              </w:rPr>
            </w:pPr>
            <w:r w:rsidRPr="00E402C8">
              <w:rPr>
                <w:rFonts w:cstheme="minorHAnsi"/>
                <w:color w:val="auto"/>
                <w:sz w:val="18"/>
                <w:szCs w:val="18"/>
              </w:rPr>
              <w:t>STR</w:t>
            </w:r>
          </w:p>
        </w:tc>
      </w:tr>
      <w:tr w:rsidR="00471B5A" w:rsidRPr="00E402C8" w:rsidTr="004450A8">
        <w:trPr>
          <w:trHeight w:val="278"/>
          <w:jc w:val="center"/>
        </w:trPr>
        <w:tc>
          <w:tcPr>
            <w:tcW w:w="3969" w:type="dxa"/>
            <w:gridSpan w:val="3"/>
            <w:tcBorders>
              <w:right w:val="thinThickThinSmallGap" w:sz="24" w:space="0" w:color="auto"/>
            </w:tcBorders>
            <w:shd w:val="clear" w:color="auto" w:fill="FFFFFF"/>
            <w:vAlign w:val="center"/>
          </w:tcPr>
          <w:p w:rsidR="00471B5A" w:rsidRPr="00E402C8" w:rsidRDefault="00471B5A" w:rsidP="00355414">
            <w:pPr>
              <w:spacing w:line="180" w:lineRule="exact"/>
              <w:contextualSpacing/>
              <w:rPr>
                <w:rFonts w:cstheme="minorHAnsi"/>
                <w:color w:val="auto"/>
                <w:sz w:val="18"/>
                <w:szCs w:val="18"/>
              </w:rPr>
            </w:pPr>
            <w:r w:rsidRPr="00E402C8">
              <w:rPr>
                <w:rFonts w:cs="Calibri"/>
                <w:color w:val="auto"/>
                <w:sz w:val="18"/>
                <w:szCs w:val="18"/>
              </w:rPr>
              <w:t>↓No Additional MEB/PEB Entries↓</w:t>
            </w:r>
          </w:p>
        </w:tc>
        <w:tc>
          <w:tcPr>
            <w:tcW w:w="5304" w:type="dxa"/>
            <w:gridSpan w:val="4"/>
            <w:tcBorders>
              <w:left w:val="thinThickThinSmallGap" w:sz="24" w:space="0" w:color="auto"/>
            </w:tcBorders>
            <w:shd w:val="clear" w:color="auto" w:fill="FFFFFF"/>
            <w:vAlign w:val="center"/>
          </w:tcPr>
          <w:p w:rsidR="00471B5A" w:rsidRPr="00E402C8" w:rsidRDefault="00B1259E" w:rsidP="0017172C">
            <w:pPr>
              <w:spacing w:line="180" w:lineRule="exact"/>
              <w:contextualSpacing/>
              <w:rPr>
                <w:rFonts w:cstheme="minorHAnsi"/>
                <w:color w:val="auto"/>
                <w:sz w:val="18"/>
                <w:szCs w:val="18"/>
              </w:rPr>
            </w:pPr>
            <w:r w:rsidRPr="00E402C8">
              <w:rPr>
                <w:rFonts w:cstheme="minorHAnsi"/>
                <w:color w:val="auto"/>
                <w:sz w:val="18"/>
                <w:szCs w:val="18"/>
              </w:rPr>
              <w:t>N/A</w:t>
            </w:r>
          </w:p>
        </w:tc>
      </w:tr>
      <w:tr w:rsidR="00F4598F" w:rsidRPr="00E402C8" w:rsidTr="004450A8">
        <w:trPr>
          <w:trHeight w:val="124"/>
          <w:jc w:val="center"/>
        </w:trPr>
        <w:tc>
          <w:tcPr>
            <w:tcW w:w="3969" w:type="dxa"/>
            <w:gridSpan w:val="3"/>
            <w:tcBorders>
              <w:right w:val="thinThickThinSmallGap" w:sz="24" w:space="0" w:color="auto"/>
            </w:tcBorders>
            <w:shd w:val="clear" w:color="auto" w:fill="D9D9D9"/>
            <w:vAlign w:val="center"/>
          </w:tcPr>
          <w:p w:rsidR="00F4598F" w:rsidRPr="00E402C8" w:rsidRDefault="002E232B" w:rsidP="00355414">
            <w:pPr>
              <w:spacing w:line="180" w:lineRule="exact"/>
              <w:contextualSpacing/>
              <w:rPr>
                <w:rFonts w:cstheme="minorHAnsi"/>
                <w:color w:val="auto"/>
                <w:sz w:val="18"/>
                <w:szCs w:val="18"/>
              </w:rPr>
            </w:pPr>
            <w:r w:rsidRPr="00E402C8">
              <w:rPr>
                <w:color w:val="auto"/>
                <w:sz w:val="18"/>
                <w:szCs w:val="20"/>
              </w:rPr>
              <w:t>Combined:  0%</w:t>
            </w:r>
          </w:p>
        </w:tc>
        <w:tc>
          <w:tcPr>
            <w:tcW w:w="5304" w:type="dxa"/>
            <w:gridSpan w:val="4"/>
            <w:tcBorders>
              <w:left w:val="thinThickThinSmallGap" w:sz="24" w:space="0" w:color="auto"/>
            </w:tcBorders>
            <w:shd w:val="clear" w:color="auto" w:fill="D9D9D9"/>
            <w:vAlign w:val="center"/>
          </w:tcPr>
          <w:p w:rsidR="00F4598F" w:rsidRPr="00E402C8" w:rsidRDefault="00B1259E" w:rsidP="00CB72C5">
            <w:pPr>
              <w:spacing w:line="180" w:lineRule="exact"/>
              <w:contextualSpacing/>
              <w:rPr>
                <w:rFonts w:cstheme="minorHAnsi"/>
                <w:color w:val="auto"/>
                <w:sz w:val="18"/>
                <w:szCs w:val="18"/>
              </w:rPr>
            </w:pPr>
            <w:r w:rsidRPr="00E402C8">
              <w:rPr>
                <w:rFonts w:cstheme="minorHAnsi"/>
                <w:color w:val="auto"/>
                <w:sz w:val="18"/>
                <w:szCs w:val="18"/>
              </w:rPr>
              <w:t>Combined:  N/A</w:t>
            </w:r>
            <w:r w:rsidR="00471B5A" w:rsidRPr="00E402C8">
              <w:rPr>
                <w:rFonts w:cstheme="minorHAnsi"/>
                <w:color w:val="auto"/>
                <w:sz w:val="18"/>
                <w:szCs w:val="18"/>
              </w:rPr>
              <w:t>*</w:t>
            </w:r>
          </w:p>
        </w:tc>
      </w:tr>
    </w:tbl>
    <w:p w:rsidR="00F90376" w:rsidRPr="00E402C8" w:rsidRDefault="00E402C8" w:rsidP="00471B5A">
      <w:pPr>
        <w:tabs>
          <w:tab w:val="left" w:pos="288"/>
          <w:tab w:val="left" w:pos="4752"/>
        </w:tabs>
        <w:spacing w:line="180" w:lineRule="exact"/>
        <w:jc w:val="both"/>
        <w:rPr>
          <w:color w:val="auto"/>
          <w:sz w:val="18"/>
          <w:szCs w:val="18"/>
        </w:rPr>
      </w:pPr>
      <w:r>
        <w:rPr>
          <w:color w:val="auto"/>
          <w:sz w:val="18"/>
          <w:szCs w:val="18"/>
        </w:rPr>
        <w:t xml:space="preserve">* </w:t>
      </w:r>
      <w:r w:rsidR="00EA4CD3" w:rsidRPr="00E402C8">
        <w:rPr>
          <w:color w:val="auto"/>
          <w:sz w:val="18"/>
          <w:szCs w:val="18"/>
        </w:rPr>
        <w:t>Th</w:t>
      </w:r>
      <w:r w:rsidR="00471B5A" w:rsidRPr="00E402C8">
        <w:rPr>
          <w:color w:val="auto"/>
          <w:sz w:val="18"/>
          <w:szCs w:val="18"/>
        </w:rPr>
        <w:t>ese</w:t>
      </w:r>
      <w:r w:rsidR="00EA4CD3" w:rsidRPr="00E402C8">
        <w:rPr>
          <w:color w:val="auto"/>
          <w:sz w:val="18"/>
          <w:szCs w:val="18"/>
        </w:rPr>
        <w:t xml:space="preserve"> rating</w:t>
      </w:r>
      <w:r w:rsidR="005559AA">
        <w:rPr>
          <w:color w:val="auto"/>
          <w:sz w:val="18"/>
          <w:szCs w:val="18"/>
        </w:rPr>
        <w:t>s</w:t>
      </w:r>
      <w:r w:rsidR="00EA4CD3" w:rsidRPr="00E402C8">
        <w:rPr>
          <w:color w:val="auto"/>
          <w:sz w:val="18"/>
          <w:szCs w:val="18"/>
        </w:rPr>
        <w:t xml:space="preserve"> w</w:t>
      </w:r>
      <w:r w:rsidR="00471B5A" w:rsidRPr="00E402C8">
        <w:rPr>
          <w:color w:val="auto"/>
          <w:sz w:val="18"/>
          <w:szCs w:val="18"/>
        </w:rPr>
        <w:t>ere</w:t>
      </w:r>
      <w:r w:rsidR="00EA4CD3" w:rsidRPr="00E402C8">
        <w:rPr>
          <w:color w:val="auto"/>
          <w:sz w:val="18"/>
          <w:szCs w:val="18"/>
        </w:rPr>
        <w:t xml:space="preserve"> made by the 20070622 VARD.  All claims were denied based on a) pre-existing conditions; b) a lack of evidence of a worsening condition, of permanent residuals or of chronic disability; and c) failures to report for scheduled examinations.</w:t>
      </w:r>
      <w:r w:rsidR="00471B5A" w:rsidRPr="00E402C8">
        <w:rPr>
          <w:color w:val="auto"/>
          <w:sz w:val="18"/>
          <w:szCs w:val="18"/>
        </w:rPr>
        <w:t xml:space="preserve">  (</w:t>
      </w:r>
      <w:r w:rsidR="00EA4CD3" w:rsidRPr="00E402C8">
        <w:rPr>
          <w:color w:val="auto"/>
          <w:sz w:val="18"/>
          <w:szCs w:val="18"/>
        </w:rPr>
        <w:t>NSC – Not service connected</w:t>
      </w:r>
      <w:r w:rsidR="00471B5A" w:rsidRPr="00E402C8">
        <w:rPr>
          <w:color w:val="auto"/>
          <w:sz w:val="18"/>
          <w:szCs w:val="18"/>
        </w:rPr>
        <w:t xml:space="preserve">; </w:t>
      </w:r>
      <w:r w:rsidR="00EA4CD3" w:rsidRPr="00E402C8">
        <w:rPr>
          <w:color w:val="auto"/>
          <w:sz w:val="18"/>
          <w:szCs w:val="18"/>
        </w:rPr>
        <w:t>NABS – Not Aggravated by Service</w:t>
      </w:r>
      <w:r w:rsidR="00471B5A" w:rsidRPr="00E402C8">
        <w:rPr>
          <w:color w:val="auto"/>
          <w:sz w:val="18"/>
          <w:szCs w:val="18"/>
        </w:rPr>
        <w:t xml:space="preserve">; </w:t>
      </w:r>
      <w:r w:rsidR="00EA4CD3" w:rsidRPr="00E402C8">
        <w:rPr>
          <w:color w:val="auto"/>
          <w:sz w:val="18"/>
          <w:szCs w:val="18"/>
        </w:rPr>
        <w:t>NI/CBS – Not Incurred/Caused by Service</w:t>
      </w:r>
      <w:r w:rsidR="00471B5A" w:rsidRPr="00E402C8">
        <w:rPr>
          <w:color w:val="auto"/>
          <w:sz w:val="18"/>
          <w:szCs w:val="18"/>
        </w:rPr>
        <w:t xml:space="preserve">; </w:t>
      </w:r>
      <w:r w:rsidR="00EA4CD3" w:rsidRPr="00E402C8">
        <w:rPr>
          <w:color w:val="auto"/>
          <w:sz w:val="18"/>
          <w:szCs w:val="18"/>
        </w:rPr>
        <w:t>STR – Service Treatment Records</w:t>
      </w:r>
      <w:r w:rsidR="00471B5A" w:rsidRPr="00E402C8">
        <w:rPr>
          <w:color w:val="auto"/>
          <w:sz w:val="18"/>
          <w:szCs w:val="18"/>
        </w:rPr>
        <w:t xml:space="preserve">)  </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D364FC" w:rsidRPr="00D364FC" w:rsidRDefault="00AD2379" w:rsidP="00D364FC">
      <w:pPr>
        <w:tabs>
          <w:tab w:val="left" w:pos="288"/>
          <w:tab w:val="left" w:pos="4752"/>
        </w:tabs>
        <w:jc w:val="both"/>
        <w:rPr>
          <w:color w:val="auto"/>
        </w:rPr>
      </w:pPr>
      <w:r w:rsidRPr="00F64312">
        <w:rPr>
          <w:color w:val="auto"/>
          <w:u w:val="single"/>
        </w:rPr>
        <w:t xml:space="preserve">ANALYSIS </w:t>
      </w:r>
      <w:r w:rsidRPr="00D33946">
        <w:rPr>
          <w:color w:val="auto"/>
          <w:u w:val="single"/>
        </w:rPr>
        <w:t>SUMMARY</w:t>
      </w:r>
      <w:r w:rsidRPr="00D33946">
        <w:rPr>
          <w:color w:val="auto"/>
        </w:rPr>
        <w:t>:</w:t>
      </w:r>
      <w:r w:rsidR="00896C01" w:rsidRPr="00D33946">
        <w:rPr>
          <w:color w:val="auto"/>
        </w:rPr>
        <w:t xml:space="preserve"> </w:t>
      </w:r>
      <w:r w:rsidRPr="00D33946">
        <w:rPr>
          <w:color w:val="auto"/>
        </w:rPr>
        <w:t xml:space="preserve"> </w:t>
      </w:r>
      <w:r w:rsidR="00D364FC" w:rsidRPr="00D33946">
        <w:rPr>
          <w:color w:val="auto"/>
        </w:rPr>
        <w:t>With regard to the CI’s assertion that he was separ</w:t>
      </w:r>
      <w:r w:rsidR="00005D70">
        <w:rPr>
          <w:color w:val="auto"/>
        </w:rPr>
        <w:t>ated without understanding his medical b</w:t>
      </w:r>
      <w:r w:rsidR="00D364FC" w:rsidRPr="00D33946">
        <w:rPr>
          <w:color w:val="auto"/>
        </w:rPr>
        <w:t>oard results, the Board must note for the record that it has neither the jurisdiction nor authority to scrutinize or render opin</w:t>
      </w:r>
      <w:r w:rsidR="00005D70">
        <w:rPr>
          <w:color w:val="auto"/>
        </w:rPr>
        <w:t>ions in reference to suspected s</w:t>
      </w:r>
      <w:r w:rsidR="00D364FC" w:rsidRPr="00D33946">
        <w:rPr>
          <w:color w:val="auto"/>
        </w:rPr>
        <w:t xml:space="preserve">ervice improprieties in the disposition of a case.  The Board acknowledges the sentiment expressed in the CI’s application regarding the significant impairment with which his service-aggravated condition continues to burden him.  It is a fact, however, that the </w:t>
      </w:r>
      <w:r w:rsidR="001005A1">
        <w:rPr>
          <w:color w:val="auto"/>
        </w:rPr>
        <w:t>Disability Evaluation System (DES)</w:t>
      </w:r>
      <w:r w:rsidR="00D364FC" w:rsidRPr="00D33946">
        <w:rPr>
          <w:color w:val="auto"/>
        </w:rPr>
        <w:t xml:space="preserve"> has neither the role nor the authority to compensate service members for anticipated future severity or potential complications of conditions resulting in medical separation.  This role and authority is granted by Congress to the Department of</w:t>
      </w:r>
      <w:r w:rsidR="00D364FC" w:rsidRPr="00D364FC">
        <w:rPr>
          <w:color w:val="auto"/>
        </w:rPr>
        <w:t xml:space="preserve"> Veteran</w:t>
      </w:r>
      <w:r w:rsidR="00005D70">
        <w:rPr>
          <w:color w:val="auto"/>
        </w:rPr>
        <w:t>s</w:t>
      </w:r>
      <w:r w:rsidR="001005A1">
        <w:rPr>
          <w:color w:val="auto"/>
        </w:rPr>
        <w:t>’</w:t>
      </w:r>
      <w:r w:rsidR="00D364FC" w:rsidRPr="00D364FC">
        <w:rPr>
          <w:color w:val="auto"/>
        </w:rPr>
        <w:t xml:space="preserve"> Affairs (DVA).  The DVA, operating under a different set of laws (Title 38, United States Code), is empowered to compensate service</w:t>
      </w:r>
      <w:r w:rsidR="001005A1">
        <w:rPr>
          <w:color w:val="auto"/>
        </w:rPr>
        <w:t>-</w:t>
      </w:r>
      <w:r w:rsidR="00D364FC" w:rsidRPr="00D364FC">
        <w:rPr>
          <w:color w:val="auto"/>
        </w:rPr>
        <w:t>connected conditions and to periodically re-evaluate said conditions for the purpose of adjusting the vetera</w:t>
      </w:r>
      <w:r w:rsidR="001005A1">
        <w:rPr>
          <w:color w:val="auto"/>
        </w:rPr>
        <w:t>n’s disability rating should the</w:t>
      </w:r>
      <w:r w:rsidR="00D364FC" w:rsidRPr="00D364FC">
        <w:rPr>
          <w:color w:val="auto"/>
        </w:rPr>
        <w:t xml:space="preserve"> degree of impairment vary over time.  The Board utilizes </w:t>
      </w:r>
      <w:r w:rsidR="00E13DC9">
        <w:rPr>
          <w:color w:val="auto"/>
        </w:rPr>
        <w:t>D</w:t>
      </w:r>
      <w:r w:rsidR="00D364FC" w:rsidRPr="00D364FC">
        <w:rPr>
          <w:color w:val="auto"/>
        </w:rPr>
        <w:t>VA evidence proximal to separation in arriving at its recommendations; and, DoDI 6040.44 defines a 12</w:t>
      </w:r>
      <w:r w:rsidR="00944A40">
        <w:rPr>
          <w:color w:val="auto"/>
        </w:rPr>
        <w:t>-</w:t>
      </w:r>
      <w:r w:rsidR="00D364FC" w:rsidRPr="00D364FC">
        <w:rPr>
          <w:color w:val="auto"/>
        </w:rPr>
        <w:t xml:space="preserve">month interval for special consideration to post-separation evidence.  The Board’s authority as defined in DoDI 6044.40, however, resides in evaluating the fairness of DES fitness determinations and rating decisions for </w:t>
      </w:r>
      <w:r w:rsidR="00D364FC" w:rsidRPr="00EE3C72">
        <w:rPr>
          <w:color w:val="auto"/>
        </w:rPr>
        <w:t xml:space="preserve">disability at the time of separation.  Post-separation evidence therefore is probative only to the extent that it reasonably reflects the disability and fitness implications at the time of separation.  </w:t>
      </w:r>
      <w:r w:rsidR="00D364FC" w:rsidRPr="00EE3C72">
        <w:rPr>
          <w:color w:val="auto"/>
          <w:szCs w:val="24"/>
        </w:rPr>
        <w:t>The PEB’s ruling that the unfitting chronic anti-coagulation secondary to recurrent pulmonary embolism condition was compensable is considered administratively final.  The Board’s main charge regarding this condition is determination of the VASRD-only rating of the condition.</w:t>
      </w:r>
      <w:r w:rsidR="00D364FC" w:rsidRPr="00D364FC">
        <w:rPr>
          <w:color w:val="auto"/>
          <w:szCs w:val="24"/>
        </w:rPr>
        <w:t xml:space="preserve">  </w:t>
      </w:r>
    </w:p>
    <w:p w:rsidR="00AD2379" w:rsidRPr="00F64312" w:rsidRDefault="00AD2379" w:rsidP="00B22D42">
      <w:pPr>
        <w:jc w:val="both"/>
        <w:rPr>
          <w:color w:val="auto"/>
          <w:highlight w:val="yellow"/>
        </w:rPr>
      </w:pPr>
    </w:p>
    <w:p w:rsidR="00D64BFA" w:rsidRDefault="003E2AAC" w:rsidP="009327F8">
      <w:pPr>
        <w:jc w:val="both"/>
        <w:rPr>
          <w:color w:val="auto"/>
          <w:szCs w:val="24"/>
        </w:rPr>
      </w:pPr>
      <w:proofErr w:type="gramStart"/>
      <w:r w:rsidRPr="007256AE">
        <w:rPr>
          <w:color w:val="auto"/>
          <w:u w:val="single"/>
        </w:rPr>
        <w:t>Chronic anti-</w:t>
      </w:r>
      <w:r w:rsidRPr="00D33946">
        <w:rPr>
          <w:color w:val="auto"/>
          <w:u w:val="single"/>
        </w:rPr>
        <w:t xml:space="preserve">coagulation secondary to recurrent pulmonary embolism </w:t>
      </w:r>
      <w:r w:rsidR="00790F6B" w:rsidRPr="00D33946">
        <w:rPr>
          <w:color w:val="auto"/>
          <w:u w:val="single"/>
        </w:rPr>
        <w:t>condition</w:t>
      </w:r>
      <w:r w:rsidR="00790F6B" w:rsidRPr="00D33946">
        <w:rPr>
          <w:color w:val="auto"/>
        </w:rPr>
        <w:t>.</w:t>
      </w:r>
      <w:proofErr w:type="gramEnd"/>
      <w:r w:rsidR="00AD2379" w:rsidRPr="00D33946">
        <w:rPr>
          <w:color w:val="auto"/>
        </w:rPr>
        <w:t xml:space="preserve"> </w:t>
      </w:r>
      <w:r w:rsidR="00385708" w:rsidRPr="00D33946">
        <w:rPr>
          <w:color w:val="auto"/>
        </w:rPr>
        <w:t xml:space="preserve"> </w:t>
      </w:r>
      <w:r w:rsidR="00A910C5" w:rsidRPr="00D33946">
        <w:rPr>
          <w:rFonts w:eastAsia="Calibri" w:cs="Times New Roman"/>
          <w:color w:val="auto"/>
          <w:szCs w:val="24"/>
        </w:rPr>
        <w:t>The contended condition</w:t>
      </w:r>
      <w:r w:rsidRPr="00D33946">
        <w:rPr>
          <w:rFonts w:eastAsia="Calibri" w:cs="Times New Roman"/>
          <w:color w:val="auto"/>
          <w:szCs w:val="24"/>
        </w:rPr>
        <w:t>s of</w:t>
      </w:r>
      <w:r w:rsidR="00A910C5" w:rsidRPr="00D33946">
        <w:rPr>
          <w:rFonts w:eastAsia="Calibri" w:cs="Times New Roman"/>
          <w:color w:val="auto"/>
          <w:szCs w:val="24"/>
        </w:rPr>
        <w:t xml:space="preserve"> </w:t>
      </w:r>
      <w:r w:rsidR="00A910C5" w:rsidRPr="00D33946">
        <w:rPr>
          <w:color w:val="auto"/>
        </w:rPr>
        <w:t xml:space="preserve">difficulty breathing </w:t>
      </w:r>
      <w:r w:rsidR="008A139E" w:rsidRPr="00D33946">
        <w:rPr>
          <w:color w:val="auto"/>
        </w:rPr>
        <w:t>SOB, DVT</w:t>
      </w:r>
      <w:r w:rsidRPr="00D33946">
        <w:rPr>
          <w:color w:val="auto"/>
        </w:rPr>
        <w:t xml:space="preserve"> and</w:t>
      </w:r>
      <w:r w:rsidR="00A910C5" w:rsidRPr="00D33946">
        <w:rPr>
          <w:color w:val="auto"/>
        </w:rPr>
        <w:t xml:space="preserve"> </w:t>
      </w:r>
      <w:r w:rsidRPr="00D33946">
        <w:rPr>
          <w:color w:val="auto"/>
        </w:rPr>
        <w:t xml:space="preserve">blood clotting </w:t>
      </w:r>
      <w:r w:rsidR="00A910C5" w:rsidRPr="00D33946">
        <w:rPr>
          <w:color w:val="auto"/>
        </w:rPr>
        <w:t xml:space="preserve">will be addressed as </w:t>
      </w:r>
      <w:r w:rsidR="009327F8" w:rsidRPr="00D33946">
        <w:rPr>
          <w:color w:val="auto"/>
        </w:rPr>
        <w:t>they relate to the</w:t>
      </w:r>
      <w:r w:rsidR="00A910C5" w:rsidRPr="00D33946">
        <w:rPr>
          <w:color w:val="auto"/>
        </w:rPr>
        <w:t xml:space="preserve"> </w:t>
      </w:r>
      <w:r w:rsidR="00A32549" w:rsidRPr="00D33946">
        <w:rPr>
          <w:color w:val="auto"/>
        </w:rPr>
        <w:t>rating of the condition of pulmonary</w:t>
      </w:r>
      <w:r w:rsidR="00A910C5" w:rsidRPr="00D33946">
        <w:rPr>
          <w:color w:val="auto"/>
        </w:rPr>
        <w:t xml:space="preserve"> embolism.</w:t>
      </w:r>
      <w:r w:rsidR="00A32549" w:rsidRPr="00D33946">
        <w:rPr>
          <w:color w:val="auto"/>
        </w:rPr>
        <w:t xml:space="preserve">  </w:t>
      </w:r>
      <w:r w:rsidR="00D64BFA" w:rsidRPr="00D33946">
        <w:rPr>
          <w:color w:val="auto"/>
        </w:rPr>
        <w:t xml:space="preserve">During evaluation of his pulmonary embolus condition, the CI related a history of left calf DVT in 1994 with prolonged </w:t>
      </w:r>
      <w:r w:rsidR="00D64BFA" w:rsidRPr="00D33946">
        <w:rPr>
          <w:color w:val="auto"/>
        </w:rPr>
        <w:lastRenderedPageBreak/>
        <w:t xml:space="preserve">anticoagulation therapy and resolution of symptoms.  There were no medical records detailing the 1994 incident in the case file.  </w:t>
      </w:r>
      <w:r w:rsidR="009327F8" w:rsidRPr="00D33946">
        <w:rPr>
          <w:color w:val="auto"/>
          <w:szCs w:val="24"/>
        </w:rPr>
        <w:t xml:space="preserve">At the </w:t>
      </w:r>
      <w:r w:rsidR="008163AD">
        <w:rPr>
          <w:color w:val="auto"/>
          <w:szCs w:val="24"/>
        </w:rPr>
        <w:t>MEB exam, five</w:t>
      </w:r>
      <w:r w:rsidR="009327F8" w:rsidRPr="00D33946">
        <w:rPr>
          <w:color w:val="auto"/>
          <w:szCs w:val="24"/>
        </w:rPr>
        <w:t xml:space="preserve"> months</w:t>
      </w:r>
      <w:r w:rsidR="009327F8">
        <w:rPr>
          <w:color w:val="auto"/>
          <w:szCs w:val="24"/>
        </w:rPr>
        <w:t xml:space="preserve"> pr</w:t>
      </w:r>
      <w:r w:rsidR="00E13DC9">
        <w:rPr>
          <w:color w:val="auto"/>
          <w:szCs w:val="24"/>
        </w:rPr>
        <w:t xml:space="preserve">ior to </w:t>
      </w:r>
      <w:r w:rsidR="009327F8">
        <w:rPr>
          <w:color w:val="auto"/>
          <w:szCs w:val="24"/>
        </w:rPr>
        <w:t xml:space="preserve">separation, </w:t>
      </w:r>
      <w:r w:rsidR="009327F8" w:rsidRPr="00F64312">
        <w:rPr>
          <w:color w:val="auto"/>
          <w:szCs w:val="24"/>
        </w:rPr>
        <w:t>the CI reported</w:t>
      </w:r>
      <w:r w:rsidR="009327F8">
        <w:rPr>
          <w:color w:val="auto"/>
          <w:szCs w:val="24"/>
        </w:rPr>
        <w:t xml:space="preserve"> continued DOE with running 50 yards without chest pain or edema.  He was taking chronic Coumadin.  </w:t>
      </w:r>
      <w:r w:rsidR="009327F8" w:rsidRPr="00F64312">
        <w:rPr>
          <w:color w:val="auto"/>
          <w:szCs w:val="24"/>
        </w:rPr>
        <w:t>The MEB physical exam noted</w:t>
      </w:r>
      <w:r w:rsidR="009327F8">
        <w:rPr>
          <w:color w:val="auto"/>
          <w:szCs w:val="24"/>
        </w:rPr>
        <w:t xml:space="preserve"> clear lungs with good inspiratory effort.  VQ scan from 10 months pr</w:t>
      </w:r>
      <w:r w:rsidR="00E13DC9">
        <w:rPr>
          <w:color w:val="auto"/>
          <w:szCs w:val="24"/>
        </w:rPr>
        <w:t xml:space="preserve">ior to </w:t>
      </w:r>
      <w:r w:rsidR="009327F8">
        <w:rPr>
          <w:color w:val="auto"/>
          <w:szCs w:val="24"/>
        </w:rPr>
        <w:t xml:space="preserve">separation indicated changes consistent with chronic pulmonary embolus without new defects from prior </w:t>
      </w:r>
      <w:r w:rsidR="00B3360C">
        <w:rPr>
          <w:color w:val="auto"/>
          <w:szCs w:val="24"/>
        </w:rPr>
        <w:t>study</w:t>
      </w:r>
      <w:r w:rsidR="00B519C5">
        <w:rPr>
          <w:color w:val="auto"/>
          <w:szCs w:val="24"/>
        </w:rPr>
        <w:t>.  Echocardiogram was read as “n</w:t>
      </w:r>
      <w:r w:rsidR="009327F8">
        <w:rPr>
          <w:color w:val="auto"/>
          <w:szCs w:val="24"/>
        </w:rPr>
        <w:t xml:space="preserve">ormal study without evidence of pulmonary hypertension.” </w:t>
      </w:r>
      <w:r w:rsidR="0022362A">
        <w:rPr>
          <w:color w:val="auto"/>
          <w:szCs w:val="24"/>
        </w:rPr>
        <w:t xml:space="preserve"> Pulmonary function testing (PFTs) indicated a </w:t>
      </w:r>
      <w:r w:rsidR="0022362A" w:rsidRPr="0022362A">
        <w:rPr>
          <w:color w:val="auto"/>
          <w:szCs w:val="24"/>
        </w:rPr>
        <w:t>mild obstructive lung defect</w:t>
      </w:r>
      <w:r w:rsidR="0022362A">
        <w:rPr>
          <w:color w:val="auto"/>
          <w:szCs w:val="24"/>
        </w:rPr>
        <w:t xml:space="preserve"> with </w:t>
      </w:r>
      <w:r w:rsidR="0022362A" w:rsidRPr="0022362A">
        <w:rPr>
          <w:color w:val="auto"/>
          <w:szCs w:val="24"/>
        </w:rPr>
        <w:t>FEV-1 of 78% predicted, and</w:t>
      </w:r>
      <w:r w:rsidR="007D5D9B">
        <w:rPr>
          <w:color w:val="auto"/>
          <w:szCs w:val="24"/>
        </w:rPr>
        <w:t xml:space="preserve"> </w:t>
      </w:r>
      <w:r w:rsidR="0022362A" w:rsidRPr="0022362A">
        <w:rPr>
          <w:color w:val="auto"/>
          <w:szCs w:val="24"/>
        </w:rPr>
        <w:t xml:space="preserve">FEV-1/FVC of 73% predicted, with a volume adjusted DLCO in the normal range.  </w:t>
      </w:r>
      <w:r w:rsidR="00B519C5">
        <w:rPr>
          <w:color w:val="auto"/>
          <w:szCs w:val="24"/>
        </w:rPr>
        <w:t>The examiner’s diagnosis was “c</w:t>
      </w:r>
      <w:r w:rsidR="009327F8">
        <w:rPr>
          <w:color w:val="auto"/>
          <w:szCs w:val="24"/>
        </w:rPr>
        <w:t xml:space="preserve">hronic pulmonary </w:t>
      </w:r>
      <w:r w:rsidR="00B3360C">
        <w:rPr>
          <w:color w:val="auto"/>
          <w:szCs w:val="24"/>
        </w:rPr>
        <w:t>embolism</w:t>
      </w:r>
      <w:r w:rsidR="009327F8">
        <w:rPr>
          <w:color w:val="auto"/>
          <w:szCs w:val="24"/>
        </w:rPr>
        <w:t xml:space="preserve"> requiring life-long anticoagulation.”  </w:t>
      </w:r>
    </w:p>
    <w:p w:rsidR="00D64BFA" w:rsidRDefault="00D64BFA" w:rsidP="009327F8">
      <w:pPr>
        <w:jc w:val="both"/>
        <w:rPr>
          <w:color w:val="auto"/>
          <w:szCs w:val="24"/>
        </w:rPr>
      </w:pPr>
    </w:p>
    <w:p w:rsidR="009327F8" w:rsidRDefault="009327F8" w:rsidP="009327F8">
      <w:pPr>
        <w:jc w:val="both"/>
        <w:rPr>
          <w:rFonts w:cs="Times New Roman"/>
          <w:color w:val="auto"/>
        </w:rPr>
      </w:pPr>
      <w:r>
        <w:rPr>
          <w:rFonts w:cs="Times New Roman"/>
          <w:color w:val="auto"/>
        </w:rPr>
        <w:t xml:space="preserve">There was no </w:t>
      </w:r>
      <w:r w:rsidRPr="003E2AAC">
        <w:rPr>
          <w:rFonts w:cs="Times New Roman"/>
          <w:color w:val="auto"/>
        </w:rPr>
        <w:t xml:space="preserve">VA Compensation and Pension (C&amp;P) exam </w:t>
      </w:r>
      <w:r w:rsidR="00B3360C">
        <w:rPr>
          <w:rFonts w:cs="Times New Roman"/>
          <w:color w:val="auto"/>
        </w:rPr>
        <w:t xml:space="preserve">proximate to separation.  This was </w:t>
      </w:r>
      <w:r>
        <w:rPr>
          <w:rFonts w:cs="Times New Roman"/>
          <w:color w:val="auto"/>
        </w:rPr>
        <w:t xml:space="preserve">confirmed by the VA rating determination that indicated no C&amp;P exams were in evidence as the CI failed to show for multiple scheduled exams.  </w:t>
      </w:r>
    </w:p>
    <w:p w:rsidR="009327F8" w:rsidRDefault="009327F8" w:rsidP="0001582A">
      <w:pPr>
        <w:jc w:val="both"/>
        <w:rPr>
          <w:rFonts w:cs="Times New Roman"/>
          <w:color w:val="auto"/>
        </w:rPr>
      </w:pPr>
    </w:p>
    <w:p w:rsidR="009327F8" w:rsidRDefault="009327F8" w:rsidP="005F7589">
      <w:pPr>
        <w:jc w:val="both"/>
        <w:rPr>
          <w:rFonts w:cs="Times New Roman"/>
          <w:color w:val="auto"/>
        </w:rPr>
      </w:pPr>
      <w:r w:rsidRPr="00BB4348">
        <w:rPr>
          <w:rFonts w:cs="Times New Roman"/>
          <w:color w:val="auto"/>
        </w:rPr>
        <w:t>The Board directs</w:t>
      </w:r>
      <w:r w:rsidRPr="00F64312">
        <w:rPr>
          <w:rFonts w:cs="Times New Roman"/>
          <w:color w:val="auto"/>
        </w:rPr>
        <w:t xml:space="preserve"> attention to its rating recommendation based on the above evidence.  </w:t>
      </w:r>
      <w:r w:rsidR="0001582A">
        <w:rPr>
          <w:rFonts w:cs="Times New Roman"/>
          <w:color w:val="auto"/>
        </w:rPr>
        <w:t xml:space="preserve">The PEB </w:t>
      </w:r>
      <w:r w:rsidR="0001582A" w:rsidRPr="0001582A">
        <w:rPr>
          <w:rFonts w:cs="Times New Roman"/>
          <w:color w:val="auto"/>
        </w:rPr>
        <w:t>codin</w:t>
      </w:r>
      <w:r w:rsidR="00B519C5">
        <w:rPr>
          <w:rFonts w:cs="Times New Roman"/>
          <w:color w:val="auto"/>
        </w:rPr>
        <w:t>g of 7199-7121 is analogous to p</w:t>
      </w:r>
      <w:r w:rsidR="0001582A" w:rsidRPr="0001582A">
        <w:rPr>
          <w:rFonts w:cs="Times New Roman"/>
          <w:color w:val="auto"/>
        </w:rPr>
        <w:t>ost-</w:t>
      </w:r>
      <w:proofErr w:type="spellStart"/>
      <w:r w:rsidR="0001582A" w:rsidRPr="0001582A">
        <w:rPr>
          <w:rFonts w:cs="Times New Roman"/>
          <w:color w:val="auto"/>
        </w:rPr>
        <w:t>phlebitic</w:t>
      </w:r>
      <w:proofErr w:type="spellEnd"/>
      <w:r w:rsidR="0001582A" w:rsidRPr="0001582A">
        <w:rPr>
          <w:rFonts w:cs="Times New Roman"/>
          <w:color w:val="auto"/>
        </w:rPr>
        <w:t xml:space="preserve"> syndrome of any etiology (DVT) and IAW DODI 1332.39 guidance.  The</w:t>
      </w:r>
      <w:r w:rsidR="0001582A">
        <w:rPr>
          <w:rFonts w:cs="Times New Roman"/>
          <w:color w:val="auto"/>
        </w:rPr>
        <w:t xml:space="preserve"> PEB disability description and record clearly supported the principle disability as </w:t>
      </w:r>
      <w:r w:rsidR="0001582A" w:rsidRPr="0001582A">
        <w:rPr>
          <w:rFonts w:cs="Times New Roman"/>
          <w:color w:val="auto"/>
        </w:rPr>
        <w:t>chronic anti-coagulation secondary to recurrent pulmonary embolism</w:t>
      </w:r>
      <w:r w:rsidR="0001582A">
        <w:rPr>
          <w:rFonts w:cs="Times New Roman"/>
          <w:color w:val="auto"/>
        </w:rPr>
        <w:t xml:space="preserve"> and chronic pulm</w:t>
      </w:r>
      <w:r w:rsidR="00E402C8">
        <w:rPr>
          <w:rFonts w:cs="Times New Roman"/>
          <w:color w:val="auto"/>
        </w:rPr>
        <w:t>onary embolus.  The appropriate</w:t>
      </w:r>
      <w:r w:rsidR="0001582A">
        <w:rPr>
          <w:rFonts w:cs="Times New Roman"/>
          <w:color w:val="auto"/>
        </w:rPr>
        <w:t xml:space="preserve"> VASRD coding for chronic pulmonary embolus is 6817 </w:t>
      </w:r>
      <w:r w:rsidR="0001582A" w:rsidRPr="00471B5A">
        <w:rPr>
          <w:rFonts w:cs="Times New Roman"/>
          <w:color w:val="auto"/>
        </w:rPr>
        <w:t>(</w:t>
      </w:r>
      <w:r w:rsidR="00B519C5">
        <w:rPr>
          <w:rFonts w:cs="Times New Roman"/>
          <w:color w:val="auto"/>
        </w:rPr>
        <w:t>pulmonary vascular d</w:t>
      </w:r>
      <w:r w:rsidR="0001582A" w:rsidRPr="00A32549">
        <w:rPr>
          <w:rFonts w:cs="Times New Roman"/>
          <w:color w:val="auto"/>
        </w:rPr>
        <w:t>isease</w:t>
      </w:r>
      <w:r w:rsidR="0001582A" w:rsidRPr="00471B5A">
        <w:rPr>
          <w:rFonts w:cs="Times New Roman"/>
          <w:color w:val="auto"/>
        </w:rPr>
        <w:t>)</w:t>
      </w:r>
      <w:r w:rsidR="0001582A">
        <w:rPr>
          <w:rFonts w:cs="Times New Roman"/>
          <w:color w:val="auto"/>
        </w:rPr>
        <w:t xml:space="preserve"> and this condition is specified in the 60% rating criteria of 6817.  </w:t>
      </w:r>
      <w:r>
        <w:rPr>
          <w:rFonts w:cs="Times New Roman"/>
          <w:color w:val="auto"/>
        </w:rPr>
        <w:t xml:space="preserve">There was no evidence of </w:t>
      </w:r>
      <w:r w:rsidRPr="007256AE">
        <w:rPr>
          <w:rFonts w:cs="Times New Roman"/>
          <w:color w:val="auto"/>
        </w:rPr>
        <w:t xml:space="preserve">pulmonary hypertension, right ventricular hypertrophy, </w:t>
      </w:r>
      <w:r>
        <w:rPr>
          <w:rFonts w:cs="Times New Roman"/>
          <w:color w:val="auto"/>
        </w:rPr>
        <w:t xml:space="preserve">or </w:t>
      </w:r>
      <w:proofErr w:type="spellStart"/>
      <w:r w:rsidRPr="007256AE">
        <w:rPr>
          <w:rFonts w:cs="Times New Roman"/>
          <w:color w:val="auto"/>
        </w:rPr>
        <w:t>cor</w:t>
      </w:r>
      <w:proofErr w:type="spellEnd"/>
      <w:r w:rsidRPr="007256AE">
        <w:rPr>
          <w:rFonts w:cs="Times New Roman"/>
          <w:color w:val="auto"/>
        </w:rPr>
        <w:t xml:space="preserve"> </w:t>
      </w:r>
      <w:proofErr w:type="spellStart"/>
      <w:r w:rsidRPr="007256AE">
        <w:rPr>
          <w:rFonts w:cs="Times New Roman"/>
          <w:color w:val="auto"/>
        </w:rPr>
        <w:t>pulmonale</w:t>
      </w:r>
      <w:proofErr w:type="spellEnd"/>
      <w:r w:rsidR="0001582A">
        <w:rPr>
          <w:rFonts w:cs="Times New Roman"/>
          <w:color w:val="auto"/>
        </w:rPr>
        <w:t xml:space="preserve"> to support coding at 100%</w:t>
      </w:r>
      <w:r>
        <w:rPr>
          <w:rFonts w:cs="Times New Roman"/>
          <w:color w:val="auto"/>
        </w:rPr>
        <w:t xml:space="preserve">.  The Board </w:t>
      </w:r>
      <w:r w:rsidR="00D64BFA">
        <w:rPr>
          <w:rFonts w:cs="Times New Roman"/>
          <w:color w:val="auto"/>
        </w:rPr>
        <w:t>discussed the PEB’s finding of EPTS without permanent service aggravation and compensable, but determined that IAW Board precedence, the PEB compensable determination was administratively final.  The Board considered that there was no mechanism to determine the CI’s pre-service rating level for any EPTS deduction, as the CI was not on chronic anticoagulation therapy</w:t>
      </w:r>
      <w:r w:rsidR="00E402C8">
        <w:rPr>
          <w:rFonts w:cs="Times New Roman"/>
          <w:color w:val="auto"/>
        </w:rPr>
        <w:t>,</w:t>
      </w:r>
      <w:r w:rsidR="00D64BFA">
        <w:rPr>
          <w:rFonts w:cs="Times New Roman"/>
          <w:color w:val="auto"/>
        </w:rPr>
        <w:t xml:space="preserve"> was fully deployable prior to symptom exacerbation while deployed</w:t>
      </w:r>
      <w:r w:rsidR="00E402C8">
        <w:rPr>
          <w:rFonts w:cs="Times New Roman"/>
          <w:color w:val="auto"/>
        </w:rPr>
        <w:t>, and the PEB did not indicate a deduction</w:t>
      </w:r>
      <w:r w:rsidR="00D64BFA">
        <w:rPr>
          <w:rFonts w:cs="Times New Roman"/>
          <w:color w:val="auto"/>
        </w:rPr>
        <w:t xml:space="preserve">.  </w:t>
      </w:r>
    </w:p>
    <w:p w:rsidR="009327F8" w:rsidRPr="00F64312" w:rsidRDefault="009327F8" w:rsidP="009327F8">
      <w:pPr>
        <w:tabs>
          <w:tab w:val="left" w:pos="288"/>
          <w:tab w:val="left" w:pos="4752"/>
        </w:tabs>
        <w:jc w:val="left"/>
        <w:rPr>
          <w:rFonts w:cs="Times New Roman"/>
          <w:color w:val="auto"/>
        </w:rPr>
      </w:pPr>
    </w:p>
    <w:p w:rsidR="009327F8" w:rsidRDefault="009327F8" w:rsidP="009327F8">
      <w:pPr>
        <w:jc w:val="both"/>
        <w:rPr>
          <w:rFonts w:eastAsia="Calibri" w:cs="Times New Roman"/>
          <w:color w:val="auto"/>
          <w:szCs w:val="24"/>
        </w:rPr>
      </w:pPr>
      <w:r w:rsidRPr="00F64312">
        <w:rPr>
          <w:rFonts w:eastAsia="Calibri" w:cs="Times New Roman"/>
          <w:color w:val="auto"/>
          <w:szCs w:val="24"/>
        </w:rPr>
        <w:t xml:space="preserve">After due deliberation, considering all of </w:t>
      </w:r>
      <w:r w:rsidRPr="00D33946">
        <w:rPr>
          <w:rFonts w:eastAsia="Calibri" w:cs="Times New Roman"/>
          <w:color w:val="auto"/>
          <w:szCs w:val="24"/>
        </w:rPr>
        <w:t>the evidence and mindful of VASRD §4.3 (reasonable doubt), the Board recommends a disability rating of 60%, coded 6817</w:t>
      </w:r>
      <w:r>
        <w:rPr>
          <w:rFonts w:eastAsia="Calibri" w:cs="Times New Roman"/>
          <w:color w:val="auto"/>
          <w:szCs w:val="24"/>
        </w:rPr>
        <w:t>,</w:t>
      </w:r>
      <w:r w:rsidRPr="00471B5A">
        <w:rPr>
          <w:rFonts w:eastAsia="Calibri" w:cs="Times New Roman"/>
          <w:color w:val="auto"/>
          <w:szCs w:val="24"/>
        </w:rPr>
        <w:t xml:space="preserve"> for the chronic anti-coagulation secondary to recurrent pulmonary embolism condition</w:t>
      </w:r>
      <w:r w:rsidRPr="00F64312">
        <w:rPr>
          <w:rFonts w:eastAsia="Calibri" w:cs="Times New Roman"/>
          <w:color w:val="auto"/>
          <w:szCs w:val="24"/>
        </w:rPr>
        <w:t xml:space="preserve">.  </w:t>
      </w:r>
    </w:p>
    <w:p w:rsidR="009327F8" w:rsidRPr="00E64A0E" w:rsidRDefault="009327F8" w:rsidP="00A910C5">
      <w:pPr>
        <w:jc w:val="both"/>
        <w:rPr>
          <w:color w:val="auto"/>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w:t>
      </w:r>
      <w:r w:rsidR="003863E9" w:rsidRPr="00D33946">
        <w:rPr>
          <w:rFonts w:eastAsia="Calibri" w:cs="Times New Roman"/>
          <w:color w:val="auto"/>
          <w:szCs w:val="24"/>
        </w:rPr>
        <w:t xml:space="preserve">contended condition adjudicated as </w:t>
      </w:r>
      <w:r w:rsidR="001C545A" w:rsidRPr="00D33946">
        <w:rPr>
          <w:rFonts w:eastAsia="Calibri" w:cs="Times New Roman"/>
          <w:color w:val="auto"/>
          <w:szCs w:val="24"/>
        </w:rPr>
        <w:t xml:space="preserve">not </w:t>
      </w:r>
      <w:r w:rsidR="003863E9" w:rsidRPr="00D33946">
        <w:rPr>
          <w:rFonts w:eastAsia="Calibri" w:cs="Times New Roman"/>
          <w:color w:val="auto"/>
          <w:szCs w:val="24"/>
        </w:rPr>
        <w:t>unfitting by the PEB w</w:t>
      </w:r>
      <w:r w:rsidR="00A32549" w:rsidRPr="00D33946">
        <w:rPr>
          <w:rFonts w:eastAsia="Calibri" w:cs="Times New Roman"/>
          <w:color w:val="auto"/>
          <w:szCs w:val="24"/>
        </w:rPr>
        <w:t>as</w:t>
      </w:r>
      <w:r w:rsidR="003863E9" w:rsidRPr="00D33946">
        <w:rPr>
          <w:rFonts w:eastAsia="Calibri" w:cs="Times New Roman"/>
          <w:color w:val="auto"/>
          <w:szCs w:val="24"/>
        </w:rPr>
        <w:t xml:space="preserve"> </w:t>
      </w:r>
      <w:proofErr w:type="gramStart"/>
      <w:r w:rsidR="00A910C5" w:rsidRPr="00D33946">
        <w:rPr>
          <w:color w:val="auto"/>
        </w:rPr>
        <w:t>Graves</w:t>
      </w:r>
      <w:proofErr w:type="gramEnd"/>
      <w:r w:rsidR="00A910C5" w:rsidRPr="00D33946">
        <w:rPr>
          <w:color w:val="auto"/>
        </w:rPr>
        <w:t xml:space="preserve"> disease</w:t>
      </w:r>
      <w:r w:rsidR="00A32549" w:rsidRPr="00D33946">
        <w:rPr>
          <w:color w:val="auto"/>
        </w:rPr>
        <w:t xml:space="preserve"> which includes </w:t>
      </w:r>
      <w:r w:rsidR="00A910C5" w:rsidRPr="00D33946">
        <w:rPr>
          <w:color w:val="auto"/>
        </w:rPr>
        <w:t>the associated contended condition of hypothyroidism</w:t>
      </w:r>
      <w:r w:rsidR="00A32549" w:rsidRPr="00D33946">
        <w:rPr>
          <w:color w:val="auto"/>
        </w:rPr>
        <w:t xml:space="preserve">.  </w:t>
      </w:r>
      <w:r w:rsidR="003863E9" w:rsidRPr="00D33946">
        <w:rPr>
          <w:rFonts w:eastAsia="Calibri" w:cs="Times New Roman"/>
          <w:color w:val="auto"/>
          <w:szCs w:val="24"/>
        </w:rPr>
        <w:t>The Board’s first charge with respect to th</w:t>
      </w:r>
      <w:r w:rsidR="00A32549" w:rsidRPr="00D33946">
        <w:rPr>
          <w:rFonts w:eastAsia="Calibri" w:cs="Times New Roman"/>
          <w:color w:val="auto"/>
          <w:szCs w:val="24"/>
        </w:rPr>
        <w:t>is</w:t>
      </w:r>
      <w:r w:rsidR="003863E9" w:rsidRPr="00D33946">
        <w:rPr>
          <w:rFonts w:eastAsia="Calibri" w:cs="Times New Roman"/>
          <w:color w:val="auto"/>
          <w:szCs w:val="24"/>
        </w:rPr>
        <w:t xml:space="preserve"> condition is an assessment of the appropriateness of the PEB’s fitness adjudication.  The Board’s threshold</w:t>
      </w:r>
      <w:r w:rsidR="003863E9" w:rsidRPr="00792790">
        <w:rPr>
          <w:rFonts w:eastAsia="Calibri" w:cs="Times New Roman"/>
          <w:color w:val="auto"/>
          <w:szCs w:val="24"/>
        </w:rPr>
        <w:t xml:space="preserve"> for countering fitness determinations is higher than the VASRD §4.3 (reasonable doubt) standard used for its rating recommendations, but remains adherent to the DoDI 6040.44 “fair and equitable” standard.  </w:t>
      </w:r>
      <w:r w:rsidR="003863E9" w:rsidRPr="001F29F9">
        <w:rPr>
          <w:color w:val="000000"/>
        </w:rPr>
        <w:t xml:space="preserve">None of these </w:t>
      </w:r>
      <w:r w:rsidR="003863E9" w:rsidRPr="00244791">
        <w:rPr>
          <w:color w:val="000000"/>
        </w:rPr>
        <w:t xml:space="preserve">conditions were </w:t>
      </w:r>
      <w:r w:rsidR="003863E9">
        <w:rPr>
          <w:color w:val="000000"/>
        </w:rPr>
        <w:t xml:space="preserve">profiled; none were </w:t>
      </w:r>
      <w:r w:rsidR="003863E9" w:rsidRPr="00244791">
        <w:rPr>
          <w:color w:val="000000"/>
        </w:rPr>
        <w:t>implicated in the commander’s statement</w:t>
      </w:r>
      <w:r w:rsidR="003863E9">
        <w:rPr>
          <w:color w:val="000000"/>
        </w:rPr>
        <w:t>;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by the </w:t>
      </w:r>
      <w:r w:rsidR="00614B58">
        <w:rPr>
          <w:color w:val="000000"/>
        </w:rPr>
        <w:t>a</w:t>
      </w:r>
      <w:r w:rsidR="003863E9" w:rsidRPr="001F29F9">
        <w:rPr>
          <w:color w:val="000000"/>
        </w:rPr>
        <w:t xml:space="preserve">ction </w:t>
      </w:r>
      <w:r w:rsidR="00614B58">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A32549">
        <w:rPr>
          <w:rFonts w:eastAsia="Calibri" w:cs="Times New Roman"/>
          <w:color w:val="auto"/>
          <w:szCs w:val="24"/>
        </w:rPr>
        <w:t>Graves disease or hypothyroid condition</w:t>
      </w:r>
      <w:r w:rsidR="003863E9" w:rsidRPr="00792790">
        <w:rPr>
          <w:rFonts w:eastAsia="Calibri" w:cs="Times New Roman"/>
          <w:color w:val="auto"/>
          <w:szCs w:val="24"/>
        </w:rPr>
        <w:t>; and, therefore, no additional disability ratings can be recommended.</w:t>
      </w:r>
      <w:r w:rsidR="007256AE">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D33946"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w:t>
      </w:r>
      <w:r w:rsidRPr="00D33946">
        <w:rPr>
          <w:color w:val="auto"/>
        </w:rPr>
        <w:t>IAW DoDI 6040.44, provisions of DoD or Military Department regulations or guidelines relied upon by the PEB will not be considered by the Board to the extent they were inconsistent with the VASRD in effect at the time of the adjudication</w:t>
      </w:r>
      <w:r w:rsidRPr="00D33946">
        <w:rPr>
          <w:rFonts w:cs="Times New Roman"/>
          <w:color w:val="auto"/>
        </w:rPr>
        <w:t>.</w:t>
      </w:r>
      <w:r w:rsidR="006B690F" w:rsidRPr="00D33946">
        <w:rPr>
          <w:rFonts w:cs="Times New Roman"/>
          <w:color w:val="auto"/>
        </w:rPr>
        <w:t xml:space="preserve">  </w:t>
      </w:r>
      <w:r w:rsidR="00165C7B" w:rsidRPr="00D33946">
        <w:rPr>
          <w:rFonts w:eastAsia="Calibri" w:cs="Times New Roman"/>
          <w:color w:val="auto"/>
          <w:szCs w:val="24"/>
        </w:rPr>
        <w:t xml:space="preserve">As discussed above, PEB reliance on DoDI 1332.39 for rating </w:t>
      </w:r>
      <w:r w:rsidR="00A32549" w:rsidRPr="00D33946">
        <w:rPr>
          <w:rFonts w:asciiTheme="majorHAnsi" w:hAnsiTheme="majorHAnsi" w:cstheme="majorHAnsi"/>
          <w:color w:val="auto"/>
        </w:rPr>
        <w:t xml:space="preserve">chronic anti-coagulation secondary to recurrent pulmonary </w:t>
      </w:r>
      <w:r w:rsidR="00A32549" w:rsidRPr="00D33946">
        <w:rPr>
          <w:rFonts w:asciiTheme="majorHAnsi" w:hAnsiTheme="majorHAnsi" w:cstheme="majorHAnsi"/>
          <w:color w:val="auto"/>
          <w:szCs w:val="24"/>
        </w:rPr>
        <w:t>embolism</w:t>
      </w:r>
      <w:r w:rsidR="00165C7B" w:rsidRPr="00D33946">
        <w:rPr>
          <w:rFonts w:eastAsia="Calibri" w:cs="Times New Roman"/>
          <w:color w:val="auto"/>
          <w:szCs w:val="24"/>
        </w:rPr>
        <w:t xml:space="preserve"> was operant in this case and the condition was adjudicated independently of that </w:t>
      </w:r>
      <w:r w:rsidR="00165C7B" w:rsidRPr="00D33946">
        <w:rPr>
          <w:rFonts w:eastAsia="Calibri" w:cs="Times New Roman"/>
          <w:color w:val="auto"/>
          <w:szCs w:val="24"/>
        </w:rPr>
        <w:lastRenderedPageBreak/>
        <w:t xml:space="preserve">instruction by the Board.  </w:t>
      </w:r>
      <w:r w:rsidR="00241B01" w:rsidRPr="00D33946">
        <w:rPr>
          <w:rFonts w:eastAsia="Calibri" w:cs="Times New Roman"/>
          <w:color w:val="auto"/>
          <w:szCs w:val="24"/>
        </w:rPr>
        <w:t xml:space="preserve">In the matter of the </w:t>
      </w:r>
      <w:r w:rsidR="00A32549" w:rsidRPr="00D33946">
        <w:rPr>
          <w:rFonts w:asciiTheme="majorHAnsi" w:hAnsiTheme="majorHAnsi" w:cstheme="majorHAnsi"/>
          <w:color w:val="auto"/>
        </w:rPr>
        <w:t xml:space="preserve">chronic anti-coagulation secondary to recurrent pulmonary </w:t>
      </w:r>
      <w:r w:rsidR="00A32549" w:rsidRPr="00D33946">
        <w:rPr>
          <w:rFonts w:asciiTheme="majorHAnsi" w:hAnsiTheme="majorHAnsi" w:cstheme="majorHAnsi"/>
          <w:color w:val="auto"/>
          <w:szCs w:val="24"/>
        </w:rPr>
        <w:t>embolism</w:t>
      </w:r>
      <w:r w:rsidR="00241B01" w:rsidRPr="00D33946">
        <w:rPr>
          <w:rFonts w:eastAsia="Calibri" w:cs="Times New Roman"/>
          <w:color w:val="auto"/>
          <w:szCs w:val="24"/>
        </w:rPr>
        <w:t xml:space="preserve"> condition, the Board unanimously recommends a disability rating of </w:t>
      </w:r>
      <w:r w:rsidR="00A32549" w:rsidRPr="00D33946">
        <w:rPr>
          <w:rFonts w:eastAsia="Calibri" w:cs="Times New Roman"/>
          <w:color w:val="auto"/>
          <w:szCs w:val="24"/>
        </w:rPr>
        <w:t>60%</w:t>
      </w:r>
      <w:r w:rsidR="00241B01" w:rsidRPr="00D33946">
        <w:rPr>
          <w:rFonts w:eastAsia="Calibri" w:cs="Times New Roman"/>
          <w:color w:val="auto"/>
          <w:szCs w:val="24"/>
        </w:rPr>
        <w:t xml:space="preserve">, coded </w:t>
      </w:r>
      <w:r w:rsidR="00471B5A" w:rsidRPr="00D33946">
        <w:rPr>
          <w:color w:val="auto"/>
        </w:rPr>
        <w:t>6817</w:t>
      </w:r>
      <w:r w:rsidR="00241B01" w:rsidRPr="00D33946">
        <w:rPr>
          <w:rFonts w:eastAsia="Calibri" w:cs="Times New Roman"/>
          <w:color w:val="auto"/>
          <w:szCs w:val="24"/>
        </w:rPr>
        <w:t xml:space="preserve"> IAW VASRD §4.</w:t>
      </w:r>
      <w:r w:rsidR="00A32549" w:rsidRPr="00D33946">
        <w:rPr>
          <w:rFonts w:eastAsia="Calibri" w:cs="Times New Roman"/>
          <w:color w:val="auto"/>
          <w:szCs w:val="24"/>
        </w:rPr>
        <w:t>97</w:t>
      </w:r>
      <w:r w:rsidR="00241B01" w:rsidRPr="00D33946">
        <w:rPr>
          <w:rFonts w:eastAsia="Calibri" w:cs="Times New Roman"/>
          <w:color w:val="auto"/>
          <w:szCs w:val="24"/>
        </w:rPr>
        <w:t>.</w:t>
      </w:r>
      <w:r w:rsidR="006B690F" w:rsidRPr="00D33946">
        <w:rPr>
          <w:rFonts w:eastAsia="Calibri" w:cs="Times New Roman"/>
          <w:color w:val="auto"/>
          <w:szCs w:val="24"/>
        </w:rPr>
        <w:t xml:space="preserve">  </w:t>
      </w:r>
      <w:r w:rsidR="00560F12" w:rsidRPr="00D33946">
        <w:rPr>
          <w:rFonts w:eastAsia="Calibri" w:cs="Times New Roman"/>
          <w:color w:val="auto"/>
          <w:szCs w:val="24"/>
        </w:rPr>
        <w:t xml:space="preserve">In the matter of the contended </w:t>
      </w:r>
      <w:r w:rsidR="00A32549" w:rsidRPr="00D33946">
        <w:rPr>
          <w:color w:val="auto"/>
        </w:rPr>
        <w:t>G</w:t>
      </w:r>
      <w:r w:rsidR="006F218E" w:rsidRPr="00D33946">
        <w:rPr>
          <w:color w:val="auto"/>
        </w:rPr>
        <w:t xml:space="preserve">raves disease </w:t>
      </w:r>
      <w:r w:rsidR="00A32549" w:rsidRPr="00D33946">
        <w:rPr>
          <w:color w:val="auto"/>
        </w:rPr>
        <w:t>(</w:t>
      </w:r>
      <w:r w:rsidR="006F218E" w:rsidRPr="00D33946">
        <w:rPr>
          <w:color w:val="auto"/>
        </w:rPr>
        <w:t xml:space="preserve">and </w:t>
      </w:r>
      <w:r w:rsidR="00A32549" w:rsidRPr="00D33946">
        <w:rPr>
          <w:color w:val="auto"/>
        </w:rPr>
        <w:t xml:space="preserve">contended </w:t>
      </w:r>
      <w:r w:rsidR="006F218E" w:rsidRPr="00D33946">
        <w:rPr>
          <w:color w:val="auto"/>
        </w:rPr>
        <w:t>hypothyroidism</w:t>
      </w:r>
      <w:r w:rsidR="00A32549" w:rsidRPr="00D33946">
        <w:rPr>
          <w:color w:val="auto"/>
        </w:rPr>
        <w:t>)</w:t>
      </w:r>
      <w:r w:rsidR="006F218E" w:rsidRPr="00D33946">
        <w:rPr>
          <w:rFonts w:eastAsia="Calibri" w:cs="Times New Roman"/>
          <w:color w:val="auto"/>
          <w:szCs w:val="24"/>
        </w:rPr>
        <w:t xml:space="preserve"> </w:t>
      </w:r>
      <w:r w:rsidR="00560F12" w:rsidRPr="00D33946">
        <w:rPr>
          <w:rFonts w:eastAsia="Calibri" w:cs="Times New Roman"/>
          <w:color w:val="auto"/>
          <w:szCs w:val="24"/>
        </w:rPr>
        <w:t xml:space="preserve">condition, the Board unanimously </w:t>
      </w:r>
      <w:r w:rsidR="00417BED" w:rsidRPr="00D33946">
        <w:rPr>
          <w:rFonts w:eastAsia="Calibri" w:cs="Times New Roman"/>
          <w:color w:val="auto"/>
          <w:szCs w:val="24"/>
        </w:rPr>
        <w:t>recommends no change from the PEB determination as not unfitting.</w:t>
      </w:r>
      <w:r w:rsidR="00165C7B" w:rsidRPr="00D33946">
        <w:rPr>
          <w:rFonts w:eastAsia="Calibri" w:cs="Times New Roman"/>
          <w:color w:val="auto"/>
          <w:szCs w:val="24"/>
        </w:rPr>
        <w:t xml:space="preserve">  </w:t>
      </w:r>
      <w:r w:rsidR="00417BED" w:rsidRPr="00D33946">
        <w:rPr>
          <w:rFonts w:eastAsia="Calibri" w:cs="Times New Roman"/>
          <w:color w:val="auto"/>
          <w:szCs w:val="24"/>
        </w:rPr>
        <w:t>There were no other conditions within the Board’s scope of review for consideration.</w:t>
      </w:r>
      <w:r w:rsidR="00165C7B" w:rsidRPr="00D33946">
        <w:rPr>
          <w:rFonts w:eastAsia="Calibri" w:cs="Times New Roman"/>
          <w:color w:val="auto"/>
          <w:szCs w:val="24"/>
        </w:rPr>
        <w:t xml:space="preserve">  </w:t>
      </w:r>
    </w:p>
    <w:p w:rsidR="00AD2379" w:rsidRPr="00D33946" w:rsidRDefault="00AD2379" w:rsidP="00BF0E94">
      <w:pPr>
        <w:pBdr>
          <w:bottom w:val="single" w:sz="12" w:space="1" w:color="auto"/>
        </w:pBdr>
        <w:tabs>
          <w:tab w:val="left" w:pos="288"/>
          <w:tab w:val="left" w:pos="4752"/>
        </w:tabs>
        <w:jc w:val="both"/>
        <w:rPr>
          <w:color w:val="auto"/>
        </w:rPr>
      </w:pPr>
    </w:p>
    <w:p w:rsidR="00AD2379" w:rsidRPr="00D33946" w:rsidRDefault="00AD2379" w:rsidP="006364ED">
      <w:pPr>
        <w:jc w:val="left"/>
        <w:rPr>
          <w:color w:val="auto"/>
        </w:rPr>
      </w:pPr>
    </w:p>
    <w:p w:rsidR="00565636" w:rsidRPr="00E402C8" w:rsidRDefault="00AD2379" w:rsidP="00440F0E">
      <w:pPr>
        <w:jc w:val="both"/>
        <w:rPr>
          <w:rFonts w:eastAsia="Calibri" w:cs="Times New Roman"/>
          <w:color w:val="auto"/>
          <w:szCs w:val="24"/>
        </w:rPr>
      </w:pPr>
      <w:r w:rsidRPr="00D33946">
        <w:rPr>
          <w:color w:val="auto"/>
          <w:u w:val="single"/>
        </w:rPr>
        <w:t>RECOMMENDATION</w:t>
      </w:r>
      <w:r w:rsidRPr="00D33946">
        <w:rPr>
          <w:color w:val="auto"/>
        </w:rPr>
        <w:t xml:space="preserve">: </w:t>
      </w:r>
      <w:r w:rsidR="006B690F" w:rsidRPr="00D33946">
        <w:rPr>
          <w:color w:val="auto"/>
        </w:rPr>
        <w:t xml:space="preserve"> </w:t>
      </w:r>
      <w:r w:rsidR="00565636" w:rsidRPr="00D33946">
        <w:rPr>
          <w:rFonts w:eastAsia="Calibri" w:cs="Times New Roman"/>
          <w:color w:val="auto"/>
          <w:szCs w:val="24"/>
        </w:rPr>
        <w:t>The Board recommends that the CI’s prior determination be modified as follows</w:t>
      </w:r>
      <w:r w:rsidR="00417BED" w:rsidRPr="00D33946">
        <w:rPr>
          <w:rFonts w:eastAsia="Calibri" w:cs="Times New Roman"/>
          <w:color w:val="auto"/>
          <w:szCs w:val="24"/>
        </w:rPr>
        <w:t>;</w:t>
      </w:r>
      <w:r w:rsidR="00565636" w:rsidRPr="00D33946">
        <w:rPr>
          <w:rFonts w:eastAsia="Calibri" w:cs="Times New Roman"/>
          <w:color w:val="auto"/>
          <w:szCs w:val="24"/>
        </w:rPr>
        <w:t xml:space="preserve"> and</w:t>
      </w:r>
      <w:r w:rsidR="003E513D">
        <w:rPr>
          <w:rFonts w:eastAsia="Calibri" w:cs="Times New Roman"/>
          <w:color w:val="auto"/>
          <w:szCs w:val="24"/>
        </w:rPr>
        <w:t xml:space="preserve"> </w:t>
      </w:r>
      <w:r w:rsidR="00565636" w:rsidRPr="00D33946">
        <w:rPr>
          <w:rFonts w:eastAsia="Calibri" w:cs="Times New Roman"/>
          <w:color w:val="auto"/>
          <w:szCs w:val="24"/>
        </w:rPr>
        <w:t xml:space="preserve">the discharge with severance pay be recharacterized to reflect </w:t>
      </w:r>
      <w:r w:rsidR="00565636" w:rsidRPr="00E402C8">
        <w:rPr>
          <w:rFonts w:eastAsia="Calibri" w:cs="Times New Roman"/>
          <w:color w:val="auto"/>
          <w:szCs w:val="24"/>
        </w:rPr>
        <w:t>permanent disability retirement, effective as of the date of his</w:t>
      </w:r>
      <w:r w:rsidR="00417BED" w:rsidRPr="00E402C8">
        <w:rPr>
          <w:rFonts w:eastAsia="Calibri" w:cs="Times New Roman"/>
          <w:color w:val="auto"/>
          <w:szCs w:val="24"/>
        </w:rPr>
        <w:t xml:space="preserve"> prior medical separation:</w:t>
      </w:r>
      <w:r w:rsidR="006B690F" w:rsidRPr="00E402C8">
        <w:rPr>
          <w:rFonts w:eastAsia="Calibri" w:cs="Times New Roman"/>
          <w:color w:val="auto"/>
          <w:szCs w:val="24"/>
        </w:rPr>
        <w:t xml:space="preserve">  </w:t>
      </w:r>
    </w:p>
    <w:p w:rsidR="00AD2379" w:rsidRPr="00E402C8"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90"/>
        <w:gridCol w:w="1868"/>
        <w:gridCol w:w="1057"/>
      </w:tblGrid>
      <w:tr w:rsidR="00AD2379" w:rsidRPr="00E402C8" w:rsidTr="00440F0E">
        <w:trPr>
          <w:trHeight w:val="233"/>
          <w:jc w:val="center"/>
        </w:trPr>
        <w:tc>
          <w:tcPr>
            <w:tcW w:w="6390" w:type="dxa"/>
            <w:shd w:val="clear" w:color="auto" w:fill="D9D9D9"/>
            <w:vAlign w:val="center"/>
          </w:tcPr>
          <w:p w:rsidR="00AD2379" w:rsidRPr="00E402C8" w:rsidRDefault="00AD2379" w:rsidP="006B690F">
            <w:pPr>
              <w:tabs>
                <w:tab w:val="left" w:pos="288"/>
                <w:tab w:val="left" w:pos="4752"/>
              </w:tabs>
              <w:rPr>
                <w:b/>
                <w:color w:val="auto"/>
              </w:rPr>
            </w:pPr>
            <w:r w:rsidRPr="00E402C8">
              <w:rPr>
                <w:b/>
                <w:color w:val="auto"/>
              </w:rPr>
              <w:t>UNFITTING CONDITION</w:t>
            </w:r>
          </w:p>
        </w:tc>
        <w:tc>
          <w:tcPr>
            <w:tcW w:w="1868" w:type="dxa"/>
            <w:shd w:val="clear" w:color="auto" w:fill="D9D9D9"/>
            <w:vAlign w:val="center"/>
          </w:tcPr>
          <w:p w:rsidR="00AD2379" w:rsidRPr="00E402C8" w:rsidRDefault="00AD2379" w:rsidP="006B690F">
            <w:pPr>
              <w:tabs>
                <w:tab w:val="left" w:pos="288"/>
                <w:tab w:val="left" w:pos="4752"/>
              </w:tabs>
              <w:rPr>
                <w:b/>
                <w:color w:val="auto"/>
              </w:rPr>
            </w:pPr>
            <w:r w:rsidRPr="00E402C8">
              <w:rPr>
                <w:b/>
                <w:color w:val="auto"/>
              </w:rPr>
              <w:t>VASRD CODE</w:t>
            </w:r>
          </w:p>
        </w:tc>
        <w:tc>
          <w:tcPr>
            <w:tcW w:w="1057" w:type="dxa"/>
            <w:shd w:val="clear" w:color="auto" w:fill="D9D9D9"/>
            <w:vAlign w:val="center"/>
          </w:tcPr>
          <w:p w:rsidR="00AD2379" w:rsidRPr="00E402C8" w:rsidRDefault="00AD2379" w:rsidP="006B690F">
            <w:pPr>
              <w:tabs>
                <w:tab w:val="left" w:pos="288"/>
                <w:tab w:val="left" w:pos="4752"/>
              </w:tabs>
              <w:rPr>
                <w:b/>
                <w:color w:val="auto"/>
              </w:rPr>
            </w:pPr>
            <w:r w:rsidRPr="00E402C8">
              <w:rPr>
                <w:b/>
                <w:color w:val="auto"/>
              </w:rPr>
              <w:t>RATING</w:t>
            </w:r>
          </w:p>
        </w:tc>
      </w:tr>
      <w:tr w:rsidR="006D41B8" w:rsidRPr="00E402C8" w:rsidTr="00440F0E">
        <w:trPr>
          <w:jc w:val="center"/>
        </w:trPr>
        <w:tc>
          <w:tcPr>
            <w:tcW w:w="6390" w:type="dxa"/>
            <w:vAlign w:val="center"/>
          </w:tcPr>
          <w:p w:rsidR="006D41B8" w:rsidRPr="00E402C8" w:rsidRDefault="00440F0E" w:rsidP="00614B58">
            <w:pPr>
              <w:contextualSpacing/>
              <w:jc w:val="left"/>
              <w:rPr>
                <w:rFonts w:cstheme="minorHAnsi"/>
                <w:color w:val="auto"/>
                <w:szCs w:val="18"/>
              </w:rPr>
            </w:pPr>
            <w:r w:rsidRPr="00E402C8">
              <w:rPr>
                <w:rFonts w:asciiTheme="majorHAnsi" w:hAnsiTheme="majorHAnsi" w:cstheme="majorHAnsi"/>
                <w:color w:val="auto"/>
              </w:rPr>
              <w:t xml:space="preserve">Chronic </w:t>
            </w:r>
            <w:r w:rsidR="00614B58">
              <w:rPr>
                <w:rFonts w:asciiTheme="majorHAnsi" w:hAnsiTheme="majorHAnsi" w:cstheme="majorHAnsi"/>
                <w:color w:val="auto"/>
              </w:rPr>
              <w:t>A</w:t>
            </w:r>
            <w:r w:rsidRPr="00E402C8">
              <w:rPr>
                <w:rFonts w:asciiTheme="majorHAnsi" w:hAnsiTheme="majorHAnsi" w:cstheme="majorHAnsi"/>
                <w:color w:val="auto"/>
              </w:rPr>
              <w:t>nti-</w:t>
            </w:r>
            <w:r w:rsidR="00614B58">
              <w:rPr>
                <w:rFonts w:asciiTheme="majorHAnsi" w:hAnsiTheme="majorHAnsi" w:cstheme="majorHAnsi"/>
                <w:color w:val="auto"/>
              </w:rPr>
              <w:t>C</w:t>
            </w:r>
            <w:r w:rsidRPr="00E402C8">
              <w:rPr>
                <w:rFonts w:asciiTheme="majorHAnsi" w:hAnsiTheme="majorHAnsi" w:cstheme="majorHAnsi"/>
                <w:color w:val="auto"/>
              </w:rPr>
              <w:t xml:space="preserve">oagulation </w:t>
            </w:r>
            <w:r w:rsidR="00614B58">
              <w:rPr>
                <w:rFonts w:asciiTheme="majorHAnsi" w:hAnsiTheme="majorHAnsi" w:cstheme="majorHAnsi"/>
                <w:color w:val="auto"/>
              </w:rPr>
              <w:t>S</w:t>
            </w:r>
            <w:r w:rsidRPr="00E402C8">
              <w:rPr>
                <w:rFonts w:asciiTheme="majorHAnsi" w:hAnsiTheme="majorHAnsi" w:cstheme="majorHAnsi"/>
                <w:color w:val="auto"/>
              </w:rPr>
              <w:t xml:space="preserve">econdary to </w:t>
            </w:r>
            <w:r w:rsidR="00614B58">
              <w:rPr>
                <w:rFonts w:asciiTheme="majorHAnsi" w:hAnsiTheme="majorHAnsi" w:cstheme="majorHAnsi"/>
                <w:color w:val="auto"/>
              </w:rPr>
              <w:t>R</w:t>
            </w:r>
            <w:r w:rsidRPr="00E402C8">
              <w:rPr>
                <w:rFonts w:asciiTheme="majorHAnsi" w:hAnsiTheme="majorHAnsi" w:cstheme="majorHAnsi"/>
                <w:color w:val="auto"/>
              </w:rPr>
              <w:t xml:space="preserve">ecurrent </w:t>
            </w:r>
            <w:r w:rsidR="00614B58">
              <w:rPr>
                <w:rFonts w:asciiTheme="majorHAnsi" w:hAnsiTheme="majorHAnsi" w:cstheme="majorHAnsi"/>
                <w:color w:val="auto"/>
              </w:rPr>
              <w:t>P</w:t>
            </w:r>
            <w:r w:rsidRPr="00E402C8">
              <w:rPr>
                <w:rFonts w:asciiTheme="majorHAnsi" w:hAnsiTheme="majorHAnsi" w:cstheme="majorHAnsi"/>
                <w:color w:val="auto"/>
              </w:rPr>
              <w:t xml:space="preserve">ulmonary </w:t>
            </w:r>
            <w:r w:rsidR="00614B58">
              <w:rPr>
                <w:rFonts w:asciiTheme="majorHAnsi" w:hAnsiTheme="majorHAnsi" w:cstheme="majorHAnsi"/>
                <w:color w:val="auto"/>
                <w:szCs w:val="24"/>
              </w:rPr>
              <w:t>E</w:t>
            </w:r>
            <w:bookmarkStart w:id="0" w:name="_GoBack"/>
            <w:bookmarkEnd w:id="0"/>
            <w:r w:rsidRPr="00E402C8">
              <w:rPr>
                <w:rFonts w:asciiTheme="majorHAnsi" w:hAnsiTheme="majorHAnsi" w:cstheme="majorHAnsi"/>
                <w:color w:val="auto"/>
                <w:szCs w:val="24"/>
              </w:rPr>
              <w:t>mbolism (Chronic PE)</w:t>
            </w:r>
            <w:r w:rsidR="009A2C2A" w:rsidRPr="00E402C8">
              <w:rPr>
                <w:rFonts w:asciiTheme="majorHAnsi" w:hAnsiTheme="majorHAnsi" w:cstheme="majorHAnsi"/>
                <w:color w:val="auto"/>
                <w:szCs w:val="24"/>
              </w:rPr>
              <w:t xml:space="preserve"> </w:t>
            </w:r>
          </w:p>
        </w:tc>
        <w:tc>
          <w:tcPr>
            <w:tcW w:w="1868" w:type="dxa"/>
            <w:vAlign w:val="center"/>
          </w:tcPr>
          <w:p w:rsidR="006D41B8" w:rsidRPr="00E402C8" w:rsidRDefault="00471B5A" w:rsidP="00D33946">
            <w:pPr>
              <w:tabs>
                <w:tab w:val="left" w:pos="288"/>
                <w:tab w:val="left" w:pos="4752"/>
              </w:tabs>
              <w:rPr>
                <w:color w:val="auto"/>
              </w:rPr>
            </w:pPr>
            <w:r w:rsidRPr="00E402C8">
              <w:rPr>
                <w:color w:val="auto"/>
              </w:rPr>
              <w:t>6817</w:t>
            </w:r>
          </w:p>
        </w:tc>
        <w:tc>
          <w:tcPr>
            <w:tcW w:w="1057" w:type="dxa"/>
            <w:vAlign w:val="center"/>
          </w:tcPr>
          <w:p w:rsidR="006D41B8" w:rsidRPr="00E402C8" w:rsidRDefault="00440F0E" w:rsidP="005F7589">
            <w:pPr>
              <w:tabs>
                <w:tab w:val="left" w:pos="288"/>
                <w:tab w:val="left" w:pos="4752"/>
              </w:tabs>
              <w:rPr>
                <w:color w:val="auto"/>
              </w:rPr>
            </w:pPr>
            <w:r w:rsidRPr="00E402C8">
              <w:rPr>
                <w:color w:val="auto"/>
              </w:rPr>
              <w:t>6</w:t>
            </w:r>
            <w:r w:rsidR="006D41B8" w:rsidRPr="00E402C8">
              <w:rPr>
                <w:color w:val="auto"/>
              </w:rPr>
              <w:t>0%</w:t>
            </w:r>
          </w:p>
        </w:tc>
      </w:tr>
      <w:tr w:rsidR="00440F0E" w:rsidRPr="00E402C8" w:rsidTr="00440F0E">
        <w:tblPrEx>
          <w:tblLook w:val="0000"/>
        </w:tblPrEx>
        <w:trPr>
          <w:gridBefore w:val="1"/>
          <w:wBefore w:w="6390" w:type="dxa"/>
          <w:trHeight w:val="161"/>
          <w:jc w:val="center"/>
        </w:trPr>
        <w:tc>
          <w:tcPr>
            <w:tcW w:w="1868" w:type="dxa"/>
            <w:tcBorders>
              <w:left w:val="single" w:sz="4" w:space="0" w:color="auto"/>
            </w:tcBorders>
            <w:shd w:val="pct15" w:color="auto" w:fill="auto"/>
            <w:vAlign w:val="center"/>
          </w:tcPr>
          <w:p w:rsidR="00440F0E" w:rsidRPr="00E402C8" w:rsidRDefault="00440F0E" w:rsidP="00D33946">
            <w:pPr>
              <w:tabs>
                <w:tab w:val="left" w:pos="288"/>
                <w:tab w:val="left" w:pos="4752"/>
              </w:tabs>
              <w:rPr>
                <w:rFonts w:eastAsia="Calibri" w:cs="Times New Roman"/>
                <w:b/>
                <w:color w:val="auto"/>
                <w:szCs w:val="24"/>
              </w:rPr>
            </w:pPr>
            <w:r w:rsidRPr="00E402C8">
              <w:rPr>
                <w:rFonts w:eastAsia="Calibri" w:cs="Times New Roman"/>
                <w:b/>
                <w:color w:val="auto"/>
                <w:szCs w:val="24"/>
              </w:rPr>
              <w:t>COMBINED</w:t>
            </w:r>
          </w:p>
        </w:tc>
        <w:tc>
          <w:tcPr>
            <w:tcW w:w="1057" w:type="dxa"/>
            <w:shd w:val="pct15" w:color="auto" w:fill="auto"/>
            <w:vAlign w:val="center"/>
          </w:tcPr>
          <w:p w:rsidR="00440F0E" w:rsidRPr="00E402C8" w:rsidRDefault="009A2C2A" w:rsidP="00D33946">
            <w:pPr>
              <w:tabs>
                <w:tab w:val="left" w:pos="288"/>
                <w:tab w:val="left" w:pos="4752"/>
              </w:tabs>
              <w:rPr>
                <w:rFonts w:eastAsia="Calibri" w:cs="Times New Roman"/>
                <w:b/>
                <w:color w:val="auto"/>
                <w:szCs w:val="24"/>
              </w:rPr>
            </w:pPr>
            <w:r w:rsidRPr="00E402C8">
              <w:rPr>
                <w:rFonts w:eastAsia="Calibri" w:cs="Times New Roman"/>
                <w:b/>
                <w:color w:val="auto"/>
                <w:szCs w:val="24"/>
              </w:rPr>
              <w:t>6</w:t>
            </w:r>
            <w:r w:rsidR="00440F0E" w:rsidRPr="00E402C8">
              <w:rPr>
                <w:rFonts w:eastAsia="Calibri" w:cs="Times New Roman"/>
                <w:b/>
                <w:color w:val="auto"/>
                <w:szCs w:val="24"/>
              </w:rPr>
              <w:t>0%</w:t>
            </w:r>
          </w:p>
        </w:tc>
      </w:tr>
    </w:tbl>
    <w:p w:rsidR="00AD2379" w:rsidRPr="00E402C8" w:rsidRDefault="00AD2379" w:rsidP="006B690F">
      <w:pPr>
        <w:pBdr>
          <w:bottom w:val="single" w:sz="12" w:space="1" w:color="auto"/>
        </w:pBdr>
        <w:tabs>
          <w:tab w:val="left" w:pos="288"/>
          <w:tab w:val="left" w:pos="4752"/>
        </w:tabs>
        <w:jc w:val="both"/>
        <w:rPr>
          <w:color w:val="auto"/>
        </w:rPr>
      </w:pPr>
    </w:p>
    <w:p w:rsidR="00AD2379" w:rsidRPr="00E402C8" w:rsidRDefault="00AD2379" w:rsidP="006B690F">
      <w:pPr>
        <w:jc w:val="both"/>
        <w:rPr>
          <w:color w:val="auto"/>
        </w:rPr>
      </w:pPr>
    </w:p>
    <w:p w:rsidR="00AD2379" w:rsidRPr="00D33946" w:rsidRDefault="00AD2379" w:rsidP="006B690F">
      <w:pPr>
        <w:tabs>
          <w:tab w:val="left" w:pos="288"/>
          <w:tab w:val="left" w:pos="4752"/>
        </w:tabs>
        <w:jc w:val="both"/>
        <w:rPr>
          <w:color w:val="auto"/>
        </w:rPr>
      </w:pPr>
      <w:r w:rsidRPr="00D33946">
        <w:rPr>
          <w:color w:val="auto"/>
        </w:rPr>
        <w:t>The following documentary evidence was considered:</w:t>
      </w:r>
    </w:p>
    <w:p w:rsidR="005144A7" w:rsidRPr="00D33946" w:rsidRDefault="005144A7" w:rsidP="006B690F">
      <w:pPr>
        <w:tabs>
          <w:tab w:val="left" w:pos="288"/>
          <w:tab w:val="left" w:pos="4752"/>
        </w:tabs>
        <w:jc w:val="both"/>
        <w:rPr>
          <w:color w:val="auto"/>
        </w:rPr>
      </w:pPr>
    </w:p>
    <w:p w:rsidR="00AD2379" w:rsidRPr="00D33946" w:rsidRDefault="00AD2379" w:rsidP="006B690F">
      <w:pPr>
        <w:tabs>
          <w:tab w:val="left" w:pos="288"/>
          <w:tab w:val="left" w:pos="4752"/>
        </w:tabs>
        <w:jc w:val="both"/>
        <w:rPr>
          <w:color w:val="auto"/>
        </w:rPr>
      </w:pPr>
      <w:r w:rsidRPr="00D33946">
        <w:rPr>
          <w:color w:val="auto"/>
        </w:rPr>
        <w:t xml:space="preserve">Exhibit A.  DD Form 294, dated </w:t>
      </w:r>
      <w:r w:rsidR="00065191" w:rsidRPr="00D33946">
        <w:rPr>
          <w:color w:val="auto"/>
        </w:rPr>
        <w:t>20110729</w:t>
      </w:r>
      <w:r w:rsidR="00ED7820" w:rsidRPr="00D33946">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AE5B76">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AE5B76" w:rsidRDefault="00AE5B76" w:rsidP="00BF0E94">
      <w:pPr>
        <w:tabs>
          <w:tab w:val="left" w:pos="0"/>
          <w:tab w:val="left" w:pos="4320"/>
        </w:tabs>
        <w:jc w:val="both"/>
        <w:rPr>
          <w:color w:val="auto"/>
        </w:rPr>
      </w:pPr>
    </w:p>
    <w:p w:rsidR="00AE5B76" w:rsidRDefault="00AE5B76">
      <w:pPr>
        <w:spacing w:line="240" w:lineRule="auto"/>
        <w:jc w:val="left"/>
        <w:rPr>
          <w:color w:val="auto"/>
        </w:rPr>
      </w:pPr>
      <w:r>
        <w:rPr>
          <w:color w:val="auto"/>
        </w:rPr>
        <w:br w:type="page"/>
      </w:r>
    </w:p>
    <w:p w:rsidR="00AE5B76" w:rsidRDefault="00AE5B76" w:rsidP="00AE5B76">
      <w:pPr>
        <w:pStyle w:val="Header"/>
        <w:tabs>
          <w:tab w:val="left" w:pos="720"/>
        </w:tabs>
        <w:jc w:val="left"/>
      </w:pPr>
      <w:r>
        <w:t>SFMR-RB</w:t>
      </w:r>
      <w:r>
        <w:tab/>
      </w:r>
      <w:r>
        <w:tab/>
      </w:r>
      <w:r>
        <w:tab/>
      </w:r>
      <w:r>
        <w:tab/>
      </w:r>
      <w:r>
        <w:tab/>
      </w:r>
      <w:r>
        <w:tab/>
      </w:r>
      <w:r>
        <w:tab/>
      </w:r>
      <w:r>
        <w:tab/>
      </w:r>
      <w:r>
        <w:tab/>
      </w:r>
    </w:p>
    <w:p w:rsidR="00AE5B76" w:rsidRDefault="00AE5B76" w:rsidP="00AE5B76">
      <w:pPr>
        <w:pStyle w:val="Header"/>
        <w:tabs>
          <w:tab w:val="left" w:pos="720"/>
        </w:tabs>
        <w:jc w:val="left"/>
      </w:pPr>
    </w:p>
    <w:p w:rsidR="00AE5B76" w:rsidRDefault="00AE5B76" w:rsidP="00AE5B76">
      <w:pPr>
        <w:jc w:val="left"/>
      </w:pPr>
    </w:p>
    <w:p w:rsidR="00AE5B76" w:rsidRDefault="00AE5B76" w:rsidP="00AE5B76">
      <w:pPr>
        <w:jc w:val="left"/>
      </w:pPr>
      <w:r>
        <w:t xml:space="preserve">MEMORANDUM FOR Commander, US Army Physical Disability Agency </w:t>
      </w:r>
    </w:p>
    <w:p w:rsidR="00AE5B76" w:rsidRDefault="00AE5B76" w:rsidP="00AE5B76">
      <w:pPr>
        <w:jc w:val="left"/>
      </w:pPr>
      <w:r>
        <w:t xml:space="preserve">(TAPD-ZB </w:t>
      </w:r>
      <w:proofErr w:type="gramStart"/>
      <w:r>
        <w:t>/  )</w:t>
      </w:r>
      <w:proofErr w:type="gramEnd"/>
      <w:r>
        <w:t>, 2900 Crystal Drive, Suite 300, Arlington, VA  22202</w:t>
      </w:r>
    </w:p>
    <w:p w:rsidR="00AE5B76" w:rsidRDefault="00AE5B76" w:rsidP="00AE5B76">
      <w:pPr>
        <w:jc w:val="left"/>
      </w:pPr>
    </w:p>
    <w:p w:rsidR="00AE5B76" w:rsidRDefault="00AE5B76" w:rsidP="00AE5B76">
      <w:pPr>
        <w:ind w:right="-180"/>
        <w:jc w:val="left"/>
      </w:pPr>
      <w:r>
        <w:t xml:space="preserve">SUBJECT:  Department of Defense Physical Disability Board of Review Recommendation </w:t>
      </w:r>
    </w:p>
    <w:p w:rsidR="00AE5B76" w:rsidRDefault="00AE5B76" w:rsidP="00AE5B76">
      <w:pPr>
        <w:pStyle w:val="Header"/>
        <w:tabs>
          <w:tab w:val="left" w:pos="720"/>
        </w:tabs>
        <w:jc w:val="left"/>
      </w:pPr>
      <w:proofErr w:type="gramStart"/>
      <w:r>
        <w:t>for</w:t>
      </w:r>
      <w:proofErr w:type="gramEnd"/>
      <w:r>
        <w:t xml:space="preserve"> XXXXXXXXXXXXXXXXXXXXX, AR20120015363 (PD201100561)</w:t>
      </w:r>
    </w:p>
    <w:p w:rsidR="00AE5B76" w:rsidRDefault="00AE5B76" w:rsidP="00AE5B76">
      <w:pPr>
        <w:pStyle w:val="Header"/>
        <w:tabs>
          <w:tab w:val="left" w:pos="720"/>
        </w:tabs>
        <w:jc w:val="left"/>
      </w:pPr>
    </w:p>
    <w:p w:rsidR="00AE5B76" w:rsidRDefault="00AE5B76" w:rsidP="00AE5B76">
      <w:pPr>
        <w:jc w:val="left"/>
      </w:pPr>
    </w:p>
    <w:p w:rsidR="00AE5B76" w:rsidRDefault="00AE5B76" w:rsidP="00AE5B7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reject the Board’s recommendation and hereby deny the individual’s application.  The record does not support a change in the rated disability from </w:t>
      </w:r>
      <w:r>
        <w:rPr>
          <w:i/>
        </w:rPr>
        <w:t>recurrent pulmonary embolism</w:t>
      </w:r>
      <w:r>
        <w:t xml:space="preserve"> to </w:t>
      </w:r>
      <w:r>
        <w:rPr>
          <w:i/>
        </w:rPr>
        <w:t>chronic pulmonary embolism</w:t>
      </w:r>
      <w:r>
        <w:t xml:space="preserve">.  It is clear that the applicant did not have pulmonary hypertension or right ventricular dysfunction and did not meet the accepted medical criteria for chronic pulmonary embolism.  The PEB’s use of </w:t>
      </w:r>
      <w:proofErr w:type="spellStart"/>
      <w:r>
        <w:t>DoDI</w:t>
      </w:r>
      <w:proofErr w:type="spellEnd"/>
      <w:r>
        <w:t xml:space="preserve"> 6040.44 for rating anticoagulant prophylaxis was appropriate and the VA’s use of the same VASRD code for post-</w:t>
      </w:r>
      <w:proofErr w:type="spellStart"/>
      <w:r>
        <w:t>phlebitic</w:t>
      </w:r>
      <w:proofErr w:type="spellEnd"/>
      <w:r>
        <w:t xml:space="preserve"> syndrome supports the PEB analogous rating.  </w:t>
      </w:r>
    </w:p>
    <w:p w:rsidR="00AE5B76" w:rsidRDefault="00AE5B76" w:rsidP="00AE5B76">
      <w:pPr>
        <w:jc w:val="left"/>
      </w:pPr>
      <w:r>
        <w:t xml:space="preserve">  </w:t>
      </w:r>
    </w:p>
    <w:p w:rsidR="00AE5B76" w:rsidRDefault="00AE5B76" w:rsidP="00AE5B76">
      <w:pPr>
        <w:jc w:val="left"/>
      </w:pPr>
      <w:r>
        <w:t>2.  This decision is final.  The individual concerned, counsel (if any), and any Members of Congress who have shown interest in this application have been notified of this decision by mail.</w:t>
      </w:r>
    </w:p>
    <w:p w:rsidR="00AE5B76" w:rsidRDefault="00AE5B76" w:rsidP="00AE5B76">
      <w:pPr>
        <w:jc w:val="left"/>
      </w:pPr>
    </w:p>
    <w:p w:rsidR="00AE5B76" w:rsidRDefault="00AE5B76" w:rsidP="00AE5B76">
      <w:pPr>
        <w:jc w:val="left"/>
      </w:pPr>
      <w:r>
        <w:t>BY ORDER OF THE SECRETARY OF THE ARMY:</w:t>
      </w:r>
    </w:p>
    <w:p w:rsidR="00AE5B76" w:rsidRDefault="00AE5B76" w:rsidP="00AE5B76">
      <w:pPr>
        <w:jc w:val="left"/>
      </w:pPr>
    </w:p>
    <w:p w:rsidR="00AE5B76" w:rsidRDefault="00AE5B76" w:rsidP="00AE5B76">
      <w:pPr>
        <w:jc w:val="left"/>
      </w:pPr>
    </w:p>
    <w:p w:rsidR="00AE5B76" w:rsidRDefault="00AE5B76" w:rsidP="00AE5B76">
      <w:pPr>
        <w:pStyle w:val="Header"/>
        <w:tabs>
          <w:tab w:val="left" w:pos="720"/>
        </w:tabs>
        <w:jc w:val="left"/>
      </w:pPr>
    </w:p>
    <w:p w:rsidR="00AE5B76" w:rsidRDefault="00AE5B76" w:rsidP="00AE5B76">
      <w:pPr>
        <w:jc w:val="left"/>
      </w:pPr>
    </w:p>
    <w:p w:rsidR="00AE5B76" w:rsidRDefault="00AE5B76" w:rsidP="00AE5B76">
      <w:pPr>
        <w:jc w:val="left"/>
      </w:pPr>
      <w:bookmarkStart w:id="1" w:name="OLE_LINK4"/>
      <w:bookmarkStart w:id="2" w:name="OLE_LINK3"/>
      <w:r>
        <w:t>Encl</w:t>
      </w:r>
      <w:r>
        <w:tab/>
      </w:r>
      <w:r>
        <w:tab/>
      </w:r>
      <w:r>
        <w:tab/>
      </w:r>
      <w:r>
        <w:tab/>
      </w:r>
      <w:r>
        <w:tab/>
      </w:r>
      <w:r>
        <w:tab/>
        <w:t xml:space="preserve">     XXXXXXXXXXXXXXXXXXXX</w:t>
      </w:r>
    </w:p>
    <w:p w:rsidR="00AE5B76" w:rsidRDefault="00AE5B76" w:rsidP="00AE5B76">
      <w:pPr>
        <w:jc w:val="left"/>
      </w:pPr>
      <w:r>
        <w:tab/>
      </w:r>
      <w:r>
        <w:tab/>
      </w:r>
      <w:r>
        <w:tab/>
      </w:r>
      <w:r>
        <w:tab/>
      </w:r>
      <w:r>
        <w:tab/>
      </w:r>
      <w:r>
        <w:tab/>
        <w:t xml:space="preserve">     Deputy Assistant Secretary</w:t>
      </w:r>
    </w:p>
    <w:p w:rsidR="00AE5B76" w:rsidRDefault="00AE5B76" w:rsidP="00AE5B76">
      <w:pPr>
        <w:jc w:val="left"/>
      </w:pPr>
      <w:r>
        <w:tab/>
      </w:r>
      <w:r>
        <w:tab/>
      </w:r>
      <w:r>
        <w:tab/>
      </w:r>
      <w:r>
        <w:tab/>
      </w:r>
      <w:r>
        <w:tab/>
      </w:r>
      <w:r>
        <w:tab/>
        <w:t xml:space="preserve">         (Army Review Boards)</w:t>
      </w:r>
      <w:bookmarkEnd w:id="1"/>
      <w:bookmarkEnd w:id="2"/>
    </w:p>
    <w:p w:rsidR="00AE5B76" w:rsidRDefault="00AE5B76" w:rsidP="00AE5B76">
      <w:pPr>
        <w:jc w:val="left"/>
      </w:pPr>
    </w:p>
    <w:p w:rsidR="00AE5B76" w:rsidRDefault="00AE5B76" w:rsidP="00AE5B76">
      <w:pPr>
        <w:jc w:val="left"/>
      </w:pPr>
      <w:r>
        <w:t xml:space="preserve">CF: </w:t>
      </w:r>
    </w:p>
    <w:p w:rsidR="00AE5B76" w:rsidRDefault="00AE5B76" w:rsidP="00AE5B76">
      <w:pPr>
        <w:jc w:val="left"/>
      </w:pPr>
      <w:r>
        <w:t xml:space="preserve">(  ) </w:t>
      </w:r>
      <w:proofErr w:type="spellStart"/>
      <w:proofErr w:type="gramStart"/>
      <w:r>
        <w:t>DoD</w:t>
      </w:r>
      <w:proofErr w:type="spellEnd"/>
      <w:proofErr w:type="gramEnd"/>
      <w:r>
        <w:t xml:space="preserve"> PDBR</w:t>
      </w:r>
    </w:p>
    <w:p w:rsidR="00AE5B76" w:rsidRDefault="00AE5B76" w:rsidP="00AE5B76">
      <w:pPr>
        <w:jc w:val="left"/>
      </w:pPr>
      <w:r>
        <w:t>(  ) DVA</w:t>
      </w:r>
    </w:p>
    <w:p w:rsidR="005F7589" w:rsidRDefault="005F7589" w:rsidP="00AE5B76">
      <w:pPr>
        <w:tabs>
          <w:tab w:val="left" w:pos="0"/>
          <w:tab w:val="left" w:pos="4320"/>
        </w:tabs>
        <w:jc w:val="left"/>
        <w:rPr>
          <w:color w:val="auto"/>
        </w:rPr>
      </w:pPr>
    </w:p>
    <w:sectPr w:rsidR="005F758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C0" w:rsidRDefault="003479C0">
      <w:r>
        <w:separator/>
      </w:r>
    </w:p>
  </w:endnote>
  <w:endnote w:type="continuationSeparator" w:id="0">
    <w:p w:rsidR="003479C0" w:rsidRDefault="00347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14" w:rsidRPr="00374247" w:rsidRDefault="00355414" w:rsidP="00726F84">
    <w:pPr>
      <w:pStyle w:val="Footer"/>
      <w:ind w:firstLine="4320"/>
      <w:rPr>
        <w:color w:val="auto"/>
      </w:rPr>
    </w:pPr>
    <w:r w:rsidRPr="00374247">
      <w:rPr>
        <w:color w:val="auto"/>
      </w:rPr>
      <w:t xml:space="preserve">   </w:t>
    </w:r>
    <w:r w:rsidR="00EE1349" w:rsidRPr="00EE1349">
      <w:fldChar w:fldCharType="begin"/>
    </w:r>
    <w:r w:rsidR="00D726C6">
      <w:instrText xml:space="preserve"> PAGE   \* MERGEFORMAT </w:instrText>
    </w:r>
    <w:r w:rsidR="00EE1349" w:rsidRPr="00EE1349">
      <w:fldChar w:fldCharType="separate"/>
    </w:r>
    <w:r w:rsidR="00AE5B76" w:rsidRPr="00AE5B76">
      <w:rPr>
        <w:noProof/>
        <w:color w:val="auto"/>
      </w:rPr>
      <w:t>2</w:t>
    </w:r>
    <w:r w:rsidR="00EE1349">
      <w:rPr>
        <w:noProof/>
        <w:color w:val="auto"/>
      </w:rPr>
      <w:fldChar w:fldCharType="end"/>
    </w:r>
    <w:r w:rsidRPr="00355414">
      <w:rPr>
        <w:color w:val="auto"/>
      </w:rPr>
      <w:t xml:space="preserve">                                                           PD1100561</w:t>
    </w:r>
  </w:p>
  <w:p w:rsidR="00355414" w:rsidRPr="00684CE6" w:rsidRDefault="0035541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C0" w:rsidRDefault="003479C0">
      <w:r>
        <w:separator/>
      </w:r>
    </w:p>
  </w:footnote>
  <w:footnote w:type="continuationSeparator" w:id="0">
    <w:p w:rsidR="003479C0" w:rsidRDefault="00347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5D70"/>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2A"/>
    <w:rsid w:val="00016921"/>
    <w:rsid w:val="00017778"/>
    <w:rsid w:val="00020941"/>
    <w:rsid w:val="00021361"/>
    <w:rsid w:val="00022CF3"/>
    <w:rsid w:val="00023562"/>
    <w:rsid w:val="00023913"/>
    <w:rsid w:val="00023D43"/>
    <w:rsid w:val="00024002"/>
    <w:rsid w:val="000240A0"/>
    <w:rsid w:val="00024212"/>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191"/>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559"/>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5A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37A4"/>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53"/>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1FC7"/>
    <w:rsid w:val="00222268"/>
    <w:rsid w:val="0022362A"/>
    <w:rsid w:val="00225080"/>
    <w:rsid w:val="00225196"/>
    <w:rsid w:val="00225CB4"/>
    <w:rsid w:val="00226B1A"/>
    <w:rsid w:val="00227F0B"/>
    <w:rsid w:val="0023049F"/>
    <w:rsid w:val="002310C3"/>
    <w:rsid w:val="002316F6"/>
    <w:rsid w:val="00232C9B"/>
    <w:rsid w:val="00232E73"/>
    <w:rsid w:val="00232F09"/>
    <w:rsid w:val="002335D5"/>
    <w:rsid w:val="002338CA"/>
    <w:rsid w:val="00233A9D"/>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9E4"/>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B7B"/>
    <w:rsid w:val="002C6E5B"/>
    <w:rsid w:val="002D08F3"/>
    <w:rsid w:val="002D18B4"/>
    <w:rsid w:val="002D1ED8"/>
    <w:rsid w:val="002D2058"/>
    <w:rsid w:val="002D231A"/>
    <w:rsid w:val="002D5330"/>
    <w:rsid w:val="002D5F57"/>
    <w:rsid w:val="002D73D4"/>
    <w:rsid w:val="002D7787"/>
    <w:rsid w:val="002E058C"/>
    <w:rsid w:val="002E1877"/>
    <w:rsid w:val="002E1C31"/>
    <w:rsid w:val="002E1EFD"/>
    <w:rsid w:val="002E232B"/>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9C0"/>
    <w:rsid w:val="00347D0D"/>
    <w:rsid w:val="00351498"/>
    <w:rsid w:val="00352B22"/>
    <w:rsid w:val="00352CBF"/>
    <w:rsid w:val="003534DC"/>
    <w:rsid w:val="00354547"/>
    <w:rsid w:val="003549F5"/>
    <w:rsid w:val="00355414"/>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2AAC"/>
    <w:rsid w:val="003E31E3"/>
    <w:rsid w:val="003E3E93"/>
    <w:rsid w:val="003E46D1"/>
    <w:rsid w:val="003E513D"/>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989"/>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0F0E"/>
    <w:rsid w:val="00441D99"/>
    <w:rsid w:val="00442609"/>
    <w:rsid w:val="004429D9"/>
    <w:rsid w:val="004435BE"/>
    <w:rsid w:val="0044384F"/>
    <w:rsid w:val="0044411E"/>
    <w:rsid w:val="00444472"/>
    <w:rsid w:val="00444B93"/>
    <w:rsid w:val="00444F80"/>
    <w:rsid w:val="004450A8"/>
    <w:rsid w:val="00445599"/>
    <w:rsid w:val="004458D5"/>
    <w:rsid w:val="00446018"/>
    <w:rsid w:val="0044769D"/>
    <w:rsid w:val="004479B0"/>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1B5A"/>
    <w:rsid w:val="00472289"/>
    <w:rsid w:val="00472535"/>
    <w:rsid w:val="00472C97"/>
    <w:rsid w:val="00473961"/>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22C"/>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9AA"/>
    <w:rsid w:val="00555C66"/>
    <w:rsid w:val="005569EF"/>
    <w:rsid w:val="00556BDE"/>
    <w:rsid w:val="0056056C"/>
    <w:rsid w:val="00560D57"/>
    <w:rsid w:val="00560F12"/>
    <w:rsid w:val="00562922"/>
    <w:rsid w:val="00562A94"/>
    <w:rsid w:val="00563FAD"/>
    <w:rsid w:val="00565636"/>
    <w:rsid w:val="00567F4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2AD"/>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589"/>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885"/>
    <w:rsid w:val="00613E26"/>
    <w:rsid w:val="00614B58"/>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A55"/>
    <w:rsid w:val="006A3D6C"/>
    <w:rsid w:val="006A40E6"/>
    <w:rsid w:val="006A516B"/>
    <w:rsid w:val="006A5362"/>
    <w:rsid w:val="006A543A"/>
    <w:rsid w:val="006A5C07"/>
    <w:rsid w:val="006A75FA"/>
    <w:rsid w:val="006B0721"/>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1B8"/>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18E"/>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6AE"/>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932"/>
    <w:rsid w:val="00752EDD"/>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0F6B"/>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28B"/>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D9B"/>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612D"/>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366"/>
    <w:rsid w:val="008163AD"/>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6D66"/>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E69"/>
    <w:rsid w:val="00896535"/>
    <w:rsid w:val="00896683"/>
    <w:rsid w:val="00896C01"/>
    <w:rsid w:val="00896E71"/>
    <w:rsid w:val="0089750B"/>
    <w:rsid w:val="00897589"/>
    <w:rsid w:val="008A0C99"/>
    <w:rsid w:val="008A0D4F"/>
    <w:rsid w:val="008A139E"/>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27F8"/>
    <w:rsid w:val="0093311A"/>
    <w:rsid w:val="009346D0"/>
    <w:rsid w:val="009369A6"/>
    <w:rsid w:val="00936E38"/>
    <w:rsid w:val="00937433"/>
    <w:rsid w:val="00937F57"/>
    <w:rsid w:val="0094031E"/>
    <w:rsid w:val="009419B4"/>
    <w:rsid w:val="00941A4C"/>
    <w:rsid w:val="00942645"/>
    <w:rsid w:val="00944A40"/>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1F5"/>
    <w:rsid w:val="0099421F"/>
    <w:rsid w:val="00994D33"/>
    <w:rsid w:val="00994FC8"/>
    <w:rsid w:val="009A0346"/>
    <w:rsid w:val="009A0DE3"/>
    <w:rsid w:val="009A1643"/>
    <w:rsid w:val="009A215A"/>
    <w:rsid w:val="009A26B9"/>
    <w:rsid w:val="009A2C2A"/>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21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549"/>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0C5"/>
    <w:rsid w:val="00A91E6C"/>
    <w:rsid w:val="00A9225E"/>
    <w:rsid w:val="00A944D8"/>
    <w:rsid w:val="00A94EEA"/>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B76"/>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259E"/>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60C"/>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19C5"/>
    <w:rsid w:val="00B522CD"/>
    <w:rsid w:val="00B55143"/>
    <w:rsid w:val="00B553B2"/>
    <w:rsid w:val="00B555C8"/>
    <w:rsid w:val="00B55917"/>
    <w:rsid w:val="00B55D87"/>
    <w:rsid w:val="00B5646A"/>
    <w:rsid w:val="00B56F3D"/>
    <w:rsid w:val="00B57921"/>
    <w:rsid w:val="00B57E78"/>
    <w:rsid w:val="00B57EB8"/>
    <w:rsid w:val="00B609F6"/>
    <w:rsid w:val="00B60E75"/>
    <w:rsid w:val="00B621D1"/>
    <w:rsid w:val="00B643A6"/>
    <w:rsid w:val="00B64DD6"/>
    <w:rsid w:val="00B64F78"/>
    <w:rsid w:val="00B663FE"/>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6DE"/>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33D"/>
    <w:rsid w:val="00BB4348"/>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1F70"/>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697B"/>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1A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0F6"/>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2C5"/>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46"/>
    <w:rsid w:val="00D339E8"/>
    <w:rsid w:val="00D33FDD"/>
    <w:rsid w:val="00D364FC"/>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BFA"/>
    <w:rsid w:val="00D67FD7"/>
    <w:rsid w:val="00D704E4"/>
    <w:rsid w:val="00D71A04"/>
    <w:rsid w:val="00D72410"/>
    <w:rsid w:val="00D726C6"/>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570A"/>
    <w:rsid w:val="00E06BBD"/>
    <w:rsid w:val="00E100E3"/>
    <w:rsid w:val="00E1012B"/>
    <w:rsid w:val="00E103C8"/>
    <w:rsid w:val="00E1085B"/>
    <w:rsid w:val="00E10FA5"/>
    <w:rsid w:val="00E1308B"/>
    <w:rsid w:val="00E13DC9"/>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2C8"/>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46A"/>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4A0E"/>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7B0"/>
    <w:rsid w:val="00EA1177"/>
    <w:rsid w:val="00EA118B"/>
    <w:rsid w:val="00EA11B6"/>
    <w:rsid w:val="00EA2181"/>
    <w:rsid w:val="00EA2DD8"/>
    <w:rsid w:val="00EA30FC"/>
    <w:rsid w:val="00EA4475"/>
    <w:rsid w:val="00EA4CD3"/>
    <w:rsid w:val="00EA52FE"/>
    <w:rsid w:val="00EA681F"/>
    <w:rsid w:val="00EB04C6"/>
    <w:rsid w:val="00EB06A6"/>
    <w:rsid w:val="00EB29EA"/>
    <w:rsid w:val="00EB3307"/>
    <w:rsid w:val="00EB3823"/>
    <w:rsid w:val="00EB3CBB"/>
    <w:rsid w:val="00EB47D8"/>
    <w:rsid w:val="00EB57D3"/>
    <w:rsid w:val="00EB5B19"/>
    <w:rsid w:val="00EB5EFD"/>
    <w:rsid w:val="00EB679F"/>
    <w:rsid w:val="00EB68DE"/>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3AE7"/>
    <w:rsid w:val="00ED4773"/>
    <w:rsid w:val="00ED4FF0"/>
    <w:rsid w:val="00ED5284"/>
    <w:rsid w:val="00ED664B"/>
    <w:rsid w:val="00ED6A61"/>
    <w:rsid w:val="00ED768E"/>
    <w:rsid w:val="00ED7820"/>
    <w:rsid w:val="00ED7DA4"/>
    <w:rsid w:val="00EE03BB"/>
    <w:rsid w:val="00EE0552"/>
    <w:rsid w:val="00EE0B44"/>
    <w:rsid w:val="00EE125D"/>
    <w:rsid w:val="00EE1349"/>
    <w:rsid w:val="00EE23DE"/>
    <w:rsid w:val="00EE3C72"/>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767C"/>
    <w:rsid w:val="00F4194D"/>
    <w:rsid w:val="00F41D6D"/>
    <w:rsid w:val="00F41D91"/>
    <w:rsid w:val="00F41F52"/>
    <w:rsid w:val="00F41FA1"/>
    <w:rsid w:val="00F42363"/>
    <w:rsid w:val="00F427C4"/>
    <w:rsid w:val="00F43AD6"/>
    <w:rsid w:val="00F43D6C"/>
    <w:rsid w:val="00F44EBF"/>
    <w:rsid w:val="00F4598F"/>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7763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62EC-3696-48AC-8649-06E227C1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2012-08-22T12:37:00Z</cp:lastPrinted>
  <dcterms:created xsi:type="dcterms:W3CDTF">2012-09-13T16:31:00Z</dcterms:created>
  <dcterms:modified xsi:type="dcterms:W3CDTF">2012-09-13T16:31:00Z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