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8902DD">
        <w:rPr>
          <w:caps/>
          <w:color w:val="000000" w:themeColor="text1"/>
        </w:rPr>
        <w:t>XXXXXXXXXXXXX</w:t>
      </w:r>
      <w:r w:rsidRPr="001F29F9">
        <w:rPr>
          <w:caps/>
          <w:color w:val="000000" w:themeColor="text1"/>
        </w:rPr>
        <w:t xml:space="preserve">            </w:t>
      </w:r>
      <w:r>
        <w:rPr>
          <w:caps/>
          <w:color w:val="000000" w:themeColor="text1"/>
        </w:rPr>
        <w:tab/>
        <w:t xml:space="preserve">                             </w:t>
      </w:r>
      <w:r w:rsidRPr="001F29F9">
        <w:rPr>
          <w:caps/>
          <w:color w:val="000000" w:themeColor="text1"/>
        </w:rPr>
        <w:t>BRANCH OF SERVICE</w:t>
      </w:r>
      <w:r w:rsidRPr="00094644">
        <w:rPr>
          <w:caps/>
          <w:color w:val="000000" w:themeColor="text1"/>
        </w:rPr>
        <w:t>:  Army</w:t>
      </w:r>
      <w:r w:rsidRPr="00BA4A38">
        <w:rPr>
          <w:caps/>
          <w:color w:val="000000" w:themeColor="text1"/>
        </w:rPr>
        <w:t xml:space="preserve"> </w:t>
      </w:r>
    </w:p>
    <w:p w:rsidR="0095270D" w:rsidRDefault="0095270D" w:rsidP="0095270D">
      <w:pPr>
        <w:tabs>
          <w:tab w:val="left" w:pos="288"/>
          <w:tab w:val="left" w:pos="5130"/>
        </w:tabs>
        <w:jc w:val="both"/>
        <w:rPr>
          <w:color w:val="000000" w:themeColor="text1"/>
        </w:rPr>
      </w:pPr>
      <w:r w:rsidRPr="001F29F9">
        <w:rPr>
          <w:caps/>
          <w:color w:val="000000" w:themeColor="text1"/>
        </w:rPr>
        <w:t>CASE NUMBER:  PD11</w:t>
      </w:r>
      <w:r>
        <w:rPr>
          <w:caps/>
          <w:color w:val="000000" w:themeColor="text1"/>
        </w:rPr>
        <w:t>00</w:t>
      </w:r>
      <w:r w:rsidR="00094644">
        <w:rPr>
          <w:caps/>
          <w:color w:val="000000" w:themeColor="text1"/>
        </w:rPr>
        <w:t>557</w:t>
      </w:r>
      <w:r w:rsidRPr="001F29F9">
        <w:rPr>
          <w:color w:val="000000" w:themeColor="text1"/>
        </w:rPr>
        <w:t xml:space="preserve">                            </w:t>
      </w:r>
      <w:r>
        <w:rPr>
          <w:color w:val="000000" w:themeColor="text1"/>
        </w:rPr>
        <w:tab/>
      </w:r>
      <w:r>
        <w:rPr>
          <w:color w:val="000000" w:themeColor="text1"/>
        </w:rPr>
        <w:tab/>
        <w:t xml:space="preserve">          </w:t>
      </w:r>
      <w:r w:rsidRPr="001F29F9">
        <w:rPr>
          <w:color w:val="000000" w:themeColor="text1"/>
        </w:rPr>
        <w:t xml:space="preserve"> SEPARATION DATE:  200</w:t>
      </w:r>
      <w:r w:rsidR="00094644">
        <w:rPr>
          <w:color w:val="000000" w:themeColor="text1"/>
        </w:rPr>
        <w:t>51201</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897E2A">
        <w:rPr>
          <w:caps/>
          <w:color w:val="000000"/>
        </w:rPr>
        <w:t>0430</w:t>
      </w:r>
      <w:r w:rsidRPr="001F29F9">
        <w:rPr>
          <w:caps/>
          <w:color w:val="000000"/>
        </w:rPr>
        <w:t xml:space="preserve"> </w:t>
      </w:r>
      <w:r>
        <w:rPr>
          <w:rFonts w:cs="Times New Roman"/>
          <w:caps/>
          <w:color w:val="000000"/>
        </w:rPr>
        <w:tab/>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D94F76" w:rsidRPr="0076235B" w:rsidRDefault="00AD2379" w:rsidP="00094644">
      <w:pPr>
        <w:tabs>
          <w:tab w:val="left" w:pos="288"/>
          <w:tab w:val="left" w:pos="4752"/>
        </w:tabs>
        <w:jc w:val="both"/>
        <w:rPr>
          <w:color w:val="000000" w:themeColor="text1"/>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 xml:space="preserve">an active duty </w:t>
      </w:r>
      <w:r w:rsidR="00094644" w:rsidRPr="003A65FA">
        <w:rPr>
          <w:color w:val="auto"/>
          <w:szCs w:val="24"/>
        </w:rPr>
        <w:t>SPC</w:t>
      </w:r>
      <w:r w:rsidR="00094644">
        <w:rPr>
          <w:color w:val="auto"/>
          <w:szCs w:val="24"/>
        </w:rPr>
        <w:t>/E-4</w:t>
      </w:r>
      <w:r w:rsidR="00094644" w:rsidRPr="00AD7F8F">
        <w:rPr>
          <w:color w:val="auto"/>
          <w:szCs w:val="24"/>
        </w:rPr>
        <w:t xml:space="preserve"> (</w:t>
      </w:r>
      <w:r w:rsidR="00094644" w:rsidRPr="003A65FA">
        <w:rPr>
          <w:color w:val="auto"/>
          <w:szCs w:val="24"/>
        </w:rPr>
        <w:t>15R</w:t>
      </w:r>
      <w:r w:rsidR="00094644">
        <w:rPr>
          <w:color w:val="auto"/>
          <w:szCs w:val="24"/>
        </w:rPr>
        <w:t>10, Helicopter Repair</w:t>
      </w:r>
      <w:r w:rsidR="00094644" w:rsidRPr="00AD7F8F">
        <w:rPr>
          <w:color w:val="auto"/>
          <w:szCs w:val="24"/>
        </w:rPr>
        <w:t>)</w:t>
      </w:r>
      <w:r w:rsidR="00094644">
        <w:rPr>
          <w:color w:val="auto"/>
          <w:szCs w:val="24"/>
        </w:rPr>
        <w:t xml:space="preserve"> </w:t>
      </w:r>
      <w:r w:rsidRPr="001F29F9">
        <w:rPr>
          <w:color w:val="000000"/>
        </w:rPr>
        <w:t xml:space="preserve">medically separated for </w:t>
      </w:r>
      <w:r w:rsidR="00261B7E">
        <w:rPr>
          <w:color w:val="000000"/>
        </w:rPr>
        <w:t xml:space="preserve">a </w:t>
      </w:r>
      <w:r w:rsidR="00094644">
        <w:rPr>
          <w:color w:val="000000"/>
        </w:rPr>
        <w:t>cervical spine</w:t>
      </w:r>
      <w:r w:rsidRPr="001F29F9">
        <w:rPr>
          <w:color w:val="000000"/>
        </w:rPr>
        <w:t xml:space="preserve"> </w:t>
      </w:r>
      <w:r w:rsidR="00261B7E" w:rsidRPr="00094644">
        <w:rPr>
          <w:color w:val="000000"/>
        </w:rPr>
        <w:t>condition</w:t>
      </w:r>
      <w:r w:rsidR="00094644" w:rsidRPr="00094644">
        <w:rPr>
          <w:color w:val="000000"/>
        </w:rPr>
        <w:t xml:space="preserve"> and obstructive sleep apnea (OSA)</w:t>
      </w:r>
      <w:r w:rsidRPr="00094644">
        <w:rPr>
          <w:color w:val="000000"/>
        </w:rPr>
        <w:t xml:space="preserve">. </w:t>
      </w:r>
      <w:r w:rsidR="00261B7E" w:rsidRPr="00094644">
        <w:rPr>
          <w:color w:val="000000"/>
        </w:rPr>
        <w:t xml:space="preserve"> </w:t>
      </w:r>
      <w:r w:rsidR="00844319">
        <w:rPr>
          <w:color w:val="000000"/>
        </w:rPr>
        <w:t xml:space="preserve">He injured his neck </w:t>
      </w:r>
      <w:r w:rsidR="00B14BCC">
        <w:rPr>
          <w:color w:val="000000"/>
        </w:rPr>
        <w:t xml:space="preserve">in </w:t>
      </w:r>
      <w:r w:rsidR="00844319">
        <w:rPr>
          <w:color w:val="000000"/>
        </w:rPr>
        <w:t xml:space="preserve">a fall in 2003 with an exacerbation of symptoms during a subsequent deployment to Iraq.  He was diagnosed with </w:t>
      </w:r>
      <w:r w:rsidR="00897E2A">
        <w:rPr>
          <w:color w:val="000000"/>
        </w:rPr>
        <w:t xml:space="preserve">lumbar </w:t>
      </w:r>
      <w:r w:rsidR="00844319">
        <w:rPr>
          <w:color w:val="000000"/>
        </w:rPr>
        <w:t xml:space="preserve">degenerative disc disease (DDD) and was not a surgical candidate.  The condition </w:t>
      </w:r>
      <w:r w:rsidR="00F566B7" w:rsidRPr="00094644">
        <w:rPr>
          <w:color w:val="000000"/>
        </w:rPr>
        <w:t>could not be adequately rehabilitated to meet the physical requirements of his Military Occupational Specialty (MOS) or satis</w:t>
      </w:r>
      <w:r w:rsidR="009C12A1" w:rsidRPr="00094644">
        <w:rPr>
          <w:color w:val="000000"/>
        </w:rPr>
        <w:t xml:space="preserve">fy physical </w:t>
      </w:r>
      <w:r w:rsidR="009C12A1" w:rsidRPr="00951096">
        <w:rPr>
          <w:color w:val="000000"/>
        </w:rPr>
        <w:t>fitness standards.</w:t>
      </w:r>
      <w:r w:rsidR="00F566B7" w:rsidRPr="00951096">
        <w:rPr>
          <w:color w:val="000000"/>
        </w:rPr>
        <w:t xml:space="preserve"> </w:t>
      </w:r>
      <w:r w:rsidR="009C12A1" w:rsidRPr="00951096">
        <w:rPr>
          <w:color w:val="000000"/>
        </w:rPr>
        <w:t xml:space="preserve"> </w:t>
      </w:r>
      <w:r w:rsidR="00844319">
        <w:rPr>
          <w:color w:val="000000"/>
        </w:rPr>
        <w:t xml:space="preserve">Additionally, the CI was diagnosed with OSA by a sleep study in 2004, and his treatment included a </w:t>
      </w:r>
      <w:r w:rsidR="00844319" w:rsidRPr="00844319">
        <w:rPr>
          <w:color w:val="000000"/>
        </w:rPr>
        <w:t>continuous positive airway pressure (CPAP) device</w:t>
      </w:r>
      <w:r w:rsidR="00844319">
        <w:rPr>
          <w:color w:val="000000"/>
        </w:rPr>
        <w:t xml:space="preserve">.  </w:t>
      </w:r>
      <w:r w:rsidR="009C12A1" w:rsidRPr="00951096">
        <w:rPr>
          <w:color w:val="000000"/>
        </w:rPr>
        <w:t xml:space="preserve">He </w:t>
      </w:r>
      <w:r w:rsidR="00F566B7" w:rsidRPr="00951096">
        <w:rPr>
          <w:color w:val="000000"/>
        </w:rPr>
        <w:t xml:space="preserve">was </w:t>
      </w:r>
      <w:r w:rsidR="00844319">
        <w:rPr>
          <w:color w:val="000000"/>
        </w:rPr>
        <w:t>issued permanent P</w:t>
      </w:r>
      <w:r w:rsidR="00F566B7" w:rsidRPr="00951096">
        <w:rPr>
          <w:color w:val="000000"/>
        </w:rPr>
        <w:t xml:space="preserve">3 </w:t>
      </w:r>
      <w:r w:rsidR="00844319">
        <w:rPr>
          <w:color w:val="000000"/>
        </w:rPr>
        <w:t xml:space="preserve">and L3 </w:t>
      </w:r>
      <w:r w:rsidR="00F566B7" w:rsidRPr="00951096">
        <w:rPr>
          <w:color w:val="000000"/>
        </w:rPr>
        <w:t>profile</w:t>
      </w:r>
      <w:r w:rsidR="00844319">
        <w:rPr>
          <w:color w:val="000000"/>
        </w:rPr>
        <w:t>s</w:t>
      </w:r>
      <w:r w:rsidR="00F566B7" w:rsidRPr="00951096">
        <w:rPr>
          <w:color w:val="000000"/>
        </w:rPr>
        <w:t xml:space="preserve"> and</w:t>
      </w:r>
      <w:r w:rsidR="009C12A1" w:rsidRPr="00951096">
        <w:rPr>
          <w:color w:val="000000"/>
        </w:rPr>
        <w:t xml:space="preserve"> </w:t>
      </w:r>
      <w:r w:rsidR="00F566B7" w:rsidRPr="00951096">
        <w:rPr>
          <w:color w:val="000000"/>
        </w:rPr>
        <w:t xml:space="preserve">referred </w:t>
      </w:r>
      <w:r w:rsidR="00B14BCC">
        <w:rPr>
          <w:color w:val="000000"/>
        </w:rPr>
        <w:t>to</w:t>
      </w:r>
      <w:r w:rsidR="00F566B7" w:rsidRPr="00951096">
        <w:rPr>
          <w:color w:val="000000"/>
        </w:rPr>
        <w:t xml:space="preserve"> a Medical Evaluation Board (MEB).  The </w:t>
      </w:r>
      <w:r w:rsidR="0076235B">
        <w:rPr>
          <w:color w:val="000000"/>
        </w:rPr>
        <w:t xml:space="preserve">cervical spine and OSA </w:t>
      </w:r>
      <w:r w:rsidR="00F566B7" w:rsidRPr="00951096">
        <w:rPr>
          <w:color w:val="000000"/>
        </w:rPr>
        <w:t>condition</w:t>
      </w:r>
      <w:r w:rsidR="0076235B">
        <w:rPr>
          <w:color w:val="000000"/>
        </w:rPr>
        <w:t>s</w:t>
      </w:r>
      <w:r w:rsidR="00F566B7" w:rsidRPr="00951096">
        <w:rPr>
          <w:color w:val="000000"/>
        </w:rPr>
        <w:t xml:space="preserve"> </w:t>
      </w:r>
      <w:r w:rsidR="0076235B">
        <w:rPr>
          <w:color w:val="000000"/>
        </w:rPr>
        <w:t>were</w:t>
      </w:r>
      <w:r w:rsidR="00F566B7" w:rsidRPr="00951096">
        <w:rPr>
          <w:color w:val="000000"/>
        </w:rPr>
        <w:t xml:space="preserve"> forwarded to the Physical Evaluation Board (PEB) as medically unacceptable IAW AR 40-501.  </w:t>
      </w:r>
      <w:r w:rsidR="0076235B">
        <w:rPr>
          <w:color w:val="000000"/>
        </w:rPr>
        <w:t>Six</w:t>
      </w:r>
      <w:r w:rsidR="00951096" w:rsidRPr="00951096">
        <w:rPr>
          <w:color w:val="000000"/>
        </w:rPr>
        <w:t xml:space="preserve"> other conditions, as identified in the rating chart bel</w:t>
      </w:r>
      <w:r w:rsidR="0076235B">
        <w:rPr>
          <w:color w:val="000000"/>
        </w:rPr>
        <w:t xml:space="preserve">ow, were addressed by the MEB, </w:t>
      </w:r>
      <w:r w:rsidR="00951096" w:rsidRPr="00951096">
        <w:rPr>
          <w:color w:val="000000"/>
        </w:rPr>
        <w:t>but forwar</w:t>
      </w:r>
      <w:r w:rsidR="0076235B">
        <w:rPr>
          <w:color w:val="000000"/>
        </w:rPr>
        <w:t xml:space="preserve">ded as medically acceptable.  </w:t>
      </w:r>
      <w:r w:rsidRPr="00951096">
        <w:rPr>
          <w:color w:val="000000"/>
        </w:rPr>
        <w:t xml:space="preserve">The PEB adjudicated the </w:t>
      </w:r>
      <w:r w:rsidR="0076235B">
        <w:rPr>
          <w:color w:val="000000"/>
        </w:rPr>
        <w:t>cervical spine and OSA</w:t>
      </w:r>
      <w:r w:rsidR="008530E3" w:rsidRPr="00951096">
        <w:rPr>
          <w:color w:val="000000"/>
        </w:rPr>
        <w:t xml:space="preserve"> condition</w:t>
      </w:r>
      <w:r w:rsidR="0076235B">
        <w:rPr>
          <w:color w:val="000000"/>
        </w:rPr>
        <w:t>s as unfitting; assigning a disability rating of 1</w:t>
      </w:r>
      <w:r w:rsidRPr="00951096">
        <w:rPr>
          <w:color w:val="000000"/>
        </w:rPr>
        <w:t>0%</w:t>
      </w:r>
      <w:r w:rsidR="0076235B">
        <w:rPr>
          <w:color w:val="000000"/>
        </w:rPr>
        <w:t xml:space="preserve"> to the cervical condition </w:t>
      </w:r>
      <w:r w:rsidR="00261B7E" w:rsidRPr="00951096">
        <w:rPr>
          <w:color w:val="000000"/>
        </w:rPr>
        <w:t>citing criteria of</w:t>
      </w:r>
      <w:r w:rsidRPr="00951096">
        <w:rPr>
          <w:color w:val="000000"/>
        </w:rPr>
        <w:t xml:space="preserve"> the Veterans Administration Schedule f</w:t>
      </w:r>
      <w:r w:rsidR="0076235B">
        <w:rPr>
          <w:color w:val="000000"/>
        </w:rPr>
        <w:t>or Rating Disabilities (VASRD); and, 0% to the OSA condition</w:t>
      </w:r>
      <w:r w:rsidR="00261B7E" w:rsidRPr="00951096">
        <w:rPr>
          <w:color w:val="000000"/>
        </w:rPr>
        <w:t xml:space="preserve"> </w:t>
      </w:r>
      <w:r w:rsidR="0076235B" w:rsidRPr="00951096">
        <w:rPr>
          <w:color w:val="000000"/>
        </w:rPr>
        <w:t xml:space="preserve">referencing </w:t>
      </w:r>
      <w:r w:rsidR="00E438A4" w:rsidRPr="00951096">
        <w:rPr>
          <w:color w:val="000000"/>
        </w:rPr>
        <w:t>Department of Defe</w:t>
      </w:r>
      <w:r w:rsidR="00E438A4" w:rsidRPr="00094644">
        <w:rPr>
          <w:color w:val="000000"/>
        </w:rPr>
        <w:t>nse Instruction (DoDI) 1332.39</w:t>
      </w:r>
      <w:r w:rsidR="0076235B">
        <w:rPr>
          <w:color w:val="000000"/>
        </w:rPr>
        <w:t>.</w:t>
      </w:r>
      <w:r w:rsidR="00E438A4" w:rsidRPr="00094644">
        <w:rPr>
          <w:color w:val="000000"/>
        </w:rPr>
        <w:t xml:space="preserve"> </w:t>
      </w:r>
      <w:r w:rsidR="0076235B">
        <w:rPr>
          <w:color w:val="000000"/>
        </w:rPr>
        <w:t xml:space="preserve"> </w:t>
      </w:r>
      <w:r w:rsidR="0076235B" w:rsidRPr="001F29F9">
        <w:rPr>
          <w:color w:val="000000" w:themeColor="text1"/>
        </w:rPr>
        <w:t xml:space="preserve">The CI made no appeals, and was medically separated with a </w:t>
      </w:r>
      <w:r w:rsidR="0076235B">
        <w:rPr>
          <w:color w:val="000000" w:themeColor="text1"/>
        </w:rPr>
        <w:t>10</w:t>
      </w:r>
      <w:r w:rsidR="0076235B" w:rsidRPr="001F29F9">
        <w:rPr>
          <w:color w:val="000000" w:themeColor="text1"/>
        </w:rPr>
        <w:t>% combined disability rating.</w:t>
      </w:r>
      <w:r w:rsidR="00E438A4">
        <w:rPr>
          <w:color w:val="000000"/>
        </w:rPr>
        <w:t xml:space="preserve"> </w:t>
      </w:r>
      <w:r w:rsidR="00D94F76" w:rsidRPr="00D94F76">
        <w:rPr>
          <w:color w:val="auto"/>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773C45">
        <w:rPr>
          <w:color w:val="000000"/>
        </w:rPr>
        <w:t>“</w:t>
      </w:r>
      <w:r w:rsidR="007111D6">
        <w:rPr>
          <w:color w:val="000000" w:themeColor="text1"/>
        </w:rPr>
        <w:t xml:space="preserve">Because of one of the unfit </w:t>
      </w:r>
      <w:proofErr w:type="spellStart"/>
      <w:r w:rsidR="007111D6">
        <w:rPr>
          <w:color w:val="000000" w:themeColor="text1"/>
        </w:rPr>
        <w:t>conditons</w:t>
      </w:r>
      <w:proofErr w:type="spellEnd"/>
      <w:r w:rsidR="007111D6">
        <w:rPr>
          <w:color w:val="000000" w:themeColor="text1"/>
        </w:rPr>
        <w:t xml:space="preserve"> [sic] is at 50% rating.  Should have been </w:t>
      </w:r>
      <w:proofErr w:type="spellStart"/>
      <w:r w:rsidR="007111D6">
        <w:rPr>
          <w:color w:val="000000" w:themeColor="text1"/>
        </w:rPr>
        <w:t>medicality</w:t>
      </w:r>
      <w:proofErr w:type="spellEnd"/>
      <w:r w:rsidR="007111D6">
        <w:rPr>
          <w:color w:val="000000" w:themeColor="text1"/>
        </w:rPr>
        <w:t xml:space="preserve"> [sic] retired!</w:t>
      </w:r>
      <w:r w:rsidR="00773C45" w:rsidRPr="007111D6">
        <w:rPr>
          <w:color w:val="000000"/>
        </w:rPr>
        <w:t>”</w:t>
      </w:r>
      <w:r w:rsidR="004A2728" w:rsidRPr="007111D6">
        <w:rPr>
          <w:color w:val="000000"/>
        </w:rPr>
        <w:t xml:space="preserve"> </w:t>
      </w:r>
      <w:r w:rsidR="007111D6">
        <w:rPr>
          <w:color w:val="000000"/>
        </w:rPr>
        <w:t xml:space="preserve"> </w:t>
      </w:r>
      <w:r w:rsidR="004A2728" w:rsidRPr="007111D6">
        <w:rPr>
          <w:rFonts w:eastAsiaTheme="minorHAnsi"/>
          <w:color w:val="000000" w:themeColor="text1"/>
          <w:szCs w:val="24"/>
        </w:rPr>
        <w:t>He does not elaborate further or note any additionally contended conditions.</w:t>
      </w:r>
      <w:r w:rsidR="004A2728" w:rsidRPr="004A2728">
        <w:rPr>
          <w:color w:val="000000" w:themeColor="text1"/>
        </w:rPr>
        <w:t xml:space="preserve"> </w:t>
      </w:r>
      <w:r w:rsidR="004A2728">
        <w:rPr>
          <w:color w:val="000000" w:themeColor="text1"/>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jc w:val="left"/>
        <w:rPr>
          <w:color w:val="000000"/>
        </w:rPr>
      </w:pPr>
      <w:r w:rsidRPr="001F29F9">
        <w:rPr>
          <w:color w:val="000000"/>
          <w:u w:val="single"/>
        </w:rPr>
        <w:t>RATING COMPARISON</w:t>
      </w:r>
      <w:r w:rsidRPr="001F29F9">
        <w:rPr>
          <w:color w:val="000000"/>
        </w:rPr>
        <w:t>:</w:t>
      </w:r>
      <w:r w:rsidRPr="00726F84">
        <w:rPr>
          <w:color w:val="000000"/>
        </w:rPr>
        <w:t xml:space="preserve"> </w:t>
      </w:r>
    </w:p>
    <w:p w:rsidR="00AD2379" w:rsidRPr="001F29F9" w:rsidRDefault="00AD2379" w:rsidP="00FE7C22">
      <w:pPr>
        <w:jc w:val="both"/>
        <w:rPr>
          <w:color w:val="000000"/>
        </w:rPr>
      </w:pPr>
    </w:p>
    <w:tbl>
      <w:tblPr>
        <w:tblStyle w:val="TableGrid"/>
        <w:tblpPr w:leftFromText="187" w:rightFromText="187" w:vertAnchor="text" w:tblpXSpec="center" w:tblpY="1"/>
        <w:tblOverlap w:val="never"/>
        <w:tblW w:w="9348" w:type="dxa"/>
        <w:tblLayout w:type="fixed"/>
        <w:tblLook w:val="00A0"/>
      </w:tblPr>
      <w:tblGrid>
        <w:gridCol w:w="2178"/>
        <w:gridCol w:w="1080"/>
        <w:gridCol w:w="720"/>
        <w:gridCol w:w="2610"/>
        <w:gridCol w:w="1080"/>
        <w:gridCol w:w="720"/>
        <w:gridCol w:w="960"/>
      </w:tblGrid>
      <w:tr w:rsidR="00926C0A" w:rsidRPr="000D5DBE" w:rsidTr="00FF6BB0">
        <w:trPr>
          <w:trHeight w:val="170"/>
        </w:trPr>
        <w:tc>
          <w:tcPr>
            <w:tcW w:w="3978" w:type="dxa"/>
            <w:gridSpan w:val="3"/>
            <w:tcBorders>
              <w:right w:val="thinThickThinSmallGap" w:sz="24" w:space="0" w:color="auto"/>
            </w:tcBorders>
            <w:shd w:val="clear" w:color="auto" w:fill="D9D9D9"/>
            <w:vAlign w:val="center"/>
          </w:tcPr>
          <w:p w:rsidR="00926C0A" w:rsidRPr="00947728" w:rsidRDefault="00FF6BB0" w:rsidP="00FF6BB0">
            <w:pPr>
              <w:contextualSpacing/>
              <w:rPr>
                <w:rFonts w:cs="Calibri"/>
                <w:b/>
                <w:color w:val="auto"/>
                <w:sz w:val="18"/>
              </w:rPr>
            </w:pPr>
            <w:r>
              <w:rPr>
                <w:b/>
                <w:color w:val="auto"/>
                <w:sz w:val="18"/>
              </w:rPr>
              <w:t xml:space="preserve">Service </w:t>
            </w:r>
            <w:r w:rsidR="00926C0A" w:rsidRPr="00947728">
              <w:rPr>
                <w:b/>
                <w:color w:val="auto"/>
                <w:sz w:val="18"/>
              </w:rPr>
              <w:t xml:space="preserve">PEB – Dated </w:t>
            </w:r>
            <w:r w:rsidRPr="001F29F9">
              <w:rPr>
                <w:rFonts w:cs="Calibri"/>
                <w:b/>
                <w:color w:val="000000" w:themeColor="text1"/>
                <w:sz w:val="18"/>
                <w:szCs w:val="18"/>
              </w:rPr>
              <w:t>200</w:t>
            </w:r>
            <w:r>
              <w:rPr>
                <w:rFonts w:cs="Calibri"/>
                <w:b/>
                <w:color w:val="000000" w:themeColor="text1"/>
                <w:sz w:val="18"/>
                <w:szCs w:val="18"/>
              </w:rPr>
              <w:t>50906</w:t>
            </w:r>
          </w:p>
        </w:tc>
        <w:tc>
          <w:tcPr>
            <w:tcW w:w="5370" w:type="dxa"/>
            <w:gridSpan w:val="4"/>
            <w:tcBorders>
              <w:left w:val="thinThickThinSmallGap" w:sz="24" w:space="0" w:color="auto"/>
            </w:tcBorders>
            <w:shd w:val="clear" w:color="auto" w:fill="D9D9D9"/>
            <w:vAlign w:val="center"/>
          </w:tcPr>
          <w:p w:rsidR="00926C0A" w:rsidRPr="00947728" w:rsidRDefault="00FF6BB0" w:rsidP="00FF6BB0">
            <w:pPr>
              <w:contextualSpacing/>
              <w:rPr>
                <w:rFonts w:cs="Calibri"/>
                <w:b/>
                <w:color w:val="auto"/>
                <w:sz w:val="18"/>
              </w:rPr>
            </w:pPr>
            <w:r>
              <w:rPr>
                <w:b/>
                <w:color w:val="auto"/>
                <w:sz w:val="18"/>
              </w:rPr>
              <w:t>VA (~2</w:t>
            </w:r>
            <w:r w:rsidR="00926C0A" w:rsidRPr="00947728">
              <w:rPr>
                <w:b/>
                <w:color w:val="auto"/>
                <w:sz w:val="18"/>
              </w:rPr>
              <w:t xml:space="preserve"> Mo. Post-Separation) – All Effective Date </w:t>
            </w:r>
            <w:r w:rsidRPr="001F29F9">
              <w:rPr>
                <w:rFonts w:cs="Calibri"/>
                <w:b/>
                <w:color w:val="000000" w:themeColor="text1"/>
                <w:sz w:val="18"/>
                <w:szCs w:val="18"/>
              </w:rPr>
              <w:t>200</w:t>
            </w:r>
            <w:r>
              <w:rPr>
                <w:rFonts w:cs="Calibri"/>
                <w:b/>
                <w:color w:val="000000" w:themeColor="text1"/>
                <w:sz w:val="18"/>
                <w:szCs w:val="18"/>
              </w:rPr>
              <w:t>51202</w:t>
            </w:r>
          </w:p>
        </w:tc>
      </w:tr>
      <w:tr w:rsidR="00261B7E" w:rsidRPr="000D5DBE" w:rsidTr="00FF6BB0">
        <w:trPr>
          <w:trHeight w:val="97"/>
        </w:trPr>
        <w:tc>
          <w:tcPr>
            <w:tcW w:w="2178" w:type="dxa"/>
            <w:tcBorders>
              <w:right w:val="single" w:sz="4" w:space="0" w:color="auto"/>
            </w:tcBorders>
            <w:shd w:val="clear" w:color="auto" w:fill="D9D9D9"/>
            <w:vAlign w:val="center"/>
          </w:tcPr>
          <w:p w:rsidR="00AD2379" w:rsidRPr="000D5DBE" w:rsidRDefault="00AD2379" w:rsidP="00FF6BB0">
            <w:pPr>
              <w:contextualSpacing/>
              <w:rPr>
                <w:rFonts w:cs="Calibri"/>
                <w:b/>
                <w:color w:val="000000"/>
                <w:sz w:val="18"/>
              </w:rPr>
            </w:pPr>
            <w:r w:rsidRPr="000D5DBE">
              <w:rPr>
                <w:b/>
                <w:color w:val="000000"/>
                <w:sz w:val="18"/>
              </w:rPr>
              <w:t>Condition</w:t>
            </w:r>
          </w:p>
        </w:tc>
        <w:tc>
          <w:tcPr>
            <w:tcW w:w="1080" w:type="dxa"/>
            <w:tcBorders>
              <w:left w:val="single" w:sz="4" w:space="0" w:color="auto"/>
            </w:tcBorders>
            <w:shd w:val="clear" w:color="auto" w:fill="D9D9D9"/>
            <w:vAlign w:val="center"/>
          </w:tcPr>
          <w:p w:rsidR="00AD2379" w:rsidRPr="000D5DBE" w:rsidRDefault="00AD2379" w:rsidP="00FF6BB0">
            <w:pPr>
              <w:contextualSpacing/>
              <w:rPr>
                <w:rFonts w:cs="Calibri"/>
                <w:b/>
                <w:color w:val="000000"/>
                <w:sz w:val="18"/>
              </w:rPr>
            </w:pPr>
            <w:r w:rsidRPr="000D5DBE">
              <w:rPr>
                <w:b/>
                <w:color w:val="000000"/>
                <w:sz w:val="18"/>
              </w:rPr>
              <w:t>Code</w:t>
            </w:r>
          </w:p>
        </w:tc>
        <w:tc>
          <w:tcPr>
            <w:tcW w:w="720" w:type="dxa"/>
            <w:tcBorders>
              <w:right w:val="thinThickThinSmallGap" w:sz="24" w:space="0" w:color="auto"/>
            </w:tcBorders>
            <w:shd w:val="clear" w:color="auto" w:fill="D9D9D9"/>
            <w:vAlign w:val="center"/>
          </w:tcPr>
          <w:p w:rsidR="00AD2379" w:rsidRPr="000D5DBE" w:rsidRDefault="00AD2379" w:rsidP="00FF6BB0">
            <w:pPr>
              <w:contextualSpacing/>
              <w:rPr>
                <w:rFonts w:cs="Calibri"/>
                <w:b/>
                <w:color w:val="000000"/>
                <w:sz w:val="18"/>
              </w:rPr>
            </w:pPr>
            <w:r w:rsidRPr="000D5DBE">
              <w:rPr>
                <w:b/>
                <w:color w:val="000000"/>
                <w:sz w:val="18"/>
              </w:rPr>
              <w:t>Rating</w:t>
            </w:r>
          </w:p>
        </w:tc>
        <w:tc>
          <w:tcPr>
            <w:tcW w:w="2610" w:type="dxa"/>
            <w:tcBorders>
              <w:left w:val="thinThickThinSmallGap" w:sz="24" w:space="0" w:color="auto"/>
            </w:tcBorders>
            <w:shd w:val="clear" w:color="auto" w:fill="D9D9D9"/>
            <w:vAlign w:val="center"/>
          </w:tcPr>
          <w:p w:rsidR="00AD2379" w:rsidRPr="000D5DBE" w:rsidRDefault="00AD2379" w:rsidP="00FF6BB0">
            <w:pPr>
              <w:contextualSpacing/>
              <w:rPr>
                <w:rFonts w:cs="Calibri"/>
                <w:b/>
                <w:color w:val="000000"/>
                <w:sz w:val="18"/>
              </w:rPr>
            </w:pPr>
            <w:r w:rsidRPr="000D5DBE">
              <w:rPr>
                <w:b/>
                <w:color w:val="000000"/>
                <w:sz w:val="18"/>
              </w:rPr>
              <w:t>Condition</w:t>
            </w:r>
          </w:p>
        </w:tc>
        <w:tc>
          <w:tcPr>
            <w:tcW w:w="1080" w:type="dxa"/>
            <w:shd w:val="clear" w:color="auto" w:fill="D9D9D9"/>
            <w:vAlign w:val="center"/>
          </w:tcPr>
          <w:p w:rsidR="00AD2379" w:rsidRPr="000D5DBE" w:rsidRDefault="00AD2379" w:rsidP="00FF6BB0">
            <w:pPr>
              <w:contextualSpacing/>
              <w:rPr>
                <w:rFonts w:cs="Calibri"/>
                <w:b/>
                <w:color w:val="000000"/>
                <w:sz w:val="18"/>
              </w:rPr>
            </w:pPr>
            <w:r w:rsidRPr="000D5DBE">
              <w:rPr>
                <w:b/>
                <w:color w:val="000000"/>
                <w:sz w:val="18"/>
              </w:rPr>
              <w:t>Code</w:t>
            </w:r>
          </w:p>
        </w:tc>
        <w:tc>
          <w:tcPr>
            <w:tcW w:w="720" w:type="dxa"/>
            <w:shd w:val="clear" w:color="auto" w:fill="D9D9D9"/>
            <w:vAlign w:val="center"/>
          </w:tcPr>
          <w:p w:rsidR="00AD2379" w:rsidRPr="000D5DBE" w:rsidRDefault="00AD2379" w:rsidP="00FF6BB0">
            <w:pPr>
              <w:contextualSpacing/>
              <w:rPr>
                <w:rFonts w:cs="Calibri"/>
                <w:b/>
                <w:color w:val="000000"/>
                <w:sz w:val="18"/>
              </w:rPr>
            </w:pPr>
            <w:r w:rsidRPr="000D5DBE">
              <w:rPr>
                <w:b/>
                <w:color w:val="000000"/>
                <w:sz w:val="18"/>
              </w:rPr>
              <w:t>Rating</w:t>
            </w:r>
          </w:p>
        </w:tc>
        <w:tc>
          <w:tcPr>
            <w:tcW w:w="960" w:type="dxa"/>
            <w:shd w:val="clear" w:color="auto" w:fill="D9D9D9"/>
            <w:vAlign w:val="center"/>
          </w:tcPr>
          <w:p w:rsidR="00AD2379" w:rsidRPr="000D5DBE" w:rsidRDefault="00AD2379" w:rsidP="00FF6BB0">
            <w:pPr>
              <w:contextualSpacing/>
              <w:rPr>
                <w:rFonts w:cs="Calibri"/>
                <w:b/>
                <w:color w:val="000000"/>
                <w:sz w:val="18"/>
              </w:rPr>
            </w:pPr>
            <w:r w:rsidRPr="000D5DBE">
              <w:rPr>
                <w:b/>
                <w:color w:val="000000"/>
                <w:sz w:val="18"/>
              </w:rPr>
              <w:t>Exam</w:t>
            </w:r>
          </w:p>
        </w:tc>
      </w:tr>
      <w:tr w:rsidR="00FF6BB0" w:rsidRPr="000D5DBE" w:rsidTr="00235F91">
        <w:trPr>
          <w:trHeight w:val="118"/>
        </w:trPr>
        <w:tc>
          <w:tcPr>
            <w:tcW w:w="2178" w:type="dxa"/>
            <w:tcBorders>
              <w:right w:val="single" w:sz="4" w:space="0" w:color="auto"/>
            </w:tcBorders>
            <w:shd w:val="clear" w:color="auto" w:fill="FFFFFF"/>
            <w:vAlign w:val="center"/>
          </w:tcPr>
          <w:p w:rsidR="00FF6BB0" w:rsidRPr="001F29F9" w:rsidRDefault="00FF6BB0" w:rsidP="007111D6">
            <w:pPr>
              <w:spacing w:line="220" w:lineRule="exact"/>
              <w:contextualSpacing/>
              <w:jc w:val="left"/>
              <w:rPr>
                <w:rFonts w:cs="Calibri"/>
                <w:color w:val="000000" w:themeColor="text1"/>
                <w:sz w:val="18"/>
                <w:szCs w:val="18"/>
              </w:rPr>
            </w:pPr>
            <w:r>
              <w:rPr>
                <w:rFonts w:cs="Calibri"/>
                <w:color w:val="000000" w:themeColor="text1"/>
                <w:sz w:val="18"/>
                <w:szCs w:val="18"/>
              </w:rPr>
              <w:t>Chronic Neck Pain, DDD</w:t>
            </w:r>
          </w:p>
        </w:tc>
        <w:tc>
          <w:tcPr>
            <w:tcW w:w="1080" w:type="dxa"/>
            <w:tcBorders>
              <w:left w:val="single" w:sz="4" w:space="0" w:color="auto"/>
            </w:tcBorders>
            <w:shd w:val="clear" w:color="auto" w:fill="FFFFFF"/>
            <w:vAlign w:val="center"/>
          </w:tcPr>
          <w:p w:rsidR="00FF6BB0" w:rsidRPr="001F29F9" w:rsidRDefault="00FF6BB0" w:rsidP="00235F91">
            <w:pPr>
              <w:spacing w:line="220" w:lineRule="exact"/>
              <w:contextualSpacing/>
              <w:rPr>
                <w:rFonts w:cs="Calibri"/>
                <w:color w:val="000000" w:themeColor="text1"/>
                <w:sz w:val="18"/>
                <w:szCs w:val="18"/>
              </w:rPr>
            </w:pPr>
            <w:r>
              <w:rPr>
                <w:rFonts w:cs="Calibri"/>
                <w:color w:val="000000" w:themeColor="text1"/>
                <w:sz w:val="18"/>
                <w:szCs w:val="18"/>
              </w:rPr>
              <w:t>5299-5242</w:t>
            </w:r>
          </w:p>
        </w:tc>
        <w:tc>
          <w:tcPr>
            <w:tcW w:w="720" w:type="dxa"/>
            <w:tcBorders>
              <w:right w:val="thinThickThinSmallGap" w:sz="24" w:space="0" w:color="auto"/>
            </w:tcBorders>
            <w:shd w:val="clear" w:color="auto" w:fill="FFFFFF"/>
            <w:vAlign w:val="center"/>
          </w:tcPr>
          <w:p w:rsidR="00FF6BB0" w:rsidRPr="001F29F9" w:rsidRDefault="00FF6BB0" w:rsidP="00235F91">
            <w:pPr>
              <w:spacing w:line="220" w:lineRule="exact"/>
              <w:rPr>
                <w:rFonts w:cs="Calibri"/>
                <w:color w:val="000000" w:themeColor="text1"/>
                <w:sz w:val="18"/>
                <w:szCs w:val="18"/>
              </w:rPr>
            </w:pPr>
            <w:r>
              <w:rPr>
                <w:rFonts w:cs="Calibri"/>
                <w:color w:val="000000" w:themeColor="text1"/>
                <w:sz w:val="18"/>
                <w:szCs w:val="18"/>
              </w:rPr>
              <w:t>10%</w:t>
            </w:r>
          </w:p>
        </w:tc>
        <w:tc>
          <w:tcPr>
            <w:tcW w:w="2610" w:type="dxa"/>
            <w:tcBorders>
              <w:left w:val="thinThickThinSmallGap" w:sz="24" w:space="0" w:color="auto"/>
            </w:tcBorders>
            <w:shd w:val="clear" w:color="auto" w:fill="FFFFFF"/>
            <w:vAlign w:val="center"/>
          </w:tcPr>
          <w:p w:rsidR="00FF6BB0" w:rsidRPr="001F29F9" w:rsidRDefault="00FF6BB0" w:rsidP="007111D6">
            <w:pPr>
              <w:spacing w:line="220" w:lineRule="exact"/>
              <w:contextualSpacing/>
              <w:jc w:val="left"/>
              <w:rPr>
                <w:rFonts w:cs="Calibri"/>
                <w:color w:val="000000" w:themeColor="text1"/>
                <w:sz w:val="18"/>
                <w:szCs w:val="18"/>
              </w:rPr>
            </w:pPr>
            <w:r>
              <w:rPr>
                <w:rFonts w:cs="Calibri"/>
                <w:color w:val="000000" w:themeColor="text1"/>
                <w:sz w:val="18"/>
                <w:szCs w:val="18"/>
              </w:rPr>
              <w:t>Cervical Sprain</w:t>
            </w:r>
          </w:p>
        </w:tc>
        <w:tc>
          <w:tcPr>
            <w:tcW w:w="1080" w:type="dxa"/>
            <w:shd w:val="clear" w:color="auto" w:fill="FFFFFF"/>
            <w:vAlign w:val="center"/>
          </w:tcPr>
          <w:p w:rsidR="00FF6BB0" w:rsidRPr="001F29F9"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5237</w:t>
            </w:r>
          </w:p>
        </w:tc>
        <w:tc>
          <w:tcPr>
            <w:tcW w:w="720" w:type="dxa"/>
            <w:shd w:val="clear" w:color="auto" w:fill="FFFFFF"/>
            <w:vAlign w:val="center"/>
          </w:tcPr>
          <w:p w:rsidR="00FF6BB0" w:rsidRPr="001F29F9"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10%</w:t>
            </w:r>
          </w:p>
        </w:tc>
        <w:tc>
          <w:tcPr>
            <w:tcW w:w="960" w:type="dxa"/>
            <w:shd w:val="clear" w:color="auto" w:fill="FFFFFF"/>
            <w:vAlign w:val="center"/>
          </w:tcPr>
          <w:p w:rsidR="00FF6BB0" w:rsidRPr="001F29F9"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20060202</w:t>
            </w:r>
          </w:p>
        </w:tc>
      </w:tr>
      <w:tr w:rsidR="00FF6BB0" w:rsidRPr="000D5DBE" w:rsidTr="00235F91">
        <w:trPr>
          <w:trHeight w:val="118"/>
        </w:trPr>
        <w:tc>
          <w:tcPr>
            <w:tcW w:w="2178" w:type="dxa"/>
            <w:tcBorders>
              <w:right w:val="single" w:sz="4" w:space="0" w:color="auto"/>
            </w:tcBorders>
            <w:shd w:val="clear" w:color="auto" w:fill="FFFFFF"/>
            <w:vAlign w:val="center"/>
          </w:tcPr>
          <w:p w:rsidR="00FF6BB0" w:rsidRPr="001F29F9" w:rsidRDefault="00FF6BB0" w:rsidP="007111D6">
            <w:pPr>
              <w:spacing w:line="220" w:lineRule="exact"/>
              <w:contextualSpacing/>
              <w:jc w:val="left"/>
              <w:rPr>
                <w:rFonts w:cs="Calibri"/>
                <w:color w:val="000000" w:themeColor="text1"/>
                <w:sz w:val="18"/>
                <w:szCs w:val="18"/>
              </w:rPr>
            </w:pPr>
            <w:r>
              <w:rPr>
                <w:rFonts w:cs="Calibri"/>
                <w:color w:val="000000" w:themeColor="text1"/>
                <w:sz w:val="18"/>
                <w:szCs w:val="18"/>
              </w:rPr>
              <w:t>OSA</w:t>
            </w:r>
          </w:p>
        </w:tc>
        <w:tc>
          <w:tcPr>
            <w:tcW w:w="1080" w:type="dxa"/>
            <w:tcBorders>
              <w:left w:val="single" w:sz="4" w:space="0" w:color="auto"/>
            </w:tcBorders>
            <w:shd w:val="clear" w:color="auto" w:fill="FFFFFF"/>
            <w:vAlign w:val="center"/>
          </w:tcPr>
          <w:p w:rsidR="00FF6BB0" w:rsidRPr="001F29F9" w:rsidRDefault="00FF6BB0" w:rsidP="00235F91">
            <w:pPr>
              <w:spacing w:line="220" w:lineRule="exact"/>
              <w:contextualSpacing/>
              <w:rPr>
                <w:rFonts w:cs="Calibri"/>
                <w:color w:val="000000" w:themeColor="text1"/>
                <w:sz w:val="18"/>
                <w:szCs w:val="18"/>
              </w:rPr>
            </w:pPr>
            <w:r>
              <w:rPr>
                <w:rFonts w:cs="Calibri"/>
                <w:color w:val="000000" w:themeColor="text1"/>
                <w:sz w:val="18"/>
                <w:szCs w:val="18"/>
              </w:rPr>
              <w:t>6847</w:t>
            </w:r>
          </w:p>
        </w:tc>
        <w:tc>
          <w:tcPr>
            <w:tcW w:w="720" w:type="dxa"/>
            <w:tcBorders>
              <w:right w:val="thinThickThinSmallGap" w:sz="24" w:space="0" w:color="auto"/>
            </w:tcBorders>
            <w:shd w:val="clear" w:color="auto" w:fill="FFFFFF"/>
            <w:vAlign w:val="center"/>
          </w:tcPr>
          <w:p w:rsidR="00FF6BB0" w:rsidRPr="001F29F9" w:rsidRDefault="00FF6BB0" w:rsidP="00235F91">
            <w:pPr>
              <w:spacing w:line="220" w:lineRule="exact"/>
              <w:rPr>
                <w:rFonts w:cs="Calibri"/>
                <w:color w:val="000000" w:themeColor="text1"/>
                <w:sz w:val="18"/>
                <w:szCs w:val="18"/>
              </w:rPr>
            </w:pPr>
            <w:r>
              <w:rPr>
                <w:rFonts w:cs="Calibri"/>
                <w:color w:val="000000" w:themeColor="text1"/>
                <w:sz w:val="18"/>
                <w:szCs w:val="18"/>
              </w:rPr>
              <w:t>0%</w:t>
            </w:r>
          </w:p>
        </w:tc>
        <w:tc>
          <w:tcPr>
            <w:tcW w:w="2610" w:type="dxa"/>
            <w:tcBorders>
              <w:left w:val="thinThickThinSmallGap" w:sz="24" w:space="0" w:color="auto"/>
            </w:tcBorders>
            <w:shd w:val="clear" w:color="auto" w:fill="FFFFFF"/>
            <w:vAlign w:val="center"/>
          </w:tcPr>
          <w:p w:rsidR="00FF6BB0" w:rsidRPr="001F29F9" w:rsidRDefault="00FF6BB0" w:rsidP="007111D6">
            <w:pPr>
              <w:spacing w:line="220" w:lineRule="exact"/>
              <w:contextualSpacing/>
              <w:jc w:val="left"/>
              <w:rPr>
                <w:rFonts w:cs="Calibri"/>
                <w:color w:val="000000" w:themeColor="text1"/>
                <w:sz w:val="18"/>
                <w:szCs w:val="18"/>
              </w:rPr>
            </w:pPr>
            <w:r>
              <w:rPr>
                <w:rFonts w:cs="Calibri"/>
                <w:color w:val="000000" w:themeColor="text1"/>
                <w:sz w:val="18"/>
                <w:szCs w:val="18"/>
              </w:rPr>
              <w:t>Sleep Apnea</w:t>
            </w:r>
          </w:p>
        </w:tc>
        <w:tc>
          <w:tcPr>
            <w:tcW w:w="1080" w:type="dxa"/>
            <w:shd w:val="clear" w:color="auto" w:fill="FFFFFF"/>
            <w:vAlign w:val="center"/>
          </w:tcPr>
          <w:p w:rsidR="00FF6BB0" w:rsidRPr="001F29F9"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6847</w:t>
            </w:r>
          </w:p>
        </w:tc>
        <w:tc>
          <w:tcPr>
            <w:tcW w:w="720" w:type="dxa"/>
            <w:shd w:val="clear" w:color="auto" w:fill="FFFFFF"/>
            <w:vAlign w:val="center"/>
          </w:tcPr>
          <w:p w:rsidR="00FF6BB0" w:rsidRPr="001F29F9"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50%</w:t>
            </w:r>
          </w:p>
        </w:tc>
        <w:tc>
          <w:tcPr>
            <w:tcW w:w="960" w:type="dxa"/>
            <w:shd w:val="clear" w:color="auto" w:fill="FFFFFF"/>
            <w:vAlign w:val="center"/>
          </w:tcPr>
          <w:p w:rsidR="00FF6BB0" w:rsidRPr="001F29F9"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20060202</w:t>
            </w:r>
          </w:p>
        </w:tc>
      </w:tr>
      <w:tr w:rsidR="00FF6BB0" w:rsidRPr="000D5DBE" w:rsidTr="00235F91">
        <w:trPr>
          <w:trHeight w:val="97"/>
        </w:trPr>
        <w:tc>
          <w:tcPr>
            <w:tcW w:w="2178" w:type="dxa"/>
            <w:tcBorders>
              <w:right w:val="single" w:sz="4" w:space="0" w:color="auto"/>
            </w:tcBorders>
            <w:shd w:val="clear" w:color="auto" w:fill="FFFFFF"/>
            <w:vAlign w:val="center"/>
          </w:tcPr>
          <w:p w:rsidR="00FF6BB0" w:rsidRPr="001F29F9" w:rsidRDefault="00FF6BB0" w:rsidP="007111D6">
            <w:pPr>
              <w:spacing w:line="220" w:lineRule="exact"/>
              <w:contextualSpacing/>
              <w:jc w:val="left"/>
              <w:rPr>
                <w:rFonts w:cs="Calibri"/>
                <w:color w:val="000000" w:themeColor="text1"/>
                <w:sz w:val="18"/>
                <w:szCs w:val="18"/>
              </w:rPr>
            </w:pPr>
            <w:r>
              <w:rPr>
                <w:rFonts w:cs="Calibri"/>
                <w:color w:val="000000" w:themeColor="text1"/>
                <w:sz w:val="18"/>
                <w:szCs w:val="18"/>
              </w:rPr>
              <w:t>Lumbar Spondylosis</w:t>
            </w:r>
          </w:p>
        </w:tc>
        <w:tc>
          <w:tcPr>
            <w:tcW w:w="1800" w:type="dxa"/>
            <w:gridSpan w:val="2"/>
            <w:tcBorders>
              <w:left w:val="single" w:sz="4" w:space="0" w:color="auto"/>
              <w:right w:val="thinThickThinSmallGap" w:sz="24" w:space="0" w:color="auto"/>
            </w:tcBorders>
            <w:shd w:val="clear" w:color="auto" w:fill="FFFFFF"/>
            <w:vAlign w:val="center"/>
          </w:tcPr>
          <w:p w:rsidR="00FF6BB0" w:rsidRPr="001F29F9" w:rsidRDefault="00FF6BB0" w:rsidP="00235F91">
            <w:pPr>
              <w:spacing w:line="220" w:lineRule="exact"/>
              <w:rPr>
                <w:rFonts w:cs="Calibri"/>
                <w:color w:val="000000" w:themeColor="text1"/>
                <w:sz w:val="18"/>
                <w:szCs w:val="18"/>
              </w:rPr>
            </w:pPr>
            <w:r>
              <w:rPr>
                <w:rFonts w:cs="Calibri"/>
                <w:color w:val="000000" w:themeColor="text1"/>
                <w:sz w:val="18"/>
                <w:szCs w:val="18"/>
              </w:rPr>
              <w:t>Not Unfitting</w:t>
            </w:r>
          </w:p>
        </w:tc>
        <w:tc>
          <w:tcPr>
            <w:tcW w:w="2610" w:type="dxa"/>
            <w:tcBorders>
              <w:left w:val="thinThickThinSmallGap" w:sz="24" w:space="0" w:color="auto"/>
              <w:right w:val="single" w:sz="4" w:space="0" w:color="auto"/>
            </w:tcBorders>
            <w:shd w:val="clear" w:color="auto" w:fill="FFFFFF"/>
            <w:vAlign w:val="center"/>
          </w:tcPr>
          <w:p w:rsidR="00FF6BB0" w:rsidRPr="001F29F9" w:rsidRDefault="00FF6BB0" w:rsidP="007111D6">
            <w:pPr>
              <w:spacing w:line="220" w:lineRule="exact"/>
              <w:contextualSpacing/>
              <w:jc w:val="left"/>
              <w:rPr>
                <w:rFonts w:cs="Calibri"/>
                <w:color w:val="000000" w:themeColor="text1"/>
                <w:sz w:val="18"/>
                <w:szCs w:val="18"/>
              </w:rPr>
            </w:pPr>
            <w:r>
              <w:rPr>
                <w:rFonts w:cs="Calibri"/>
                <w:color w:val="000000" w:themeColor="text1"/>
                <w:sz w:val="18"/>
                <w:szCs w:val="18"/>
              </w:rPr>
              <w:t>Lumbar Spondylosis</w:t>
            </w:r>
          </w:p>
        </w:tc>
        <w:tc>
          <w:tcPr>
            <w:tcW w:w="1080" w:type="dxa"/>
            <w:tcBorders>
              <w:left w:val="single" w:sz="4" w:space="0" w:color="auto"/>
            </w:tcBorders>
            <w:shd w:val="clear" w:color="auto" w:fill="FFFFFF"/>
            <w:vAlign w:val="center"/>
          </w:tcPr>
          <w:p w:rsidR="00FF6BB0" w:rsidRPr="001F29F9"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5237</w:t>
            </w:r>
          </w:p>
        </w:tc>
        <w:tc>
          <w:tcPr>
            <w:tcW w:w="720" w:type="dxa"/>
            <w:shd w:val="clear" w:color="auto" w:fill="FFFFFF"/>
            <w:vAlign w:val="center"/>
          </w:tcPr>
          <w:p w:rsidR="00FF6BB0" w:rsidRPr="001F29F9"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NSC</w:t>
            </w:r>
          </w:p>
        </w:tc>
        <w:tc>
          <w:tcPr>
            <w:tcW w:w="960" w:type="dxa"/>
            <w:shd w:val="clear" w:color="auto" w:fill="FFFFFF"/>
            <w:vAlign w:val="center"/>
          </w:tcPr>
          <w:p w:rsidR="00FF6BB0" w:rsidRPr="001F29F9"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20060202</w:t>
            </w:r>
          </w:p>
        </w:tc>
      </w:tr>
      <w:tr w:rsidR="00FF6BB0" w:rsidRPr="000D5DBE" w:rsidTr="00235F91">
        <w:trPr>
          <w:trHeight w:val="69"/>
        </w:trPr>
        <w:tc>
          <w:tcPr>
            <w:tcW w:w="2178" w:type="dxa"/>
            <w:vMerge w:val="restart"/>
            <w:tcBorders>
              <w:right w:val="single" w:sz="4" w:space="0" w:color="auto"/>
            </w:tcBorders>
            <w:shd w:val="clear" w:color="auto" w:fill="FFFFFF"/>
            <w:vAlign w:val="center"/>
          </w:tcPr>
          <w:p w:rsidR="00FF6BB0" w:rsidRPr="001F29F9" w:rsidRDefault="00FF6BB0" w:rsidP="007111D6">
            <w:pPr>
              <w:spacing w:line="180" w:lineRule="exact"/>
              <w:contextualSpacing/>
              <w:jc w:val="left"/>
              <w:rPr>
                <w:rFonts w:cs="Calibri"/>
                <w:color w:val="000000" w:themeColor="text1"/>
                <w:sz w:val="18"/>
                <w:szCs w:val="18"/>
              </w:rPr>
            </w:pPr>
            <w:r>
              <w:rPr>
                <w:rFonts w:cs="Calibri"/>
                <w:color w:val="000000" w:themeColor="text1"/>
                <w:sz w:val="18"/>
                <w:szCs w:val="18"/>
              </w:rPr>
              <w:t xml:space="preserve">Bilateral </w:t>
            </w:r>
            <w:proofErr w:type="spellStart"/>
            <w:r>
              <w:rPr>
                <w:rFonts w:cs="Calibri"/>
                <w:color w:val="000000" w:themeColor="text1"/>
                <w:sz w:val="18"/>
                <w:szCs w:val="18"/>
              </w:rPr>
              <w:t>Cubital</w:t>
            </w:r>
            <w:proofErr w:type="spellEnd"/>
            <w:r>
              <w:rPr>
                <w:rFonts w:cs="Calibri"/>
                <w:color w:val="000000" w:themeColor="text1"/>
                <w:sz w:val="18"/>
                <w:szCs w:val="18"/>
              </w:rPr>
              <w:t xml:space="preserve"> Tunnel Syndrome</w:t>
            </w:r>
          </w:p>
        </w:tc>
        <w:tc>
          <w:tcPr>
            <w:tcW w:w="1800" w:type="dxa"/>
            <w:gridSpan w:val="2"/>
            <w:vMerge w:val="restart"/>
            <w:tcBorders>
              <w:left w:val="single" w:sz="4" w:space="0" w:color="auto"/>
              <w:right w:val="thinThickThinSmallGap" w:sz="24" w:space="0" w:color="auto"/>
            </w:tcBorders>
            <w:shd w:val="clear" w:color="auto" w:fill="FFFFFF"/>
            <w:vAlign w:val="center"/>
          </w:tcPr>
          <w:p w:rsidR="00FF6BB0" w:rsidRDefault="00FF6BB0" w:rsidP="00235F91">
            <w:pPr>
              <w:spacing w:line="220" w:lineRule="exact"/>
            </w:pPr>
            <w:r w:rsidRPr="00355DFA">
              <w:rPr>
                <w:rFonts w:cs="Calibri"/>
                <w:color w:val="000000" w:themeColor="text1"/>
                <w:sz w:val="18"/>
                <w:szCs w:val="18"/>
              </w:rPr>
              <w:t>Not Unfitting</w:t>
            </w:r>
          </w:p>
        </w:tc>
        <w:tc>
          <w:tcPr>
            <w:tcW w:w="2610" w:type="dxa"/>
            <w:tcBorders>
              <w:left w:val="thinThickThinSmallGap" w:sz="24" w:space="0" w:color="auto"/>
              <w:bottom w:val="single" w:sz="4" w:space="0" w:color="auto"/>
              <w:right w:val="single" w:sz="4" w:space="0" w:color="auto"/>
            </w:tcBorders>
            <w:shd w:val="clear" w:color="auto" w:fill="FFFFFF"/>
            <w:vAlign w:val="center"/>
          </w:tcPr>
          <w:p w:rsidR="00FF6BB0" w:rsidRPr="001F29F9" w:rsidRDefault="00FF6BB0" w:rsidP="007111D6">
            <w:pPr>
              <w:spacing w:line="220" w:lineRule="exact"/>
              <w:contextualSpacing/>
              <w:jc w:val="left"/>
              <w:rPr>
                <w:rFonts w:cs="Calibri"/>
                <w:color w:val="000000" w:themeColor="text1"/>
                <w:sz w:val="18"/>
                <w:szCs w:val="18"/>
              </w:rPr>
            </w:pPr>
            <w:proofErr w:type="spellStart"/>
            <w:r>
              <w:rPr>
                <w:rFonts w:cs="Calibri"/>
                <w:color w:val="000000" w:themeColor="text1"/>
                <w:sz w:val="18"/>
                <w:szCs w:val="18"/>
              </w:rPr>
              <w:t>Cubital</w:t>
            </w:r>
            <w:proofErr w:type="spellEnd"/>
            <w:r>
              <w:rPr>
                <w:rFonts w:cs="Calibri"/>
                <w:color w:val="000000" w:themeColor="text1"/>
                <w:sz w:val="18"/>
                <w:szCs w:val="18"/>
              </w:rPr>
              <w:t xml:space="preserve"> Syndrome, L</w:t>
            </w:r>
            <w:r w:rsidR="00897E2A">
              <w:rPr>
                <w:rFonts w:cs="Calibri"/>
                <w:color w:val="000000" w:themeColor="text1"/>
                <w:sz w:val="18"/>
                <w:szCs w:val="18"/>
              </w:rPr>
              <w:t>eft Arm</w:t>
            </w:r>
          </w:p>
        </w:tc>
        <w:tc>
          <w:tcPr>
            <w:tcW w:w="1080" w:type="dxa"/>
            <w:tcBorders>
              <w:left w:val="single" w:sz="4" w:space="0" w:color="auto"/>
              <w:bottom w:val="single" w:sz="4" w:space="0" w:color="auto"/>
            </w:tcBorders>
            <w:shd w:val="clear" w:color="auto" w:fill="FFFFFF"/>
            <w:vAlign w:val="center"/>
          </w:tcPr>
          <w:p w:rsidR="00FF6BB0" w:rsidRPr="001F29F9"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8699-8615</w:t>
            </w:r>
          </w:p>
        </w:tc>
        <w:tc>
          <w:tcPr>
            <w:tcW w:w="720" w:type="dxa"/>
            <w:tcBorders>
              <w:bottom w:val="single" w:sz="4" w:space="0" w:color="auto"/>
            </w:tcBorders>
            <w:shd w:val="clear" w:color="auto" w:fill="FFFFFF"/>
            <w:vAlign w:val="center"/>
          </w:tcPr>
          <w:p w:rsidR="00FF6BB0" w:rsidRPr="001F29F9"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10%</w:t>
            </w:r>
          </w:p>
        </w:tc>
        <w:tc>
          <w:tcPr>
            <w:tcW w:w="960" w:type="dxa"/>
            <w:tcBorders>
              <w:bottom w:val="single" w:sz="4" w:space="0" w:color="auto"/>
            </w:tcBorders>
            <w:shd w:val="clear" w:color="auto" w:fill="FFFFFF"/>
            <w:vAlign w:val="center"/>
          </w:tcPr>
          <w:p w:rsidR="00FF6BB0" w:rsidRPr="001F29F9"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20060202</w:t>
            </w:r>
          </w:p>
        </w:tc>
      </w:tr>
      <w:tr w:rsidR="00FF6BB0" w:rsidRPr="000D5DBE" w:rsidTr="00235F91">
        <w:trPr>
          <w:trHeight w:val="65"/>
        </w:trPr>
        <w:tc>
          <w:tcPr>
            <w:tcW w:w="2178" w:type="dxa"/>
            <w:vMerge/>
            <w:tcBorders>
              <w:right w:val="single" w:sz="4" w:space="0" w:color="auto"/>
            </w:tcBorders>
            <w:shd w:val="clear" w:color="auto" w:fill="FFFFFF"/>
            <w:vAlign w:val="center"/>
          </w:tcPr>
          <w:p w:rsidR="00FF6BB0" w:rsidRDefault="00FF6BB0" w:rsidP="007111D6">
            <w:pPr>
              <w:spacing w:line="220" w:lineRule="exact"/>
              <w:contextualSpacing/>
              <w:jc w:val="left"/>
              <w:rPr>
                <w:color w:val="000000" w:themeColor="text1"/>
                <w:sz w:val="18"/>
                <w:szCs w:val="18"/>
              </w:rPr>
            </w:pPr>
          </w:p>
        </w:tc>
        <w:tc>
          <w:tcPr>
            <w:tcW w:w="1800" w:type="dxa"/>
            <w:gridSpan w:val="2"/>
            <w:vMerge/>
            <w:tcBorders>
              <w:left w:val="single" w:sz="4" w:space="0" w:color="auto"/>
              <w:right w:val="thinThickThinSmallGap" w:sz="24" w:space="0" w:color="auto"/>
            </w:tcBorders>
            <w:shd w:val="clear" w:color="auto" w:fill="FFFFFF"/>
            <w:vAlign w:val="center"/>
          </w:tcPr>
          <w:p w:rsidR="00FF6BB0" w:rsidRDefault="00FF6BB0" w:rsidP="00235F91">
            <w:pPr>
              <w:spacing w:line="220" w:lineRule="exact"/>
              <w:rPr>
                <w:color w:val="000000" w:themeColor="text1"/>
                <w:sz w:val="18"/>
                <w:szCs w:val="18"/>
              </w:rPr>
            </w:pPr>
          </w:p>
        </w:tc>
        <w:tc>
          <w:tcPr>
            <w:tcW w:w="2610" w:type="dxa"/>
            <w:tcBorders>
              <w:top w:val="single" w:sz="4" w:space="0" w:color="auto"/>
              <w:left w:val="thinThickThinSmallGap" w:sz="24" w:space="0" w:color="auto"/>
              <w:right w:val="single" w:sz="4" w:space="0" w:color="auto"/>
            </w:tcBorders>
            <w:shd w:val="clear" w:color="auto" w:fill="FFFFFF"/>
            <w:vAlign w:val="center"/>
          </w:tcPr>
          <w:p w:rsidR="00FF6BB0" w:rsidRDefault="00FF6BB0" w:rsidP="007111D6">
            <w:pPr>
              <w:spacing w:line="220" w:lineRule="exact"/>
              <w:contextualSpacing/>
              <w:jc w:val="left"/>
              <w:rPr>
                <w:rFonts w:cs="Calibri"/>
                <w:color w:val="000000" w:themeColor="text1"/>
                <w:sz w:val="18"/>
                <w:szCs w:val="18"/>
              </w:rPr>
            </w:pPr>
            <w:proofErr w:type="spellStart"/>
            <w:r>
              <w:rPr>
                <w:rFonts w:cs="Calibri"/>
                <w:color w:val="000000" w:themeColor="text1"/>
                <w:sz w:val="18"/>
                <w:szCs w:val="18"/>
              </w:rPr>
              <w:t>Cubital</w:t>
            </w:r>
            <w:proofErr w:type="spellEnd"/>
            <w:r>
              <w:rPr>
                <w:rFonts w:cs="Calibri"/>
                <w:color w:val="000000" w:themeColor="text1"/>
                <w:sz w:val="18"/>
                <w:szCs w:val="18"/>
              </w:rPr>
              <w:t xml:space="preserve"> Syndrome, R</w:t>
            </w:r>
            <w:r w:rsidR="00897E2A">
              <w:rPr>
                <w:rFonts w:cs="Calibri"/>
                <w:color w:val="000000" w:themeColor="text1"/>
                <w:sz w:val="18"/>
                <w:szCs w:val="18"/>
              </w:rPr>
              <w:t>ight Arm</w:t>
            </w:r>
          </w:p>
        </w:tc>
        <w:tc>
          <w:tcPr>
            <w:tcW w:w="1080" w:type="dxa"/>
            <w:tcBorders>
              <w:top w:val="single" w:sz="4" w:space="0" w:color="auto"/>
              <w:left w:val="single" w:sz="4" w:space="0" w:color="auto"/>
            </w:tcBorders>
            <w:shd w:val="clear" w:color="auto" w:fill="FFFFFF"/>
            <w:vAlign w:val="center"/>
          </w:tcPr>
          <w:p w:rsidR="00FF6BB0"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8699-8616</w:t>
            </w:r>
          </w:p>
        </w:tc>
        <w:tc>
          <w:tcPr>
            <w:tcW w:w="720" w:type="dxa"/>
            <w:tcBorders>
              <w:top w:val="single" w:sz="4" w:space="0" w:color="auto"/>
            </w:tcBorders>
            <w:shd w:val="clear" w:color="auto" w:fill="FFFFFF"/>
            <w:vAlign w:val="center"/>
          </w:tcPr>
          <w:p w:rsidR="00FF6BB0"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10%</w:t>
            </w:r>
          </w:p>
        </w:tc>
        <w:tc>
          <w:tcPr>
            <w:tcW w:w="960" w:type="dxa"/>
            <w:tcBorders>
              <w:top w:val="single" w:sz="4" w:space="0" w:color="auto"/>
            </w:tcBorders>
            <w:shd w:val="clear" w:color="auto" w:fill="FFFFFF"/>
            <w:vAlign w:val="center"/>
          </w:tcPr>
          <w:p w:rsidR="00FF6BB0" w:rsidRPr="001F29F9"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20060202</w:t>
            </w:r>
          </w:p>
        </w:tc>
      </w:tr>
      <w:tr w:rsidR="00FF6BB0" w:rsidRPr="000D5DBE" w:rsidTr="00235F91">
        <w:trPr>
          <w:trHeight w:val="97"/>
        </w:trPr>
        <w:tc>
          <w:tcPr>
            <w:tcW w:w="2178" w:type="dxa"/>
            <w:tcBorders>
              <w:right w:val="single" w:sz="4" w:space="0" w:color="auto"/>
            </w:tcBorders>
            <w:shd w:val="clear" w:color="auto" w:fill="FFFFFF"/>
            <w:vAlign w:val="center"/>
          </w:tcPr>
          <w:p w:rsidR="00FF6BB0" w:rsidRPr="001F29F9" w:rsidRDefault="00FF6BB0" w:rsidP="007111D6">
            <w:pPr>
              <w:spacing w:line="220" w:lineRule="exact"/>
              <w:contextualSpacing/>
              <w:jc w:val="left"/>
              <w:rPr>
                <w:rFonts w:cs="Calibri"/>
                <w:color w:val="000000" w:themeColor="text1"/>
                <w:sz w:val="18"/>
                <w:szCs w:val="18"/>
              </w:rPr>
            </w:pPr>
            <w:r>
              <w:rPr>
                <w:rFonts w:cs="Calibri"/>
                <w:color w:val="000000" w:themeColor="text1"/>
                <w:sz w:val="18"/>
                <w:szCs w:val="18"/>
              </w:rPr>
              <w:t xml:space="preserve">Bilateral Pes </w:t>
            </w:r>
            <w:proofErr w:type="spellStart"/>
            <w:r>
              <w:rPr>
                <w:rFonts w:cs="Calibri"/>
                <w:color w:val="000000" w:themeColor="text1"/>
                <w:sz w:val="18"/>
                <w:szCs w:val="18"/>
              </w:rPr>
              <w:t>Planus</w:t>
            </w:r>
            <w:proofErr w:type="spellEnd"/>
            <w:r>
              <w:rPr>
                <w:rFonts w:cs="Calibri"/>
                <w:color w:val="000000" w:themeColor="text1"/>
                <w:sz w:val="18"/>
                <w:szCs w:val="18"/>
              </w:rPr>
              <w:t>, EPTS</w:t>
            </w:r>
          </w:p>
        </w:tc>
        <w:tc>
          <w:tcPr>
            <w:tcW w:w="1800" w:type="dxa"/>
            <w:gridSpan w:val="2"/>
            <w:tcBorders>
              <w:left w:val="single" w:sz="4" w:space="0" w:color="auto"/>
              <w:right w:val="thinThickThinSmallGap" w:sz="24" w:space="0" w:color="auto"/>
            </w:tcBorders>
            <w:shd w:val="clear" w:color="auto" w:fill="FFFFFF"/>
            <w:vAlign w:val="center"/>
          </w:tcPr>
          <w:p w:rsidR="00FF6BB0" w:rsidRDefault="00FF6BB0" w:rsidP="00235F91">
            <w:pPr>
              <w:spacing w:line="220" w:lineRule="exact"/>
            </w:pPr>
            <w:r w:rsidRPr="00355DFA">
              <w:rPr>
                <w:rFonts w:cs="Calibri"/>
                <w:color w:val="000000" w:themeColor="text1"/>
                <w:sz w:val="18"/>
                <w:szCs w:val="18"/>
              </w:rPr>
              <w:t>Not Unfitting</w:t>
            </w:r>
          </w:p>
        </w:tc>
        <w:tc>
          <w:tcPr>
            <w:tcW w:w="2610" w:type="dxa"/>
            <w:tcBorders>
              <w:left w:val="thinThickThinSmallGap" w:sz="24" w:space="0" w:color="auto"/>
              <w:right w:val="single" w:sz="4" w:space="0" w:color="auto"/>
            </w:tcBorders>
            <w:shd w:val="clear" w:color="auto" w:fill="FFFFFF"/>
            <w:vAlign w:val="center"/>
          </w:tcPr>
          <w:p w:rsidR="00FF6BB0" w:rsidRPr="001F29F9" w:rsidRDefault="00FF6BB0" w:rsidP="007111D6">
            <w:pPr>
              <w:spacing w:line="220" w:lineRule="exact"/>
              <w:contextualSpacing/>
              <w:jc w:val="left"/>
              <w:rPr>
                <w:rFonts w:cs="Calibri"/>
                <w:color w:val="000000" w:themeColor="text1"/>
                <w:sz w:val="18"/>
                <w:szCs w:val="18"/>
              </w:rPr>
            </w:pPr>
            <w:r>
              <w:rPr>
                <w:rFonts w:cs="Calibri"/>
                <w:color w:val="000000" w:themeColor="text1"/>
                <w:sz w:val="18"/>
                <w:szCs w:val="18"/>
              </w:rPr>
              <w:t xml:space="preserve">Bilateral Pes </w:t>
            </w:r>
            <w:proofErr w:type="spellStart"/>
            <w:r>
              <w:rPr>
                <w:rFonts w:cs="Calibri"/>
                <w:color w:val="000000" w:themeColor="text1"/>
                <w:sz w:val="18"/>
                <w:szCs w:val="18"/>
              </w:rPr>
              <w:t>Planus</w:t>
            </w:r>
            <w:proofErr w:type="spellEnd"/>
          </w:p>
        </w:tc>
        <w:tc>
          <w:tcPr>
            <w:tcW w:w="1080" w:type="dxa"/>
            <w:tcBorders>
              <w:left w:val="single" w:sz="4" w:space="0" w:color="auto"/>
            </w:tcBorders>
            <w:shd w:val="clear" w:color="auto" w:fill="FFFFFF"/>
            <w:vAlign w:val="center"/>
          </w:tcPr>
          <w:p w:rsidR="00FF6BB0" w:rsidRPr="001F29F9"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5276</w:t>
            </w:r>
          </w:p>
        </w:tc>
        <w:tc>
          <w:tcPr>
            <w:tcW w:w="720" w:type="dxa"/>
            <w:shd w:val="clear" w:color="auto" w:fill="FFFFFF"/>
            <w:vAlign w:val="center"/>
          </w:tcPr>
          <w:p w:rsidR="00FF6BB0" w:rsidRPr="001F29F9"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0%</w:t>
            </w:r>
          </w:p>
        </w:tc>
        <w:tc>
          <w:tcPr>
            <w:tcW w:w="960" w:type="dxa"/>
            <w:shd w:val="clear" w:color="auto" w:fill="FFFFFF"/>
            <w:vAlign w:val="center"/>
          </w:tcPr>
          <w:p w:rsidR="00FF6BB0" w:rsidRPr="001F29F9"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20060202</w:t>
            </w:r>
          </w:p>
        </w:tc>
      </w:tr>
      <w:tr w:rsidR="00FF6BB0" w:rsidRPr="000D5DBE" w:rsidTr="00235F91">
        <w:trPr>
          <w:trHeight w:val="97"/>
        </w:trPr>
        <w:tc>
          <w:tcPr>
            <w:tcW w:w="2178" w:type="dxa"/>
            <w:tcBorders>
              <w:right w:val="single" w:sz="4" w:space="0" w:color="auto"/>
            </w:tcBorders>
            <w:shd w:val="clear" w:color="auto" w:fill="FFFFFF"/>
            <w:vAlign w:val="center"/>
          </w:tcPr>
          <w:p w:rsidR="00FF6BB0" w:rsidRPr="001F29F9" w:rsidRDefault="00FF6BB0" w:rsidP="007111D6">
            <w:pPr>
              <w:spacing w:line="220" w:lineRule="exact"/>
              <w:contextualSpacing/>
              <w:jc w:val="left"/>
              <w:rPr>
                <w:rFonts w:cs="Calibri"/>
                <w:color w:val="000000" w:themeColor="text1"/>
                <w:sz w:val="18"/>
                <w:szCs w:val="18"/>
              </w:rPr>
            </w:pPr>
            <w:r>
              <w:rPr>
                <w:rFonts w:cs="Calibri"/>
                <w:color w:val="000000" w:themeColor="text1"/>
                <w:sz w:val="18"/>
                <w:szCs w:val="18"/>
              </w:rPr>
              <w:t>Headache</w:t>
            </w:r>
          </w:p>
        </w:tc>
        <w:tc>
          <w:tcPr>
            <w:tcW w:w="1800" w:type="dxa"/>
            <w:gridSpan w:val="2"/>
            <w:tcBorders>
              <w:left w:val="single" w:sz="4" w:space="0" w:color="auto"/>
              <w:right w:val="thinThickThinSmallGap" w:sz="24" w:space="0" w:color="auto"/>
            </w:tcBorders>
            <w:shd w:val="clear" w:color="auto" w:fill="FFFFFF"/>
            <w:vAlign w:val="center"/>
          </w:tcPr>
          <w:p w:rsidR="00FF6BB0" w:rsidRDefault="00FF6BB0" w:rsidP="00235F91">
            <w:pPr>
              <w:spacing w:line="220" w:lineRule="exact"/>
            </w:pPr>
            <w:r w:rsidRPr="00355DFA">
              <w:rPr>
                <w:rFonts w:cs="Calibri"/>
                <w:color w:val="000000" w:themeColor="text1"/>
                <w:sz w:val="18"/>
                <w:szCs w:val="18"/>
              </w:rPr>
              <w:t>Not Unfitting</w:t>
            </w:r>
          </w:p>
        </w:tc>
        <w:tc>
          <w:tcPr>
            <w:tcW w:w="2610" w:type="dxa"/>
            <w:tcBorders>
              <w:left w:val="thinThickThinSmallGap" w:sz="24" w:space="0" w:color="auto"/>
              <w:right w:val="single" w:sz="4" w:space="0" w:color="auto"/>
            </w:tcBorders>
            <w:shd w:val="clear" w:color="auto" w:fill="FFFFFF"/>
            <w:vAlign w:val="center"/>
          </w:tcPr>
          <w:p w:rsidR="00FF6BB0" w:rsidRPr="001F29F9" w:rsidRDefault="00FF6BB0" w:rsidP="007111D6">
            <w:pPr>
              <w:spacing w:line="220" w:lineRule="exact"/>
              <w:contextualSpacing/>
              <w:jc w:val="left"/>
              <w:rPr>
                <w:rFonts w:cs="Calibri"/>
                <w:color w:val="000000" w:themeColor="text1"/>
                <w:sz w:val="18"/>
                <w:szCs w:val="18"/>
              </w:rPr>
            </w:pPr>
            <w:r>
              <w:rPr>
                <w:rFonts w:cs="Calibri"/>
                <w:color w:val="000000" w:themeColor="text1"/>
                <w:sz w:val="18"/>
                <w:szCs w:val="18"/>
              </w:rPr>
              <w:t>Headaches</w:t>
            </w:r>
          </w:p>
        </w:tc>
        <w:tc>
          <w:tcPr>
            <w:tcW w:w="1080" w:type="dxa"/>
            <w:tcBorders>
              <w:left w:val="single" w:sz="4" w:space="0" w:color="auto"/>
            </w:tcBorders>
            <w:shd w:val="clear" w:color="auto" w:fill="FFFFFF"/>
            <w:vAlign w:val="center"/>
          </w:tcPr>
          <w:p w:rsidR="00FF6BB0" w:rsidRPr="001F29F9"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8199-8100</w:t>
            </w:r>
          </w:p>
        </w:tc>
        <w:tc>
          <w:tcPr>
            <w:tcW w:w="720" w:type="dxa"/>
            <w:shd w:val="clear" w:color="auto" w:fill="FFFFFF"/>
            <w:vAlign w:val="center"/>
          </w:tcPr>
          <w:p w:rsidR="00FF6BB0" w:rsidRPr="001F29F9"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0%</w:t>
            </w:r>
          </w:p>
        </w:tc>
        <w:tc>
          <w:tcPr>
            <w:tcW w:w="960" w:type="dxa"/>
            <w:shd w:val="clear" w:color="auto" w:fill="FFFFFF"/>
            <w:vAlign w:val="center"/>
          </w:tcPr>
          <w:p w:rsidR="00FF6BB0" w:rsidRPr="001F29F9"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20060202</w:t>
            </w:r>
          </w:p>
        </w:tc>
      </w:tr>
      <w:tr w:rsidR="00FF6BB0" w:rsidRPr="000D5DBE" w:rsidTr="00235F91">
        <w:trPr>
          <w:trHeight w:val="97"/>
        </w:trPr>
        <w:tc>
          <w:tcPr>
            <w:tcW w:w="2178" w:type="dxa"/>
            <w:tcBorders>
              <w:right w:val="single" w:sz="4" w:space="0" w:color="auto"/>
            </w:tcBorders>
            <w:shd w:val="clear" w:color="auto" w:fill="FFFFFF"/>
            <w:vAlign w:val="center"/>
          </w:tcPr>
          <w:p w:rsidR="00FF6BB0" w:rsidRPr="001F29F9" w:rsidRDefault="00FF6BB0" w:rsidP="007111D6">
            <w:pPr>
              <w:spacing w:line="220" w:lineRule="exact"/>
              <w:contextualSpacing/>
              <w:jc w:val="left"/>
              <w:rPr>
                <w:rFonts w:cs="Calibri"/>
                <w:color w:val="000000" w:themeColor="text1"/>
                <w:sz w:val="18"/>
                <w:szCs w:val="18"/>
              </w:rPr>
            </w:pPr>
            <w:r>
              <w:rPr>
                <w:rFonts w:cs="Calibri"/>
                <w:color w:val="000000" w:themeColor="text1"/>
                <w:sz w:val="18"/>
                <w:szCs w:val="18"/>
              </w:rPr>
              <w:t>Hypertension</w:t>
            </w:r>
          </w:p>
        </w:tc>
        <w:tc>
          <w:tcPr>
            <w:tcW w:w="1800" w:type="dxa"/>
            <w:gridSpan w:val="2"/>
            <w:tcBorders>
              <w:left w:val="single" w:sz="4" w:space="0" w:color="auto"/>
              <w:right w:val="thinThickThinSmallGap" w:sz="24" w:space="0" w:color="auto"/>
            </w:tcBorders>
            <w:shd w:val="clear" w:color="auto" w:fill="FFFFFF"/>
            <w:vAlign w:val="center"/>
          </w:tcPr>
          <w:p w:rsidR="00FF6BB0" w:rsidRDefault="00FF6BB0" w:rsidP="00235F91">
            <w:pPr>
              <w:spacing w:line="220" w:lineRule="exact"/>
            </w:pPr>
            <w:r w:rsidRPr="00355DFA">
              <w:rPr>
                <w:rFonts w:cs="Calibri"/>
                <w:color w:val="000000" w:themeColor="text1"/>
                <w:sz w:val="18"/>
                <w:szCs w:val="18"/>
              </w:rPr>
              <w:t>Not Unfitting</w:t>
            </w:r>
          </w:p>
        </w:tc>
        <w:tc>
          <w:tcPr>
            <w:tcW w:w="2610" w:type="dxa"/>
            <w:tcBorders>
              <w:left w:val="thinThickThinSmallGap" w:sz="24" w:space="0" w:color="auto"/>
              <w:right w:val="single" w:sz="4" w:space="0" w:color="auto"/>
            </w:tcBorders>
            <w:shd w:val="clear" w:color="auto" w:fill="FFFFFF"/>
            <w:vAlign w:val="center"/>
          </w:tcPr>
          <w:p w:rsidR="00FF6BB0" w:rsidRPr="001F29F9" w:rsidRDefault="00FF6BB0" w:rsidP="007111D6">
            <w:pPr>
              <w:spacing w:line="220" w:lineRule="exact"/>
              <w:contextualSpacing/>
              <w:jc w:val="left"/>
              <w:rPr>
                <w:rFonts w:cs="Calibri"/>
                <w:color w:val="000000" w:themeColor="text1"/>
                <w:sz w:val="18"/>
                <w:szCs w:val="18"/>
              </w:rPr>
            </w:pPr>
            <w:r>
              <w:rPr>
                <w:rFonts w:cs="Calibri"/>
                <w:color w:val="000000" w:themeColor="text1"/>
                <w:sz w:val="18"/>
                <w:szCs w:val="18"/>
              </w:rPr>
              <w:t>Hypertension</w:t>
            </w:r>
          </w:p>
        </w:tc>
        <w:tc>
          <w:tcPr>
            <w:tcW w:w="1080" w:type="dxa"/>
            <w:tcBorders>
              <w:left w:val="single" w:sz="4" w:space="0" w:color="auto"/>
            </w:tcBorders>
            <w:shd w:val="clear" w:color="auto" w:fill="FFFFFF"/>
            <w:vAlign w:val="center"/>
          </w:tcPr>
          <w:p w:rsidR="00FF6BB0" w:rsidRPr="001F29F9"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7101</w:t>
            </w:r>
          </w:p>
        </w:tc>
        <w:tc>
          <w:tcPr>
            <w:tcW w:w="720" w:type="dxa"/>
            <w:shd w:val="clear" w:color="auto" w:fill="FFFFFF"/>
            <w:vAlign w:val="center"/>
          </w:tcPr>
          <w:p w:rsidR="00FF6BB0" w:rsidRPr="001F29F9"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0%</w:t>
            </w:r>
          </w:p>
        </w:tc>
        <w:tc>
          <w:tcPr>
            <w:tcW w:w="960" w:type="dxa"/>
            <w:shd w:val="clear" w:color="auto" w:fill="FFFFFF"/>
            <w:vAlign w:val="center"/>
          </w:tcPr>
          <w:p w:rsidR="00FF6BB0" w:rsidRPr="001F29F9" w:rsidRDefault="00FF6BB0" w:rsidP="00FF6BB0">
            <w:pPr>
              <w:spacing w:line="220" w:lineRule="exact"/>
              <w:contextualSpacing/>
              <w:rPr>
                <w:rFonts w:cs="Calibri"/>
                <w:color w:val="000000" w:themeColor="text1"/>
                <w:sz w:val="18"/>
                <w:szCs w:val="18"/>
                <w:highlight w:val="yellow"/>
              </w:rPr>
            </w:pPr>
            <w:r>
              <w:rPr>
                <w:rFonts w:cs="Calibri"/>
                <w:color w:val="000000" w:themeColor="text1"/>
                <w:sz w:val="18"/>
                <w:szCs w:val="18"/>
              </w:rPr>
              <w:t>20060202</w:t>
            </w:r>
          </w:p>
        </w:tc>
      </w:tr>
      <w:tr w:rsidR="00FF6BB0" w:rsidRPr="000D5DBE" w:rsidTr="00235F91">
        <w:trPr>
          <w:trHeight w:val="97"/>
        </w:trPr>
        <w:tc>
          <w:tcPr>
            <w:tcW w:w="2178" w:type="dxa"/>
            <w:tcBorders>
              <w:right w:val="single" w:sz="4" w:space="0" w:color="auto"/>
            </w:tcBorders>
            <w:shd w:val="clear" w:color="auto" w:fill="FFFFFF"/>
            <w:vAlign w:val="center"/>
          </w:tcPr>
          <w:p w:rsidR="00FF6BB0" w:rsidRPr="001F29F9" w:rsidRDefault="00FF6BB0" w:rsidP="007111D6">
            <w:pPr>
              <w:spacing w:line="220" w:lineRule="exact"/>
              <w:contextualSpacing/>
              <w:jc w:val="left"/>
              <w:rPr>
                <w:rFonts w:cs="Calibri"/>
                <w:color w:val="000000" w:themeColor="text1"/>
                <w:sz w:val="18"/>
                <w:szCs w:val="18"/>
              </w:rPr>
            </w:pPr>
            <w:r>
              <w:rPr>
                <w:rFonts w:cs="Calibri"/>
                <w:color w:val="000000" w:themeColor="text1"/>
                <w:sz w:val="18"/>
                <w:szCs w:val="18"/>
              </w:rPr>
              <w:t>Right Tinnitus</w:t>
            </w:r>
          </w:p>
        </w:tc>
        <w:tc>
          <w:tcPr>
            <w:tcW w:w="1800" w:type="dxa"/>
            <w:gridSpan w:val="2"/>
            <w:tcBorders>
              <w:left w:val="single" w:sz="4" w:space="0" w:color="auto"/>
              <w:right w:val="thinThickThinSmallGap" w:sz="24" w:space="0" w:color="auto"/>
            </w:tcBorders>
            <w:shd w:val="clear" w:color="auto" w:fill="FFFFFF"/>
            <w:vAlign w:val="center"/>
          </w:tcPr>
          <w:p w:rsidR="00FF6BB0" w:rsidRDefault="00FF6BB0" w:rsidP="00235F91">
            <w:pPr>
              <w:spacing w:line="220" w:lineRule="exact"/>
            </w:pPr>
            <w:r w:rsidRPr="00355DFA">
              <w:rPr>
                <w:rFonts w:cs="Calibri"/>
                <w:color w:val="000000" w:themeColor="text1"/>
                <w:sz w:val="18"/>
                <w:szCs w:val="18"/>
              </w:rPr>
              <w:t>Not Unfitting</w:t>
            </w:r>
          </w:p>
        </w:tc>
        <w:tc>
          <w:tcPr>
            <w:tcW w:w="2610" w:type="dxa"/>
            <w:tcBorders>
              <w:left w:val="thinThickThinSmallGap" w:sz="24" w:space="0" w:color="auto"/>
              <w:right w:val="single" w:sz="4" w:space="0" w:color="auto"/>
            </w:tcBorders>
            <w:shd w:val="clear" w:color="auto" w:fill="FFFFFF"/>
            <w:vAlign w:val="center"/>
          </w:tcPr>
          <w:p w:rsidR="00FF6BB0" w:rsidRPr="001F29F9" w:rsidRDefault="00FF6BB0" w:rsidP="007111D6">
            <w:pPr>
              <w:spacing w:line="220" w:lineRule="exact"/>
              <w:contextualSpacing/>
              <w:jc w:val="left"/>
              <w:rPr>
                <w:rFonts w:cs="Calibri"/>
                <w:color w:val="000000" w:themeColor="text1"/>
                <w:sz w:val="18"/>
                <w:szCs w:val="18"/>
              </w:rPr>
            </w:pPr>
            <w:r>
              <w:rPr>
                <w:rFonts w:cs="Calibri"/>
                <w:color w:val="000000" w:themeColor="text1"/>
                <w:sz w:val="18"/>
                <w:szCs w:val="18"/>
              </w:rPr>
              <w:t>Tinnitus (Right)</w:t>
            </w:r>
          </w:p>
        </w:tc>
        <w:tc>
          <w:tcPr>
            <w:tcW w:w="1080" w:type="dxa"/>
            <w:tcBorders>
              <w:left w:val="single" w:sz="4" w:space="0" w:color="auto"/>
            </w:tcBorders>
            <w:shd w:val="clear" w:color="auto" w:fill="FFFFFF"/>
            <w:vAlign w:val="center"/>
          </w:tcPr>
          <w:p w:rsidR="00FF6BB0" w:rsidRPr="001F29F9"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6260</w:t>
            </w:r>
          </w:p>
        </w:tc>
        <w:tc>
          <w:tcPr>
            <w:tcW w:w="720" w:type="dxa"/>
            <w:shd w:val="clear" w:color="auto" w:fill="FFFFFF"/>
            <w:vAlign w:val="center"/>
          </w:tcPr>
          <w:p w:rsidR="00FF6BB0" w:rsidRPr="001F29F9" w:rsidRDefault="00FF6BB0" w:rsidP="00FF6BB0">
            <w:pPr>
              <w:spacing w:line="220" w:lineRule="exact"/>
              <w:contextualSpacing/>
              <w:rPr>
                <w:rFonts w:cs="Calibri"/>
                <w:color w:val="000000" w:themeColor="text1"/>
                <w:sz w:val="18"/>
                <w:szCs w:val="18"/>
              </w:rPr>
            </w:pPr>
            <w:r>
              <w:rPr>
                <w:rFonts w:cs="Calibri"/>
                <w:color w:val="000000" w:themeColor="text1"/>
                <w:sz w:val="18"/>
                <w:szCs w:val="18"/>
              </w:rPr>
              <w:t>10%</w:t>
            </w:r>
          </w:p>
        </w:tc>
        <w:tc>
          <w:tcPr>
            <w:tcW w:w="960" w:type="dxa"/>
            <w:shd w:val="clear" w:color="auto" w:fill="FFFFFF"/>
            <w:vAlign w:val="center"/>
          </w:tcPr>
          <w:p w:rsidR="00FF6BB0" w:rsidRPr="001F29F9" w:rsidRDefault="00FF6BB0" w:rsidP="00FF6BB0">
            <w:pPr>
              <w:spacing w:line="220" w:lineRule="exact"/>
              <w:contextualSpacing/>
              <w:rPr>
                <w:rFonts w:cs="Calibri"/>
                <w:color w:val="000000" w:themeColor="text1"/>
                <w:sz w:val="18"/>
                <w:szCs w:val="18"/>
                <w:highlight w:val="yellow"/>
              </w:rPr>
            </w:pPr>
            <w:r w:rsidRPr="00810B3E">
              <w:rPr>
                <w:rFonts w:cs="Calibri"/>
                <w:color w:val="000000" w:themeColor="text1"/>
                <w:sz w:val="18"/>
                <w:szCs w:val="18"/>
              </w:rPr>
              <w:t>20060201</w:t>
            </w:r>
          </w:p>
        </w:tc>
      </w:tr>
      <w:tr w:rsidR="00AD2379" w:rsidRPr="000D5DBE" w:rsidTr="00FF6BB0">
        <w:trPr>
          <w:trHeight w:val="172"/>
        </w:trPr>
        <w:tc>
          <w:tcPr>
            <w:tcW w:w="3978" w:type="dxa"/>
            <w:gridSpan w:val="3"/>
            <w:tcBorders>
              <w:right w:val="thinThickThinSmallGap" w:sz="24" w:space="0" w:color="auto"/>
            </w:tcBorders>
            <w:shd w:val="clear" w:color="auto" w:fill="FFFFFF"/>
            <w:vAlign w:val="center"/>
          </w:tcPr>
          <w:p w:rsidR="00AD2379" w:rsidRPr="001F29F9" w:rsidRDefault="00AD2379" w:rsidP="00FF6BB0">
            <w:pPr>
              <w:spacing w:line="220" w:lineRule="exact"/>
              <w:contextualSpacing/>
              <w:rPr>
                <w:rFonts w:cs="Calibri"/>
                <w:color w:val="000000"/>
                <w:sz w:val="18"/>
              </w:rPr>
            </w:pPr>
            <w:r w:rsidRPr="000D5DBE">
              <w:rPr>
                <w:color w:val="000000"/>
                <w:sz w:val="18"/>
              </w:rPr>
              <w:t>No Additional MEB/PEB Entries</w:t>
            </w:r>
          </w:p>
        </w:tc>
        <w:tc>
          <w:tcPr>
            <w:tcW w:w="4410" w:type="dxa"/>
            <w:gridSpan w:val="3"/>
            <w:tcBorders>
              <w:left w:val="thinThickThinSmallGap" w:sz="24" w:space="0" w:color="auto"/>
            </w:tcBorders>
            <w:shd w:val="clear" w:color="auto" w:fill="FFFFFF"/>
            <w:vAlign w:val="center"/>
          </w:tcPr>
          <w:p w:rsidR="00AD2379" w:rsidRPr="001F29F9" w:rsidRDefault="009A1AE3" w:rsidP="00FF6BB0">
            <w:pPr>
              <w:spacing w:line="220" w:lineRule="exact"/>
              <w:contextualSpacing/>
              <w:rPr>
                <w:rFonts w:cs="Calibri"/>
                <w:color w:val="000000"/>
                <w:sz w:val="18"/>
              </w:rPr>
            </w:pPr>
            <w:r>
              <w:rPr>
                <w:color w:val="000000"/>
                <w:sz w:val="18"/>
              </w:rPr>
              <w:t>Not Service-</w:t>
            </w:r>
            <w:r w:rsidR="00AD2379" w:rsidRPr="000D5DBE">
              <w:rPr>
                <w:color w:val="000000"/>
                <w:sz w:val="18"/>
              </w:rPr>
              <w:t xml:space="preserve">Connected x </w:t>
            </w:r>
            <w:r w:rsidR="00FF6BB0">
              <w:rPr>
                <w:color w:val="000000"/>
                <w:sz w:val="18"/>
              </w:rPr>
              <w:t>1 Additional</w:t>
            </w:r>
          </w:p>
        </w:tc>
        <w:tc>
          <w:tcPr>
            <w:tcW w:w="960" w:type="dxa"/>
            <w:shd w:val="clear" w:color="auto" w:fill="FFFFFF"/>
            <w:vAlign w:val="center"/>
          </w:tcPr>
          <w:p w:rsidR="00AD2379" w:rsidRPr="001F29F9" w:rsidRDefault="00FF6BB0" w:rsidP="00FF6BB0">
            <w:pPr>
              <w:spacing w:line="220" w:lineRule="exact"/>
              <w:contextualSpacing/>
              <w:rPr>
                <w:rFonts w:cs="Calibri"/>
                <w:color w:val="000000"/>
                <w:sz w:val="18"/>
              </w:rPr>
            </w:pPr>
            <w:r w:rsidRPr="00810B3E">
              <w:rPr>
                <w:rFonts w:cs="Calibri"/>
                <w:color w:val="000000" w:themeColor="text1"/>
                <w:sz w:val="18"/>
                <w:szCs w:val="18"/>
              </w:rPr>
              <w:t>2006020</w:t>
            </w:r>
            <w:r>
              <w:rPr>
                <w:rFonts w:cs="Calibri"/>
                <w:color w:val="000000" w:themeColor="text1"/>
                <w:sz w:val="18"/>
                <w:szCs w:val="18"/>
              </w:rPr>
              <w:t>2</w:t>
            </w:r>
          </w:p>
        </w:tc>
      </w:tr>
      <w:tr w:rsidR="00AD2379" w:rsidRPr="000D5DBE" w:rsidTr="00FF6BB0">
        <w:trPr>
          <w:trHeight w:val="124"/>
        </w:trPr>
        <w:tc>
          <w:tcPr>
            <w:tcW w:w="3978" w:type="dxa"/>
            <w:gridSpan w:val="3"/>
            <w:tcBorders>
              <w:right w:val="thinThickThinSmallGap" w:sz="24" w:space="0" w:color="auto"/>
            </w:tcBorders>
            <w:shd w:val="clear" w:color="auto" w:fill="D9D9D9"/>
            <w:vAlign w:val="center"/>
          </w:tcPr>
          <w:p w:rsidR="00AD2379" w:rsidRPr="000D5DBE" w:rsidRDefault="00FF6BB0" w:rsidP="00FF6BB0">
            <w:pPr>
              <w:contextualSpacing/>
              <w:rPr>
                <w:rFonts w:cs="Calibri"/>
                <w:b/>
                <w:color w:val="000000"/>
                <w:sz w:val="18"/>
              </w:rPr>
            </w:pPr>
            <w:r>
              <w:rPr>
                <w:b/>
                <w:color w:val="000000"/>
                <w:sz w:val="18"/>
              </w:rPr>
              <w:t>Combined:  1</w:t>
            </w:r>
            <w:r w:rsidR="00AD2379" w:rsidRPr="000D5DBE">
              <w:rPr>
                <w:b/>
                <w:color w:val="000000"/>
                <w:sz w:val="18"/>
              </w:rPr>
              <w:t>0%</w:t>
            </w:r>
          </w:p>
        </w:tc>
        <w:tc>
          <w:tcPr>
            <w:tcW w:w="5370" w:type="dxa"/>
            <w:gridSpan w:val="4"/>
            <w:tcBorders>
              <w:left w:val="thinThickThinSmallGap" w:sz="24" w:space="0" w:color="auto"/>
            </w:tcBorders>
            <w:shd w:val="clear" w:color="auto" w:fill="D9D9D9"/>
            <w:vAlign w:val="center"/>
          </w:tcPr>
          <w:p w:rsidR="00AD2379" w:rsidRPr="000D5DBE" w:rsidRDefault="00FF6BB0" w:rsidP="00FF6BB0">
            <w:pPr>
              <w:contextualSpacing/>
              <w:rPr>
                <w:rFonts w:cs="Calibri"/>
                <w:b/>
                <w:color w:val="000000"/>
                <w:sz w:val="18"/>
              </w:rPr>
            </w:pPr>
            <w:r>
              <w:rPr>
                <w:b/>
                <w:color w:val="000000"/>
                <w:sz w:val="18"/>
              </w:rPr>
              <w:t>Combined:  7</w:t>
            </w:r>
            <w:r w:rsidR="00AD2379" w:rsidRPr="000D5DBE">
              <w:rPr>
                <w:b/>
                <w:color w:val="000000"/>
                <w:sz w:val="18"/>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56207E" w:rsidRDefault="0056207E">
      <w:pPr>
        <w:spacing w:line="240" w:lineRule="auto"/>
        <w:jc w:val="left"/>
        <w:rPr>
          <w:color w:val="000000"/>
          <w:u w:val="single"/>
        </w:rPr>
      </w:pPr>
      <w:r>
        <w:rPr>
          <w:color w:val="000000"/>
          <w:u w:val="single"/>
        </w:rPr>
        <w:br w:type="page"/>
      </w:r>
    </w:p>
    <w:p w:rsidR="00AD2379" w:rsidRPr="00726F84" w:rsidRDefault="00AD2379" w:rsidP="00726F84">
      <w:pPr>
        <w:jc w:val="both"/>
        <w:rPr>
          <w:color w:val="000000"/>
        </w:rPr>
      </w:pPr>
      <w:r w:rsidRPr="001F29F9">
        <w:rPr>
          <w:color w:val="000000"/>
          <w:u w:val="single"/>
        </w:rPr>
        <w:lastRenderedPageBreak/>
        <w:t>ANALYSIS SUMMARY</w:t>
      </w:r>
      <w:r w:rsidRPr="001F29F9">
        <w:rPr>
          <w:color w:val="000000"/>
        </w:rPr>
        <w:t>:</w:t>
      </w:r>
      <w:r>
        <w:rPr>
          <w:color w:val="000000"/>
        </w:rPr>
        <w:t xml:space="preserve"> </w:t>
      </w:r>
    </w:p>
    <w:p w:rsidR="00AD2379" w:rsidRPr="001F29F9" w:rsidRDefault="00AD2379" w:rsidP="00B22D42">
      <w:pPr>
        <w:jc w:val="both"/>
        <w:rPr>
          <w:color w:val="000000"/>
          <w:highlight w:val="yellow"/>
        </w:rPr>
      </w:pPr>
    </w:p>
    <w:p w:rsidR="0069687C" w:rsidRPr="00D03C03" w:rsidRDefault="0076235B" w:rsidP="0069687C">
      <w:pPr>
        <w:jc w:val="both"/>
        <w:rPr>
          <w:color w:val="000000"/>
        </w:rPr>
      </w:pPr>
      <w:proofErr w:type="gramStart"/>
      <w:r>
        <w:rPr>
          <w:color w:val="000000"/>
          <w:u w:val="single"/>
        </w:rPr>
        <w:t>Cervical Spine</w:t>
      </w:r>
      <w:r w:rsidR="00AD2379" w:rsidRPr="009A7578">
        <w:rPr>
          <w:color w:val="000000"/>
          <w:u w:val="single"/>
        </w:rPr>
        <w:t xml:space="preserve"> Condition</w:t>
      </w:r>
      <w:r w:rsidR="00AD2379" w:rsidRPr="009A7578">
        <w:rPr>
          <w:color w:val="000000"/>
        </w:rPr>
        <w:t>.</w:t>
      </w:r>
      <w:proofErr w:type="gramEnd"/>
      <w:r w:rsidR="00AD2379" w:rsidRPr="009A7578">
        <w:rPr>
          <w:color w:val="000000"/>
        </w:rPr>
        <w:t xml:space="preserve"> </w:t>
      </w:r>
      <w:r w:rsidR="00385708">
        <w:rPr>
          <w:color w:val="000000"/>
        </w:rPr>
        <w:t xml:space="preserve"> The </w:t>
      </w:r>
      <w:r w:rsidR="0056207E">
        <w:rPr>
          <w:color w:val="000000"/>
        </w:rPr>
        <w:t xml:space="preserve">mechanism of injury and exact timing of the </w:t>
      </w:r>
      <w:r w:rsidR="00545C4F">
        <w:rPr>
          <w:color w:val="000000"/>
        </w:rPr>
        <w:t>CI</w:t>
      </w:r>
      <w:r w:rsidR="0056207E">
        <w:rPr>
          <w:color w:val="000000"/>
        </w:rPr>
        <w:t xml:space="preserve">’s original injury is not well specified in the narrative summary (NARSUM), but </w:t>
      </w:r>
      <w:r w:rsidR="00AC1426">
        <w:rPr>
          <w:color w:val="000000"/>
        </w:rPr>
        <w:t>a profiling physician’s report in 2005 stated</w:t>
      </w:r>
      <w:r w:rsidR="00545C4F">
        <w:rPr>
          <w:color w:val="000000"/>
        </w:rPr>
        <w:t xml:space="preserve"> </w:t>
      </w:r>
      <w:r w:rsidR="00AC1426">
        <w:rPr>
          <w:color w:val="000000"/>
        </w:rPr>
        <w:t xml:space="preserve">that he had fallen </w:t>
      </w:r>
      <w:r w:rsidR="009A1AE3">
        <w:rPr>
          <w:color w:val="000000"/>
        </w:rPr>
        <w:t>2</w:t>
      </w:r>
      <w:r w:rsidR="00AC1426">
        <w:rPr>
          <w:color w:val="000000"/>
        </w:rPr>
        <w:t xml:space="preserve"> years earlier </w:t>
      </w:r>
      <w:r w:rsidR="00545C4F">
        <w:rPr>
          <w:color w:val="000000"/>
        </w:rPr>
        <w:t xml:space="preserve">doing a fireman carry of a fellow </w:t>
      </w:r>
      <w:r w:rsidR="00AC1426">
        <w:rPr>
          <w:color w:val="000000"/>
        </w:rPr>
        <w:t xml:space="preserve">soldier.  He suffered persistent neck and upper back pain associated with intermittent bilateral hand </w:t>
      </w:r>
      <w:proofErr w:type="spellStart"/>
      <w:r w:rsidR="00AC1426">
        <w:rPr>
          <w:color w:val="000000"/>
        </w:rPr>
        <w:t>paresthesias</w:t>
      </w:r>
      <w:proofErr w:type="spellEnd"/>
      <w:r w:rsidR="00AC1426">
        <w:rPr>
          <w:color w:val="000000"/>
        </w:rPr>
        <w:t xml:space="preserve">.  Although some entries </w:t>
      </w:r>
      <w:r w:rsidR="00897E2A">
        <w:rPr>
          <w:color w:val="000000"/>
        </w:rPr>
        <w:t xml:space="preserve">in the </w:t>
      </w:r>
      <w:r w:rsidR="009A1AE3">
        <w:rPr>
          <w:color w:val="000000"/>
        </w:rPr>
        <w:t>s</w:t>
      </w:r>
      <w:r w:rsidR="00216BD1">
        <w:rPr>
          <w:color w:val="000000"/>
        </w:rPr>
        <w:t>ervice treatment</w:t>
      </w:r>
      <w:r w:rsidR="00AC1426">
        <w:rPr>
          <w:color w:val="000000"/>
        </w:rPr>
        <w:t xml:space="preserve"> record </w:t>
      </w:r>
      <w:r w:rsidR="00216BD1">
        <w:rPr>
          <w:color w:val="000000"/>
        </w:rPr>
        <w:t xml:space="preserve">(STR) </w:t>
      </w:r>
      <w:r w:rsidR="00AC1426">
        <w:rPr>
          <w:color w:val="000000"/>
        </w:rPr>
        <w:t xml:space="preserve">refer to herniated discs, </w:t>
      </w:r>
      <w:r w:rsidR="00897E2A">
        <w:rPr>
          <w:color w:val="000000"/>
        </w:rPr>
        <w:t>a</w:t>
      </w:r>
      <w:r w:rsidR="00AC1426">
        <w:rPr>
          <w:color w:val="000000"/>
        </w:rPr>
        <w:t xml:space="preserve"> magnetic resonance imaging (MRI) report (dated </w:t>
      </w:r>
      <w:r w:rsidR="009A1AE3">
        <w:rPr>
          <w:color w:val="000000"/>
        </w:rPr>
        <w:t xml:space="preserve">15 May </w:t>
      </w:r>
      <w:r w:rsidR="00AC1426">
        <w:rPr>
          <w:color w:val="000000"/>
        </w:rPr>
        <w:t>2005</w:t>
      </w:r>
      <w:r w:rsidR="00897E2A">
        <w:rPr>
          <w:color w:val="000000"/>
        </w:rPr>
        <w:t>,</w:t>
      </w:r>
      <w:r w:rsidR="00AC1426">
        <w:rPr>
          <w:color w:val="000000"/>
        </w:rPr>
        <w:t xml:space="preserve"> and </w:t>
      </w:r>
      <w:r w:rsidR="00897E2A">
        <w:rPr>
          <w:color w:val="000000"/>
        </w:rPr>
        <w:t xml:space="preserve">is </w:t>
      </w:r>
      <w:r w:rsidR="00AC1426">
        <w:rPr>
          <w:color w:val="000000"/>
        </w:rPr>
        <w:t xml:space="preserve">the only MRI in evidence) described “very mild” DDD from C4 to C7 </w:t>
      </w:r>
      <w:r w:rsidR="00623B28">
        <w:rPr>
          <w:color w:val="000000"/>
        </w:rPr>
        <w:t>with “minimal” associated central canal st</w:t>
      </w:r>
      <w:r w:rsidR="00897E2A">
        <w:rPr>
          <w:color w:val="000000"/>
        </w:rPr>
        <w:t>enosis and foraminal narrowing at C5/6</w:t>
      </w:r>
      <w:r w:rsidR="00623B28">
        <w:rPr>
          <w:color w:val="000000"/>
        </w:rPr>
        <w:t xml:space="preserve">.  </w:t>
      </w:r>
      <w:r w:rsidR="00D03C03">
        <w:rPr>
          <w:color w:val="000000"/>
        </w:rPr>
        <w:t>The condition was not amendable to neurosurgery</w:t>
      </w:r>
      <w:r w:rsidR="00897E2A">
        <w:rPr>
          <w:color w:val="000000"/>
        </w:rPr>
        <w:t>,</w:t>
      </w:r>
      <w:r w:rsidR="00D03C03">
        <w:rPr>
          <w:color w:val="000000"/>
        </w:rPr>
        <w:t xml:space="preserve"> and did not respond to epidural steroid injection</w:t>
      </w:r>
      <w:r w:rsidR="00897E2A">
        <w:rPr>
          <w:color w:val="000000"/>
        </w:rPr>
        <w:t>s</w:t>
      </w:r>
      <w:r w:rsidR="00D03C03">
        <w:rPr>
          <w:color w:val="000000"/>
        </w:rPr>
        <w:t xml:space="preserve">.  </w:t>
      </w:r>
      <w:r w:rsidR="00623B28">
        <w:rPr>
          <w:color w:val="000000"/>
        </w:rPr>
        <w:t>The sensory symptoms were confirmed by electrodiagnostic</w:t>
      </w:r>
      <w:r w:rsidR="00D03C03">
        <w:rPr>
          <w:color w:val="000000"/>
        </w:rPr>
        <w:t xml:space="preserve"> studies</w:t>
      </w:r>
      <w:r w:rsidR="00623B28">
        <w:rPr>
          <w:color w:val="000000"/>
        </w:rPr>
        <w:t xml:space="preserve"> to be of </w:t>
      </w:r>
      <w:proofErr w:type="spellStart"/>
      <w:r w:rsidR="00623B28">
        <w:rPr>
          <w:color w:val="000000"/>
        </w:rPr>
        <w:t>ulnar</w:t>
      </w:r>
      <w:proofErr w:type="spellEnd"/>
      <w:r w:rsidR="00623B28">
        <w:rPr>
          <w:color w:val="000000"/>
        </w:rPr>
        <w:t xml:space="preserve"> nerve origin </w:t>
      </w:r>
      <w:r w:rsidR="00897E2A">
        <w:rPr>
          <w:color w:val="000000"/>
        </w:rPr>
        <w:t>(</w:t>
      </w:r>
      <w:proofErr w:type="spellStart"/>
      <w:r w:rsidR="00897E2A">
        <w:rPr>
          <w:color w:val="000000"/>
        </w:rPr>
        <w:t>cubital</w:t>
      </w:r>
      <w:proofErr w:type="spellEnd"/>
      <w:r w:rsidR="00897E2A">
        <w:rPr>
          <w:color w:val="000000"/>
        </w:rPr>
        <w:t xml:space="preserve"> tunnel syndrome) </w:t>
      </w:r>
      <w:r w:rsidR="00623B28">
        <w:rPr>
          <w:color w:val="000000"/>
        </w:rPr>
        <w:t xml:space="preserve">unrelated to </w:t>
      </w:r>
      <w:r w:rsidR="00D03C03">
        <w:rPr>
          <w:color w:val="000000"/>
        </w:rPr>
        <w:t xml:space="preserve">spinal disease.  </w:t>
      </w:r>
      <w:r w:rsidR="0069687C" w:rsidRPr="00B652C3">
        <w:rPr>
          <w:color w:val="000000"/>
          <w:szCs w:val="24"/>
        </w:rPr>
        <w:t xml:space="preserve">There were </w:t>
      </w:r>
      <w:r w:rsidR="00D03C03">
        <w:rPr>
          <w:color w:val="000000"/>
          <w:szCs w:val="24"/>
        </w:rPr>
        <w:t>two</w:t>
      </w:r>
      <w:r w:rsidR="009A1AE3">
        <w:rPr>
          <w:color w:val="000000"/>
          <w:szCs w:val="24"/>
        </w:rPr>
        <w:t xml:space="preserve"> goniometric range-of-</w:t>
      </w:r>
      <w:r w:rsidR="0069687C" w:rsidRPr="00B652C3">
        <w:rPr>
          <w:color w:val="000000"/>
          <w:szCs w:val="24"/>
        </w:rPr>
        <w:t>motion (ROM) evaluations in evidence, with documentation of additional ratable criteria, which the Board weighed in arriving at its rating recommendation; as summarized in the chart below.</w:t>
      </w:r>
    </w:p>
    <w:p w:rsidR="00CF0280" w:rsidRDefault="00CF0280" w:rsidP="0069687C">
      <w:pPr>
        <w:jc w:val="both"/>
        <w:rPr>
          <w:color w:val="000000"/>
          <w:szCs w:val="24"/>
        </w:rPr>
      </w:pPr>
    </w:p>
    <w:tbl>
      <w:tblPr>
        <w:tblW w:w="6775" w:type="dxa"/>
        <w:jc w:val="center"/>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6"/>
        <w:gridCol w:w="2184"/>
        <w:gridCol w:w="2495"/>
      </w:tblGrid>
      <w:tr w:rsidR="00682685" w:rsidRPr="00682685" w:rsidTr="00235F91">
        <w:trPr>
          <w:jc w:val="center"/>
        </w:trPr>
        <w:tc>
          <w:tcPr>
            <w:tcW w:w="2096" w:type="dxa"/>
            <w:shd w:val="clear" w:color="auto" w:fill="D9D9D9"/>
            <w:vAlign w:val="center"/>
          </w:tcPr>
          <w:p w:rsidR="00682685" w:rsidRPr="00682685" w:rsidRDefault="00682685" w:rsidP="00682685">
            <w:pPr>
              <w:contextualSpacing/>
              <w:rPr>
                <w:rFonts w:cs="Times New Roman"/>
                <w:color w:val="auto"/>
                <w:sz w:val="22"/>
              </w:rPr>
            </w:pPr>
            <w:r>
              <w:rPr>
                <w:rFonts w:cs="Times New Roman"/>
                <w:color w:val="auto"/>
                <w:sz w:val="22"/>
              </w:rPr>
              <w:t>Cervical</w:t>
            </w:r>
            <w:r w:rsidRPr="00682685">
              <w:rPr>
                <w:rFonts w:cs="Times New Roman"/>
                <w:color w:val="auto"/>
                <w:sz w:val="22"/>
              </w:rPr>
              <w:t xml:space="preserve"> ROM</w:t>
            </w:r>
          </w:p>
        </w:tc>
        <w:tc>
          <w:tcPr>
            <w:tcW w:w="2184" w:type="dxa"/>
            <w:shd w:val="clear" w:color="auto" w:fill="D9D9D9"/>
            <w:vAlign w:val="center"/>
          </w:tcPr>
          <w:p w:rsidR="00682685" w:rsidRPr="00682685" w:rsidRDefault="00682685" w:rsidP="00682685">
            <w:pPr>
              <w:contextualSpacing/>
              <w:rPr>
                <w:rFonts w:cs="Times New Roman"/>
                <w:color w:val="auto"/>
                <w:sz w:val="22"/>
              </w:rPr>
            </w:pPr>
            <w:r>
              <w:rPr>
                <w:rFonts w:cs="Times New Roman"/>
                <w:color w:val="auto"/>
                <w:sz w:val="22"/>
              </w:rPr>
              <w:t>MEB ~5</w:t>
            </w:r>
            <w:r w:rsidRPr="00682685">
              <w:rPr>
                <w:rFonts w:cs="Times New Roman"/>
                <w:color w:val="auto"/>
                <w:sz w:val="22"/>
              </w:rPr>
              <w:t xml:space="preserve"> Mo. Pre-Sep</w:t>
            </w:r>
          </w:p>
        </w:tc>
        <w:tc>
          <w:tcPr>
            <w:tcW w:w="2495" w:type="dxa"/>
            <w:shd w:val="clear" w:color="auto" w:fill="D9D9D9"/>
            <w:vAlign w:val="center"/>
          </w:tcPr>
          <w:p w:rsidR="00682685" w:rsidRPr="00682685" w:rsidRDefault="00682685" w:rsidP="00682685">
            <w:pPr>
              <w:contextualSpacing/>
              <w:rPr>
                <w:rFonts w:cs="Times New Roman"/>
                <w:color w:val="auto"/>
                <w:sz w:val="22"/>
              </w:rPr>
            </w:pPr>
            <w:r>
              <w:rPr>
                <w:rFonts w:cs="Times New Roman"/>
                <w:color w:val="auto"/>
                <w:sz w:val="22"/>
              </w:rPr>
              <w:t>VA C&amp;P ~2</w:t>
            </w:r>
            <w:r w:rsidRPr="00682685">
              <w:rPr>
                <w:rFonts w:cs="Times New Roman"/>
                <w:color w:val="auto"/>
                <w:sz w:val="22"/>
              </w:rPr>
              <w:t xml:space="preserve"> Mo. Post-Sep</w:t>
            </w:r>
          </w:p>
        </w:tc>
      </w:tr>
      <w:tr w:rsidR="00682685" w:rsidRPr="00682685" w:rsidTr="00235F91">
        <w:trPr>
          <w:jc w:val="center"/>
        </w:trPr>
        <w:tc>
          <w:tcPr>
            <w:tcW w:w="2096" w:type="dxa"/>
            <w:vAlign w:val="center"/>
          </w:tcPr>
          <w:p w:rsidR="00682685" w:rsidRPr="00682685" w:rsidRDefault="00682685" w:rsidP="00682685">
            <w:pPr>
              <w:contextualSpacing/>
              <w:rPr>
                <w:rFonts w:cs="Times New Roman"/>
                <w:color w:val="auto"/>
                <w:sz w:val="22"/>
              </w:rPr>
            </w:pPr>
            <w:r>
              <w:rPr>
                <w:rFonts w:cs="Times New Roman"/>
                <w:color w:val="auto"/>
                <w:sz w:val="22"/>
              </w:rPr>
              <w:t>Flexion (45</w:t>
            </w:r>
            <w:r w:rsidRPr="00682685">
              <w:rPr>
                <w:rFonts w:cs="Times New Roman"/>
                <w:color w:val="auto"/>
                <w:sz w:val="22"/>
              </w:rPr>
              <w:t>⁰ Normal)</w:t>
            </w:r>
          </w:p>
        </w:tc>
        <w:tc>
          <w:tcPr>
            <w:tcW w:w="2184" w:type="dxa"/>
            <w:vAlign w:val="center"/>
          </w:tcPr>
          <w:p w:rsidR="00682685" w:rsidRPr="00682685" w:rsidRDefault="00682685" w:rsidP="00682685">
            <w:pPr>
              <w:contextualSpacing/>
              <w:rPr>
                <w:rFonts w:cs="Times New Roman"/>
                <w:color w:val="auto"/>
                <w:sz w:val="22"/>
              </w:rPr>
            </w:pPr>
            <w:r>
              <w:rPr>
                <w:rFonts w:cs="Times New Roman"/>
                <w:color w:val="auto"/>
                <w:sz w:val="22"/>
              </w:rPr>
              <w:t>55</w:t>
            </w:r>
            <w:r w:rsidRPr="00682685">
              <w:rPr>
                <w:rFonts w:cs="Times New Roman"/>
                <w:color w:val="auto"/>
                <w:sz w:val="22"/>
              </w:rPr>
              <w:t>⁰</w:t>
            </w:r>
          </w:p>
        </w:tc>
        <w:tc>
          <w:tcPr>
            <w:tcW w:w="2495" w:type="dxa"/>
            <w:vAlign w:val="center"/>
          </w:tcPr>
          <w:p w:rsidR="00682685" w:rsidRPr="00682685" w:rsidRDefault="00682685" w:rsidP="00682685">
            <w:pPr>
              <w:contextualSpacing/>
              <w:rPr>
                <w:rFonts w:cs="Times New Roman"/>
                <w:color w:val="auto"/>
                <w:sz w:val="22"/>
              </w:rPr>
            </w:pPr>
            <w:r>
              <w:rPr>
                <w:rFonts w:cs="Times New Roman"/>
                <w:color w:val="auto"/>
                <w:sz w:val="22"/>
              </w:rPr>
              <w:t>45</w:t>
            </w:r>
            <w:r w:rsidRPr="00682685">
              <w:rPr>
                <w:rFonts w:cs="Times New Roman"/>
                <w:color w:val="auto"/>
                <w:sz w:val="22"/>
              </w:rPr>
              <w:t>⁰</w:t>
            </w:r>
          </w:p>
        </w:tc>
      </w:tr>
      <w:tr w:rsidR="00682685" w:rsidRPr="00682685" w:rsidTr="00235F91">
        <w:trPr>
          <w:jc w:val="center"/>
        </w:trPr>
        <w:tc>
          <w:tcPr>
            <w:tcW w:w="2096" w:type="dxa"/>
            <w:vAlign w:val="center"/>
          </w:tcPr>
          <w:p w:rsidR="00682685" w:rsidRPr="00682685" w:rsidRDefault="00682685" w:rsidP="00682685">
            <w:pPr>
              <w:contextualSpacing/>
              <w:rPr>
                <w:rFonts w:cs="Times New Roman"/>
                <w:color w:val="auto"/>
                <w:sz w:val="22"/>
              </w:rPr>
            </w:pPr>
            <w:r>
              <w:rPr>
                <w:rFonts w:cs="Times New Roman"/>
                <w:color w:val="auto"/>
                <w:sz w:val="22"/>
              </w:rPr>
              <w:t>Combined (3</w:t>
            </w:r>
            <w:r w:rsidRPr="00682685">
              <w:rPr>
                <w:rFonts w:cs="Times New Roman"/>
                <w:color w:val="auto"/>
                <w:sz w:val="22"/>
              </w:rPr>
              <w:t>40⁰)</w:t>
            </w:r>
          </w:p>
        </w:tc>
        <w:tc>
          <w:tcPr>
            <w:tcW w:w="2184" w:type="dxa"/>
            <w:vAlign w:val="center"/>
          </w:tcPr>
          <w:p w:rsidR="00682685" w:rsidRPr="00682685" w:rsidRDefault="00682685" w:rsidP="00682685">
            <w:pPr>
              <w:contextualSpacing/>
              <w:rPr>
                <w:rFonts w:cs="Times New Roman"/>
                <w:color w:val="auto"/>
                <w:sz w:val="22"/>
              </w:rPr>
            </w:pPr>
            <w:r>
              <w:rPr>
                <w:rFonts w:cs="Times New Roman"/>
                <w:color w:val="auto"/>
                <w:sz w:val="22"/>
              </w:rPr>
              <w:t>340</w:t>
            </w:r>
            <w:r w:rsidRPr="00682685">
              <w:rPr>
                <w:rFonts w:cs="Times New Roman"/>
                <w:color w:val="auto"/>
                <w:sz w:val="22"/>
              </w:rPr>
              <w:t>⁰</w:t>
            </w:r>
            <w:r w:rsidR="00235F91">
              <w:rPr>
                <w:rFonts w:cs="Times New Roman"/>
                <w:color w:val="auto"/>
                <w:sz w:val="22"/>
              </w:rPr>
              <w:t>+</w:t>
            </w:r>
          </w:p>
        </w:tc>
        <w:tc>
          <w:tcPr>
            <w:tcW w:w="2495" w:type="dxa"/>
            <w:vAlign w:val="center"/>
          </w:tcPr>
          <w:p w:rsidR="00682685" w:rsidRPr="00682685" w:rsidRDefault="00682685" w:rsidP="00682685">
            <w:pPr>
              <w:contextualSpacing/>
              <w:rPr>
                <w:rFonts w:cs="Times New Roman"/>
                <w:color w:val="auto"/>
                <w:sz w:val="22"/>
              </w:rPr>
            </w:pPr>
            <w:r>
              <w:rPr>
                <w:rFonts w:cs="Times New Roman"/>
                <w:color w:val="auto"/>
                <w:sz w:val="22"/>
              </w:rPr>
              <w:t>26</w:t>
            </w:r>
            <w:r w:rsidRPr="00682685">
              <w:rPr>
                <w:rFonts w:cs="Times New Roman"/>
                <w:color w:val="auto"/>
                <w:sz w:val="22"/>
              </w:rPr>
              <w:t>0⁰</w:t>
            </w:r>
          </w:p>
        </w:tc>
      </w:tr>
      <w:tr w:rsidR="00682685" w:rsidRPr="00682685" w:rsidTr="00235F91">
        <w:trPr>
          <w:trHeight w:val="58"/>
          <w:jc w:val="center"/>
        </w:trPr>
        <w:tc>
          <w:tcPr>
            <w:tcW w:w="2096" w:type="dxa"/>
            <w:vAlign w:val="center"/>
          </w:tcPr>
          <w:p w:rsidR="00682685" w:rsidRPr="00682685" w:rsidRDefault="00682685" w:rsidP="00682685">
            <w:pPr>
              <w:tabs>
                <w:tab w:val="left" w:pos="288"/>
                <w:tab w:val="left" w:pos="4752"/>
              </w:tabs>
              <w:rPr>
                <w:rFonts w:cs="Times New Roman"/>
                <w:color w:val="auto"/>
                <w:sz w:val="22"/>
              </w:rPr>
            </w:pPr>
            <w:r w:rsidRPr="00682685">
              <w:rPr>
                <w:rFonts w:cs="Times New Roman"/>
                <w:color w:val="auto"/>
                <w:sz w:val="22"/>
              </w:rPr>
              <w:t>Comments</w:t>
            </w:r>
          </w:p>
        </w:tc>
        <w:tc>
          <w:tcPr>
            <w:tcW w:w="2184" w:type="dxa"/>
            <w:vAlign w:val="center"/>
          </w:tcPr>
          <w:p w:rsidR="00682685" w:rsidRPr="00682685" w:rsidRDefault="00682685" w:rsidP="00235F91">
            <w:pPr>
              <w:tabs>
                <w:tab w:val="left" w:pos="288"/>
                <w:tab w:val="left" w:pos="4752"/>
              </w:tabs>
              <w:rPr>
                <w:rFonts w:cs="Times New Roman"/>
                <w:color w:val="auto"/>
                <w:sz w:val="22"/>
              </w:rPr>
            </w:pPr>
            <w:r w:rsidRPr="00682685">
              <w:rPr>
                <w:rFonts w:cs="Times New Roman"/>
                <w:color w:val="auto"/>
                <w:sz w:val="22"/>
              </w:rPr>
              <w:t xml:space="preserve">+ </w:t>
            </w:r>
            <w:r w:rsidR="00235F91">
              <w:rPr>
                <w:rFonts w:cs="Times New Roman"/>
                <w:color w:val="auto"/>
                <w:sz w:val="22"/>
              </w:rPr>
              <w:t>Tenderness</w:t>
            </w:r>
          </w:p>
        </w:tc>
        <w:tc>
          <w:tcPr>
            <w:tcW w:w="2495" w:type="dxa"/>
            <w:vAlign w:val="center"/>
          </w:tcPr>
          <w:p w:rsidR="00682685" w:rsidRPr="00682685" w:rsidRDefault="00235F91" w:rsidP="00682685">
            <w:pPr>
              <w:tabs>
                <w:tab w:val="left" w:pos="288"/>
                <w:tab w:val="left" w:pos="4752"/>
              </w:tabs>
              <w:rPr>
                <w:rFonts w:cs="Times New Roman"/>
                <w:color w:val="auto"/>
                <w:sz w:val="22"/>
              </w:rPr>
            </w:pPr>
            <w:r>
              <w:rPr>
                <w:rFonts w:cs="Times New Roman"/>
                <w:color w:val="auto"/>
                <w:sz w:val="22"/>
              </w:rPr>
              <w:t>P</w:t>
            </w:r>
            <w:r w:rsidR="00682685" w:rsidRPr="00682685">
              <w:rPr>
                <w:rFonts w:cs="Times New Roman"/>
                <w:color w:val="auto"/>
                <w:sz w:val="22"/>
              </w:rPr>
              <w:t>ainful motion</w:t>
            </w:r>
            <w:r>
              <w:rPr>
                <w:rFonts w:cs="Times New Roman"/>
                <w:color w:val="auto"/>
                <w:sz w:val="22"/>
              </w:rPr>
              <w:t xml:space="preserve"> all planes</w:t>
            </w:r>
            <w:r w:rsidR="00682685" w:rsidRPr="00682685">
              <w:rPr>
                <w:rFonts w:cs="Times New Roman"/>
                <w:color w:val="auto"/>
                <w:sz w:val="22"/>
              </w:rPr>
              <w:t>.</w:t>
            </w:r>
          </w:p>
        </w:tc>
      </w:tr>
      <w:tr w:rsidR="00682685" w:rsidRPr="00682685" w:rsidTr="00235F91">
        <w:trPr>
          <w:trHeight w:val="70"/>
          <w:jc w:val="center"/>
        </w:trPr>
        <w:tc>
          <w:tcPr>
            <w:tcW w:w="2096" w:type="dxa"/>
            <w:vAlign w:val="center"/>
          </w:tcPr>
          <w:p w:rsidR="00682685" w:rsidRPr="00682685" w:rsidRDefault="00682685" w:rsidP="00682685">
            <w:pPr>
              <w:tabs>
                <w:tab w:val="left" w:pos="288"/>
                <w:tab w:val="left" w:pos="4752"/>
              </w:tabs>
              <w:rPr>
                <w:rFonts w:cs="Times New Roman"/>
                <w:color w:val="auto"/>
                <w:sz w:val="22"/>
              </w:rPr>
            </w:pPr>
            <w:r w:rsidRPr="00682685">
              <w:rPr>
                <w:rFonts w:cs="Times New Roman"/>
                <w:color w:val="auto"/>
                <w:sz w:val="22"/>
              </w:rPr>
              <w:t>§4.71a Rating</w:t>
            </w:r>
          </w:p>
        </w:tc>
        <w:tc>
          <w:tcPr>
            <w:tcW w:w="2184" w:type="dxa"/>
            <w:vAlign w:val="center"/>
          </w:tcPr>
          <w:p w:rsidR="00682685" w:rsidRPr="00682685" w:rsidRDefault="00235F91" w:rsidP="00682685">
            <w:pPr>
              <w:tabs>
                <w:tab w:val="left" w:pos="288"/>
                <w:tab w:val="left" w:pos="4752"/>
              </w:tabs>
              <w:rPr>
                <w:rFonts w:cs="Times New Roman"/>
                <w:color w:val="auto"/>
                <w:sz w:val="22"/>
              </w:rPr>
            </w:pPr>
            <w:r>
              <w:rPr>
                <w:rFonts w:cs="Times New Roman"/>
                <w:color w:val="auto"/>
                <w:sz w:val="22"/>
              </w:rPr>
              <w:t>1</w:t>
            </w:r>
            <w:r w:rsidR="00682685" w:rsidRPr="00682685">
              <w:rPr>
                <w:rFonts w:cs="Times New Roman"/>
                <w:color w:val="auto"/>
                <w:sz w:val="22"/>
              </w:rPr>
              <w:t>0%</w:t>
            </w:r>
          </w:p>
        </w:tc>
        <w:tc>
          <w:tcPr>
            <w:tcW w:w="2495" w:type="dxa"/>
            <w:vAlign w:val="center"/>
          </w:tcPr>
          <w:p w:rsidR="00682685" w:rsidRPr="00682685" w:rsidRDefault="00235F91" w:rsidP="00682685">
            <w:pPr>
              <w:tabs>
                <w:tab w:val="left" w:pos="288"/>
                <w:tab w:val="left" w:pos="4752"/>
              </w:tabs>
              <w:rPr>
                <w:rFonts w:cs="Times New Roman"/>
                <w:color w:val="auto"/>
                <w:sz w:val="22"/>
              </w:rPr>
            </w:pPr>
            <w:r>
              <w:rPr>
                <w:rFonts w:cs="Times New Roman"/>
                <w:color w:val="auto"/>
                <w:sz w:val="22"/>
              </w:rPr>
              <w:t>1</w:t>
            </w:r>
            <w:r w:rsidR="00682685" w:rsidRPr="00682685">
              <w:rPr>
                <w:rFonts w:cs="Times New Roman"/>
                <w:color w:val="auto"/>
                <w:sz w:val="22"/>
              </w:rPr>
              <w:t>0%</w:t>
            </w:r>
          </w:p>
        </w:tc>
      </w:tr>
    </w:tbl>
    <w:p w:rsidR="00682685" w:rsidRDefault="00682685" w:rsidP="0069687C">
      <w:pPr>
        <w:jc w:val="both"/>
        <w:rPr>
          <w:color w:val="000000"/>
          <w:szCs w:val="24"/>
        </w:rPr>
      </w:pPr>
    </w:p>
    <w:p w:rsidR="00626902" w:rsidRDefault="004963A6" w:rsidP="00241B01">
      <w:pPr>
        <w:jc w:val="both"/>
        <w:rPr>
          <w:rFonts w:eastAsia="Calibri" w:cs="Times New Roman"/>
          <w:color w:val="auto"/>
          <w:szCs w:val="24"/>
        </w:rPr>
      </w:pPr>
      <w:r>
        <w:rPr>
          <w:color w:val="000000"/>
          <w:szCs w:val="24"/>
        </w:rPr>
        <w:t>T</w:t>
      </w:r>
      <w:r w:rsidR="004B640C">
        <w:rPr>
          <w:color w:val="000000"/>
          <w:szCs w:val="24"/>
        </w:rPr>
        <w:t>he MEB exam</w:t>
      </w:r>
      <w:r>
        <w:rPr>
          <w:color w:val="000000"/>
          <w:szCs w:val="24"/>
        </w:rPr>
        <w:t xml:space="preserve">iner </w:t>
      </w:r>
      <w:r w:rsidR="004B640C">
        <w:rPr>
          <w:color w:val="000000"/>
          <w:szCs w:val="24"/>
        </w:rPr>
        <w:t xml:space="preserve">reported an inability to tolerate Kevlar or </w:t>
      </w:r>
      <w:proofErr w:type="spellStart"/>
      <w:r w:rsidR="004B640C">
        <w:rPr>
          <w:color w:val="000000"/>
          <w:szCs w:val="24"/>
        </w:rPr>
        <w:t>ruck</w:t>
      </w:r>
      <w:proofErr w:type="spellEnd"/>
      <w:r w:rsidR="004B640C">
        <w:rPr>
          <w:color w:val="000000"/>
          <w:szCs w:val="24"/>
        </w:rPr>
        <w:t xml:space="preserve"> marching with load bearing.  At </w:t>
      </w:r>
      <w:r w:rsidR="004B640C" w:rsidRPr="004B640C">
        <w:rPr>
          <w:color w:val="000000"/>
          <w:szCs w:val="24"/>
        </w:rPr>
        <w:t xml:space="preserve">the </w:t>
      </w:r>
      <w:r w:rsidR="009A1AE3">
        <w:rPr>
          <w:color w:val="000000"/>
          <w:szCs w:val="24"/>
        </w:rPr>
        <w:t>Department of Veterans’ Affairs (D</w:t>
      </w:r>
      <w:r w:rsidR="004B640C">
        <w:rPr>
          <w:color w:val="000000"/>
          <w:szCs w:val="24"/>
        </w:rPr>
        <w:t>VA</w:t>
      </w:r>
      <w:r w:rsidR="009A1AE3">
        <w:rPr>
          <w:color w:val="000000"/>
          <w:szCs w:val="24"/>
        </w:rPr>
        <w:t>)</w:t>
      </w:r>
      <w:r w:rsidR="004B640C">
        <w:rPr>
          <w:color w:val="000000"/>
          <w:szCs w:val="24"/>
        </w:rPr>
        <w:t xml:space="preserve"> </w:t>
      </w:r>
      <w:r w:rsidR="004B640C" w:rsidRPr="00CF0280">
        <w:rPr>
          <w:color w:val="000000"/>
          <w:szCs w:val="24"/>
        </w:rPr>
        <w:t>Compensation and Pension (C&amp;P)</w:t>
      </w:r>
      <w:r w:rsidR="004B640C">
        <w:rPr>
          <w:color w:val="000000"/>
          <w:szCs w:val="24"/>
        </w:rPr>
        <w:t xml:space="preserve"> exam</w:t>
      </w:r>
      <w:r w:rsidR="009A1AE3">
        <w:rPr>
          <w:color w:val="000000"/>
          <w:szCs w:val="24"/>
        </w:rPr>
        <w:t xml:space="preserve"> after separation</w:t>
      </w:r>
      <w:r w:rsidR="004B640C">
        <w:rPr>
          <w:color w:val="000000"/>
          <w:szCs w:val="24"/>
        </w:rPr>
        <w:t>, the CI reported constant pain rated 9</w:t>
      </w:r>
      <w:r w:rsidR="009A1AE3">
        <w:rPr>
          <w:color w:val="000000"/>
          <w:szCs w:val="24"/>
        </w:rPr>
        <w:t>/</w:t>
      </w:r>
      <w:r w:rsidR="004B640C">
        <w:rPr>
          <w:color w:val="000000"/>
          <w:szCs w:val="24"/>
        </w:rPr>
        <w:t>10</w:t>
      </w:r>
      <w:r>
        <w:rPr>
          <w:color w:val="000000"/>
          <w:szCs w:val="24"/>
        </w:rPr>
        <w:t xml:space="preserve">.  No work loss was ascribed to the condition.  Normal ROMs were </w:t>
      </w:r>
      <w:r w:rsidR="00153BC0">
        <w:rPr>
          <w:color w:val="000000"/>
          <w:szCs w:val="24"/>
        </w:rPr>
        <w:t>measured</w:t>
      </w:r>
      <w:r>
        <w:rPr>
          <w:color w:val="000000"/>
          <w:szCs w:val="24"/>
        </w:rPr>
        <w:t xml:space="preserve"> by the </w:t>
      </w:r>
      <w:r w:rsidR="009A1AE3">
        <w:rPr>
          <w:color w:val="000000"/>
          <w:szCs w:val="24"/>
        </w:rPr>
        <w:t>s</w:t>
      </w:r>
      <w:r>
        <w:rPr>
          <w:color w:val="000000"/>
          <w:szCs w:val="24"/>
        </w:rPr>
        <w:t>ervice</w:t>
      </w:r>
      <w:r w:rsidR="00153BC0">
        <w:rPr>
          <w:color w:val="000000"/>
          <w:szCs w:val="24"/>
        </w:rPr>
        <w:t>,</w:t>
      </w:r>
      <w:r>
        <w:rPr>
          <w:color w:val="000000"/>
          <w:szCs w:val="24"/>
        </w:rPr>
        <w:t xml:space="preserve"> and near-normal ROMs by the </w:t>
      </w:r>
      <w:r w:rsidR="009A1AE3">
        <w:rPr>
          <w:color w:val="000000"/>
          <w:szCs w:val="24"/>
        </w:rPr>
        <w:t>D</w:t>
      </w:r>
      <w:r>
        <w:rPr>
          <w:color w:val="000000"/>
          <w:szCs w:val="24"/>
        </w:rPr>
        <w:t>VA</w:t>
      </w:r>
      <w:r w:rsidR="00153BC0">
        <w:rPr>
          <w:color w:val="000000"/>
          <w:szCs w:val="24"/>
        </w:rPr>
        <w:t>,</w:t>
      </w:r>
      <w:r>
        <w:rPr>
          <w:color w:val="000000"/>
          <w:szCs w:val="24"/>
        </w:rPr>
        <w:t xml:space="preserve"> as charted above.  The PEB’s DA Form 199 cited the §4.71a criteria of localized tenderness in support of the compensable rating.   The P</w:t>
      </w:r>
      <w:r w:rsidRPr="00280774">
        <w:rPr>
          <w:color w:val="000000"/>
          <w:szCs w:val="24"/>
        </w:rPr>
        <w:t>EB and VA applied different VASRD codes</w:t>
      </w:r>
      <w:r>
        <w:rPr>
          <w:color w:val="000000"/>
          <w:szCs w:val="24"/>
        </w:rPr>
        <w:t xml:space="preserve"> which did not affect rating, and the conferred ratings were IAW the VASRD §4.71a general rating formula for the spine</w:t>
      </w:r>
      <w:r w:rsidRPr="00280774">
        <w:rPr>
          <w:color w:val="000000"/>
          <w:szCs w:val="24"/>
        </w:rPr>
        <w:t xml:space="preserve">.  </w:t>
      </w:r>
      <w:r w:rsidR="00216BD1" w:rsidRPr="00491733">
        <w:rPr>
          <w:color w:val="000000"/>
          <w:szCs w:val="24"/>
        </w:rPr>
        <w:t xml:space="preserve">There was no evidence of </w:t>
      </w:r>
      <w:r w:rsidR="00216BD1">
        <w:rPr>
          <w:color w:val="000000"/>
          <w:szCs w:val="24"/>
        </w:rPr>
        <w:t>associated</w:t>
      </w:r>
      <w:r w:rsidR="00216BD1" w:rsidRPr="00491733">
        <w:rPr>
          <w:color w:val="000000"/>
          <w:szCs w:val="24"/>
        </w:rPr>
        <w:t xml:space="preserve"> peripheral nerve impairment or documentation of incapacitating episodes in this case which would provide for additional or higher rating.</w:t>
      </w:r>
      <w:r w:rsidR="00216BD1">
        <w:rPr>
          <w:color w:val="000000"/>
          <w:szCs w:val="24"/>
        </w:rPr>
        <w:t xml:space="preserve">  </w:t>
      </w:r>
      <w:r w:rsidR="00626902" w:rsidRPr="0062690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216BD1">
        <w:rPr>
          <w:rFonts w:eastAsia="Calibri" w:cs="Times New Roman"/>
          <w:color w:val="auto"/>
          <w:szCs w:val="24"/>
        </w:rPr>
        <w:t>cervical spine</w:t>
      </w:r>
      <w:r w:rsidR="00626902" w:rsidRPr="00626902">
        <w:rPr>
          <w:rFonts w:eastAsia="Calibri" w:cs="Times New Roman"/>
          <w:color w:val="auto"/>
          <w:szCs w:val="24"/>
        </w:rPr>
        <w:t xml:space="preserve"> condition.</w:t>
      </w:r>
    </w:p>
    <w:p w:rsidR="00216BD1" w:rsidRDefault="00216BD1" w:rsidP="00241B01">
      <w:pPr>
        <w:jc w:val="both"/>
        <w:rPr>
          <w:rFonts w:eastAsia="Calibri" w:cs="Times New Roman"/>
          <w:color w:val="auto"/>
          <w:szCs w:val="24"/>
        </w:rPr>
      </w:pPr>
    </w:p>
    <w:p w:rsidR="00216BD1" w:rsidRPr="00216BD1" w:rsidRDefault="00216BD1" w:rsidP="00216BD1">
      <w:pPr>
        <w:jc w:val="both"/>
        <w:rPr>
          <w:rFonts w:eastAsia="Calibri" w:cs="Times New Roman"/>
          <w:color w:val="auto"/>
          <w:szCs w:val="24"/>
        </w:rPr>
      </w:pPr>
      <w:proofErr w:type="gramStart"/>
      <w:r w:rsidRPr="00216BD1">
        <w:rPr>
          <w:rFonts w:eastAsia="Calibri" w:cs="Times New Roman"/>
          <w:color w:val="auto"/>
          <w:szCs w:val="24"/>
          <w:u w:val="single"/>
        </w:rPr>
        <w:t>Sleep Apnea</w:t>
      </w:r>
      <w:r>
        <w:rPr>
          <w:rFonts w:eastAsia="Calibri" w:cs="Times New Roman"/>
          <w:color w:val="auto"/>
          <w:szCs w:val="24"/>
        </w:rPr>
        <w:t>.</w:t>
      </w:r>
      <w:proofErr w:type="gramEnd"/>
      <w:r>
        <w:rPr>
          <w:rFonts w:eastAsia="Calibri" w:cs="Times New Roman"/>
          <w:color w:val="auto"/>
          <w:szCs w:val="24"/>
        </w:rPr>
        <w:t xml:space="preserve">  </w:t>
      </w:r>
      <w:r w:rsidRPr="00216BD1">
        <w:rPr>
          <w:rFonts w:eastAsia="Calibri" w:cs="Times New Roman"/>
          <w:color w:val="auto"/>
          <w:szCs w:val="24"/>
        </w:rPr>
        <w:t xml:space="preserve">The </w:t>
      </w:r>
      <w:r>
        <w:rPr>
          <w:rFonts w:eastAsia="Calibri" w:cs="Times New Roman"/>
          <w:color w:val="auto"/>
          <w:szCs w:val="24"/>
        </w:rPr>
        <w:t>CI was diagnosed with “moderate” OSA</w:t>
      </w:r>
      <w:r w:rsidRPr="00216BD1">
        <w:rPr>
          <w:rFonts w:eastAsia="Calibri" w:cs="Times New Roman"/>
          <w:color w:val="auto"/>
          <w:szCs w:val="24"/>
        </w:rPr>
        <w:t xml:space="preserve"> by sleep study</w:t>
      </w:r>
      <w:r>
        <w:rPr>
          <w:rFonts w:eastAsia="Calibri" w:cs="Times New Roman"/>
          <w:color w:val="auto"/>
          <w:szCs w:val="24"/>
        </w:rPr>
        <w:t xml:space="preserve"> in July 2004</w:t>
      </w:r>
      <w:r w:rsidRPr="00216BD1">
        <w:rPr>
          <w:rFonts w:eastAsia="Calibri" w:cs="Times New Roman"/>
          <w:color w:val="auto"/>
          <w:szCs w:val="24"/>
        </w:rPr>
        <w:t xml:space="preserve">, </w:t>
      </w:r>
      <w:r w:rsidR="00F55A0C">
        <w:rPr>
          <w:rFonts w:eastAsia="Calibri" w:cs="Times New Roman"/>
          <w:color w:val="auto"/>
          <w:szCs w:val="24"/>
        </w:rPr>
        <w:t>associated with obesity.  Subsequent</w:t>
      </w:r>
      <w:r w:rsidRPr="00216BD1">
        <w:rPr>
          <w:rFonts w:eastAsia="Calibri" w:cs="Times New Roman"/>
          <w:color w:val="auto"/>
          <w:szCs w:val="24"/>
        </w:rPr>
        <w:t xml:space="preserve"> treatment with titrated CPAP is well documented in the STR.  The CI was placed on a permanent profile that required access </w:t>
      </w:r>
      <w:r w:rsidR="00CF6BF0">
        <w:rPr>
          <w:rFonts w:eastAsia="Calibri" w:cs="Times New Roman"/>
          <w:color w:val="auto"/>
          <w:szCs w:val="24"/>
        </w:rPr>
        <w:t>to electricity</w:t>
      </w:r>
      <w:r w:rsidRPr="00216BD1">
        <w:rPr>
          <w:rFonts w:eastAsia="Calibri" w:cs="Times New Roman"/>
          <w:color w:val="auto"/>
          <w:szCs w:val="24"/>
        </w:rPr>
        <w:t xml:space="preserve">; and, the NARSUM </w:t>
      </w:r>
      <w:r w:rsidR="00153BC0">
        <w:rPr>
          <w:rFonts w:eastAsia="Calibri" w:cs="Times New Roman"/>
          <w:color w:val="auto"/>
          <w:szCs w:val="24"/>
        </w:rPr>
        <w:t>quoted that</w:t>
      </w:r>
      <w:r w:rsidR="00CF6BF0">
        <w:rPr>
          <w:rFonts w:eastAsia="Calibri" w:cs="Times New Roman"/>
          <w:color w:val="auto"/>
          <w:szCs w:val="24"/>
        </w:rPr>
        <w:t xml:space="preserve"> profile restriction in the assessment of the condition.  </w:t>
      </w:r>
      <w:r w:rsidR="006F610D">
        <w:rPr>
          <w:rFonts w:eastAsia="Calibri" w:cs="Times New Roman"/>
          <w:color w:val="auto"/>
          <w:szCs w:val="24"/>
        </w:rPr>
        <w:t xml:space="preserve">While </w:t>
      </w:r>
      <w:r w:rsidR="009A1AE3">
        <w:rPr>
          <w:rFonts w:eastAsia="Calibri" w:cs="Times New Roman"/>
          <w:color w:val="auto"/>
          <w:szCs w:val="24"/>
        </w:rPr>
        <w:t>s</w:t>
      </w:r>
      <w:r w:rsidR="006F610D">
        <w:rPr>
          <w:rFonts w:eastAsia="Calibri" w:cs="Times New Roman"/>
          <w:color w:val="auto"/>
          <w:szCs w:val="24"/>
        </w:rPr>
        <w:t xml:space="preserve">ervice PEBs no </w:t>
      </w:r>
      <w:r w:rsidR="00CF6BF0" w:rsidRPr="00216BD1">
        <w:rPr>
          <w:rFonts w:eastAsia="Calibri" w:cs="Times New Roman"/>
          <w:color w:val="auto"/>
          <w:szCs w:val="24"/>
        </w:rPr>
        <w:t>longer consider</w:t>
      </w:r>
      <w:r w:rsidR="009A1AE3">
        <w:rPr>
          <w:rFonts w:eastAsia="Calibri" w:cs="Times New Roman"/>
          <w:color w:val="auto"/>
          <w:szCs w:val="24"/>
        </w:rPr>
        <w:t>s</w:t>
      </w:r>
      <w:r w:rsidR="00CF6BF0" w:rsidRPr="00216BD1">
        <w:rPr>
          <w:rFonts w:eastAsia="Calibri" w:cs="Times New Roman"/>
          <w:color w:val="auto"/>
          <w:szCs w:val="24"/>
        </w:rPr>
        <w:t xml:space="preserve"> sleep apnea syndromes to be unfitting solely on this basis, the Board, by legal opinion and firm precedent, does not make contrary recommendations to a PEB determination that a condition was unfitting.  </w:t>
      </w:r>
      <w:r w:rsidRPr="00216BD1">
        <w:rPr>
          <w:rFonts w:eastAsia="Calibri" w:cs="Times New Roman"/>
          <w:color w:val="auto"/>
          <w:szCs w:val="24"/>
        </w:rPr>
        <w:t xml:space="preserve">The PEB’s DA Form 199 assigned a 0% rating under DODI 1332.39 (E2.A1.2.21), </w:t>
      </w:r>
      <w:r w:rsidR="00CF6BF0">
        <w:rPr>
          <w:rFonts w:eastAsia="Calibri" w:cs="Times New Roman"/>
          <w:color w:val="auto"/>
          <w:szCs w:val="24"/>
        </w:rPr>
        <w:t xml:space="preserve">but </w:t>
      </w:r>
      <w:r w:rsidRPr="00216BD1">
        <w:rPr>
          <w:rFonts w:eastAsia="Calibri" w:cs="Times New Roman"/>
          <w:color w:val="auto"/>
          <w:szCs w:val="24"/>
        </w:rPr>
        <w:t>VASRD §4.100 mandates a minimum rating of 50% under 6847 for sleep apnea requiring a breathing assistance device.  In consideration of the unequivocal evidence, and IAW DoDI 6040.44, the Board recommend</w:t>
      </w:r>
      <w:r w:rsidR="00153BC0">
        <w:rPr>
          <w:rFonts w:eastAsia="Calibri" w:cs="Times New Roman"/>
          <w:color w:val="auto"/>
          <w:szCs w:val="24"/>
        </w:rPr>
        <w:t>s</w:t>
      </w:r>
      <w:r w:rsidRPr="00216BD1">
        <w:rPr>
          <w:rFonts w:eastAsia="Calibri" w:cs="Times New Roman"/>
          <w:color w:val="auto"/>
          <w:szCs w:val="24"/>
        </w:rPr>
        <w:t xml:space="preserve"> a separation rating of 50% for the OSA condition.</w:t>
      </w:r>
    </w:p>
    <w:p w:rsidR="00216BD1" w:rsidRPr="00216BD1" w:rsidRDefault="00216BD1" w:rsidP="00241B01">
      <w:pPr>
        <w:jc w:val="both"/>
        <w:rPr>
          <w:color w:val="000000"/>
          <w:szCs w:val="24"/>
        </w:rPr>
      </w:pPr>
    </w:p>
    <w:p w:rsidR="00AD2379" w:rsidRDefault="00AD2379" w:rsidP="009A7578">
      <w:pPr>
        <w:jc w:val="both"/>
        <w:rPr>
          <w:color w:val="000000"/>
        </w:rPr>
      </w:pPr>
      <w:proofErr w:type="gramStart"/>
      <w:r w:rsidRPr="001F29F9">
        <w:rPr>
          <w:rFonts w:eastAsia="HiddenHorzOCR"/>
          <w:color w:val="000000"/>
          <w:u w:val="single"/>
        </w:rPr>
        <w:t>Other PEB Conditions</w:t>
      </w:r>
      <w:r w:rsidRPr="001F29F9">
        <w:rPr>
          <w:rFonts w:eastAsia="HiddenHorzOCR"/>
          <w:color w:val="000000"/>
        </w:rPr>
        <w:t>.</w:t>
      </w:r>
      <w:proofErr w:type="gramEnd"/>
      <w:r w:rsidRPr="001F29F9">
        <w:rPr>
          <w:rFonts w:eastAsia="HiddenHorzOCR"/>
          <w:color w:val="000000"/>
        </w:rPr>
        <w:t xml:space="preserve"> </w:t>
      </w:r>
      <w:r w:rsidR="00CF6BF0">
        <w:rPr>
          <w:rFonts w:eastAsia="HiddenHorzOCR"/>
          <w:color w:val="000000"/>
        </w:rPr>
        <w:t xml:space="preserve"> </w:t>
      </w:r>
      <w:r w:rsidRPr="001F29F9">
        <w:rPr>
          <w:color w:val="000000"/>
        </w:rPr>
        <w:t xml:space="preserve">The other conditions forwarded by the MEB and adjudicated as not unfitting by the PEB were </w:t>
      </w:r>
      <w:r w:rsidR="00F55A0C">
        <w:rPr>
          <w:color w:val="000000"/>
        </w:rPr>
        <w:t xml:space="preserve">lumbar spondylosis (pain dating to same fall as for the cervical spine condition), </w:t>
      </w:r>
      <w:r w:rsidR="00F55A0C" w:rsidRPr="00F55A0C">
        <w:rPr>
          <w:color w:val="000000"/>
        </w:rPr>
        <w:t>bila</w:t>
      </w:r>
      <w:r w:rsidR="00F55A0C">
        <w:rPr>
          <w:color w:val="000000"/>
        </w:rPr>
        <w:t xml:space="preserve">teral </w:t>
      </w:r>
      <w:proofErr w:type="spellStart"/>
      <w:r w:rsidR="00F55A0C">
        <w:rPr>
          <w:color w:val="000000"/>
        </w:rPr>
        <w:t>cubital</w:t>
      </w:r>
      <w:proofErr w:type="spellEnd"/>
      <w:r w:rsidR="00F55A0C">
        <w:rPr>
          <w:color w:val="000000"/>
        </w:rPr>
        <w:t xml:space="preserve"> tunnel syndrome (as noted above in the cervical spine discussion), bilateral pes </w:t>
      </w:r>
      <w:proofErr w:type="spellStart"/>
      <w:r w:rsidR="00F55A0C">
        <w:rPr>
          <w:color w:val="000000"/>
        </w:rPr>
        <w:t>planus</w:t>
      </w:r>
      <w:proofErr w:type="spellEnd"/>
      <w:r w:rsidR="00F55A0C">
        <w:rPr>
          <w:color w:val="000000"/>
        </w:rPr>
        <w:t xml:space="preserve"> (pre-existing), </w:t>
      </w:r>
      <w:r w:rsidR="00F55A0C" w:rsidRPr="00F55A0C">
        <w:rPr>
          <w:color w:val="000000"/>
        </w:rPr>
        <w:t>headache</w:t>
      </w:r>
      <w:r w:rsidR="00F55A0C">
        <w:rPr>
          <w:color w:val="000000"/>
        </w:rPr>
        <w:t xml:space="preserve"> (associated with neck pain), </w:t>
      </w:r>
      <w:r w:rsidR="00F55A0C" w:rsidRPr="00F55A0C">
        <w:rPr>
          <w:color w:val="000000"/>
        </w:rPr>
        <w:t>hypertension</w:t>
      </w:r>
      <w:r w:rsidR="00F55A0C">
        <w:rPr>
          <w:color w:val="000000"/>
        </w:rPr>
        <w:t xml:space="preserve">, and </w:t>
      </w:r>
      <w:r w:rsidR="00F55A0C" w:rsidRPr="00F55A0C">
        <w:rPr>
          <w:color w:val="000000"/>
        </w:rPr>
        <w:t>tinnitus</w:t>
      </w:r>
      <w:r w:rsidR="00F55A0C">
        <w:rPr>
          <w:color w:val="000000"/>
        </w:rPr>
        <w:t>.</w:t>
      </w:r>
      <w:r w:rsidR="00F55A0C" w:rsidRPr="00D8352E">
        <w:rPr>
          <w:color w:val="000000"/>
        </w:rPr>
        <w:t xml:space="preserve"> </w:t>
      </w:r>
      <w:r w:rsidR="00F55A0C">
        <w:rPr>
          <w:color w:val="000000"/>
        </w:rPr>
        <w:t xml:space="preserve"> </w:t>
      </w:r>
      <w:r w:rsidRPr="00D8352E">
        <w:rPr>
          <w:color w:val="000000"/>
        </w:rPr>
        <w:t>None of these conditions were profiled, implicated in the commander’s statement or noted as failing retention standards.</w:t>
      </w:r>
      <w:r w:rsidRPr="001F29F9">
        <w:rPr>
          <w:color w:val="000000"/>
        </w:rPr>
        <w:t xml:space="preserve"> </w:t>
      </w:r>
      <w:r w:rsidR="00417999">
        <w:rPr>
          <w:color w:val="000000"/>
        </w:rPr>
        <w:t xml:space="preserve"> </w:t>
      </w:r>
      <w:r w:rsidRPr="001F29F9">
        <w:rPr>
          <w:color w:val="000000"/>
        </w:rPr>
        <w:t xml:space="preserve">All were reviewed by the </w:t>
      </w:r>
      <w:r w:rsidR="009A1AE3">
        <w:rPr>
          <w:color w:val="000000"/>
        </w:rPr>
        <w:t>a</w:t>
      </w:r>
      <w:r w:rsidR="00417999" w:rsidRPr="001F29F9">
        <w:rPr>
          <w:color w:val="000000"/>
        </w:rPr>
        <w:t xml:space="preserve">ction </w:t>
      </w:r>
      <w:r w:rsidR="009A1AE3">
        <w:rPr>
          <w:color w:val="000000"/>
        </w:rPr>
        <w:t>o</w:t>
      </w:r>
      <w:r w:rsidR="00417999" w:rsidRPr="001F29F9">
        <w:rPr>
          <w:color w:val="000000"/>
        </w:rPr>
        <w:t xml:space="preserve">fficer </w:t>
      </w:r>
      <w:r w:rsidRPr="001F29F9">
        <w:rPr>
          <w:color w:val="000000"/>
        </w:rPr>
        <w:t xml:space="preserve">and considered by </w:t>
      </w:r>
      <w:r w:rsidRPr="001F29F9">
        <w:rPr>
          <w:color w:val="000000"/>
        </w:rPr>
        <w:lastRenderedPageBreak/>
        <w:t xml:space="preserve">the Board. </w:t>
      </w:r>
      <w:r w:rsidR="00607AC8">
        <w:rPr>
          <w:color w:val="000000"/>
        </w:rPr>
        <w:t xml:space="preserve"> </w:t>
      </w:r>
      <w:r w:rsidRPr="001F29F9">
        <w:rPr>
          <w:color w:val="000000"/>
        </w:rPr>
        <w:t xml:space="preserve">There was no indication from the record that any of these conditions significantly interfered with satisfactory duty performance. </w:t>
      </w:r>
      <w:r w:rsidR="006002FE">
        <w:rPr>
          <w:color w:val="000000"/>
        </w:rPr>
        <w:t xml:space="preserve"> </w:t>
      </w:r>
      <w:r w:rsidRPr="001F29F9">
        <w:rPr>
          <w:color w:val="000000"/>
        </w:rPr>
        <w:t>All evidence considered</w:t>
      </w:r>
      <w:proofErr w:type="gramStart"/>
      <w:r w:rsidRPr="001F29F9">
        <w:rPr>
          <w:color w:val="000000"/>
        </w:rPr>
        <w:t>,</w:t>
      </w:r>
      <w:proofErr w:type="gramEnd"/>
      <w:r w:rsidRPr="001F29F9">
        <w:rPr>
          <w:color w:val="000000"/>
        </w:rPr>
        <w:t xml:space="preserve"> there is not reasonable doubt in the CI’s favor supporting </w:t>
      </w:r>
      <w:r w:rsidR="00CB3F63">
        <w:rPr>
          <w:color w:val="000000"/>
        </w:rPr>
        <w:t>a change in</w:t>
      </w:r>
      <w:r w:rsidRPr="001F29F9">
        <w:rPr>
          <w:color w:val="000000"/>
        </w:rPr>
        <w:t xml:space="preserve"> the PEB fitness adjudication for any of the stated conditions.</w:t>
      </w:r>
    </w:p>
    <w:p w:rsidR="00F55A0C" w:rsidRDefault="00F55A0C" w:rsidP="00A02AA8">
      <w:pPr>
        <w:jc w:val="both"/>
        <w:rPr>
          <w:rFonts w:eastAsia="Calibri" w:cs="Times New Roman"/>
          <w:color w:val="auto"/>
          <w:szCs w:val="24"/>
          <w:u w:val="single"/>
        </w:rPr>
      </w:pPr>
    </w:p>
    <w:p w:rsidR="00AD2379" w:rsidRPr="009A7578" w:rsidRDefault="00AD2379" w:rsidP="00B372E2">
      <w:pPr>
        <w:jc w:val="both"/>
        <w:rPr>
          <w:color w:val="000000"/>
          <w:highlight w:val="magenta"/>
        </w:rPr>
      </w:pPr>
      <w:proofErr w:type="gramStart"/>
      <w:r w:rsidRPr="00D8352E">
        <w:rPr>
          <w:color w:val="000000"/>
          <w:u w:val="single"/>
        </w:rPr>
        <w:t>Remaining Conditions</w:t>
      </w:r>
      <w:r w:rsidRPr="00164413">
        <w:rPr>
          <w:color w:val="000000"/>
        </w:rPr>
        <w:t>.</w:t>
      </w:r>
      <w:proofErr w:type="gramEnd"/>
      <w:r w:rsidRPr="00164413">
        <w:rPr>
          <w:color w:val="000000"/>
        </w:rPr>
        <w:t xml:space="preserve"> </w:t>
      </w:r>
      <w:r w:rsidR="00680450">
        <w:rPr>
          <w:color w:val="000000"/>
        </w:rPr>
        <w:t xml:space="preserve"> </w:t>
      </w:r>
      <w:r w:rsidR="00B372E2">
        <w:rPr>
          <w:color w:val="000000"/>
        </w:rPr>
        <w:t xml:space="preserve">The Board routinely screens the </w:t>
      </w:r>
      <w:r w:rsidR="009A1AE3">
        <w:rPr>
          <w:color w:val="000000"/>
        </w:rPr>
        <w:t>s</w:t>
      </w:r>
      <w:r w:rsidR="00B372E2">
        <w:rPr>
          <w:color w:val="000000"/>
        </w:rPr>
        <w:t xml:space="preserve">ervice file and VA evidence proximate to separation for all conditions present at separation.  These conditions are reviewed by the </w:t>
      </w:r>
      <w:r w:rsidR="009A1AE3">
        <w:rPr>
          <w:color w:val="000000"/>
        </w:rPr>
        <w:t>a</w:t>
      </w:r>
      <w:r w:rsidR="00B372E2">
        <w:rPr>
          <w:color w:val="000000"/>
        </w:rPr>
        <w:t xml:space="preserve">ction </w:t>
      </w:r>
      <w:r w:rsidR="009A1AE3">
        <w:rPr>
          <w:color w:val="000000"/>
        </w:rPr>
        <w:t>o</w:t>
      </w:r>
      <w:r w:rsidR="00B372E2">
        <w:rPr>
          <w:color w:val="000000"/>
        </w:rPr>
        <w:t xml:space="preserve">fficer and Board members for fitness implications and eligibility for additional rating.  Particularly scrutinized are conditions which were contended in service; conditions which were clinically acute during MEB proceedings; conditions which were referenced in the commander’s statement as impairing performance; conditions which were profiled or imposed duty restrictions; or, conditions which were judged by a physician to fail retention standards.  No unaddressed condition was identified in this case which was judged by the Board to have </w:t>
      </w:r>
      <w:r w:rsidR="00B372E2" w:rsidRPr="001F29F9">
        <w:rPr>
          <w:color w:val="000000"/>
        </w:rPr>
        <w:t>significantly interfered with satisfactory duty performance</w:t>
      </w:r>
      <w:r w:rsidR="00B372E2">
        <w:rPr>
          <w:color w:val="000000"/>
        </w:rPr>
        <w:t>; and, therefore no additional recommendations are forthcoming.</w:t>
      </w:r>
    </w:p>
    <w:p w:rsidR="00B372E2" w:rsidRPr="009A7578" w:rsidRDefault="00B372E2" w:rsidP="00B372E2">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60F12" w:rsidRDefault="00AD2379" w:rsidP="009A7578">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00241B01" w:rsidRPr="00241B01">
        <w:rPr>
          <w:rFonts w:eastAsia="Calibri" w:cs="Times New Roman"/>
          <w:color w:val="auto"/>
          <w:szCs w:val="24"/>
        </w:rPr>
        <w:t xml:space="preserve">As discussed above, PEB reliance on </w:t>
      </w:r>
      <w:r w:rsidR="00B372E2" w:rsidRPr="00216BD1">
        <w:rPr>
          <w:rFonts w:eastAsia="Calibri" w:cs="Times New Roman"/>
          <w:color w:val="auto"/>
          <w:szCs w:val="24"/>
        </w:rPr>
        <w:t>DODI 1332.39</w:t>
      </w:r>
      <w:r w:rsidR="00B372E2">
        <w:rPr>
          <w:rFonts w:eastAsia="Calibri" w:cs="Times New Roman"/>
          <w:color w:val="auto"/>
          <w:szCs w:val="24"/>
        </w:rPr>
        <w:t xml:space="preserve"> </w:t>
      </w:r>
      <w:r w:rsidR="00241B01" w:rsidRPr="00241B01">
        <w:rPr>
          <w:rFonts w:eastAsia="Calibri" w:cs="Times New Roman"/>
          <w:color w:val="auto"/>
          <w:szCs w:val="24"/>
        </w:rPr>
        <w:t xml:space="preserve">for rating </w:t>
      </w:r>
      <w:r w:rsidR="00B372E2">
        <w:rPr>
          <w:rFonts w:eastAsia="Calibri" w:cs="Times New Roman"/>
          <w:color w:val="auto"/>
          <w:szCs w:val="24"/>
        </w:rPr>
        <w:t>sleep apnea</w:t>
      </w:r>
      <w:r w:rsidR="00241B01" w:rsidRPr="00241B01">
        <w:rPr>
          <w:rFonts w:eastAsia="Calibri" w:cs="Times New Roman"/>
          <w:color w:val="auto"/>
          <w:szCs w:val="24"/>
        </w:rPr>
        <w:t xml:space="preserve"> was operant in this case and the condition was adjudicated independently of </w:t>
      </w:r>
      <w:r w:rsidR="00241B01" w:rsidRPr="00B372E2">
        <w:rPr>
          <w:rFonts w:eastAsia="Calibri" w:cs="Times New Roman"/>
          <w:color w:val="auto"/>
          <w:szCs w:val="24"/>
        </w:rPr>
        <w:t xml:space="preserve">that policy by the Board. </w:t>
      </w:r>
      <w:r w:rsidR="00B372E2" w:rsidRPr="00B372E2">
        <w:rPr>
          <w:rFonts w:eastAsia="Calibri" w:cs="Times New Roman"/>
          <w:color w:val="auto"/>
          <w:szCs w:val="24"/>
        </w:rPr>
        <w:t xml:space="preserve"> In the matter of the cervical spine condition and IAW VASRD §4.71a, the Board unanimously recommends no change in the PEB adjudication.</w:t>
      </w:r>
      <w:r w:rsidR="00B372E2">
        <w:rPr>
          <w:rFonts w:eastAsia="Calibri" w:cs="Times New Roman"/>
          <w:color w:val="auto"/>
          <w:szCs w:val="24"/>
        </w:rPr>
        <w:t xml:space="preserve">  </w:t>
      </w:r>
      <w:r w:rsidR="00241B01" w:rsidRPr="00241B01">
        <w:rPr>
          <w:rFonts w:eastAsia="Calibri" w:cs="Times New Roman"/>
          <w:color w:val="auto"/>
          <w:szCs w:val="24"/>
        </w:rPr>
        <w:t xml:space="preserve">In the matter of the </w:t>
      </w:r>
      <w:r w:rsidR="00B14BCC">
        <w:rPr>
          <w:rFonts w:eastAsia="Calibri" w:cs="Times New Roman"/>
          <w:color w:val="auto"/>
          <w:szCs w:val="24"/>
        </w:rPr>
        <w:t>OSA</w:t>
      </w:r>
      <w:r w:rsidR="00241B01" w:rsidRPr="00241B01">
        <w:rPr>
          <w:rFonts w:eastAsia="Calibri" w:cs="Times New Roman"/>
          <w:color w:val="auto"/>
          <w:szCs w:val="24"/>
        </w:rPr>
        <w:t xml:space="preserve"> condition, the </w:t>
      </w:r>
      <w:r w:rsidR="00241B01" w:rsidRPr="00B372E2">
        <w:rPr>
          <w:rFonts w:eastAsia="Calibri" w:cs="Times New Roman"/>
          <w:color w:val="auto"/>
          <w:szCs w:val="24"/>
        </w:rPr>
        <w:t xml:space="preserve">Board unanimously recommends a disability rating of </w:t>
      </w:r>
      <w:r w:rsidR="00B372E2" w:rsidRPr="00B372E2">
        <w:rPr>
          <w:rFonts w:eastAsia="Calibri" w:cs="Times New Roman"/>
          <w:color w:val="auto"/>
          <w:szCs w:val="24"/>
        </w:rPr>
        <w:t>5</w:t>
      </w:r>
      <w:r w:rsidR="00241B01" w:rsidRPr="00B372E2">
        <w:rPr>
          <w:rFonts w:eastAsia="Calibri" w:cs="Times New Roman"/>
          <w:color w:val="auto"/>
          <w:szCs w:val="24"/>
        </w:rPr>
        <w:t xml:space="preserve">0%, coded </w:t>
      </w:r>
      <w:r w:rsidR="00B372E2" w:rsidRPr="00B372E2">
        <w:rPr>
          <w:rFonts w:eastAsia="Calibri" w:cs="Times New Roman"/>
          <w:color w:val="auto"/>
          <w:szCs w:val="24"/>
        </w:rPr>
        <w:t>6847</w:t>
      </w:r>
      <w:r w:rsidR="00241B01" w:rsidRPr="00B372E2">
        <w:rPr>
          <w:rFonts w:eastAsia="Calibri" w:cs="Times New Roman"/>
          <w:color w:val="auto"/>
          <w:szCs w:val="24"/>
        </w:rPr>
        <w:t xml:space="preserve"> IAW VASRD </w:t>
      </w:r>
      <w:r w:rsidR="00B372E2" w:rsidRPr="00B372E2">
        <w:rPr>
          <w:rFonts w:eastAsia="Calibri" w:cs="Times New Roman"/>
          <w:color w:val="auto"/>
          <w:szCs w:val="24"/>
        </w:rPr>
        <w:t>§4.100</w:t>
      </w:r>
      <w:r w:rsidR="00241B01" w:rsidRPr="00B372E2">
        <w:rPr>
          <w:rFonts w:eastAsia="Calibri" w:cs="Times New Roman"/>
          <w:color w:val="auto"/>
          <w:szCs w:val="24"/>
        </w:rPr>
        <w:t>.</w:t>
      </w:r>
      <w:r w:rsidR="00B372E2">
        <w:rPr>
          <w:rFonts w:eastAsia="Calibri" w:cs="Times New Roman"/>
          <w:color w:val="auto"/>
          <w:szCs w:val="24"/>
        </w:rPr>
        <w:t xml:space="preserve">  </w:t>
      </w:r>
      <w:r w:rsidR="00560F12" w:rsidRPr="00560F12">
        <w:rPr>
          <w:rFonts w:eastAsia="Calibri" w:cs="Times New Roman"/>
          <w:color w:val="auto"/>
          <w:szCs w:val="24"/>
        </w:rPr>
        <w:t xml:space="preserve">In the </w:t>
      </w:r>
      <w:r w:rsidR="00560F12" w:rsidRPr="00B372E2">
        <w:rPr>
          <w:rFonts w:eastAsia="Calibri" w:cs="Times New Roman"/>
          <w:color w:val="auto"/>
          <w:szCs w:val="24"/>
        </w:rPr>
        <w:t xml:space="preserve">matter of the </w:t>
      </w:r>
      <w:r w:rsidR="00B372E2">
        <w:rPr>
          <w:color w:val="000000"/>
        </w:rPr>
        <w:t xml:space="preserve">lumbar spondylosis, </w:t>
      </w:r>
      <w:r w:rsidR="00B372E2" w:rsidRPr="00F55A0C">
        <w:rPr>
          <w:color w:val="000000"/>
        </w:rPr>
        <w:t>bila</w:t>
      </w:r>
      <w:r w:rsidR="00B372E2">
        <w:rPr>
          <w:color w:val="000000"/>
        </w:rPr>
        <w:t xml:space="preserve">teral </w:t>
      </w:r>
      <w:proofErr w:type="spellStart"/>
      <w:r w:rsidR="00B372E2">
        <w:rPr>
          <w:color w:val="000000"/>
        </w:rPr>
        <w:t>cubital</w:t>
      </w:r>
      <w:proofErr w:type="spellEnd"/>
      <w:r w:rsidR="00B372E2">
        <w:rPr>
          <w:color w:val="000000"/>
        </w:rPr>
        <w:t xml:space="preserve"> tunnel syndrome, bilateral pes </w:t>
      </w:r>
      <w:proofErr w:type="spellStart"/>
      <w:r w:rsidR="00B372E2">
        <w:rPr>
          <w:color w:val="000000"/>
        </w:rPr>
        <w:t>planus</w:t>
      </w:r>
      <w:proofErr w:type="spellEnd"/>
      <w:r w:rsidR="00B372E2">
        <w:rPr>
          <w:color w:val="000000"/>
        </w:rPr>
        <w:t xml:space="preserve">, </w:t>
      </w:r>
      <w:r w:rsidR="00B372E2" w:rsidRPr="00F55A0C">
        <w:rPr>
          <w:color w:val="000000"/>
        </w:rPr>
        <w:t>headache</w:t>
      </w:r>
      <w:r w:rsidR="00B372E2">
        <w:rPr>
          <w:color w:val="000000"/>
        </w:rPr>
        <w:t xml:space="preserve">, </w:t>
      </w:r>
      <w:r w:rsidR="00B372E2" w:rsidRPr="00F55A0C">
        <w:rPr>
          <w:color w:val="000000"/>
        </w:rPr>
        <w:t>hypertension</w:t>
      </w:r>
      <w:r w:rsidR="00B372E2">
        <w:rPr>
          <w:color w:val="000000"/>
        </w:rPr>
        <w:t xml:space="preserve">, and </w:t>
      </w:r>
      <w:r w:rsidR="00B372E2" w:rsidRPr="00F55A0C">
        <w:rPr>
          <w:color w:val="000000"/>
        </w:rPr>
        <w:t>tinnitus</w:t>
      </w:r>
      <w:r w:rsidR="00B372E2">
        <w:rPr>
          <w:color w:val="000000"/>
        </w:rPr>
        <w:t xml:space="preserve"> </w:t>
      </w:r>
      <w:r w:rsidR="00560F12" w:rsidRPr="00B372E2">
        <w:rPr>
          <w:rFonts w:eastAsia="Calibri" w:cs="Times New Roman"/>
          <w:color w:val="auto"/>
          <w:szCs w:val="24"/>
        </w:rPr>
        <w:t>conditions</w:t>
      </w:r>
      <w:r w:rsidR="00B372E2">
        <w:rPr>
          <w:rFonts w:eastAsia="Calibri" w:cs="Times New Roman"/>
          <w:color w:val="auto"/>
          <w:szCs w:val="24"/>
        </w:rPr>
        <w:t>;</w:t>
      </w:r>
      <w:r w:rsidR="00560F12" w:rsidRPr="00B372E2">
        <w:rPr>
          <w:rFonts w:eastAsia="Calibri" w:cs="Times New Roman"/>
          <w:color w:val="auto"/>
          <w:szCs w:val="24"/>
        </w:rPr>
        <w:t xml:space="preserve"> the Board unanimously recommends no change from the PEB </w:t>
      </w:r>
      <w:r w:rsidR="00347D0D" w:rsidRPr="00B372E2">
        <w:rPr>
          <w:rFonts w:eastAsia="Calibri" w:cs="Times New Roman"/>
          <w:color w:val="auto"/>
          <w:szCs w:val="24"/>
        </w:rPr>
        <w:t>determinations</w:t>
      </w:r>
      <w:r w:rsidR="00560F12" w:rsidRPr="00B372E2">
        <w:rPr>
          <w:rFonts w:eastAsia="Calibri" w:cs="Times New Roman"/>
          <w:color w:val="auto"/>
          <w:szCs w:val="24"/>
        </w:rPr>
        <w:t xml:space="preserve"> as not unfitting.</w:t>
      </w:r>
      <w:r w:rsidR="00B372E2">
        <w:rPr>
          <w:rFonts w:eastAsia="Calibri" w:cs="Times New Roman"/>
          <w:color w:val="auto"/>
          <w:szCs w:val="24"/>
        </w:rPr>
        <w:t xml:space="preserve">  </w:t>
      </w:r>
      <w:r w:rsidR="00560F12" w:rsidRPr="00560F12">
        <w:rPr>
          <w:rFonts w:eastAsia="Calibri" w:cs="Times New Roman"/>
          <w:color w:val="auto"/>
          <w:szCs w:val="24"/>
        </w:rPr>
        <w:t>The Board unanimously agrees that there were no other conditions eligible for Board consideration which could be recommended as unfitting for additional disability rating.</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B372E2" w:rsidRPr="00565636" w:rsidRDefault="00AD2379" w:rsidP="00B372E2">
      <w:pPr>
        <w:tabs>
          <w:tab w:val="left" w:pos="288"/>
          <w:tab w:val="left" w:pos="4752"/>
        </w:tabs>
        <w:jc w:val="both"/>
        <w:rPr>
          <w:rFonts w:eastAsia="Calibri" w:cs="Times New Roman"/>
          <w:color w:val="auto"/>
          <w:szCs w:val="24"/>
        </w:rPr>
      </w:pPr>
      <w:r w:rsidRPr="009A7578">
        <w:rPr>
          <w:color w:val="000000"/>
          <w:u w:val="single"/>
        </w:rPr>
        <w:t>RECOMMENDATION</w:t>
      </w:r>
      <w:r w:rsidRPr="009A7578">
        <w:rPr>
          <w:color w:val="000000"/>
        </w:rPr>
        <w:t xml:space="preserve">: </w:t>
      </w:r>
      <w:r w:rsidR="00B372E2" w:rsidRPr="00565636">
        <w:rPr>
          <w:rFonts w:eastAsia="Calibri" w:cs="Times New Roman"/>
          <w:color w:val="auto"/>
          <w:szCs w:val="24"/>
        </w:rPr>
        <w:t>The Board recommends that the CI’s prior determination be modified as follows and that the discharge with severance pay be recharacterized to reflect permanent disability retirement, effective as of the date of his prior medical separation</w:t>
      </w:r>
      <w:r w:rsidR="00B14BCC">
        <w:rPr>
          <w:rFonts w:eastAsia="Calibri" w:cs="Times New Roman"/>
          <w:color w:val="auto"/>
          <w:szCs w:val="24"/>
        </w:rPr>
        <w:t>.</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B372E2" w:rsidP="00BF0E94">
            <w:pPr>
              <w:tabs>
                <w:tab w:val="left" w:pos="288"/>
                <w:tab w:val="left" w:pos="4752"/>
              </w:tabs>
              <w:jc w:val="left"/>
              <w:rPr>
                <w:color w:val="000000"/>
              </w:rPr>
            </w:pPr>
            <w:r>
              <w:rPr>
                <w:color w:val="000000"/>
              </w:rPr>
              <w:t>Obstructive Sleep Apnea</w:t>
            </w:r>
          </w:p>
        </w:tc>
        <w:tc>
          <w:tcPr>
            <w:tcW w:w="1530" w:type="dxa"/>
            <w:vAlign w:val="center"/>
          </w:tcPr>
          <w:p w:rsidR="00AD2379" w:rsidRPr="000D5DBE" w:rsidRDefault="00B372E2" w:rsidP="00BF0E94">
            <w:pPr>
              <w:tabs>
                <w:tab w:val="left" w:pos="288"/>
                <w:tab w:val="left" w:pos="4752"/>
              </w:tabs>
              <w:rPr>
                <w:color w:val="000000"/>
              </w:rPr>
            </w:pPr>
            <w:r w:rsidRPr="00B372E2">
              <w:rPr>
                <w:rFonts w:eastAsia="Calibri" w:cs="Times New Roman"/>
                <w:color w:val="auto"/>
                <w:szCs w:val="24"/>
              </w:rPr>
              <w:t>6847</w:t>
            </w:r>
          </w:p>
        </w:tc>
        <w:tc>
          <w:tcPr>
            <w:tcW w:w="1026" w:type="dxa"/>
            <w:vAlign w:val="center"/>
          </w:tcPr>
          <w:p w:rsidR="00AD2379" w:rsidRPr="000D5DBE" w:rsidRDefault="00CF683C" w:rsidP="00BF0E94">
            <w:pPr>
              <w:tabs>
                <w:tab w:val="left" w:pos="288"/>
                <w:tab w:val="left" w:pos="4752"/>
              </w:tabs>
              <w:rPr>
                <w:color w:val="000000"/>
              </w:rPr>
            </w:pPr>
            <w:r>
              <w:rPr>
                <w:color w:val="000000"/>
              </w:rPr>
              <w:t>5</w:t>
            </w:r>
            <w:r w:rsidR="00AD2379" w:rsidRPr="000D5DBE">
              <w:rPr>
                <w:color w:val="000000"/>
              </w:rPr>
              <w:t>0%</w:t>
            </w:r>
          </w:p>
        </w:tc>
      </w:tr>
      <w:tr w:rsidR="00B372E2" w:rsidRPr="000D5DBE" w:rsidTr="00C42AED">
        <w:trPr>
          <w:jc w:val="center"/>
        </w:trPr>
        <w:tc>
          <w:tcPr>
            <w:tcW w:w="6768" w:type="dxa"/>
            <w:vAlign w:val="center"/>
          </w:tcPr>
          <w:p w:rsidR="00B372E2" w:rsidRDefault="00CF683C" w:rsidP="00BF0E94">
            <w:pPr>
              <w:tabs>
                <w:tab w:val="left" w:pos="288"/>
                <w:tab w:val="left" w:pos="4752"/>
              </w:tabs>
              <w:jc w:val="left"/>
              <w:rPr>
                <w:color w:val="000000"/>
              </w:rPr>
            </w:pPr>
            <w:r>
              <w:rPr>
                <w:color w:val="000000"/>
              </w:rPr>
              <w:t>Degenerative Disc Disease, Cervical Spine</w:t>
            </w:r>
          </w:p>
        </w:tc>
        <w:tc>
          <w:tcPr>
            <w:tcW w:w="1530" w:type="dxa"/>
            <w:vAlign w:val="center"/>
          </w:tcPr>
          <w:p w:rsidR="00B372E2" w:rsidRPr="00CF683C" w:rsidRDefault="00CF683C" w:rsidP="00BF0E94">
            <w:pPr>
              <w:tabs>
                <w:tab w:val="left" w:pos="288"/>
                <w:tab w:val="left" w:pos="4752"/>
              </w:tabs>
              <w:rPr>
                <w:color w:val="000000"/>
                <w:szCs w:val="24"/>
              </w:rPr>
            </w:pPr>
            <w:r w:rsidRPr="00CF683C">
              <w:rPr>
                <w:color w:val="000000" w:themeColor="text1"/>
                <w:szCs w:val="24"/>
              </w:rPr>
              <w:t>5299-5242</w:t>
            </w:r>
          </w:p>
        </w:tc>
        <w:tc>
          <w:tcPr>
            <w:tcW w:w="1026" w:type="dxa"/>
            <w:vAlign w:val="center"/>
          </w:tcPr>
          <w:p w:rsidR="00B372E2" w:rsidRDefault="00CF683C" w:rsidP="00BF0E94">
            <w:pPr>
              <w:tabs>
                <w:tab w:val="left" w:pos="288"/>
                <w:tab w:val="left" w:pos="4752"/>
              </w:tabs>
              <w:rPr>
                <w:color w:val="000000"/>
              </w:rPr>
            </w:pPr>
            <w:r>
              <w:rPr>
                <w:color w:val="000000"/>
              </w:rPr>
              <w:t>10%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CF683C" w:rsidP="00BF0E94">
            <w:pPr>
              <w:tabs>
                <w:tab w:val="left" w:pos="288"/>
                <w:tab w:val="left" w:pos="4752"/>
              </w:tabs>
              <w:rPr>
                <w:b/>
                <w:color w:val="000000"/>
              </w:rPr>
            </w:pPr>
            <w:r>
              <w:rPr>
                <w:b/>
                <w:color w:val="000000"/>
              </w:rPr>
              <w:t>6</w:t>
            </w:r>
            <w:r w:rsidR="00AD2379"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CF683C" w:rsidRDefault="00CF683C">
      <w:pPr>
        <w:spacing w:line="240" w:lineRule="auto"/>
        <w:jc w:val="left"/>
        <w:rPr>
          <w:color w:val="000000"/>
        </w:rPr>
      </w:pPr>
      <w:r>
        <w:rPr>
          <w:color w:val="000000"/>
        </w:rPr>
        <w:br w:type="page"/>
      </w:r>
    </w:p>
    <w:p w:rsidR="00AD2379" w:rsidRDefault="00AD2379" w:rsidP="00BF0E94">
      <w:pPr>
        <w:tabs>
          <w:tab w:val="left" w:pos="288"/>
          <w:tab w:val="left" w:pos="4752"/>
        </w:tabs>
        <w:jc w:val="both"/>
        <w:rPr>
          <w:color w:val="000000"/>
        </w:rPr>
      </w:pPr>
      <w:r w:rsidRPr="001F29F9">
        <w:rPr>
          <w:color w:val="000000"/>
        </w:rPr>
        <w:lastRenderedPageBreak/>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951096" w:rsidRPr="001F29F9">
        <w:rPr>
          <w:color w:val="000000" w:themeColor="text1"/>
          <w:szCs w:val="24"/>
        </w:rPr>
        <w:t>201</w:t>
      </w:r>
      <w:r w:rsidR="00951096">
        <w:rPr>
          <w:color w:val="000000" w:themeColor="text1"/>
          <w:szCs w:val="24"/>
        </w:rPr>
        <w:t>10730</w:t>
      </w:r>
      <w:r w:rsidR="009A1AE3">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w:t>
      </w:r>
      <w:r w:rsidR="009A1AE3">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Veterans</w:t>
      </w:r>
      <w:r w:rsidR="009A1AE3">
        <w:rPr>
          <w:color w:val="000000"/>
        </w:rPr>
        <w:t>’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8902DD">
        <w:rPr>
          <w:color w:val="000000"/>
        </w:rPr>
        <w:t>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8902DD" w:rsidRDefault="00AD2379" w:rsidP="00BF0E94">
      <w:pPr>
        <w:tabs>
          <w:tab w:val="left" w:pos="0"/>
          <w:tab w:val="left" w:pos="4320"/>
        </w:tabs>
        <w:jc w:val="both"/>
        <w:rPr>
          <w:color w:val="000000"/>
        </w:rPr>
      </w:pPr>
      <w:r w:rsidRPr="001F29F9">
        <w:rPr>
          <w:color w:val="000000"/>
        </w:rPr>
        <w:tab/>
        <w:t xml:space="preserve">           Physical Disability Board of Review</w:t>
      </w:r>
    </w:p>
    <w:p w:rsidR="008902DD" w:rsidRDefault="008902DD" w:rsidP="008902DD">
      <w:pPr>
        <w:spacing w:line="240" w:lineRule="auto"/>
        <w:jc w:val="left"/>
        <w:rPr>
          <w:color w:val="000000"/>
        </w:rPr>
      </w:pPr>
      <w:r>
        <w:rPr>
          <w:color w:val="000000"/>
        </w:rPr>
        <w:br w:type="page"/>
      </w:r>
    </w:p>
    <w:p w:rsidR="008902DD" w:rsidRDefault="008902DD" w:rsidP="008902DD">
      <w:pPr>
        <w:pStyle w:val="Header"/>
        <w:tabs>
          <w:tab w:val="left" w:pos="720"/>
        </w:tabs>
        <w:jc w:val="left"/>
      </w:pPr>
      <w:r>
        <w:lastRenderedPageBreak/>
        <w:t>SFMR-RB</w:t>
      </w:r>
      <w:r>
        <w:tab/>
      </w:r>
      <w:r>
        <w:tab/>
      </w:r>
      <w:r>
        <w:tab/>
      </w:r>
      <w:r>
        <w:tab/>
      </w:r>
      <w:r>
        <w:tab/>
      </w:r>
      <w:r>
        <w:tab/>
      </w:r>
      <w:r>
        <w:tab/>
      </w:r>
      <w:r>
        <w:tab/>
      </w:r>
      <w:r>
        <w:tab/>
      </w:r>
    </w:p>
    <w:p w:rsidR="008902DD" w:rsidRDefault="008902DD" w:rsidP="008902DD">
      <w:pPr>
        <w:pStyle w:val="Header"/>
        <w:tabs>
          <w:tab w:val="left" w:pos="720"/>
        </w:tabs>
        <w:jc w:val="left"/>
      </w:pPr>
    </w:p>
    <w:p w:rsidR="008902DD" w:rsidRDefault="008902DD" w:rsidP="008902DD">
      <w:pPr>
        <w:jc w:val="left"/>
      </w:pPr>
    </w:p>
    <w:p w:rsidR="008902DD" w:rsidRDefault="008902DD" w:rsidP="008902DD">
      <w:pPr>
        <w:jc w:val="left"/>
      </w:pPr>
      <w:r>
        <w:t xml:space="preserve">MEMORANDUM FOR Commander, US Army Physical Disability Agency </w:t>
      </w:r>
    </w:p>
    <w:p w:rsidR="008902DD" w:rsidRDefault="008902DD" w:rsidP="008902DD">
      <w:pPr>
        <w:jc w:val="left"/>
      </w:pPr>
      <w:r>
        <w:t>(TAPD-ZB/), 2900 Crystal Drive, Suite 300, Arlington, VA  22202</w:t>
      </w:r>
    </w:p>
    <w:p w:rsidR="008902DD" w:rsidRDefault="008902DD" w:rsidP="008902DD">
      <w:pPr>
        <w:jc w:val="left"/>
      </w:pPr>
    </w:p>
    <w:p w:rsidR="008902DD" w:rsidRDefault="008902DD" w:rsidP="008902DD">
      <w:pPr>
        <w:ind w:right="-180"/>
        <w:jc w:val="left"/>
      </w:pPr>
      <w:r>
        <w:t xml:space="preserve">SUBJECT:  Department of Defense Physical Disability Board of Review Recommendation </w:t>
      </w:r>
    </w:p>
    <w:p w:rsidR="008902DD" w:rsidRDefault="008902DD" w:rsidP="008902DD">
      <w:pPr>
        <w:pStyle w:val="Header"/>
        <w:tabs>
          <w:tab w:val="left" w:pos="720"/>
        </w:tabs>
        <w:jc w:val="left"/>
      </w:pPr>
      <w:proofErr w:type="gramStart"/>
      <w:r>
        <w:t>for</w:t>
      </w:r>
      <w:proofErr w:type="gramEnd"/>
      <w:r>
        <w:t xml:space="preserve"> XXXXXXXXXXXX, AR20120008653 (PD201100557)</w:t>
      </w:r>
    </w:p>
    <w:p w:rsidR="008902DD" w:rsidRDefault="008902DD" w:rsidP="008902DD">
      <w:pPr>
        <w:pStyle w:val="Header"/>
        <w:tabs>
          <w:tab w:val="left" w:pos="720"/>
        </w:tabs>
        <w:jc w:val="left"/>
      </w:pPr>
    </w:p>
    <w:p w:rsidR="008902DD" w:rsidRDefault="008902DD" w:rsidP="008902DD">
      <w:pPr>
        <w:jc w:val="left"/>
      </w:pPr>
    </w:p>
    <w:p w:rsidR="008902DD" w:rsidRDefault="008902DD" w:rsidP="008902DD">
      <w:pPr>
        <w:jc w:val="left"/>
      </w:pPr>
      <w:r>
        <w:t xml:space="preserve">1.  Under the authority of Title 10, United States Code, section 1554(a), I approve the enclosed recommendation of the Department of Defense Physical Disability Board of Review (DoD PDBR) pertaining to the individual named in the subject line above to </w:t>
      </w:r>
      <w:proofErr w:type="spellStart"/>
      <w:r>
        <w:t>recharacterize</w:t>
      </w:r>
      <w:proofErr w:type="spellEnd"/>
      <w:r>
        <w:t xml:space="preserve"> the individual’s separation as a permanent disability retirement with the combined disability rating of 60% effective the date of the individual’s original medical separation for disability with severance pay.  </w:t>
      </w:r>
    </w:p>
    <w:p w:rsidR="008902DD" w:rsidRDefault="008902DD" w:rsidP="008902DD">
      <w:pPr>
        <w:jc w:val="left"/>
      </w:pPr>
    </w:p>
    <w:p w:rsidR="008902DD" w:rsidRDefault="008902DD" w:rsidP="008902DD">
      <w:pPr>
        <w:jc w:val="left"/>
      </w:pPr>
      <w:r>
        <w:t>2.  I direct that all the Department of the Army records of the individual concerned be corrected accordingly no later than 120 days from the date of this memorandum:</w:t>
      </w:r>
    </w:p>
    <w:p w:rsidR="008902DD" w:rsidRDefault="008902DD" w:rsidP="008902DD">
      <w:pPr>
        <w:jc w:val="left"/>
      </w:pPr>
    </w:p>
    <w:p w:rsidR="008902DD" w:rsidRDefault="008902DD" w:rsidP="008902DD">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8902DD" w:rsidRDefault="008902DD" w:rsidP="008902DD">
      <w:pPr>
        <w:jc w:val="left"/>
      </w:pPr>
    </w:p>
    <w:p w:rsidR="008902DD" w:rsidRDefault="008902DD" w:rsidP="008902DD">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8902DD" w:rsidRDefault="008902DD" w:rsidP="008902DD">
      <w:pPr>
        <w:jc w:val="left"/>
      </w:pPr>
    </w:p>
    <w:p w:rsidR="008902DD" w:rsidRDefault="008902DD" w:rsidP="008902DD">
      <w:pPr>
        <w:jc w:val="left"/>
      </w:pPr>
      <w:r>
        <w:tab/>
      </w:r>
      <w:proofErr w:type="gramStart"/>
      <w:r>
        <w:t>c.  Adjusting</w:t>
      </w:r>
      <w:proofErr w:type="gramEnd"/>
      <w:r>
        <w:t xml:space="preserve"> pay and allowances accordingly.  Pay and allowance adjustment will account for recoupment of severance pay, and payment of permanent retired pay at 60% effective the date of the original medical separation for disability with severance pay.</w:t>
      </w:r>
    </w:p>
    <w:p w:rsidR="008902DD" w:rsidRDefault="008902DD" w:rsidP="008902DD">
      <w:pPr>
        <w:jc w:val="left"/>
      </w:pPr>
    </w:p>
    <w:p w:rsidR="008902DD" w:rsidRDefault="008902DD" w:rsidP="008902DD">
      <w:pPr>
        <w:jc w:val="left"/>
      </w:pPr>
      <w:r>
        <w:tab/>
      </w:r>
      <w:proofErr w:type="gramStart"/>
      <w:r>
        <w:t>d.  Affording</w:t>
      </w:r>
      <w:proofErr w:type="gramEnd"/>
      <w:r>
        <w:t xml:space="preserve"> the individual the opportunity to elect Survivor Benefit Plan (SBP) and medical TRICARE retiree options.</w:t>
      </w:r>
    </w:p>
    <w:p w:rsidR="008902DD" w:rsidRDefault="008902DD" w:rsidP="008902DD">
      <w:pPr>
        <w:jc w:val="left"/>
      </w:pPr>
    </w:p>
    <w:p w:rsidR="008902DD" w:rsidRDefault="008902DD" w:rsidP="008902DD">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8902DD" w:rsidRDefault="008902DD" w:rsidP="008902DD">
      <w:pPr>
        <w:jc w:val="left"/>
      </w:pPr>
    </w:p>
    <w:p w:rsidR="008902DD" w:rsidRDefault="008902DD" w:rsidP="008902DD">
      <w:pPr>
        <w:jc w:val="left"/>
      </w:pPr>
      <w:r>
        <w:t>BY ORDER OF THE SECRETARY OF THE ARMY:</w:t>
      </w:r>
    </w:p>
    <w:p w:rsidR="008902DD" w:rsidRDefault="008902DD" w:rsidP="008902DD">
      <w:pPr>
        <w:jc w:val="left"/>
      </w:pPr>
    </w:p>
    <w:p w:rsidR="008902DD" w:rsidRDefault="008902DD" w:rsidP="008902DD">
      <w:pPr>
        <w:jc w:val="left"/>
      </w:pPr>
    </w:p>
    <w:p w:rsidR="008902DD" w:rsidRDefault="008902DD" w:rsidP="008902DD">
      <w:pPr>
        <w:pStyle w:val="Header"/>
        <w:tabs>
          <w:tab w:val="left" w:pos="720"/>
        </w:tabs>
        <w:jc w:val="left"/>
      </w:pPr>
    </w:p>
    <w:p w:rsidR="008902DD" w:rsidRDefault="008902DD" w:rsidP="008902DD">
      <w:pPr>
        <w:jc w:val="left"/>
      </w:pPr>
    </w:p>
    <w:p w:rsidR="008902DD" w:rsidRDefault="008902DD" w:rsidP="008902DD">
      <w:pPr>
        <w:jc w:val="left"/>
      </w:pPr>
      <w:bookmarkStart w:id="0" w:name="OLE_LINK4"/>
      <w:bookmarkStart w:id="1" w:name="OLE_LINK3"/>
      <w:r>
        <w:t>Encl</w:t>
      </w:r>
      <w:r>
        <w:tab/>
      </w:r>
      <w:r>
        <w:tab/>
      </w:r>
      <w:r>
        <w:tab/>
      </w:r>
      <w:r>
        <w:tab/>
      </w:r>
      <w:r>
        <w:tab/>
      </w:r>
      <w:r>
        <w:tab/>
        <w:t xml:space="preserve">     XXXXXXXXXXXX</w:t>
      </w:r>
    </w:p>
    <w:p w:rsidR="008902DD" w:rsidRDefault="008902DD" w:rsidP="008902DD">
      <w:pPr>
        <w:jc w:val="left"/>
      </w:pPr>
      <w:r>
        <w:tab/>
      </w:r>
      <w:r>
        <w:tab/>
      </w:r>
      <w:r>
        <w:tab/>
      </w:r>
      <w:r>
        <w:tab/>
      </w:r>
      <w:r>
        <w:tab/>
      </w:r>
      <w:r>
        <w:tab/>
        <w:t xml:space="preserve">     Deputy Assistant Secretary</w:t>
      </w:r>
    </w:p>
    <w:p w:rsidR="008902DD" w:rsidRDefault="008902DD" w:rsidP="008902DD">
      <w:pPr>
        <w:jc w:val="left"/>
      </w:pPr>
      <w:r>
        <w:tab/>
      </w:r>
      <w:r>
        <w:tab/>
      </w:r>
      <w:r>
        <w:tab/>
      </w:r>
      <w:r>
        <w:tab/>
      </w:r>
      <w:r>
        <w:tab/>
      </w:r>
      <w:r>
        <w:tab/>
        <w:t xml:space="preserve">         (Army Review Boards)</w:t>
      </w:r>
      <w:bookmarkEnd w:id="0"/>
      <w:bookmarkEnd w:id="1"/>
    </w:p>
    <w:p w:rsidR="008902DD" w:rsidRDefault="008902DD" w:rsidP="008902DD">
      <w:pPr>
        <w:jc w:val="left"/>
      </w:pPr>
    </w:p>
    <w:p w:rsidR="008902DD" w:rsidRDefault="008902DD" w:rsidP="008902DD">
      <w:pPr>
        <w:jc w:val="left"/>
      </w:pPr>
      <w:r>
        <w:t xml:space="preserve">CF: </w:t>
      </w:r>
    </w:p>
    <w:p w:rsidR="008902DD" w:rsidRDefault="008902DD" w:rsidP="008902DD">
      <w:pPr>
        <w:jc w:val="left"/>
      </w:pPr>
      <w:r>
        <w:t xml:space="preserve">(  ) </w:t>
      </w:r>
      <w:proofErr w:type="gramStart"/>
      <w:r>
        <w:t>DoD</w:t>
      </w:r>
      <w:proofErr w:type="gramEnd"/>
      <w:r>
        <w:t xml:space="preserve"> PDBR</w:t>
      </w:r>
    </w:p>
    <w:p w:rsidR="008902DD" w:rsidRDefault="008902DD" w:rsidP="008902DD">
      <w:pPr>
        <w:jc w:val="left"/>
      </w:pPr>
      <w:r>
        <w:t>(  ) DVA</w:t>
      </w:r>
    </w:p>
    <w:p w:rsidR="00AD2379" w:rsidRPr="001F29F9" w:rsidRDefault="00AD2379" w:rsidP="008902DD">
      <w:pPr>
        <w:tabs>
          <w:tab w:val="left" w:pos="0"/>
          <w:tab w:val="left" w:pos="4320"/>
        </w:tabs>
        <w:jc w:val="left"/>
        <w:rPr>
          <w:color w:val="000000"/>
        </w:rPr>
      </w:pPr>
    </w:p>
    <w:sectPr w:rsidR="00AD2379" w:rsidRPr="001F29F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5BE" w:rsidRDefault="004125BE">
      <w:r>
        <w:separator/>
      </w:r>
    </w:p>
  </w:endnote>
  <w:endnote w:type="continuationSeparator" w:id="0">
    <w:p w:rsidR="004125BE" w:rsidRDefault="004125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fldSimple w:instr=" PAGE   \* MERGEFORMAT ">
      <w:r w:rsidR="00F74C88" w:rsidRPr="00F74C88">
        <w:rPr>
          <w:noProof/>
          <w:color w:val="auto"/>
        </w:rPr>
        <w:t>5</w:t>
      </w:r>
    </w:fldSimple>
    <w:r w:rsidRPr="00374247">
      <w:rPr>
        <w:color w:val="auto"/>
      </w:rPr>
      <w:t xml:space="preserve">                                                           </w:t>
    </w:r>
    <w:r w:rsidRPr="001D64F3">
      <w:rPr>
        <w:color w:val="auto"/>
      </w:rPr>
      <w:t>PD1</w:t>
    </w:r>
    <w:r w:rsidRPr="009369A6">
      <w:rPr>
        <w:color w:val="auto"/>
      </w:rPr>
      <w:t>100</w:t>
    </w:r>
    <w:r w:rsidR="00B14BCC">
      <w:rPr>
        <w:color w:val="auto"/>
      </w:rPr>
      <w:t>5</w:t>
    </w:r>
    <w:r w:rsidRPr="009369A6">
      <w:rPr>
        <w:color w:val="auto"/>
      </w:rPr>
      <w:t>57</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5BE" w:rsidRDefault="004125BE">
      <w:r>
        <w:separator/>
      </w:r>
    </w:p>
  </w:footnote>
  <w:footnote w:type="continuationSeparator" w:id="0">
    <w:p w:rsidR="004125BE" w:rsidRDefault="004125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5D7B"/>
    <w:rsid w:val="0008708B"/>
    <w:rsid w:val="00092619"/>
    <w:rsid w:val="00092C66"/>
    <w:rsid w:val="00092CC9"/>
    <w:rsid w:val="00094644"/>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3740"/>
    <w:rsid w:val="001537D8"/>
    <w:rsid w:val="00153BC0"/>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3C"/>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BD1"/>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5F91"/>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1F66"/>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4C19"/>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0E5"/>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531"/>
    <w:rsid w:val="004026FC"/>
    <w:rsid w:val="00403BFB"/>
    <w:rsid w:val="00404B45"/>
    <w:rsid w:val="00405BCF"/>
    <w:rsid w:val="004068E0"/>
    <w:rsid w:val="00406CC5"/>
    <w:rsid w:val="00406FCA"/>
    <w:rsid w:val="004074A4"/>
    <w:rsid w:val="004101B2"/>
    <w:rsid w:val="004123D7"/>
    <w:rsid w:val="004125BE"/>
    <w:rsid w:val="00412658"/>
    <w:rsid w:val="004129DA"/>
    <w:rsid w:val="00415EA4"/>
    <w:rsid w:val="0041604B"/>
    <w:rsid w:val="004172DB"/>
    <w:rsid w:val="004174F0"/>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63A6"/>
    <w:rsid w:val="00497156"/>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40C"/>
    <w:rsid w:val="004B6A1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A9"/>
    <w:rsid w:val="005404CD"/>
    <w:rsid w:val="00540BE0"/>
    <w:rsid w:val="00540BEF"/>
    <w:rsid w:val="00542022"/>
    <w:rsid w:val="00542B34"/>
    <w:rsid w:val="00542C9A"/>
    <w:rsid w:val="005436C2"/>
    <w:rsid w:val="005442D4"/>
    <w:rsid w:val="0054586A"/>
    <w:rsid w:val="00545C4F"/>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07E"/>
    <w:rsid w:val="00562A94"/>
    <w:rsid w:val="00563FAD"/>
    <w:rsid w:val="00565636"/>
    <w:rsid w:val="005701C1"/>
    <w:rsid w:val="005703BF"/>
    <w:rsid w:val="00570754"/>
    <w:rsid w:val="005709F7"/>
    <w:rsid w:val="00570E36"/>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3B28"/>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3B1"/>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2685"/>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F0F9C"/>
    <w:rsid w:val="006F149D"/>
    <w:rsid w:val="006F1A46"/>
    <w:rsid w:val="006F45A0"/>
    <w:rsid w:val="006F4F06"/>
    <w:rsid w:val="006F5A4E"/>
    <w:rsid w:val="006F5D37"/>
    <w:rsid w:val="006F6005"/>
    <w:rsid w:val="006F610D"/>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1D6"/>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235B"/>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17E"/>
    <w:rsid w:val="007968AC"/>
    <w:rsid w:val="007969AB"/>
    <w:rsid w:val="007973D8"/>
    <w:rsid w:val="00797801"/>
    <w:rsid w:val="007A0115"/>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765"/>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97D"/>
    <w:rsid w:val="00842BAA"/>
    <w:rsid w:val="00842D8F"/>
    <w:rsid w:val="0084374E"/>
    <w:rsid w:val="00844319"/>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2CC2"/>
    <w:rsid w:val="00883103"/>
    <w:rsid w:val="0088325A"/>
    <w:rsid w:val="00883930"/>
    <w:rsid w:val="00884535"/>
    <w:rsid w:val="008902BE"/>
    <w:rsid w:val="008902DD"/>
    <w:rsid w:val="0089038F"/>
    <w:rsid w:val="00890CDA"/>
    <w:rsid w:val="00891BBA"/>
    <w:rsid w:val="00892079"/>
    <w:rsid w:val="00892B90"/>
    <w:rsid w:val="00896535"/>
    <w:rsid w:val="00896683"/>
    <w:rsid w:val="00896E71"/>
    <w:rsid w:val="0089750B"/>
    <w:rsid w:val="00897589"/>
    <w:rsid w:val="00897E2A"/>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5196"/>
    <w:rsid w:val="00917182"/>
    <w:rsid w:val="00920251"/>
    <w:rsid w:val="00920259"/>
    <w:rsid w:val="00921CFD"/>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1096"/>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D33"/>
    <w:rsid w:val="00994FC8"/>
    <w:rsid w:val="009A0346"/>
    <w:rsid w:val="009A0DE3"/>
    <w:rsid w:val="009A1643"/>
    <w:rsid w:val="009A1AE3"/>
    <w:rsid w:val="009A215A"/>
    <w:rsid w:val="009A26B9"/>
    <w:rsid w:val="009A49D3"/>
    <w:rsid w:val="009A4F1B"/>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17257"/>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6444"/>
    <w:rsid w:val="00A36CD4"/>
    <w:rsid w:val="00A40356"/>
    <w:rsid w:val="00A40FFB"/>
    <w:rsid w:val="00A41468"/>
    <w:rsid w:val="00A414A9"/>
    <w:rsid w:val="00A44141"/>
    <w:rsid w:val="00A44CCA"/>
    <w:rsid w:val="00A44D75"/>
    <w:rsid w:val="00A47CF1"/>
    <w:rsid w:val="00A50418"/>
    <w:rsid w:val="00A50B17"/>
    <w:rsid w:val="00A5320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1426"/>
    <w:rsid w:val="00AC37BE"/>
    <w:rsid w:val="00AC439D"/>
    <w:rsid w:val="00AC4BA1"/>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00DD"/>
    <w:rsid w:val="00B1176B"/>
    <w:rsid w:val="00B11858"/>
    <w:rsid w:val="00B13A51"/>
    <w:rsid w:val="00B140B8"/>
    <w:rsid w:val="00B14BCC"/>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2E2"/>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6D6F"/>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683C"/>
    <w:rsid w:val="00CF6BF0"/>
    <w:rsid w:val="00CF7B72"/>
    <w:rsid w:val="00CF7FC0"/>
    <w:rsid w:val="00D000A9"/>
    <w:rsid w:val="00D00384"/>
    <w:rsid w:val="00D005DB"/>
    <w:rsid w:val="00D0064E"/>
    <w:rsid w:val="00D00981"/>
    <w:rsid w:val="00D02596"/>
    <w:rsid w:val="00D0280D"/>
    <w:rsid w:val="00D02AEF"/>
    <w:rsid w:val="00D03C03"/>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106"/>
    <w:rsid w:val="00D40B1F"/>
    <w:rsid w:val="00D40D75"/>
    <w:rsid w:val="00D43978"/>
    <w:rsid w:val="00D43CBD"/>
    <w:rsid w:val="00D441F1"/>
    <w:rsid w:val="00D449F0"/>
    <w:rsid w:val="00D45319"/>
    <w:rsid w:val="00D462D7"/>
    <w:rsid w:val="00D46A33"/>
    <w:rsid w:val="00D5062C"/>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A3C"/>
    <w:rsid w:val="00DC4FA4"/>
    <w:rsid w:val="00DC5028"/>
    <w:rsid w:val="00DC5B37"/>
    <w:rsid w:val="00DD286D"/>
    <w:rsid w:val="00DD2CAF"/>
    <w:rsid w:val="00DD3593"/>
    <w:rsid w:val="00DD462A"/>
    <w:rsid w:val="00DD64E0"/>
    <w:rsid w:val="00DD775C"/>
    <w:rsid w:val="00DD7BE0"/>
    <w:rsid w:val="00DE0C67"/>
    <w:rsid w:val="00DE3555"/>
    <w:rsid w:val="00DE3AAD"/>
    <w:rsid w:val="00DE598A"/>
    <w:rsid w:val="00DE5A80"/>
    <w:rsid w:val="00DE6952"/>
    <w:rsid w:val="00DE6FBE"/>
    <w:rsid w:val="00DE7A7D"/>
    <w:rsid w:val="00DE7E74"/>
    <w:rsid w:val="00DF071B"/>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2405"/>
    <w:rsid w:val="00E738CB"/>
    <w:rsid w:val="00E73C88"/>
    <w:rsid w:val="00E73DBD"/>
    <w:rsid w:val="00E73E21"/>
    <w:rsid w:val="00E74437"/>
    <w:rsid w:val="00E7443D"/>
    <w:rsid w:val="00E75ACE"/>
    <w:rsid w:val="00E771AF"/>
    <w:rsid w:val="00E80386"/>
    <w:rsid w:val="00E809C3"/>
    <w:rsid w:val="00E814D4"/>
    <w:rsid w:val="00E81A1A"/>
    <w:rsid w:val="00E81B36"/>
    <w:rsid w:val="00E81C3E"/>
    <w:rsid w:val="00E82359"/>
    <w:rsid w:val="00E82B6D"/>
    <w:rsid w:val="00E83187"/>
    <w:rsid w:val="00E831E9"/>
    <w:rsid w:val="00E84DDA"/>
    <w:rsid w:val="00E8608F"/>
    <w:rsid w:val="00E86C1D"/>
    <w:rsid w:val="00E90703"/>
    <w:rsid w:val="00E90A62"/>
    <w:rsid w:val="00E9265E"/>
    <w:rsid w:val="00E94039"/>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5A0C"/>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4C88"/>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7B8"/>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61BD"/>
    <w:rsid w:val="00FF6BB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3662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2012-05-02T13:11:00Z</cp:lastPrinted>
  <dcterms:created xsi:type="dcterms:W3CDTF">2012-05-31T16:10:00Z</dcterms:created>
  <dcterms:modified xsi:type="dcterms:W3CDTF">2012-06-05T15:46:00Z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