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612A23" w:rsidRDefault="0095270D" w:rsidP="00DD5558">
      <w:pPr>
        <w:tabs>
          <w:tab w:val="right" w:pos="9360"/>
        </w:tabs>
        <w:jc w:val="both"/>
        <w:rPr>
          <w:caps/>
          <w:color w:val="auto"/>
        </w:rPr>
      </w:pPr>
      <w:r w:rsidRPr="00612A23">
        <w:rPr>
          <w:caps/>
          <w:color w:val="auto"/>
        </w:rPr>
        <w:t xml:space="preserve">NAME:  </w:t>
      </w:r>
      <w:r w:rsidR="002C09B5">
        <w:rPr>
          <w:caps/>
          <w:color w:val="auto"/>
        </w:rPr>
        <w:t>XXXXXXXXXXXX</w:t>
      </w:r>
      <w:r w:rsidR="00017D31">
        <w:rPr>
          <w:caps/>
          <w:color w:val="auto"/>
        </w:rPr>
        <w:t xml:space="preserve">                                                             </w:t>
      </w:r>
      <w:r w:rsidR="000725BE">
        <w:rPr>
          <w:caps/>
          <w:color w:val="auto"/>
        </w:rPr>
        <w:t xml:space="preserve">  </w:t>
      </w:r>
      <w:r w:rsidR="00A23B5D">
        <w:rPr>
          <w:caps/>
          <w:color w:val="auto"/>
        </w:rPr>
        <w:t xml:space="preserve">    </w:t>
      </w:r>
      <w:r w:rsidR="000725BE">
        <w:rPr>
          <w:caps/>
          <w:color w:val="auto"/>
        </w:rPr>
        <w:t xml:space="preserve"> </w:t>
      </w:r>
      <w:r w:rsidRPr="00612A23">
        <w:rPr>
          <w:caps/>
          <w:color w:val="auto"/>
        </w:rPr>
        <w:t xml:space="preserve">BRANCH OF SERVICE:  </w:t>
      </w:r>
      <w:r w:rsidR="0018208F" w:rsidRPr="00612A23">
        <w:rPr>
          <w:caps/>
          <w:color w:val="auto"/>
        </w:rPr>
        <w:t xml:space="preserve"> </w:t>
      </w:r>
      <w:r w:rsidR="00DF70F4" w:rsidRPr="00612A23">
        <w:rPr>
          <w:caps/>
          <w:color w:val="auto"/>
        </w:rPr>
        <w:t>Army</w:t>
      </w:r>
    </w:p>
    <w:p w:rsidR="0095270D" w:rsidRPr="00612A23" w:rsidRDefault="0095270D" w:rsidP="00DD5558">
      <w:pPr>
        <w:tabs>
          <w:tab w:val="right" w:pos="9360"/>
        </w:tabs>
        <w:jc w:val="both"/>
        <w:rPr>
          <w:color w:val="auto"/>
        </w:rPr>
      </w:pPr>
      <w:r w:rsidRPr="00612A23">
        <w:rPr>
          <w:caps/>
          <w:color w:val="auto"/>
        </w:rPr>
        <w:t>CASE NUMBER:  PD1100</w:t>
      </w:r>
      <w:r w:rsidR="00017D31">
        <w:rPr>
          <w:caps/>
          <w:color w:val="auto"/>
        </w:rPr>
        <w:t>556</w:t>
      </w:r>
      <w:r w:rsidR="00DD5558" w:rsidRPr="00612A23">
        <w:rPr>
          <w:color w:val="auto"/>
        </w:rPr>
        <w:tab/>
      </w:r>
      <w:r w:rsidR="0018208F" w:rsidRPr="00612A23">
        <w:rPr>
          <w:color w:val="auto"/>
        </w:rPr>
        <w:t>SE</w:t>
      </w:r>
      <w:r w:rsidRPr="00612A23">
        <w:rPr>
          <w:color w:val="auto"/>
        </w:rPr>
        <w:t>PARATION DATE:  200</w:t>
      </w:r>
      <w:r w:rsidR="00017D31">
        <w:rPr>
          <w:color w:val="auto"/>
        </w:rPr>
        <w:t>80430</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612A23">
        <w:rPr>
          <w:caps/>
          <w:color w:val="auto"/>
        </w:rPr>
        <w:t>BOARD DATE:  2012</w:t>
      </w:r>
      <w:r w:rsidR="00776A4E">
        <w:rPr>
          <w:caps/>
          <w:color w:val="auto"/>
        </w:rPr>
        <w:t>0726</w:t>
      </w:r>
      <w:r w:rsidR="00017D31">
        <w:rPr>
          <w:caps/>
          <w:color w:val="auto"/>
          <w:szCs w:val="24"/>
        </w:rPr>
        <w:t xml:space="preserve"> </w:t>
      </w:r>
      <w:r w:rsidR="000725BE">
        <w:rPr>
          <w:caps/>
          <w:color w:val="auto"/>
          <w:szCs w:val="24"/>
        </w:rPr>
        <w:t xml:space="preserve">                  </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66684A" w:rsidRPr="00F64312" w:rsidRDefault="00AD2379" w:rsidP="000725BE">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w:t>
      </w:r>
      <w:r w:rsidR="00017D31" w:rsidRPr="001F29F9">
        <w:rPr>
          <w:color w:val="000000" w:themeColor="text1"/>
        </w:rPr>
        <w:t xml:space="preserve">Data extracted from the available evidence of record reflects that this covered individual (CI) </w:t>
      </w:r>
      <w:r w:rsidR="00017D31" w:rsidRPr="001F29F9">
        <w:rPr>
          <w:color w:val="000000" w:themeColor="text1"/>
          <w:szCs w:val="24"/>
        </w:rPr>
        <w:t>was an active duty</w:t>
      </w:r>
      <w:r w:rsidR="00017D31">
        <w:rPr>
          <w:color w:val="000000" w:themeColor="text1"/>
          <w:szCs w:val="24"/>
        </w:rPr>
        <w:t xml:space="preserve"> SSG/E6 (11B, Infantry) </w:t>
      </w:r>
      <w:r w:rsidR="00017D31" w:rsidRPr="001F29F9">
        <w:rPr>
          <w:color w:val="000000" w:themeColor="text1"/>
          <w:szCs w:val="24"/>
        </w:rPr>
        <w:t xml:space="preserve">medically separated for </w:t>
      </w:r>
      <w:r w:rsidR="00017D31">
        <w:rPr>
          <w:color w:val="000000" w:themeColor="text1"/>
          <w:szCs w:val="24"/>
        </w:rPr>
        <w:t xml:space="preserve">bilateral sensorineural hearing loss (SNHL).  </w:t>
      </w:r>
      <w:r w:rsidR="00E04061" w:rsidRPr="0060347C">
        <w:rPr>
          <w:color w:val="000000" w:themeColor="text1"/>
          <w:szCs w:val="24"/>
        </w:rPr>
        <w:t xml:space="preserve">Bilateral </w:t>
      </w:r>
      <w:r w:rsidR="00C31FB0">
        <w:rPr>
          <w:color w:val="000000" w:themeColor="text1"/>
          <w:szCs w:val="24"/>
        </w:rPr>
        <w:t>SNHL</w:t>
      </w:r>
      <w:r w:rsidR="00E04061" w:rsidRPr="0060347C">
        <w:rPr>
          <w:color w:val="000000" w:themeColor="text1"/>
          <w:szCs w:val="24"/>
        </w:rPr>
        <w:t xml:space="preserve"> (mild to moderate in the right ear and sever</w:t>
      </w:r>
      <w:r w:rsidR="00E04061">
        <w:rPr>
          <w:color w:val="000000" w:themeColor="text1"/>
          <w:szCs w:val="24"/>
        </w:rPr>
        <w:t>e</w:t>
      </w:r>
      <w:r w:rsidR="00E04061" w:rsidRPr="0060347C">
        <w:rPr>
          <w:color w:val="000000" w:themeColor="text1"/>
          <w:szCs w:val="24"/>
        </w:rPr>
        <w:t xml:space="preserve"> in the left ear) </w:t>
      </w:r>
      <w:r w:rsidR="00E04061">
        <w:rPr>
          <w:color w:val="000000" w:themeColor="text1"/>
          <w:szCs w:val="24"/>
        </w:rPr>
        <w:t xml:space="preserve">with an H3 profile </w:t>
      </w:r>
      <w:r w:rsidR="00E04061" w:rsidRPr="0060347C">
        <w:rPr>
          <w:color w:val="000000" w:themeColor="text1"/>
          <w:szCs w:val="24"/>
        </w:rPr>
        <w:t>was forwarded to the Physical Evaluation Board (PEB) as medically unacceptable IAW AR 40-501.</w:t>
      </w:r>
      <w:r w:rsidR="00E04061">
        <w:rPr>
          <w:color w:val="000000" w:themeColor="text1"/>
          <w:szCs w:val="24"/>
        </w:rPr>
        <w:t xml:space="preserve">  </w:t>
      </w:r>
      <w:r w:rsidR="00017D31" w:rsidRPr="0060347C">
        <w:rPr>
          <w:color w:val="000000" w:themeColor="text1"/>
          <w:szCs w:val="24"/>
        </w:rPr>
        <w:t xml:space="preserve">Six other conditions, as identified in the rating chart below, were forwarded on the </w:t>
      </w:r>
      <w:r w:rsidR="009D1961">
        <w:rPr>
          <w:color w:val="000000" w:themeColor="text1"/>
          <w:szCs w:val="24"/>
        </w:rPr>
        <w:t>Medical Evaluation Board (</w:t>
      </w:r>
      <w:r w:rsidR="00017D31" w:rsidRPr="0060347C">
        <w:rPr>
          <w:color w:val="000000" w:themeColor="text1"/>
          <w:szCs w:val="24"/>
        </w:rPr>
        <w:t>MEB</w:t>
      </w:r>
      <w:r w:rsidR="009D1961">
        <w:rPr>
          <w:color w:val="000000" w:themeColor="text1"/>
          <w:szCs w:val="24"/>
        </w:rPr>
        <w:t>)</w:t>
      </w:r>
      <w:r w:rsidR="00017D31" w:rsidRPr="0060347C">
        <w:rPr>
          <w:color w:val="000000" w:themeColor="text1"/>
          <w:szCs w:val="24"/>
        </w:rPr>
        <w:t xml:space="preserve"> submission as medically acceptable conditions.</w:t>
      </w:r>
      <w:r w:rsidR="00017D31">
        <w:rPr>
          <w:color w:val="000000" w:themeColor="text1"/>
          <w:szCs w:val="24"/>
        </w:rPr>
        <w:t xml:space="preserve"> </w:t>
      </w:r>
      <w:r w:rsidR="00C31FB0">
        <w:rPr>
          <w:color w:val="000000" w:themeColor="text1"/>
          <w:szCs w:val="24"/>
        </w:rPr>
        <w:t xml:space="preserve"> </w:t>
      </w:r>
      <w:r w:rsidR="00017D31" w:rsidRPr="0068330C">
        <w:rPr>
          <w:color w:val="000000" w:themeColor="text1"/>
          <w:szCs w:val="24"/>
        </w:rPr>
        <w:t xml:space="preserve">The PEB adjudicated the bilateral </w:t>
      </w:r>
      <w:r w:rsidR="00C31FB0">
        <w:rPr>
          <w:color w:val="000000" w:themeColor="text1"/>
          <w:szCs w:val="24"/>
        </w:rPr>
        <w:t>SNHL</w:t>
      </w:r>
      <w:r w:rsidR="00017D31" w:rsidRPr="0068330C">
        <w:rPr>
          <w:color w:val="000000" w:themeColor="text1"/>
          <w:szCs w:val="24"/>
        </w:rPr>
        <w:t xml:space="preserve"> as unfitting, rated 0% with application of </w:t>
      </w:r>
      <w:r w:rsidR="000725BE">
        <w:rPr>
          <w:color w:val="000000" w:themeColor="text1"/>
          <w:szCs w:val="24"/>
        </w:rPr>
        <w:t xml:space="preserve">the </w:t>
      </w:r>
      <w:r w:rsidR="00017D31" w:rsidRPr="0068330C">
        <w:rPr>
          <w:color w:val="000000" w:themeColor="text1"/>
          <w:szCs w:val="24"/>
        </w:rPr>
        <w:t>Veterans Administration Schedule for Rating Disabilities (VASRD).</w:t>
      </w:r>
      <w:r w:rsidR="00017D31">
        <w:rPr>
          <w:color w:val="000000" w:themeColor="text1"/>
          <w:szCs w:val="24"/>
        </w:rPr>
        <w:t xml:space="preserve">  </w:t>
      </w:r>
      <w:r w:rsidR="00017D31" w:rsidRPr="001F29F9">
        <w:rPr>
          <w:color w:val="000000" w:themeColor="text1"/>
        </w:rPr>
        <w:t xml:space="preserve">The CI made no appeals, and was medically separated with a </w:t>
      </w:r>
      <w:r w:rsidR="00017D31">
        <w:rPr>
          <w:color w:val="000000" w:themeColor="text1"/>
        </w:rPr>
        <w:t>0</w:t>
      </w:r>
      <w:r w:rsidR="00017D31" w:rsidRPr="001F29F9">
        <w:rPr>
          <w:color w:val="000000" w:themeColor="text1"/>
        </w:rPr>
        <w:t>% combined 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017D31" w:rsidRPr="001F29F9" w:rsidRDefault="00AD2379" w:rsidP="00017D31">
      <w:pPr>
        <w:tabs>
          <w:tab w:val="left" w:pos="288"/>
          <w:tab w:val="left" w:pos="4752"/>
        </w:tabs>
        <w:jc w:val="both"/>
        <w:rPr>
          <w:rFonts w:eastAsiaTheme="minorHAnsi"/>
          <w:color w:val="000000" w:themeColor="text1"/>
          <w:szCs w:val="24"/>
        </w:rPr>
      </w:pPr>
      <w:r w:rsidRPr="00F64312">
        <w:rPr>
          <w:color w:val="auto"/>
          <w:u w:val="single"/>
        </w:rPr>
        <w:t>CI CONTENTION</w:t>
      </w:r>
      <w:r w:rsidRPr="00F64312">
        <w:rPr>
          <w:color w:val="auto"/>
        </w:rPr>
        <w:t>:</w:t>
      </w:r>
      <w:r w:rsidR="00017D31">
        <w:rPr>
          <w:color w:val="auto"/>
        </w:rPr>
        <w:t xml:space="preserve">  </w:t>
      </w:r>
      <w:r w:rsidR="00017D31" w:rsidRPr="00017D31">
        <w:rPr>
          <w:rFonts w:eastAsiaTheme="minorHAnsi"/>
          <w:color w:val="000000" w:themeColor="text1"/>
          <w:szCs w:val="24"/>
        </w:rPr>
        <w:t xml:space="preserve">“I served over 20 years in the military. I was found to have high frequency hearing loss and was notified that I was being reviewed for a medical board. </w:t>
      </w:r>
      <w:r w:rsidR="00C31FB0">
        <w:rPr>
          <w:rFonts w:eastAsiaTheme="minorHAnsi"/>
          <w:color w:val="000000" w:themeColor="text1"/>
          <w:szCs w:val="24"/>
        </w:rPr>
        <w:t xml:space="preserve"> </w:t>
      </w:r>
      <w:r w:rsidR="00017D31" w:rsidRPr="00017D31">
        <w:rPr>
          <w:rFonts w:eastAsiaTheme="minorHAnsi"/>
          <w:color w:val="000000" w:themeColor="text1"/>
          <w:szCs w:val="24"/>
        </w:rPr>
        <w:t>As part of the  process, I was to pick three jobs that I would prefer, hoping the board recommend that I stay in Army and continue my service until retirement in 2013 (five years from when I was discharged). Believing that the board would just move me to a new job, I would be able to finish my career honorably, retire with all benefits, yet this did not happen.</w:t>
      </w:r>
      <w:r w:rsidR="00C31FB0">
        <w:rPr>
          <w:rFonts w:eastAsiaTheme="minorHAnsi"/>
          <w:color w:val="000000" w:themeColor="text1"/>
          <w:szCs w:val="24"/>
        </w:rPr>
        <w:t xml:space="preserve"> </w:t>
      </w:r>
      <w:r w:rsidR="00017D31" w:rsidRPr="00017D31">
        <w:rPr>
          <w:rFonts w:eastAsiaTheme="minorHAnsi"/>
          <w:color w:val="000000" w:themeColor="text1"/>
          <w:szCs w:val="24"/>
        </w:rPr>
        <w:t xml:space="preserve"> The results left my family and I disappointed and devastated which caused undue stress.</w:t>
      </w:r>
      <w:r w:rsidR="00C31FB0">
        <w:rPr>
          <w:rFonts w:eastAsiaTheme="minorHAnsi"/>
          <w:color w:val="000000" w:themeColor="text1"/>
          <w:szCs w:val="24"/>
        </w:rPr>
        <w:t xml:space="preserve"> </w:t>
      </w:r>
      <w:r w:rsidR="00017D31" w:rsidRPr="00017D31">
        <w:rPr>
          <w:rFonts w:eastAsiaTheme="minorHAnsi"/>
          <w:color w:val="000000" w:themeColor="text1"/>
          <w:szCs w:val="24"/>
        </w:rPr>
        <w:t xml:space="preserve"> I loved the Army and wanted to complete my 20 years of service so I could walk the stage and be recognized for my service just as so many dedicated soldiers before me (some with disabilities worse than mine). Unfortunately, I was never afforded the opportunity. I would like to have the opportunity for myself and family to have full retirement benefits. </w:t>
      </w:r>
      <w:r w:rsidR="00C31FB0">
        <w:rPr>
          <w:rFonts w:eastAsiaTheme="minorHAnsi"/>
          <w:color w:val="000000" w:themeColor="text1"/>
          <w:szCs w:val="24"/>
        </w:rPr>
        <w:t xml:space="preserve"> </w:t>
      </w:r>
      <w:r w:rsidR="00017D31" w:rsidRPr="00017D31">
        <w:rPr>
          <w:rFonts w:eastAsiaTheme="minorHAnsi"/>
          <w:color w:val="000000" w:themeColor="text1"/>
          <w:szCs w:val="24"/>
        </w:rPr>
        <w:t xml:space="preserve">Under these circumstances, I believe I was not properly boarded and request to have my case re-examined.”  </w:t>
      </w:r>
      <w:r w:rsidR="00017D31" w:rsidRPr="001F29F9">
        <w:rPr>
          <w:rFonts w:eastAsiaTheme="minorHAnsi"/>
          <w:color w:val="000000" w:themeColor="text1"/>
          <w:szCs w:val="24"/>
        </w:rPr>
        <w:t>He elaborates no specific contentions regarding rating or coding and mentions no additionally contended conditions.</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0725BE" w:rsidRDefault="009239C0" w:rsidP="00DD5558">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Pr>
          <w:color w:val="auto"/>
        </w:rPr>
        <w:t xml:space="preserve">  </w:t>
      </w:r>
      <w:r w:rsidR="00C31FB0">
        <w:rPr>
          <w:color w:val="auto"/>
        </w:rPr>
        <w:t>The s</w:t>
      </w:r>
      <w:r w:rsidRPr="009239C0">
        <w:rPr>
          <w:color w:val="auto"/>
        </w:rPr>
        <w:t xml:space="preserve">ervice ratings for unfitting conditions will be reviewed in all cases. </w:t>
      </w:r>
      <w:r w:rsidR="000725BE">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0725BE">
        <w:rPr>
          <w:color w:val="auto"/>
        </w:rPr>
        <w:t>the Army Board for the Correction of Military Records (BCMR)</w:t>
      </w:r>
      <w:r w:rsidR="000725BE" w:rsidRPr="000725BE">
        <w:rPr>
          <w:color w:val="auto"/>
        </w:rPr>
        <w:t>.</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AD2379" w:rsidRPr="00F64312" w:rsidRDefault="000725BE" w:rsidP="00776A4E">
      <w:pPr>
        <w:spacing w:line="240" w:lineRule="auto"/>
        <w:jc w:val="left"/>
        <w:rPr>
          <w:color w:val="auto"/>
        </w:rPr>
      </w:pPr>
      <w:r>
        <w:rPr>
          <w:color w:val="auto"/>
        </w:rPr>
        <w:br w:type="page"/>
      </w:r>
      <w:r w:rsidR="00AD2379" w:rsidRPr="00F64312">
        <w:rPr>
          <w:color w:val="auto"/>
          <w:u w:val="single"/>
        </w:rPr>
        <w:lastRenderedPageBreak/>
        <w:t>RATING COMPARISON</w:t>
      </w:r>
      <w:r w:rsidR="00AD2379" w:rsidRPr="00F64312">
        <w:rPr>
          <w:color w:val="auto"/>
        </w:rPr>
        <w:t xml:space="preserve">: </w:t>
      </w:r>
      <w:r w:rsidR="00855E73" w:rsidRPr="00F64312">
        <w:rPr>
          <w:color w:val="auto"/>
        </w:rPr>
        <w:t xml:space="preserve"> </w:t>
      </w:r>
    </w:p>
    <w:p w:rsidR="00017D31" w:rsidRPr="001F29F9" w:rsidRDefault="00017D31" w:rsidP="00017D31">
      <w:pPr>
        <w:jc w:val="both"/>
        <w:rPr>
          <w:color w:val="000000" w:themeColor="text1"/>
        </w:rPr>
      </w:pPr>
    </w:p>
    <w:tbl>
      <w:tblPr>
        <w:tblStyle w:val="TableGrid"/>
        <w:tblpPr w:leftFromText="187" w:rightFromText="187" w:vertAnchor="text" w:tblpXSpec="center" w:tblpY="1"/>
        <w:tblOverlap w:val="never"/>
        <w:tblW w:w="9342" w:type="dxa"/>
        <w:jc w:val="center"/>
        <w:tblLayout w:type="fixed"/>
        <w:tblLook w:val="04A0"/>
      </w:tblPr>
      <w:tblGrid>
        <w:gridCol w:w="2142"/>
        <w:gridCol w:w="1080"/>
        <w:gridCol w:w="900"/>
        <w:gridCol w:w="2322"/>
        <w:gridCol w:w="18"/>
        <w:gridCol w:w="1062"/>
        <w:gridCol w:w="828"/>
        <w:gridCol w:w="990"/>
      </w:tblGrid>
      <w:tr w:rsidR="00017D31" w:rsidRPr="001F29F9" w:rsidTr="00017D31">
        <w:trPr>
          <w:trHeight w:val="233"/>
          <w:jc w:val="center"/>
        </w:trPr>
        <w:tc>
          <w:tcPr>
            <w:tcW w:w="4122" w:type="dxa"/>
            <w:gridSpan w:val="3"/>
            <w:tcBorders>
              <w:right w:val="thinThickThinSmallGap" w:sz="24" w:space="0" w:color="auto"/>
            </w:tcBorders>
            <w:shd w:val="clear" w:color="auto" w:fill="D9D9D9" w:themeFill="background1" w:themeFillShade="D9"/>
            <w:vAlign w:val="center"/>
          </w:tcPr>
          <w:p w:rsidR="00017D31" w:rsidRPr="001F29F9" w:rsidRDefault="00017D31" w:rsidP="00017D31">
            <w:pPr>
              <w:contextualSpacing/>
              <w:rPr>
                <w:rFonts w:cs="Calibri"/>
                <w:b/>
                <w:color w:val="000000" w:themeColor="text1"/>
                <w:sz w:val="18"/>
                <w:szCs w:val="18"/>
              </w:rPr>
            </w:pPr>
            <w:r w:rsidRPr="001F29F9">
              <w:rPr>
                <w:rFonts w:cs="Calibri"/>
                <w:b/>
                <w:color w:val="000000" w:themeColor="text1"/>
                <w:sz w:val="18"/>
                <w:szCs w:val="18"/>
              </w:rPr>
              <w:t xml:space="preserve">Service </w:t>
            </w:r>
            <w:r>
              <w:rPr>
                <w:rFonts w:cs="Calibri"/>
                <w:b/>
                <w:color w:val="000000" w:themeColor="text1"/>
                <w:sz w:val="18"/>
                <w:szCs w:val="18"/>
              </w:rPr>
              <w:t>I</w:t>
            </w:r>
            <w:r w:rsidRPr="001F29F9">
              <w:rPr>
                <w:rFonts w:cs="Calibri"/>
                <w:b/>
                <w:color w:val="000000" w:themeColor="text1"/>
                <w:sz w:val="18"/>
                <w:szCs w:val="18"/>
              </w:rPr>
              <w:t>PEB – Dated 200</w:t>
            </w:r>
            <w:r>
              <w:rPr>
                <w:rFonts w:cs="Calibri"/>
                <w:b/>
                <w:color w:val="000000" w:themeColor="text1"/>
                <w:sz w:val="18"/>
                <w:szCs w:val="18"/>
              </w:rPr>
              <w:t>80227</w:t>
            </w:r>
          </w:p>
        </w:tc>
        <w:tc>
          <w:tcPr>
            <w:tcW w:w="5220" w:type="dxa"/>
            <w:gridSpan w:val="5"/>
            <w:tcBorders>
              <w:left w:val="thinThickThinSmallGap" w:sz="24" w:space="0" w:color="auto"/>
            </w:tcBorders>
            <w:shd w:val="clear" w:color="auto" w:fill="D9D9D9" w:themeFill="background1" w:themeFillShade="D9"/>
            <w:vAlign w:val="center"/>
          </w:tcPr>
          <w:p w:rsidR="00017D31" w:rsidRPr="001F29F9" w:rsidRDefault="00017D31" w:rsidP="00017D31">
            <w:pPr>
              <w:contextualSpacing/>
              <w:rPr>
                <w:rFonts w:cs="Calibri"/>
                <w:b/>
                <w:color w:val="000000" w:themeColor="text1"/>
                <w:sz w:val="18"/>
                <w:szCs w:val="18"/>
              </w:rPr>
            </w:pPr>
            <w:r w:rsidRPr="001F29F9">
              <w:rPr>
                <w:rFonts w:cs="Calibri"/>
                <w:b/>
                <w:color w:val="000000" w:themeColor="text1"/>
                <w:sz w:val="18"/>
                <w:szCs w:val="18"/>
              </w:rPr>
              <w:t>VA (</w:t>
            </w:r>
            <w:r>
              <w:rPr>
                <w:rFonts w:cs="Calibri"/>
                <w:b/>
                <w:color w:val="000000" w:themeColor="text1"/>
                <w:sz w:val="18"/>
                <w:szCs w:val="18"/>
              </w:rPr>
              <w:t>1</w:t>
            </w:r>
            <w:r w:rsidRPr="001F29F9">
              <w:rPr>
                <w:rFonts w:cs="Calibri"/>
                <w:b/>
                <w:color w:val="000000" w:themeColor="text1"/>
                <w:sz w:val="18"/>
                <w:szCs w:val="18"/>
              </w:rPr>
              <w:t xml:space="preserve"> </w:t>
            </w:r>
            <w:r w:rsidRPr="00B72D4A">
              <w:rPr>
                <w:rFonts w:cs="Calibri"/>
                <w:b/>
                <w:color w:val="000000" w:themeColor="text1"/>
                <w:sz w:val="18"/>
                <w:szCs w:val="18"/>
              </w:rPr>
              <w:t>Mo. After Separation</w:t>
            </w:r>
            <w:r w:rsidRPr="001F29F9">
              <w:rPr>
                <w:rFonts w:cs="Calibri"/>
                <w:b/>
                <w:color w:val="000000" w:themeColor="text1"/>
                <w:sz w:val="18"/>
                <w:szCs w:val="18"/>
              </w:rPr>
              <w:t>) – All Effective Date 200</w:t>
            </w:r>
            <w:r>
              <w:rPr>
                <w:rFonts w:cs="Calibri"/>
                <w:b/>
                <w:color w:val="000000" w:themeColor="text1"/>
                <w:sz w:val="18"/>
                <w:szCs w:val="18"/>
              </w:rPr>
              <w:t>80501</w:t>
            </w:r>
          </w:p>
        </w:tc>
      </w:tr>
      <w:tr w:rsidR="00017D31" w:rsidRPr="001F29F9" w:rsidTr="00017D31">
        <w:trPr>
          <w:trHeight w:val="278"/>
          <w:jc w:val="center"/>
        </w:trPr>
        <w:tc>
          <w:tcPr>
            <w:tcW w:w="2142" w:type="dxa"/>
            <w:tcBorders>
              <w:bottom w:val="single" w:sz="4" w:space="0" w:color="000000" w:themeColor="text1"/>
              <w:right w:val="single" w:sz="4" w:space="0" w:color="auto"/>
            </w:tcBorders>
            <w:shd w:val="clear" w:color="auto" w:fill="D9D9D9" w:themeFill="background1" w:themeFillShade="D9"/>
            <w:vAlign w:val="center"/>
          </w:tcPr>
          <w:p w:rsidR="00017D31" w:rsidRPr="001F29F9" w:rsidRDefault="00017D31" w:rsidP="00017D31">
            <w:pPr>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017D31" w:rsidRPr="001F29F9" w:rsidRDefault="00017D31" w:rsidP="00017D31">
            <w:pPr>
              <w:contextualSpacing/>
              <w:rPr>
                <w:rFonts w:cs="Calibri"/>
                <w:b/>
                <w:color w:val="000000" w:themeColor="text1"/>
                <w:sz w:val="18"/>
                <w:szCs w:val="18"/>
              </w:rPr>
            </w:pPr>
            <w:r w:rsidRPr="001F29F9">
              <w:rPr>
                <w:rFonts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017D31" w:rsidRPr="001F29F9" w:rsidRDefault="00017D31" w:rsidP="00017D31">
            <w:pPr>
              <w:contextualSpacing/>
              <w:rPr>
                <w:rFonts w:cs="Calibri"/>
                <w:b/>
                <w:color w:val="000000" w:themeColor="text1"/>
                <w:sz w:val="18"/>
                <w:szCs w:val="18"/>
              </w:rPr>
            </w:pPr>
            <w:r w:rsidRPr="001F29F9">
              <w:rPr>
                <w:rFonts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017D31" w:rsidRPr="001F29F9" w:rsidRDefault="00017D31" w:rsidP="00017D31">
            <w:pPr>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gridSpan w:val="2"/>
            <w:tcBorders>
              <w:bottom w:val="single" w:sz="4" w:space="0" w:color="000000" w:themeColor="text1"/>
            </w:tcBorders>
            <w:shd w:val="clear" w:color="auto" w:fill="D9D9D9" w:themeFill="background1" w:themeFillShade="D9"/>
            <w:vAlign w:val="center"/>
          </w:tcPr>
          <w:p w:rsidR="00017D31" w:rsidRPr="001F29F9" w:rsidRDefault="00017D31" w:rsidP="00017D31">
            <w:pPr>
              <w:contextualSpacing/>
              <w:rPr>
                <w:rFonts w:cs="Calibri"/>
                <w:b/>
                <w:color w:val="000000" w:themeColor="text1"/>
                <w:sz w:val="18"/>
                <w:szCs w:val="18"/>
              </w:rPr>
            </w:pPr>
            <w:r w:rsidRPr="001F29F9">
              <w:rPr>
                <w:rFonts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017D31" w:rsidRPr="001F29F9" w:rsidRDefault="00017D31" w:rsidP="00017D31">
            <w:pPr>
              <w:contextualSpacing/>
              <w:rPr>
                <w:rFonts w:cs="Calibri"/>
                <w:b/>
                <w:color w:val="000000" w:themeColor="text1"/>
                <w:sz w:val="18"/>
                <w:szCs w:val="18"/>
              </w:rPr>
            </w:pPr>
            <w:r w:rsidRPr="001F29F9">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017D31" w:rsidRPr="001F29F9" w:rsidRDefault="00017D31" w:rsidP="00017D31">
            <w:pPr>
              <w:contextualSpacing/>
              <w:rPr>
                <w:rFonts w:cs="Calibri"/>
                <w:b/>
                <w:color w:val="000000" w:themeColor="text1"/>
                <w:sz w:val="18"/>
                <w:szCs w:val="18"/>
              </w:rPr>
            </w:pPr>
            <w:r w:rsidRPr="001F29F9">
              <w:rPr>
                <w:rFonts w:cs="Calibri"/>
                <w:b/>
                <w:color w:val="000000" w:themeColor="text1"/>
                <w:sz w:val="18"/>
                <w:szCs w:val="18"/>
              </w:rPr>
              <w:t>Exam</w:t>
            </w:r>
          </w:p>
        </w:tc>
      </w:tr>
      <w:tr w:rsidR="00017D31" w:rsidRPr="001F29F9" w:rsidTr="00017D31">
        <w:trPr>
          <w:trHeight w:val="287"/>
          <w:jc w:val="center"/>
        </w:trPr>
        <w:tc>
          <w:tcPr>
            <w:tcW w:w="2142" w:type="dxa"/>
            <w:tcBorders>
              <w:right w:val="single" w:sz="4" w:space="0" w:color="auto"/>
            </w:tcBorders>
            <w:shd w:val="clear" w:color="auto" w:fill="FFFFFF" w:themeFill="background1"/>
            <w:vAlign w:val="center"/>
          </w:tcPr>
          <w:p w:rsidR="00017D31" w:rsidRPr="001F29F9" w:rsidRDefault="00017D31" w:rsidP="00017D31">
            <w:pPr>
              <w:spacing w:line="180" w:lineRule="exact"/>
              <w:contextualSpacing/>
              <w:jc w:val="left"/>
              <w:rPr>
                <w:rFonts w:cs="Calibri"/>
                <w:color w:val="000000" w:themeColor="text1"/>
                <w:sz w:val="18"/>
                <w:szCs w:val="18"/>
              </w:rPr>
            </w:pPr>
            <w:r>
              <w:rPr>
                <w:rFonts w:cs="Calibri"/>
                <w:color w:val="000000" w:themeColor="text1"/>
                <w:sz w:val="18"/>
                <w:szCs w:val="18"/>
              </w:rPr>
              <w:t>Bilateral Sensorineural Hearing loss</w:t>
            </w:r>
          </w:p>
        </w:tc>
        <w:tc>
          <w:tcPr>
            <w:tcW w:w="1080" w:type="dxa"/>
            <w:tcBorders>
              <w:left w:val="single" w:sz="4" w:space="0" w:color="auto"/>
            </w:tcBorders>
            <w:shd w:val="clear" w:color="auto" w:fill="FFFFFF" w:themeFill="background1"/>
            <w:vAlign w:val="center"/>
          </w:tcPr>
          <w:p w:rsidR="00017D31" w:rsidRPr="001F29F9" w:rsidRDefault="00017D31" w:rsidP="00017D31">
            <w:pPr>
              <w:spacing w:line="180" w:lineRule="exact"/>
              <w:contextualSpacing/>
              <w:rPr>
                <w:rFonts w:cs="Calibri"/>
                <w:color w:val="000000" w:themeColor="text1"/>
                <w:sz w:val="18"/>
                <w:szCs w:val="18"/>
              </w:rPr>
            </w:pPr>
            <w:r>
              <w:rPr>
                <w:rFonts w:cs="Calibri"/>
                <w:color w:val="000000" w:themeColor="text1"/>
                <w:sz w:val="18"/>
                <w:szCs w:val="18"/>
              </w:rPr>
              <w:t>6100</w:t>
            </w:r>
          </w:p>
        </w:tc>
        <w:tc>
          <w:tcPr>
            <w:tcW w:w="900" w:type="dxa"/>
            <w:tcBorders>
              <w:right w:val="thinThickThinSmallGap" w:sz="24" w:space="0" w:color="auto"/>
            </w:tcBorders>
            <w:shd w:val="clear" w:color="auto" w:fill="FFFFFF" w:themeFill="background1"/>
            <w:vAlign w:val="center"/>
          </w:tcPr>
          <w:p w:rsidR="00017D31" w:rsidRPr="001F29F9" w:rsidRDefault="00017D31" w:rsidP="00017D31">
            <w:pPr>
              <w:spacing w:line="180" w:lineRule="exact"/>
              <w:rPr>
                <w:rFonts w:cs="Calibri"/>
                <w:color w:val="000000" w:themeColor="text1"/>
                <w:sz w:val="18"/>
                <w:szCs w:val="18"/>
              </w:rPr>
            </w:pPr>
            <w:r>
              <w:rPr>
                <w:rFonts w:cs="Calibri"/>
                <w:color w:val="000000" w:themeColor="text1"/>
                <w:sz w:val="18"/>
                <w:szCs w:val="18"/>
              </w:rPr>
              <w:t>0%</w:t>
            </w:r>
          </w:p>
        </w:tc>
        <w:tc>
          <w:tcPr>
            <w:tcW w:w="2322" w:type="dxa"/>
            <w:tcBorders>
              <w:left w:val="thinThickThinSmallGap" w:sz="24" w:space="0" w:color="auto"/>
            </w:tcBorders>
            <w:shd w:val="clear" w:color="auto" w:fill="FFFFFF" w:themeFill="background1"/>
            <w:vAlign w:val="center"/>
          </w:tcPr>
          <w:p w:rsidR="00017D31" w:rsidRPr="001F29F9" w:rsidRDefault="00017D31" w:rsidP="00017D31">
            <w:pPr>
              <w:spacing w:line="180" w:lineRule="exact"/>
              <w:contextualSpacing/>
              <w:jc w:val="left"/>
              <w:rPr>
                <w:rFonts w:cs="Calibri"/>
                <w:color w:val="000000" w:themeColor="text1"/>
                <w:sz w:val="18"/>
                <w:szCs w:val="18"/>
              </w:rPr>
            </w:pPr>
            <w:r>
              <w:rPr>
                <w:rFonts w:cs="Calibri"/>
                <w:color w:val="000000" w:themeColor="text1"/>
                <w:sz w:val="18"/>
                <w:szCs w:val="18"/>
              </w:rPr>
              <w:t>Bilateral sensorineural hearing loss</w:t>
            </w:r>
          </w:p>
        </w:tc>
        <w:tc>
          <w:tcPr>
            <w:tcW w:w="1080" w:type="dxa"/>
            <w:gridSpan w:val="2"/>
            <w:shd w:val="clear" w:color="auto" w:fill="FFFFFF" w:themeFill="background1"/>
            <w:vAlign w:val="center"/>
          </w:tcPr>
          <w:p w:rsidR="00017D31" w:rsidRPr="001F29F9" w:rsidRDefault="00017D31" w:rsidP="00017D31">
            <w:pPr>
              <w:spacing w:line="180" w:lineRule="exact"/>
              <w:contextualSpacing/>
              <w:rPr>
                <w:rFonts w:cs="Calibri"/>
                <w:color w:val="000000" w:themeColor="text1"/>
                <w:sz w:val="18"/>
                <w:szCs w:val="18"/>
              </w:rPr>
            </w:pPr>
            <w:r>
              <w:rPr>
                <w:rFonts w:cs="Calibri"/>
                <w:color w:val="000000" w:themeColor="text1"/>
                <w:sz w:val="18"/>
                <w:szCs w:val="18"/>
              </w:rPr>
              <w:t>6100</w:t>
            </w:r>
          </w:p>
        </w:tc>
        <w:tc>
          <w:tcPr>
            <w:tcW w:w="828" w:type="dxa"/>
            <w:shd w:val="clear" w:color="auto" w:fill="FFFFFF" w:themeFill="background1"/>
            <w:vAlign w:val="center"/>
          </w:tcPr>
          <w:p w:rsidR="00017D31" w:rsidRPr="001F29F9" w:rsidRDefault="00017D31" w:rsidP="00017D31">
            <w:pPr>
              <w:spacing w:line="180" w:lineRule="exact"/>
              <w:contextualSpacing/>
              <w:rPr>
                <w:rFonts w:cs="Calibri"/>
                <w:color w:val="000000" w:themeColor="text1"/>
                <w:sz w:val="18"/>
                <w:szCs w:val="18"/>
              </w:rPr>
            </w:pPr>
            <w:r>
              <w:rPr>
                <w:rFonts w:cs="Calibri"/>
                <w:color w:val="000000" w:themeColor="text1"/>
                <w:sz w:val="18"/>
                <w:szCs w:val="18"/>
              </w:rPr>
              <w:t>0%</w:t>
            </w:r>
          </w:p>
        </w:tc>
        <w:tc>
          <w:tcPr>
            <w:tcW w:w="990" w:type="dxa"/>
            <w:shd w:val="clear" w:color="auto" w:fill="FFFFFF" w:themeFill="background1"/>
            <w:vAlign w:val="center"/>
          </w:tcPr>
          <w:p w:rsidR="00017D31" w:rsidRPr="001F29F9" w:rsidRDefault="00017D31" w:rsidP="00017D31">
            <w:pPr>
              <w:spacing w:line="18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80610</w:t>
            </w:r>
          </w:p>
        </w:tc>
      </w:tr>
      <w:tr w:rsidR="00017D31" w:rsidRPr="001F29F9" w:rsidTr="00017D31">
        <w:trPr>
          <w:trHeight w:val="287"/>
          <w:jc w:val="center"/>
        </w:trPr>
        <w:tc>
          <w:tcPr>
            <w:tcW w:w="2142" w:type="dxa"/>
            <w:tcBorders>
              <w:right w:val="single" w:sz="4" w:space="0" w:color="auto"/>
            </w:tcBorders>
            <w:shd w:val="clear" w:color="auto" w:fill="FFFFFF" w:themeFill="background1"/>
            <w:vAlign w:val="center"/>
          </w:tcPr>
          <w:p w:rsidR="00017D31" w:rsidRPr="001F29F9" w:rsidRDefault="00017D31" w:rsidP="00017D31">
            <w:pPr>
              <w:spacing w:line="180" w:lineRule="exact"/>
              <w:contextualSpacing/>
              <w:jc w:val="left"/>
              <w:rPr>
                <w:rFonts w:cs="Calibri"/>
                <w:color w:val="000000" w:themeColor="text1"/>
                <w:sz w:val="18"/>
                <w:szCs w:val="18"/>
              </w:rPr>
            </w:pPr>
            <w:r>
              <w:rPr>
                <w:rFonts w:cs="Calibri"/>
                <w:color w:val="000000" w:themeColor="text1"/>
                <w:sz w:val="18"/>
                <w:szCs w:val="18"/>
              </w:rPr>
              <w:t>Deviated nasal septum</w:t>
            </w:r>
          </w:p>
        </w:tc>
        <w:tc>
          <w:tcPr>
            <w:tcW w:w="1980" w:type="dxa"/>
            <w:gridSpan w:val="2"/>
            <w:tcBorders>
              <w:left w:val="single" w:sz="4" w:space="0" w:color="auto"/>
              <w:right w:val="thinThickThinSmallGap" w:sz="24" w:space="0" w:color="auto"/>
            </w:tcBorders>
            <w:shd w:val="clear" w:color="auto" w:fill="FFFFFF" w:themeFill="background1"/>
          </w:tcPr>
          <w:p w:rsidR="00017D31" w:rsidRDefault="00017D31" w:rsidP="00017D31">
            <w:r w:rsidRPr="00997B5C">
              <w:rPr>
                <w:rFonts w:cs="Calibri"/>
                <w:color w:val="000000" w:themeColor="text1"/>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017D31" w:rsidRPr="001F29F9" w:rsidRDefault="00017D31" w:rsidP="00017D31">
            <w:pPr>
              <w:spacing w:line="180" w:lineRule="exact"/>
              <w:contextualSpacing/>
              <w:jc w:val="left"/>
              <w:rPr>
                <w:rFonts w:cs="Calibri"/>
                <w:color w:val="000000" w:themeColor="text1"/>
                <w:sz w:val="18"/>
                <w:szCs w:val="18"/>
              </w:rPr>
            </w:pPr>
            <w:r>
              <w:rPr>
                <w:rFonts w:cs="Calibri"/>
                <w:color w:val="000000" w:themeColor="text1"/>
                <w:sz w:val="18"/>
                <w:szCs w:val="18"/>
              </w:rPr>
              <w:t>Residuals of broken septum</w:t>
            </w:r>
          </w:p>
        </w:tc>
        <w:tc>
          <w:tcPr>
            <w:tcW w:w="1080" w:type="dxa"/>
            <w:gridSpan w:val="2"/>
            <w:tcBorders>
              <w:left w:val="single" w:sz="4" w:space="0" w:color="auto"/>
              <w:right w:val="single" w:sz="4" w:space="0" w:color="auto"/>
            </w:tcBorders>
            <w:shd w:val="clear" w:color="auto" w:fill="FFFFFF" w:themeFill="background1"/>
            <w:vAlign w:val="center"/>
          </w:tcPr>
          <w:p w:rsidR="00017D31" w:rsidRPr="001F29F9" w:rsidRDefault="00017D31" w:rsidP="00017D31">
            <w:pPr>
              <w:spacing w:line="180" w:lineRule="exact"/>
              <w:contextualSpacing/>
              <w:rPr>
                <w:rFonts w:cs="Calibri"/>
                <w:color w:val="000000" w:themeColor="text1"/>
                <w:sz w:val="18"/>
                <w:szCs w:val="18"/>
              </w:rPr>
            </w:pPr>
            <w:r>
              <w:rPr>
                <w:rFonts w:cs="Calibri"/>
                <w:color w:val="000000" w:themeColor="text1"/>
                <w:sz w:val="18"/>
                <w:szCs w:val="18"/>
              </w:rPr>
              <w:t>6502</w:t>
            </w:r>
          </w:p>
        </w:tc>
        <w:tc>
          <w:tcPr>
            <w:tcW w:w="828" w:type="dxa"/>
            <w:tcBorders>
              <w:left w:val="single" w:sz="4" w:space="0" w:color="auto"/>
            </w:tcBorders>
            <w:shd w:val="clear" w:color="auto" w:fill="FFFFFF" w:themeFill="background1"/>
            <w:vAlign w:val="center"/>
          </w:tcPr>
          <w:p w:rsidR="00017D31" w:rsidRPr="001F29F9" w:rsidRDefault="00017D31" w:rsidP="00017D31">
            <w:pPr>
              <w:spacing w:line="180" w:lineRule="exact"/>
              <w:contextualSpacing/>
              <w:rPr>
                <w:rFonts w:cs="Calibri"/>
                <w:color w:val="000000" w:themeColor="text1"/>
                <w:sz w:val="18"/>
                <w:szCs w:val="18"/>
              </w:rPr>
            </w:pPr>
            <w:r>
              <w:rPr>
                <w:rFonts w:cs="Calibri"/>
                <w:color w:val="000000" w:themeColor="text1"/>
                <w:sz w:val="18"/>
                <w:szCs w:val="18"/>
              </w:rPr>
              <w:t>NSC</w:t>
            </w:r>
          </w:p>
        </w:tc>
        <w:tc>
          <w:tcPr>
            <w:tcW w:w="990" w:type="dxa"/>
            <w:shd w:val="clear" w:color="auto" w:fill="FFFFFF" w:themeFill="background1"/>
            <w:vAlign w:val="center"/>
          </w:tcPr>
          <w:p w:rsidR="00017D31" w:rsidRPr="001F29F9" w:rsidRDefault="00017D31" w:rsidP="00017D31">
            <w:pPr>
              <w:spacing w:line="18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80610</w:t>
            </w:r>
          </w:p>
        </w:tc>
      </w:tr>
      <w:tr w:rsidR="00017D31" w:rsidRPr="001F29F9" w:rsidTr="00017D31">
        <w:trPr>
          <w:trHeight w:val="287"/>
          <w:jc w:val="center"/>
        </w:trPr>
        <w:tc>
          <w:tcPr>
            <w:tcW w:w="2142" w:type="dxa"/>
            <w:tcBorders>
              <w:right w:val="single" w:sz="4" w:space="0" w:color="auto"/>
            </w:tcBorders>
            <w:shd w:val="clear" w:color="auto" w:fill="FFFFFF" w:themeFill="background1"/>
            <w:vAlign w:val="center"/>
          </w:tcPr>
          <w:p w:rsidR="00017D31" w:rsidRPr="001F29F9" w:rsidRDefault="00017D31" w:rsidP="00017D31">
            <w:pPr>
              <w:spacing w:line="180" w:lineRule="exact"/>
              <w:contextualSpacing/>
              <w:jc w:val="left"/>
              <w:rPr>
                <w:rFonts w:cs="Calibri"/>
                <w:color w:val="000000" w:themeColor="text1"/>
                <w:sz w:val="18"/>
                <w:szCs w:val="18"/>
              </w:rPr>
            </w:pPr>
            <w:r>
              <w:rPr>
                <w:rFonts w:cs="Calibri"/>
                <w:color w:val="000000" w:themeColor="text1"/>
                <w:sz w:val="18"/>
                <w:szCs w:val="18"/>
              </w:rPr>
              <w:t>Hyperlipidemia</w:t>
            </w:r>
          </w:p>
        </w:tc>
        <w:tc>
          <w:tcPr>
            <w:tcW w:w="1980" w:type="dxa"/>
            <w:gridSpan w:val="2"/>
            <w:tcBorders>
              <w:left w:val="single" w:sz="4" w:space="0" w:color="auto"/>
              <w:right w:val="thinThickThinSmallGap" w:sz="24" w:space="0" w:color="auto"/>
            </w:tcBorders>
            <w:shd w:val="clear" w:color="auto" w:fill="FFFFFF" w:themeFill="background1"/>
          </w:tcPr>
          <w:p w:rsidR="00017D31" w:rsidRDefault="00017D31" w:rsidP="00017D31">
            <w:r w:rsidRPr="00997B5C">
              <w:rPr>
                <w:rFonts w:cs="Calibri"/>
                <w:color w:val="000000" w:themeColor="text1"/>
                <w:sz w:val="18"/>
                <w:szCs w:val="18"/>
              </w:rPr>
              <w:t>Not Unfitting</w:t>
            </w:r>
          </w:p>
        </w:tc>
        <w:tc>
          <w:tcPr>
            <w:tcW w:w="5220" w:type="dxa"/>
            <w:gridSpan w:val="5"/>
            <w:tcBorders>
              <w:left w:val="thinThickThinSmallGap" w:sz="24" w:space="0" w:color="auto"/>
            </w:tcBorders>
            <w:shd w:val="clear" w:color="auto" w:fill="FFFFFF" w:themeFill="background1"/>
            <w:vAlign w:val="center"/>
          </w:tcPr>
          <w:p w:rsidR="00017D31" w:rsidRPr="001F29F9" w:rsidRDefault="00017D31" w:rsidP="00017D31">
            <w:pPr>
              <w:spacing w:line="180" w:lineRule="exact"/>
              <w:contextualSpacing/>
              <w:rPr>
                <w:rFonts w:cs="Calibri"/>
                <w:color w:val="000000" w:themeColor="text1"/>
                <w:sz w:val="18"/>
                <w:szCs w:val="18"/>
                <w:highlight w:val="yellow"/>
              </w:rPr>
            </w:pPr>
            <w:r w:rsidRPr="00706D31">
              <w:rPr>
                <w:rFonts w:cs="Calibri"/>
                <w:color w:val="000000" w:themeColor="text1"/>
                <w:sz w:val="18"/>
                <w:szCs w:val="18"/>
              </w:rPr>
              <w:t xml:space="preserve">Not VA Rated </w:t>
            </w:r>
          </w:p>
        </w:tc>
      </w:tr>
      <w:tr w:rsidR="00017D31" w:rsidRPr="001F29F9" w:rsidTr="00017D31">
        <w:trPr>
          <w:trHeight w:val="287"/>
          <w:jc w:val="center"/>
        </w:trPr>
        <w:tc>
          <w:tcPr>
            <w:tcW w:w="2142" w:type="dxa"/>
            <w:tcBorders>
              <w:right w:val="single" w:sz="4" w:space="0" w:color="auto"/>
            </w:tcBorders>
            <w:shd w:val="clear" w:color="auto" w:fill="FFFFFF" w:themeFill="background1"/>
            <w:vAlign w:val="center"/>
          </w:tcPr>
          <w:p w:rsidR="00017D31" w:rsidRPr="001F29F9" w:rsidRDefault="00017D31" w:rsidP="00017D31">
            <w:pPr>
              <w:spacing w:line="180" w:lineRule="exact"/>
              <w:contextualSpacing/>
              <w:jc w:val="left"/>
              <w:rPr>
                <w:rFonts w:cs="Calibri"/>
                <w:color w:val="000000" w:themeColor="text1"/>
                <w:sz w:val="18"/>
                <w:szCs w:val="18"/>
              </w:rPr>
            </w:pPr>
            <w:r>
              <w:rPr>
                <w:rFonts w:cs="Calibri"/>
                <w:color w:val="000000" w:themeColor="text1"/>
                <w:sz w:val="18"/>
                <w:szCs w:val="18"/>
              </w:rPr>
              <w:t>Shoulder pain</w:t>
            </w:r>
          </w:p>
        </w:tc>
        <w:tc>
          <w:tcPr>
            <w:tcW w:w="1980" w:type="dxa"/>
            <w:gridSpan w:val="2"/>
            <w:tcBorders>
              <w:left w:val="single" w:sz="4" w:space="0" w:color="auto"/>
              <w:right w:val="thinThickThinSmallGap" w:sz="24" w:space="0" w:color="auto"/>
            </w:tcBorders>
            <w:shd w:val="clear" w:color="auto" w:fill="FFFFFF" w:themeFill="background1"/>
          </w:tcPr>
          <w:p w:rsidR="00017D31" w:rsidRDefault="00017D31" w:rsidP="00017D31">
            <w:r w:rsidRPr="00997B5C">
              <w:rPr>
                <w:rFonts w:cs="Calibri"/>
                <w:color w:val="000000" w:themeColor="text1"/>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017D31" w:rsidRPr="001F29F9" w:rsidRDefault="00017D31" w:rsidP="00017D31">
            <w:pPr>
              <w:spacing w:line="180" w:lineRule="exact"/>
              <w:contextualSpacing/>
              <w:jc w:val="left"/>
              <w:rPr>
                <w:rFonts w:cs="Calibri"/>
                <w:color w:val="000000" w:themeColor="text1"/>
                <w:sz w:val="18"/>
                <w:szCs w:val="18"/>
              </w:rPr>
            </w:pPr>
            <w:r>
              <w:rPr>
                <w:rFonts w:cs="Calibri"/>
                <w:color w:val="000000" w:themeColor="text1"/>
                <w:sz w:val="18"/>
                <w:szCs w:val="18"/>
              </w:rPr>
              <w:t>DJD Left Shoulder</w:t>
            </w:r>
          </w:p>
        </w:tc>
        <w:tc>
          <w:tcPr>
            <w:tcW w:w="1080" w:type="dxa"/>
            <w:gridSpan w:val="2"/>
            <w:tcBorders>
              <w:left w:val="single" w:sz="4" w:space="0" w:color="auto"/>
              <w:right w:val="single" w:sz="4" w:space="0" w:color="auto"/>
            </w:tcBorders>
            <w:shd w:val="clear" w:color="auto" w:fill="FFFFFF" w:themeFill="background1"/>
            <w:vAlign w:val="center"/>
          </w:tcPr>
          <w:p w:rsidR="00017D31" w:rsidRPr="001F29F9" w:rsidRDefault="00017D31" w:rsidP="00017D31">
            <w:pPr>
              <w:spacing w:line="180" w:lineRule="exact"/>
              <w:contextualSpacing/>
              <w:rPr>
                <w:rFonts w:cs="Calibri"/>
                <w:color w:val="000000" w:themeColor="text1"/>
                <w:sz w:val="18"/>
                <w:szCs w:val="18"/>
              </w:rPr>
            </w:pPr>
            <w:r>
              <w:rPr>
                <w:rFonts w:cs="Calibri"/>
                <w:color w:val="000000" w:themeColor="text1"/>
                <w:sz w:val="18"/>
                <w:szCs w:val="18"/>
              </w:rPr>
              <w:t>5003-5203</w:t>
            </w:r>
          </w:p>
        </w:tc>
        <w:tc>
          <w:tcPr>
            <w:tcW w:w="828" w:type="dxa"/>
            <w:tcBorders>
              <w:left w:val="single" w:sz="4" w:space="0" w:color="auto"/>
            </w:tcBorders>
            <w:shd w:val="clear" w:color="auto" w:fill="FFFFFF" w:themeFill="background1"/>
            <w:vAlign w:val="center"/>
          </w:tcPr>
          <w:p w:rsidR="00017D31" w:rsidRPr="001F29F9" w:rsidRDefault="00017D31" w:rsidP="00017D31">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017D31" w:rsidRPr="001F29F9" w:rsidRDefault="00017D31" w:rsidP="00017D31">
            <w:pPr>
              <w:spacing w:line="18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80610</w:t>
            </w:r>
          </w:p>
        </w:tc>
      </w:tr>
      <w:tr w:rsidR="00017D31" w:rsidRPr="001F29F9" w:rsidTr="00017D31">
        <w:trPr>
          <w:trHeight w:val="287"/>
          <w:jc w:val="center"/>
        </w:trPr>
        <w:tc>
          <w:tcPr>
            <w:tcW w:w="2142" w:type="dxa"/>
            <w:tcBorders>
              <w:right w:val="single" w:sz="4" w:space="0" w:color="auto"/>
            </w:tcBorders>
            <w:shd w:val="clear" w:color="auto" w:fill="FFFFFF" w:themeFill="background1"/>
            <w:vAlign w:val="center"/>
          </w:tcPr>
          <w:p w:rsidR="00017D31" w:rsidRPr="001F29F9" w:rsidRDefault="00017D31" w:rsidP="00017D31">
            <w:pPr>
              <w:spacing w:line="180" w:lineRule="exact"/>
              <w:contextualSpacing/>
              <w:jc w:val="left"/>
              <w:rPr>
                <w:rFonts w:cs="Calibri"/>
                <w:color w:val="000000" w:themeColor="text1"/>
                <w:sz w:val="18"/>
                <w:szCs w:val="18"/>
              </w:rPr>
            </w:pPr>
            <w:r>
              <w:rPr>
                <w:rFonts w:cs="Calibri"/>
                <w:color w:val="000000" w:themeColor="text1"/>
                <w:sz w:val="18"/>
                <w:szCs w:val="18"/>
              </w:rPr>
              <w:t>Heel spurs</w:t>
            </w:r>
          </w:p>
        </w:tc>
        <w:tc>
          <w:tcPr>
            <w:tcW w:w="1980" w:type="dxa"/>
            <w:gridSpan w:val="2"/>
            <w:tcBorders>
              <w:left w:val="single" w:sz="4" w:space="0" w:color="auto"/>
              <w:right w:val="thinThickThinSmallGap" w:sz="24" w:space="0" w:color="auto"/>
            </w:tcBorders>
            <w:shd w:val="clear" w:color="auto" w:fill="FFFFFF" w:themeFill="background1"/>
            <w:vAlign w:val="center"/>
          </w:tcPr>
          <w:p w:rsidR="00017D31" w:rsidRPr="001F29F9" w:rsidRDefault="00017D31" w:rsidP="00017D31">
            <w:pPr>
              <w:spacing w:line="180" w:lineRule="exact"/>
              <w:contextualSpacing/>
              <w:rPr>
                <w:rFonts w:cs="Calibri"/>
                <w:color w:val="000000" w:themeColor="text1"/>
                <w:sz w:val="18"/>
                <w:szCs w:val="18"/>
              </w:rPr>
            </w:pPr>
            <w:r w:rsidRPr="001F29F9">
              <w:rPr>
                <w:rFonts w:cs="Calibri"/>
                <w:color w:val="000000" w:themeColor="text1"/>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017D31" w:rsidRPr="001F29F9" w:rsidRDefault="00017D31" w:rsidP="00017D31">
            <w:pPr>
              <w:spacing w:line="180" w:lineRule="exact"/>
              <w:contextualSpacing/>
              <w:jc w:val="left"/>
              <w:rPr>
                <w:rFonts w:cs="Calibri"/>
                <w:color w:val="000000" w:themeColor="text1"/>
                <w:sz w:val="18"/>
                <w:szCs w:val="18"/>
              </w:rPr>
            </w:pPr>
            <w:r>
              <w:rPr>
                <w:rFonts w:cs="Calibri"/>
                <w:color w:val="000000" w:themeColor="text1"/>
                <w:sz w:val="18"/>
                <w:szCs w:val="18"/>
              </w:rPr>
              <w:t>Heels Spurs</w:t>
            </w:r>
          </w:p>
        </w:tc>
        <w:tc>
          <w:tcPr>
            <w:tcW w:w="1080" w:type="dxa"/>
            <w:gridSpan w:val="2"/>
            <w:tcBorders>
              <w:left w:val="single" w:sz="4" w:space="0" w:color="auto"/>
              <w:right w:val="single" w:sz="4" w:space="0" w:color="auto"/>
            </w:tcBorders>
            <w:shd w:val="clear" w:color="auto" w:fill="FFFFFF" w:themeFill="background1"/>
            <w:vAlign w:val="center"/>
          </w:tcPr>
          <w:p w:rsidR="00017D31" w:rsidRPr="001F29F9" w:rsidRDefault="00017D31" w:rsidP="00017D31">
            <w:pPr>
              <w:spacing w:line="180" w:lineRule="exact"/>
              <w:contextualSpacing/>
              <w:rPr>
                <w:rFonts w:cs="Calibri"/>
                <w:color w:val="000000" w:themeColor="text1"/>
                <w:sz w:val="18"/>
                <w:szCs w:val="18"/>
              </w:rPr>
            </w:pPr>
            <w:r>
              <w:rPr>
                <w:rFonts w:cs="Calibri"/>
                <w:color w:val="000000" w:themeColor="text1"/>
                <w:sz w:val="18"/>
                <w:szCs w:val="18"/>
              </w:rPr>
              <w:t>5299-5284</w:t>
            </w:r>
          </w:p>
        </w:tc>
        <w:tc>
          <w:tcPr>
            <w:tcW w:w="828" w:type="dxa"/>
            <w:tcBorders>
              <w:left w:val="single" w:sz="4" w:space="0" w:color="auto"/>
            </w:tcBorders>
            <w:shd w:val="clear" w:color="auto" w:fill="FFFFFF" w:themeFill="background1"/>
            <w:vAlign w:val="center"/>
          </w:tcPr>
          <w:p w:rsidR="00017D31" w:rsidRPr="001F29F9" w:rsidRDefault="00017D31" w:rsidP="00017D31">
            <w:pPr>
              <w:spacing w:line="180" w:lineRule="exact"/>
              <w:contextualSpacing/>
              <w:rPr>
                <w:rFonts w:cs="Calibri"/>
                <w:color w:val="000000" w:themeColor="text1"/>
                <w:sz w:val="18"/>
                <w:szCs w:val="18"/>
              </w:rPr>
            </w:pPr>
            <w:r>
              <w:rPr>
                <w:rFonts w:cs="Calibri"/>
                <w:color w:val="000000" w:themeColor="text1"/>
                <w:sz w:val="18"/>
                <w:szCs w:val="18"/>
              </w:rPr>
              <w:t>NSC</w:t>
            </w:r>
          </w:p>
        </w:tc>
        <w:tc>
          <w:tcPr>
            <w:tcW w:w="990" w:type="dxa"/>
            <w:shd w:val="clear" w:color="auto" w:fill="FFFFFF" w:themeFill="background1"/>
            <w:vAlign w:val="center"/>
          </w:tcPr>
          <w:p w:rsidR="00017D31" w:rsidRPr="001F29F9" w:rsidRDefault="00017D31" w:rsidP="00017D31">
            <w:pPr>
              <w:spacing w:line="18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80610</w:t>
            </w:r>
          </w:p>
        </w:tc>
      </w:tr>
      <w:tr w:rsidR="00017D31" w:rsidRPr="001F29F9" w:rsidTr="00017D31">
        <w:trPr>
          <w:trHeight w:val="287"/>
          <w:jc w:val="center"/>
        </w:trPr>
        <w:tc>
          <w:tcPr>
            <w:tcW w:w="2142" w:type="dxa"/>
            <w:tcBorders>
              <w:right w:val="single" w:sz="4" w:space="0" w:color="auto"/>
            </w:tcBorders>
            <w:shd w:val="clear" w:color="auto" w:fill="FFFFFF" w:themeFill="background1"/>
            <w:vAlign w:val="center"/>
          </w:tcPr>
          <w:p w:rsidR="00017D31" w:rsidRPr="001F29F9" w:rsidRDefault="00017D31" w:rsidP="00017D31">
            <w:pPr>
              <w:spacing w:line="180" w:lineRule="exact"/>
              <w:contextualSpacing/>
              <w:jc w:val="left"/>
              <w:rPr>
                <w:rFonts w:cs="Calibri"/>
                <w:color w:val="000000" w:themeColor="text1"/>
                <w:sz w:val="18"/>
                <w:szCs w:val="18"/>
              </w:rPr>
            </w:pPr>
            <w:r>
              <w:rPr>
                <w:rFonts w:cs="Calibri"/>
                <w:color w:val="000000" w:themeColor="text1"/>
                <w:sz w:val="18"/>
                <w:szCs w:val="18"/>
              </w:rPr>
              <w:t>Occasional low back pain</w:t>
            </w:r>
          </w:p>
        </w:tc>
        <w:tc>
          <w:tcPr>
            <w:tcW w:w="1980" w:type="dxa"/>
            <w:gridSpan w:val="2"/>
            <w:tcBorders>
              <w:left w:val="single" w:sz="4" w:space="0" w:color="auto"/>
              <w:right w:val="thinThickThinSmallGap" w:sz="24" w:space="0" w:color="auto"/>
            </w:tcBorders>
            <w:shd w:val="clear" w:color="auto" w:fill="FFFFFF" w:themeFill="background1"/>
            <w:vAlign w:val="center"/>
          </w:tcPr>
          <w:p w:rsidR="00017D31" w:rsidRPr="001F29F9" w:rsidRDefault="00017D31" w:rsidP="00017D31">
            <w:pPr>
              <w:spacing w:line="180" w:lineRule="exact"/>
              <w:contextualSpacing/>
              <w:rPr>
                <w:rFonts w:cs="Calibri"/>
                <w:color w:val="000000" w:themeColor="text1"/>
                <w:sz w:val="18"/>
                <w:szCs w:val="18"/>
              </w:rPr>
            </w:pPr>
            <w:r w:rsidRPr="001F29F9">
              <w:rPr>
                <w:rFonts w:cs="Calibri"/>
                <w:color w:val="000000" w:themeColor="text1"/>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017D31" w:rsidRPr="001F29F9" w:rsidRDefault="00017D31" w:rsidP="00017D31">
            <w:pPr>
              <w:spacing w:line="180" w:lineRule="exact"/>
              <w:contextualSpacing/>
              <w:jc w:val="left"/>
              <w:rPr>
                <w:rFonts w:cs="Calibri"/>
                <w:color w:val="000000" w:themeColor="text1"/>
                <w:sz w:val="18"/>
                <w:szCs w:val="18"/>
              </w:rPr>
            </w:pPr>
            <w:r>
              <w:rPr>
                <w:rFonts w:cs="Calibri"/>
                <w:color w:val="000000" w:themeColor="text1"/>
                <w:sz w:val="18"/>
                <w:szCs w:val="18"/>
              </w:rPr>
              <w:t>Low back pain</w:t>
            </w:r>
          </w:p>
        </w:tc>
        <w:tc>
          <w:tcPr>
            <w:tcW w:w="1080" w:type="dxa"/>
            <w:gridSpan w:val="2"/>
            <w:tcBorders>
              <w:left w:val="single" w:sz="4" w:space="0" w:color="auto"/>
              <w:right w:val="single" w:sz="4" w:space="0" w:color="auto"/>
            </w:tcBorders>
            <w:shd w:val="clear" w:color="auto" w:fill="FFFFFF" w:themeFill="background1"/>
            <w:vAlign w:val="center"/>
          </w:tcPr>
          <w:p w:rsidR="00017D31" w:rsidRPr="001F29F9" w:rsidRDefault="00017D31" w:rsidP="00017D31">
            <w:pPr>
              <w:spacing w:line="180" w:lineRule="exact"/>
              <w:contextualSpacing/>
              <w:rPr>
                <w:rFonts w:cs="Calibri"/>
                <w:color w:val="000000" w:themeColor="text1"/>
                <w:sz w:val="18"/>
                <w:szCs w:val="18"/>
              </w:rPr>
            </w:pPr>
            <w:r>
              <w:rPr>
                <w:rFonts w:cs="Calibri"/>
                <w:color w:val="000000" w:themeColor="text1"/>
                <w:sz w:val="18"/>
                <w:szCs w:val="18"/>
              </w:rPr>
              <w:t>5237</w:t>
            </w:r>
          </w:p>
        </w:tc>
        <w:tc>
          <w:tcPr>
            <w:tcW w:w="828" w:type="dxa"/>
            <w:tcBorders>
              <w:left w:val="single" w:sz="4" w:space="0" w:color="auto"/>
            </w:tcBorders>
            <w:shd w:val="clear" w:color="auto" w:fill="FFFFFF" w:themeFill="background1"/>
            <w:vAlign w:val="center"/>
          </w:tcPr>
          <w:p w:rsidR="00017D31" w:rsidRPr="001F29F9" w:rsidRDefault="00017D31" w:rsidP="00017D31">
            <w:pPr>
              <w:spacing w:line="180" w:lineRule="exact"/>
              <w:contextualSpacing/>
              <w:rPr>
                <w:rFonts w:cs="Calibri"/>
                <w:color w:val="000000" w:themeColor="text1"/>
                <w:sz w:val="18"/>
                <w:szCs w:val="18"/>
              </w:rPr>
            </w:pPr>
            <w:r>
              <w:rPr>
                <w:rFonts w:cs="Calibri"/>
                <w:color w:val="000000" w:themeColor="text1"/>
                <w:sz w:val="18"/>
                <w:szCs w:val="18"/>
              </w:rPr>
              <w:t>NSC</w:t>
            </w:r>
          </w:p>
        </w:tc>
        <w:tc>
          <w:tcPr>
            <w:tcW w:w="990" w:type="dxa"/>
            <w:shd w:val="clear" w:color="auto" w:fill="FFFFFF" w:themeFill="background1"/>
            <w:vAlign w:val="center"/>
          </w:tcPr>
          <w:p w:rsidR="00017D31" w:rsidRPr="001F29F9" w:rsidRDefault="00017D31" w:rsidP="00017D31">
            <w:pPr>
              <w:spacing w:line="18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80610</w:t>
            </w:r>
          </w:p>
        </w:tc>
      </w:tr>
      <w:tr w:rsidR="00017D31" w:rsidRPr="001F29F9" w:rsidTr="00017D31">
        <w:trPr>
          <w:trHeight w:val="287"/>
          <w:jc w:val="center"/>
        </w:trPr>
        <w:tc>
          <w:tcPr>
            <w:tcW w:w="2142" w:type="dxa"/>
            <w:tcBorders>
              <w:right w:val="single" w:sz="4" w:space="0" w:color="auto"/>
            </w:tcBorders>
            <w:shd w:val="clear" w:color="auto" w:fill="FFFFFF" w:themeFill="background1"/>
            <w:vAlign w:val="center"/>
          </w:tcPr>
          <w:p w:rsidR="00017D31" w:rsidRDefault="00017D31" w:rsidP="00017D31">
            <w:pPr>
              <w:spacing w:line="180" w:lineRule="exact"/>
              <w:contextualSpacing/>
              <w:jc w:val="left"/>
              <w:rPr>
                <w:rFonts w:cs="Calibri"/>
                <w:color w:val="000000" w:themeColor="text1"/>
                <w:sz w:val="18"/>
                <w:szCs w:val="18"/>
              </w:rPr>
            </w:pPr>
            <w:r>
              <w:rPr>
                <w:rFonts w:cs="Calibri"/>
                <w:color w:val="000000" w:themeColor="text1"/>
                <w:sz w:val="18"/>
                <w:szCs w:val="18"/>
              </w:rPr>
              <w:t xml:space="preserve">Lipomas </w:t>
            </w:r>
          </w:p>
        </w:tc>
        <w:tc>
          <w:tcPr>
            <w:tcW w:w="1980" w:type="dxa"/>
            <w:gridSpan w:val="2"/>
            <w:tcBorders>
              <w:left w:val="single" w:sz="4" w:space="0" w:color="auto"/>
              <w:right w:val="thinThickThinSmallGap" w:sz="24" w:space="0" w:color="auto"/>
            </w:tcBorders>
            <w:shd w:val="clear" w:color="auto" w:fill="FFFFFF" w:themeFill="background1"/>
            <w:vAlign w:val="center"/>
          </w:tcPr>
          <w:p w:rsidR="00017D31" w:rsidRPr="001F29F9" w:rsidRDefault="00017D31" w:rsidP="00017D31">
            <w:pPr>
              <w:spacing w:line="180" w:lineRule="exact"/>
              <w:contextualSpacing/>
              <w:rPr>
                <w:rFonts w:cs="Calibri"/>
                <w:color w:val="000000" w:themeColor="text1"/>
                <w:sz w:val="18"/>
                <w:szCs w:val="18"/>
              </w:rPr>
            </w:pPr>
            <w:r>
              <w:rPr>
                <w:rFonts w:cs="Calibri"/>
                <w:color w:val="000000" w:themeColor="text1"/>
                <w:sz w:val="18"/>
                <w:szCs w:val="18"/>
              </w:rPr>
              <w:t>Not Unfitting</w:t>
            </w:r>
          </w:p>
        </w:tc>
        <w:tc>
          <w:tcPr>
            <w:tcW w:w="5220" w:type="dxa"/>
            <w:gridSpan w:val="5"/>
            <w:tcBorders>
              <w:left w:val="thinThickThinSmallGap" w:sz="24" w:space="0" w:color="auto"/>
            </w:tcBorders>
            <w:shd w:val="clear" w:color="auto" w:fill="FFFFFF" w:themeFill="background1"/>
            <w:vAlign w:val="center"/>
          </w:tcPr>
          <w:p w:rsidR="00017D31" w:rsidRPr="001F29F9" w:rsidRDefault="00017D31" w:rsidP="00017D31">
            <w:pPr>
              <w:spacing w:line="180" w:lineRule="exact"/>
              <w:contextualSpacing/>
              <w:rPr>
                <w:rFonts w:cs="Calibri"/>
                <w:color w:val="000000" w:themeColor="text1"/>
                <w:sz w:val="18"/>
                <w:szCs w:val="18"/>
                <w:highlight w:val="yellow"/>
              </w:rPr>
            </w:pPr>
            <w:r w:rsidRPr="00706D31">
              <w:rPr>
                <w:rFonts w:cs="Calibri"/>
                <w:color w:val="000000" w:themeColor="text1"/>
                <w:sz w:val="18"/>
                <w:szCs w:val="18"/>
              </w:rPr>
              <w:t xml:space="preserve">Not VA Rated </w:t>
            </w:r>
          </w:p>
        </w:tc>
      </w:tr>
      <w:tr w:rsidR="00017D31" w:rsidRPr="001F29F9" w:rsidTr="00017D31">
        <w:trPr>
          <w:trHeight w:val="287"/>
          <w:jc w:val="center"/>
        </w:trPr>
        <w:tc>
          <w:tcPr>
            <w:tcW w:w="4122" w:type="dxa"/>
            <w:gridSpan w:val="3"/>
            <w:vMerge w:val="restart"/>
            <w:tcBorders>
              <w:right w:val="thinThickThinSmallGap" w:sz="24" w:space="0" w:color="auto"/>
            </w:tcBorders>
            <w:shd w:val="clear" w:color="auto" w:fill="FFFFFF" w:themeFill="background1"/>
            <w:vAlign w:val="center"/>
          </w:tcPr>
          <w:p w:rsidR="00017D31" w:rsidRDefault="00017D31" w:rsidP="00017D31">
            <w:pPr>
              <w:spacing w:line="180" w:lineRule="exact"/>
              <w:contextualSpacing/>
              <w:rPr>
                <w:rFonts w:cs="Calibri"/>
                <w:color w:val="000000" w:themeColor="text1"/>
                <w:sz w:val="18"/>
                <w:szCs w:val="18"/>
              </w:rPr>
            </w:pPr>
            <w:r w:rsidRPr="001F29F9">
              <w:rPr>
                <w:rFonts w:cs="Calibri"/>
                <w:color w:val="000000" w:themeColor="text1"/>
                <w:sz w:val="18"/>
                <w:szCs w:val="18"/>
              </w:rPr>
              <w:t>↓No Additional MEB/PEB Entries↓</w:t>
            </w:r>
          </w:p>
        </w:tc>
        <w:tc>
          <w:tcPr>
            <w:tcW w:w="2340" w:type="dxa"/>
            <w:gridSpan w:val="2"/>
            <w:tcBorders>
              <w:left w:val="thinThickThinSmallGap" w:sz="24" w:space="0" w:color="auto"/>
              <w:right w:val="single" w:sz="4" w:space="0" w:color="auto"/>
            </w:tcBorders>
            <w:shd w:val="clear" w:color="auto" w:fill="FFFFFF" w:themeFill="background1"/>
            <w:vAlign w:val="center"/>
          </w:tcPr>
          <w:p w:rsidR="00017D31" w:rsidRPr="001F29F9" w:rsidRDefault="00017D31" w:rsidP="00017D31">
            <w:pPr>
              <w:spacing w:line="180" w:lineRule="exact"/>
              <w:contextualSpacing/>
              <w:jc w:val="left"/>
              <w:rPr>
                <w:rFonts w:cs="Calibri"/>
                <w:color w:val="000000" w:themeColor="text1"/>
                <w:sz w:val="18"/>
                <w:szCs w:val="18"/>
              </w:rPr>
            </w:pPr>
            <w:r>
              <w:rPr>
                <w:rFonts w:cs="Calibri"/>
                <w:color w:val="000000" w:themeColor="text1"/>
                <w:sz w:val="18"/>
                <w:szCs w:val="18"/>
              </w:rPr>
              <w:t>Tinnitus</w:t>
            </w:r>
          </w:p>
        </w:tc>
        <w:tc>
          <w:tcPr>
            <w:tcW w:w="1062" w:type="dxa"/>
            <w:tcBorders>
              <w:left w:val="single" w:sz="4" w:space="0" w:color="auto"/>
              <w:right w:val="single" w:sz="4" w:space="0" w:color="auto"/>
            </w:tcBorders>
            <w:shd w:val="clear" w:color="auto" w:fill="FFFFFF" w:themeFill="background1"/>
            <w:vAlign w:val="center"/>
          </w:tcPr>
          <w:p w:rsidR="00017D31" w:rsidRPr="001F29F9" w:rsidRDefault="00017D31" w:rsidP="00017D31">
            <w:pPr>
              <w:spacing w:line="180" w:lineRule="exact"/>
              <w:contextualSpacing/>
              <w:rPr>
                <w:rFonts w:cs="Calibri"/>
                <w:color w:val="000000" w:themeColor="text1"/>
                <w:sz w:val="18"/>
                <w:szCs w:val="18"/>
              </w:rPr>
            </w:pPr>
            <w:r>
              <w:rPr>
                <w:rFonts w:cs="Calibri"/>
                <w:color w:val="000000" w:themeColor="text1"/>
                <w:sz w:val="18"/>
                <w:szCs w:val="18"/>
              </w:rPr>
              <w:t>6260</w:t>
            </w:r>
          </w:p>
        </w:tc>
        <w:tc>
          <w:tcPr>
            <w:tcW w:w="828" w:type="dxa"/>
            <w:tcBorders>
              <w:left w:val="single" w:sz="4" w:space="0" w:color="auto"/>
            </w:tcBorders>
            <w:shd w:val="clear" w:color="auto" w:fill="FFFFFF" w:themeFill="background1"/>
            <w:vAlign w:val="center"/>
          </w:tcPr>
          <w:p w:rsidR="00017D31" w:rsidRPr="001F29F9" w:rsidRDefault="00017D31" w:rsidP="00017D31">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017D31" w:rsidRPr="001F29F9" w:rsidRDefault="00017D31" w:rsidP="00017D31">
            <w:pPr>
              <w:spacing w:line="18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80610</w:t>
            </w:r>
          </w:p>
        </w:tc>
      </w:tr>
      <w:tr w:rsidR="00017D31" w:rsidRPr="001F29F9" w:rsidTr="00017D31">
        <w:trPr>
          <w:trHeight w:val="287"/>
          <w:jc w:val="center"/>
        </w:trPr>
        <w:tc>
          <w:tcPr>
            <w:tcW w:w="4122" w:type="dxa"/>
            <w:gridSpan w:val="3"/>
            <w:vMerge/>
            <w:tcBorders>
              <w:right w:val="thinThickThinSmallGap" w:sz="24" w:space="0" w:color="auto"/>
            </w:tcBorders>
            <w:shd w:val="clear" w:color="auto" w:fill="FFFFFF" w:themeFill="background1"/>
            <w:vAlign w:val="center"/>
          </w:tcPr>
          <w:p w:rsidR="00017D31" w:rsidRDefault="00017D31" w:rsidP="00017D31">
            <w:pPr>
              <w:spacing w:line="180" w:lineRule="exact"/>
              <w:contextualSpacing/>
              <w:rPr>
                <w:rFonts w:cs="Calibri"/>
                <w:color w:val="000000" w:themeColor="text1"/>
                <w:sz w:val="18"/>
                <w:szCs w:val="18"/>
              </w:rPr>
            </w:pPr>
          </w:p>
        </w:tc>
        <w:tc>
          <w:tcPr>
            <w:tcW w:w="2340" w:type="dxa"/>
            <w:gridSpan w:val="2"/>
            <w:tcBorders>
              <w:left w:val="thinThickThinSmallGap" w:sz="24" w:space="0" w:color="auto"/>
              <w:right w:val="single" w:sz="4" w:space="0" w:color="auto"/>
            </w:tcBorders>
            <w:shd w:val="clear" w:color="auto" w:fill="FFFFFF" w:themeFill="background1"/>
            <w:vAlign w:val="center"/>
          </w:tcPr>
          <w:p w:rsidR="00017D31" w:rsidRDefault="00017D31" w:rsidP="00017D31">
            <w:pPr>
              <w:spacing w:line="180" w:lineRule="exact"/>
              <w:contextualSpacing/>
              <w:jc w:val="left"/>
              <w:rPr>
                <w:rFonts w:cs="Calibri"/>
                <w:color w:val="000000" w:themeColor="text1"/>
                <w:sz w:val="18"/>
                <w:szCs w:val="18"/>
              </w:rPr>
            </w:pPr>
            <w:r>
              <w:rPr>
                <w:rFonts w:cs="Calibri"/>
                <w:color w:val="000000" w:themeColor="text1"/>
                <w:sz w:val="18"/>
                <w:szCs w:val="18"/>
              </w:rPr>
              <w:t>Residuals s/p resection of the right distal clavicle</w:t>
            </w:r>
          </w:p>
        </w:tc>
        <w:tc>
          <w:tcPr>
            <w:tcW w:w="1062" w:type="dxa"/>
            <w:tcBorders>
              <w:left w:val="single" w:sz="4" w:space="0" w:color="auto"/>
              <w:right w:val="single" w:sz="4" w:space="0" w:color="auto"/>
            </w:tcBorders>
            <w:shd w:val="clear" w:color="auto" w:fill="FFFFFF" w:themeFill="background1"/>
            <w:vAlign w:val="center"/>
          </w:tcPr>
          <w:p w:rsidR="00017D31" w:rsidRDefault="00017D31" w:rsidP="00017D31">
            <w:pPr>
              <w:spacing w:line="180" w:lineRule="exact"/>
              <w:contextualSpacing/>
              <w:rPr>
                <w:rFonts w:cs="Calibri"/>
                <w:color w:val="000000" w:themeColor="text1"/>
                <w:sz w:val="18"/>
                <w:szCs w:val="18"/>
              </w:rPr>
            </w:pPr>
            <w:r>
              <w:rPr>
                <w:rFonts w:cs="Calibri"/>
                <w:color w:val="000000" w:themeColor="text1"/>
                <w:sz w:val="18"/>
                <w:szCs w:val="18"/>
              </w:rPr>
              <w:t>5299-5203</w:t>
            </w:r>
          </w:p>
        </w:tc>
        <w:tc>
          <w:tcPr>
            <w:tcW w:w="828" w:type="dxa"/>
            <w:tcBorders>
              <w:left w:val="single" w:sz="4" w:space="0" w:color="auto"/>
            </w:tcBorders>
            <w:shd w:val="clear" w:color="auto" w:fill="FFFFFF" w:themeFill="background1"/>
            <w:vAlign w:val="center"/>
          </w:tcPr>
          <w:p w:rsidR="00017D31" w:rsidRDefault="00017D31" w:rsidP="00017D31">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017D31" w:rsidRPr="001F29F9" w:rsidRDefault="00017D31" w:rsidP="00017D31">
            <w:pPr>
              <w:spacing w:line="18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80610</w:t>
            </w:r>
          </w:p>
        </w:tc>
      </w:tr>
      <w:tr w:rsidR="00017D31" w:rsidRPr="001F29F9" w:rsidTr="00017D31">
        <w:trPr>
          <w:trHeight w:val="260"/>
          <w:jc w:val="center"/>
        </w:trPr>
        <w:tc>
          <w:tcPr>
            <w:tcW w:w="4122" w:type="dxa"/>
            <w:gridSpan w:val="3"/>
            <w:vMerge/>
            <w:tcBorders>
              <w:right w:val="thinThickThinSmallGap" w:sz="24" w:space="0" w:color="auto"/>
            </w:tcBorders>
            <w:shd w:val="clear" w:color="auto" w:fill="FFFFFF" w:themeFill="background1"/>
          </w:tcPr>
          <w:p w:rsidR="00017D31" w:rsidRPr="001F29F9" w:rsidRDefault="00017D31" w:rsidP="00017D31">
            <w:pPr>
              <w:spacing w:line="180" w:lineRule="exact"/>
              <w:contextualSpacing/>
              <w:rPr>
                <w:rFonts w:cs="Calibri"/>
                <w:color w:val="000000" w:themeColor="text1"/>
                <w:sz w:val="18"/>
                <w:szCs w:val="18"/>
              </w:rPr>
            </w:pPr>
          </w:p>
        </w:tc>
        <w:tc>
          <w:tcPr>
            <w:tcW w:w="4230" w:type="dxa"/>
            <w:gridSpan w:val="4"/>
            <w:tcBorders>
              <w:left w:val="thinThickThinSmallGap" w:sz="24" w:space="0" w:color="auto"/>
            </w:tcBorders>
            <w:shd w:val="clear" w:color="auto" w:fill="FFFFFF" w:themeFill="background1"/>
            <w:vAlign w:val="center"/>
          </w:tcPr>
          <w:p w:rsidR="00017D31" w:rsidRPr="001F29F9" w:rsidRDefault="00017D31" w:rsidP="00017D31">
            <w:pPr>
              <w:spacing w:line="180" w:lineRule="exact"/>
              <w:contextualSpacing/>
              <w:rPr>
                <w:rFonts w:cs="Calibri"/>
                <w:color w:val="000000" w:themeColor="text1"/>
                <w:sz w:val="18"/>
                <w:szCs w:val="18"/>
              </w:rPr>
            </w:pPr>
            <w:r w:rsidRPr="001F29F9">
              <w:rPr>
                <w:rFonts w:cs="Calibri"/>
                <w:color w:val="000000" w:themeColor="text1"/>
                <w:sz w:val="18"/>
                <w:szCs w:val="18"/>
              </w:rPr>
              <w:t xml:space="preserve">Not Service Connected x </w:t>
            </w:r>
            <w:r>
              <w:rPr>
                <w:rFonts w:cs="Calibri"/>
                <w:color w:val="000000" w:themeColor="text1"/>
                <w:sz w:val="18"/>
                <w:szCs w:val="18"/>
              </w:rPr>
              <w:t>1</w:t>
            </w:r>
          </w:p>
        </w:tc>
        <w:tc>
          <w:tcPr>
            <w:tcW w:w="990" w:type="dxa"/>
            <w:shd w:val="clear" w:color="auto" w:fill="FFFFFF" w:themeFill="background1"/>
            <w:vAlign w:val="center"/>
          </w:tcPr>
          <w:p w:rsidR="00017D31" w:rsidRPr="001F29F9" w:rsidRDefault="00017D31" w:rsidP="00017D31">
            <w:pPr>
              <w:spacing w:line="18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80610</w:t>
            </w:r>
          </w:p>
        </w:tc>
      </w:tr>
      <w:tr w:rsidR="00017D31" w:rsidRPr="001F29F9" w:rsidTr="00017D31">
        <w:trPr>
          <w:trHeight w:val="242"/>
          <w:jc w:val="center"/>
        </w:trPr>
        <w:tc>
          <w:tcPr>
            <w:tcW w:w="4122" w:type="dxa"/>
            <w:gridSpan w:val="3"/>
            <w:tcBorders>
              <w:right w:val="thinThickThinSmallGap" w:sz="24" w:space="0" w:color="auto"/>
            </w:tcBorders>
            <w:shd w:val="clear" w:color="auto" w:fill="D9D9D9" w:themeFill="background1" w:themeFillShade="D9"/>
            <w:vAlign w:val="center"/>
          </w:tcPr>
          <w:p w:rsidR="00017D31" w:rsidRPr="001F29F9" w:rsidRDefault="00017D31" w:rsidP="00017D31">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0</w:t>
            </w:r>
            <w:r w:rsidRPr="001F29F9">
              <w:rPr>
                <w:rFonts w:cs="Calibri"/>
                <w:b/>
                <w:color w:val="000000" w:themeColor="text1"/>
                <w:sz w:val="18"/>
                <w:szCs w:val="18"/>
              </w:rPr>
              <w:t>%</w:t>
            </w:r>
          </w:p>
        </w:tc>
        <w:tc>
          <w:tcPr>
            <w:tcW w:w="5220" w:type="dxa"/>
            <w:gridSpan w:val="5"/>
            <w:tcBorders>
              <w:left w:val="thinThickThinSmallGap" w:sz="24" w:space="0" w:color="auto"/>
            </w:tcBorders>
            <w:shd w:val="clear" w:color="auto" w:fill="D9D9D9" w:themeFill="background1" w:themeFillShade="D9"/>
            <w:vAlign w:val="center"/>
          </w:tcPr>
          <w:p w:rsidR="00017D31" w:rsidRPr="001F29F9" w:rsidRDefault="00017D31" w:rsidP="00017D31">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3</w:t>
            </w:r>
            <w:r w:rsidRPr="001F29F9">
              <w:rPr>
                <w:rFonts w:cs="Calibri"/>
                <w:b/>
                <w:color w:val="000000" w:themeColor="text1"/>
                <w:sz w:val="18"/>
                <w:szCs w:val="18"/>
              </w:rPr>
              <w:t>0%</w:t>
            </w:r>
          </w:p>
        </w:tc>
      </w:tr>
    </w:tbl>
    <w:p w:rsidR="00017D31" w:rsidRDefault="00017D31" w:rsidP="00017D31">
      <w:pPr>
        <w:pBdr>
          <w:bottom w:val="single" w:sz="12" w:space="1" w:color="auto"/>
        </w:pBdr>
        <w:tabs>
          <w:tab w:val="left" w:pos="288"/>
          <w:tab w:val="left" w:pos="4752"/>
        </w:tabs>
        <w:jc w:val="both"/>
        <w:rPr>
          <w:color w:val="000000" w:themeColor="text1"/>
          <w:szCs w:val="24"/>
        </w:rPr>
      </w:pPr>
    </w:p>
    <w:p w:rsidR="00AD2379" w:rsidRPr="00F64312" w:rsidRDefault="00AD2379" w:rsidP="00165C7B">
      <w:pPr>
        <w:jc w:val="both"/>
        <w:rPr>
          <w:color w:val="auto"/>
        </w:rPr>
      </w:pPr>
    </w:p>
    <w:p w:rsidR="007C3350" w:rsidRPr="007C3350" w:rsidRDefault="00AD2379" w:rsidP="00E04061">
      <w:pPr>
        <w:jc w:val="both"/>
        <w:rPr>
          <w:rFonts w:cs="Times New Roman"/>
          <w:color w:val="auto"/>
          <w:szCs w:val="24"/>
        </w:rPr>
      </w:pPr>
      <w:r w:rsidRPr="00F64312">
        <w:rPr>
          <w:color w:val="auto"/>
          <w:u w:val="single"/>
        </w:rPr>
        <w:t>ANALYSIS SUMMARY</w:t>
      </w:r>
      <w:r w:rsidRPr="00F64312">
        <w:rPr>
          <w:color w:val="auto"/>
        </w:rPr>
        <w:t>:</w:t>
      </w:r>
      <w:r w:rsidR="00E04061">
        <w:rPr>
          <w:color w:val="auto"/>
        </w:rPr>
        <w:t xml:space="preserve">  </w:t>
      </w:r>
      <w:r w:rsidR="00017D31">
        <w:rPr>
          <w:color w:val="000000" w:themeColor="text1"/>
          <w:szCs w:val="24"/>
        </w:rPr>
        <w:t xml:space="preserve">The </w:t>
      </w:r>
      <w:r w:rsidR="00966B78">
        <w:rPr>
          <w:color w:val="000000" w:themeColor="text1"/>
          <w:szCs w:val="24"/>
        </w:rPr>
        <w:t>B</w:t>
      </w:r>
      <w:r w:rsidR="00017D31">
        <w:rPr>
          <w:color w:val="000000" w:themeColor="text1"/>
          <w:szCs w:val="24"/>
        </w:rPr>
        <w:t xml:space="preserve">oard </w:t>
      </w:r>
      <w:r w:rsidR="00017D31">
        <w:rPr>
          <w:color w:val="auto"/>
          <w:szCs w:val="24"/>
        </w:rPr>
        <w:t>acknowledges the sentiment expressed by the CI regarding his desire to continue his service until retirement and the stress of his military separation.</w:t>
      </w:r>
      <w:r w:rsidR="00017D31">
        <w:rPr>
          <w:color w:val="000000" w:themeColor="text1"/>
          <w:szCs w:val="24"/>
        </w:rPr>
        <w:t xml:space="preserve"> </w:t>
      </w:r>
      <w:r w:rsidR="00E04061">
        <w:rPr>
          <w:color w:val="000000" w:themeColor="text1"/>
          <w:szCs w:val="24"/>
        </w:rPr>
        <w:t xml:space="preserve"> </w:t>
      </w:r>
      <w:r w:rsidR="007C3350" w:rsidRPr="007C3350">
        <w:rPr>
          <w:rFonts w:cs="Times New Roman"/>
          <w:color w:val="auto"/>
          <w:szCs w:val="24"/>
        </w:rPr>
        <w:t xml:space="preserve">The </w:t>
      </w:r>
      <w:r w:rsidR="00D72857">
        <w:rPr>
          <w:rFonts w:cs="Times New Roman"/>
          <w:color w:val="auto"/>
          <w:szCs w:val="24"/>
        </w:rPr>
        <w:t>Disability Evaluation System (</w:t>
      </w:r>
      <w:r w:rsidR="007C3350" w:rsidRPr="007C3350">
        <w:rPr>
          <w:rFonts w:cs="Times New Roman"/>
          <w:color w:val="auto"/>
          <w:szCs w:val="24"/>
        </w:rPr>
        <w:t xml:space="preserve">DES) is responsible for maintaining a fit and vital fighting force. </w:t>
      </w:r>
      <w:r w:rsidR="00D72857">
        <w:rPr>
          <w:rFonts w:cs="Times New Roman"/>
          <w:color w:val="auto"/>
          <w:szCs w:val="24"/>
        </w:rPr>
        <w:t xml:space="preserve"> While the </w:t>
      </w:r>
      <w:r w:rsidR="007C3350" w:rsidRPr="007C3350">
        <w:rPr>
          <w:rFonts w:cs="Times New Roman"/>
          <w:color w:val="auto"/>
          <w:szCs w:val="24"/>
        </w:rPr>
        <w:t>DES considers all of the service member's medical conditions, compensation can only be offered for those medical conditions that cut short a service member’s career, and then only to the degree of severity present at the t</w:t>
      </w:r>
      <w:r w:rsidR="00D72857">
        <w:rPr>
          <w:rFonts w:cs="Times New Roman"/>
          <w:color w:val="auto"/>
          <w:szCs w:val="24"/>
        </w:rPr>
        <w:t xml:space="preserve">ime of final disposition.  The </w:t>
      </w:r>
      <w:r w:rsidR="007C3350" w:rsidRPr="007C3350">
        <w:rPr>
          <w:rFonts w:cs="Times New Roman"/>
          <w:color w:val="auto"/>
          <w:szCs w:val="24"/>
        </w:rPr>
        <w:t>DES has neither the role nor the authority to compensate service members for anticipated future severity or potential complications of conditions resulting in medical separation nor for conditions determined to be service</w:t>
      </w:r>
      <w:r w:rsidR="00966B78">
        <w:rPr>
          <w:rFonts w:cs="Times New Roman"/>
          <w:color w:val="auto"/>
          <w:szCs w:val="24"/>
        </w:rPr>
        <w:t>-</w:t>
      </w:r>
      <w:r w:rsidR="007C3350" w:rsidRPr="007C3350">
        <w:rPr>
          <w:rFonts w:cs="Times New Roman"/>
          <w:color w:val="auto"/>
          <w:szCs w:val="24"/>
        </w:rPr>
        <w:t xml:space="preserve">connected by the </w:t>
      </w:r>
      <w:r w:rsidR="00966B78" w:rsidRPr="007C3350">
        <w:rPr>
          <w:rFonts w:cs="Times New Roman"/>
          <w:color w:val="auto"/>
          <w:szCs w:val="24"/>
        </w:rPr>
        <w:t>Department of Veteran</w:t>
      </w:r>
      <w:r w:rsidR="00966B78">
        <w:rPr>
          <w:rFonts w:cs="Times New Roman"/>
          <w:color w:val="auto"/>
          <w:szCs w:val="24"/>
        </w:rPr>
        <w:t>s’</w:t>
      </w:r>
      <w:r w:rsidR="00966B78" w:rsidRPr="007C3350">
        <w:rPr>
          <w:rFonts w:cs="Times New Roman"/>
          <w:color w:val="auto"/>
          <w:szCs w:val="24"/>
        </w:rPr>
        <w:t xml:space="preserve"> Affairs (DVA), </w:t>
      </w:r>
      <w:r w:rsidR="007C3350" w:rsidRPr="007C3350">
        <w:rPr>
          <w:rFonts w:cs="Times New Roman"/>
          <w:color w:val="auto"/>
          <w:szCs w:val="24"/>
        </w:rPr>
        <w:t>but not determined to be unfitting by the PEB.  However the DVA, operating under a different set of laws (Title 38, United States Code), is empowered to compensate all service</w:t>
      </w:r>
      <w:r w:rsidR="00966B78">
        <w:rPr>
          <w:rFonts w:cs="Times New Roman"/>
          <w:color w:val="auto"/>
          <w:szCs w:val="24"/>
        </w:rPr>
        <w:t>-</w:t>
      </w:r>
      <w:r w:rsidR="007C3350" w:rsidRPr="007C3350">
        <w:rPr>
          <w:rFonts w:cs="Times New Roman"/>
          <w:color w:val="auto"/>
          <w:szCs w:val="24"/>
        </w:rPr>
        <w:t xml:space="preserve">connected conditions and to periodically re-evaluate said conditions for the purpose of adjusting the </w:t>
      </w:r>
      <w:r w:rsidR="00966B78">
        <w:rPr>
          <w:rFonts w:cs="Times New Roman"/>
          <w:color w:val="auto"/>
          <w:szCs w:val="24"/>
        </w:rPr>
        <w:t>V</w:t>
      </w:r>
      <w:r w:rsidR="007C3350" w:rsidRPr="007C3350">
        <w:rPr>
          <w:rFonts w:cs="Times New Roman"/>
          <w:color w:val="auto"/>
          <w:szCs w:val="24"/>
        </w:rPr>
        <w:t>etera</w:t>
      </w:r>
      <w:r w:rsidR="009D1961">
        <w:rPr>
          <w:rFonts w:cs="Times New Roman"/>
          <w:color w:val="auto"/>
          <w:szCs w:val="24"/>
        </w:rPr>
        <w:t>n’s disability rating should the</w:t>
      </w:r>
      <w:r w:rsidR="007C3350" w:rsidRPr="007C3350">
        <w:rPr>
          <w:rFonts w:cs="Times New Roman"/>
          <w:color w:val="auto"/>
          <w:szCs w:val="24"/>
        </w:rPr>
        <w:t xml:space="preserve"> degree of impairment vary over time.  The Board’s role is confined to the review of medical records and all evidence at hand to assess the fairness of PEB rating determinations, compared to VASRD standards, based on severity at the time of separation.  The Board has neither the jurisdiction nor authority to scrutinize or render opinions in reference to the CI’s statements in the application regarding suspected DES improprieties in the processing of his case.   </w:t>
      </w:r>
    </w:p>
    <w:p w:rsidR="007C3350" w:rsidRDefault="007C3350" w:rsidP="007C3350">
      <w:pPr>
        <w:tabs>
          <w:tab w:val="left" w:pos="288"/>
          <w:tab w:val="left" w:pos="4752"/>
        </w:tabs>
        <w:jc w:val="left"/>
        <w:rPr>
          <w:rFonts w:cs="Times New Roman"/>
          <w:color w:val="auto"/>
          <w:szCs w:val="24"/>
        </w:rPr>
      </w:pPr>
    </w:p>
    <w:p w:rsidR="000725BE" w:rsidRDefault="000725BE" w:rsidP="00E04061">
      <w:pPr>
        <w:tabs>
          <w:tab w:val="left" w:pos="2980"/>
        </w:tabs>
        <w:jc w:val="both"/>
        <w:rPr>
          <w:rFonts w:cs="Times New Roman"/>
          <w:color w:val="auto"/>
          <w:szCs w:val="24"/>
        </w:rPr>
      </w:pPr>
      <w:r w:rsidRPr="000725BE">
        <w:rPr>
          <w:rFonts w:cs="Times New Roman"/>
          <w:color w:val="auto"/>
          <w:szCs w:val="24"/>
          <w:u w:val="single"/>
        </w:rPr>
        <w:t>Sensorineural hearing loss</w:t>
      </w:r>
      <w:r w:rsidRPr="000725BE">
        <w:rPr>
          <w:rFonts w:cs="Times New Roman"/>
          <w:color w:val="auto"/>
          <w:szCs w:val="24"/>
        </w:rPr>
        <w:t xml:space="preserve">:  </w:t>
      </w:r>
      <w:r w:rsidR="002E1450">
        <w:rPr>
          <w:rFonts w:cs="Times New Roman"/>
          <w:color w:val="auto"/>
          <w:szCs w:val="24"/>
        </w:rPr>
        <w:t xml:space="preserve">A July 2007 </w:t>
      </w:r>
      <w:r w:rsidR="00191830">
        <w:rPr>
          <w:color w:val="auto"/>
          <w:szCs w:val="24"/>
        </w:rPr>
        <w:t>audiometric</w:t>
      </w:r>
      <w:r w:rsidR="002E1450">
        <w:rPr>
          <w:color w:val="auto"/>
          <w:szCs w:val="24"/>
        </w:rPr>
        <w:t xml:space="preserve"> examination demonstrated significant hearing loss:</w:t>
      </w:r>
      <w:r w:rsidR="002E1450">
        <w:rPr>
          <w:color w:val="000000" w:themeColor="text1"/>
          <w:szCs w:val="24"/>
        </w:rPr>
        <w:t xml:space="preserve"> mild to moderate sensorineural hearing loss above 1</w:t>
      </w:r>
      <w:r w:rsidR="00966B78">
        <w:rPr>
          <w:color w:val="000000" w:themeColor="text1"/>
          <w:szCs w:val="24"/>
        </w:rPr>
        <w:t>,</w:t>
      </w:r>
      <w:r w:rsidR="002E1450">
        <w:rPr>
          <w:color w:val="000000" w:themeColor="text1"/>
          <w:szCs w:val="24"/>
        </w:rPr>
        <w:t>000Hz in his right ear and a severe sensorineural hearing loss</w:t>
      </w:r>
      <w:r w:rsidR="009D1961">
        <w:rPr>
          <w:color w:val="000000" w:themeColor="text1"/>
          <w:szCs w:val="24"/>
        </w:rPr>
        <w:t xml:space="preserve"> above 1</w:t>
      </w:r>
      <w:r w:rsidR="00966B78">
        <w:rPr>
          <w:color w:val="000000" w:themeColor="text1"/>
          <w:szCs w:val="24"/>
        </w:rPr>
        <w:t>,</w:t>
      </w:r>
      <w:r w:rsidR="009D1961">
        <w:rPr>
          <w:color w:val="000000" w:themeColor="text1"/>
          <w:szCs w:val="24"/>
        </w:rPr>
        <w:t xml:space="preserve">000Hz in the left ear. </w:t>
      </w:r>
      <w:r w:rsidR="002E1450">
        <w:rPr>
          <w:color w:val="000000" w:themeColor="text1"/>
          <w:szCs w:val="24"/>
        </w:rPr>
        <w:t xml:space="preserve"> Th</w:t>
      </w:r>
      <w:r w:rsidR="002E1450" w:rsidRPr="0060347C">
        <w:rPr>
          <w:color w:val="000000" w:themeColor="text1"/>
          <w:szCs w:val="24"/>
        </w:rPr>
        <w:t>e</w:t>
      </w:r>
      <w:r w:rsidR="002E1450">
        <w:rPr>
          <w:color w:val="000000" w:themeColor="text1"/>
          <w:szCs w:val="24"/>
        </w:rPr>
        <w:t xml:space="preserve"> CI</w:t>
      </w:r>
      <w:r w:rsidR="002E1450" w:rsidRPr="0060347C">
        <w:rPr>
          <w:color w:val="000000" w:themeColor="text1"/>
          <w:szCs w:val="24"/>
        </w:rPr>
        <w:t xml:space="preserve"> was issued a permanent H3 profile and underwent a</w:t>
      </w:r>
      <w:r w:rsidR="00966B78">
        <w:rPr>
          <w:color w:val="000000" w:themeColor="text1"/>
          <w:szCs w:val="24"/>
        </w:rPr>
        <w:t>n</w:t>
      </w:r>
      <w:r w:rsidR="002E1450">
        <w:rPr>
          <w:color w:val="000000" w:themeColor="text1"/>
          <w:szCs w:val="24"/>
        </w:rPr>
        <w:t xml:space="preserve"> </w:t>
      </w:r>
      <w:r w:rsidR="009D1961">
        <w:rPr>
          <w:color w:val="000000" w:themeColor="text1"/>
          <w:szCs w:val="24"/>
        </w:rPr>
        <w:t>MEB</w:t>
      </w:r>
      <w:r w:rsidR="002E1450">
        <w:rPr>
          <w:color w:val="000000" w:themeColor="text1"/>
          <w:szCs w:val="24"/>
        </w:rPr>
        <w:t xml:space="preserve"> in accordance with Army regulations (AR 40-501) leading to disability discharge.  </w:t>
      </w:r>
      <w:r w:rsidRPr="000725BE">
        <w:rPr>
          <w:rFonts w:cs="Times New Roman"/>
          <w:color w:val="auto"/>
          <w:szCs w:val="24"/>
        </w:rPr>
        <w:t>Results of audiometric evaluations are displayed in the chart below:</w:t>
      </w:r>
    </w:p>
    <w:p w:rsidR="00E04061" w:rsidRDefault="00E04061">
      <w:pPr>
        <w:spacing w:line="240" w:lineRule="auto"/>
        <w:jc w:val="left"/>
        <w:rPr>
          <w:rFonts w:cs="Times New Roman"/>
          <w:color w:val="auto"/>
          <w:szCs w:val="24"/>
        </w:rPr>
      </w:pPr>
      <w:r>
        <w:rPr>
          <w:rFonts w:cs="Times New Roman"/>
          <w:color w:val="auto"/>
          <w:szCs w:val="24"/>
        </w:rPr>
        <w:br w:type="page"/>
      </w:r>
    </w:p>
    <w:tbl>
      <w:tblPr>
        <w:tblStyle w:val="TableGrid1"/>
        <w:tblW w:w="0" w:type="auto"/>
        <w:tblInd w:w="558" w:type="dxa"/>
        <w:tblLook w:val="04A0"/>
      </w:tblPr>
      <w:tblGrid>
        <w:gridCol w:w="1530"/>
        <w:gridCol w:w="1890"/>
        <w:gridCol w:w="2070"/>
        <w:gridCol w:w="2430"/>
      </w:tblGrid>
      <w:tr w:rsidR="000725BE" w:rsidRPr="000725BE" w:rsidTr="009D1961">
        <w:tc>
          <w:tcPr>
            <w:tcW w:w="1530" w:type="dxa"/>
            <w:tcBorders>
              <w:bottom w:val="single" w:sz="4" w:space="0" w:color="000000"/>
            </w:tcBorders>
            <w:shd w:val="clear" w:color="auto" w:fill="BFBFBF"/>
          </w:tcPr>
          <w:p w:rsidR="000725BE" w:rsidRPr="000725BE" w:rsidRDefault="000725BE" w:rsidP="000725BE">
            <w:pPr>
              <w:tabs>
                <w:tab w:val="left" w:pos="2980"/>
              </w:tabs>
              <w:jc w:val="both"/>
              <w:rPr>
                <w:color w:val="auto"/>
                <w:szCs w:val="24"/>
              </w:rPr>
            </w:pPr>
            <w:r w:rsidRPr="000725BE">
              <w:rPr>
                <w:color w:val="auto"/>
                <w:szCs w:val="24"/>
              </w:rPr>
              <w:lastRenderedPageBreak/>
              <w:t>HEARING</w:t>
            </w:r>
          </w:p>
        </w:tc>
        <w:tc>
          <w:tcPr>
            <w:tcW w:w="1890" w:type="dxa"/>
            <w:shd w:val="clear" w:color="auto" w:fill="BFBFBF"/>
          </w:tcPr>
          <w:p w:rsidR="000725BE" w:rsidRPr="000725BE" w:rsidRDefault="000725BE" w:rsidP="000725BE">
            <w:pPr>
              <w:tabs>
                <w:tab w:val="left" w:pos="2980"/>
              </w:tabs>
              <w:jc w:val="both"/>
              <w:rPr>
                <w:color w:val="auto"/>
                <w:sz w:val="20"/>
                <w:szCs w:val="20"/>
              </w:rPr>
            </w:pPr>
            <w:r w:rsidRPr="000725BE">
              <w:rPr>
                <w:color w:val="auto"/>
                <w:sz w:val="20"/>
                <w:szCs w:val="20"/>
              </w:rPr>
              <w:t>EXAM</w:t>
            </w:r>
          </w:p>
        </w:tc>
        <w:tc>
          <w:tcPr>
            <w:tcW w:w="2070" w:type="dxa"/>
            <w:shd w:val="clear" w:color="auto" w:fill="BFBFBF"/>
          </w:tcPr>
          <w:p w:rsidR="000725BE" w:rsidRPr="000725BE" w:rsidRDefault="000725BE" w:rsidP="000725BE">
            <w:pPr>
              <w:tabs>
                <w:tab w:val="left" w:pos="2980"/>
              </w:tabs>
              <w:jc w:val="both"/>
              <w:rPr>
                <w:color w:val="auto"/>
                <w:sz w:val="20"/>
                <w:szCs w:val="20"/>
              </w:rPr>
            </w:pPr>
            <w:r w:rsidRPr="000725BE">
              <w:rPr>
                <w:color w:val="auto"/>
                <w:sz w:val="20"/>
                <w:szCs w:val="20"/>
              </w:rPr>
              <w:t>MEB  ~5 Mo. Pre Sep</w:t>
            </w:r>
          </w:p>
        </w:tc>
        <w:tc>
          <w:tcPr>
            <w:tcW w:w="2430" w:type="dxa"/>
            <w:shd w:val="clear" w:color="auto" w:fill="BFBFBF"/>
          </w:tcPr>
          <w:p w:rsidR="000725BE" w:rsidRPr="000725BE" w:rsidRDefault="000725BE" w:rsidP="000725BE">
            <w:pPr>
              <w:tabs>
                <w:tab w:val="left" w:pos="2980"/>
              </w:tabs>
              <w:jc w:val="both"/>
              <w:rPr>
                <w:color w:val="auto"/>
                <w:sz w:val="20"/>
                <w:szCs w:val="20"/>
              </w:rPr>
            </w:pPr>
            <w:r w:rsidRPr="000725BE">
              <w:rPr>
                <w:color w:val="auto"/>
                <w:sz w:val="20"/>
                <w:szCs w:val="20"/>
              </w:rPr>
              <w:t>VA C&amp;P ~2 Mo. After Sep</w:t>
            </w:r>
          </w:p>
        </w:tc>
      </w:tr>
      <w:tr w:rsidR="000725BE" w:rsidRPr="000725BE" w:rsidTr="009D1961">
        <w:tc>
          <w:tcPr>
            <w:tcW w:w="1530" w:type="dxa"/>
            <w:vMerge w:val="restart"/>
            <w:shd w:val="clear" w:color="auto" w:fill="BFBFBF"/>
          </w:tcPr>
          <w:p w:rsidR="000725BE" w:rsidRPr="000725BE" w:rsidRDefault="000725BE" w:rsidP="000725BE">
            <w:pPr>
              <w:tabs>
                <w:tab w:val="left" w:pos="2980"/>
              </w:tabs>
              <w:jc w:val="both"/>
              <w:rPr>
                <w:color w:val="auto"/>
                <w:sz w:val="20"/>
                <w:szCs w:val="20"/>
              </w:rPr>
            </w:pPr>
            <w:r w:rsidRPr="000725BE">
              <w:rPr>
                <w:color w:val="auto"/>
                <w:sz w:val="20"/>
                <w:szCs w:val="20"/>
              </w:rPr>
              <w:t>LEFT EAR</w:t>
            </w:r>
          </w:p>
        </w:tc>
        <w:tc>
          <w:tcPr>
            <w:tcW w:w="1890" w:type="dxa"/>
          </w:tcPr>
          <w:p w:rsidR="000725BE" w:rsidRPr="000725BE" w:rsidRDefault="000725BE" w:rsidP="000725BE">
            <w:pPr>
              <w:tabs>
                <w:tab w:val="left" w:pos="2980"/>
              </w:tabs>
              <w:jc w:val="both"/>
              <w:rPr>
                <w:color w:val="auto"/>
                <w:sz w:val="18"/>
                <w:szCs w:val="18"/>
              </w:rPr>
            </w:pPr>
            <w:r w:rsidRPr="000725BE">
              <w:rPr>
                <w:color w:val="auto"/>
                <w:sz w:val="18"/>
                <w:szCs w:val="18"/>
              </w:rPr>
              <w:t>Average Hearing Loss</w:t>
            </w:r>
          </w:p>
        </w:tc>
        <w:tc>
          <w:tcPr>
            <w:tcW w:w="2070" w:type="dxa"/>
          </w:tcPr>
          <w:p w:rsidR="000725BE" w:rsidRPr="000725BE" w:rsidRDefault="000725BE" w:rsidP="000725BE">
            <w:pPr>
              <w:tabs>
                <w:tab w:val="left" w:pos="2980"/>
              </w:tabs>
              <w:rPr>
                <w:color w:val="auto"/>
                <w:sz w:val="18"/>
                <w:szCs w:val="18"/>
              </w:rPr>
            </w:pPr>
            <w:r w:rsidRPr="000725BE">
              <w:rPr>
                <w:color w:val="auto"/>
                <w:sz w:val="18"/>
                <w:szCs w:val="18"/>
              </w:rPr>
              <w:t>5</w:t>
            </w:r>
            <w:r w:rsidR="00A4281C">
              <w:rPr>
                <w:color w:val="auto"/>
                <w:sz w:val="18"/>
                <w:szCs w:val="18"/>
              </w:rPr>
              <w:t>3</w:t>
            </w:r>
            <w:r w:rsidRPr="000725BE">
              <w:rPr>
                <w:color w:val="auto"/>
                <w:sz w:val="18"/>
                <w:szCs w:val="18"/>
              </w:rPr>
              <w:t xml:space="preserve"> dB</w:t>
            </w:r>
          </w:p>
        </w:tc>
        <w:tc>
          <w:tcPr>
            <w:tcW w:w="2430" w:type="dxa"/>
          </w:tcPr>
          <w:p w:rsidR="000725BE" w:rsidRPr="000725BE" w:rsidRDefault="000725BE" w:rsidP="00A4281C">
            <w:pPr>
              <w:tabs>
                <w:tab w:val="left" w:pos="2980"/>
              </w:tabs>
              <w:rPr>
                <w:color w:val="auto"/>
                <w:sz w:val="18"/>
                <w:szCs w:val="18"/>
              </w:rPr>
            </w:pPr>
            <w:r w:rsidRPr="000725BE">
              <w:rPr>
                <w:color w:val="auto"/>
                <w:sz w:val="18"/>
                <w:szCs w:val="18"/>
              </w:rPr>
              <w:t>4</w:t>
            </w:r>
            <w:r w:rsidR="00A4281C">
              <w:rPr>
                <w:color w:val="auto"/>
                <w:sz w:val="18"/>
                <w:szCs w:val="18"/>
              </w:rPr>
              <w:t>8</w:t>
            </w:r>
            <w:r w:rsidRPr="000725BE">
              <w:rPr>
                <w:color w:val="auto"/>
                <w:sz w:val="18"/>
                <w:szCs w:val="18"/>
              </w:rPr>
              <w:t xml:space="preserve"> dB</w:t>
            </w:r>
          </w:p>
        </w:tc>
      </w:tr>
      <w:tr w:rsidR="000725BE" w:rsidRPr="000725BE" w:rsidTr="009D1961">
        <w:tc>
          <w:tcPr>
            <w:tcW w:w="1530" w:type="dxa"/>
            <w:vMerge/>
            <w:shd w:val="clear" w:color="auto" w:fill="BFBFBF"/>
          </w:tcPr>
          <w:p w:rsidR="000725BE" w:rsidRPr="000725BE" w:rsidRDefault="000725BE" w:rsidP="000725BE">
            <w:pPr>
              <w:tabs>
                <w:tab w:val="left" w:pos="2980"/>
              </w:tabs>
              <w:jc w:val="both"/>
              <w:rPr>
                <w:color w:val="auto"/>
                <w:sz w:val="20"/>
                <w:szCs w:val="20"/>
              </w:rPr>
            </w:pPr>
          </w:p>
        </w:tc>
        <w:tc>
          <w:tcPr>
            <w:tcW w:w="1890" w:type="dxa"/>
          </w:tcPr>
          <w:p w:rsidR="000725BE" w:rsidRPr="000725BE" w:rsidRDefault="000725BE" w:rsidP="000725BE">
            <w:pPr>
              <w:tabs>
                <w:tab w:val="left" w:pos="2980"/>
              </w:tabs>
              <w:jc w:val="both"/>
              <w:rPr>
                <w:color w:val="auto"/>
                <w:sz w:val="18"/>
                <w:szCs w:val="18"/>
              </w:rPr>
            </w:pPr>
            <w:r w:rsidRPr="000725BE">
              <w:rPr>
                <w:color w:val="auto"/>
                <w:sz w:val="18"/>
                <w:szCs w:val="18"/>
              </w:rPr>
              <w:t>Speech Discrimination</w:t>
            </w:r>
          </w:p>
        </w:tc>
        <w:tc>
          <w:tcPr>
            <w:tcW w:w="2070" w:type="dxa"/>
          </w:tcPr>
          <w:p w:rsidR="000725BE" w:rsidRPr="000725BE" w:rsidRDefault="00A4281C" w:rsidP="00A4281C">
            <w:pPr>
              <w:tabs>
                <w:tab w:val="left" w:pos="2980"/>
              </w:tabs>
              <w:rPr>
                <w:color w:val="auto"/>
                <w:sz w:val="18"/>
                <w:szCs w:val="18"/>
              </w:rPr>
            </w:pPr>
            <w:r>
              <w:rPr>
                <w:color w:val="auto"/>
                <w:sz w:val="18"/>
                <w:szCs w:val="18"/>
              </w:rPr>
              <w:t>88</w:t>
            </w:r>
            <w:r w:rsidR="000725BE" w:rsidRPr="000725BE">
              <w:rPr>
                <w:color w:val="auto"/>
                <w:sz w:val="18"/>
                <w:szCs w:val="18"/>
              </w:rPr>
              <w:t>%</w:t>
            </w:r>
          </w:p>
        </w:tc>
        <w:tc>
          <w:tcPr>
            <w:tcW w:w="2430" w:type="dxa"/>
          </w:tcPr>
          <w:p w:rsidR="000725BE" w:rsidRPr="000725BE" w:rsidRDefault="00A4281C" w:rsidP="00A4281C">
            <w:pPr>
              <w:tabs>
                <w:tab w:val="left" w:pos="2980"/>
              </w:tabs>
              <w:rPr>
                <w:color w:val="auto"/>
                <w:sz w:val="18"/>
                <w:szCs w:val="18"/>
              </w:rPr>
            </w:pPr>
            <w:r>
              <w:rPr>
                <w:color w:val="auto"/>
                <w:sz w:val="18"/>
                <w:szCs w:val="18"/>
              </w:rPr>
              <w:t>92</w:t>
            </w:r>
            <w:r w:rsidR="000725BE" w:rsidRPr="000725BE">
              <w:rPr>
                <w:color w:val="auto"/>
                <w:sz w:val="18"/>
                <w:szCs w:val="18"/>
              </w:rPr>
              <w:t>%</w:t>
            </w:r>
          </w:p>
        </w:tc>
      </w:tr>
      <w:tr w:rsidR="000725BE" w:rsidRPr="000725BE" w:rsidTr="009D1961">
        <w:tc>
          <w:tcPr>
            <w:tcW w:w="1530" w:type="dxa"/>
            <w:vMerge/>
            <w:shd w:val="clear" w:color="auto" w:fill="BFBFBF"/>
          </w:tcPr>
          <w:p w:rsidR="000725BE" w:rsidRPr="000725BE" w:rsidRDefault="000725BE" w:rsidP="000725BE">
            <w:pPr>
              <w:tabs>
                <w:tab w:val="left" w:pos="2980"/>
              </w:tabs>
              <w:jc w:val="both"/>
              <w:rPr>
                <w:color w:val="auto"/>
                <w:sz w:val="20"/>
                <w:szCs w:val="20"/>
              </w:rPr>
            </w:pPr>
          </w:p>
        </w:tc>
        <w:tc>
          <w:tcPr>
            <w:tcW w:w="1890" w:type="dxa"/>
          </w:tcPr>
          <w:p w:rsidR="000725BE" w:rsidRPr="000725BE" w:rsidRDefault="000725BE" w:rsidP="000725BE">
            <w:pPr>
              <w:tabs>
                <w:tab w:val="left" w:pos="2980"/>
              </w:tabs>
              <w:jc w:val="both"/>
              <w:rPr>
                <w:color w:val="auto"/>
                <w:sz w:val="18"/>
                <w:szCs w:val="18"/>
              </w:rPr>
            </w:pPr>
            <w:r w:rsidRPr="000725BE">
              <w:rPr>
                <w:color w:val="auto"/>
                <w:sz w:val="18"/>
                <w:szCs w:val="18"/>
              </w:rPr>
              <w:t>Table VI / VIa</w:t>
            </w:r>
          </w:p>
        </w:tc>
        <w:tc>
          <w:tcPr>
            <w:tcW w:w="2070" w:type="dxa"/>
          </w:tcPr>
          <w:p w:rsidR="000725BE" w:rsidRPr="000725BE" w:rsidRDefault="000725BE" w:rsidP="000725BE">
            <w:pPr>
              <w:tabs>
                <w:tab w:val="left" w:pos="2980"/>
              </w:tabs>
              <w:rPr>
                <w:color w:val="auto"/>
                <w:sz w:val="18"/>
                <w:szCs w:val="18"/>
              </w:rPr>
            </w:pPr>
            <w:r w:rsidRPr="000725BE">
              <w:rPr>
                <w:color w:val="auto"/>
                <w:sz w:val="18"/>
                <w:szCs w:val="18"/>
              </w:rPr>
              <w:t>II / II</w:t>
            </w:r>
            <w:r w:rsidR="00A4281C">
              <w:rPr>
                <w:color w:val="auto"/>
                <w:sz w:val="18"/>
                <w:szCs w:val="18"/>
              </w:rPr>
              <w:t>I</w:t>
            </w:r>
          </w:p>
        </w:tc>
        <w:tc>
          <w:tcPr>
            <w:tcW w:w="2430" w:type="dxa"/>
          </w:tcPr>
          <w:p w:rsidR="000725BE" w:rsidRPr="000725BE" w:rsidRDefault="000725BE" w:rsidP="000725BE">
            <w:pPr>
              <w:tabs>
                <w:tab w:val="left" w:pos="2980"/>
              </w:tabs>
              <w:rPr>
                <w:color w:val="auto"/>
                <w:sz w:val="18"/>
                <w:szCs w:val="18"/>
              </w:rPr>
            </w:pPr>
            <w:r w:rsidRPr="000725BE">
              <w:rPr>
                <w:color w:val="auto"/>
                <w:sz w:val="18"/>
                <w:szCs w:val="18"/>
              </w:rPr>
              <w:t>I / II</w:t>
            </w:r>
          </w:p>
        </w:tc>
      </w:tr>
      <w:tr w:rsidR="000725BE" w:rsidRPr="000725BE" w:rsidTr="009D1961">
        <w:tc>
          <w:tcPr>
            <w:tcW w:w="1530" w:type="dxa"/>
            <w:vMerge w:val="restart"/>
            <w:shd w:val="clear" w:color="auto" w:fill="BFBFBF"/>
          </w:tcPr>
          <w:p w:rsidR="000725BE" w:rsidRPr="000725BE" w:rsidRDefault="000725BE" w:rsidP="000725BE">
            <w:pPr>
              <w:tabs>
                <w:tab w:val="left" w:pos="2980"/>
              </w:tabs>
              <w:jc w:val="both"/>
              <w:rPr>
                <w:color w:val="auto"/>
                <w:sz w:val="20"/>
                <w:szCs w:val="20"/>
              </w:rPr>
            </w:pPr>
            <w:r w:rsidRPr="000725BE">
              <w:rPr>
                <w:color w:val="auto"/>
                <w:sz w:val="20"/>
                <w:szCs w:val="20"/>
              </w:rPr>
              <w:t xml:space="preserve"> RIGHT EAR</w:t>
            </w:r>
          </w:p>
        </w:tc>
        <w:tc>
          <w:tcPr>
            <w:tcW w:w="1890" w:type="dxa"/>
          </w:tcPr>
          <w:p w:rsidR="000725BE" w:rsidRPr="000725BE" w:rsidRDefault="000725BE" w:rsidP="000725BE">
            <w:pPr>
              <w:tabs>
                <w:tab w:val="left" w:pos="2980"/>
              </w:tabs>
              <w:jc w:val="both"/>
              <w:rPr>
                <w:color w:val="auto"/>
                <w:sz w:val="18"/>
                <w:szCs w:val="18"/>
              </w:rPr>
            </w:pPr>
            <w:r w:rsidRPr="000725BE">
              <w:rPr>
                <w:color w:val="auto"/>
                <w:sz w:val="18"/>
                <w:szCs w:val="18"/>
              </w:rPr>
              <w:t>Average Hearing  Loss</w:t>
            </w:r>
          </w:p>
        </w:tc>
        <w:tc>
          <w:tcPr>
            <w:tcW w:w="2070" w:type="dxa"/>
          </w:tcPr>
          <w:p w:rsidR="000725BE" w:rsidRPr="000725BE" w:rsidRDefault="00A4281C" w:rsidP="000725BE">
            <w:pPr>
              <w:tabs>
                <w:tab w:val="left" w:pos="2980"/>
              </w:tabs>
              <w:rPr>
                <w:color w:val="auto"/>
                <w:sz w:val="18"/>
                <w:szCs w:val="18"/>
              </w:rPr>
            </w:pPr>
            <w:r>
              <w:rPr>
                <w:color w:val="auto"/>
                <w:sz w:val="18"/>
                <w:szCs w:val="18"/>
              </w:rPr>
              <w:t>53</w:t>
            </w:r>
            <w:r w:rsidR="000725BE" w:rsidRPr="000725BE">
              <w:rPr>
                <w:color w:val="auto"/>
                <w:sz w:val="18"/>
                <w:szCs w:val="18"/>
              </w:rPr>
              <w:t xml:space="preserve"> dB</w:t>
            </w:r>
          </w:p>
        </w:tc>
        <w:tc>
          <w:tcPr>
            <w:tcW w:w="2430" w:type="dxa"/>
          </w:tcPr>
          <w:p w:rsidR="000725BE" w:rsidRPr="000725BE" w:rsidRDefault="000725BE" w:rsidP="00A4281C">
            <w:pPr>
              <w:tabs>
                <w:tab w:val="left" w:pos="2980"/>
              </w:tabs>
              <w:rPr>
                <w:color w:val="auto"/>
                <w:sz w:val="18"/>
                <w:szCs w:val="18"/>
              </w:rPr>
            </w:pPr>
            <w:r w:rsidRPr="000725BE">
              <w:rPr>
                <w:color w:val="auto"/>
                <w:sz w:val="18"/>
                <w:szCs w:val="18"/>
              </w:rPr>
              <w:t>4</w:t>
            </w:r>
            <w:r w:rsidR="00A4281C">
              <w:rPr>
                <w:color w:val="auto"/>
                <w:sz w:val="18"/>
                <w:szCs w:val="18"/>
              </w:rPr>
              <w:t>5</w:t>
            </w:r>
            <w:r w:rsidRPr="000725BE">
              <w:rPr>
                <w:color w:val="auto"/>
                <w:sz w:val="18"/>
                <w:szCs w:val="18"/>
              </w:rPr>
              <w:t xml:space="preserve"> dB</w:t>
            </w:r>
          </w:p>
        </w:tc>
      </w:tr>
      <w:tr w:rsidR="000725BE" w:rsidRPr="000725BE" w:rsidTr="009D1961">
        <w:tc>
          <w:tcPr>
            <w:tcW w:w="1530" w:type="dxa"/>
            <w:vMerge/>
            <w:shd w:val="clear" w:color="auto" w:fill="BFBFBF"/>
          </w:tcPr>
          <w:p w:rsidR="000725BE" w:rsidRPr="000725BE" w:rsidRDefault="000725BE" w:rsidP="000725BE">
            <w:pPr>
              <w:tabs>
                <w:tab w:val="left" w:pos="2980"/>
              </w:tabs>
              <w:jc w:val="both"/>
              <w:rPr>
                <w:color w:val="auto"/>
                <w:sz w:val="20"/>
                <w:szCs w:val="20"/>
              </w:rPr>
            </w:pPr>
          </w:p>
        </w:tc>
        <w:tc>
          <w:tcPr>
            <w:tcW w:w="1890" w:type="dxa"/>
          </w:tcPr>
          <w:p w:rsidR="000725BE" w:rsidRPr="000725BE" w:rsidRDefault="000725BE" w:rsidP="000725BE">
            <w:pPr>
              <w:tabs>
                <w:tab w:val="left" w:pos="2980"/>
              </w:tabs>
              <w:jc w:val="both"/>
              <w:rPr>
                <w:color w:val="auto"/>
                <w:sz w:val="18"/>
                <w:szCs w:val="18"/>
              </w:rPr>
            </w:pPr>
            <w:r w:rsidRPr="000725BE">
              <w:rPr>
                <w:color w:val="auto"/>
                <w:sz w:val="18"/>
                <w:szCs w:val="18"/>
              </w:rPr>
              <w:t xml:space="preserve">Speech Discrimination </w:t>
            </w:r>
          </w:p>
        </w:tc>
        <w:tc>
          <w:tcPr>
            <w:tcW w:w="2070" w:type="dxa"/>
          </w:tcPr>
          <w:p w:rsidR="000725BE" w:rsidRPr="000725BE" w:rsidRDefault="000725BE" w:rsidP="00A4281C">
            <w:pPr>
              <w:tabs>
                <w:tab w:val="left" w:pos="2980"/>
              </w:tabs>
              <w:rPr>
                <w:color w:val="auto"/>
                <w:sz w:val="18"/>
                <w:szCs w:val="18"/>
              </w:rPr>
            </w:pPr>
            <w:r w:rsidRPr="000725BE">
              <w:rPr>
                <w:color w:val="auto"/>
                <w:sz w:val="18"/>
                <w:szCs w:val="18"/>
              </w:rPr>
              <w:t>8</w:t>
            </w:r>
            <w:r w:rsidR="00A4281C">
              <w:rPr>
                <w:color w:val="auto"/>
                <w:sz w:val="18"/>
                <w:szCs w:val="18"/>
              </w:rPr>
              <w:t>8</w:t>
            </w:r>
            <w:r w:rsidRPr="000725BE">
              <w:rPr>
                <w:color w:val="auto"/>
                <w:sz w:val="18"/>
                <w:szCs w:val="18"/>
              </w:rPr>
              <w:t>%</w:t>
            </w:r>
          </w:p>
        </w:tc>
        <w:tc>
          <w:tcPr>
            <w:tcW w:w="2430" w:type="dxa"/>
          </w:tcPr>
          <w:p w:rsidR="000725BE" w:rsidRPr="000725BE" w:rsidRDefault="000725BE" w:rsidP="00A4281C">
            <w:pPr>
              <w:tabs>
                <w:tab w:val="left" w:pos="2980"/>
              </w:tabs>
              <w:rPr>
                <w:color w:val="auto"/>
                <w:sz w:val="18"/>
                <w:szCs w:val="18"/>
              </w:rPr>
            </w:pPr>
            <w:r w:rsidRPr="000725BE">
              <w:rPr>
                <w:color w:val="auto"/>
                <w:sz w:val="18"/>
                <w:szCs w:val="18"/>
              </w:rPr>
              <w:t>9</w:t>
            </w:r>
            <w:r w:rsidR="00A4281C">
              <w:rPr>
                <w:color w:val="auto"/>
                <w:sz w:val="18"/>
                <w:szCs w:val="18"/>
              </w:rPr>
              <w:t>4</w:t>
            </w:r>
            <w:r w:rsidRPr="000725BE">
              <w:rPr>
                <w:color w:val="auto"/>
                <w:sz w:val="18"/>
                <w:szCs w:val="18"/>
              </w:rPr>
              <w:t>%</w:t>
            </w:r>
          </w:p>
        </w:tc>
      </w:tr>
      <w:tr w:rsidR="000725BE" w:rsidRPr="000725BE" w:rsidTr="009D1961">
        <w:tc>
          <w:tcPr>
            <w:tcW w:w="1530" w:type="dxa"/>
            <w:vMerge/>
            <w:shd w:val="clear" w:color="auto" w:fill="BFBFBF"/>
          </w:tcPr>
          <w:p w:rsidR="000725BE" w:rsidRPr="000725BE" w:rsidRDefault="000725BE" w:rsidP="000725BE">
            <w:pPr>
              <w:tabs>
                <w:tab w:val="left" w:pos="2980"/>
              </w:tabs>
              <w:jc w:val="both"/>
              <w:rPr>
                <w:color w:val="auto"/>
                <w:sz w:val="20"/>
                <w:szCs w:val="20"/>
              </w:rPr>
            </w:pPr>
          </w:p>
        </w:tc>
        <w:tc>
          <w:tcPr>
            <w:tcW w:w="1890" w:type="dxa"/>
          </w:tcPr>
          <w:p w:rsidR="000725BE" w:rsidRPr="000725BE" w:rsidRDefault="000725BE" w:rsidP="000725BE">
            <w:pPr>
              <w:tabs>
                <w:tab w:val="left" w:pos="2980"/>
              </w:tabs>
              <w:jc w:val="both"/>
              <w:rPr>
                <w:color w:val="auto"/>
                <w:sz w:val="18"/>
                <w:szCs w:val="18"/>
              </w:rPr>
            </w:pPr>
            <w:r w:rsidRPr="000725BE">
              <w:rPr>
                <w:color w:val="auto"/>
                <w:sz w:val="18"/>
                <w:szCs w:val="18"/>
              </w:rPr>
              <w:t>Table VI / VIa</w:t>
            </w:r>
          </w:p>
        </w:tc>
        <w:tc>
          <w:tcPr>
            <w:tcW w:w="2070" w:type="dxa"/>
          </w:tcPr>
          <w:p w:rsidR="000725BE" w:rsidRPr="000725BE" w:rsidRDefault="000725BE" w:rsidP="000725BE">
            <w:pPr>
              <w:tabs>
                <w:tab w:val="left" w:pos="2980"/>
              </w:tabs>
              <w:rPr>
                <w:color w:val="auto"/>
                <w:sz w:val="18"/>
                <w:szCs w:val="18"/>
              </w:rPr>
            </w:pPr>
            <w:r w:rsidRPr="000725BE">
              <w:rPr>
                <w:color w:val="auto"/>
                <w:sz w:val="18"/>
                <w:szCs w:val="18"/>
              </w:rPr>
              <w:t>I / II</w:t>
            </w:r>
            <w:r w:rsidR="00A4281C">
              <w:rPr>
                <w:color w:val="auto"/>
                <w:sz w:val="18"/>
                <w:szCs w:val="18"/>
              </w:rPr>
              <w:t>I</w:t>
            </w:r>
          </w:p>
        </w:tc>
        <w:tc>
          <w:tcPr>
            <w:tcW w:w="2430" w:type="dxa"/>
          </w:tcPr>
          <w:p w:rsidR="000725BE" w:rsidRPr="000725BE" w:rsidRDefault="000725BE" w:rsidP="000725BE">
            <w:pPr>
              <w:tabs>
                <w:tab w:val="left" w:pos="2980"/>
              </w:tabs>
              <w:rPr>
                <w:color w:val="auto"/>
                <w:sz w:val="18"/>
                <w:szCs w:val="18"/>
              </w:rPr>
            </w:pPr>
            <w:r w:rsidRPr="000725BE">
              <w:rPr>
                <w:color w:val="auto"/>
                <w:sz w:val="18"/>
                <w:szCs w:val="18"/>
              </w:rPr>
              <w:t>I / II</w:t>
            </w:r>
          </w:p>
        </w:tc>
      </w:tr>
      <w:tr w:rsidR="000725BE" w:rsidRPr="000725BE" w:rsidTr="009D1961">
        <w:tc>
          <w:tcPr>
            <w:tcW w:w="1530" w:type="dxa"/>
            <w:shd w:val="clear" w:color="auto" w:fill="BFBFBF"/>
          </w:tcPr>
          <w:p w:rsidR="000725BE" w:rsidRPr="000725BE" w:rsidRDefault="000725BE" w:rsidP="000725BE">
            <w:pPr>
              <w:tabs>
                <w:tab w:val="left" w:pos="2980"/>
              </w:tabs>
              <w:jc w:val="both"/>
              <w:rPr>
                <w:color w:val="auto"/>
                <w:sz w:val="20"/>
                <w:szCs w:val="20"/>
              </w:rPr>
            </w:pPr>
            <w:r w:rsidRPr="000725BE">
              <w:rPr>
                <w:color w:val="auto"/>
                <w:sz w:val="20"/>
                <w:szCs w:val="20"/>
              </w:rPr>
              <w:t xml:space="preserve">§4.85 RATING </w:t>
            </w:r>
          </w:p>
        </w:tc>
        <w:tc>
          <w:tcPr>
            <w:tcW w:w="1890" w:type="dxa"/>
          </w:tcPr>
          <w:p w:rsidR="000725BE" w:rsidRPr="000725BE" w:rsidRDefault="000725BE" w:rsidP="000725BE">
            <w:pPr>
              <w:tabs>
                <w:tab w:val="left" w:pos="2980"/>
              </w:tabs>
              <w:jc w:val="both"/>
              <w:rPr>
                <w:color w:val="auto"/>
                <w:sz w:val="18"/>
                <w:szCs w:val="18"/>
              </w:rPr>
            </w:pPr>
            <w:r w:rsidRPr="000725BE">
              <w:rPr>
                <w:color w:val="auto"/>
                <w:sz w:val="18"/>
                <w:szCs w:val="18"/>
              </w:rPr>
              <w:t>Table VII</w:t>
            </w:r>
          </w:p>
        </w:tc>
        <w:tc>
          <w:tcPr>
            <w:tcW w:w="2070" w:type="dxa"/>
          </w:tcPr>
          <w:p w:rsidR="000725BE" w:rsidRPr="000725BE" w:rsidRDefault="000725BE" w:rsidP="000725BE">
            <w:pPr>
              <w:tabs>
                <w:tab w:val="left" w:pos="2980"/>
              </w:tabs>
              <w:rPr>
                <w:color w:val="auto"/>
                <w:sz w:val="18"/>
                <w:szCs w:val="18"/>
              </w:rPr>
            </w:pPr>
            <w:r w:rsidRPr="000725BE">
              <w:rPr>
                <w:color w:val="auto"/>
                <w:sz w:val="18"/>
                <w:szCs w:val="18"/>
              </w:rPr>
              <w:t>0%</w:t>
            </w:r>
          </w:p>
        </w:tc>
        <w:tc>
          <w:tcPr>
            <w:tcW w:w="2430" w:type="dxa"/>
          </w:tcPr>
          <w:p w:rsidR="000725BE" w:rsidRPr="000725BE" w:rsidRDefault="000725BE" w:rsidP="000725BE">
            <w:pPr>
              <w:tabs>
                <w:tab w:val="left" w:pos="2980"/>
              </w:tabs>
              <w:rPr>
                <w:color w:val="auto"/>
                <w:sz w:val="18"/>
                <w:szCs w:val="18"/>
              </w:rPr>
            </w:pPr>
            <w:r w:rsidRPr="000725BE">
              <w:rPr>
                <w:color w:val="auto"/>
                <w:sz w:val="18"/>
                <w:szCs w:val="18"/>
              </w:rPr>
              <w:t>0%</w:t>
            </w:r>
          </w:p>
        </w:tc>
      </w:tr>
    </w:tbl>
    <w:p w:rsidR="000725BE" w:rsidRPr="000725BE" w:rsidRDefault="000725BE" w:rsidP="000725BE">
      <w:pPr>
        <w:tabs>
          <w:tab w:val="left" w:pos="2980"/>
        </w:tabs>
        <w:jc w:val="both"/>
        <w:rPr>
          <w:rFonts w:cs="Times New Roman"/>
          <w:color w:val="auto"/>
          <w:sz w:val="20"/>
        </w:rPr>
      </w:pPr>
      <w:r w:rsidRPr="000725BE">
        <w:rPr>
          <w:rFonts w:cs="Times New Roman"/>
          <w:color w:val="auto"/>
          <w:sz w:val="20"/>
        </w:rPr>
        <w:t>(Average hearing loss is the sum of pure tone thresholds at 1000, 2000, 3000, and 4000 Hz divided by four)</w:t>
      </w:r>
    </w:p>
    <w:p w:rsidR="000725BE" w:rsidRPr="000725BE" w:rsidRDefault="000725BE" w:rsidP="000725BE">
      <w:pPr>
        <w:tabs>
          <w:tab w:val="left" w:pos="2980"/>
        </w:tabs>
        <w:jc w:val="both"/>
        <w:rPr>
          <w:rFonts w:cs="Times New Roman"/>
          <w:color w:val="auto"/>
          <w:szCs w:val="24"/>
        </w:rPr>
      </w:pPr>
    </w:p>
    <w:p w:rsidR="000725BE" w:rsidRPr="000725BE" w:rsidRDefault="000725BE" w:rsidP="000725BE">
      <w:pPr>
        <w:tabs>
          <w:tab w:val="left" w:pos="2980"/>
        </w:tabs>
        <w:jc w:val="both"/>
        <w:rPr>
          <w:rFonts w:eastAsia="Calibri" w:cs="Times New Roman"/>
          <w:color w:val="auto"/>
          <w:szCs w:val="24"/>
          <w:u w:val="single"/>
        </w:rPr>
      </w:pPr>
      <w:r w:rsidRPr="000725BE">
        <w:rPr>
          <w:rFonts w:cs="Times New Roman"/>
          <w:color w:val="auto"/>
          <w:szCs w:val="24"/>
        </w:rPr>
        <w:t xml:space="preserve">Application of VASRD §4.85 for both the MEB and </w:t>
      </w:r>
      <w:r w:rsidR="009D1961">
        <w:rPr>
          <w:rFonts w:cs="Times New Roman"/>
          <w:color w:val="auto"/>
          <w:szCs w:val="24"/>
        </w:rPr>
        <w:t xml:space="preserve">VA Compensation and Pension </w:t>
      </w:r>
      <w:r w:rsidR="009D1961" w:rsidRPr="00966B78">
        <w:rPr>
          <w:rFonts w:cs="Times New Roman"/>
          <w:color w:val="auto"/>
          <w:szCs w:val="24"/>
        </w:rPr>
        <w:t>(</w:t>
      </w:r>
      <w:r w:rsidRPr="00966B78">
        <w:rPr>
          <w:rFonts w:cs="Times New Roman"/>
          <w:color w:val="auto"/>
          <w:szCs w:val="24"/>
        </w:rPr>
        <w:t>C&amp;P</w:t>
      </w:r>
      <w:r w:rsidR="009D1961" w:rsidRPr="00966B78">
        <w:rPr>
          <w:rFonts w:cs="Times New Roman"/>
          <w:color w:val="auto"/>
          <w:szCs w:val="24"/>
        </w:rPr>
        <w:t>)</w:t>
      </w:r>
      <w:r w:rsidRPr="000725BE">
        <w:rPr>
          <w:rFonts w:cs="Times New Roman"/>
          <w:color w:val="auto"/>
          <w:szCs w:val="24"/>
        </w:rPr>
        <w:t xml:space="preserve"> examinations yields a 0% rating.  Although the alternate rating approach in §4.86a does not apply, rating using the alternate Table VIa does not result in a higher rating.  All evidence considered, there is not reasonable doubt in the CI’s favor supporting a change from the PEB’s rating decision for the hearing loss condition.</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021325">
        <w:rPr>
          <w:color w:val="auto"/>
        </w:rPr>
        <w:t>.</w:t>
      </w:r>
      <w:r w:rsidR="006B690F" w:rsidRPr="00021325">
        <w:rPr>
          <w:color w:val="auto"/>
        </w:rPr>
        <w:t xml:space="preserve">  </w:t>
      </w:r>
      <w:r w:rsidR="00560F12" w:rsidRPr="00021325">
        <w:rPr>
          <w:color w:val="auto"/>
        </w:rPr>
        <w:t xml:space="preserve">In the matter of the </w:t>
      </w:r>
      <w:r w:rsidR="002E1450" w:rsidRPr="00021325">
        <w:rPr>
          <w:color w:val="auto"/>
        </w:rPr>
        <w:t xml:space="preserve">sensorineural hearing loss </w:t>
      </w:r>
      <w:r w:rsidR="00560F12" w:rsidRPr="00021325">
        <w:rPr>
          <w:color w:val="auto"/>
        </w:rPr>
        <w:t>condition and IAW VASRD §4.</w:t>
      </w:r>
      <w:r w:rsidR="002E1450" w:rsidRPr="00021325">
        <w:rPr>
          <w:color w:val="auto"/>
        </w:rPr>
        <w:t>85</w:t>
      </w:r>
      <w:r w:rsidR="00560F12" w:rsidRPr="00021325">
        <w:rPr>
          <w:color w:val="auto"/>
        </w:rPr>
        <w:t>, the</w:t>
      </w:r>
      <w:r w:rsidR="00560F12" w:rsidRPr="00F64312">
        <w:rPr>
          <w:rFonts w:eastAsia="Calibri" w:cs="Times New Roman"/>
          <w:color w:val="auto"/>
          <w:szCs w:val="24"/>
        </w:rPr>
        <w:t xml:space="preserve"> Board </w:t>
      </w:r>
      <w:r w:rsidR="00560F12" w:rsidRPr="00776A4E">
        <w:rPr>
          <w:rFonts w:eastAsia="Calibri" w:cs="Times New Roman"/>
          <w:color w:val="auto"/>
          <w:szCs w:val="24"/>
        </w:rPr>
        <w:t>unanimously</w:t>
      </w:r>
      <w:r w:rsidR="00560F12" w:rsidRPr="00F64312">
        <w:rPr>
          <w:rFonts w:eastAsia="Calibri" w:cs="Times New Roman"/>
          <w:color w:val="auto"/>
          <w:szCs w:val="24"/>
        </w:rPr>
        <w:t xml:space="preserve"> recommends no change in the PEB adjudication.</w:t>
      </w:r>
      <w:r w:rsidR="006B690F" w:rsidRPr="00F64312">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AD2379" w:rsidRPr="00F64312" w:rsidRDefault="00AD2379" w:rsidP="00B22D42">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p>
    <w:p w:rsidR="00A55442" w:rsidRPr="00F64312" w:rsidRDefault="00A55442" w:rsidP="00A554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55442" w:rsidRPr="00F64312" w:rsidTr="00F604FB">
        <w:trPr>
          <w:trHeight w:val="233"/>
          <w:jc w:val="center"/>
        </w:trPr>
        <w:tc>
          <w:tcPr>
            <w:tcW w:w="6768" w:type="dxa"/>
            <w:shd w:val="clear" w:color="auto" w:fill="D9D9D9"/>
            <w:vAlign w:val="center"/>
          </w:tcPr>
          <w:p w:rsidR="00A55442" w:rsidRPr="00F64312" w:rsidRDefault="00A55442" w:rsidP="00F604FB">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55442" w:rsidRPr="00F64312" w:rsidRDefault="00A55442" w:rsidP="00F604FB">
            <w:pPr>
              <w:tabs>
                <w:tab w:val="left" w:pos="288"/>
                <w:tab w:val="left" w:pos="4752"/>
              </w:tabs>
              <w:rPr>
                <w:b/>
                <w:color w:val="auto"/>
              </w:rPr>
            </w:pPr>
            <w:r w:rsidRPr="00F64312">
              <w:rPr>
                <w:b/>
                <w:color w:val="auto"/>
              </w:rPr>
              <w:t>VASRD CODE</w:t>
            </w:r>
          </w:p>
        </w:tc>
        <w:tc>
          <w:tcPr>
            <w:tcW w:w="1026" w:type="dxa"/>
            <w:shd w:val="clear" w:color="auto" w:fill="D9D9D9"/>
            <w:vAlign w:val="center"/>
          </w:tcPr>
          <w:p w:rsidR="00A55442" w:rsidRPr="00F64312" w:rsidRDefault="00A55442" w:rsidP="00F604FB">
            <w:pPr>
              <w:tabs>
                <w:tab w:val="left" w:pos="288"/>
                <w:tab w:val="left" w:pos="4752"/>
              </w:tabs>
              <w:rPr>
                <w:b/>
                <w:color w:val="auto"/>
              </w:rPr>
            </w:pPr>
            <w:r w:rsidRPr="00F64312">
              <w:rPr>
                <w:b/>
                <w:color w:val="auto"/>
              </w:rPr>
              <w:t>RATING</w:t>
            </w:r>
          </w:p>
        </w:tc>
      </w:tr>
      <w:tr w:rsidR="00A55442" w:rsidRPr="00F64312" w:rsidTr="008D7344">
        <w:trPr>
          <w:jc w:val="center"/>
        </w:trPr>
        <w:tc>
          <w:tcPr>
            <w:tcW w:w="6768" w:type="dxa"/>
          </w:tcPr>
          <w:p w:rsidR="00A55442" w:rsidRPr="000725BE" w:rsidRDefault="00A55442" w:rsidP="00F604FB">
            <w:pPr>
              <w:tabs>
                <w:tab w:val="left" w:pos="288"/>
                <w:tab w:val="left" w:pos="4752"/>
              </w:tabs>
              <w:jc w:val="both"/>
              <w:rPr>
                <w:rFonts w:cs="Times New Roman"/>
                <w:color w:val="auto"/>
                <w:szCs w:val="24"/>
              </w:rPr>
            </w:pPr>
            <w:r w:rsidRPr="000725BE">
              <w:rPr>
                <w:rFonts w:cs="Times New Roman"/>
                <w:color w:val="auto"/>
                <w:szCs w:val="24"/>
              </w:rPr>
              <w:t>Bilateral Sensorineural Hearing Loss</w:t>
            </w:r>
          </w:p>
        </w:tc>
        <w:tc>
          <w:tcPr>
            <w:tcW w:w="1530" w:type="dxa"/>
          </w:tcPr>
          <w:p w:rsidR="00A55442" w:rsidRPr="000725BE" w:rsidRDefault="00A55442" w:rsidP="00F604FB">
            <w:pPr>
              <w:tabs>
                <w:tab w:val="left" w:pos="288"/>
                <w:tab w:val="left" w:pos="4752"/>
              </w:tabs>
              <w:rPr>
                <w:rFonts w:cs="Times New Roman"/>
                <w:color w:val="auto"/>
                <w:szCs w:val="24"/>
              </w:rPr>
            </w:pPr>
            <w:r w:rsidRPr="000725BE">
              <w:rPr>
                <w:rFonts w:cs="Times New Roman"/>
                <w:color w:val="auto"/>
                <w:szCs w:val="24"/>
              </w:rPr>
              <w:t>6100</w:t>
            </w:r>
          </w:p>
        </w:tc>
        <w:tc>
          <w:tcPr>
            <w:tcW w:w="1026" w:type="dxa"/>
          </w:tcPr>
          <w:p w:rsidR="00A55442" w:rsidRPr="000725BE" w:rsidRDefault="00A55442" w:rsidP="00F604FB">
            <w:pPr>
              <w:tabs>
                <w:tab w:val="left" w:pos="288"/>
                <w:tab w:val="left" w:pos="4752"/>
              </w:tabs>
              <w:rPr>
                <w:rFonts w:cs="Times New Roman"/>
                <w:color w:val="auto"/>
                <w:szCs w:val="24"/>
              </w:rPr>
            </w:pPr>
            <w:r w:rsidRPr="000725BE">
              <w:rPr>
                <w:rFonts w:cs="Times New Roman"/>
                <w:color w:val="auto"/>
                <w:szCs w:val="24"/>
              </w:rPr>
              <w:t>0%</w:t>
            </w:r>
          </w:p>
        </w:tc>
      </w:tr>
      <w:tr w:rsidR="00A55442" w:rsidRPr="00F64312" w:rsidTr="00F604FB">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55442" w:rsidRPr="00612A23" w:rsidRDefault="00A55442" w:rsidP="00F604FB">
            <w:pPr>
              <w:tabs>
                <w:tab w:val="left" w:pos="288"/>
                <w:tab w:val="left" w:pos="4752"/>
              </w:tabs>
              <w:rPr>
                <w:b/>
                <w:color w:val="auto"/>
              </w:rPr>
            </w:pPr>
            <w:r w:rsidRPr="00612A23">
              <w:rPr>
                <w:b/>
                <w:color w:val="auto"/>
              </w:rPr>
              <w:t>COMBINED</w:t>
            </w:r>
          </w:p>
        </w:tc>
        <w:tc>
          <w:tcPr>
            <w:tcW w:w="1026" w:type="dxa"/>
            <w:shd w:val="clear" w:color="auto" w:fill="D9D9D9"/>
            <w:vAlign w:val="center"/>
          </w:tcPr>
          <w:p w:rsidR="00A55442" w:rsidRPr="00612A23" w:rsidRDefault="00A55442" w:rsidP="00A55442">
            <w:pPr>
              <w:tabs>
                <w:tab w:val="left" w:pos="288"/>
                <w:tab w:val="left" w:pos="4752"/>
              </w:tabs>
              <w:rPr>
                <w:b/>
                <w:color w:val="auto"/>
              </w:rPr>
            </w:pPr>
            <w:r w:rsidRPr="00612A23">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Exhibit A.  DD Form 294, dated</w:t>
      </w:r>
      <w:r w:rsidR="002E1450">
        <w:rPr>
          <w:color w:val="auto"/>
        </w:rPr>
        <w:t xml:space="preserve"> 20110725</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bookmarkStart w:id="0" w:name="_GoBack"/>
      <w:bookmarkEnd w:id="0"/>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2C09B5">
        <w:rPr>
          <w:color w:val="auto"/>
        </w:rPr>
        <w:t>XXXXXXXXXXXXXXXXXXXXXX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DF3B06" w:rsidRDefault="00AD2379" w:rsidP="00BF0E94">
      <w:pPr>
        <w:tabs>
          <w:tab w:val="left" w:pos="0"/>
          <w:tab w:val="left" w:pos="4320"/>
        </w:tabs>
        <w:jc w:val="both"/>
        <w:rPr>
          <w:color w:val="auto"/>
        </w:rPr>
      </w:pPr>
      <w:r w:rsidRPr="00F64312">
        <w:rPr>
          <w:color w:val="auto"/>
        </w:rPr>
        <w:tab/>
        <w:t xml:space="preserve">           Physical Disability Board of Review</w:t>
      </w:r>
    </w:p>
    <w:p w:rsidR="002C09B5" w:rsidRDefault="002C09B5" w:rsidP="00BF0E94">
      <w:pPr>
        <w:tabs>
          <w:tab w:val="left" w:pos="0"/>
          <w:tab w:val="left" w:pos="4320"/>
        </w:tabs>
        <w:jc w:val="both"/>
        <w:rPr>
          <w:color w:val="auto"/>
        </w:rPr>
      </w:pPr>
    </w:p>
    <w:p w:rsidR="002C09B5" w:rsidRDefault="002C09B5">
      <w:pPr>
        <w:spacing w:line="240" w:lineRule="auto"/>
        <w:jc w:val="left"/>
        <w:rPr>
          <w:color w:val="auto"/>
        </w:rPr>
      </w:pPr>
      <w:r>
        <w:rPr>
          <w:color w:val="auto"/>
        </w:rPr>
        <w:br w:type="page"/>
      </w:r>
    </w:p>
    <w:p w:rsidR="002C09B5" w:rsidRDefault="002C09B5" w:rsidP="002C09B5">
      <w:pPr>
        <w:sectPr w:rsidR="002C09B5">
          <w:pgSz w:w="12240" w:h="15840"/>
          <w:pgMar w:top="2160" w:right="1440" w:bottom="1440" w:left="1440" w:header="720" w:footer="720" w:gutter="0"/>
          <w:cols w:space="720"/>
        </w:sectPr>
      </w:pPr>
    </w:p>
    <w:p w:rsidR="002C09B5" w:rsidRDefault="002C09B5" w:rsidP="002C09B5">
      <w:pPr>
        <w:pStyle w:val="Header"/>
        <w:tabs>
          <w:tab w:val="left" w:pos="720"/>
        </w:tabs>
        <w:jc w:val="left"/>
      </w:pPr>
      <w:r>
        <w:t>SFMR-RB</w:t>
      </w:r>
      <w:r>
        <w:tab/>
      </w:r>
      <w:r>
        <w:tab/>
      </w:r>
      <w:r>
        <w:tab/>
      </w:r>
      <w:r>
        <w:tab/>
      </w:r>
      <w:r>
        <w:tab/>
      </w:r>
      <w:r>
        <w:tab/>
      </w:r>
      <w:r>
        <w:tab/>
      </w:r>
      <w:r>
        <w:tab/>
      </w:r>
      <w:r>
        <w:tab/>
      </w:r>
    </w:p>
    <w:p w:rsidR="002C09B5" w:rsidRDefault="002C09B5" w:rsidP="002C09B5">
      <w:pPr>
        <w:pStyle w:val="Header"/>
        <w:tabs>
          <w:tab w:val="left" w:pos="720"/>
        </w:tabs>
        <w:jc w:val="left"/>
      </w:pPr>
    </w:p>
    <w:p w:rsidR="002C09B5" w:rsidRDefault="002C09B5" w:rsidP="002C09B5">
      <w:pPr>
        <w:jc w:val="left"/>
      </w:pPr>
    </w:p>
    <w:p w:rsidR="002C09B5" w:rsidRDefault="002C09B5" w:rsidP="002C09B5">
      <w:pPr>
        <w:jc w:val="left"/>
      </w:pPr>
      <w:r>
        <w:t xml:space="preserve">MEMORANDUM FOR Commander, US Army Physical Disability Agency </w:t>
      </w:r>
    </w:p>
    <w:p w:rsidR="002C09B5" w:rsidRDefault="002C09B5" w:rsidP="002C09B5">
      <w:pPr>
        <w:jc w:val="left"/>
      </w:pPr>
      <w:r>
        <w:t xml:space="preserve">(TAPD-ZB </w:t>
      </w:r>
      <w:proofErr w:type="gramStart"/>
      <w:r>
        <w:t>/  )</w:t>
      </w:r>
      <w:proofErr w:type="gramEnd"/>
      <w:r>
        <w:t>, 2900 Crystal Drive, Suite 300, Arlington, VA  22202</w:t>
      </w:r>
    </w:p>
    <w:p w:rsidR="002C09B5" w:rsidRDefault="002C09B5" w:rsidP="002C09B5">
      <w:pPr>
        <w:jc w:val="left"/>
      </w:pPr>
    </w:p>
    <w:p w:rsidR="002C09B5" w:rsidRDefault="002C09B5" w:rsidP="002C09B5">
      <w:pPr>
        <w:ind w:right="-180"/>
        <w:jc w:val="left"/>
      </w:pPr>
      <w:r>
        <w:t>SUBJECT:  Department of Defense Physical Disability Board of Review Recommendation for XXXXXXXXXXXXXXXXXXXXXXXXXXXX, AR20120015490 (PD201100556)</w:t>
      </w:r>
    </w:p>
    <w:p w:rsidR="002C09B5" w:rsidRDefault="002C09B5" w:rsidP="002C09B5">
      <w:pPr>
        <w:pStyle w:val="Header"/>
        <w:tabs>
          <w:tab w:val="left" w:pos="720"/>
        </w:tabs>
        <w:jc w:val="left"/>
      </w:pPr>
    </w:p>
    <w:p w:rsidR="002C09B5" w:rsidRDefault="002C09B5" w:rsidP="002C09B5">
      <w:pPr>
        <w:jc w:val="left"/>
      </w:pPr>
    </w:p>
    <w:p w:rsidR="002C09B5" w:rsidRDefault="002C09B5" w:rsidP="002C09B5">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2C09B5" w:rsidRDefault="002C09B5" w:rsidP="002C09B5">
      <w:pPr>
        <w:jc w:val="left"/>
      </w:pPr>
      <w:r>
        <w:t>This decision is final.  The individual concerned, counsel (if any), and any Members of Congress who have shown interest in this application have been notified of this decision by mail.</w:t>
      </w:r>
    </w:p>
    <w:p w:rsidR="002C09B5" w:rsidRDefault="002C09B5" w:rsidP="002C09B5">
      <w:pPr>
        <w:jc w:val="left"/>
      </w:pPr>
    </w:p>
    <w:p w:rsidR="002C09B5" w:rsidRDefault="002C09B5" w:rsidP="002C09B5">
      <w:pPr>
        <w:jc w:val="left"/>
      </w:pPr>
      <w:r>
        <w:t xml:space="preserve"> BY ORDER OF THE SECRETARY OF THE ARMY:</w:t>
      </w:r>
    </w:p>
    <w:p w:rsidR="002C09B5" w:rsidRDefault="002C09B5" w:rsidP="002C09B5">
      <w:pPr>
        <w:jc w:val="left"/>
      </w:pPr>
    </w:p>
    <w:p w:rsidR="002C09B5" w:rsidRDefault="002C09B5" w:rsidP="002C09B5">
      <w:pPr>
        <w:jc w:val="left"/>
      </w:pPr>
    </w:p>
    <w:p w:rsidR="002C09B5" w:rsidRDefault="002C09B5" w:rsidP="002C09B5">
      <w:pPr>
        <w:pStyle w:val="Header"/>
        <w:tabs>
          <w:tab w:val="left" w:pos="720"/>
        </w:tabs>
        <w:jc w:val="left"/>
      </w:pPr>
    </w:p>
    <w:p w:rsidR="002C09B5" w:rsidRDefault="002C09B5" w:rsidP="002C09B5">
      <w:pPr>
        <w:jc w:val="left"/>
      </w:pPr>
    </w:p>
    <w:p w:rsidR="002C09B5" w:rsidRDefault="002C09B5" w:rsidP="002C09B5">
      <w:pPr>
        <w:jc w:val="left"/>
      </w:pPr>
      <w:bookmarkStart w:id="1" w:name="OLE_LINK4"/>
      <w:bookmarkStart w:id="2" w:name="OLE_LINK3"/>
      <w:r>
        <w:t>Encl</w:t>
      </w:r>
      <w:r>
        <w:tab/>
      </w:r>
      <w:r>
        <w:tab/>
      </w:r>
      <w:r>
        <w:tab/>
      </w:r>
      <w:r>
        <w:tab/>
      </w:r>
      <w:r>
        <w:tab/>
      </w:r>
      <w:r>
        <w:tab/>
        <w:t xml:space="preserve">     XXXXXXXXXXXXXXXXXXXXXXXXX</w:t>
      </w:r>
    </w:p>
    <w:p w:rsidR="002C09B5" w:rsidRDefault="002C09B5" w:rsidP="002C09B5">
      <w:pPr>
        <w:jc w:val="left"/>
      </w:pPr>
      <w:r>
        <w:tab/>
      </w:r>
      <w:r>
        <w:tab/>
      </w:r>
      <w:r>
        <w:tab/>
      </w:r>
      <w:r>
        <w:tab/>
      </w:r>
      <w:r>
        <w:tab/>
      </w:r>
      <w:r>
        <w:tab/>
        <w:t xml:space="preserve">     Deputy Assistant Secretary</w:t>
      </w:r>
    </w:p>
    <w:p w:rsidR="002C09B5" w:rsidRDefault="002C09B5" w:rsidP="002C09B5">
      <w:pPr>
        <w:jc w:val="left"/>
      </w:pPr>
      <w:r>
        <w:tab/>
      </w:r>
      <w:r>
        <w:tab/>
      </w:r>
      <w:r>
        <w:tab/>
      </w:r>
      <w:r>
        <w:tab/>
      </w:r>
      <w:r>
        <w:tab/>
      </w:r>
      <w:r>
        <w:tab/>
        <w:t xml:space="preserve">         (Army Review Boards)</w:t>
      </w:r>
      <w:bookmarkEnd w:id="1"/>
      <w:bookmarkEnd w:id="2"/>
    </w:p>
    <w:p w:rsidR="002C09B5" w:rsidRDefault="002C09B5" w:rsidP="002C09B5">
      <w:pPr>
        <w:jc w:val="left"/>
      </w:pPr>
    </w:p>
    <w:p w:rsidR="002C09B5" w:rsidRDefault="002C09B5" w:rsidP="002C09B5">
      <w:pPr>
        <w:jc w:val="left"/>
      </w:pPr>
      <w:r>
        <w:t xml:space="preserve">CF: </w:t>
      </w:r>
    </w:p>
    <w:p w:rsidR="002C09B5" w:rsidRDefault="002C09B5" w:rsidP="002C09B5">
      <w:pPr>
        <w:jc w:val="left"/>
      </w:pPr>
      <w:r>
        <w:t xml:space="preserve">(  ) </w:t>
      </w:r>
      <w:proofErr w:type="spellStart"/>
      <w:proofErr w:type="gramStart"/>
      <w:r>
        <w:t>DoD</w:t>
      </w:r>
      <w:proofErr w:type="spellEnd"/>
      <w:proofErr w:type="gramEnd"/>
      <w:r>
        <w:t xml:space="preserve"> PDBR</w:t>
      </w:r>
    </w:p>
    <w:p w:rsidR="002C09B5" w:rsidRDefault="002C09B5" w:rsidP="002C09B5">
      <w:pPr>
        <w:jc w:val="left"/>
      </w:pPr>
      <w:r>
        <w:t>(  ) DVA</w:t>
      </w:r>
    </w:p>
    <w:p w:rsidR="002C09B5" w:rsidRDefault="002C09B5" w:rsidP="002C09B5"/>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A4281C" w:rsidRDefault="00A4281C" w:rsidP="0068160C">
      <w:pPr>
        <w:ind w:left="2880" w:firstLine="720"/>
        <w:jc w:val="left"/>
        <w:rPr>
          <w:rFonts w:eastAsiaTheme="minorHAnsi"/>
          <w:color w:val="auto"/>
          <w:szCs w:val="24"/>
          <w:highlight w:val="yellow"/>
        </w:rPr>
      </w:pPr>
    </w:p>
    <w:sectPr w:rsidR="00A4281C"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464" w:rsidRDefault="002E7464">
      <w:r>
        <w:separator/>
      </w:r>
    </w:p>
  </w:endnote>
  <w:endnote w:type="continuationSeparator" w:id="0">
    <w:p w:rsidR="002E7464" w:rsidRDefault="002E74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31" w:rsidRPr="00374247" w:rsidRDefault="00017D31" w:rsidP="00726F84">
    <w:pPr>
      <w:pStyle w:val="Footer"/>
      <w:ind w:firstLine="4320"/>
      <w:rPr>
        <w:color w:val="auto"/>
      </w:rPr>
    </w:pPr>
    <w:r w:rsidRPr="00374247">
      <w:rPr>
        <w:color w:val="auto"/>
      </w:rPr>
      <w:t xml:space="preserve">   </w:t>
    </w:r>
    <w:r w:rsidR="00FD4407" w:rsidRPr="00FD4407">
      <w:fldChar w:fldCharType="begin"/>
    </w:r>
    <w:r w:rsidR="008553D5">
      <w:instrText xml:space="preserve"> PAGE   \* MERGEFORMAT </w:instrText>
    </w:r>
    <w:r w:rsidR="00FD4407" w:rsidRPr="00FD4407">
      <w:fldChar w:fldCharType="separate"/>
    </w:r>
    <w:r w:rsidR="002C09B5" w:rsidRPr="002C09B5">
      <w:rPr>
        <w:noProof/>
        <w:color w:val="auto"/>
      </w:rPr>
      <w:t>2</w:t>
    </w:r>
    <w:r w:rsidR="00FD4407">
      <w:rPr>
        <w:noProof/>
        <w:color w:val="auto"/>
      </w:rPr>
      <w:fldChar w:fldCharType="end"/>
    </w:r>
    <w:r w:rsidRPr="00374247">
      <w:rPr>
        <w:color w:val="auto"/>
      </w:rPr>
      <w:t xml:space="preserve">                                                           </w:t>
    </w:r>
    <w:r w:rsidRPr="000725BE">
      <w:rPr>
        <w:color w:val="auto"/>
      </w:rPr>
      <w:t>PD11-00</w:t>
    </w:r>
    <w:r w:rsidR="000725BE" w:rsidRPr="000725BE">
      <w:rPr>
        <w:color w:val="auto"/>
      </w:rPr>
      <w:t>556</w:t>
    </w:r>
  </w:p>
  <w:p w:rsidR="00017D31" w:rsidRPr="00684CE6" w:rsidRDefault="00017D31">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464" w:rsidRDefault="002E7464">
      <w:r>
        <w:separator/>
      </w:r>
    </w:p>
  </w:footnote>
  <w:footnote w:type="continuationSeparator" w:id="0">
    <w:p w:rsidR="002E7464" w:rsidRDefault="002E74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1F39"/>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62C"/>
    <w:rsid w:val="0001473F"/>
    <w:rsid w:val="00014A47"/>
    <w:rsid w:val="00014A9E"/>
    <w:rsid w:val="00017778"/>
    <w:rsid w:val="00017D31"/>
    <w:rsid w:val="00020941"/>
    <w:rsid w:val="00021325"/>
    <w:rsid w:val="00021361"/>
    <w:rsid w:val="00022CF3"/>
    <w:rsid w:val="00023562"/>
    <w:rsid w:val="00023913"/>
    <w:rsid w:val="00023D43"/>
    <w:rsid w:val="00024002"/>
    <w:rsid w:val="000240A0"/>
    <w:rsid w:val="00024DE7"/>
    <w:rsid w:val="000254F9"/>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5BE"/>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675E"/>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56BB7"/>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1830"/>
    <w:rsid w:val="00192392"/>
    <w:rsid w:val="0019273F"/>
    <w:rsid w:val="00193814"/>
    <w:rsid w:val="00193AAB"/>
    <w:rsid w:val="00193AD5"/>
    <w:rsid w:val="00193BAF"/>
    <w:rsid w:val="00194930"/>
    <w:rsid w:val="00195AAC"/>
    <w:rsid w:val="0019678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0C1D"/>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0C6C"/>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97EA8"/>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9B5"/>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450"/>
    <w:rsid w:val="002E1877"/>
    <w:rsid w:val="002E1C31"/>
    <w:rsid w:val="002E1EFD"/>
    <w:rsid w:val="002E2E0F"/>
    <w:rsid w:val="002E333A"/>
    <w:rsid w:val="002E3474"/>
    <w:rsid w:val="002E400C"/>
    <w:rsid w:val="002E49C3"/>
    <w:rsid w:val="002E5114"/>
    <w:rsid w:val="002E5988"/>
    <w:rsid w:val="002E65E6"/>
    <w:rsid w:val="002E7072"/>
    <w:rsid w:val="002E7464"/>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81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026"/>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096C"/>
    <w:rsid w:val="006110FB"/>
    <w:rsid w:val="006114BB"/>
    <w:rsid w:val="00612625"/>
    <w:rsid w:val="00612A23"/>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57"/>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76A4E"/>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350"/>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3D5"/>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27"/>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365"/>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241"/>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6B78"/>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6BB"/>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96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4D3C"/>
    <w:rsid w:val="00A0570F"/>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5D"/>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281C"/>
    <w:rsid w:val="00A43A8D"/>
    <w:rsid w:val="00A44141"/>
    <w:rsid w:val="00A44CCA"/>
    <w:rsid w:val="00A44D75"/>
    <w:rsid w:val="00A47CF1"/>
    <w:rsid w:val="00A50418"/>
    <w:rsid w:val="00A50B17"/>
    <w:rsid w:val="00A53A9B"/>
    <w:rsid w:val="00A54A47"/>
    <w:rsid w:val="00A55442"/>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7FE"/>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1FB0"/>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698A"/>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27C1"/>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027E"/>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42C8"/>
    <w:rsid w:val="00D67FD7"/>
    <w:rsid w:val="00D704E4"/>
    <w:rsid w:val="00D71A04"/>
    <w:rsid w:val="00D72410"/>
    <w:rsid w:val="00D72857"/>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2CD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2A47"/>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061"/>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7C5"/>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576C3"/>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649"/>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6B1"/>
    <w:rsid w:val="00FD1D5A"/>
    <w:rsid w:val="00FD4407"/>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table" w:customStyle="1" w:styleId="TableGrid1">
    <w:name w:val="Table Grid1"/>
    <w:basedOn w:val="TableNormal"/>
    <w:next w:val="TableGrid"/>
    <w:uiPriority w:val="59"/>
    <w:rsid w:val="000725BE"/>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5656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B5B11-1B76-48C5-ACC7-3BE2DB663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2012-08-22T12:18:00Z</cp:lastPrinted>
  <dcterms:created xsi:type="dcterms:W3CDTF">2012-09-11T17:44:00Z</dcterms:created>
  <dcterms:modified xsi:type="dcterms:W3CDTF">2012-09-11T17:44:00Z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