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6A51D8" w:rsidRDefault="00F629C0" w:rsidP="00BF0E94">
      <w:pPr>
        <w:tabs>
          <w:tab w:val="left" w:pos="288"/>
          <w:tab w:val="left" w:pos="4752"/>
          <w:tab w:val="left" w:pos="5130"/>
          <w:tab w:val="left" w:pos="9270"/>
        </w:tabs>
        <w:jc w:val="both"/>
        <w:rPr>
          <w:caps/>
          <w:color w:val="000000"/>
        </w:rPr>
      </w:pPr>
      <w:r w:rsidRPr="006A51D8">
        <w:rPr>
          <w:caps/>
          <w:color w:val="000000"/>
        </w:rPr>
        <w:t xml:space="preserve">NAME:  </w:t>
      </w:r>
      <w:r w:rsidR="001D2D10">
        <w:rPr>
          <w:caps/>
          <w:color w:val="000000"/>
        </w:rPr>
        <w:t>XXXXXXXXXXXXXXX</w:t>
      </w:r>
      <w:r w:rsidR="004216DA" w:rsidRPr="006A51D8">
        <w:rPr>
          <w:caps/>
          <w:color w:val="000000"/>
        </w:rPr>
        <w:t xml:space="preserve">           </w:t>
      </w:r>
      <w:r w:rsidR="00332DE3" w:rsidRPr="006A51D8">
        <w:rPr>
          <w:caps/>
          <w:color w:val="000000"/>
        </w:rPr>
        <w:t xml:space="preserve"> </w:t>
      </w:r>
      <w:r w:rsidR="004216DA" w:rsidRPr="006A51D8">
        <w:rPr>
          <w:caps/>
          <w:color w:val="000000"/>
        </w:rPr>
        <w:t xml:space="preserve">  </w:t>
      </w:r>
      <w:r w:rsidR="006A51D8" w:rsidRPr="006A51D8">
        <w:rPr>
          <w:caps/>
          <w:color w:val="000000"/>
        </w:rPr>
        <w:t xml:space="preserve">                                    </w:t>
      </w:r>
      <w:r w:rsidR="00E540DC">
        <w:rPr>
          <w:caps/>
          <w:color w:val="000000"/>
        </w:rPr>
        <w:t xml:space="preserve">           </w:t>
      </w:r>
      <w:r w:rsidR="000409DA">
        <w:rPr>
          <w:caps/>
          <w:color w:val="000000"/>
        </w:rPr>
        <w:t xml:space="preserve">     </w:t>
      </w:r>
      <w:r w:rsidR="00E540DC">
        <w:rPr>
          <w:caps/>
          <w:color w:val="000000"/>
        </w:rPr>
        <w:t xml:space="preserve"> </w:t>
      </w:r>
      <w:r w:rsidRPr="006A51D8">
        <w:rPr>
          <w:caps/>
          <w:color w:val="000000"/>
        </w:rPr>
        <w:t xml:space="preserve">BRANCH OF SERVICE: </w:t>
      </w:r>
      <w:r w:rsidR="004C24C5" w:rsidRPr="006A51D8">
        <w:rPr>
          <w:caps/>
          <w:color w:val="000000"/>
        </w:rPr>
        <w:t xml:space="preserve"> </w:t>
      </w:r>
      <w:r w:rsidR="004216DA" w:rsidRPr="006A51D8">
        <w:rPr>
          <w:caps/>
          <w:color w:val="000000"/>
        </w:rPr>
        <w:t>navy</w:t>
      </w:r>
    </w:p>
    <w:p w:rsidR="00DE3AAD" w:rsidRPr="001F29F9" w:rsidRDefault="00012733" w:rsidP="0068098E">
      <w:pPr>
        <w:tabs>
          <w:tab w:val="left" w:pos="288"/>
          <w:tab w:val="left" w:pos="4166"/>
          <w:tab w:val="left" w:pos="4752"/>
          <w:tab w:val="left" w:pos="5130"/>
          <w:tab w:val="left" w:pos="9270"/>
        </w:tabs>
        <w:jc w:val="both"/>
        <w:rPr>
          <w:caps/>
          <w:color w:val="000000"/>
        </w:rPr>
      </w:pPr>
      <w:r w:rsidRPr="006A51D8">
        <w:rPr>
          <w:caps/>
          <w:color w:val="000000"/>
        </w:rPr>
        <w:t>C</w:t>
      </w:r>
      <w:r w:rsidR="00DE3AAD" w:rsidRPr="006A51D8">
        <w:rPr>
          <w:caps/>
          <w:color w:val="000000"/>
        </w:rPr>
        <w:t>ASE NUMBER:  PD</w:t>
      </w:r>
      <w:r w:rsidR="008F58E1" w:rsidRPr="006A51D8">
        <w:rPr>
          <w:caps/>
          <w:color w:val="000000"/>
        </w:rPr>
        <w:t>11</w:t>
      </w:r>
      <w:r w:rsidR="00DE3AAD" w:rsidRPr="006A51D8">
        <w:rPr>
          <w:caps/>
          <w:color w:val="000000"/>
        </w:rPr>
        <w:t>00</w:t>
      </w:r>
      <w:r w:rsidR="006A51D8" w:rsidRPr="006A51D8">
        <w:rPr>
          <w:caps/>
          <w:color w:val="000000"/>
        </w:rPr>
        <w:t>551</w:t>
      </w:r>
      <w:r w:rsidR="00DE3AAD" w:rsidRPr="006A51D8">
        <w:rPr>
          <w:color w:val="000000"/>
        </w:rPr>
        <w:tab/>
      </w:r>
      <w:r w:rsidR="0068098E" w:rsidRPr="006A51D8">
        <w:rPr>
          <w:color w:val="000000"/>
        </w:rPr>
        <w:tab/>
      </w:r>
      <w:r w:rsidR="00DE3AAD" w:rsidRPr="006A51D8">
        <w:rPr>
          <w:color w:val="000000"/>
        </w:rPr>
        <w:t xml:space="preserve">        </w:t>
      </w:r>
      <w:r w:rsidR="00E0346A" w:rsidRPr="006A51D8">
        <w:rPr>
          <w:color w:val="000000"/>
        </w:rPr>
        <w:t xml:space="preserve">                   </w:t>
      </w:r>
      <w:r w:rsidR="00E540DC">
        <w:rPr>
          <w:color w:val="000000"/>
        </w:rPr>
        <w:t xml:space="preserve"> </w:t>
      </w:r>
      <w:r w:rsidR="00E0346A" w:rsidRPr="006A51D8">
        <w:rPr>
          <w:color w:val="000000"/>
        </w:rPr>
        <w:t xml:space="preserve"> </w:t>
      </w:r>
      <w:r w:rsidR="00DE3AAD" w:rsidRPr="006A51D8">
        <w:rPr>
          <w:color w:val="000000"/>
        </w:rPr>
        <w:t xml:space="preserve">SEPARATION DATE:  </w:t>
      </w:r>
      <w:r w:rsidR="00DE3AAD" w:rsidRPr="008636BA">
        <w:rPr>
          <w:color w:val="000000"/>
        </w:rPr>
        <w:t>200</w:t>
      </w:r>
      <w:r w:rsidR="006A51D8" w:rsidRPr="008636BA">
        <w:rPr>
          <w:color w:val="000000"/>
        </w:rPr>
        <w:t>11</w:t>
      </w:r>
      <w:r w:rsidR="006A51D8" w:rsidRPr="006A51D8">
        <w:rPr>
          <w:color w:val="000000"/>
        </w:rPr>
        <w:t>031</w:t>
      </w:r>
    </w:p>
    <w:p w:rsidR="00385934" w:rsidRDefault="004F3639" w:rsidP="00BF0E94">
      <w:pPr>
        <w:tabs>
          <w:tab w:val="left" w:pos="288"/>
          <w:tab w:val="left" w:pos="5130"/>
        </w:tabs>
        <w:jc w:val="both"/>
        <w:rPr>
          <w:caps/>
          <w:color w:val="000000"/>
        </w:rPr>
      </w:pPr>
      <w:r w:rsidRPr="001F29F9">
        <w:rPr>
          <w:caps/>
          <w:color w:val="000000"/>
        </w:rPr>
        <w:t>BOARD DATE:  201</w:t>
      </w:r>
      <w:r w:rsidR="00A6029E">
        <w:rPr>
          <w:caps/>
          <w:color w:val="000000"/>
        </w:rPr>
        <w:t>2</w:t>
      </w:r>
      <w:r w:rsidR="00385934">
        <w:rPr>
          <w:caps/>
          <w:color w:val="000000"/>
        </w:rPr>
        <w:t>0515</w:t>
      </w:r>
    </w:p>
    <w:p w:rsidR="00A6029E" w:rsidRPr="001F29F9" w:rsidRDefault="00A6029E" w:rsidP="00A6029E">
      <w:pPr>
        <w:pBdr>
          <w:bottom w:val="single" w:sz="12" w:space="1" w:color="auto"/>
        </w:pBdr>
        <w:tabs>
          <w:tab w:val="left" w:pos="288"/>
          <w:tab w:val="left" w:pos="4752"/>
        </w:tabs>
        <w:jc w:val="both"/>
        <w:rPr>
          <w:color w:val="000000"/>
        </w:rPr>
      </w:pPr>
    </w:p>
    <w:p w:rsidR="00742DA5" w:rsidRDefault="00742DA5" w:rsidP="00716CD5">
      <w:pPr>
        <w:tabs>
          <w:tab w:val="left" w:pos="288"/>
          <w:tab w:val="left" w:pos="4752"/>
        </w:tabs>
        <w:jc w:val="both"/>
        <w:rPr>
          <w:color w:val="000000"/>
          <w:szCs w:val="24"/>
        </w:rPr>
      </w:pPr>
    </w:p>
    <w:p w:rsidR="00F63FC7" w:rsidRPr="001F29F9" w:rsidRDefault="00FB0E80"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 xml:space="preserve">an active </w:t>
      </w:r>
      <w:r w:rsidR="00EE4F19">
        <w:rPr>
          <w:color w:val="000000"/>
          <w:szCs w:val="24"/>
        </w:rPr>
        <w:t>HM2</w:t>
      </w:r>
      <w:r w:rsidR="00661BA2" w:rsidRPr="001F29F9">
        <w:rPr>
          <w:color w:val="000000"/>
          <w:szCs w:val="24"/>
        </w:rPr>
        <w:t>/E-5</w:t>
      </w:r>
      <w:r w:rsidR="00705C40" w:rsidRPr="001F29F9">
        <w:rPr>
          <w:color w:val="000000"/>
          <w:szCs w:val="24"/>
        </w:rPr>
        <w:t xml:space="preserve"> (</w:t>
      </w:r>
      <w:r w:rsidR="00070C8D" w:rsidRPr="00070C8D">
        <w:rPr>
          <w:color w:val="000000"/>
          <w:szCs w:val="24"/>
        </w:rPr>
        <w:t>HM</w:t>
      </w:r>
      <w:r w:rsidR="00070C8D">
        <w:rPr>
          <w:color w:val="000000"/>
          <w:szCs w:val="24"/>
        </w:rPr>
        <w:t>-</w:t>
      </w:r>
      <w:r w:rsidR="00070C8D" w:rsidRPr="00070C8D">
        <w:rPr>
          <w:color w:val="000000"/>
          <w:szCs w:val="24"/>
        </w:rPr>
        <w:t>8408</w:t>
      </w:r>
      <w:r w:rsidR="00C75F3D" w:rsidRPr="001F29F9">
        <w:rPr>
          <w:color w:val="000000"/>
          <w:szCs w:val="24"/>
        </w:rPr>
        <w:t>/</w:t>
      </w:r>
      <w:r w:rsidR="00070C8D" w:rsidRPr="00070C8D">
        <w:rPr>
          <w:color w:val="000000"/>
          <w:szCs w:val="24"/>
        </w:rPr>
        <w:t>Medical Field Service Technician</w:t>
      </w:r>
      <w:r w:rsidR="00E322F7" w:rsidRPr="001F29F9">
        <w:rPr>
          <w:color w:val="000000"/>
          <w:szCs w:val="24"/>
        </w:rPr>
        <w:t>)</w:t>
      </w:r>
      <w:r w:rsidR="00C75F3D" w:rsidRPr="001F29F9">
        <w:rPr>
          <w:color w:val="000000"/>
          <w:szCs w:val="24"/>
        </w:rPr>
        <w:t xml:space="preserve">, </w:t>
      </w:r>
      <w:r w:rsidR="002C6E5B" w:rsidRPr="001F29F9">
        <w:rPr>
          <w:color w:val="000000"/>
          <w:szCs w:val="24"/>
        </w:rPr>
        <w:t xml:space="preserve">medically separated for </w:t>
      </w:r>
      <w:r w:rsidR="00A165FF">
        <w:rPr>
          <w:color w:val="000000"/>
          <w:szCs w:val="24"/>
        </w:rPr>
        <w:t>major depressive disorder and chronic back pain</w:t>
      </w:r>
      <w:r w:rsidR="00C75F3D" w:rsidRPr="00716CD5">
        <w:rPr>
          <w:color w:val="000000"/>
          <w:szCs w:val="24"/>
        </w:rPr>
        <w:t>.</w:t>
      </w:r>
      <w:r w:rsidR="00716CD5" w:rsidRPr="00716CD5">
        <w:rPr>
          <w:color w:val="000000"/>
          <w:szCs w:val="24"/>
        </w:rPr>
        <w:t xml:space="preserve">  </w:t>
      </w:r>
      <w:r w:rsidR="00643C8F" w:rsidRPr="00716CD5">
        <w:rPr>
          <w:color w:val="000000"/>
          <w:szCs w:val="24"/>
        </w:rPr>
        <w:t>He</w:t>
      </w:r>
      <w:r w:rsidR="00EF0B62" w:rsidRPr="00716CD5">
        <w:rPr>
          <w:color w:val="000000"/>
          <w:szCs w:val="24"/>
        </w:rPr>
        <w:t xml:space="preserve"> </w:t>
      </w:r>
      <w:r w:rsidR="00643C8F" w:rsidRPr="00716CD5">
        <w:rPr>
          <w:color w:val="000000"/>
          <w:szCs w:val="24"/>
        </w:rPr>
        <w:t>did</w:t>
      </w:r>
      <w:r w:rsidR="00643C8F" w:rsidRPr="00DC306C">
        <w:rPr>
          <w:color w:val="000000"/>
          <w:szCs w:val="24"/>
        </w:rPr>
        <w:t xml:space="preserve"> not respond adequately to treatment and was unable to perform within his Rating or meet physical fitness standards.  He was </w:t>
      </w:r>
      <w:r w:rsidR="003D6D2C">
        <w:rPr>
          <w:color w:val="000000"/>
          <w:szCs w:val="24"/>
        </w:rPr>
        <w:t>p</w:t>
      </w:r>
      <w:r w:rsidR="00643C8F" w:rsidRPr="00DC306C">
        <w:rPr>
          <w:color w:val="000000"/>
          <w:szCs w:val="24"/>
        </w:rPr>
        <w:t>laced on limited duty and underwent a Medical Evaluation Board (MEB).</w:t>
      </w:r>
      <w:r w:rsidR="00DC306C">
        <w:rPr>
          <w:color w:val="000000"/>
          <w:szCs w:val="24"/>
        </w:rPr>
        <w:t xml:space="preserve">  </w:t>
      </w:r>
      <w:r w:rsidR="00EF0B62" w:rsidRPr="00DC306C">
        <w:rPr>
          <w:color w:val="000000"/>
          <w:szCs w:val="24"/>
        </w:rPr>
        <w:t xml:space="preserve">Major depressive disorder </w:t>
      </w:r>
      <w:r w:rsidR="002A0D1A">
        <w:rPr>
          <w:color w:val="000000"/>
          <w:szCs w:val="24"/>
        </w:rPr>
        <w:t xml:space="preserve">(MDD) </w:t>
      </w:r>
      <w:r w:rsidR="000F585B">
        <w:rPr>
          <w:color w:val="000000"/>
          <w:szCs w:val="24"/>
        </w:rPr>
        <w:t xml:space="preserve">and chronic back pain were </w:t>
      </w:r>
      <w:r w:rsidR="000A33C8" w:rsidRPr="00DC306C">
        <w:rPr>
          <w:color w:val="000000"/>
          <w:szCs w:val="24"/>
        </w:rPr>
        <w:t xml:space="preserve">forwarded to the Physical Evaluation Board (PEB) as medically unacceptable IAW </w:t>
      </w:r>
      <w:r w:rsidR="00AB1F8D" w:rsidRPr="00DC306C">
        <w:rPr>
          <w:color w:val="000000"/>
          <w:szCs w:val="24"/>
        </w:rPr>
        <w:t>SECNAVINST 1850.4E</w:t>
      </w:r>
      <w:r w:rsidR="00376E08" w:rsidRPr="00DC306C">
        <w:rPr>
          <w:color w:val="000000"/>
          <w:szCs w:val="24"/>
        </w:rPr>
        <w:t>.</w:t>
      </w:r>
      <w:r w:rsidR="00DC306C" w:rsidRPr="00DC306C">
        <w:rPr>
          <w:color w:val="000000"/>
          <w:szCs w:val="24"/>
        </w:rPr>
        <w:t xml:space="preserve"> </w:t>
      </w:r>
      <w:r w:rsidR="009969B7">
        <w:rPr>
          <w:color w:val="000000"/>
          <w:szCs w:val="24"/>
        </w:rPr>
        <w:t xml:space="preserve"> </w:t>
      </w:r>
      <w:r w:rsidR="001A5E62" w:rsidRPr="00DC306C">
        <w:rPr>
          <w:color w:val="000000"/>
          <w:szCs w:val="24"/>
        </w:rPr>
        <w:t xml:space="preserve">No other conditions appeared on the MEB’s submission.  </w:t>
      </w:r>
      <w:r w:rsidR="00842BAA" w:rsidRPr="00DC306C">
        <w:rPr>
          <w:color w:val="000000"/>
          <w:szCs w:val="24"/>
        </w:rPr>
        <w:t xml:space="preserve">The PEB adjudicated the </w:t>
      </w:r>
      <w:r w:rsidR="002A0D1A">
        <w:rPr>
          <w:color w:val="000000"/>
          <w:szCs w:val="24"/>
        </w:rPr>
        <w:t>MDD</w:t>
      </w:r>
      <w:r w:rsidR="00541713" w:rsidRPr="00DC306C">
        <w:rPr>
          <w:color w:val="000000"/>
          <w:szCs w:val="24"/>
        </w:rPr>
        <w:t xml:space="preserve"> condition and </w:t>
      </w:r>
      <w:r w:rsidR="009D517C">
        <w:rPr>
          <w:color w:val="000000"/>
          <w:szCs w:val="24"/>
        </w:rPr>
        <w:t xml:space="preserve">a </w:t>
      </w:r>
      <w:r w:rsidR="00541713" w:rsidRPr="00DC306C">
        <w:rPr>
          <w:color w:val="000000"/>
          <w:szCs w:val="24"/>
        </w:rPr>
        <w:t xml:space="preserve">chronic back pain </w:t>
      </w:r>
      <w:r w:rsidR="00842BAA" w:rsidRPr="00DC306C">
        <w:rPr>
          <w:color w:val="000000"/>
          <w:szCs w:val="24"/>
        </w:rPr>
        <w:t xml:space="preserve">condition as unfitting, rated </w:t>
      </w:r>
      <w:r w:rsidR="00541713" w:rsidRPr="00DC306C">
        <w:rPr>
          <w:color w:val="000000"/>
          <w:szCs w:val="24"/>
        </w:rPr>
        <w:t>10</w:t>
      </w:r>
      <w:r w:rsidR="00842BAA" w:rsidRPr="00DC306C">
        <w:rPr>
          <w:color w:val="000000"/>
          <w:szCs w:val="24"/>
        </w:rPr>
        <w:t xml:space="preserve">% and </w:t>
      </w:r>
      <w:r w:rsidR="00541713" w:rsidRPr="00DC306C">
        <w:rPr>
          <w:color w:val="000000"/>
          <w:szCs w:val="24"/>
        </w:rPr>
        <w:t>10</w:t>
      </w:r>
      <w:r w:rsidR="00842BAA" w:rsidRPr="00DC306C">
        <w:rPr>
          <w:color w:val="000000"/>
          <w:szCs w:val="24"/>
        </w:rPr>
        <w:t>% respectively with application of the SECNAVINS</w:t>
      </w:r>
      <w:r w:rsidR="003D6D2C">
        <w:rPr>
          <w:color w:val="000000"/>
          <w:szCs w:val="24"/>
        </w:rPr>
        <w:t xml:space="preserve">T 1850.4E </w:t>
      </w:r>
      <w:r w:rsidR="00842BAA" w:rsidRPr="00DC306C">
        <w:rPr>
          <w:color w:val="000000"/>
          <w:szCs w:val="24"/>
        </w:rPr>
        <w:t>and Veterans Administration Schedule for Rating Disabilities (VASRD).</w:t>
      </w:r>
      <w:r w:rsidR="00DC306C">
        <w:rPr>
          <w:color w:val="000000"/>
          <w:szCs w:val="24"/>
        </w:rPr>
        <w:t xml:space="preserve"> </w:t>
      </w:r>
      <w:r w:rsidR="000150D3">
        <w:rPr>
          <w:color w:val="000000"/>
          <w:szCs w:val="24"/>
        </w:rPr>
        <w:t xml:space="preserve"> </w:t>
      </w:r>
      <w:r w:rsidR="00B20624" w:rsidRPr="001F29F9">
        <w:rPr>
          <w:color w:val="000000"/>
        </w:rPr>
        <w:t xml:space="preserve">The CI </w:t>
      </w:r>
      <w:r w:rsidR="00190E48" w:rsidRPr="001F29F9">
        <w:rPr>
          <w:color w:val="000000"/>
        </w:rPr>
        <w:t xml:space="preserve">made no appeals, </w:t>
      </w:r>
      <w:r w:rsidR="00B20624" w:rsidRPr="001F29F9">
        <w:rPr>
          <w:color w:val="000000"/>
        </w:rPr>
        <w:t xml:space="preserve">and was medically separated with a </w:t>
      </w:r>
      <w:r w:rsidR="00A20F4D">
        <w:rPr>
          <w:color w:val="000000"/>
        </w:rPr>
        <w:t>20</w:t>
      </w:r>
      <w:r w:rsidR="00B20624" w:rsidRPr="001F29F9">
        <w:rPr>
          <w:color w:val="000000"/>
        </w:rPr>
        <w:t>% combined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085D7B" w:rsidRPr="001F29F9" w:rsidRDefault="002C6E5B" w:rsidP="00BF0E94">
      <w:pPr>
        <w:tabs>
          <w:tab w:val="left" w:pos="288"/>
          <w:tab w:val="left" w:pos="4752"/>
        </w:tabs>
        <w:jc w:val="both"/>
        <w:rPr>
          <w:color w:val="000000"/>
        </w:rPr>
      </w:pPr>
      <w:r w:rsidRPr="001F29F9">
        <w:rPr>
          <w:color w:val="000000"/>
          <w:u w:val="single"/>
        </w:rPr>
        <w:t>CI CONTENTION</w:t>
      </w:r>
      <w:r w:rsidRPr="001F29F9">
        <w:rPr>
          <w:color w:val="000000"/>
        </w:rPr>
        <w:t>:</w:t>
      </w:r>
      <w:r w:rsidR="00A20F4D">
        <w:rPr>
          <w:color w:val="000000"/>
        </w:rPr>
        <w:t xml:space="preserve">  “</w:t>
      </w:r>
      <w:r w:rsidR="00A20F4D" w:rsidRPr="00A20F4D">
        <w:rPr>
          <w:color w:val="000000"/>
        </w:rPr>
        <w:t>I believe that I should be rated more for my major depres</w:t>
      </w:r>
      <w:r w:rsidR="00A20F4D">
        <w:rPr>
          <w:color w:val="000000"/>
        </w:rPr>
        <w:t>s</w:t>
      </w:r>
      <w:r w:rsidR="00A20F4D" w:rsidRPr="00A20F4D">
        <w:rPr>
          <w:color w:val="000000"/>
        </w:rPr>
        <w:t>ion which I am still suffering.</w:t>
      </w:r>
      <w:r w:rsidR="00A20F4D">
        <w:rPr>
          <w:color w:val="000000"/>
        </w:rPr>
        <w:t>”</w:t>
      </w:r>
    </w:p>
    <w:p w:rsidR="004174F0" w:rsidRPr="001F29F9" w:rsidRDefault="004174F0" w:rsidP="00BF0E94">
      <w:pPr>
        <w:pBdr>
          <w:bottom w:val="single" w:sz="12" w:space="1" w:color="auto"/>
        </w:pBdr>
        <w:tabs>
          <w:tab w:val="left" w:pos="288"/>
          <w:tab w:val="left" w:pos="4752"/>
        </w:tabs>
        <w:jc w:val="both"/>
        <w:rPr>
          <w:color w:val="000000"/>
        </w:rPr>
      </w:pPr>
    </w:p>
    <w:p w:rsidR="006806DC" w:rsidRDefault="006806DC" w:rsidP="00BF0E94">
      <w:pPr>
        <w:jc w:val="left"/>
        <w:rPr>
          <w:color w:val="000000"/>
          <w:u w:val="single"/>
        </w:rPr>
      </w:pPr>
    </w:p>
    <w:p w:rsidR="001537D8" w:rsidRPr="001F29F9" w:rsidRDefault="007F0AB7" w:rsidP="00BF0E94">
      <w:pPr>
        <w:jc w:val="left"/>
        <w:rPr>
          <w:color w:val="000000"/>
        </w:rPr>
      </w:pPr>
      <w:r w:rsidRPr="001F29F9">
        <w:rPr>
          <w:color w:val="000000"/>
          <w:u w:val="single"/>
        </w:rPr>
        <w:t>R</w:t>
      </w:r>
      <w:r w:rsidR="002C6E5B" w:rsidRPr="001F29F9">
        <w:rPr>
          <w:color w:val="000000"/>
          <w:u w:val="single"/>
        </w:rPr>
        <w:t>ATING COMPARISON</w:t>
      </w:r>
      <w:r w:rsidR="002C6E5B" w:rsidRPr="001F29F9">
        <w:rPr>
          <w:color w:val="000000"/>
        </w:rPr>
        <w:t>:</w:t>
      </w:r>
    </w:p>
    <w:p w:rsidR="002151AB" w:rsidRPr="001F29F9" w:rsidRDefault="002151AB" w:rsidP="00BF0E94">
      <w:pPr>
        <w:rPr>
          <w:color w:val="000000"/>
        </w:rPr>
      </w:pPr>
    </w:p>
    <w:tbl>
      <w:tblPr>
        <w:tblpPr w:leftFromText="187" w:rightFromText="187"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1080"/>
        <w:gridCol w:w="900"/>
        <w:gridCol w:w="2970"/>
        <w:gridCol w:w="1080"/>
        <w:gridCol w:w="717"/>
        <w:gridCol w:w="993"/>
      </w:tblGrid>
      <w:tr w:rsidR="002B4E22" w:rsidRPr="006C288F" w:rsidTr="000150D3">
        <w:trPr>
          <w:trHeight w:val="233"/>
        </w:trPr>
        <w:tc>
          <w:tcPr>
            <w:tcW w:w="3618" w:type="dxa"/>
            <w:gridSpan w:val="3"/>
            <w:tcBorders>
              <w:right w:val="thinThickThinSmallGap" w:sz="24" w:space="0" w:color="auto"/>
            </w:tcBorders>
            <w:shd w:val="clear" w:color="auto" w:fill="D9D9D9"/>
            <w:vAlign w:val="center"/>
          </w:tcPr>
          <w:p w:rsidR="002B4E22" w:rsidRPr="006C288F" w:rsidRDefault="00B731E4" w:rsidP="00D80F17">
            <w:pPr>
              <w:contextualSpacing/>
              <w:rPr>
                <w:rFonts w:eastAsia="Calibri"/>
                <w:b/>
                <w:color w:val="000000"/>
                <w:sz w:val="18"/>
                <w:szCs w:val="18"/>
              </w:rPr>
            </w:pPr>
            <w:r w:rsidRPr="006C288F">
              <w:rPr>
                <w:rFonts w:eastAsia="Calibri"/>
                <w:b/>
                <w:color w:val="000000"/>
                <w:sz w:val="18"/>
                <w:szCs w:val="18"/>
              </w:rPr>
              <w:t>Service PEB – Dated 200</w:t>
            </w:r>
            <w:r w:rsidR="00B20F57">
              <w:rPr>
                <w:rFonts w:eastAsia="Calibri"/>
                <w:b/>
                <w:color w:val="000000"/>
                <w:sz w:val="18"/>
                <w:szCs w:val="18"/>
              </w:rPr>
              <w:t>10914</w:t>
            </w:r>
          </w:p>
        </w:tc>
        <w:tc>
          <w:tcPr>
            <w:tcW w:w="5760" w:type="dxa"/>
            <w:gridSpan w:val="4"/>
            <w:tcBorders>
              <w:left w:val="thinThickThinSmallGap" w:sz="24" w:space="0" w:color="auto"/>
            </w:tcBorders>
            <w:shd w:val="clear" w:color="auto" w:fill="D9D9D9"/>
            <w:vAlign w:val="center"/>
          </w:tcPr>
          <w:p w:rsidR="002B4E22" w:rsidRPr="006C288F" w:rsidRDefault="002B4E22" w:rsidP="000150D3">
            <w:pPr>
              <w:contextualSpacing/>
              <w:rPr>
                <w:rFonts w:eastAsia="Calibri"/>
                <w:b/>
                <w:color w:val="000000"/>
                <w:sz w:val="18"/>
                <w:szCs w:val="18"/>
              </w:rPr>
            </w:pPr>
            <w:r w:rsidRPr="006C288F">
              <w:rPr>
                <w:rFonts w:eastAsia="Calibri"/>
                <w:b/>
                <w:color w:val="000000"/>
                <w:sz w:val="18"/>
                <w:szCs w:val="18"/>
              </w:rPr>
              <w:t>VA (</w:t>
            </w:r>
            <w:r w:rsidR="005A7377">
              <w:rPr>
                <w:rFonts w:eastAsia="Calibri"/>
                <w:b/>
                <w:color w:val="000000"/>
                <w:sz w:val="18"/>
                <w:szCs w:val="18"/>
              </w:rPr>
              <w:t>~</w:t>
            </w:r>
            <w:r w:rsidR="000150D3">
              <w:rPr>
                <w:rFonts w:eastAsia="Calibri"/>
                <w:b/>
                <w:color w:val="000000"/>
                <w:sz w:val="18"/>
                <w:szCs w:val="18"/>
              </w:rPr>
              <w:t>2</w:t>
            </w:r>
            <w:r w:rsidR="0079154B" w:rsidRPr="006C288F">
              <w:rPr>
                <w:rFonts w:eastAsia="Calibri"/>
                <w:b/>
                <w:color w:val="000000"/>
                <w:sz w:val="18"/>
                <w:szCs w:val="18"/>
              </w:rPr>
              <w:t xml:space="preserve"> </w:t>
            </w:r>
            <w:r w:rsidRPr="006C288F">
              <w:rPr>
                <w:rFonts w:eastAsia="Calibri"/>
                <w:b/>
                <w:color w:val="000000"/>
                <w:sz w:val="18"/>
                <w:szCs w:val="18"/>
              </w:rPr>
              <w:t>Mo</w:t>
            </w:r>
            <w:r w:rsidRPr="005A7377">
              <w:rPr>
                <w:rFonts w:eastAsia="Calibri"/>
                <w:b/>
                <w:color w:val="000000"/>
                <w:sz w:val="18"/>
                <w:szCs w:val="18"/>
              </w:rPr>
              <w:t xml:space="preserve">. </w:t>
            </w:r>
            <w:r w:rsidR="000150D3">
              <w:rPr>
                <w:rFonts w:eastAsia="Calibri"/>
                <w:b/>
                <w:color w:val="000000"/>
                <w:sz w:val="18"/>
                <w:szCs w:val="18"/>
              </w:rPr>
              <w:t>Before</w:t>
            </w:r>
            <w:r w:rsidRPr="006C288F">
              <w:rPr>
                <w:rFonts w:eastAsia="Calibri"/>
                <w:b/>
                <w:color w:val="000000"/>
                <w:sz w:val="18"/>
                <w:szCs w:val="18"/>
              </w:rPr>
              <w:t xml:space="preserve"> Separation) – All Effective Date </w:t>
            </w:r>
            <w:r w:rsidR="00B27710">
              <w:rPr>
                <w:color w:val="auto"/>
                <w:szCs w:val="24"/>
              </w:rPr>
              <w:t xml:space="preserve"> </w:t>
            </w:r>
            <w:r w:rsidR="00B27710">
              <w:rPr>
                <w:color w:val="auto"/>
                <w:sz w:val="18"/>
                <w:szCs w:val="24"/>
              </w:rPr>
              <w:t>200</w:t>
            </w:r>
            <w:r w:rsidR="000150D3">
              <w:rPr>
                <w:color w:val="auto"/>
                <w:sz w:val="18"/>
                <w:szCs w:val="24"/>
              </w:rPr>
              <w:t>11101</w:t>
            </w:r>
          </w:p>
        </w:tc>
      </w:tr>
      <w:tr w:rsidR="000150D3" w:rsidRPr="006C288F" w:rsidTr="000150D3">
        <w:trPr>
          <w:trHeight w:val="278"/>
        </w:trPr>
        <w:tc>
          <w:tcPr>
            <w:tcW w:w="1638" w:type="dxa"/>
            <w:tcBorders>
              <w:bottom w:val="single" w:sz="4" w:space="0" w:color="000000"/>
              <w:right w:val="single" w:sz="4" w:space="0" w:color="auto"/>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Rating</w:t>
            </w:r>
          </w:p>
        </w:tc>
        <w:tc>
          <w:tcPr>
            <w:tcW w:w="2970" w:type="dxa"/>
            <w:tcBorders>
              <w:left w:val="thinThickThinSmallGap" w:sz="24" w:space="0" w:color="auto"/>
              <w:bottom w:val="single" w:sz="4" w:space="0" w:color="000000"/>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Condition</w:t>
            </w:r>
          </w:p>
        </w:tc>
        <w:tc>
          <w:tcPr>
            <w:tcW w:w="1080" w:type="dxa"/>
            <w:tcBorders>
              <w:bottom w:val="single" w:sz="4" w:space="0" w:color="000000"/>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Code</w:t>
            </w:r>
          </w:p>
        </w:tc>
        <w:tc>
          <w:tcPr>
            <w:tcW w:w="717" w:type="dxa"/>
            <w:tcBorders>
              <w:bottom w:val="single" w:sz="4" w:space="0" w:color="000000"/>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Rating</w:t>
            </w:r>
          </w:p>
        </w:tc>
        <w:tc>
          <w:tcPr>
            <w:tcW w:w="993" w:type="dxa"/>
            <w:tcBorders>
              <w:bottom w:val="single" w:sz="4" w:space="0" w:color="000000"/>
            </w:tcBorders>
            <w:shd w:val="clear" w:color="auto" w:fill="D9D9D9"/>
            <w:vAlign w:val="center"/>
          </w:tcPr>
          <w:p w:rsidR="002B4E22" w:rsidRPr="006C288F" w:rsidRDefault="002B4E22" w:rsidP="00D80F17">
            <w:pPr>
              <w:contextualSpacing/>
              <w:rPr>
                <w:rFonts w:eastAsia="Calibri"/>
                <w:b/>
                <w:color w:val="000000"/>
                <w:sz w:val="18"/>
                <w:szCs w:val="18"/>
              </w:rPr>
            </w:pPr>
            <w:r w:rsidRPr="006C288F">
              <w:rPr>
                <w:rFonts w:eastAsia="Calibri"/>
                <w:b/>
                <w:color w:val="000000"/>
                <w:sz w:val="18"/>
                <w:szCs w:val="18"/>
              </w:rPr>
              <w:t>Exam</w:t>
            </w:r>
          </w:p>
        </w:tc>
      </w:tr>
      <w:tr w:rsidR="000150D3" w:rsidRPr="006C288F" w:rsidTr="000150D3">
        <w:trPr>
          <w:trHeight w:val="287"/>
        </w:trPr>
        <w:tc>
          <w:tcPr>
            <w:tcW w:w="1638" w:type="dxa"/>
            <w:tcBorders>
              <w:right w:val="single" w:sz="4" w:space="0" w:color="auto"/>
            </w:tcBorders>
            <w:shd w:val="clear" w:color="auto" w:fill="FFFFFF"/>
            <w:vAlign w:val="center"/>
          </w:tcPr>
          <w:p w:rsidR="00BC5860" w:rsidRPr="006C288F" w:rsidRDefault="00B20F57" w:rsidP="009D517C">
            <w:pPr>
              <w:spacing w:line="180" w:lineRule="exact"/>
              <w:contextualSpacing/>
              <w:rPr>
                <w:color w:val="000000"/>
                <w:sz w:val="18"/>
                <w:szCs w:val="18"/>
              </w:rPr>
            </w:pPr>
            <w:r w:rsidRPr="00B20F57">
              <w:rPr>
                <w:rFonts w:eastAsia="Calibri"/>
                <w:color w:val="000000"/>
                <w:sz w:val="18"/>
                <w:szCs w:val="18"/>
              </w:rPr>
              <w:t xml:space="preserve">Major </w:t>
            </w:r>
            <w:r>
              <w:rPr>
                <w:rFonts w:eastAsia="Calibri"/>
                <w:color w:val="000000"/>
                <w:sz w:val="18"/>
                <w:szCs w:val="18"/>
              </w:rPr>
              <w:t>Depressive Disorder</w:t>
            </w:r>
          </w:p>
        </w:tc>
        <w:tc>
          <w:tcPr>
            <w:tcW w:w="1080" w:type="dxa"/>
            <w:tcBorders>
              <w:left w:val="single" w:sz="4" w:space="0" w:color="auto"/>
            </w:tcBorders>
            <w:shd w:val="clear" w:color="auto" w:fill="FFFFFF"/>
            <w:vAlign w:val="center"/>
          </w:tcPr>
          <w:p w:rsidR="00BC5860" w:rsidRPr="006C288F" w:rsidRDefault="00B20F57" w:rsidP="009D517C">
            <w:pPr>
              <w:spacing w:line="180" w:lineRule="exact"/>
              <w:contextualSpacing/>
              <w:rPr>
                <w:color w:val="000000"/>
                <w:sz w:val="18"/>
                <w:szCs w:val="18"/>
              </w:rPr>
            </w:pPr>
            <w:r>
              <w:rPr>
                <w:rFonts w:eastAsia="Calibri"/>
                <w:color w:val="000000"/>
                <w:sz w:val="18"/>
                <w:szCs w:val="18"/>
              </w:rPr>
              <w:t>9434</w:t>
            </w:r>
          </w:p>
        </w:tc>
        <w:tc>
          <w:tcPr>
            <w:tcW w:w="900" w:type="dxa"/>
            <w:tcBorders>
              <w:right w:val="thinThickThinSmallGap" w:sz="24" w:space="0" w:color="auto"/>
            </w:tcBorders>
            <w:shd w:val="clear" w:color="auto" w:fill="FFFFFF"/>
            <w:vAlign w:val="center"/>
          </w:tcPr>
          <w:p w:rsidR="00BC5860" w:rsidRPr="006C288F" w:rsidRDefault="00B20F57" w:rsidP="009D517C">
            <w:pPr>
              <w:spacing w:line="180" w:lineRule="exact"/>
              <w:rPr>
                <w:color w:val="000000"/>
                <w:sz w:val="18"/>
                <w:szCs w:val="18"/>
              </w:rPr>
            </w:pPr>
            <w:r>
              <w:rPr>
                <w:rFonts w:eastAsia="Calibri"/>
                <w:color w:val="000000"/>
                <w:sz w:val="18"/>
                <w:szCs w:val="18"/>
              </w:rPr>
              <w:t>10</w:t>
            </w:r>
            <w:r w:rsidR="00C03C21" w:rsidRPr="006C288F">
              <w:rPr>
                <w:rFonts w:eastAsia="Calibri"/>
                <w:color w:val="000000"/>
                <w:sz w:val="18"/>
                <w:szCs w:val="18"/>
              </w:rPr>
              <w:t>%</w:t>
            </w:r>
          </w:p>
        </w:tc>
        <w:tc>
          <w:tcPr>
            <w:tcW w:w="2970" w:type="dxa"/>
            <w:tcBorders>
              <w:left w:val="thinThickThinSmallGap" w:sz="24" w:space="0" w:color="auto"/>
            </w:tcBorders>
            <w:shd w:val="clear" w:color="auto" w:fill="FFFFFF"/>
            <w:vAlign w:val="center"/>
          </w:tcPr>
          <w:p w:rsidR="00BC5860" w:rsidRPr="006C288F" w:rsidRDefault="00C85F87" w:rsidP="00D80F17">
            <w:pPr>
              <w:spacing w:line="180" w:lineRule="exact"/>
              <w:contextualSpacing/>
              <w:jc w:val="left"/>
              <w:rPr>
                <w:color w:val="000000"/>
                <w:sz w:val="18"/>
                <w:szCs w:val="18"/>
              </w:rPr>
            </w:pPr>
            <w:r>
              <w:rPr>
                <w:rFonts w:eastAsia="Calibri"/>
                <w:color w:val="000000"/>
                <w:sz w:val="18"/>
                <w:szCs w:val="18"/>
              </w:rPr>
              <w:t>Major Depression w</w:t>
            </w:r>
            <w:r w:rsidR="003078D1" w:rsidRPr="003078D1">
              <w:rPr>
                <w:rFonts w:eastAsia="Calibri"/>
                <w:color w:val="000000"/>
                <w:sz w:val="18"/>
                <w:szCs w:val="18"/>
              </w:rPr>
              <w:t xml:space="preserve">ith Psychotic Features </w:t>
            </w:r>
          </w:p>
        </w:tc>
        <w:tc>
          <w:tcPr>
            <w:tcW w:w="1080" w:type="dxa"/>
            <w:shd w:val="clear" w:color="auto" w:fill="FFFFFF"/>
            <w:vAlign w:val="center"/>
          </w:tcPr>
          <w:p w:rsidR="00BC5860" w:rsidRPr="006C288F" w:rsidRDefault="003078D1" w:rsidP="00D80F17">
            <w:pPr>
              <w:spacing w:line="180" w:lineRule="exact"/>
              <w:contextualSpacing/>
              <w:rPr>
                <w:color w:val="000000"/>
                <w:sz w:val="18"/>
                <w:szCs w:val="18"/>
              </w:rPr>
            </w:pPr>
            <w:r>
              <w:rPr>
                <w:rFonts w:eastAsia="Calibri"/>
                <w:color w:val="000000"/>
                <w:sz w:val="18"/>
                <w:szCs w:val="18"/>
              </w:rPr>
              <w:t>9434</w:t>
            </w:r>
          </w:p>
        </w:tc>
        <w:tc>
          <w:tcPr>
            <w:tcW w:w="717" w:type="dxa"/>
            <w:shd w:val="clear" w:color="auto" w:fill="FFFFFF"/>
            <w:vAlign w:val="center"/>
          </w:tcPr>
          <w:p w:rsidR="00BC5860" w:rsidRPr="006C288F" w:rsidRDefault="00C85F87" w:rsidP="00D80F17">
            <w:pPr>
              <w:spacing w:line="180" w:lineRule="exact"/>
              <w:contextualSpacing/>
              <w:rPr>
                <w:color w:val="000000"/>
                <w:sz w:val="18"/>
                <w:szCs w:val="18"/>
              </w:rPr>
            </w:pPr>
            <w:r>
              <w:rPr>
                <w:rFonts w:eastAsia="Calibri"/>
                <w:color w:val="000000"/>
                <w:sz w:val="18"/>
                <w:szCs w:val="18"/>
              </w:rPr>
              <w:t>70</w:t>
            </w:r>
            <w:r w:rsidR="00C03C21" w:rsidRPr="006C288F">
              <w:rPr>
                <w:rFonts w:eastAsia="Calibri"/>
                <w:color w:val="000000"/>
                <w:sz w:val="18"/>
                <w:szCs w:val="18"/>
              </w:rPr>
              <w:t>%</w:t>
            </w:r>
          </w:p>
        </w:tc>
        <w:tc>
          <w:tcPr>
            <w:tcW w:w="993" w:type="dxa"/>
            <w:shd w:val="clear" w:color="auto" w:fill="FFFFFF"/>
            <w:vAlign w:val="center"/>
          </w:tcPr>
          <w:p w:rsidR="00BC5860" w:rsidRPr="006C288F" w:rsidRDefault="005A7377" w:rsidP="00D80F17">
            <w:pPr>
              <w:spacing w:line="180" w:lineRule="exact"/>
              <w:contextualSpacing/>
              <w:rPr>
                <w:color w:val="000000"/>
                <w:sz w:val="18"/>
                <w:szCs w:val="18"/>
              </w:rPr>
            </w:pPr>
            <w:r w:rsidRPr="006C288F">
              <w:rPr>
                <w:rFonts w:eastAsia="Calibri"/>
                <w:color w:val="000000"/>
                <w:sz w:val="18"/>
                <w:szCs w:val="18"/>
              </w:rPr>
              <w:t>200</w:t>
            </w:r>
            <w:r>
              <w:rPr>
                <w:rFonts w:eastAsia="Calibri"/>
                <w:color w:val="000000"/>
                <w:sz w:val="18"/>
                <w:szCs w:val="18"/>
              </w:rPr>
              <w:t>10830</w:t>
            </w:r>
          </w:p>
        </w:tc>
      </w:tr>
      <w:tr w:rsidR="000150D3" w:rsidRPr="006C288F" w:rsidTr="000150D3">
        <w:trPr>
          <w:trHeight w:val="287"/>
        </w:trPr>
        <w:tc>
          <w:tcPr>
            <w:tcW w:w="1638" w:type="dxa"/>
            <w:tcBorders>
              <w:right w:val="single" w:sz="4" w:space="0" w:color="auto"/>
            </w:tcBorders>
            <w:shd w:val="clear" w:color="auto" w:fill="FFFFFF"/>
            <w:vAlign w:val="center"/>
          </w:tcPr>
          <w:p w:rsidR="009B4C12" w:rsidRPr="006C288F" w:rsidRDefault="009B4C12" w:rsidP="009D517C">
            <w:pPr>
              <w:spacing w:line="180" w:lineRule="exact"/>
              <w:contextualSpacing/>
              <w:rPr>
                <w:color w:val="000000"/>
                <w:sz w:val="18"/>
                <w:szCs w:val="18"/>
              </w:rPr>
            </w:pPr>
            <w:r w:rsidRPr="00B20F57">
              <w:rPr>
                <w:rFonts w:eastAsia="Calibri"/>
                <w:color w:val="000000"/>
                <w:sz w:val="18"/>
                <w:szCs w:val="18"/>
              </w:rPr>
              <w:t>Chronic Back Pain</w:t>
            </w:r>
          </w:p>
        </w:tc>
        <w:tc>
          <w:tcPr>
            <w:tcW w:w="1080" w:type="dxa"/>
            <w:tcBorders>
              <w:right w:val="single" w:sz="4" w:space="0" w:color="auto"/>
            </w:tcBorders>
            <w:shd w:val="clear" w:color="auto" w:fill="FFFFFF"/>
            <w:vAlign w:val="center"/>
          </w:tcPr>
          <w:p w:rsidR="009B4C12" w:rsidRPr="006C288F" w:rsidRDefault="009B4C12" w:rsidP="009D517C">
            <w:pPr>
              <w:spacing w:line="180" w:lineRule="exact"/>
              <w:ind w:left="7"/>
              <w:contextualSpacing/>
              <w:rPr>
                <w:color w:val="000000"/>
                <w:sz w:val="18"/>
                <w:szCs w:val="18"/>
              </w:rPr>
            </w:pPr>
            <w:r>
              <w:rPr>
                <w:rFonts w:eastAsia="Calibri"/>
                <w:color w:val="000000"/>
                <w:sz w:val="18"/>
                <w:szCs w:val="18"/>
              </w:rPr>
              <w:t>5299-5295</w:t>
            </w:r>
          </w:p>
        </w:tc>
        <w:tc>
          <w:tcPr>
            <w:tcW w:w="900" w:type="dxa"/>
            <w:tcBorders>
              <w:left w:val="single" w:sz="4" w:space="0" w:color="auto"/>
              <w:right w:val="thinThickThinSmallGap" w:sz="24" w:space="0" w:color="auto"/>
            </w:tcBorders>
            <w:shd w:val="clear" w:color="auto" w:fill="FFFFFF"/>
            <w:vAlign w:val="center"/>
          </w:tcPr>
          <w:p w:rsidR="009B4C12" w:rsidRPr="006C288F" w:rsidRDefault="000150D3" w:rsidP="000150D3">
            <w:pPr>
              <w:spacing w:line="180" w:lineRule="exact"/>
              <w:contextualSpacing/>
              <w:rPr>
                <w:color w:val="000000"/>
                <w:sz w:val="18"/>
                <w:szCs w:val="18"/>
              </w:rPr>
            </w:pPr>
            <w:r>
              <w:rPr>
                <w:color w:val="000000"/>
                <w:sz w:val="18"/>
                <w:szCs w:val="18"/>
              </w:rPr>
              <w:t>10%</w:t>
            </w:r>
          </w:p>
        </w:tc>
        <w:tc>
          <w:tcPr>
            <w:tcW w:w="2970" w:type="dxa"/>
            <w:tcBorders>
              <w:left w:val="thinThickThinSmallGap" w:sz="24" w:space="0" w:color="auto"/>
              <w:right w:val="single" w:sz="4" w:space="0" w:color="auto"/>
            </w:tcBorders>
            <w:shd w:val="clear" w:color="auto" w:fill="FFFFFF"/>
            <w:vAlign w:val="center"/>
          </w:tcPr>
          <w:p w:rsidR="009B4C12" w:rsidRPr="006C288F" w:rsidRDefault="009B4C12" w:rsidP="000150D3">
            <w:pPr>
              <w:spacing w:line="180" w:lineRule="exact"/>
              <w:contextualSpacing/>
              <w:jc w:val="left"/>
              <w:rPr>
                <w:color w:val="000000"/>
                <w:sz w:val="18"/>
                <w:szCs w:val="18"/>
              </w:rPr>
            </w:pPr>
            <w:r>
              <w:rPr>
                <w:rFonts w:eastAsia="Calibri"/>
                <w:color w:val="000000"/>
                <w:sz w:val="18"/>
                <w:szCs w:val="18"/>
              </w:rPr>
              <w:t>Degenerati</w:t>
            </w:r>
            <w:r w:rsidRPr="003078D1">
              <w:rPr>
                <w:rFonts w:eastAsia="Calibri"/>
                <w:color w:val="000000"/>
                <w:sz w:val="18"/>
                <w:szCs w:val="18"/>
              </w:rPr>
              <w:t xml:space="preserve">ve Changes, Lumbosacral Spine, </w:t>
            </w:r>
            <w:r w:rsidR="000150D3">
              <w:rPr>
                <w:rFonts w:eastAsia="Calibri"/>
                <w:color w:val="000000"/>
                <w:sz w:val="18"/>
                <w:szCs w:val="18"/>
              </w:rPr>
              <w:t xml:space="preserve">s/p </w:t>
            </w:r>
            <w:r w:rsidRPr="003078D1">
              <w:rPr>
                <w:rFonts w:eastAsia="Calibri"/>
                <w:color w:val="000000"/>
                <w:sz w:val="18"/>
                <w:szCs w:val="18"/>
              </w:rPr>
              <w:t>Lumbar</w:t>
            </w:r>
            <w:r w:rsidR="000150D3">
              <w:rPr>
                <w:rFonts w:eastAsia="Calibri"/>
                <w:color w:val="000000"/>
                <w:sz w:val="18"/>
                <w:szCs w:val="18"/>
              </w:rPr>
              <w:t xml:space="preserve"> </w:t>
            </w:r>
            <w:r w:rsidRPr="003078D1">
              <w:rPr>
                <w:rFonts w:eastAsia="Calibri"/>
                <w:color w:val="000000"/>
                <w:sz w:val="18"/>
                <w:szCs w:val="18"/>
              </w:rPr>
              <w:t>Laminectomy</w:t>
            </w:r>
            <w:r w:rsidR="000150D3">
              <w:rPr>
                <w:rFonts w:eastAsia="Calibri"/>
                <w:color w:val="000000"/>
                <w:sz w:val="18"/>
                <w:szCs w:val="18"/>
              </w:rPr>
              <w:t xml:space="preserve"> </w:t>
            </w:r>
            <w:r w:rsidR="00827812">
              <w:rPr>
                <w:rFonts w:eastAsia="Calibri"/>
                <w:color w:val="000000"/>
                <w:sz w:val="18"/>
                <w:szCs w:val="18"/>
              </w:rPr>
              <w:t>/</w:t>
            </w:r>
            <w:r w:rsidR="000150D3">
              <w:rPr>
                <w:rFonts w:eastAsia="Calibri"/>
                <w:color w:val="000000"/>
                <w:sz w:val="18"/>
                <w:szCs w:val="18"/>
              </w:rPr>
              <w:t xml:space="preserve"> </w:t>
            </w:r>
            <w:r w:rsidR="00827812">
              <w:rPr>
                <w:rFonts w:eastAsia="Calibri"/>
                <w:color w:val="000000"/>
                <w:sz w:val="18"/>
                <w:szCs w:val="18"/>
              </w:rPr>
              <w:t>Disc</w:t>
            </w:r>
            <w:r>
              <w:rPr>
                <w:rFonts w:eastAsia="Calibri"/>
                <w:color w:val="000000"/>
                <w:sz w:val="18"/>
                <w:szCs w:val="18"/>
              </w:rPr>
              <w:t>ectomy w</w:t>
            </w:r>
            <w:r w:rsidRPr="003078D1">
              <w:rPr>
                <w:rFonts w:eastAsia="Calibri"/>
                <w:color w:val="000000"/>
                <w:sz w:val="18"/>
                <w:szCs w:val="18"/>
              </w:rPr>
              <w:t xml:space="preserve">ith Residuals </w:t>
            </w:r>
          </w:p>
        </w:tc>
        <w:tc>
          <w:tcPr>
            <w:tcW w:w="1080" w:type="dxa"/>
            <w:tcBorders>
              <w:left w:val="single" w:sz="4" w:space="0" w:color="auto"/>
            </w:tcBorders>
            <w:shd w:val="clear" w:color="auto" w:fill="FFFFFF"/>
            <w:vAlign w:val="center"/>
          </w:tcPr>
          <w:p w:rsidR="009B4C12" w:rsidRPr="006C288F" w:rsidRDefault="009B4C12" w:rsidP="00D80F17">
            <w:pPr>
              <w:spacing w:line="180" w:lineRule="exact"/>
              <w:contextualSpacing/>
              <w:rPr>
                <w:color w:val="000000"/>
                <w:sz w:val="18"/>
                <w:szCs w:val="18"/>
              </w:rPr>
            </w:pPr>
            <w:r w:rsidRPr="003078D1">
              <w:rPr>
                <w:rFonts w:eastAsia="Calibri"/>
                <w:color w:val="000000"/>
                <w:sz w:val="18"/>
                <w:szCs w:val="18"/>
              </w:rPr>
              <w:t>5010-5293</w:t>
            </w:r>
          </w:p>
        </w:tc>
        <w:tc>
          <w:tcPr>
            <w:tcW w:w="717" w:type="dxa"/>
            <w:shd w:val="clear" w:color="auto" w:fill="FFFFFF"/>
            <w:vAlign w:val="center"/>
          </w:tcPr>
          <w:p w:rsidR="009B4C12" w:rsidRPr="006C288F" w:rsidRDefault="009B4C12" w:rsidP="00D80F17">
            <w:pPr>
              <w:spacing w:line="180" w:lineRule="exact"/>
              <w:contextualSpacing/>
              <w:rPr>
                <w:color w:val="000000"/>
                <w:sz w:val="18"/>
                <w:szCs w:val="18"/>
              </w:rPr>
            </w:pPr>
            <w:r>
              <w:rPr>
                <w:rFonts w:eastAsia="Calibri"/>
                <w:color w:val="000000"/>
                <w:sz w:val="18"/>
                <w:szCs w:val="18"/>
              </w:rPr>
              <w:t>40</w:t>
            </w:r>
            <w:r w:rsidRPr="006C288F">
              <w:rPr>
                <w:rFonts w:eastAsia="Calibri"/>
                <w:color w:val="000000"/>
                <w:sz w:val="18"/>
                <w:szCs w:val="18"/>
              </w:rPr>
              <w:t>%</w:t>
            </w:r>
          </w:p>
        </w:tc>
        <w:tc>
          <w:tcPr>
            <w:tcW w:w="993" w:type="dxa"/>
            <w:shd w:val="clear" w:color="auto" w:fill="FFFFFF"/>
            <w:vAlign w:val="center"/>
          </w:tcPr>
          <w:p w:rsidR="009B4C12" w:rsidRPr="006C288F" w:rsidRDefault="005A7377" w:rsidP="00D80F17">
            <w:pPr>
              <w:spacing w:line="180" w:lineRule="exact"/>
              <w:contextualSpacing/>
              <w:rPr>
                <w:color w:val="000000"/>
                <w:sz w:val="18"/>
                <w:szCs w:val="18"/>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287"/>
        </w:trPr>
        <w:tc>
          <w:tcPr>
            <w:tcW w:w="3618" w:type="dxa"/>
            <w:gridSpan w:val="3"/>
            <w:vMerge w:val="restart"/>
            <w:tcBorders>
              <w:right w:val="thinThickThinSmallGap" w:sz="24" w:space="0" w:color="auto"/>
            </w:tcBorders>
            <w:shd w:val="clear" w:color="auto" w:fill="FFFFFF"/>
            <w:vAlign w:val="center"/>
          </w:tcPr>
          <w:p w:rsidR="004C06B7" w:rsidRDefault="004C06B7" w:rsidP="00857368">
            <w:pPr>
              <w:spacing w:line="180" w:lineRule="exact"/>
              <w:contextualSpacing/>
              <w:rPr>
                <w:rFonts w:eastAsia="Calibri"/>
                <w:color w:val="000000"/>
                <w:sz w:val="18"/>
                <w:szCs w:val="18"/>
              </w:rPr>
            </w:pPr>
            <w:r w:rsidRPr="006C288F">
              <w:rPr>
                <w:rFonts w:eastAsia="Calibri"/>
                <w:color w:val="000000"/>
                <w:sz w:val="18"/>
                <w:szCs w:val="18"/>
              </w:rPr>
              <w:t>↓No Additional MEB/PEB Entries↓</w:t>
            </w:r>
          </w:p>
          <w:p w:rsidR="004C06B7" w:rsidRDefault="004C06B7" w:rsidP="00857368">
            <w:pPr>
              <w:spacing w:line="180" w:lineRule="exact"/>
              <w:contextualSpacing/>
              <w:rPr>
                <w:rFonts w:eastAsia="Calibri"/>
                <w:color w:val="000000"/>
                <w:sz w:val="18"/>
                <w:szCs w:val="18"/>
              </w:rPr>
            </w:pPr>
          </w:p>
          <w:p w:rsidR="004C06B7" w:rsidRDefault="004C06B7" w:rsidP="00284FFD">
            <w:pPr>
              <w:spacing w:line="180" w:lineRule="exact"/>
              <w:contextualSpacing/>
              <w:rPr>
                <w:rFonts w:eastAsia="Calibri"/>
                <w:color w:val="000000"/>
                <w:sz w:val="18"/>
                <w:szCs w:val="18"/>
              </w:rPr>
            </w:pPr>
          </w:p>
        </w:tc>
        <w:tc>
          <w:tcPr>
            <w:tcW w:w="2970" w:type="dxa"/>
            <w:tcBorders>
              <w:left w:val="thinThickThinSmallGap" w:sz="24" w:space="0" w:color="auto"/>
              <w:right w:val="single" w:sz="4" w:space="0" w:color="auto"/>
            </w:tcBorders>
            <w:shd w:val="clear" w:color="auto" w:fill="FFFFFF"/>
            <w:vAlign w:val="center"/>
          </w:tcPr>
          <w:p w:rsidR="004C06B7" w:rsidRPr="006C288F" w:rsidRDefault="004C06B7" w:rsidP="00857368">
            <w:pPr>
              <w:spacing w:line="180" w:lineRule="exact"/>
              <w:contextualSpacing/>
              <w:jc w:val="left"/>
              <w:rPr>
                <w:color w:val="000000"/>
                <w:sz w:val="18"/>
                <w:szCs w:val="18"/>
              </w:rPr>
            </w:pPr>
            <w:r>
              <w:rPr>
                <w:color w:val="000000"/>
                <w:sz w:val="18"/>
                <w:szCs w:val="18"/>
              </w:rPr>
              <w:t xml:space="preserve">Cervical Spine Sprain </w:t>
            </w:r>
          </w:p>
        </w:tc>
        <w:tc>
          <w:tcPr>
            <w:tcW w:w="1080" w:type="dxa"/>
            <w:tcBorders>
              <w:left w:val="single" w:sz="4" w:space="0" w:color="auto"/>
            </w:tcBorders>
            <w:shd w:val="clear" w:color="auto" w:fill="FFFFFF"/>
            <w:vAlign w:val="center"/>
          </w:tcPr>
          <w:p w:rsidR="004C06B7" w:rsidRPr="006C288F" w:rsidRDefault="004C06B7" w:rsidP="00857368">
            <w:pPr>
              <w:spacing w:line="180" w:lineRule="exact"/>
              <w:contextualSpacing/>
              <w:rPr>
                <w:color w:val="000000"/>
                <w:sz w:val="18"/>
                <w:szCs w:val="18"/>
              </w:rPr>
            </w:pPr>
            <w:r w:rsidRPr="009B4C12">
              <w:rPr>
                <w:color w:val="000000"/>
                <w:sz w:val="18"/>
                <w:szCs w:val="18"/>
              </w:rPr>
              <w:t>5290</w:t>
            </w:r>
          </w:p>
        </w:tc>
        <w:tc>
          <w:tcPr>
            <w:tcW w:w="717" w:type="dxa"/>
            <w:shd w:val="clear" w:color="auto" w:fill="FFFFFF"/>
            <w:vAlign w:val="center"/>
          </w:tcPr>
          <w:p w:rsidR="004C06B7" w:rsidRPr="006C288F" w:rsidRDefault="004C06B7" w:rsidP="00857368">
            <w:pPr>
              <w:spacing w:line="180" w:lineRule="exact"/>
              <w:contextualSpacing/>
              <w:rPr>
                <w:color w:val="000000"/>
                <w:sz w:val="18"/>
                <w:szCs w:val="18"/>
              </w:rPr>
            </w:pPr>
            <w:r>
              <w:rPr>
                <w:color w:val="000000"/>
                <w:sz w:val="18"/>
                <w:szCs w:val="18"/>
              </w:rPr>
              <w:t>10%</w:t>
            </w:r>
          </w:p>
        </w:tc>
        <w:tc>
          <w:tcPr>
            <w:tcW w:w="993" w:type="dxa"/>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287"/>
        </w:trPr>
        <w:tc>
          <w:tcPr>
            <w:tcW w:w="3618" w:type="dxa"/>
            <w:gridSpan w:val="3"/>
            <w:vMerge/>
            <w:tcBorders>
              <w:right w:val="thinThickThinSmallGap" w:sz="24" w:space="0" w:color="auto"/>
            </w:tcBorders>
            <w:shd w:val="clear" w:color="auto" w:fill="FFFFFF"/>
            <w:vAlign w:val="center"/>
          </w:tcPr>
          <w:p w:rsidR="004C06B7" w:rsidRPr="006C288F" w:rsidRDefault="004C06B7" w:rsidP="00857368">
            <w:pPr>
              <w:spacing w:line="180" w:lineRule="exact"/>
              <w:contextualSpacing/>
              <w:rPr>
                <w:color w:val="000000"/>
                <w:sz w:val="18"/>
                <w:szCs w:val="18"/>
                <w:highlight w:val="yellow"/>
              </w:rPr>
            </w:pPr>
          </w:p>
        </w:tc>
        <w:tc>
          <w:tcPr>
            <w:tcW w:w="2970" w:type="dxa"/>
            <w:tcBorders>
              <w:left w:val="thinThickThinSmallGap" w:sz="24" w:space="0" w:color="auto"/>
              <w:right w:val="single" w:sz="4" w:space="0" w:color="auto"/>
            </w:tcBorders>
            <w:shd w:val="clear" w:color="auto" w:fill="FFFFFF"/>
            <w:vAlign w:val="center"/>
          </w:tcPr>
          <w:p w:rsidR="004C06B7" w:rsidRPr="006C288F" w:rsidRDefault="004C06B7" w:rsidP="00857368">
            <w:pPr>
              <w:spacing w:line="180" w:lineRule="exact"/>
              <w:contextualSpacing/>
              <w:jc w:val="left"/>
              <w:rPr>
                <w:color w:val="000000"/>
                <w:sz w:val="18"/>
                <w:szCs w:val="18"/>
              </w:rPr>
            </w:pPr>
            <w:r w:rsidRPr="00EA6A09">
              <w:rPr>
                <w:color w:val="000000"/>
                <w:sz w:val="18"/>
                <w:szCs w:val="18"/>
              </w:rPr>
              <w:t>Migra</w:t>
            </w:r>
            <w:r>
              <w:rPr>
                <w:color w:val="000000"/>
                <w:sz w:val="18"/>
                <w:szCs w:val="18"/>
              </w:rPr>
              <w:t>ine</w:t>
            </w:r>
            <w:r w:rsidRPr="00EA6A09">
              <w:rPr>
                <w:color w:val="000000"/>
                <w:sz w:val="18"/>
                <w:szCs w:val="18"/>
              </w:rPr>
              <w:t xml:space="preserve"> Headaches </w:t>
            </w:r>
          </w:p>
        </w:tc>
        <w:tc>
          <w:tcPr>
            <w:tcW w:w="1080" w:type="dxa"/>
            <w:tcBorders>
              <w:left w:val="single" w:sz="4" w:space="0" w:color="auto"/>
            </w:tcBorders>
            <w:shd w:val="clear" w:color="auto" w:fill="FFFFFF"/>
            <w:vAlign w:val="center"/>
          </w:tcPr>
          <w:p w:rsidR="004C06B7" w:rsidRPr="006C288F" w:rsidRDefault="004C06B7" w:rsidP="00857368">
            <w:pPr>
              <w:spacing w:line="180" w:lineRule="exact"/>
              <w:contextualSpacing/>
              <w:rPr>
                <w:color w:val="000000"/>
                <w:sz w:val="18"/>
                <w:szCs w:val="18"/>
              </w:rPr>
            </w:pPr>
            <w:r w:rsidRPr="00EA6A09">
              <w:rPr>
                <w:color w:val="000000"/>
                <w:sz w:val="18"/>
                <w:szCs w:val="18"/>
              </w:rPr>
              <w:t>8100</w:t>
            </w:r>
          </w:p>
        </w:tc>
        <w:tc>
          <w:tcPr>
            <w:tcW w:w="717" w:type="dxa"/>
            <w:shd w:val="clear" w:color="auto" w:fill="FFFFFF"/>
            <w:vAlign w:val="center"/>
          </w:tcPr>
          <w:p w:rsidR="004C06B7" w:rsidRPr="006C288F" w:rsidRDefault="004C06B7" w:rsidP="00857368">
            <w:pPr>
              <w:spacing w:line="180" w:lineRule="exact"/>
              <w:contextualSpacing/>
              <w:rPr>
                <w:color w:val="000000"/>
                <w:sz w:val="18"/>
                <w:szCs w:val="18"/>
              </w:rPr>
            </w:pPr>
            <w:r>
              <w:rPr>
                <w:color w:val="000000"/>
                <w:sz w:val="18"/>
                <w:szCs w:val="18"/>
              </w:rPr>
              <w:t>30%</w:t>
            </w:r>
          </w:p>
        </w:tc>
        <w:tc>
          <w:tcPr>
            <w:tcW w:w="993" w:type="dxa"/>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287"/>
        </w:trPr>
        <w:tc>
          <w:tcPr>
            <w:tcW w:w="3618" w:type="dxa"/>
            <w:gridSpan w:val="3"/>
            <w:vMerge/>
            <w:tcBorders>
              <w:right w:val="thinThickThinSmallGap" w:sz="24" w:space="0" w:color="auto"/>
            </w:tcBorders>
            <w:shd w:val="clear" w:color="auto" w:fill="FFFFFF"/>
            <w:vAlign w:val="center"/>
          </w:tcPr>
          <w:p w:rsidR="004C06B7" w:rsidRPr="006C288F" w:rsidRDefault="004C06B7" w:rsidP="00857368">
            <w:pPr>
              <w:spacing w:line="180" w:lineRule="exact"/>
              <w:contextualSpacing/>
              <w:rPr>
                <w:color w:val="000000"/>
                <w:sz w:val="18"/>
                <w:szCs w:val="18"/>
              </w:rPr>
            </w:pPr>
          </w:p>
        </w:tc>
        <w:tc>
          <w:tcPr>
            <w:tcW w:w="2970" w:type="dxa"/>
            <w:tcBorders>
              <w:left w:val="thinThickThinSmallGap" w:sz="24" w:space="0" w:color="auto"/>
              <w:right w:val="single" w:sz="4" w:space="0" w:color="auto"/>
            </w:tcBorders>
            <w:shd w:val="clear" w:color="auto" w:fill="FFFFFF"/>
            <w:vAlign w:val="center"/>
          </w:tcPr>
          <w:p w:rsidR="004C06B7" w:rsidRPr="006C288F" w:rsidRDefault="004C06B7" w:rsidP="00857368">
            <w:pPr>
              <w:spacing w:line="180" w:lineRule="exact"/>
              <w:contextualSpacing/>
              <w:jc w:val="left"/>
              <w:rPr>
                <w:color w:val="000000"/>
                <w:sz w:val="18"/>
                <w:szCs w:val="18"/>
              </w:rPr>
            </w:pPr>
            <w:r w:rsidRPr="00EA6A09">
              <w:rPr>
                <w:color w:val="000000"/>
                <w:sz w:val="18"/>
                <w:szCs w:val="18"/>
              </w:rPr>
              <w:t>Left Plantar Fasci</w:t>
            </w:r>
            <w:r>
              <w:rPr>
                <w:color w:val="000000"/>
                <w:sz w:val="18"/>
                <w:szCs w:val="18"/>
              </w:rPr>
              <w:t>i</w:t>
            </w:r>
            <w:r w:rsidRPr="00EA6A09">
              <w:rPr>
                <w:color w:val="000000"/>
                <w:sz w:val="18"/>
                <w:szCs w:val="18"/>
              </w:rPr>
              <w:t>t</w:t>
            </w:r>
            <w:r>
              <w:rPr>
                <w:color w:val="000000"/>
                <w:sz w:val="18"/>
                <w:szCs w:val="18"/>
              </w:rPr>
              <w:t>is with H</w:t>
            </w:r>
            <w:r w:rsidRPr="00EA6A09">
              <w:rPr>
                <w:color w:val="000000"/>
                <w:sz w:val="18"/>
                <w:szCs w:val="18"/>
              </w:rPr>
              <w:t>eel Spurs</w:t>
            </w:r>
          </w:p>
        </w:tc>
        <w:tc>
          <w:tcPr>
            <w:tcW w:w="1080" w:type="dxa"/>
            <w:tcBorders>
              <w:left w:val="single" w:sz="4" w:space="0" w:color="auto"/>
              <w:right w:val="single" w:sz="4" w:space="0" w:color="auto"/>
            </w:tcBorders>
            <w:shd w:val="clear" w:color="auto" w:fill="FFFFFF"/>
            <w:vAlign w:val="center"/>
          </w:tcPr>
          <w:p w:rsidR="004C06B7" w:rsidRPr="00814B7D" w:rsidRDefault="004C06B7" w:rsidP="00857368">
            <w:pPr>
              <w:spacing w:line="180" w:lineRule="exact"/>
              <w:contextualSpacing/>
              <w:rPr>
                <w:color w:val="000000"/>
                <w:sz w:val="18"/>
                <w:szCs w:val="18"/>
              </w:rPr>
            </w:pPr>
            <w:r w:rsidRPr="00814B7D">
              <w:rPr>
                <w:color w:val="000000"/>
                <w:sz w:val="18"/>
                <w:szCs w:val="18"/>
              </w:rPr>
              <w:t>5015-5284</w:t>
            </w:r>
          </w:p>
        </w:tc>
        <w:tc>
          <w:tcPr>
            <w:tcW w:w="717" w:type="dxa"/>
            <w:tcBorders>
              <w:left w:val="single" w:sz="4" w:space="0" w:color="auto"/>
            </w:tcBorders>
            <w:shd w:val="clear" w:color="auto" w:fill="FFFFFF"/>
            <w:vAlign w:val="center"/>
          </w:tcPr>
          <w:p w:rsidR="004C06B7" w:rsidRPr="006C288F" w:rsidRDefault="004C06B7" w:rsidP="00857368">
            <w:pPr>
              <w:spacing w:line="180" w:lineRule="exact"/>
              <w:contextualSpacing/>
              <w:rPr>
                <w:color w:val="000000"/>
                <w:sz w:val="18"/>
                <w:szCs w:val="18"/>
              </w:rPr>
            </w:pPr>
            <w:r>
              <w:rPr>
                <w:color w:val="000000"/>
                <w:sz w:val="18"/>
                <w:szCs w:val="18"/>
              </w:rPr>
              <w:t>10%</w:t>
            </w:r>
          </w:p>
        </w:tc>
        <w:tc>
          <w:tcPr>
            <w:tcW w:w="993" w:type="dxa"/>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287"/>
        </w:trPr>
        <w:tc>
          <w:tcPr>
            <w:tcW w:w="3618" w:type="dxa"/>
            <w:gridSpan w:val="3"/>
            <w:vMerge/>
            <w:tcBorders>
              <w:right w:val="thinThickThinSmallGap" w:sz="24" w:space="0" w:color="auto"/>
            </w:tcBorders>
            <w:shd w:val="clear" w:color="auto" w:fill="FFFFFF"/>
            <w:vAlign w:val="center"/>
          </w:tcPr>
          <w:p w:rsidR="004C06B7" w:rsidRPr="006C288F" w:rsidRDefault="004C06B7" w:rsidP="00857368">
            <w:pPr>
              <w:spacing w:line="180" w:lineRule="exact"/>
              <w:contextualSpacing/>
              <w:rPr>
                <w:rFonts w:eastAsia="Calibri"/>
                <w:color w:val="000000"/>
                <w:sz w:val="18"/>
                <w:szCs w:val="18"/>
              </w:rPr>
            </w:pPr>
          </w:p>
        </w:tc>
        <w:tc>
          <w:tcPr>
            <w:tcW w:w="2970" w:type="dxa"/>
            <w:tcBorders>
              <w:left w:val="thinThickThinSmallGap" w:sz="24" w:space="0" w:color="auto"/>
              <w:right w:val="single" w:sz="4" w:space="0" w:color="auto"/>
            </w:tcBorders>
            <w:shd w:val="clear" w:color="auto" w:fill="FFFFFF"/>
            <w:vAlign w:val="center"/>
          </w:tcPr>
          <w:p w:rsidR="004C06B7" w:rsidRPr="00EA6A09" w:rsidRDefault="004C06B7" w:rsidP="00857368">
            <w:pPr>
              <w:spacing w:line="180" w:lineRule="exact"/>
              <w:contextualSpacing/>
              <w:jc w:val="left"/>
              <w:rPr>
                <w:color w:val="000000"/>
                <w:sz w:val="18"/>
                <w:szCs w:val="18"/>
              </w:rPr>
            </w:pPr>
            <w:r w:rsidRPr="00EA6A09">
              <w:rPr>
                <w:color w:val="000000"/>
                <w:sz w:val="18"/>
                <w:szCs w:val="18"/>
              </w:rPr>
              <w:t>Right Plantar F</w:t>
            </w:r>
            <w:r>
              <w:rPr>
                <w:color w:val="000000"/>
                <w:sz w:val="18"/>
                <w:szCs w:val="18"/>
              </w:rPr>
              <w:t>a</w:t>
            </w:r>
            <w:r w:rsidRPr="00EA6A09">
              <w:rPr>
                <w:color w:val="000000"/>
                <w:sz w:val="18"/>
                <w:szCs w:val="18"/>
              </w:rPr>
              <w:t>sci</w:t>
            </w:r>
            <w:r>
              <w:rPr>
                <w:color w:val="000000"/>
                <w:sz w:val="18"/>
                <w:szCs w:val="18"/>
              </w:rPr>
              <w:t>i</w:t>
            </w:r>
            <w:r w:rsidRPr="00EA6A09">
              <w:rPr>
                <w:color w:val="000000"/>
                <w:sz w:val="18"/>
                <w:szCs w:val="18"/>
              </w:rPr>
              <w:t>t</w:t>
            </w:r>
            <w:r>
              <w:rPr>
                <w:color w:val="000000"/>
                <w:sz w:val="18"/>
                <w:szCs w:val="18"/>
              </w:rPr>
              <w:t>is w</w:t>
            </w:r>
            <w:r w:rsidRPr="00EA6A09">
              <w:rPr>
                <w:color w:val="000000"/>
                <w:sz w:val="18"/>
                <w:szCs w:val="18"/>
              </w:rPr>
              <w:t xml:space="preserve">ith Calcaneal Spur </w:t>
            </w:r>
          </w:p>
        </w:tc>
        <w:tc>
          <w:tcPr>
            <w:tcW w:w="1080" w:type="dxa"/>
            <w:tcBorders>
              <w:left w:val="single" w:sz="4" w:space="0" w:color="auto"/>
              <w:right w:val="single" w:sz="4" w:space="0" w:color="auto"/>
            </w:tcBorders>
            <w:shd w:val="clear" w:color="auto" w:fill="FFFFFF"/>
            <w:vAlign w:val="center"/>
          </w:tcPr>
          <w:p w:rsidR="004C06B7" w:rsidRPr="00814B7D" w:rsidRDefault="004C06B7" w:rsidP="00857368">
            <w:pPr>
              <w:spacing w:line="180" w:lineRule="exact"/>
              <w:contextualSpacing/>
              <w:rPr>
                <w:color w:val="000000"/>
                <w:sz w:val="18"/>
                <w:szCs w:val="18"/>
              </w:rPr>
            </w:pPr>
            <w:r w:rsidRPr="00814B7D">
              <w:rPr>
                <w:iCs/>
                <w:color w:val="000000"/>
                <w:sz w:val="18"/>
                <w:szCs w:val="18"/>
              </w:rPr>
              <w:t>5015-5284</w:t>
            </w:r>
          </w:p>
        </w:tc>
        <w:tc>
          <w:tcPr>
            <w:tcW w:w="717" w:type="dxa"/>
            <w:tcBorders>
              <w:left w:val="single" w:sz="4" w:space="0" w:color="auto"/>
            </w:tcBorders>
            <w:shd w:val="clear" w:color="auto" w:fill="FFFFFF"/>
            <w:vAlign w:val="center"/>
          </w:tcPr>
          <w:p w:rsidR="004C06B7" w:rsidRDefault="004C06B7" w:rsidP="00857368">
            <w:pPr>
              <w:spacing w:line="180" w:lineRule="exact"/>
              <w:contextualSpacing/>
              <w:rPr>
                <w:color w:val="000000"/>
                <w:sz w:val="18"/>
                <w:szCs w:val="18"/>
              </w:rPr>
            </w:pPr>
            <w:r>
              <w:rPr>
                <w:color w:val="000000"/>
                <w:sz w:val="18"/>
                <w:szCs w:val="18"/>
              </w:rPr>
              <w:t>10%</w:t>
            </w:r>
          </w:p>
        </w:tc>
        <w:tc>
          <w:tcPr>
            <w:tcW w:w="993" w:type="dxa"/>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287"/>
        </w:trPr>
        <w:tc>
          <w:tcPr>
            <w:tcW w:w="3618" w:type="dxa"/>
            <w:gridSpan w:val="3"/>
            <w:vMerge/>
            <w:tcBorders>
              <w:right w:val="thinThickThinSmallGap" w:sz="24" w:space="0" w:color="auto"/>
            </w:tcBorders>
            <w:shd w:val="clear" w:color="auto" w:fill="FFFFFF"/>
            <w:vAlign w:val="center"/>
          </w:tcPr>
          <w:p w:rsidR="004C06B7" w:rsidRPr="006C288F" w:rsidRDefault="004C06B7" w:rsidP="00857368">
            <w:pPr>
              <w:spacing w:line="180" w:lineRule="exact"/>
              <w:contextualSpacing/>
              <w:rPr>
                <w:rFonts w:eastAsia="Calibri"/>
                <w:color w:val="000000"/>
                <w:sz w:val="18"/>
                <w:szCs w:val="18"/>
              </w:rPr>
            </w:pPr>
          </w:p>
        </w:tc>
        <w:tc>
          <w:tcPr>
            <w:tcW w:w="2970" w:type="dxa"/>
            <w:tcBorders>
              <w:left w:val="thinThickThinSmallGap" w:sz="24" w:space="0" w:color="auto"/>
              <w:right w:val="single" w:sz="4" w:space="0" w:color="auto"/>
            </w:tcBorders>
            <w:shd w:val="clear" w:color="auto" w:fill="FFFFFF"/>
            <w:vAlign w:val="center"/>
          </w:tcPr>
          <w:p w:rsidR="004C06B7" w:rsidRPr="00EA6A09" w:rsidRDefault="004C06B7" w:rsidP="00857368">
            <w:pPr>
              <w:spacing w:line="180" w:lineRule="exact"/>
              <w:contextualSpacing/>
              <w:jc w:val="left"/>
              <w:rPr>
                <w:color w:val="000000"/>
                <w:sz w:val="18"/>
                <w:szCs w:val="18"/>
              </w:rPr>
            </w:pPr>
            <w:r w:rsidRPr="00EA6A09">
              <w:rPr>
                <w:color w:val="000000"/>
                <w:sz w:val="18"/>
                <w:szCs w:val="18"/>
              </w:rPr>
              <w:t xml:space="preserve">Tinnitus </w:t>
            </w:r>
          </w:p>
        </w:tc>
        <w:tc>
          <w:tcPr>
            <w:tcW w:w="1080" w:type="dxa"/>
            <w:tcBorders>
              <w:left w:val="single" w:sz="4" w:space="0" w:color="auto"/>
              <w:right w:val="single" w:sz="4" w:space="0" w:color="auto"/>
            </w:tcBorders>
            <w:shd w:val="clear" w:color="auto" w:fill="FFFFFF"/>
            <w:vAlign w:val="center"/>
          </w:tcPr>
          <w:p w:rsidR="004C06B7" w:rsidRPr="00814B7D" w:rsidRDefault="004C06B7" w:rsidP="00857368">
            <w:pPr>
              <w:spacing w:line="180" w:lineRule="exact"/>
              <w:contextualSpacing/>
              <w:rPr>
                <w:color w:val="000000"/>
                <w:sz w:val="18"/>
                <w:szCs w:val="18"/>
              </w:rPr>
            </w:pPr>
            <w:r w:rsidRPr="00814B7D">
              <w:rPr>
                <w:color w:val="000000"/>
                <w:sz w:val="18"/>
                <w:szCs w:val="18"/>
              </w:rPr>
              <w:t>6260</w:t>
            </w:r>
          </w:p>
        </w:tc>
        <w:tc>
          <w:tcPr>
            <w:tcW w:w="717" w:type="dxa"/>
            <w:tcBorders>
              <w:left w:val="single" w:sz="4" w:space="0" w:color="auto"/>
            </w:tcBorders>
            <w:shd w:val="clear" w:color="auto" w:fill="FFFFFF"/>
            <w:vAlign w:val="center"/>
          </w:tcPr>
          <w:p w:rsidR="004C06B7" w:rsidRDefault="004C06B7" w:rsidP="00857368">
            <w:pPr>
              <w:spacing w:line="180" w:lineRule="exact"/>
              <w:contextualSpacing/>
              <w:rPr>
                <w:color w:val="000000"/>
                <w:sz w:val="18"/>
                <w:szCs w:val="18"/>
              </w:rPr>
            </w:pPr>
            <w:r>
              <w:rPr>
                <w:color w:val="000000"/>
                <w:sz w:val="18"/>
                <w:szCs w:val="18"/>
              </w:rPr>
              <w:t>10%</w:t>
            </w:r>
          </w:p>
        </w:tc>
        <w:tc>
          <w:tcPr>
            <w:tcW w:w="993" w:type="dxa"/>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10830</w:t>
            </w:r>
          </w:p>
        </w:tc>
      </w:tr>
      <w:tr w:rsidR="004C06B7" w:rsidRPr="006C288F" w:rsidTr="000150D3">
        <w:trPr>
          <w:trHeight w:val="314"/>
        </w:trPr>
        <w:tc>
          <w:tcPr>
            <w:tcW w:w="3618" w:type="dxa"/>
            <w:gridSpan w:val="3"/>
            <w:vMerge/>
            <w:tcBorders>
              <w:right w:val="thinThickThinSmallGap" w:sz="24" w:space="0" w:color="auto"/>
            </w:tcBorders>
            <w:shd w:val="clear" w:color="auto" w:fill="FFFFFF"/>
            <w:vAlign w:val="center"/>
          </w:tcPr>
          <w:p w:rsidR="004C06B7" w:rsidRPr="006C288F" w:rsidRDefault="004C06B7" w:rsidP="00857368">
            <w:pPr>
              <w:spacing w:line="180" w:lineRule="exact"/>
              <w:contextualSpacing/>
              <w:rPr>
                <w:rFonts w:eastAsia="Calibri"/>
                <w:color w:val="000000"/>
                <w:sz w:val="18"/>
                <w:szCs w:val="18"/>
              </w:rPr>
            </w:pPr>
          </w:p>
        </w:tc>
        <w:tc>
          <w:tcPr>
            <w:tcW w:w="4767" w:type="dxa"/>
            <w:gridSpan w:val="3"/>
            <w:tcBorders>
              <w:left w:val="thinThickThinSmallGap" w:sz="24" w:space="0" w:color="auto"/>
              <w:right w:val="single" w:sz="4" w:space="0" w:color="auto"/>
            </w:tcBorders>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0% x</w:t>
            </w:r>
            <w:r>
              <w:rPr>
                <w:rFonts w:eastAsia="Calibri"/>
                <w:color w:val="000000"/>
                <w:sz w:val="18"/>
                <w:szCs w:val="18"/>
              </w:rPr>
              <w:t xml:space="preserve"> 3</w:t>
            </w:r>
            <w:r w:rsidR="002A0D1A">
              <w:rPr>
                <w:rFonts w:eastAsia="Calibri"/>
                <w:color w:val="000000"/>
                <w:sz w:val="18"/>
                <w:szCs w:val="18"/>
              </w:rPr>
              <w:t>/Not Service-</w:t>
            </w:r>
            <w:r w:rsidRPr="006C288F">
              <w:rPr>
                <w:rFonts w:eastAsia="Calibri"/>
                <w:color w:val="000000"/>
                <w:sz w:val="18"/>
                <w:szCs w:val="18"/>
              </w:rPr>
              <w:t xml:space="preserve">Connected x </w:t>
            </w:r>
            <w:r>
              <w:rPr>
                <w:rFonts w:eastAsia="Calibri"/>
                <w:color w:val="000000"/>
                <w:sz w:val="18"/>
                <w:szCs w:val="18"/>
              </w:rPr>
              <w:t>1</w:t>
            </w:r>
          </w:p>
        </w:tc>
        <w:tc>
          <w:tcPr>
            <w:tcW w:w="993" w:type="dxa"/>
            <w:tcBorders>
              <w:left w:val="single" w:sz="4" w:space="0" w:color="auto"/>
            </w:tcBorders>
            <w:shd w:val="clear" w:color="auto" w:fill="FFFFFF"/>
            <w:vAlign w:val="center"/>
          </w:tcPr>
          <w:p w:rsidR="004C06B7" w:rsidRPr="006C288F" w:rsidRDefault="004C06B7" w:rsidP="00857368">
            <w:pPr>
              <w:spacing w:line="180" w:lineRule="exact"/>
              <w:contextualSpacing/>
              <w:rPr>
                <w:color w:val="000000"/>
                <w:sz w:val="18"/>
                <w:szCs w:val="18"/>
                <w:highlight w:val="yellow"/>
              </w:rPr>
            </w:pPr>
            <w:r w:rsidRPr="006C288F">
              <w:rPr>
                <w:rFonts w:eastAsia="Calibri"/>
                <w:color w:val="000000"/>
                <w:sz w:val="18"/>
                <w:szCs w:val="18"/>
              </w:rPr>
              <w:t>200</w:t>
            </w:r>
            <w:r>
              <w:rPr>
                <w:rFonts w:eastAsia="Calibri"/>
                <w:color w:val="000000"/>
                <w:sz w:val="18"/>
                <w:szCs w:val="18"/>
              </w:rPr>
              <w:t xml:space="preserve">10830 </w:t>
            </w:r>
          </w:p>
        </w:tc>
      </w:tr>
      <w:tr w:rsidR="00857368" w:rsidRPr="006C288F" w:rsidTr="000150D3">
        <w:trPr>
          <w:trHeight w:val="49"/>
        </w:trPr>
        <w:tc>
          <w:tcPr>
            <w:tcW w:w="3618" w:type="dxa"/>
            <w:gridSpan w:val="3"/>
            <w:tcBorders>
              <w:right w:val="thinThickThinSmallGap" w:sz="24" w:space="0" w:color="auto"/>
            </w:tcBorders>
            <w:shd w:val="clear" w:color="auto" w:fill="D9D9D9"/>
            <w:vAlign w:val="center"/>
          </w:tcPr>
          <w:p w:rsidR="00857368" w:rsidRPr="006C288F" w:rsidRDefault="00857368" w:rsidP="00857368">
            <w:pPr>
              <w:contextualSpacing/>
              <w:rPr>
                <w:rFonts w:eastAsia="Calibri"/>
                <w:b/>
                <w:color w:val="000000"/>
                <w:sz w:val="18"/>
                <w:szCs w:val="18"/>
              </w:rPr>
            </w:pPr>
            <w:r w:rsidRPr="006C288F">
              <w:rPr>
                <w:rFonts w:eastAsia="Calibri"/>
                <w:b/>
                <w:color w:val="000000"/>
                <w:sz w:val="18"/>
                <w:szCs w:val="18"/>
              </w:rPr>
              <w:t xml:space="preserve">Combined:  </w:t>
            </w:r>
            <w:r>
              <w:rPr>
                <w:rFonts w:eastAsia="Calibri"/>
                <w:b/>
                <w:color w:val="000000"/>
                <w:sz w:val="18"/>
                <w:szCs w:val="18"/>
              </w:rPr>
              <w:t>20</w:t>
            </w:r>
            <w:r w:rsidRPr="006C288F">
              <w:rPr>
                <w:rFonts w:eastAsia="Calibri"/>
                <w:b/>
                <w:color w:val="000000"/>
                <w:sz w:val="18"/>
                <w:szCs w:val="18"/>
              </w:rPr>
              <w:t>%</w:t>
            </w:r>
          </w:p>
        </w:tc>
        <w:tc>
          <w:tcPr>
            <w:tcW w:w="5760" w:type="dxa"/>
            <w:gridSpan w:val="4"/>
            <w:tcBorders>
              <w:left w:val="thinThickThinSmallGap" w:sz="24" w:space="0" w:color="auto"/>
            </w:tcBorders>
            <w:shd w:val="clear" w:color="auto" w:fill="D9D9D9"/>
            <w:vAlign w:val="center"/>
          </w:tcPr>
          <w:p w:rsidR="00857368" w:rsidRPr="006C288F" w:rsidRDefault="00857368" w:rsidP="00857368">
            <w:pPr>
              <w:contextualSpacing/>
              <w:rPr>
                <w:rFonts w:eastAsia="Calibri"/>
                <w:b/>
                <w:color w:val="000000"/>
                <w:sz w:val="18"/>
                <w:szCs w:val="18"/>
              </w:rPr>
            </w:pPr>
            <w:r w:rsidRPr="006C288F">
              <w:rPr>
                <w:rFonts w:eastAsia="Calibri"/>
                <w:b/>
                <w:color w:val="000000"/>
                <w:sz w:val="18"/>
                <w:szCs w:val="18"/>
              </w:rPr>
              <w:t xml:space="preserve">Combined:  </w:t>
            </w:r>
            <w:r>
              <w:rPr>
                <w:rFonts w:eastAsia="Calibri"/>
                <w:b/>
                <w:color w:val="000000"/>
                <w:sz w:val="18"/>
                <w:szCs w:val="18"/>
              </w:rPr>
              <w:t>9</w:t>
            </w:r>
            <w:r w:rsidRPr="006C288F">
              <w:rPr>
                <w:rFonts w:eastAsia="Calibri"/>
                <w:b/>
                <w:color w:val="000000"/>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szCs w:val="24"/>
        </w:rPr>
      </w:pPr>
    </w:p>
    <w:p w:rsidR="00D80F17" w:rsidRDefault="00D80F17" w:rsidP="00D80F17">
      <w:pPr>
        <w:rPr>
          <w:color w:val="000000"/>
        </w:rPr>
      </w:pPr>
    </w:p>
    <w:p w:rsidR="006806DC" w:rsidRPr="00F64312" w:rsidRDefault="006806DC" w:rsidP="006806DC">
      <w:pPr>
        <w:jc w:val="both"/>
        <w:rPr>
          <w:color w:val="auto"/>
        </w:rPr>
      </w:pPr>
      <w:r w:rsidRPr="00F64312">
        <w:rPr>
          <w:color w:val="auto"/>
          <w:u w:val="single"/>
        </w:rPr>
        <w:t>SCOPE OF REVIEW</w:t>
      </w:r>
      <w:r w:rsidRPr="00F64312">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w:t>
      </w:r>
      <w:r w:rsidR="000150D3">
        <w:rPr>
          <w:color w:val="auto"/>
        </w:rPr>
        <w:t xml:space="preserve"> </w:t>
      </w:r>
      <w:r w:rsidRPr="00F64312">
        <w:rPr>
          <w:color w:val="auto"/>
        </w:rPr>
        <w:t>“identified but not determined to be unfitting by the PEB</w:t>
      </w:r>
      <w:r>
        <w:rPr>
          <w:color w:val="auto"/>
        </w:rPr>
        <w:t>.</w:t>
      </w:r>
      <w:r w:rsidRPr="00F64312">
        <w:rPr>
          <w:color w:val="auto"/>
        </w:rPr>
        <w:t xml:space="preserve">”  Any conditions or contention not requested in this application, or otherwise outside the Board’s defined scope of review, remain eligible for future consideration by the </w:t>
      </w:r>
      <w:r w:rsidRPr="006806DC">
        <w:rPr>
          <w:color w:val="auto"/>
        </w:rPr>
        <w:t>Board for Correction of Naval Records (BCNR)</w:t>
      </w:r>
      <w:r>
        <w:rPr>
          <w:color w:val="auto"/>
        </w:rPr>
        <w:t>.</w:t>
      </w:r>
    </w:p>
    <w:p w:rsidR="006806DC" w:rsidRPr="001F29F9" w:rsidRDefault="006806DC" w:rsidP="006806DC">
      <w:pPr>
        <w:pBdr>
          <w:bottom w:val="single" w:sz="12" w:space="1" w:color="auto"/>
        </w:pBdr>
        <w:tabs>
          <w:tab w:val="left" w:pos="288"/>
          <w:tab w:val="left" w:pos="4752"/>
        </w:tabs>
        <w:jc w:val="both"/>
        <w:rPr>
          <w:color w:val="000000"/>
        </w:rPr>
      </w:pPr>
    </w:p>
    <w:p w:rsidR="006806DC" w:rsidRDefault="006806DC" w:rsidP="006806DC">
      <w:pPr>
        <w:spacing w:line="240" w:lineRule="auto"/>
        <w:jc w:val="left"/>
        <w:rPr>
          <w:color w:val="000000"/>
          <w:u w:val="single"/>
        </w:rPr>
      </w:pPr>
    </w:p>
    <w:p w:rsidR="001568C0" w:rsidRDefault="002C6E5B" w:rsidP="005C1E44">
      <w:pPr>
        <w:jc w:val="both"/>
        <w:rPr>
          <w:color w:val="000000"/>
          <w:szCs w:val="24"/>
        </w:rPr>
      </w:pPr>
      <w:r w:rsidRPr="001F29F9">
        <w:rPr>
          <w:color w:val="000000"/>
          <w:szCs w:val="24"/>
          <w:u w:val="single"/>
        </w:rPr>
        <w:lastRenderedPageBreak/>
        <w:t>ANALYSIS SUMMARY</w:t>
      </w:r>
      <w:r w:rsidRPr="001F29F9">
        <w:rPr>
          <w:color w:val="000000"/>
          <w:szCs w:val="24"/>
        </w:rPr>
        <w:t>:</w:t>
      </w:r>
      <w:r w:rsidR="009C6098">
        <w:rPr>
          <w:color w:val="000000"/>
          <w:szCs w:val="24"/>
        </w:rPr>
        <w:t xml:space="preserve">  T</w:t>
      </w:r>
      <w:r w:rsidR="005C1E44" w:rsidRPr="005C1E44">
        <w:rPr>
          <w:color w:val="000000"/>
          <w:szCs w:val="24"/>
        </w:rPr>
        <w:t xml:space="preserve">he Board notes that the 2002 Veteran Administration Schedule for Rating Disabilities (VASRD) standards for the spine, which were in effect at the time of separation, were changed to the current §4.71a rating standards in 2004.  The 2002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p>
    <w:p w:rsidR="00015992" w:rsidRPr="005C1E44" w:rsidRDefault="00015992" w:rsidP="005C1E44">
      <w:pPr>
        <w:jc w:val="both"/>
        <w:rPr>
          <w:color w:val="000000"/>
          <w:szCs w:val="24"/>
        </w:rPr>
      </w:pPr>
    </w:p>
    <w:p w:rsidR="002A0D1A" w:rsidRDefault="00015992" w:rsidP="00703D2B">
      <w:pPr>
        <w:jc w:val="both"/>
        <w:rPr>
          <w:color w:val="000000"/>
          <w:szCs w:val="24"/>
        </w:rPr>
      </w:pPr>
      <w:r w:rsidRPr="005C1E44">
        <w:rPr>
          <w:color w:val="000000"/>
          <w:szCs w:val="24"/>
          <w:u w:val="single"/>
        </w:rPr>
        <w:t xml:space="preserve">Major </w:t>
      </w:r>
      <w:r w:rsidR="004343B3">
        <w:rPr>
          <w:color w:val="000000"/>
          <w:szCs w:val="24"/>
          <w:u w:val="single"/>
        </w:rPr>
        <w:t>D</w:t>
      </w:r>
      <w:r w:rsidRPr="005C1E44">
        <w:rPr>
          <w:color w:val="000000"/>
          <w:szCs w:val="24"/>
          <w:u w:val="single"/>
        </w:rPr>
        <w:t xml:space="preserve">epressive </w:t>
      </w:r>
      <w:r w:rsidR="004343B3">
        <w:rPr>
          <w:color w:val="000000"/>
          <w:szCs w:val="24"/>
          <w:u w:val="single"/>
        </w:rPr>
        <w:t>D</w:t>
      </w:r>
      <w:r w:rsidRPr="005C1E44">
        <w:rPr>
          <w:color w:val="000000"/>
          <w:szCs w:val="24"/>
          <w:u w:val="single"/>
        </w:rPr>
        <w:t>isorder</w:t>
      </w:r>
      <w:r w:rsidRPr="005C1E44">
        <w:rPr>
          <w:color w:val="000000"/>
          <w:szCs w:val="24"/>
        </w:rPr>
        <w:t>.</w:t>
      </w:r>
      <w:r w:rsidR="004343B3">
        <w:rPr>
          <w:color w:val="000000"/>
          <w:szCs w:val="24"/>
        </w:rPr>
        <w:t xml:space="preserve">  </w:t>
      </w:r>
      <w:r w:rsidR="008C1A44">
        <w:rPr>
          <w:color w:val="000000"/>
          <w:szCs w:val="24"/>
        </w:rPr>
        <w:t xml:space="preserve">The CI developed depression in the setting of chronic low back pain </w:t>
      </w:r>
      <w:r w:rsidR="002A0D1A">
        <w:rPr>
          <w:color w:val="000000"/>
          <w:szCs w:val="24"/>
        </w:rPr>
        <w:t xml:space="preserve">(LBP) </w:t>
      </w:r>
      <w:r w:rsidR="008C1A44">
        <w:rPr>
          <w:color w:val="000000"/>
          <w:szCs w:val="24"/>
        </w:rPr>
        <w:t>following back surgery in 1998.  In 1999, the CI was referred for MEB due to chronic back pain, and he experienced increased symptoms of depression due to worry about his ability to remain in the U.S. and care for his family since he was not yet a U.S. citizen</w:t>
      </w:r>
      <w:r w:rsidR="00C274E6">
        <w:rPr>
          <w:color w:val="000000"/>
          <w:szCs w:val="24"/>
        </w:rPr>
        <w:t xml:space="preserve">.  </w:t>
      </w:r>
      <w:r w:rsidR="002A0D1A">
        <w:rPr>
          <w:color w:val="000000"/>
          <w:szCs w:val="24"/>
        </w:rPr>
        <w:t xml:space="preserve">The </w:t>
      </w:r>
      <w:r w:rsidR="008C1A44">
        <w:rPr>
          <w:color w:val="000000"/>
          <w:szCs w:val="24"/>
        </w:rPr>
        <w:t xml:space="preserve">PEB found the CI unfit with a combined rating less than </w:t>
      </w:r>
      <w:r w:rsidR="00D91B46" w:rsidRPr="00385934">
        <w:rPr>
          <w:color w:val="000000"/>
          <w:szCs w:val="24"/>
        </w:rPr>
        <w:t>3</w:t>
      </w:r>
      <w:r w:rsidR="008C1A44" w:rsidRPr="00385934">
        <w:rPr>
          <w:color w:val="000000"/>
          <w:szCs w:val="24"/>
        </w:rPr>
        <w:t>0%</w:t>
      </w:r>
      <w:r w:rsidR="008C1A44">
        <w:rPr>
          <w:color w:val="000000"/>
          <w:szCs w:val="24"/>
        </w:rPr>
        <w:t xml:space="preserve">. </w:t>
      </w:r>
      <w:r w:rsidR="008240A9">
        <w:rPr>
          <w:color w:val="000000"/>
          <w:szCs w:val="24"/>
        </w:rPr>
        <w:t xml:space="preserve"> </w:t>
      </w:r>
      <w:r w:rsidR="008C1A44">
        <w:rPr>
          <w:color w:val="000000"/>
          <w:szCs w:val="24"/>
        </w:rPr>
        <w:t xml:space="preserve">The CI appealed to the Formal PEB contending he was fit and was able to perform his job.  </w:t>
      </w:r>
      <w:r w:rsidR="00B727EE">
        <w:rPr>
          <w:color w:val="000000"/>
          <w:szCs w:val="24"/>
        </w:rPr>
        <w:t>The c</w:t>
      </w:r>
      <w:r w:rsidR="008C1A44">
        <w:rPr>
          <w:color w:val="000000"/>
          <w:szCs w:val="24"/>
        </w:rPr>
        <w:t>ommander</w:t>
      </w:r>
      <w:r w:rsidR="00B727EE">
        <w:rPr>
          <w:color w:val="000000"/>
          <w:szCs w:val="24"/>
        </w:rPr>
        <w:t>'s</w:t>
      </w:r>
      <w:r w:rsidR="008C1A44">
        <w:rPr>
          <w:color w:val="000000"/>
          <w:szCs w:val="24"/>
        </w:rPr>
        <w:t xml:space="preserve"> non-medical </w:t>
      </w:r>
      <w:r w:rsidR="002A0D1A">
        <w:rPr>
          <w:color w:val="000000"/>
          <w:szCs w:val="24"/>
        </w:rPr>
        <w:t>assessment (NMA)</w:t>
      </w:r>
      <w:r w:rsidR="008C1A44">
        <w:rPr>
          <w:color w:val="000000"/>
          <w:szCs w:val="24"/>
        </w:rPr>
        <w:t xml:space="preserve"> at this time confirmed he was satisfactorily performing his duties.</w:t>
      </w:r>
      <w:r w:rsidR="003E5A5D">
        <w:rPr>
          <w:color w:val="000000"/>
          <w:szCs w:val="24"/>
        </w:rPr>
        <w:t xml:space="preserve">  The service treatment record </w:t>
      </w:r>
      <w:r w:rsidR="00576E4B">
        <w:rPr>
          <w:color w:val="000000"/>
          <w:szCs w:val="24"/>
        </w:rPr>
        <w:t xml:space="preserve">(STR) </w:t>
      </w:r>
      <w:r w:rsidR="003E5A5D">
        <w:rPr>
          <w:color w:val="000000"/>
          <w:szCs w:val="24"/>
        </w:rPr>
        <w:t xml:space="preserve">falls silent for care of depression following </w:t>
      </w:r>
      <w:r w:rsidR="002A0D1A">
        <w:rPr>
          <w:color w:val="000000"/>
          <w:szCs w:val="24"/>
        </w:rPr>
        <w:t xml:space="preserve">the August 1999 </w:t>
      </w:r>
      <w:r w:rsidR="003E5A5D">
        <w:rPr>
          <w:color w:val="000000"/>
          <w:szCs w:val="24"/>
        </w:rPr>
        <w:t>PEB until September 2000.</w:t>
      </w:r>
      <w:r w:rsidR="00385934">
        <w:rPr>
          <w:color w:val="000000"/>
          <w:szCs w:val="24"/>
        </w:rPr>
        <w:t xml:space="preserve">  On </w:t>
      </w:r>
      <w:r w:rsidR="00B727EE">
        <w:rPr>
          <w:color w:val="000000"/>
          <w:szCs w:val="24"/>
        </w:rPr>
        <w:t>5</w:t>
      </w:r>
      <w:r w:rsidR="00D91B46">
        <w:rPr>
          <w:color w:val="000000"/>
          <w:szCs w:val="24"/>
        </w:rPr>
        <w:t xml:space="preserve"> </w:t>
      </w:r>
      <w:r w:rsidR="008C1A44">
        <w:rPr>
          <w:color w:val="000000"/>
          <w:szCs w:val="24"/>
        </w:rPr>
        <w:t xml:space="preserve">September 2000, the CI presented to the mental health clinic </w:t>
      </w:r>
      <w:r w:rsidR="00385934">
        <w:rPr>
          <w:color w:val="000000"/>
          <w:szCs w:val="24"/>
        </w:rPr>
        <w:t xml:space="preserve">reporting increased symptoms of depression associated with self discontinuing his anti-depressant medication approximately </w:t>
      </w:r>
      <w:r w:rsidR="00E7250A">
        <w:rPr>
          <w:color w:val="000000"/>
          <w:szCs w:val="24"/>
        </w:rPr>
        <w:t>2</w:t>
      </w:r>
      <w:r w:rsidR="00385934">
        <w:rPr>
          <w:color w:val="000000"/>
          <w:szCs w:val="24"/>
        </w:rPr>
        <w:t xml:space="preserve"> months before.  He stated </w:t>
      </w:r>
      <w:r w:rsidR="008C1A44">
        <w:rPr>
          <w:color w:val="000000"/>
          <w:szCs w:val="24"/>
        </w:rPr>
        <w:t xml:space="preserve">he had </w:t>
      </w:r>
      <w:r w:rsidR="008240A9">
        <w:rPr>
          <w:color w:val="000000"/>
          <w:szCs w:val="24"/>
        </w:rPr>
        <w:t xml:space="preserve">obtained </w:t>
      </w:r>
      <w:r w:rsidR="008C1A44">
        <w:rPr>
          <w:color w:val="000000"/>
          <w:szCs w:val="24"/>
        </w:rPr>
        <w:t>his citizenship and wanted to get out of the Navy.</w:t>
      </w:r>
      <w:r w:rsidR="00385934">
        <w:rPr>
          <w:color w:val="000000"/>
          <w:szCs w:val="24"/>
        </w:rPr>
        <w:t xml:space="preserve">  </w:t>
      </w:r>
      <w:r w:rsidR="00A24A82">
        <w:rPr>
          <w:color w:val="000000"/>
          <w:szCs w:val="24"/>
        </w:rPr>
        <w:t>His mood was mildly dysthymic with full range of affect.  T</w:t>
      </w:r>
      <w:r w:rsidR="008C1A44">
        <w:rPr>
          <w:color w:val="000000"/>
          <w:szCs w:val="24"/>
        </w:rPr>
        <w:t xml:space="preserve">reatment </w:t>
      </w:r>
      <w:r w:rsidR="00A24A82">
        <w:rPr>
          <w:color w:val="000000"/>
          <w:szCs w:val="24"/>
        </w:rPr>
        <w:t xml:space="preserve">with medication and therapy was initiated but the treatment </w:t>
      </w:r>
      <w:r w:rsidR="008C1A44">
        <w:rPr>
          <w:color w:val="000000"/>
          <w:szCs w:val="24"/>
        </w:rPr>
        <w:t>plan did not include referral for MEB.</w:t>
      </w:r>
      <w:r w:rsidR="003E5A5D">
        <w:rPr>
          <w:color w:val="000000"/>
          <w:szCs w:val="24"/>
        </w:rPr>
        <w:t xml:space="preserve">  </w:t>
      </w:r>
      <w:r w:rsidR="00132BBD">
        <w:rPr>
          <w:color w:val="000000"/>
          <w:szCs w:val="24"/>
        </w:rPr>
        <w:t>On</w:t>
      </w:r>
      <w:r w:rsidR="00B727EE">
        <w:rPr>
          <w:color w:val="000000"/>
          <w:szCs w:val="24"/>
        </w:rPr>
        <w:t xml:space="preserve"> 26</w:t>
      </w:r>
      <w:r w:rsidR="002A0D1A">
        <w:rPr>
          <w:color w:val="000000"/>
          <w:szCs w:val="24"/>
        </w:rPr>
        <w:t xml:space="preserve"> </w:t>
      </w:r>
      <w:r w:rsidR="00132BBD">
        <w:rPr>
          <w:color w:val="000000"/>
          <w:szCs w:val="24"/>
        </w:rPr>
        <w:t>September 2000, t</w:t>
      </w:r>
      <w:r w:rsidR="008C1A44">
        <w:rPr>
          <w:color w:val="000000"/>
          <w:szCs w:val="24"/>
        </w:rPr>
        <w:t>he CI presented to the emergency department with suicidal ideation with a plan and was hospitalized for approximately 11 days.  With treatment, symptoms of depression significantly improved.  At a follow up appointment, 23 October 2000, the CI was very despondent about his abilit</w:t>
      </w:r>
      <w:r w:rsidR="002C70B9">
        <w:rPr>
          <w:color w:val="000000"/>
          <w:szCs w:val="24"/>
        </w:rPr>
        <w:t>y</w:t>
      </w:r>
      <w:r w:rsidR="008C1A44">
        <w:rPr>
          <w:color w:val="000000"/>
          <w:szCs w:val="24"/>
        </w:rPr>
        <w:t xml:space="preserve"> to remain in </w:t>
      </w:r>
      <w:r w:rsidR="00703D2B">
        <w:rPr>
          <w:color w:val="000000"/>
          <w:szCs w:val="24"/>
        </w:rPr>
        <w:t xml:space="preserve">the Navy </w:t>
      </w:r>
      <w:r w:rsidR="002C70B9">
        <w:rPr>
          <w:color w:val="000000"/>
          <w:szCs w:val="24"/>
        </w:rPr>
        <w:t xml:space="preserve">for the </w:t>
      </w:r>
      <w:r w:rsidR="00E7250A">
        <w:rPr>
          <w:color w:val="000000"/>
          <w:szCs w:val="24"/>
        </w:rPr>
        <w:t>5</w:t>
      </w:r>
      <w:r w:rsidR="008C1A44">
        <w:rPr>
          <w:color w:val="000000"/>
          <w:szCs w:val="24"/>
        </w:rPr>
        <w:t xml:space="preserve"> </w:t>
      </w:r>
      <w:r w:rsidR="00703D2B">
        <w:rPr>
          <w:color w:val="000000"/>
          <w:szCs w:val="24"/>
        </w:rPr>
        <w:t xml:space="preserve">more </w:t>
      </w:r>
      <w:r w:rsidR="008C1A44">
        <w:rPr>
          <w:color w:val="000000"/>
          <w:szCs w:val="24"/>
        </w:rPr>
        <w:t xml:space="preserve">years </w:t>
      </w:r>
      <w:r w:rsidR="002C70B9">
        <w:rPr>
          <w:color w:val="000000"/>
          <w:szCs w:val="24"/>
        </w:rPr>
        <w:t xml:space="preserve">necessary to </w:t>
      </w:r>
      <w:r w:rsidR="00703D2B">
        <w:rPr>
          <w:color w:val="000000"/>
          <w:szCs w:val="24"/>
        </w:rPr>
        <w:t xml:space="preserve">attain length of service retirement </w:t>
      </w:r>
      <w:r w:rsidR="008C1A44">
        <w:rPr>
          <w:color w:val="000000"/>
          <w:szCs w:val="24"/>
        </w:rPr>
        <w:t xml:space="preserve">with his severe chronic </w:t>
      </w:r>
      <w:r w:rsidR="00E7250A">
        <w:rPr>
          <w:color w:val="000000"/>
          <w:szCs w:val="24"/>
        </w:rPr>
        <w:t>LBP</w:t>
      </w:r>
      <w:r w:rsidR="008C1A44">
        <w:rPr>
          <w:color w:val="000000"/>
          <w:szCs w:val="24"/>
        </w:rPr>
        <w:t>, noting that he had been unable to perform in any physical fitness tests.</w:t>
      </w:r>
      <w:r w:rsidR="002C70B9">
        <w:rPr>
          <w:color w:val="000000"/>
          <w:szCs w:val="24"/>
        </w:rPr>
        <w:t xml:space="preserve">  </w:t>
      </w:r>
      <w:r w:rsidR="008C1A44">
        <w:rPr>
          <w:color w:val="000000"/>
          <w:szCs w:val="24"/>
        </w:rPr>
        <w:t xml:space="preserve">He was also despondent about his prospects for advancing in rank.  </w:t>
      </w:r>
      <w:r w:rsidR="006B383D">
        <w:rPr>
          <w:color w:val="000000"/>
          <w:szCs w:val="24"/>
        </w:rPr>
        <w:t>In April 2001,</w:t>
      </w:r>
      <w:r w:rsidR="00703D2B">
        <w:rPr>
          <w:color w:val="000000"/>
          <w:szCs w:val="24"/>
        </w:rPr>
        <w:t xml:space="preserve"> </w:t>
      </w:r>
      <w:r w:rsidR="006B383D">
        <w:rPr>
          <w:color w:val="000000"/>
          <w:szCs w:val="24"/>
        </w:rPr>
        <w:t xml:space="preserve">the CI stopped his medications and experienced worsened symptoms that included auditory hallucinations.  At this time, MEB was initiated and the MEB psychiatry </w:t>
      </w:r>
      <w:r w:rsidR="002A0D1A">
        <w:rPr>
          <w:color w:val="000000"/>
          <w:szCs w:val="24"/>
        </w:rPr>
        <w:t>narrative summary (</w:t>
      </w:r>
      <w:r w:rsidR="006B383D">
        <w:rPr>
          <w:color w:val="000000"/>
          <w:szCs w:val="24"/>
        </w:rPr>
        <w:t>NARSUM</w:t>
      </w:r>
      <w:r w:rsidR="002A0D1A">
        <w:rPr>
          <w:color w:val="000000"/>
          <w:szCs w:val="24"/>
        </w:rPr>
        <w:t>)</w:t>
      </w:r>
      <w:r w:rsidR="006B383D">
        <w:rPr>
          <w:color w:val="000000"/>
          <w:szCs w:val="24"/>
        </w:rPr>
        <w:t xml:space="preserve"> was prepared.  </w:t>
      </w:r>
      <w:r w:rsidR="002A0D1A">
        <w:rPr>
          <w:color w:val="000000"/>
          <w:szCs w:val="24"/>
        </w:rPr>
        <w:t xml:space="preserve">    </w:t>
      </w:r>
    </w:p>
    <w:p w:rsidR="002A0D1A" w:rsidRDefault="002A0D1A" w:rsidP="00703D2B">
      <w:pPr>
        <w:jc w:val="both"/>
        <w:rPr>
          <w:color w:val="000000"/>
          <w:szCs w:val="24"/>
        </w:rPr>
      </w:pPr>
    </w:p>
    <w:p w:rsidR="002A0D1A" w:rsidRDefault="006B383D" w:rsidP="00703D2B">
      <w:pPr>
        <w:jc w:val="both"/>
        <w:rPr>
          <w:color w:val="000000"/>
          <w:szCs w:val="24"/>
        </w:rPr>
      </w:pPr>
      <w:r>
        <w:rPr>
          <w:color w:val="000000"/>
          <w:szCs w:val="24"/>
        </w:rPr>
        <w:t>The MEB psychiatry NARSUM diagnosis was major depressive disorder with psychotic features.  By the end of April, the CI ha</w:t>
      </w:r>
      <w:r w:rsidR="00C54907">
        <w:rPr>
          <w:color w:val="000000"/>
          <w:szCs w:val="24"/>
        </w:rPr>
        <w:t>d</w:t>
      </w:r>
      <w:r>
        <w:rPr>
          <w:color w:val="000000"/>
          <w:szCs w:val="24"/>
        </w:rPr>
        <w:t xml:space="preserve"> resumed all of his medications, and was observed to be improving through May and June.</w:t>
      </w:r>
      <w:r w:rsidR="00574DB5">
        <w:rPr>
          <w:color w:val="000000"/>
          <w:szCs w:val="24"/>
        </w:rPr>
        <w:t xml:space="preserve">  The commander’s </w:t>
      </w:r>
      <w:r w:rsidR="002A0D1A">
        <w:rPr>
          <w:color w:val="000000"/>
          <w:szCs w:val="24"/>
        </w:rPr>
        <w:t>NMA</w:t>
      </w:r>
      <w:r w:rsidR="00574DB5">
        <w:rPr>
          <w:color w:val="000000"/>
          <w:szCs w:val="24"/>
        </w:rPr>
        <w:t xml:space="preserve">, </w:t>
      </w:r>
      <w:r w:rsidR="00B727EE">
        <w:rPr>
          <w:color w:val="000000"/>
          <w:szCs w:val="24"/>
        </w:rPr>
        <w:t xml:space="preserve">dated </w:t>
      </w:r>
      <w:r w:rsidR="00574DB5">
        <w:rPr>
          <w:color w:val="000000"/>
          <w:szCs w:val="24"/>
        </w:rPr>
        <w:t>13 June 2001, noted that when health</w:t>
      </w:r>
      <w:r w:rsidR="00C54907">
        <w:rPr>
          <w:color w:val="000000"/>
          <w:szCs w:val="24"/>
        </w:rPr>
        <w:t>y</w:t>
      </w:r>
      <w:r w:rsidR="00574DB5">
        <w:rPr>
          <w:color w:val="000000"/>
          <w:szCs w:val="24"/>
        </w:rPr>
        <w:t>, the CI was capable of performing his duties.  The commander stated that his condition did on occasion, prevent him from doing his job (decision making process at times questionable) and to miss some days at work; “</w:t>
      </w:r>
      <w:r w:rsidR="002A0D1A">
        <w:rPr>
          <w:color w:val="000000"/>
          <w:szCs w:val="24"/>
        </w:rPr>
        <w:t>h</w:t>
      </w:r>
      <w:r w:rsidR="00574DB5" w:rsidRPr="00574DB5">
        <w:rPr>
          <w:color w:val="000000"/>
          <w:szCs w:val="24"/>
        </w:rPr>
        <w:t>is record</w:t>
      </w:r>
      <w:r w:rsidR="00574DB5">
        <w:rPr>
          <w:color w:val="000000"/>
          <w:szCs w:val="24"/>
        </w:rPr>
        <w:t xml:space="preserve"> </w:t>
      </w:r>
      <w:r w:rsidR="00574DB5" w:rsidRPr="00574DB5">
        <w:rPr>
          <w:color w:val="000000"/>
          <w:szCs w:val="24"/>
        </w:rPr>
        <w:t xml:space="preserve">over the past </w:t>
      </w:r>
      <w:r w:rsidR="002A0D1A">
        <w:rPr>
          <w:color w:val="000000"/>
          <w:szCs w:val="24"/>
        </w:rPr>
        <w:t>6</w:t>
      </w:r>
      <w:r w:rsidR="00574DB5" w:rsidRPr="00574DB5">
        <w:rPr>
          <w:color w:val="000000"/>
          <w:szCs w:val="24"/>
        </w:rPr>
        <w:t xml:space="preserve"> months clearly supports that he is a team player when healthy, and can be</w:t>
      </w:r>
      <w:r w:rsidR="00574DB5">
        <w:rPr>
          <w:color w:val="000000"/>
          <w:szCs w:val="24"/>
        </w:rPr>
        <w:t xml:space="preserve"> </w:t>
      </w:r>
      <w:r w:rsidR="00574DB5" w:rsidRPr="00574DB5">
        <w:rPr>
          <w:color w:val="000000"/>
          <w:szCs w:val="24"/>
        </w:rPr>
        <w:t xml:space="preserve">counted on in time of need. </w:t>
      </w:r>
      <w:r w:rsidR="007E00E6">
        <w:rPr>
          <w:color w:val="000000"/>
          <w:szCs w:val="24"/>
        </w:rPr>
        <w:t xml:space="preserve"> </w:t>
      </w:r>
      <w:r w:rsidR="00574DB5" w:rsidRPr="00574DB5">
        <w:rPr>
          <w:color w:val="000000"/>
          <w:szCs w:val="24"/>
        </w:rPr>
        <w:t>When he is well enough to perfor</w:t>
      </w:r>
      <w:r w:rsidR="002A0D1A">
        <w:rPr>
          <w:color w:val="000000"/>
          <w:szCs w:val="24"/>
        </w:rPr>
        <w:t>m his duties, he does quite well,</w:t>
      </w:r>
      <w:r w:rsidR="00574DB5">
        <w:rPr>
          <w:color w:val="000000"/>
          <w:szCs w:val="24"/>
        </w:rPr>
        <w:t xml:space="preserve"> </w:t>
      </w:r>
      <w:r w:rsidR="00574DB5" w:rsidRPr="00574DB5">
        <w:rPr>
          <w:color w:val="000000"/>
          <w:szCs w:val="24"/>
        </w:rPr>
        <w:t xml:space="preserve">is a good Sailor, and does a good job in his NEC. </w:t>
      </w:r>
      <w:r w:rsidR="00906E2B">
        <w:rPr>
          <w:color w:val="000000"/>
          <w:szCs w:val="24"/>
        </w:rPr>
        <w:t xml:space="preserve"> </w:t>
      </w:r>
      <w:r w:rsidR="00574DB5" w:rsidRPr="00574DB5">
        <w:rPr>
          <w:color w:val="000000"/>
          <w:szCs w:val="24"/>
        </w:rPr>
        <w:t>He contributes immeasurably to</w:t>
      </w:r>
      <w:r w:rsidR="00574DB5">
        <w:rPr>
          <w:color w:val="000000"/>
          <w:szCs w:val="24"/>
        </w:rPr>
        <w:t xml:space="preserve"> </w:t>
      </w:r>
      <w:r w:rsidR="00574DB5" w:rsidRPr="00574DB5">
        <w:rPr>
          <w:color w:val="000000"/>
          <w:szCs w:val="24"/>
        </w:rPr>
        <w:t>this command mission when he is in good health.</w:t>
      </w:r>
      <w:r w:rsidR="00574DB5">
        <w:rPr>
          <w:color w:val="000000"/>
          <w:szCs w:val="24"/>
        </w:rPr>
        <w:t xml:space="preserve">”  </w:t>
      </w:r>
    </w:p>
    <w:p w:rsidR="002A0D1A" w:rsidRDefault="002A0D1A" w:rsidP="00703D2B">
      <w:pPr>
        <w:jc w:val="both"/>
        <w:rPr>
          <w:color w:val="000000"/>
          <w:szCs w:val="24"/>
        </w:rPr>
      </w:pPr>
    </w:p>
    <w:p w:rsidR="00576E4B" w:rsidRDefault="006B383D" w:rsidP="00703D2B">
      <w:pPr>
        <w:jc w:val="both"/>
        <w:rPr>
          <w:color w:val="000000"/>
          <w:szCs w:val="24"/>
        </w:rPr>
      </w:pPr>
      <w:r>
        <w:rPr>
          <w:color w:val="000000"/>
          <w:szCs w:val="24"/>
        </w:rPr>
        <w:t xml:space="preserve">By the end of July he was improved, mood was good to normal, with full affect.  The CI denied suicidal thoughts and hallucinations, and mental status examinations </w:t>
      </w:r>
      <w:r w:rsidR="00576E4B">
        <w:rPr>
          <w:color w:val="000000"/>
          <w:szCs w:val="24"/>
        </w:rPr>
        <w:t xml:space="preserve">(MSE) </w:t>
      </w:r>
      <w:r>
        <w:rPr>
          <w:color w:val="000000"/>
          <w:szCs w:val="24"/>
        </w:rPr>
        <w:t>were normal.  The</w:t>
      </w:r>
      <w:r w:rsidR="002A0D1A">
        <w:rPr>
          <w:color w:val="000000"/>
          <w:szCs w:val="24"/>
        </w:rPr>
        <w:t xml:space="preserve"> </w:t>
      </w:r>
      <w:r>
        <w:rPr>
          <w:color w:val="000000"/>
          <w:szCs w:val="24"/>
        </w:rPr>
        <w:t>14 September 2001</w:t>
      </w:r>
      <w:r w:rsidR="00B727EE">
        <w:rPr>
          <w:color w:val="000000"/>
          <w:szCs w:val="24"/>
        </w:rPr>
        <w:t xml:space="preserve"> </w:t>
      </w:r>
      <w:proofErr w:type="gramStart"/>
      <w:r w:rsidR="00B727EE">
        <w:rPr>
          <w:color w:val="000000"/>
          <w:szCs w:val="24"/>
        </w:rPr>
        <w:t xml:space="preserve">PEB </w:t>
      </w:r>
      <w:r w:rsidR="00132BBD">
        <w:rPr>
          <w:color w:val="000000"/>
          <w:szCs w:val="24"/>
        </w:rPr>
        <w:t>,</w:t>
      </w:r>
      <w:proofErr w:type="gramEnd"/>
      <w:r>
        <w:rPr>
          <w:color w:val="000000"/>
          <w:szCs w:val="24"/>
        </w:rPr>
        <w:t xml:space="preserve"> noted the improvement with medication since the April NARSUM and rated the depression 10%.  A mental health clinic encounter </w:t>
      </w:r>
      <w:r w:rsidR="00B727EE">
        <w:rPr>
          <w:color w:val="000000"/>
          <w:szCs w:val="24"/>
        </w:rPr>
        <w:t xml:space="preserve">on </w:t>
      </w:r>
      <w:r>
        <w:rPr>
          <w:color w:val="000000"/>
          <w:szCs w:val="24"/>
        </w:rPr>
        <w:t>18 September 2001 recorded that the CI had stopped all of his medications 3 weeks before to see if he still needed them.  He experienced a return of symptoms and at the time of the appointment was mildly dysphoric, without suicidal thoughts or hallucinations.  Cognition remained intact.</w:t>
      </w:r>
      <w:r w:rsidR="00742F1C">
        <w:rPr>
          <w:color w:val="000000"/>
          <w:szCs w:val="24"/>
        </w:rPr>
        <w:t xml:space="preserve">  </w:t>
      </w:r>
      <w:r w:rsidR="00636632">
        <w:rPr>
          <w:color w:val="000000"/>
          <w:szCs w:val="24"/>
        </w:rPr>
        <w:t xml:space="preserve">The CI underwent </w:t>
      </w:r>
      <w:r w:rsidR="002A0D1A">
        <w:rPr>
          <w:color w:val="000000"/>
          <w:szCs w:val="24"/>
        </w:rPr>
        <w:t xml:space="preserve">the </w:t>
      </w:r>
      <w:r w:rsidR="00636632">
        <w:rPr>
          <w:color w:val="000000"/>
          <w:szCs w:val="24"/>
        </w:rPr>
        <w:t xml:space="preserve">VA </w:t>
      </w:r>
      <w:r w:rsidR="002A0D1A">
        <w:rPr>
          <w:color w:val="000000"/>
          <w:szCs w:val="24"/>
        </w:rPr>
        <w:t xml:space="preserve">Compensation and Pension (C&amp;P) examination on </w:t>
      </w:r>
      <w:r w:rsidR="00574DB5">
        <w:rPr>
          <w:color w:val="000000"/>
          <w:szCs w:val="24"/>
        </w:rPr>
        <w:t>25</w:t>
      </w:r>
      <w:r w:rsidR="00636632">
        <w:rPr>
          <w:color w:val="000000"/>
          <w:szCs w:val="24"/>
        </w:rPr>
        <w:t xml:space="preserve"> </w:t>
      </w:r>
      <w:r w:rsidR="00574DB5">
        <w:rPr>
          <w:color w:val="000000"/>
          <w:szCs w:val="24"/>
        </w:rPr>
        <w:t>Aug</w:t>
      </w:r>
      <w:r w:rsidR="00636632">
        <w:rPr>
          <w:color w:val="000000"/>
          <w:szCs w:val="24"/>
        </w:rPr>
        <w:t>ust 20</w:t>
      </w:r>
      <w:r w:rsidR="00574DB5">
        <w:rPr>
          <w:color w:val="000000"/>
          <w:szCs w:val="24"/>
        </w:rPr>
        <w:t>01</w:t>
      </w:r>
      <w:r w:rsidR="00636632">
        <w:rPr>
          <w:color w:val="000000"/>
          <w:szCs w:val="24"/>
        </w:rPr>
        <w:t>,</w:t>
      </w:r>
      <w:r w:rsidR="005E5DD2">
        <w:rPr>
          <w:color w:val="000000"/>
          <w:szCs w:val="24"/>
        </w:rPr>
        <w:t xml:space="preserve"> </w:t>
      </w:r>
      <w:r w:rsidR="002A0D1A">
        <w:rPr>
          <w:color w:val="000000"/>
          <w:szCs w:val="24"/>
        </w:rPr>
        <w:t>2</w:t>
      </w:r>
      <w:r w:rsidR="005E5DD2">
        <w:rPr>
          <w:color w:val="000000"/>
          <w:szCs w:val="24"/>
        </w:rPr>
        <w:t xml:space="preserve"> months </w:t>
      </w:r>
      <w:r w:rsidR="002A0D1A">
        <w:rPr>
          <w:color w:val="000000"/>
          <w:szCs w:val="24"/>
        </w:rPr>
        <w:t>prior to</w:t>
      </w:r>
      <w:r w:rsidR="005E5DD2">
        <w:rPr>
          <w:color w:val="000000"/>
          <w:szCs w:val="24"/>
        </w:rPr>
        <w:t xml:space="preserve"> </w:t>
      </w:r>
      <w:r w:rsidR="005E5DD2">
        <w:rPr>
          <w:color w:val="000000"/>
          <w:szCs w:val="24"/>
        </w:rPr>
        <w:lastRenderedPageBreak/>
        <w:t xml:space="preserve">separation.  The time of this examination coincided with the time the CI reported he had stopped taking his medications.  The CI reported a </w:t>
      </w:r>
      <w:r w:rsidR="00E7250A">
        <w:rPr>
          <w:color w:val="000000"/>
          <w:szCs w:val="24"/>
        </w:rPr>
        <w:t>9</w:t>
      </w:r>
      <w:r w:rsidR="005E5DD2">
        <w:rPr>
          <w:color w:val="000000"/>
          <w:szCs w:val="24"/>
        </w:rPr>
        <w:t xml:space="preserve"> year history of depression since his first back </w:t>
      </w:r>
      <w:r w:rsidR="000409DA">
        <w:rPr>
          <w:color w:val="000000"/>
          <w:szCs w:val="24"/>
        </w:rPr>
        <w:t>injury that</w:t>
      </w:r>
      <w:r w:rsidR="005E5DD2">
        <w:rPr>
          <w:color w:val="000000"/>
          <w:szCs w:val="24"/>
        </w:rPr>
        <w:t xml:space="preserve"> worsened </w:t>
      </w:r>
      <w:r w:rsidR="00906E2B">
        <w:rPr>
          <w:color w:val="000000"/>
          <w:szCs w:val="24"/>
        </w:rPr>
        <w:t xml:space="preserve">in 1998 </w:t>
      </w:r>
      <w:r w:rsidR="005E5DD2">
        <w:rPr>
          <w:color w:val="000000"/>
          <w:szCs w:val="24"/>
        </w:rPr>
        <w:t xml:space="preserve">following back surgery.  The CI reported continued </w:t>
      </w:r>
      <w:r w:rsidR="00574DB5">
        <w:rPr>
          <w:color w:val="000000"/>
          <w:szCs w:val="24"/>
        </w:rPr>
        <w:t>sadness, lack of concentration</w:t>
      </w:r>
      <w:r w:rsidR="005E5DD2">
        <w:rPr>
          <w:color w:val="000000"/>
          <w:szCs w:val="24"/>
        </w:rPr>
        <w:t xml:space="preserve"> with some difficulty focusing on daily activities</w:t>
      </w:r>
      <w:r w:rsidR="00574DB5">
        <w:rPr>
          <w:color w:val="000000"/>
          <w:szCs w:val="24"/>
        </w:rPr>
        <w:t>,</w:t>
      </w:r>
      <w:r w:rsidR="005E5DD2">
        <w:rPr>
          <w:color w:val="000000"/>
          <w:szCs w:val="24"/>
        </w:rPr>
        <w:t xml:space="preserve"> decreased energy, s</w:t>
      </w:r>
      <w:r w:rsidR="00574DB5">
        <w:rPr>
          <w:color w:val="000000"/>
          <w:szCs w:val="24"/>
        </w:rPr>
        <w:t>ocial isolation at times, lack of motivation at times</w:t>
      </w:r>
      <w:r w:rsidR="005E5DD2">
        <w:rPr>
          <w:color w:val="000000"/>
          <w:szCs w:val="24"/>
        </w:rPr>
        <w:t>, and s</w:t>
      </w:r>
      <w:r w:rsidR="00574DB5">
        <w:rPr>
          <w:color w:val="000000"/>
          <w:szCs w:val="24"/>
        </w:rPr>
        <w:t>leep disturbance at times</w:t>
      </w:r>
      <w:r w:rsidR="005E5DD2">
        <w:rPr>
          <w:color w:val="000000"/>
          <w:szCs w:val="24"/>
        </w:rPr>
        <w:t>.  He reported aud</w:t>
      </w:r>
      <w:r w:rsidR="00906E2B">
        <w:rPr>
          <w:color w:val="000000"/>
          <w:szCs w:val="24"/>
        </w:rPr>
        <w:t>itory hallucinations off and on.</w:t>
      </w:r>
      <w:r w:rsidR="005E5DD2">
        <w:rPr>
          <w:color w:val="000000"/>
          <w:szCs w:val="24"/>
        </w:rPr>
        <w:t xml:space="preserve">  He got </w:t>
      </w:r>
      <w:r w:rsidR="00574DB5">
        <w:rPr>
          <w:color w:val="000000"/>
          <w:szCs w:val="24"/>
        </w:rPr>
        <w:t>along well with family, friends and neighbors.</w:t>
      </w:r>
      <w:r w:rsidR="005E5DD2">
        <w:rPr>
          <w:color w:val="000000"/>
          <w:szCs w:val="24"/>
        </w:rPr>
        <w:t xml:space="preserve">  He denied thoughts of suicide.  On </w:t>
      </w:r>
      <w:r w:rsidR="00576E4B">
        <w:rPr>
          <w:color w:val="000000"/>
          <w:szCs w:val="24"/>
        </w:rPr>
        <w:t>MSE</w:t>
      </w:r>
      <w:r w:rsidR="005E5DD2">
        <w:rPr>
          <w:color w:val="000000"/>
          <w:szCs w:val="24"/>
        </w:rPr>
        <w:t xml:space="preserve">, mood was depressed with congruent affect.  Speech was normal, coherent and relevant, eye contact was good and there were no </w:t>
      </w:r>
      <w:r w:rsidR="00574DB5">
        <w:rPr>
          <w:color w:val="000000"/>
          <w:szCs w:val="24"/>
        </w:rPr>
        <w:t>abnormal body movements</w:t>
      </w:r>
      <w:r w:rsidR="005E5DD2">
        <w:rPr>
          <w:color w:val="000000"/>
          <w:szCs w:val="24"/>
        </w:rPr>
        <w:t xml:space="preserve">.  Tests of concentration and memory were normal.  Abstract thinking was intact and insight was good.  The examiner assigned a </w:t>
      </w:r>
      <w:r w:rsidR="00576E4B">
        <w:rPr>
          <w:color w:val="000000"/>
          <w:szCs w:val="24"/>
        </w:rPr>
        <w:t>G</w:t>
      </w:r>
      <w:r w:rsidR="005E5DD2">
        <w:rPr>
          <w:color w:val="000000"/>
          <w:szCs w:val="24"/>
        </w:rPr>
        <w:t xml:space="preserve">lobal </w:t>
      </w:r>
      <w:r w:rsidR="00576E4B">
        <w:rPr>
          <w:color w:val="000000"/>
          <w:szCs w:val="24"/>
        </w:rPr>
        <w:t>A</w:t>
      </w:r>
      <w:r w:rsidR="005E5DD2">
        <w:rPr>
          <w:color w:val="000000"/>
          <w:szCs w:val="24"/>
        </w:rPr>
        <w:t xml:space="preserve">ssessment of </w:t>
      </w:r>
      <w:r w:rsidR="00576E4B">
        <w:rPr>
          <w:color w:val="000000"/>
          <w:szCs w:val="24"/>
        </w:rPr>
        <w:t>F</w:t>
      </w:r>
      <w:r w:rsidR="005E5DD2">
        <w:rPr>
          <w:color w:val="000000"/>
          <w:szCs w:val="24"/>
        </w:rPr>
        <w:t xml:space="preserve">unctioning </w:t>
      </w:r>
      <w:r w:rsidR="00576E4B">
        <w:rPr>
          <w:color w:val="000000"/>
          <w:szCs w:val="24"/>
        </w:rPr>
        <w:t xml:space="preserve">(GAF) </w:t>
      </w:r>
      <w:r w:rsidR="005E5DD2">
        <w:rPr>
          <w:color w:val="000000"/>
          <w:szCs w:val="24"/>
        </w:rPr>
        <w:t xml:space="preserve">of 55 (moderate symptoms) and commented:  </w:t>
      </w:r>
      <w:r w:rsidR="00574DB5" w:rsidRPr="00FD3DDB">
        <w:rPr>
          <w:color w:val="000000"/>
          <w:szCs w:val="24"/>
        </w:rPr>
        <w:t>“</w:t>
      </w:r>
      <w:r w:rsidR="00576E4B">
        <w:rPr>
          <w:color w:val="000000"/>
          <w:szCs w:val="24"/>
        </w:rPr>
        <w:t>f</w:t>
      </w:r>
      <w:r w:rsidR="00574DB5" w:rsidRPr="00FD3DDB">
        <w:rPr>
          <w:color w:val="000000"/>
          <w:szCs w:val="24"/>
        </w:rPr>
        <w:t>rom a psychiatric standpoi</w:t>
      </w:r>
      <w:r w:rsidR="00574DB5">
        <w:rPr>
          <w:color w:val="000000"/>
          <w:szCs w:val="24"/>
        </w:rPr>
        <w:t>n</w:t>
      </w:r>
      <w:r w:rsidR="00574DB5" w:rsidRPr="00FD3DDB">
        <w:rPr>
          <w:color w:val="000000"/>
          <w:szCs w:val="24"/>
        </w:rPr>
        <w:t>t, the patient is able to u</w:t>
      </w:r>
      <w:r w:rsidR="00574DB5">
        <w:rPr>
          <w:color w:val="000000"/>
          <w:szCs w:val="24"/>
        </w:rPr>
        <w:t>n</w:t>
      </w:r>
      <w:r w:rsidR="00574DB5" w:rsidRPr="00FD3DDB">
        <w:rPr>
          <w:color w:val="000000"/>
          <w:szCs w:val="24"/>
        </w:rPr>
        <w:t>derstand,</w:t>
      </w:r>
      <w:r w:rsidR="00574DB5">
        <w:rPr>
          <w:color w:val="000000"/>
          <w:szCs w:val="24"/>
        </w:rPr>
        <w:t xml:space="preserve"> </w:t>
      </w:r>
      <w:r w:rsidR="00574DB5" w:rsidRPr="00FD3DDB">
        <w:rPr>
          <w:color w:val="000000"/>
          <w:szCs w:val="24"/>
        </w:rPr>
        <w:t>carry out, and remember simple instructions. The patient would</w:t>
      </w:r>
      <w:r w:rsidR="00574DB5">
        <w:rPr>
          <w:color w:val="000000"/>
          <w:szCs w:val="24"/>
        </w:rPr>
        <w:t xml:space="preserve"> </w:t>
      </w:r>
      <w:r w:rsidR="00574DB5" w:rsidRPr="00FD3DDB">
        <w:rPr>
          <w:color w:val="000000"/>
          <w:szCs w:val="24"/>
        </w:rPr>
        <w:t xml:space="preserve">have difficulty following complex instructions. </w:t>
      </w:r>
      <w:r w:rsidR="002C70B9">
        <w:rPr>
          <w:color w:val="000000"/>
          <w:szCs w:val="24"/>
        </w:rPr>
        <w:t xml:space="preserve"> </w:t>
      </w:r>
      <w:r w:rsidR="00574DB5" w:rsidRPr="00FD3DDB">
        <w:rPr>
          <w:color w:val="000000"/>
          <w:szCs w:val="24"/>
        </w:rPr>
        <w:t>The patient is</w:t>
      </w:r>
      <w:r w:rsidR="00574DB5">
        <w:rPr>
          <w:color w:val="000000"/>
          <w:szCs w:val="24"/>
        </w:rPr>
        <w:t xml:space="preserve"> </w:t>
      </w:r>
      <w:r w:rsidR="00574DB5" w:rsidRPr="00FD3DDB">
        <w:rPr>
          <w:color w:val="000000"/>
          <w:szCs w:val="24"/>
        </w:rPr>
        <w:t>able to interact with co-workers, supervisors, and the general</w:t>
      </w:r>
      <w:r w:rsidR="00574DB5">
        <w:rPr>
          <w:color w:val="000000"/>
          <w:szCs w:val="24"/>
        </w:rPr>
        <w:t xml:space="preserve"> </w:t>
      </w:r>
      <w:r w:rsidR="00574DB5" w:rsidRPr="00FD3DDB">
        <w:rPr>
          <w:color w:val="000000"/>
          <w:szCs w:val="24"/>
        </w:rPr>
        <w:t xml:space="preserve">public. </w:t>
      </w:r>
      <w:r w:rsidR="00D07253">
        <w:rPr>
          <w:color w:val="000000"/>
          <w:szCs w:val="24"/>
        </w:rPr>
        <w:t xml:space="preserve"> </w:t>
      </w:r>
      <w:r w:rsidR="00574DB5" w:rsidRPr="00FD3DDB">
        <w:rPr>
          <w:color w:val="000000"/>
          <w:szCs w:val="24"/>
        </w:rPr>
        <w:t>The patient would have difficulty focusing and tolerating</w:t>
      </w:r>
      <w:r w:rsidR="00574DB5">
        <w:rPr>
          <w:color w:val="000000"/>
          <w:szCs w:val="24"/>
        </w:rPr>
        <w:t xml:space="preserve"> </w:t>
      </w:r>
      <w:r w:rsidR="00574DB5" w:rsidRPr="00FD3DDB">
        <w:rPr>
          <w:color w:val="000000"/>
          <w:szCs w:val="24"/>
        </w:rPr>
        <w:t>stress related to work and work-like situations.”</w:t>
      </w:r>
      <w:r w:rsidR="004343B3">
        <w:rPr>
          <w:color w:val="000000"/>
          <w:szCs w:val="24"/>
        </w:rPr>
        <w:t xml:space="preserve">  </w:t>
      </w:r>
    </w:p>
    <w:p w:rsidR="00576E4B" w:rsidRDefault="00576E4B" w:rsidP="00703D2B">
      <w:pPr>
        <w:jc w:val="both"/>
        <w:rPr>
          <w:color w:val="000000"/>
          <w:szCs w:val="24"/>
        </w:rPr>
      </w:pPr>
    </w:p>
    <w:p w:rsidR="00576E4B" w:rsidRDefault="004343B3" w:rsidP="00703D2B">
      <w:pPr>
        <w:jc w:val="both"/>
        <w:rPr>
          <w:color w:val="000000"/>
          <w:szCs w:val="24"/>
        </w:rPr>
      </w:pPr>
      <w:r>
        <w:rPr>
          <w:color w:val="000000"/>
          <w:szCs w:val="24"/>
        </w:rPr>
        <w:t>The VA assigned a 70% rating based on the C&amp;P examination</w:t>
      </w:r>
      <w:r w:rsidR="00ED5BE5">
        <w:rPr>
          <w:color w:val="000000"/>
          <w:szCs w:val="24"/>
        </w:rPr>
        <w:t xml:space="preserve"> citing the </w:t>
      </w:r>
      <w:r w:rsidR="00ED5BE5" w:rsidRPr="00ED5BE5">
        <w:rPr>
          <w:color w:val="000000"/>
          <w:szCs w:val="24"/>
        </w:rPr>
        <w:t>severity of symptoms in September 2000 and April 2001 while off of medications.</w:t>
      </w:r>
      <w:r w:rsidR="00ED5BE5">
        <w:rPr>
          <w:color w:val="000000"/>
          <w:szCs w:val="24"/>
        </w:rPr>
        <w:t xml:space="preserve">  </w:t>
      </w:r>
      <w:r>
        <w:rPr>
          <w:color w:val="000000"/>
          <w:szCs w:val="24"/>
        </w:rPr>
        <w:t xml:space="preserve">There are no VA mental health treatment records in the several months after separation in the file for review.  </w:t>
      </w:r>
      <w:r w:rsidRPr="004343B3">
        <w:rPr>
          <w:color w:val="000000"/>
          <w:szCs w:val="24"/>
        </w:rPr>
        <w:t xml:space="preserve">It is unknown whether he received care elsewhere or he did not feel the need for continued mental health care services.  </w:t>
      </w:r>
      <w:r w:rsidR="007E00E6">
        <w:rPr>
          <w:color w:val="000000"/>
          <w:szCs w:val="24"/>
        </w:rPr>
        <w:t xml:space="preserve">At an internal medicine examination in February 2002, </w:t>
      </w:r>
      <w:r w:rsidR="00E7250A">
        <w:rPr>
          <w:color w:val="000000"/>
          <w:szCs w:val="24"/>
        </w:rPr>
        <w:t>3</w:t>
      </w:r>
      <w:r w:rsidR="007E00E6">
        <w:rPr>
          <w:color w:val="000000"/>
          <w:szCs w:val="24"/>
        </w:rPr>
        <w:t xml:space="preserve"> months after separation, </w:t>
      </w:r>
      <w:r w:rsidR="00576E4B">
        <w:rPr>
          <w:color w:val="000000"/>
          <w:szCs w:val="24"/>
        </w:rPr>
        <w:t>MSE</w:t>
      </w:r>
      <w:r w:rsidR="007E00E6">
        <w:rPr>
          <w:color w:val="000000"/>
          <w:szCs w:val="24"/>
        </w:rPr>
        <w:t xml:space="preserve"> was documented:</w:t>
      </w:r>
      <w:r w:rsidR="008C1A44">
        <w:rPr>
          <w:color w:val="000000"/>
          <w:szCs w:val="24"/>
        </w:rPr>
        <w:t xml:space="preserve">  </w:t>
      </w:r>
      <w:r w:rsidR="007E00E6" w:rsidRPr="0093762D">
        <w:rPr>
          <w:color w:val="000000"/>
          <w:szCs w:val="24"/>
        </w:rPr>
        <w:t xml:space="preserve">“The </w:t>
      </w:r>
      <w:r w:rsidR="00576E4B">
        <w:rPr>
          <w:color w:val="000000"/>
          <w:szCs w:val="24"/>
        </w:rPr>
        <w:t>V</w:t>
      </w:r>
      <w:r w:rsidR="007E00E6" w:rsidRPr="0093762D">
        <w:rPr>
          <w:color w:val="000000"/>
          <w:szCs w:val="24"/>
        </w:rPr>
        <w:t>eteran is oriented to person, place, time, and space during this</w:t>
      </w:r>
      <w:r w:rsidR="007E00E6">
        <w:rPr>
          <w:color w:val="000000"/>
          <w:szCs w:val="24"/>
        </w:rPr>
        <w:t xml:space="preserve"> </w:t>
      </w:r>
      <w:r w:rsidR="007E00E6" w:rsidRPr="0093762D">
        <w:rPr>
          <w:color w:val="000000"/>
          <w:szCs w:val="24"/>
        </w:rPr>
        <w:t xml:space="preserve">evaluation. </w:t>
      </w:r>
      <w:r w:rsidR="00576E4B">
        <w:rPr>
          <w:color w:val="000000"/>
          <w:szCs w:val="24"/>
        </w:rPr>
        <w:t xml:space="preserve"> </w:t>
      </w:r>
      <w:r w:rsidR="007E00E6" w:rsidRPr="0093762D">
        <w:rPr>
          <w:color w:val="000000"/>
          <w:szCs w:val="24"/>
        </w:rPr>
        <w:t xml:space="preserve">Short-term and long-term memory is normal. </w:t>
      </w:r>
      <w:r w:rsidR="00576E4B">
        <w:rPr>
          <w:color w:val="000000"/>
          <w:szCs w:val="24"/>
        </w:rPr>
        <w:t xml:space="preserve"> </w:t>
      </w:r>
      <w:r w:rsidR="007E00E6" w:rsidRPr="0093762D">
        <w:rPr>
          <w:color w:val="000000"/>
          <w:szCs w:val="24"/>
        </w:rPr>
        <w:t>Behavior is normal.</w:t>
      </w:r>
      <w:r>
        <w:rPr>
          <w:color w:val="000000"/>
          <w:szCs w:val="24"/>
        </w:rPr>
        <w:t xml:space="preserve">  </w:t>
      </w:r>
      <w:r w:rsidR="007E00E6" w:rsidRPr="0093762D">
        <w:rPr>
          <w:color w:val="000000"/>
          <w:szCs w:val="24"/>
        </w:rPr>
        <w:t xml:space="preserve">Comprehension is normal. </w:t>
      </w:r>
      <w:r w:rsidR="00576E4B">
        <w:rPr>
          <w:color w:val="000000"/>
          <w:szCs w:val="24"/>
        </w:rPr>
        <w:t xml:space="preserve"> </w:t>
      </w:r>
      <w:r w:rsidR="007E00E6" w:rsidRPr="0093762D">
        <w:rPr>
          <w:color w:val="000000"/>
          <w:szCs w:val="24"/>
        </w:rPr>
        <w:t xml:space="preserve">The </w:t>
      </w:r>
      <w:r w:rsidR="00576E4B">
        <w:rPr>
          <w:color w:val="000000"/>
          <w:szCs w:val="24"/>
        </w:rPr>
        <w:t>V</w:t>
      </w:r>
      <w:r w:rsidR="007E00E6" w:rsidRPr="0093762D">
        <w:rPr>
          <w:color w:val="000000"/>
          <w:szCs w:val="24"/>
        </w:rPr>
        <w:t>eteran is coherent, and emotional reaction is</w:t>
      </w:r>
      <w:r w:rsidR="007E00E6">
        <w:rPr>
          <w:color w:val="000000"/>
          <w:szCs w:val="24"/>
        </w:rPr>
        <w:t xml:space="preserve"> </w:t>
      </w:r>
      <w:r w:rsidR="007E00E6" w:rsidRPr="0093762D">
        <w:rPr>
          <w:color w:val="000000"/>
          <w:szCs w:val="24"/>
        </w:rPr>
        <w:t xml:space="preserve">appropriate. Social and occupational capacity is not restricted. </w:t>
      </w:r>
      <w:r w:rsidR="00576E4B">
        <w:rPr>
          <w:color w:val="000000"/>
          <w:szCs w:val="24"/>
        </w:rPr>
        <w:t xml:space="preserve"> </w:t>
      </w:r>
      <w:r w:rsidR="007E00E6" w:rsidRPr="0093762D">
        <w:rPr>
          <w:color w:val="000000"/>
          <w:szCs w:val="24"/>
        </w:rPr>
        <w:t>Mentally, the</w:t>
      </w:r>
      <w:r w:rsidR="007E00E6">
        <w:rPr>
          <w:color w:val="000000"/>
          <w:szCs w:val="24"/>
        </w:rPr>
        <w:t xml:space="preserve"> </w:t>
      </w:r>
      <w:r w:rsidR="007E00E6" w:rsidRPr="0093762D">
        <w:rPr>
          <w:color w:val="000000"/>
          <w:szCs w:val="24"/>
        </w:rPr>
        <w:t>veteran can handle his own funds.”</w:t>
      </w:r>
      <w:r w:rsidR="00742F1C">
        <w:rPr>
          <w:color w:val="000000"/>
          <w:szCs w:val="24"/>
        </w:rPr>
        <w:t xml:space="preserve">  </w:t>
      </w:r>
      <w:r w:rsidR="00A4350C">
        <w:rPr>
          <w:rFonts w:asciiTheme="minorHAnsi" w:hAnsiTheme="minorHAnsi"/>
          <w:color w:val="auto"/>
          <w:szCs w:val="24"/>
        </w:rPr>
        <w:t>A</w:t>
      </w:r>
      <w:r w:rsidR="00A4350C" w:rsidRPr="00E87434">
        <w:rPr>
          <w:rFonts w:asciiTheme="minorHAnsi" w:hAnsiTheme="minorHAnsi"/>
          <w:color w:val="auto"/>
          <w:szCs w:val="24"/>
        </w:rPr>
        <w:t xml:space="preserve">ll Board members agreed the evidence of the </w:t>
      </w:r>
      <w:r w:rsidR="00576E4B">
        <w:rPr>
          <w:rFonts w:asciiTheme="minorHAnsi" w:hAnsiTheme="minorHAnsi"/>
          <w:color w:val="auto"/>
          <w:szCs w:val="24"/>
        </w:rPr>
        <w:t>STR</w:t>
      </w:r>
      <w:r w:rsidR="00A4350C">
        <w:rPr>
          <w:rFonts w:asciiTheme="minorHAnsi" w:hAnsiTheme="minorHAnsi"/>
          <w:color w:val="auto"/>
          <w:szCs w:val="24"/>
        </w:rPr>
        <w:t xml:space="preserve"> </w:t>
      </w:r>
      <w:r w:rsidR="00A4350C" w:rsidRPr="00E87434">
        <w:rPr>
          <w:rFonts w:asciiTheme="minorHAnsi" w:hAnsiTheme="minorHAnsi"/>
          <w:color w:val="auto"/>
          <w:szCs w:val="24"/>
        </w:rPr>
        <w:t xml:space="preserve">at the </w:t>
      </w:r>
      <w:r w:rsidR="00A4350C">
        <w:rPr>
          <w:rFonts w:asciiTheme="minorHAnsi" w:hAnsiTheme="minorHAnsi"/>
          <w:color w:val="auto"/>
          <w:szCs w:val="24"/>
        </w:rPr>
        <w:t xml:space="preserve">time of separation </w:t>
      </w:r>
      <w:r w:rsidR="00A4350C" w:rsidRPr="00E87434">
        <w:rPr>
          <w:rFonts w:asciiTheme="minorHAnsi" w:hAnsiTheme="minorHAnsi"/>
          <w:color w:val="auto"/>
          <w:szCs w:val="24"/>
        </w:rPr>
        <w:t>did not approach the 50% rating; therefore Board deliberations centered on a 10% versus a 30%.</w:t>
      </w:r>
      <w:r>
        <w:rPr>
          <w:rFonts w:asciiTheme="minorHAnsi" w:hAnsiTheme="minorHAnsi"/>
          <w:color w:val="auto"/>
          <w:szCs w:val="24"/>
        </w:rPr>
        <w:t xml:space="preserve">  </w:t>
      </w:r>
      <w:r w:rsidR="00A4350C" w:rsidRPr="00066613">
        <w:rPr>
          <w:rFonts w:asciiTheme="minorHAnsi" w:hAnsiTheme="minorHAnsi"/>
          <w:color w:val="auto"/>
          <w:szCs w:val="24"/>
        </w:rPr>
        <w:t>Social and occupational impairment consistent with a 30% evaluation (“</w:t>
      </w:r>
      <w:r w:rsidR="00576E4B">
        <w:rPr>
          <w:rFonts w:asciiTheme="minorHAnsi" w:hAnsiTheme="minorHAnsi"/>
          <w:color w:val="auto"/>
          <w:szCs w:val="24"/>
        </w:rPr>
        <w:t>o</w:t>
      </w:r>
      <w:r w:rsidR="00A4350C" w:rsidRPr="00066613">
        <w:rPr>
          <w:rFonts w:asciiTheme="minorHAnsi" w:hAnsiTheme="minorHAnsi"/>
          <w:color w:val="auto"/>
          <w:szCs w:val="24"/>
        </w:rPr>
        <w:t>ccupational and social impairment with occasional decrease in work efficiency and intermittent periods of inabilit</w:t>
      </w:r>
      <w:r w:rsidR="00576E4B">
        <w:rPr>
          <w:rFonts w:asciiTheme="minorHAnsi" w:hAnsiTheme="minorHAnsi"/>
          <w:color w:val="auto"/>
          <w:szCs w:val="24"/>
        </w:rPr>
        <w:t>y to perform occupational tasks</w:t>
      </w:r>
      <w:r w:rsidR="00A4350C" w:rsidRPr="00066613">
        <w:rPr>
          <w:rFonts w:asciiTheme="minorHAnsi" w:hAnsiTheme="minorHAnsi"/>
          <w:color w:val="auto"/>
          <w:szCs w:val="24"/>
        </w:rPr>
        <w:t xml:space="preserve">”) could be surmised from some of the documented symptoms </w:t>
      </w:r>
      <w:r w:rsidR="00A4350C">
        <w:rPr>
          <w:rFonts w:asciiTheme="minorHAnsi" w:hAnsiTheme="minorHAnsi"/>
          <w:color w:val="auto"/>
          <w:szCs w:val="24"/>
        </w:rPr>
        <w:t>while the CI was not taking medications.</w:t>
      </w:r>
      <w:r>
        <w:rPr>
          <w:rFonts w:asciiTheme="minorHAnsi" w:hAnsiTheme="minorHAnsi"/>
          <w:color w:val="auto"/>
          <w:szCs w:val="24"/>
        </w:rPr>
        <w:t xml:space="preserve">  </w:t>
      </w:r>
      <w:r w:rsidR="00A24A82">
        <w:rPr>
          <w:color w:val="000000"/>
          <w:szCs w:val="24"/>
        </w:rPr>
        <w:t xml:space="preserve">The Board noted that </w:t>
      </w:r>
      <w:r w:rsidR="00E83A02">
        <w:rPr>
          <w:color w:val="000000"/>
          <w:szCs w:val="24"/>
        </w:rPr>
        <w:t xml:space="preserve">the CI’s symptoms worsened in September 2000 related to discontinuation of medication by the CI.  At </w:t>
      </w:r>
      <w:r w:rsidR="00A24A82">
        <w:rPr>
          <w:color w:val="000000"/>
          <w:szCs w:val="24"/>
        </w:rPr>
        <w:t xml:space="preserve">the </w:t>
      </w:r>
      <w:r w:rsidR="00E83A02">
        <w:rPr>
          <w:color w:val="000000"/>
          <w:szCs w:val="24"/>
        </w:rPr>
        <w:t xml:space="preserve">time of the </w:t>
      </w:r>
      <w:r w:rsidR="00A24A82">
        <w:rPr>
          <w:color w:val="000000"/>
          <w:szCs w:val="24"/>
        </w:rPr>
        <w:t xml:space="preserve">April 2001 MEB NARSUM </w:t>
      </w:r>
      <w:r w:rsidR="00E83A02">
        <w:rPr>
          <w:color w:val="000000"/>
          <w:szCs w:val="24"/>
        </w:rPr>
        <w:t xml:space="preserve">there was </w:t>
      </w:r>
      <w:r w:rsidR="00A24A82">
        <w:rPr>
          <w:color w:val="000000"/>
          <w:szCs w:val="24"/>
        </w:rPr>
        <w:t xml:space="preserve">worsening of symptoms related to non-medically advised discontinuation of medication by the CI.  </w:t>
      </w:r>
    </w:p>
    <w:p w:rsidR="00576E4B" w:rsidRDefault="00576E4B" w:rsidP="00703D2B">
      <w:pPr>
        <w:jc w:val="both"/>
        <w:rPr>
          <w:color w:val="000000"/>
          <w:szCs w:val="24"/>
        </w:rPr>
      </w:pPr>
    </w:p>
    <w:p w:rsidR="00703D2B" w:rsidRDefault="00E83A02" w:rsidP="00703D2B">
      <w:pPr>
        <w:jc w:val="both"/>
        <w:rPr>
          <w:rFonts w:asciiTheme="minorHAnsi" w:hAnsiTheme="minorHAnsi"/>
          <w:color w:val="auto"/>
          <w:szCs w:val="24"/>
        </w:rPr>
      </w:pPr>
      <w:r>
        <w:rPr>
          <w:color w:val="000000"/>
          <w:szCs w:val="24"/>
        </w:rPr>
        <w:t xml:space="preserve">Similarly, around the time of the August 2001 VA C&amp;P examination, the CI had again discontinued medication against medical advice.  At the C&amp;P examination, the CI reported continuing auditory hallucinations that contemporaneous </w:t>
      </w:r>
      <w:r w:rsidR="00576E4B">
        <w:rPr>
          <w:color w:val="000000"/>
          <w:szCs w:val="24"/>
        </w:rPr>
        <w:t>STR</w:t>
      </w:r>
      <w:r>
        <w:rPr>
          <w:color w:val="000000"/>
          <w:szCs w:val="24"/>
        </w:rPr>
        <w:t xml:space="preserve"> documented as absent since July.</w:t>
      </w:r>
      <w:r w:rsidR="00742F1C">
        <w:rPr>
          <w:color w:val="000000"/>
          <w:szCs w:val="24"/>
        </w:rPr>
        <w:t xml:space="preserve">  </w:t>
      </w:r>
      <w:r>
        <w:rPr>
          <w:color w:val="000000"/>
          <w:szCs w:val="24"/>
        </w:rPr>
        <w:t>When on medication, the CI’s symptoms were controlled and he was able to perform duties in a satisfactory manner</w:t>
      </w:r>
      <w:r w:rsidR="00A4350C">
        <w:rPr>
          <w:color w:val="000000"/>
          <w:szCs w:val="24"/>
        </w:rPr>
        <w:t xml:space="preserve"> (“quite well”)</w:t>
      </w:r>
      <w:r>
        <w:rPr>
          <w:color w:val="000000"/>
          <w:szCs w:val="24"/>
        </w:rPr>
        <w:t>.</w:t>
      </w:r>
      <w:r w:rsidR="00A4350C">
        <w:rPr>
          <w:color w:val="000000"/>
          <w:szCs w:val="24"/>
        </w:rPr>
        <w:t xml:space="preserve">  Although he reported there was social isolation at times, there were no problems with interpersonal function with family, neighbors, coworkers or supervisors.  On </w:t>
      </w:r>
      <w:r w:rsidR="00576E4B">
        <w:rPr>
          <w:color w:val="000000"/>
          <w:szCs w:val="24"/>
        </w:rPr>
        <w:t>MSE</w:t>
      </w:r>
      <w:r w:rsidR="00A4350C">
        <w:rPr>
          <w:color w:val="000000"/>
          <w:szCs w:val="24"/>
        </w:rPr>
        <w:t>, t</w:t>
      </w:r>
      <w:r w:rsidR="00A4350C">
        <w:rPr>
          <w:rFonts w:asciiTheme="minorHAnsi" w:hAnsiTheme="minorHAnsi"/>
          <w:color w:val="auto"/>
          <w:szCs w:val="24"/>
        </w:rPr>
        <w:t xml:space="preserve">here was no impairment in </w:t>
      </w:r>
      <w:r w:rsidR="00A4350C" w:rsidRPr="00C86397">
        <w:rPr>
          <w:rFonts w:asciiTheme="minorHAnsi" w:hAnsiTheme="minorHAnsi"/>
          <w:color w:val="auto"/>
          <w:szCs w:val="24"/>
        </w:rPr>
        <w:t xml:space="preserve">memory </w:t>
      </w:r>
      <w:r w:rsidR="00A4350C">
        <w:rPr>
          <w:rFonts w:asciiTheme="minorHAnsi" w:hAnsiTheme="minorHAnsi"/>
          <w:color w:val="auto"/>
          <w:szCs w:val="24"/>
        </w:rPr>
        <w:t>or concentration.</w:t>
      </w:r>
      <w:r w:rsidR="00703D2B">
        <w:rPr>
          <w:rFonts w:asciiTheme="minorHAnsi" w:hAnsiTheme="minorHAnsi"/>
          <w:color w:val="auto"/>
          <w:szCs w:val="24"/>
        </w:rPr>
        <w:t xml:space="preserve">  </w:t>
      </w:r>
      <w:r w:rsidR="00703D2B" w:rsidRPr="000B23F0">
        <w:rPr>
          <w:rFonts w:asciiTheme="minorHAnsi" w:hAnsiTheme="minorHAnsi"/>
          <w:color w:val="auto"/>
          <w:szCs w:val="24"/>
        </w:rPr>
        <w:t xml:space="preserve">After due deliberation and in consideration of all evidence and mindful of VASRD §4.3 (reasonable doubt), the Board </w:t>
      </w:r>
      <w:r w:rsidR="00703D2B">
        <w:rPr>
          <w:rFonts w:asciiTheme="minorHAnsi" w:hAnsiTheme="minorHAnsi"/>
          <w:color w:val="auto"/>
          <w:szCs w:val="24"/>
        </w:rPr>
        <w:t xml:space="preserve">concluded the impairment </w:t>
      </w:r>
      <w:r w:rsidR="00703D2B" w:rsidRPr="000409DA">
        <w:rPr>
          <w:rFonts w:asciiTheme="minorHAnsi" w:hAnsiTheme="minorHAnsi"/>
          <w:color w:val="auto"/>
          <w:szCs w:val="24"/>
        </w:rPr>
        <w:t>due to major depression while on mediation more nearly approximated the 10% rating</w:t>
      </w:r>
      <w:r w:rsidR="002B6618" w:rsidRPr="000409DA">
        <w:rPr>
          <w:rFonts w:asciiTheme="minorHAnsi" w:hAnsiTheme="minorHAnsi"/>
          <w:color w:val="auto"/>
          <w:szCs w:val="24"/>
        </w:rPr>
        <w:t xml:space="preserve"> (“</w:t>
      </w:r>
      <w:r w:rsidR="00576E4B">
        <w:rPr>
          <w:color w:val="000000"/>
          <w:szCs w:val="24"/>
        </w:rPr>
        <w:t>o</w:t>
      </w:r>
      <w:r w:rsidR="002B6618" w:rsidRPr="000409DA">
        <w:rPr>
          <w:color w:val="000000"/>
          <w:szCs w:val="24"/>
        </w:rPr>
        <w:t>ccupational and social impairment due to mild or transient symptoms which decrease work efficiency and ability to perform occupational tasks only during periods of significant stress, or; symptoms controlled by continuous medication”)</w:t>
      </w:r>
      <w:r w:rsidR="00703D2B" w:rsidRPr="000409DA">
        <w:rPr>
          <w:rFonts w:asciiTheme="minorHAnsi" w:hAnsiTheme="minorHAnsi"/>
          <w:color w:val="auto"/>
          <w:szCs w:val="24"/>
        </w:rPr>
        <w:t xml:space="preserve"> and recommends no change in the PEB’s adjudication.</w:t>
      </w:r>
    </w:p>
    <w:p w:rsidR="00703D2B" w:rsidRDefault="00703D2B" w:rsidP="00703D2B">
      <w:pPr>
        <w:jc w:val="both"/>
        <w:rPr>
          <w:rFonts w:asciiTheme="minorHAnsi" w:hAnsiTheme="minorHAnsi"/>
          <w:color w:val="auto"/>
          <w:szCs w:val="24"/>
        </w:rPr>
      </w:pPr>
    </w:p>
    <w:p w:rsidR="00576E4B" w:rsidRDefault="00015992" w:rsidP="00240DB0">
      <w:pPr>
        <w:jc w:val="both"/>
        <w:rPr>
          <w:color w:val="000000"/>
          <w:szCs w:val="24"/>
        </w:rPr>
      </w:pPr>
      <w:r w:rsidRPr="00015992">
        <w:rPr>
          <w:color w:val="000000"/>
          <w:szCs w:val="24"/>
          <w:u w:val="single"/>
        </w:rPr>
        <w:t xml:space="preserve">Chronic </w:t>
      </w:r>
      <w:r w:rsidR="004343B3">
        <w:rPr>
          <w:color w:val="000000"/>
          <w:szCs w:val="24"/>
          <w:u w:val="single"/>
        </w:rPr>
        <w:t>B</w:t>
      </w:r>
      <w:r w:rsidRPr="00015992">
        <w:rPr>
          <w:color w:val="000000"/>
          <w:szCs w:val="24"/>
          <w:u w:val="single"/>
        </w:rPr>
        <w:t xml:space="preserve">ack </w:t>
      </w:r>
      <w:r w:rsidR="004343B3">
        <w:rPr>
          <w:color w:val="000000"/>
          <w:szCs w:val="24"/>
          <w:u w:val="single"/>
        </w:rPr>
        <w:t>P</w:t>
      </w:r>
      <w:r w:rsidRPr="00015992">
        <w:rPr>
          <w:color w:val="000000"/>
          <w:szCs w:val="24"/>
          <w:u w:val="single"/>
        </w:rPr>
        <w:t>ain</w:t>
      </w:r>
      <w:r>
        <w:rPr>
          <w:color w:val="000000"/>
          <w:szCs w:val="24"/>
        </w:rPr>
        <w:t xml:space="preserve">.  </w:t>
      </w:r>
      <w:r w:rsidR="00FD3DDB">
        <w:rPr>
          <w:color w:val="000000"/>
          <w:szCs w:val="24"/>
        </w:rPr>
        <w:t>The CI had a several year history of chronic low back pain</w:t>
      </w:r>
      <w:r w:rsidR="00E7250A">
        <w:rPr>
          <w:color w:val="000000"/>
          <w:szCs w:val="24"/>
        </w:rPr>
        <w:t xml:space="preserve"> </w:t>
      </w:r>
      <w:r w:rsidR="00E7250A">
        <w:rPr>
          <w:color w:val="000000"/>
          <w:szCs w:val="24"/>
        </w:rPr>
        <w:br/>
        <w:t>(LBP)</w:t>
      </w:r>
      <w:r w:rsidR="00FD3DDB">
        <w:rPr>
          <w:color w:val="000000"/>
          <w:szCs w:val="24"/>
        </w:rPr>
        <w:t>.  In 1998, he underwent surgery for herniated L5-S1 disc</w:t>
      </w:r>
      <w:r w:rsidR="00DA77A8">
        <w:rPr>
          <w:color w:val="000000"/>
          <w:szCs w:val="24"/>
        </w:rPr>
        <w:t xml:space="preserve"> with left sided radiculopathy.</w:t>
      </w:r>
      <w:r w:rsidR="0080510A">
        <w:rPr>
          <w:color w:val="000000"/>
          <w:szCs w:val="24"/>
        </w:rPr>
        <w:t xml:space="preserve">  He experienced recurring pain attributed to scar tissue (epidural fibrosis).  Treatment with medication and epidural steroid injections did not result in significant improvement.  Examinations in 1999 demonstrated intact strength and reflexes.  Due to chronic back pain the </w:t>
      </w:r>
      <w:r w:rsidR="0080510A">
        <w:rPr>
          <w:color w:val="000000"/>
          <w:szCs w:val="24"/>
        </w:rPr>
        <w:lastRenderedPageBreak/>
        <w:t xml:space="preserve">CI was referred for </w:t>
      </w:r>
      <w:r w:rsidR="00B727EE">
        <w:rPr>
          <w:color w:val="000000"/>
          <w:szCs w:val="24"/>
        </w:rPr>
        <w:t xml:space="preserve">an </w:t>
      </w:r>
      <w:r w:rsidR="00576E4B">
        <w:rPr>
          <w:color w:val="000000"/>
          <w:szCs w:val="24"/>
        </w:rPr>
        <w:t xml:space="preserve">MEB in May 1999.  The </w:t>
      </w:r>
      <w:r w:rsidR="0080510A">
        <w:rPr>
          <w:color w:val="000000"/>
          <w:szCs w:val="24"/>
        </w:rPr>
        <w:t>PEB found the CI unfi</w:t>
      </w:r>
      <w:r w:rsidR="002B6618">
        <w:rPr>
          <w:color w:val="000000"/>
          <w:szCs w:val="24"/>
        </w:rPr>
        <w:t xml:space="preserve">t and rated the back </w:t>
      </w:r>
      <w:r w:rsidR="002B6618" w:rsidRPr="002B6618">
        <w:rPr>
          <w:color w:val="000000"/>
          <w:szCs w:val="24"/>
        </w:rPr>
        <w:t xml:space="preserve">condition </w:t>
      </w:r>
      <w:r w:rsidR="002B6618">
        <w:rPr>
          <w:color w:val="000000"/>
          <w:szCs w:val="24"/>
        </w:rPr>
        <w:t>1</w:t>
      </w:r>
      <w:r w:rsidR="0080510A" w:rsidRPr="002B6618">
        <w:rPr>
          <w:color w:val="000000"/>
          <w:szCs w:val="24"/>
        </w:rPr>
        <w:t>0%.</w:t>
      </w:r>
      <w:r w:rsidR="0080510A">
        <w:rPr>
          <w:color w:val="000000"/>
          <w:szCs w:val="24"/>
        </w:rPr>
        <w:t xml:space="preserve">  The CI appealed to the FPEB</w:t>
      </w:r>
      <w:r w:rsidR="00E27CC5">
        <w:rPr>
          <w:color w:val="000000"/>
          <w:szCs w:val="24"/>
        </w:rPr>
        <w:t>,</w:t>
      </w:r>
      <w:r w:rsidR="00B727EE">
        <w:rPr>
          <w:color w:val="000000"/>
          <w:szCs w:val="24"/>
        </w:rPr>
        <w:t xml:space="preserve"> on</w:t>
      </w:r>
      <w:r w:rsidR="0080510A">
        <w:rPr>
          <w:color w:val="000000"/>
          <w:szCs w:val="24"/>
        </w:rPr>
        <w:t xml:space="preserve"> </w:t>
      </w:r>
      <w:r w:rsidR="00731AAD">
        <w:rPr>
          <w:color w:val="000000"/>
          <w:szCs w:val="24"/>
        </w:rPr>
        <w:t>16</w:t>
      </w:r>
      <w:r w:rsidR="00E27CC5">
        <w:rPr>
          <w:color w:val="000000"/>
          <w:szCs w:val="24"/>
        </w:rPr>
        <w:t xml:space="preserve"> </w:t>
      </w:r>
      <w:r w:rsidR="00731AAD">
        <w:rPr>
          <w:color w:val="000000"/>
          <w:szCs w:val="24"/>
        </w:rPr>
        <w:t>Nov</w:t>
      </w:r>
      <w:r w:rsidR="00E27CC5">
        <w:rPr>
          <w:color w:val="000000"/>
          <w:szCs w:val="24"/>
        </w:rPr>
        <w:t>ember 19</w:t>
      </w:r>
      <w:r w:rsidR="00731AAD">
        <w:rPr>
          <w:color w:val="000000"/>
          <w:szCs w:val="24"/>
        </w:rPr>
        <w:t>99</w:t>
      </w:r>
      <w:r w:rsidR="00E27CC5">
        <w:rPr>
          <w:color w:val="000000"/>
          <w:szCs w:val="24"/>
        </w:rPr>
        <w:t xml:space="preserve">, </w:t>
      </w:r>
      <w:r w:rsidR="0080510A">
        <w:rPr>
          <w:color w:val="000000"/>
          <w:szCs w:val="24"/>
        </w:rPr>
        <w:t xml:space="preserve">and </w:t>
      </w:r>
      <w:r w:rsidR="00731AAD">
        <w:rPr>
          <w:color w:val="000000"/>
          <w:szCs w:val="24"/>
        </w:rPr>
        <w:t xml:space="preserve">contended </w:t>
      </w:r>
      <w:r w:rsidR="00E27CC5">
        <w:rPr>
          <w:color w:val="000000"/>
          <w:szCs w:val="24"/>
        </w:rPr>
        <w:t xml:space="preserve">he was </w:t>
      </w:r>
      <w:r w:rsidR="00731AAD">
        <w:rPr>
          <w:color w:val="000000"/>
          <w:szCs w:val="24"/>
        </w:rPr>
        <w:t>fit and could do his job.</w:t>
      </w:r>
      <w:r w:rsidR="00E27CC5">
        <w:rPr>
          <w:color w:val="000000"/>
          <w:szCs w:val="24"/>
        </w:rPr>
        <w:t xml:space="preserve">  The FPEB noted the CI had not sought any care for back pain since May 1999 and returned the CI to full duty.  The CI experienced recurrent back pain with radicular symptoms in the left leg and sought care in June 2000.  Magnetic resonance imaging </w:t>
      </w:r>
      <w:r w:rsidR="00576E4B">
        <w:rPr>
          <w:color w:val="000000"/>
          <w:szCs w:val="24"/>
        </w:rPr>
        <w:t xml:space="preserve">(MRI) </w:t>
      </w:r>
      <w:r w:rsidR="00E27CC5">
        <w:rPr>
          <w:color w:val="000000"/>
          <w:szCs w:val="24"/>
        </w:rPr>
        <w:t>in July 2000 demonstrated degenerative disc disease at L1-2 and L4-5 and “some” fibrosis at the L5-S1 level</w:t>
      </w:r>
      <w:r w:rsidR="00745CD3">
        <w:rPr>
          <w:color w:val="000000"/>
          <w:szCs w:val="24"/>
        </w:rPr>
        <w:t>, but no recurrent herniated disc.</w:t>
      </w:r>
      <w:r w:rsidR="00E27CC5">
        <w:rPr>
          <w:color w:val="000000"/>
          <w:szCs w:val="24"/>
        </w:rPr>
        <w:t xml:space="preserve">  Repeat epidural steroid inje</w:t>
      </w:r>
      <w:r w:rsidR="00745CD3">
        <w:rPr>
          <w:color w:val="000000"/>
          <w:szCs w:val="24"/>
        </w:rPr>
        <w:t xml:space="preserve">ction did not provide benefit.  Chronic pain was rated </w:t>
      </w:r>
      <w:r w:rsidR="00576E4B">
        <w:rPr>
          <w:color w:val="000000"/>
          <w:szCs w:val="24"/>
        </w:rPr>
        <w:t>3/10</w:t>
      </w:r>
      <w:r w:rsidR="00745CD3">
        <w:rPr>
          <w:color w:val="000000"/>
          <w:szCs w:val="24"/>
        </w:rPr>
        <w:t xml:space="preserve"> ten scale with increased pain to eight with exertion.  The orthopedic NARSUM, </w:t>
      </w:r>
      <w:r w:rsidR="00576E4B">
        <w:rPr>
          <w:color w:val="000000"/>
          <w:szCs w:val="24"/>
        </w:rPr>
        <w:t xml:space="preserve">dated </w:t>
      </w:r>
      <w:r w:rsidR="00745CD3">
        <w:rPr>
          <w:color w:val="000000"/>
          <w:szCs w:val="24"/>
        </w:rPr>
        <w:t>13 July 2001</w:t>
      </w:r>
      <w:r w:rsidR="00576E4B">
        <w:rPr>
          <w:color w:val="000000"/>
          <w:szCs w:val="24"/>
        </w:rPr>
        <w:t>,</w:t>
      </w:r>
      <w:r w:rsidR="00745CD3">
        <w:rPr>
          <w:color w:val="000000"/>
          <w:szCs w:val="24"/>
        </w:rPr>
        <w:t xml:space="preserve"> recorded that there had been no </w:t>
      </w:r>
      <w:r w:rsidR="00DA77A8">
        <w:rPr>
          <w:color w:val="000000"/>
          <w:szCs w:val="24"/>
        </w:rPr>
        <w:t xml:space="preserve">change in chronic low back pain since surgery </w:t>
      </w:r>
      <w:r w:rsidR="00E7250A">
        <w:rPr>
          <w:color w:val="000000"/>
          <w:szCs w:val="24"/>
        </w:rPr>
        <w:t>3</w:t>
      </w:r>
      <w:r w:rsidR="00DA77A8">
        <w:rPr>
          <w:color w:val="000000"/>
          <w:szCs w:val="24"/>
        </w:rPr>
        <w:t xml:space="preserve"> years </w:t>
      </w:r>
      <w:r w:rsidR="00620417">
        <w:rPr>
          <w:color w:val="000000"/>
          <w:szCs w:val="24"/>
        </w:rPr>
        <w:t>before</w:t>
      </w:r>
      <w:r w:rsidR="00DA77A8">
        <w:rPr>
          <w:color w:val="000000"/>
          <w:szCs w:val="24"/>
        </w:rPr>
        <w:t>.</w:t>
      </w:r>
      <w:r w:rsidR="00745CD3">
        <w:rPr>
          <w:color w:val="000000"/>
          <w:szCs w:val="24"/>
        </w:rPr>
        <w:t xml:space="preserve">  Neurologic examination, including strength, reflexes and sensation was normal.  Straight leg </w:t>
      </w:r>
      <w:proofErr w:type="gramStart"/>
      <w:r w:rsidR="00745CD3">
        <w:rPr>
          <w:color w:val="000000"/>
          <w:szCs w:val="24"/>
        </w:rPr>
        <w:t>raising</w:t>
      </w:r>
      <w:proofErr w:type="gramEnd"/>
      <w:r w:rsidR="00745CD3">
        <w:rPr>
          <w:color w:val="000000"/>
          <w:szCs w:val="24"/>
        </w:rPr>
        <w:t xml:space="preserve"> to 80 degrees was “</w:t>
      </w:r>
      <w:r w:rsidR="00DA77A8">
        <w:rPr>
          <w:color w:val="000000"/>
          <w:szCs w:val="24"/>
        </w:rPr>
        <w:t>without significant radiating pain</w:t>
      </w:r>
      <w:r w:rsidR="00576E4B">
        <w:rPr>
          <w:color w:val="000000"/>
          <w:szCs w:val="24"/>
        </w:rPr>
        <w:t>.</w:t>
      </w:r>
      <w:r w:rsidR="00745CD3">
        <w:rPr>
          <w:color w:val="000000"/>
          <w:szCs w:val="24"/>
        </w:rPr>
        <w:t xml:space="preserve">”  There is no </w:t>
      </w:r>
      <w:r w:rsidR="00576E4B">
        <w:rPr>
          <w:color w:val="000000"/>
          <w:szCs w:val="24"/>
        </w:rPr>
        <w:t>ROM</w:t>
      </w:r>
      <w:r w:rsidR="00745CD3">
        <w:rPr>
          <w:color w:val="000000"/>
          <w:szCs w:val="24"/>
        </w:rPr>
        <w:t xml:space="preserve"> examination documented in the NARSUM or </w:t>
      </w:r>
      <w:r w:rsidR="00576E4B">
        <w:rPr>
          <w:color w:val="000000"/>
          <w:szCs w:val="24"/>
        </w:rPr>
        <w:t>STR</w:t>
      </w:r>
      <w:r w:rsidR="00745CD3">
        <w:rPr>
          <w:color w:val="000000"/>
          <w:szCs w:val="24"/>
        </w:rPr>
        <w:t xml:space="preserve">.  No further </w:t>
      </w:r>
      <w:r w:rsidR="00576E4B">
        <w:rPr>
          <w:color w:val="000000"/>
          <w:szCs w:val="24"/>
        </w:rPr>
        <w:t>STR</w:t>
      </w:r>
      <w:r w:rsidR="00745CD3">
        <w:rPr>
          <w:color w:val="000000"/>
          <w:szCs w:val="24"/>
        </w:rPr>
        <w:t xml:space="preserve"> for back pain </w:t>
      </w:r>
      <w:proofErr w:type="gramStart"/>
      <w:r w:rsidR="00745CD3">
        <w:rPr>
          <w:color w:val="000000"/>
          <w:szCs w:val="24"/>
        </w:rPr>
        <w:t>are</w:t>
      </w:r>
      <w:proofErr w:type="gramEnd"/>
      <w:r w:rsidR="00745CD3">
        <w:rPr>
          <w:color w:val="000000"/>
          <w:szCs w:val="24"/>
        </w:rPr>
        <w:t xml:space="preserve"> present in the file after th</w:t>
      </w:r>
      <w:r w:rsidR="00620417">
        <w:rPr>
          <w:color w:val="000000"/>
          <w:szCs w:val="24"/>
        </w:rPr>
        <w:t>e date of the orthopedic NARSUM in July 2001.</w:t>
      </w:r>
      <w:r w:rsidR="00ED5BE5">
        <w:rPr>
          <w:color w:val="000000"/>
          <w:szCs w:val="24"/>
        </w:rPr>
        <w:t xml:space="preserve">  The VA C&amp;P examination</w:t>
      </w:r>
      <w:r w:rsidR="00B727EE">
        <w:rPr>
          <w:color w:val="000000"/>
          <w:szCs w:val="24"/>
        </w:rPr>
        <w:t xml:space="preserve"> on </w:t>
      </w:r>
      <w:r w:rsidR="00DA77A8" w:rsidRPr="00435B13">
        <w:rPr>
          <w:color w:val="000000"/>
          <w:szCs w:val="24"/>
        </w:rPr>
        <w:t>30</w:t>
      </w:r>
      <w:r w:rsidR="00ED5BE5">
        <w:rPr>
          <w:color w:val="000000"/>
          <w:szCs w:val="24"/>
        </w:rPr>
        <w:t xml:space="preserve"> </w:t>
      </w:r>
      <w:r w:rsidR="00DA77A8" w:rsidRPr="00435B13">
        <w:rPr>
          <w:color w:val="000000"/>
          <w:szCs w:val="24"/>
        </w:rPr>
        <w:t>Aug</w:t>
      </w:r>
      <w:r w:rsidR="00ED5BE5">
        <w:rPr>
          <w:color w:val="000000"/>
          <w:szCs w:val="24"/>
        </w:rPr>
        <w:t>ust 20</w:t>
      </w:r>
      <w:r w:rsidR="00DA77A8" w:rsidRPr="00435B13">
        <w:rPr>
          <w:color w:val="000000"/>
          <w:szCs w:val="24"/>
        </w:rPr>
        <w:t>01</w:t>
      </w:r>
      <w:r w:rsidR="00ED5BE5">
        <w:rPr>
          <w:color w:val="000000"/>
          <w:szCs w:val="24"/>
        </w:rPr>
        <w:t xml:space="preserve">, </w:t>
      </w:r>
      <w:r w:rsidR="00E7250A">
        <w:rPr>
          <w:color w:val="000000"/>
          <w:szCs w:val="24"/>
        </w:rPr>
        <w:t>2</w:t>
      </w:r>
      <w:r w:rsidR="00ED5BE5">
        <w:rPr>
          <w:color w:val="000000"/>
          <w:szCs w:val="24"/>
        </w:rPr>
        <w:t xml:space="preserve"> months </w:t>
      </w:r>
      <w:r w:rsidR="00576E4B">
        <w:rPr>
          <w:color w:val="000000"/>
          <w:szCs w:val="24"/>
        </w:rPr>
        <w:t xml:space="preserve">prior to </w:t>
      </w:r>
      <w:r w:rsidR="00ED5BE5">
        <w:rPr>
          <w:color w:val="000000"/>
          <w:szCs w:val="24"/>
        </w:rPr>
        <w:t xml:space="preserve">separation, documented lumbar </w:t>
      </w:r>
      <w:r w:rsidR="00576E4B">
        <w:rPr>
          <w:color w:val="000000"/>
          <w:szCs w:val="24"/>
        </w:rPr>
        <w:t>ROM</w:t>
      </w:r>
      <w:r w:rsidR="00ED5BE5">
        <w:rPr>
          <w:color w:val="000000"/>
          <w:szCs w:val="24"/>
        </w:rPr>
        <w:t xml:space="preserve">: flexion 50 degrees, extension 20 degrees, lateral bending 20 degrees bilaterally, and rotation 30 degrees bilaterally (combined 170 degrees).  There was tenderness, mild muscle spasm, and straightening of the normal </w:t>
      </w:r>
      <w:r w:rsidR="00ED5BE5" w:rsidRPr="00435B13">
        <w:rPr>
          <w:color w:val="000000"/>
          <w:szCs w:val="24"/>
        </w:rPr>
        <w:t>lordosis.</w:t>
      </w:r>
      <w:r w:rsidR="00ED5BE5">
        <w:rPr>
          <w:color w:val="000000"/>
          <w:szCs w:val="24"/>
        </w:rPr>
        <w:t xml:space="preserve">  Gait was normal.  Strength was normal, with intact sensation and intact</w:t>
      </w:r>
      <w:r w:rsidR="00A07953">
        <w:rPr>
          <w:color w:val="000000"/>
          <w:szCs w:val="24"/>
        </w:rPr>
        <w:t xml:space="preserve">, </w:t>
      </w:r>
      <w:r w:rsidR="00ED5BE5">
        <w:rPr>
          <w:color w:val="000000"/>
          <w:szCs w:val="24"/>
        </w:rPr>
        <w:t>normal reflexes.</w:t>
      </w:r>
      <w:r w:rsidR="000028B2">
        <w:rPr>
          <w:color w:val="000000"/>
          <w:szCs w:val="24"/>
        </w:rPr>
        <w:t xml:space="preserve">  </w:t>
      </w:r>
    </w:p>
    <w:p w:rsidR="00576E4B" w:rsidRDefault="00576E4B" w:rsidP="00240DB0">
      <w:pPr>
        <w:jc w:val="both"/>
        <w:rPr>
          <w:color w:val="000000"/>
          <w:szCs w:val="24"/>
        </w:rPr>
      </w:pPr>
    </w:p>
    <w:p w:rsidR="00E7250A" w:rsidRDefault="000028B2" w:rsidP="00240DB0">
      <w:pPr>
        <w:jc w:val="both"/>
        <w:rPr>
          <w:color w:val="000000"/>
          <w:szCs w:val="24"/>
        </w:rPr>
      </w:pPr>
      <w:r>
        <w:rPr>
          <w:color w:val="000000"/>
          <w:szCs w:val="24"/>
        </w:rPr>
        <w:t>An internal medicine examination in February 2002 also documented normal gait and normal strength, reflexes and sensation of the lower extremities.</w:t>
      </w:r>
      <w:r w:rsidR="009B09CB">
        <w:rPr>
          <w:color w:val="000000"/>
          <w:szCs w:val="24"/>
        </w:rPr>
        <w:t xml:space="preserve">  Pain medications were listed in the current medication list.</w:t>
      </w:r>
      <w:r w:rsidR="00240DB0">
        <w:rPr>
          <w:color w:val="000000"/>
          <w:szCs w:val="24"/>
        </w:rPr>
        <w:t xml:space="preserve">  </w:t>
      </w:r>
      <w:r>
        <w:rPr>
          <w:color w:val="000000"/>
          <w:szCs w:val="24"/>
        </w:rPr>
        <w:t xml:space="preserve">The </w:t>
      </w:r>
      <w:r w:rsidR="00DA77A8">
        <w:rPr>
          <w:color w:val="000000"/>
          <w:szCs w:val="24"/>
        </w:rPr>
        <w:t xml:space="preserve">PEB </w:t>
      </w:r>
      <w:r>
        <w:rPr>
          <w:color w:val="000000"/>
          <w:szCs w:val="24"/>
        </w:rPr>
        <w:t>rated the c</w:t>
      </w:r>
      <w:r w:rsidR="00DA77A8">
        <w:rPr>
          <w:color w:val="000000"/>
          <w:szCs w:val="24"/>
        </w:rPr>
        <w:t xml:space="preserve">hronic </w:t>
      </w:r>
      <w:r>
        <w:rPr>
          <w:color w:val="000000"/>
          <w:szCs w:val="24"/>
        </w:rPr>
        <w:t>b</w:t>
      </w:r>
      <w:r w:rsidR="00DA77A8">
        <w:rPr>
          <w:color w:val="000000"/>
          <w:szCs w:val="24"/>
        </w:rPr>
        <w:t xml:space="preserve">ack </w:t>
      </w:r>
      <w:r>
        <w:rPr>
          <w:color w:val="000000"/>
          <w:szCs w:val="24"/>
        </w:rPr>
        <w:t>p</w:t>
      </w:r>
      <w:r w:rsidR="00DA77A8">
        <w:rPr>
          <w:color w:val="000000"/>
          <w:szCs w:val="24"/>
        </w:rPr>
        <w:t>ain</w:t>
      </w:r>
      <w:r w:rsidR="00284FFD">
        <w:rPr>
          <w:color w:val="000000"/>
          <w:szCs w:val="24"/>
        </w:rPr>
        <w:t xml:space="preserve"> (coded 5299-5295) </w:t>
      </w:r>
      <w:r>
        <w:rPr>
          <w:color w:val="000000"/>
          <w:szCs w:val="24"/>
        </w:rPr>
        <w:t>10% using the guidelines for lumbosacral strain (5295)</w:t>
      </w:r>
      <w:r w:rsidR="00284FFD">
        <w:rPr>
          <w:color w:val="000000"/>
          <w:szCs w:val="24"/>
        </w:rPr>
        <w:t>.</w:t>
      </w:r>
      <w:r>
        <w:rPr>
          <w:color w:val="000000"/>
          <w:szCs w:val="24"/>
        </w:rPr>
        <w:t xml:space="preserve">  </w:t>
      </w:r>
      <w:r w:rsidR="00284FFD">
        <w:rPr>
          <w:color w:val="000000"/>
          <w:szCs w:val="24"/>
        </w:rPr>
        <w:t>The VA rated the back condition (d</w:t>
      </w:r>
      <w:r w:rsidR="00DA77A8">
        <w:rPr>
          <w:color w:val="000000"/>
          <w:szCs w:val="24"/>
        </w:rPr>
        <w:t>egenerative changes, lumbosacral spine,</w:t>
      </w:r>
      <w:r w:rsidR="00576E4B">
        <w:rPr>
          <w:color w:val="000000"/>
          <w:szCs w:val="24"/>
        </w:rPr>
        <w:t xml:space="preserve"> status post lumbar </w:t>
      </w:r>
      <w:proofErr w:type="spellStart"/>
      <w:r w:rsidR="00576E4B">
        <w:rPr>
          <w:color w:val="000000"/>
          <w:szCs w:val="24"/>
        </w:rPr>
        <w:t>laminectomy</w:t>
      </w:r>
      <w:proofErr w:type="spellEnd"/>
      <w:r w:rsidR="00576E4B">
        <w:rPr>
          <w:color w:val="000000"/>
          <w:szCs w:val="24"/>
        </w:rPr>
        <w:t>/</w:t>
      </w:r>
      <w:proofErr w:type="spellStart"/>
      <w:r w:rsidR="00DA77A8">
        <w:rPr>
          <w:color w:val="000000"/>
          <w:szCs w:val="24"/>
        </w:rPr>
        <w:t>discectomy</w:t>
      </w:r>
      <w:proofErr w:type="spellEnd"/>
      <w:r w:rsidR="00DA77A8">
        <w:rPr>
          <w:color w:val="000000"/>
          <w:szCs w:val="24"/>
        </w:rPr>
        <w:t xml:space="preserve"> with residuals</w:t>
      </w:r>
      <w:r w:rsidR="00284FFD">
        <w:rPr>
          <w:color w:val="000000"/>
          <w:szCs w:val="24"/>
        </w:rPr>
        <w:t xml:space="preserve">) 40% (coded </w:t>
      </w:r>
      <w:r w:rsidR="00DA77A8">
        <w:rPr>
          <w:color w:val="000000"/>
          <w:szCs w:val="24"/>
        </w:rPr>
        <w:t>5010-5293</w:t>
      </w:r>
      <w:r w:rsidR="00284FFD">
        <w:rPr>
          <w:color w:val="000000"/>
          <w:szCs w:val="24"/>
        </w:rPr>
        <w:t>) using the guidelines for intervertebral disc syndrome (5293).</w:t>
      </w:r>
      <w:r w:rsidR="00481269">
        <w:rPr>
          <w:color w:val="000000"/>
          <w:szCs w:val="24"/>
        </w:rPr>
        <w:t xml:space="preserve">  As noted previously, the CI’s back condition was rated in accordance with VASRD guidelines in effect at that time.  </w:t>
      </w:r>
      <w:r w:rsidR="00481269" w:rsidRPr="00284FFD">
        <w:rPr>
          <w:color w:val="000000"/>
          <w:szCs w:val="24"/>
        </w:rPr>
        <w:t>The Board must correlate the above clinical data with the 200</w:t>
      </w:r>
      <w:r w:rsidR="00481269">
        <w:rPr>
          <w:color w:val="000000"/>
          <w:szCs w:val="24"/>
        </w:rPr>
        <w:t>1</w:t>
      </w:r>
      <w:r w:rsidR="00481269" w:rsidRPr="00284FFD">
        <w:rPr>
          <w:color w:val="000000"/>
          <w:szCs w:val="24"/>
        </w:rPr>
        <w:t xml:space="preserve"> rating schedule (applicable diagnostic codes include: 5292 limitation of lumbar spine motion; 5293 intervertebral disc syndrome; and 5295 </w:t>
      </w:r>
      <w:proofErr w:type="spellStart"/>
      <w:r w:rsidR="00576E4B">
        <w:rPr>
          <w:color w:val="000000"/>
          <w:szCs w:val="24"/>
        </w:rPr>
        <w:t>l</w:t>
      </w:r>
      <w:r w:rsidR="00481269" w:rsidRPr="00284FFD">
        <w:rPr>
          <w:color w:val="000000"/>
          <w:szCs w:val="24"/>
        </w:rPr>
        <w:t>umbosacral</w:t>
      </w:r>
      <w:proofErr w:type="spellEnd"/>
      <w:r w:rsidR="00481269" w:rsidRPr="00284FFD">
        <w:rPr>
          <w:color w:val="000000"/>
          <w:szCs w:val="24"/>
        </w:rPr>
        <w:t xml:space="preserve"> strain</w:t>
      </w:r>
      <w:r w:rsidR="00481269">
        <w:rPr>
          <w:color w:val="000000"/>
          <w:szCs w:val="24"/>
        </w:rPr>
        <w:t>.  There was no ankylosis for rating under 5289</w:t>
      </w:r>
      <w:r w:rsidR="00481269" w:rsidRPr="00284FFD">
        <w:rPr>
          <w:color w:val="000000"/>
          <w:szCs w:val="24"/>
        </w:rPr>
        <w:t>).</w:t>
      </w:r>
      <w:r w:rsidR="00A07953">
        <w:rPr>
          <w:color w:val="000000"/>
          <w:szCs w:val="24"/>
        </w:rPr>
        <w:t xml:space="preserve">  </w:t>
      </w:r>
      <w:r w:rsidR="00481269">
        <w:rPr>
          <w:color w:val="000000"/>
          <w:szCs w:val="24"/>
        </w:rPr>
        <w:t>Neither the PEB nor the VA adjudicated a rating using the code for limitation of lumbar spine motion (5292).  At that time, the VASRD rating guidelines in effect provided for separate ratings for limited moti</w:t>
      </w:r>
      <w:r w:rsidR="00705F88">
        <w:rPr>
          <w:color w:val="000000"/>
          <w:szCs w:val="24"/>
        </w:rPr>
        <w:t>o</w:t>
      </w:r>
      <w:r w:rsidR="00481269">
        <w:rPr>
          <w:color w:val="000000"/>
          <w:szCs w:val="24"/>
        </w:rPr>
        <w:t xml:space="preserve">n of the dorsal (thoracic) spine (5291) and lumbar spine (5292).  VA C&amp;P examinations </w:t>
      </w:r>
      <w:r w:rsidR="000F03FE">
        <w:rPr>
          <w:color w:val="000000"/>
          <w:szCs w:val="24"/>
        </w:rPr>
        <w:t xml:space="preserve">therefore </w:t>
      </w:r>
      <w:r w:rsidR="00481269">
        <w:rPr>
          <w:color w:val="000000"/>
          <w:szCs w:val="24"/>
        </w:rPr>
        <w:t xml:space="preserve">would be expected to be performed in a manner that would </w:t>
      </w:r>
      <w:r w:rsidR="000F03FE">
        <w:rPr>
          <w:color w:val="000000"/>
          <w:szCs w:val="24"/>
        </w:rPr>
        <w:t xml:space="preserve">report </w:t>
      </w:r>
      <w:r w:rsidR="00481269">
        <w:rPr>
          <w:color w:val="000000"/>
          <w:szCs w:val="24"/>
        </w:rPr>
        <w:t xml:space="preserve">examination findings consistent with the rating guidelines, in this case a lumbar range of motion rather than the combined thoracolumbar </w:t>
      </w:r>
      <w:r w:rsidR="00E7250A">
        <w:rPr>
          <w:color w:val="000000"/>
          <w:szCs w:val="24"/>
        </w:rPr>
        <w:t>ROM</w:t>
      </w:r>
      <w:r w:rsidR="00705F88">
        <w:rPr>
          <w:color w:val="000000"/>
          <w:szCs w:val="24"/>
        </w:rPr>
        <w:t xml:space="preserve"> that is measured and used under the current VASRD guidelines that became effective after the CI was separated.</w:t>
      </w:r>
      <w:r w:rsidR="00240DB0">
        <w:rPr>
          <w:color w:val="000000"/>
          <w:szCs w:val="24"/>
        </w:rPr>
        <w:t xml:space="preserve">  </w:t>
      </w:r>
      <w:r w:rsidR="00705F88">
        <w:rPr>
          <w:color w:val="000000"/>
          <w:szCs w:val="24"/>
        </w:rPr>
        <w:t xml:space="preserve">The reported lumbar flexion of 50 degrees is close to the normal lumbar flexion of 60 degrees and more nearly approximates the 10% rating under 5292 than the 20%.  This </w:t>
      </w:r>
      <w:r w:rsidR="000F03FE">
        <w:rPr>
          <w:color w:val="000000"/>
          <w:szCs w:val="24"/>
        </w:rPr>
        <w:t xml:space="preserve">conclusion </w:t>
      </w:r>
      <w:r w:rsidR="00705F88">
        <w:rPr>
          <w:color w:val="000000"/>
          <w:szCs w:val="24"/>
        </w:rPr>
        <w:t xml:space="preserve">is consistent with the fact that the VA chose to rate under 5293, intervertebral disc syndrome, as a higher rating resulted under that code.  </w:t>
      </w:r>
    </w:p>
    <w:p w:rsidR="00E7250A" w:rsidRDefault="00E7250A" w:rsidP="00240DB0">
      <w:pPr>
        <w:jc w:val="both"/>
        <w:rPr>
          <w:color w:val="000000"/>
          <w:szCs w:val="24"/>
        </w:rPr>
      </w:pPr>
    </w:p>
    <w:p w:rsidR="00426E62" w:rsidRDefault="00705F88" w:rsidP="00240DB0">
      <w:pPr>
        <w:jc w:val="both"/>
        <w:rPr>
          <w:rFonts w:asciiTheme="minorHAnsi" w:hAnsiTheme="minorHAnsi"/>
          <w:color w:val="auto"/>
          <w:szCs w:val="24"/>
        </w:rPr>
      </w:pPr>
      <w:proofErr w:type="gramStart"/>
      <w:r>
        <w:rPr>
          <w:color w:val="000000"/>
          <w:szCs w:val="24"/>
        </w:rPr>
        <w:t>The Board next considered rating under the code used by the PEB, 5295, lumbosacral strain.</w:t>
      </w:r>
      <w:proofErr w:type="gramEnd"/>
      <w:r>
        <w:rPr>
          <w:color w:val="000000"/>
          <w:szCs w:val="24"/>
        </w:rPr>
        <w:t xml:space="preserve">  </w:t>
      </w:r>
      <w:r w:rsidR="000F03FE">
        <w:rPr>
          <w:color w:val="000000"/>
          <w:szCs w:val="24"/>
        </w:rPr>
        <w:t>Board members agreed that the preponderance of evidence did not support a rating higher than the 10% adjudicated by the PEB using this diagnostic code.</w:t>
      </w:r>
      <w:r>
        <w:rPr>
          <w:color w:val="000000"/>
          <w:szCs w:val="24"/>
        </w:rPr>
        <w:t xml:space="preserve">  </w:t>
      </w:r>
      <w:r w:rsidR="000F03FE">
        <w:rPr>
          <w:color w:val="000000"/>
          <w:szCs w:val="24"/>
        </w:rPr>
        <w:t xml:space="preserve">Finally, the Board considered rating under the code for intervertebral disc syndrome (5293) applied by the VA.  The CI had intervertebral disc disease with radicular symptoms but without objective neurologic findings and negative provocative examination tests.  Board members agreed the absence of objective neurologic findings did not support the 60% rating under the 5293 diagnostic code.  Board members also agreed that the preponderance of evidence did not support the 40% level for severe recurring attacks with intermittent relief.  The Board made note of the fact that the orthopedic NARSUM recorded CI report that the pain had been unchanged since surgery in 1998 and that at the time of the FPEB in November 1999, the CI testified that he was able to perform his duty despite his low back pain.  The severity of complaints of back pain correlated with his motivation to remain or get out of the Navy.  The Board deliberated whether the CI’s </w:t>
      </w:r>
      <w:r w:rsidR="00E7250A">
        <w:rPr>
          <w:color w:val="000000"/>
          <w:szCs w:val="24"/>
        </w:rPr>
        <w:lastRenderedPageBreak/>
        <w:t>LBP</w:t>
      </w:r>
      <w:r w:rsidR="000F03FE">
        <w:rPr>
          <w:color w:val="000000"/>
          <w:szCs w:val="24"/>
        </w:rPr>
        <w:t xml:space="preserve"> condition more nearly approximated moderate with recurring attacks (20%) or mild (10%).  A flare was noted in June 2000, over </w:t>
      </w:r>
      <w:r w:rsidR="00E7250A">
        <w:rPr>
          <w:color w:val="000000"/>
          <w:szCs w:val="24"/>
        </w:rPr>
        <w:t>a</w:t>
      </w:r>
      <w:r w:rsidR="000F03FE">
        <w:rPr>
          <w:color w:val="000000"/>
          <w:szCs w:val="24"/>
        </w:rPr>
        <w:t xml:space="preserve"> year </w:t>
      </w:r>
      <w:r w:rsidR="00E7250A">
        <w:rPr>
          <w:color w:val="000000"/>
          <w:szCs w:val="24"/>
        </w:rPr>
        <w:t>prior to</w:t>
      </w:r>
      <w:r w:rsidR="000F03FE">
        <w:rPr>
          <w:color w:val="000000"/>
          <w:szCs w:val="24"/>
        </w:rPr>
        <w:t xml:space="preserve"> separation.  No care for exacerbations was documented in the </w:t>
      </w:r>
      <w:r w:rsidR="00576E4B">
        <w:rPr>
          <w:color w:val="000000"/>
          <w:szCs w:val="24"/>
        </w:rPr>
        <w:t>STR</w:t>
      </w:r>
      <w:r w:rsidR="000F03FE">
        <w:rPr>
          <w:color w:val="000000"/>
          <w:szCs w:val="24"/>
        </w:rPr>
        <w:t xml:space="preserve"> after December 2000, and there are no VA treatment records for back pain in the months after separation (it is unknown if </w:t>
      </w:r>
      <w:r w:rsidR="000F03FE" w:rsidRPr="004343B3">
        <w:rPr>
          <w:color w:val="000000"/>
          <w:szCs w:val="24"/>
        </w:rPr>
        <w:t xml:space="preserve">received care elsewhere or he did not </w:t>
      </w:r>
      <w:r w:rsidR="000F03FE">
        <w:rPr>
          <w:color w:val="000000"/>
          <w:szCs w:val="24"/>
        </w:rPr>
        <w:t>require care).</w:t>
      </w:r>
      <w:r w:rsidR="00240DB0">
        <w:rPr>
          <w:color w:val="000000"/>
          <w:szCs w:val="24"/>
        </w:rPr>
        <w:t xml:space="preserve">  </w:t>
      </w:r>
      <w:r w:rsidR="000F03FE">
        <w:rPr>
          <w:color w:val="000000"/>
          <w:szCs w:val="24"/>
        </w:rPr>
        <w:t xml:space="preserve">The commander’s </w:t>
      </w:r>
      <w:r w:rsidR="00576E4B">
        <w:rPr>
          <w:color w:val="000000"/>
          <w:szCs w:val="24"/>
        </w:rPr>
        <w:t>NMA</w:t>
      </w:r>
      <w:r w:rsidR="000F03FE">
        <w:rPr>
          <w:color w:val="000000"/>
          <w:szCs w:val="24"/>
        </w:rPr>
        <w:t xml:space="preserve"> reported good duty performance despite the chronic back pain </w:t>
      </w:r>
      <w:r w:rsidR="00240DB0">
        <w:rPr>
          <w:color w:val="000000"/>
          <w:szCs w:val="24"/>
        </w:rPr>
        <w:t xml:space="preserve">but </w:t>
      </w:r>
      <w:r w:rsidR="00A07953">
        <w:rPr>
          <w:color w:val="000000"/>
          <w:szCs w:val="24"/>
        </w:rPr>
        <w:t xml:space="preserve">the CI was </w:t>
      </w:r>
      <w:r w:rsidR="00240DB0">
        <w:rPr>
          <w:color w:val="000000"/>
          <w:szCs w:val="24"/>
        </w:rPr>
        <w:t xml:space="preserve">assigned to sedentary duties that allowed for avoidance of prolonged standing or sitting.  The CI’s chronic pain prevented </w:t>
      </w:r>
      <w:r w:rsidR="00A07953">
        <w:rPr>
          <w:color w:val="000000"/>
          <w:szCs w:val="24"/>
        </w:rPr>
        <w:t xml:space="preserve">his </w:t>
      </w:r>
      <w:r w:rsidR="00240DB0">
        <w:rPr>
          <w:color w:val="000000"/>
          <w:szCs w:val="24"/>
        </w:rPr>
        <w:t xml:space="preserve">ability to perform the physical fitness test or engage in strenuous activities.  The Board considered the underlying pathology including post-operative epidural fibrosis refractory to treatment, and the functional impairments reflected in examinations and the commander’s </w:t>
      </w:r>
      <w:r w:rsidR="00576E4B">
        <w:rPr>
          <w:color w:val="000000"/>
          <w:szCs w:val="24"/>
        </w:rPr>
        <w:t>NMA</w:t>
      </w:r>
      <w:r w:rsidR="00240DB0">
        <w:rPr>
          <w:color w:val="000000"/>
          <w:szCs w:val="24"/>
        </w:rPr>
        <w:t xml:space="preserve">.  </w:t>
      </w:r>
      <w:r w:rsidR="000F03FE">
        <w:rPr>
          <w:color w:val="000000"/>
          <w:szCs w:val="24"/>
        </w:rPr>
        <w:t>Board members concluded that using the guidelines under 5293, the CI’s back condition more nearly approximated the 20% rating</w:t>
      </w:r>
      <w:r w:rsidR="00240DB0">
        <w:rPr>
          <w:color w:val="000000"/>
          <w:szCs w:val="24"/>
        </w:rPr>
        <w:t xml:space="preserve"> based </w:t>
      </w:r>
      <w:r w:rsidR="00A07953">
        <w:rPr>
          <w:color w:val="000000"/>
          <w:szCs w:val="24"/>
        </w:rPr>
        <w:t xml:space="preserve">on </w:t>
      </w:r>
      <w:r w:rsidR="00240DB0">
        <w:rPr>
          <w:color w:val="000000"/>
          <w:szCs w:val="24"/>
        </w:rPr>
        <w:t xml:space="preserve">moderate impairment due to the back condition.  </w:t>
      </w:r>
      <w:r w:rsidR="00426E62" w:rsidRPr="00A84C82">
        <w:rPr>
          <w:rFonts w:asciiTheme="minorHAnsi" w:hAnsiTheme="minorHAnsi"/>
          <w:color w:val="auto"/>
          <w:szCs w:val="24"/>
        </w:rPr>
        <w:t>After due deliberation, considering all of the evidence,</w:t>
      </w:r>
      <w:r w:rsidR="00426E62">
        <w:rPr>
          <w:rFonts w:asciiTheme="minorHAnsi" w:hAnsiTheme="minorHAnsi"/>
          <w:color w:val="auto"/>
          <w:szCs w:val="24"/>
        </w:rPr>
        <w:t xml:space="preserve"> </w:t>
      </w:r>
      <w:r w:rsidR="00426E62" w:rsidRPr="00A84C82">
        <w:rPr>
          <w:rFonts w:asciiTheme="minorHAnsi" w:hAnsiTheme="minorHAnsi"/>
          <w:color w:val="auto"/>
          <w:szCs w:val="24"/>
        </w:rPr>
        <w:t>and IAW §4.3 (reasonable doubt), the Board concluded that there was sufficient cause to recommend a separation rating of 20% for the back pain condition, coded 52</w:t>
      </w:r>
      <w:r w:rsidR="00426E62">
        <w:rPr>
          <w:rFonts w:asciiTheme="minorHAnsi" w:hAnsiTheme="minorHAnsi"/>
          <w:color w:val="auto"/>
          <w:szCs w:val="24"/>
        </w:rPr>
        <w:t>93.</w:t>
      </w:r>
    </w:p>
    <w:p w:rsidR="00CC24AC" w:rsidRDefault="00CC24AC" w:rsidP="00CC24AC">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401681" w:rsidRPr="00F64312" w:rsidRDefault="00C56FC8" w:rsidP="00401681">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40DB0">
        <w:rPr>
          <w:rFonts w:eastAsia="Calibri"/>
          <w:color w:val="000000"/>
          <w:szCs w:val="24"/>
        </w:rPr>
        <w:t xml:space="preserve">  </w:t>
      </w:r>
      <w:r w:rsidR="00BB0AAB" w:rsidRPr="00240DB0">
        <w:rPr>
          <w:rFonts w:eastAsia="Calibri"/>
          <w:color w:val="000000"/>
          <w:szCs w:val="24"/>
        </w:rPr>
        <w:t xml:space="preserve">In the matter of the </w:t>
      </w:r>
      <w:r w:rsidR="00E7250A">
        <w:rPr>
          <w:rFonts w:eastAsia="Calibri"/>
          <w:color w:val="000000"/>
          <w:szCs w:val="24"/>
        </w:rPr>
        <w:t>MDD</w:t>
      </w:r>
      <w:r w:rsidR="00BB0AAB" w:rsidRPr="00240DB0">
        <w:rPr>
          <w:rFonts w:eastAsia="Calibri"/>
          <w:color w:val="000000"/>
          <w:szCs w:val="24"/>
        </w:rPr>
        <w:t xml:space="preserve"> condition and IAW VASRD §4.130, the Board unanimously recommends no change in the PEB adjudication.  In the matter of the chronic </w:t>
      </w:r>
      <w:r w:rsidR="00E7250A">
        <w:rPr>
          <w:rFonts w:eastAsia="Calibri"/>
          <w:color w:val="000000"/>
          <w:szCs w:val="24"/>
        </w:rPr>
        <w:t>LBP</w:t>
      </w:r>
      <w:r w:rsidR="00BB0AAB" w:rsidRPr="00240DB0">
        <w:rPr>
          <w:rFonts w:eastAsia="Calibri"/>
          <w:color w:val="000000"/>
          <w:szCs w:val="24"/>
        </w:rPr>
        <w:t xml:space="preserve"> condition, the Board unanimously recommends a disability rating of 20%, coded 5293 IAW VASRD §4.71a.</w:t>
      </w:r>
      <w:r w:rsidR="00240DB0" w:rsidRPr="00240DB0">
        <w:rPr>
          <w:rFonts w:eastAsia="Calibri"/>
          <w:color w:val="000000"/>
          <w:szCs w:val="24"/>
        </w:rPr>
        <w:t xml:space="preserve">  </w:t>
      </w:r>
      <w:r w:rsidR="00401681" w:rsidRPr="00240DB0">
        <w:rPr>
          <w:rFonts w:eastAsia="Calibri"/>
          <w:color w:val="000000"/>
          <w:szCs w:val="24"/>
        </w:rPr>
        <w:t>There were no other conditions within the Board’s scope of review for consideration</w:t>
      </w:r>
      <w:r w:rsidR="00401681" w:rsidRPr="00F64312">
        <w:rPr>
          <w:rFonts w:eastAsia="Calibri" w:cs="Times New Roman"/>
          <w:color w:val="auto"/>
          <w:szCs w:val="24"/>
        </w:rPr>
        <w:t xml:space="preserve">.  </w:t>
      </w:r>
    </w:p>
    <w:p w:rsidR="00401681" w:rsidRPr="001F29F9" w:rsidRDefault="00401681" w:rsidP="00BF0E94">
      <w:pPr>
        <w:pBdr>
          <w:bottom w:val="single" w:sz="12" w:space="1" w:color="auto"/>
        </w:pBdr>
        <w:tabs>
          <w:tab w:val="left" w:pos="288"/>
          <w:tab w:val="left" w:pos="4752"/>
        </w:tabs>
        <w:jc w:val="both"/>
        <w:rPr>
          <w:color w:val="000000"/>
        </w:rPr>
      </w:pPr>
    </w:p>
    <w:p w:rsidR="003B34E5" w:rsidRDefault="003B34E5" w:rsidP="00BF0E94">
      <w:pPr>
        <w:jc w:val="left"/>
        <w:rPr>
          <w:color w:val="000000"/>
          <w:szCs w:val="24"/>
          <w:u w:val="single"/>
        </w:rPr>
      </w:pPr>
    </w:p>
    <w:p w:rsidR="000F2254" w:rsidRPr="001F29F9" w:rsidRDefault="00C56FC8" w:rsidP="00B727EE">
      <w:pPr>
        <w:jc w:val="both"/>
        <w:rPr>
          <w:color w:val="000000"/>
          <w:szCs w:val="24"/>
        </w:rPr>
      </w:pPr>
      <w:r w:rsidRPr="001F29F9">
        <w:rPr>
          <w:color w:val="000000"/>
          <w:szCs w:val="24"/>
          <w:u w:val="single"/>
        </w:rPr>
        <w:t>RECOMMENDATION</w:t>
      </w:r>
      <w:r w:rsidRPr="001F29F9">
        <w:rPr>
          <w:color w:val="000000"/>
          <w:szCs w:val="24"/>
        </w:rPr>
        <w:t>:</w:t>
      </w:r>
      <w:r w:rsidR="0097334A">
        <w:rPr>
          <w:color w:val="000000"/>
          <w:szCs w:val="24"/>
        </w:rPr>
        <w:t xml:space="preserve">  </w:t>
      </w:r>
      <w:r w:rsidR="000F2254" w:rsidRPr="001F29F9">
        <w:rPr>
          <w:color w:val="000000"/>
          <w:szCs w:val="24"/>
        </w:rPr>
        <w:t>The Board recommends that the CI’s prior determination be modified as follows and that the discharge with severance pay be recharacterized to reflect permanent disability retirement, effective as of the date of hi</w:t>
      </w:r>
      <w:r w:rsidR="000F2254">
        <w:rPr>
          <w:color w:val="000000"/>
          <w:szCs w:val="24"/>
        </w:rPr>
        <w:t xml:space="preserve">s </w:t>
      </w:r>
      <w:r w:rsidR="000F2254" w:rsidRPr="001F29F9">
        <w:rPr>
          <w:color w:val="000000"/>
          <w:szCs w:val="24"/>
        </w:rPr>
        <w:t>prior medical separation:</w:t>
      </w:r>
    </w:p>
    <w:p w:rsidR="00401681" w:rsidRPr="00F64312" w:rsidRDefault="00401681" w:rsidP="00401681">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401681" w:rsidRPr="00F64312" w:rsidTr="00284FFD">
        <w:trPr>
          <w:trHeight w:val="233"/>
          <w:jc w:val="center"/>
        </w:trPr>
        <w:tc>
          <w:tcPr>
            <w:tcW w:w="6768" w:type="dxa"/>
            <w:shd w:val="clear" w:color="auto" w:fill="D9D9D9"/>
            <w:vAlign w:val="center"/>
          </w:tcPr>
          <w:p w:rsidR="00401681" w:rsidRPr="00F64312" w:rsidRDefault="00401681" w:rsidP="00284FFD">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401681" w:rsidRPr="00F64312" w:rsidRDefault="00401681" w:rsidP="00284FFD">
            <w:pPr>
              <w:tabs>
                <w:tab w:val="left" w:pos="288"/>
                <w:tab w:val="left" w:pos="4752"/>
              </w:tabs>
              <w:rPr>
                <w:b/>
                <w:color w:val="auto"/>
              </w:rPr>
            </w:pPr>
            <w:r w:rsidRPr="00F64312">
              <w:rPr>
                <w:b/>
                <w:color w:val="auto"/>
              </w:rPr>
              <w:t>VASRD CODE</w:t>
            </w:r>
          </w:p>
        </w:tc>
        <w:tc>
          <w:tcPr>
            <w:tcW w:w="1026" w:type="dxa"/>
            <w:shd w:val="clear" w:color="auto" w:fill="D9D9D9"/>
            <w:vAlign w:val="center"/>
          </w:tcPr>
          <w:p w:rsidR="00401681" w:rsidRPr="00F64312" w:rsidRDefault="00401681" w:rsidP="00284FFD">
            <w:pPr>
              <w:tabs>
                <w:tab w:val="left" w:pos="288"/>
                <w:tab w:val="left" w:pos="4752"/>
              </w:tabs>
              <w:rPr>
                <w:b/>
                <w:color w:val="auto"/>
              </w:rPr>
            </w:pPr>
            <w:r w:rsidRPr="00F64312">
              <w:rPr>
                <w:b/>
                <w:color w:val="auto"/>
              </w:rPr>
              <w:t>RATING</w:t>
            </w:r>
          </w:p>
        </w:tc>
      </w:tr>
      <w:tr w:rsidR="00401681" w:rsidRPr="00F64312" w:rsidTr="00284FFD">
        <w:trPr>
          <w:jc w:val="center"/>
        </w:trPr>
        <w:tc>
          <w:tcPr>
            <w:tcW w:w="6768" w:type="dxa"/>
            <w:vAlign w:val="center"/>
          </w:tcPr>
          <w:p w:rsidR="00401681" w:rsidRPr="00F64312" w:rsidRDefault="009C6098" w:rsidP="00284FFD">
            <w:pPr>
              <w:tabs>
                <w:tab w:val="left" w:pos="288"/>
                <w:tab w:val="left" w:pos="4752"/>
              </w:tabs>
              <w:jc w:val="left"/>
              <w:rPr>
                <w:color w:val="auto"/>
              </w:rPr>
            </w:pPr>
            <w:r>
              <w:rPr>
                <w:color w:val="auto"/>
              </w:rPr>
              <w:t>Major Depressive Disorder, Recurrent, Severe</w:t>
            </w:r>
          </w:p>
        </w:tc>
        <w:tc>
          <w:tcPr>
            <w:tcW w:w="1530" w:type="dxa"/>
            <w:vAlign w:val="center"/>
          </w:tcPr>
          <w:p w:rsidR="00401681" w:rsidRPr="009C6098" w:rsidRDefault="009C6098" w:rsidP="00284FFD">
            <w:pPr>
              <w:tabs>
                <w:tab w:val="left" w:pos="288"/>
                <w:tab w:val="left" w:pos="4752"/>
              </w:tabs>
              <w:rPr>
                <w:color w:val="auto"/>
              </w:rPr>
            </w:pPr>
            <w:r w:rsidRPr="009C6098">
              <w:rPr>
                <w:color w:val="auto"/>
              </w:rPr>
              <w:t>9434</w:t>
            </w:r>
          </w:p>
        </w:tc>
        <w:tc>
          <w:tcPr>
            <w:tcW w:w="1026" w:type="dxa"/>
            <w:vAlign w:val="center"/>
          </w:tcPr>
          <w:p w:rsidR="00401681" w:rsidRPr="009C6098" w:rsidRDefault="009C6098" w:rsidP="00284FFD">
            <w:pPr>
              <w:tabs>
                <w:tab w:val="left" w:pos="288"/>
                <w:tab w:val="left" w:pos="4752"/>
              </w:tabs>
              <w:rPr>
                <w:color w:val="auto"/>
              </w:rPr>
            </w:pPr>
            <w:r w:rsidRPr="009C6098">
              <w:rPr>
                <w:color w:val="auto"/>
              </w:rPr>
              <w:t>10%</w:t>
            </w:r>
          </w:p>
        </w:tc>
      </w:tr>
      <w:tr w:rsidR="009C6098" w:rsidRPr="00F64312" w:rsidTr="00284FFD">
        <w:trPr>
          <w:jc w:val="center"/>
        </w:trPr>
        <w:tc>
          <w:tcPr>
            <w:tcW w:w="6768" w:type="dxa"/>
            <w:vAlign w:val="center"/>
          </w:tcPr>
          <w:p w:rsidR="009C6098" w:rsidRPr="00F64312" w:rsidRDefault="009C6098" w:rsidP="00284FFD">
            <w:pPr>
              <w:tabs>
                <w:tab w:val="left" w:pos="288"/>
                <w:tab w:val="left" w:pos="4752"/>
              </w:tabs>
              <w:jc w:val="left"/>
              <w:rPr>
                <w:color w:val="auto"/>
              </w:rPr>
            </w:pPr>
            <w:r>
              <w:rPr>
                <w:color w:val="auto"/>
              </w:rPr>
              <w:t>Chronic Back Pain</w:t>
            </w:r>
          </w:p>
        </w:tc>
        <w:tc>
          <w:tcPr>
            <w:tcW w:w="1530" w:type="dxa"/>
            <w:vAlign w:val="center"/>
          </w:tcPr>
          <w:p w:rsidR="009C6098" w:rsidRPr="009C6098" w:rsidRDefault="009C6098" w:rsidP="00F93892">
            <w:pPr>
              <w:tabs>
                <w:tab w:val="left" w:pos="288"/>
                <w:tab w:val="left" w:pos="4752"/>
              </w:tabs>
              <w:rPr>
                <w:color w:val="auto"/>
              </w:rPr>
            </w:pPr>
            <w:r w:rsidRPr="009C6098">
              <w:rPr>
                <w:color w:val="auto"/>
              </w:rPr>
              <w:t>52</w:t>
            </w:r>
            <w:r w:rsidR="00F93892">
              <w:rPr>
                <w:color w:val="auto"/>
              </w:rPr>
              <w:t>93</w:t>
            </w:r>
          </w:p>
        </w:tc>
        <w:tc>
          <w:tcPr>
            <w:tcW w:w="1026" w:type="dxa"/>
            <w:vAlign w:val="center"/>
          </w:tcPr>
          <w:p w:rsidR="009C6098" w:rsidRPr="009C6098" w:rsidRDefault="0097334A" w:rsidP="0097334A">
            <w:pPr>
              <w:tabs>
                <w:tab w:val="left" w:pos="288"/>
                <w:tab w:val="left" w:pos="4752"/>
              </w:tabs>
              <w:rPr>
                <w:color w:val="auto"/>
              </w:rPr>
            </w:pPr>
            <w:r>
              <w:rPr>
                <w:color w:val="auto"/>
              </w:rPr>
              <w:t>2</w:t>
            </w:r>
            <w:r w:rsidR="009C6098" w:rsidRPr="009C6098">
              <w:rPr>
                <w:color w:val="auto"/>
              </w:rPr>
              <w:t>0%</w:t>
            </w:r>
          </w:p>
        </w:tc>
      </w:tr>
      <w:tr w:rsidR="00401681" w:rsidRPr="00F64312" w:rsidTr="00284FF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401681" w:rsidRPr="00F64312" w:rsidRDefault="00401681" w:rsidP="00284FFD">
            <w:pPr>
              <w:tabs>
                <w:tab w:val="left" w:pos="288"/>
                <w:tab w:val="left" w:pos="4752"/>
              </w:tabs>
              <w:rPr>
                <w:b/>
                <w:color w:val="auto"/>
              </w:rPr>
            </w:pPr>
            <w:r w:rsidRPr="00F64312">
              <w:rPr>
                <w:b/>
                <w:color w:val="auto"/>
              </w:rPr>
              <w:t>COMBINED</w:t>
            </w:r>
          </w:p>
        </w:tc>
        <w:tc>
          <w:tcPr>
            <w:tcW w:w="1026" w:type="dxa"/>
            <w:shd w:val="clear" w:color="auto" w:fill="D9D9D9"/>
            <w:vAlign w:val="center"/>
          </w:tcPr>
          <w:p w:rsidR="00401681" w:rsidRPr="00F64312" w:rsidRDefault="0097334A" w:rsidP="0097334A">
            <w:pPr>
              <w:tabs>
                <w:tab w:val="left" w:pos="288"/>
                <w:tab w:val="left" w:pos="4752"/>
              </w:tabs>
              <w:rPr>
                <w:b/>
                <w:color w:val="auto"/>
              </w:rPr>
            </w:pPr>
            <w:r>
              <w:rPr>
                <w:b/>
                <w:color w:val="auto"/>
              </w:rPr>
              <w:t>3</w:t>
            </w:r>
            <w:r w:rsidR="00401681" w:rsidRPr="009C6098">
              <w:rPr>
                <w:b/>
                <w:color w:val="auto"/>
              </w:rPr>
              <w:t>0%</w:t>
            </w:r>
          </w:p>
        </w:tc>
      </w:tr>
    </w:tbl>
    <w:p w:rsidR="00C81E6B" w:rsidRPr="001F29F9" w:rsidRDefault="00C81E6B"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BF0E94">
      <w:pPr>
        <w:tabs>
          <w:tab w:val="left" w:pos="288"/>
          <w:tab w:val="left" w:pos="4752"/>
        </w:tabs>
        <w:jc w:val="both"/>
        <w:rPr>
          <w:color w:val="000000"/>
        </w:rPr>
      </w:pPr>
      <w:r w:rsidRPr="001F29F9">
        <w:rPr>
          <w:color w:val="000000"/>
        </w:rPr>
        <w:t>The following documentary evidence was considered:</w:t>
      </w:r>
    </w:p>
    <w:p w:rsidR="00114F20" w:rsidRPr="001F29F9" w:rsidRDefault="00FB1725" w:rsidP="00B3575C">
      <w:pPr>
        <w:tabs>
          <w:tab w:val="left" w:pos="288"/>
          <w:tab w:val="left" w:pos="4752"/>
        </w:tabs>
        <w:spacing w:line="440" w:lineRule="exact"/>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015992">
        <w:rPr>
          <w:color w:val="000000"/>
          <w:szCs w:val="24"/>
        </w:rPr>
        <w:t>10718</w:t>
      </w:r>
      <w:r w:rsidR="00E7250A">
        <w:rPr>
          <w:color w:val="000000"/>
        </w:rPr>
        <w:t>, w/atchs</w:t>
      </w:r>
    </w:p>
    <w:p w:rsidR="00114F20" w:rsidRPr="001F29F9" w:rsidRDefault="00FB1725" w:rsidP="00BF0E94">
      <w:pPr>
        <w:tabs>
          <w:tab w:val="left" w:pos="288"/>
          <w:tab w:val="left" w:pos="4752"/>
        </w:tabs>
        <w:jc w:val="both"/>
        <w:rPr>
          <w:color w:val="000000"/>
        </w:rPr>
      </w:pPr>
      <w:r w:rsidRPr="001F29F9">
        <w:rPr>
          <w:color w:val="000000"/>
        </w:rPr>
        <w:t>Exhib</w:t>
      </w:r>
      <w:r w:rsidR="00E7250A">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Veterans</w:t>
      </w:r>
      <w:r w:rsidR="00E7250A">
        <w:rPr>
          <w:color w:val="000000"/>
        </w:rPr>
        <w:t>’</w:t>
      </w:r>
      <w:r w:rsidRPr="001F29F9">
        <w:rPr>
          <w:color w:val="000000"/>
        </w:rPr>
        <w:t xml:space="preserve"> Affairs Treatment </w:t>
      </w:r>
      <w:r w:rsidR="00E7250A">
        <w:rPr>
          <w:color w:val="000000"/>
        </w:rPr>
        <w:t>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1D2D10">
        <w:rPr>
          <w:color w:val="000000"/>
          <w:szCs w:val="24"/>
        </w:rPr>
        <w:t xml:space="preserve"> </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1D2D10"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1D2D10" w:rsidRDefault="001D2D10">
      <w:pPr>
        <w:spacing w:line="240" w:lineRule="auto"/>
        <w:jc w:val="left"/>
        <w:rPr>
          <w:color w:val="000000"/>
          <w:szCs w:val="24"/>
        </w:rPr>
      </w:pPr>
      <w:r>
        <w:rPr>
          <w:color w:val="000000"/>
          <w:szCs w:val="24"/>
        </w:rPr>
        <w:br w:type="page"/>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lastRenderedPageBreak/>
        <w:t>MEMORANDUM FOR DEPUTY COMMANDANT, MANPOWER &amp; RESERVE AFFAIRS</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ab/>
        <w:t xml:space="preserve">         COMMANDER, NAVY PERSONNEL COMMAND</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ab/>
        <w:t xml:space="preserve">                          </w:t>
      </w:r>
    </w:p>
    <w:p w:rsidR="001D2D10" w:rsidRPr="001D2D10" w:rsidRDefault="001D2D10" w:rsidP="001D2D10">
      <w:pPr>
        <w:spacing w:line="240" w:lineRule="auto"/>
        <w:jc w:val="left"/>
        <w:rPr>
          <w:rFonts w:ascii="Courier New" w:hAnsi="Courier New" w:cs="Courier New"/>
          <w:color w:val="auto"/>
          <w:sz w:val="20"/>
        </w:rPr>
      </w:pPr>
      <w:proofErr w:type="spellStart"/>
      <w:r w:rsidRPr="001D2D10">
        <w:rPr>
          <w:rFonts w:ascii="Courier New" w:hAnsi="Courier New" w:cs="Courier New"/>
          <w:color w:val="auto"/>
          <w:sz w:val="20"/>
        </w:rPr>
        <w:t>Subj</w:t>
      </w:r>
      <w:proofErr w:type="spellEnd"/>
      <w:r w:rsidRPr="001D2D10">
        <w:rPr>
          <w:rFonts w:ascii="Courier New" w:hAnsi="Courier New" w:cs="Courier New"/>
          <w:color w:val="auto"/>
          <w:sz w:val="20"/>
        </w:rPr>
        <w:t xml:space="preserve">:  PHYSICAL DISABILITY BOARD OF REVIEW (PDBR) RECOMMENDATIONS          </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Ref:   (a) </w:t>
      </w:r>
      <w:proofErr w:type="spellStart"/>
      <w:r w:rsidRPr="001D2D10">
        <w:rPr>
          <w:rFonts w:ascii="Courier New" w:hAnsi="Courier New" w:cs="Courier New"/>
          <w:color w:val="auto"/>
          <w:sz w:val="20"/>
        </w:rPr>
        <w:t>DoDI</w:t>
      </w:r>
      <w:proofErr w:type="spellEnd"/>
      <w:r w:rsidRPr="001D2D10">
        <w:rPr>
          <w:rFonts w:ascii="Courier New" w:hAnsi="Courier New" w:cs="Courier New"/>
          <w:color w:val="auto"/>
          <w:sz w:val="20"/>
        </w:rPr>
        <w:t xml:space="preserve"> 6040.44</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(b) PDBR </w:t>
      </w:r>
      <w:proofErr w:type="spellStart"/>
      <w:r w:rsidRPr="001D2D10">
        <w:rPr>
          <w:rFonts w:ascii="Courier New" w:hAnsi="Courier New" w:cs="Courier New"/>
          <w:color w:val="auto"/>
          <w:sz w:val="20"/>
        </w:rPr>
        <w:t>ltr</w:t>
      </w:r>
      <w:proofErr w:type="spellEnd"/>
      <w:r w:rsidRPr="001D2D10">
        <w:rPr>
          <w:rFonts w:ascii="Courier New" w:hAnsi="Courier New" w:cs="Courier New"/>
          <w:color w:val="auto"/>
          <w:sz w:val="20"/>
        </w:rPr>
        <w:t xml:space="preserve"> </w:t>
      </w:r>
      <w:proofErr w:type="spellStart"/>
      <w:r w:rsidRPr="001D2D10">
        <w:rPr>
          <w:rFonts w:ascii="Courier New" w:hAnsi="Courier New" w:cs="Courier New"/>
          <w:color w:val="auto"/>
          <w:sz w:val="20"/>
        </w:rPr>
        <w:t>dtd</w:t>
      </w:r>
      <w:proofErr w:type="spellEnd"/>
      <w:r w:rsidRPr="001D2D10">
        <w:rPr>
          <w:rFonts w:ascii="Courier New" w:hAnsi="Courier New" w:cs="Courier New"/>
          <w:color w:val="auto"/>
          <w:sz w:val="20"/>
        </w:rPr>
        <w:t xml:space="preserve"> 7 May 12 ICO XXXXXXXXXXXXXXX</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(c) PDBR </w:t>
      </w:r>
      <w:proofErr w:type="spellStart"/>
      <w:r w:rsidRPr="001D2D10">
        <w:rPr>
          <w:rFonts w:ascii="Courier New" w:hAnsi="Courier New" w:cs="Courier New"/>
          <w:color w:val="auto"/>
          <w:sz w:val="20"/>
        </w:rPr>
        <w:t>ltr</w:t>
      </w:r>
      <w:proofErr w:type="spellEnd"/>
      <w:r w:rsidRPr="001D2D10">
        <w:rPr>
          <w:rFonts w:ascii="Courier New" w:hAnsi="Courier New" w:cs="Courier New"/>
          <w:color w:val="auto"/>
          <w:sz w:val="20"/>
        </w:rPr>
        <w:t xml:space="preserve"> </w:t>
      </w:r>
      <w:proofErr w:type="spellStart"/>
      <w:r w:rsidRPr="001D2D10">
        <w:rPr>
          <w:rFonts w:ascii="Courier New" w:hAnsi="Courier New" w:cs="Courier New"/>
          <w:color w:val="auto"/>
          <w:sz w:val="20"/>
        </w:rPr>
        <w:t>dtd</w:t>
      </w:r>
      <w:proofErr w:type="spellEnd"/>
      <w:r w:rsidRPr="001D2D10">
        <w:rPr>
          <w:rFonts w:ascii="Courier New" w:hAnsi="Courier New" w:cs="Courier New"/>
          <w:color w:val="auto"/>
          <w:sz w:val="20"/>
        </w:rPr>
        <w:t xml:space="preserve"> 22 May 12 ICO XXXXXXXXXXXXXXX</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(d) PDBR </w:t>
      </w:r>
      <w:proofErr w:type="spellStart"/>
      <w:r w:rsidRPr="001D2D10">
        <w:rPr>
          <w:rFonts w:ascii="Courier New" w:hAnsi="Courier New" w:cs="Courier New"/>
          <w:color w:val="auto"/>
          <w:sz w:val="20"/>
        </w:rPr>
        <w:t>ltr</w:t>
      </w:r>
      <w:proofErr w:type="spellEnd"/>
      <w:r w:rsidRPr="001D2D10">
        <w:rPr>
          <w:rFonts w:ascii="Courier New" w:hAnsi="Courier New" w:cs="Courier New"/>
          <w:color w:val="auto"/>
          <w:sz w:val="20"/>
        </w:rPr>
        <w:t xml:space="preserve"> </w:t>
      </w:r>
      <w:proofErr w:type="spellStart"/>
      <w:r w:rsidRPr="001D2D10">
        <w:rPr>
          <w:rFonts w:ascii="Courier New" w:hAnsi="Courier New" w:cs="Courier New"/>
          <w:color w:val="auto"/>
          <w:sz w:val="20"/>
        </w:rPr>
        <w:t>dtd</w:t>
      </w:r>
      <w:proofErr w:type="spellEnd"/>
      <w:r w:rsidRPr="001D2D10">
        <w:rPr>
          <w:rFonts w:ascii="Courier New" w:hAnsi="Courier New" w:cs="Courier New"/>
          <w:color w:val="auto"/>
          <w:sz w:val="20"/>
        </w:rPr>
        <w:t xml:space="preserve"> 10 May 12 ICO XXXXXXXXXXXXXXX</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(e) PDBR </w:t>
      </w:r>
      <w:proofErr w:type="spellStart"/>
      <w:r w:rsidRPr="001D2D10">
        <w:rPr>
          <w:rFonts w:ascii="Courier New" w:hAnsi="Courier New" w:cs="Courier New"/>
          <w:color w:val="auto"/>
          <w:sz w:val="20"/>
        </w:rPr>
        <w:t>ltr</w:t>
      </w:r>
      <w:proofErr w:type="spellEnd"/>
      <w:r w:rsidRPr="001D2D10">
        <w:rPr>
          <w:rFonts w:ascii="Courier New" w:hAnsi="Courier New" w:cs="Courier New"/>
          <w:color w:val="auto"/>
          <w:sz w:val="20"/>
        </w:rPr>
        <w:t xml:space="preserve"> </w:t>
      </w:r>
      <w:proofErr w:type="spellStart"/>
      <w:r w:rsidRPr="001D2D10">
        <w:rPr>
          <w:rFonts w:ascii="Courier New" w:hAnsi="Courier New" w:cs="Courier New"/>
          <w:color w:val="auto"/>
          <w:sz w:val="20"/>
        </w:rPr>
        <w:t>dtd</w:t>
      </w:r>
      <w:proofErr w:type="spellEnd"/>
      <w:r w:rsidRPr="001D2D10">
        <w:rPr>
          <w:rFonts w:ascii="Courier New" w:hAnsi="Courier New" w:cs="Courier New"/>
          <w:color w:val="auto"/>
          <w:sz w:val="20"/>
        </w:rPr>
        <w:t xml:space="preserve"> 3 May 12 ICO XXXXXXXXXXXXXXX</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1.  Pursuant to reference (a) I approve the recommendations of the PDBR set forth in references (b) through (e).</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2.  The official records of the following individuals are to be corrected to reflect the stated disposition:</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a.  </w:t>
      </w:r>
      <w:r w:rsidRPr="001D2D10">
        <w:rPr>
          <w:rFonts w:ascii="Courier New" w:hAnsi="Courier New" w:cs="Courier New"/>
          <w:color w:val="auto"/>
          <w:sz w:val="20"/>
          <w:u w:val="single"/>
        </w:rPr>
        <w:t>former USMC</w:t>
      </w:r>
      <w:r w:rsidRPr="001D2D10">
        <w:rPr>
          <w:rFonts w:ascii="Courier New" w:hAnsi="Courier New" w:cs="Courier New"/>
          <w:color w:val="auto"/>
          <w:sz w:val="20"/>
        </w:rPr>
        <w:t>:  Placement on the Temporary Disability Retired List for the period 1 December 2003 through 30 November 2008 with a 60 percent disability rating (increased from 40 percent) with final disability separation on 1 December 2008 with a 20 percent disability rating.</w:t>
      </w:r>
    </w:p>
    <w:p w:rsidR="001D2D10" w:rsidRPr="001D2D10" w:rsidRDefault="001D2D10" w:rsidP="001D2D10">
      <w:pPr>
        <w:spacing w:line="240" w:lineRule="auto"/>
        <w:ind w:firstLine="720"/>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w:t>
      </w:r>
      <w:proofErr w:type="gramStart"/>
      <w:r w:rsidRPr="001D2D10">
        <w:rPr>
          <w:rFonts w:ascii="Courier New" w:hAnsi="Courier New" w:cs="Courier New"/>
          <w:color w:val="auto"/>
          <w:sz w:val="20"/>
        </w:rPr>
        <w:t xml:space="preserve">b.  </w:t>
      </w:r>
      <w:r w:rsidRPr="001D2D10">
        <w:rPr>
          <w:rFonts w:ascii="Courier New" w:hAnsi="Courier New" w:cs="Courier New"/>
          <w:color w:val="auto"/>
          <w:sz w:val="20"/>
          <w:u w:val="single"/>
        </w:rPr>
        <w:t>former</w:t>
      </w:r>
      <w:proofErr w:type="gramEnd"/>
      <w:r w:rsidRPr="001D2D10">
        <w:rPr>
          <w:rFonts w:ascii="Courier New" w:hAnsi="Courier New" w:cs="Courier New"/>
          <w:color w:val="auto"/>
          <w:sz w:val="20"/>
          <w:u w:val="single"/>
        </w:rPr>
        <w:t xml:space="preserve"> USN,</w:t>
      </w:r>
      <w:r w:rsidRPr="001D2D10">
        <w:rPr>
          <w:rFonts w:ascii="Courier New" w:hAnsi="Courier New" w:cs="Courier New"/>
          <w:color w:val="auto"/>
          <w:sz w:val="20"/>
        </w:rPr>
        <w:t>:  Placement on the Permanent Disability Retired List with a 30 percent disability rating (increased from 20 percent) effective 31 October 2001.</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w:t>
      </w:r>
      <w:proofErr w:type="gramStart"/>
      <w:r w:rsidRPr="001D2D10">
        <w:rPr>
          <w:rFonts w:ascii="Courier New" w:hAnsi="Courier New" w:cs="Courier New"/>
          <w:color w:val="auto"/>
          <w:sz w:val="20"/>
        </w:rPr>
        <w:t xml:space="preserve">c.  </w:t>
      </w:r>
      <w:r w:rsidRPr="001D2D10">
        <w:rPr>
          <w:rFonts w:ascii="Courier New" w:hAnsi="Courier New" w:cs="Courier New"/>
          <w:color w:val="auto"/>
          <w:sz w:val="20"/>
          <w:u w:val="single"/>
        </w:rPr>
        <w:t>former</w:t>
      </w:r>
      <w:proofErr w:type="gramEnd"/>
      <w:r w:rsidRPr="001D2D10">
        <w:rPr>
          <w:rFonts w:ascii="Courier New" w:hAnsi="Courier New" w:cs="Courier New"/>
          <w:color w:val="auto"/>
          <w:sz w:val="20"/>
          <w:u w:val="single"/>
        </w:rPr>
        <w:t xml:space="preserve"> USMC</w:t>
      </w:r>
      <w:r w:rsidRPr="001D2D10">
        <w:rPr>
          <w:rFonts w:ascii="Courier New" w:hAnsi="Courier New" w:cs="Courier New"/>
          <w:color w:val="auto"/>
          <w:sz w:val="20"/>
        </w:rPr>
        <w:t>:  Placement on the Permanent Disability Retired List with 30 percent disability rating (increased from 10 percent) effective 30 August 2009 .</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 xml:space="preserve">    </w:t>
      </w:r>
      <w:proofErr w:type="gramStart"/>
      <w:r w:rsidRPr="001D2D10">
        <w:rPr>
          <w:rFonts w:ascii="Courier New" w:hAnsi="Courier New" w:cs="Courier New"/>
          <w:color w:val="auto"/>
          <w:sz w:val="20"/>
        </w:rPr>
        <w:t xml:space="preserve">d.  </w:t>
      </w:r>
      <w:r w:rsidRPr="001D2D10">
        <w:rPr>
          <w:rFonts w:ascii="Courier New" w:hAnsi="Courier New" w:cs="Courier New"/>
          <w:color w:val="auto"/>
          <w:sz w:val="20"/>
          <w:u w:val="single"/>
        </w:rPr>
        <w:t>former</w:t>
      </w:r>
      <w:proofErr w:type="gramEnd"/>
      <w:r w:rsidRPr="001D2D10">
        <w:rPr>
          <w:rFonts w:ascii="Courier New" w:hAnsi="Courier New" w:cs="Courier New"/>
          <w:color w:val="auto"/>
          <w:sz w:val="20"/>
          <w:u w:val="single"/>
        </w:rPr>
        <w:t xml:space="preserve"> USMC</w:t>
      </w:r>
      <w:r w:rsidRPr="001D2D10">
        <w:rPr>
          <w:rFonts w:ascii="Courier New" w:hAnsi="Courier New" w:cs="Courier New"/>
          <w:color w:val="auto"/>
          <w:sz w:val="20"/>
        </w:rPr>
        <w:t>:  Disability separation with entitlement to disability severance pay with a rating of 20 percent (increased from 10 percent) effective 31 October 2006.</w:t>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ab/>
      </w:r>
    </w:p>
    <w:p w:rsidR="001D2D10" w:rsidRPr="001D2D10" w:rsidRDefault="001D2D10" w:rsidP="001D2D10">
      <w:pPr>
        <w:spacing w:line="240" w:lineRule="auto"/>
        <w:jc w:val="left"/>
        <w:rPr>
          <w:rFonts w:ascii="Courier New" w:hAnsi="Courier New" w:cs="Courier New"/>
          <w:color w:val="auto"/>
          <w:sz w:val="20"/>
        </w:rPr>
      </w:pPr>
      <w:r w:rsidRPr="001D2D10">
        <w:rPr>
          <w:rFonts w:ascii="Courier New" w:hAnsi="Courier New" w:cs="Courier New"/>
          <w:color w:val="auto"/>
          <w:sz w:val="20"/>
        </w:rPr>
        <w:t>3.  Please ensure all necessary actions are taken to implement these decisions, included the recoupment of disability severance pay if warranted, and notification to the subject members once those actions are completed.</w:t>
      </w: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spacing w:line="240" w:lineRule="auto"/>
        <w:jc w:val="left"/>
        <w:rPr>
          <w:rFonts w:ascii="Courier New" w:hAnsi="Courier New" w:cs="Courier New"/>
          <w:color w:val="auto"/>
          <w:sz w:val="20"/>
        </w:rPr>
      </w:pPr>
    </w:p>
    <w:p w:rsidR="001D2D10" w:rsidRPr="001D2D10" w:rsidRDefault="001D2D10" w:rsidP="001D2D10">
      <w:pPr>
        <w:tabs>
          <w:tab w:val="left" w:pos="4680"/>
        </w:tabs>
        <w:spacing w:line="240" w:lineRule="auto"/>
        <w:jc w:val="left"/>
        <w:rPr>
          <w:rFonts w:ascii="Courier New" w:hAnsi="Courier New" w:cs="Courier New"/>
          <w:color w:val="auto"/>
          <w:sz w:val="20"/>
        </w:rPr>
      </w:pPr>
      <w:r w:rsidRPr="001D2D10">
        <w:rPr>
          <w:rFonts w:ascii="Courier New" w:hAnsi="Courier New" w:cs="Courier New"/>
          <w:color w:val="auto"/>
          <w:sz w:val="20"/>
        </w:rPr>
        <w:tab/>
      </w:r>
    </w:p>
    <w:p w:rsidR="001D2D10" w:rsidRPr="001D2D10" w:rsidRDefault="001D2D10" w:rsidP="001D2D10">
      <w:pPr>
        <w:tabs>
          <w:tab w:val="left" w:pos="4680"/>
        </w:tabs>
        <w:spacing w:line="240" w:lineRule="auto"/>
        <w:jc w:val="left"/>
        <w:rPr>
          <w:rFonts w:ascii="Courier New" w:hAnsi="Courier New" w:cs="Courier New"/>
          <w:color w:val="auto"/>
          <w:sz w:val="20"/>
        </w:rPr>
      </w:pPr>
      <w:r w:rsidRPr="001D2D10">
        <w:rPr>
          <w:rFonts w:ascii="Courier New" w:hAnsi="Courier New" w:cs="Courier New"/>
          <w:color w:val="auto"/>
          <w:sz w:val="20"/>
        </w:rPr>
        <w:tab/>
        <w:t>Assistant General Counsel</w:t>
      </w:r>
    </w:p>
    <w:p w:rsidR="001D2D10" w:rsidRPr="001D2D10" w:rsidRDefault="001D2D10" w:rsidP="001D2D10">
      <w:pPr>
        <w:tabs>
          <w:tab w:val="left" w:pos="4680"/>
        </w:tabs>
        <w:spacing w:line="240" w:lineRule="auto"/>
        <w:jc w:val="left"/>
        <w:rPr>
          <w:rFonts w:ascii="Courier New" w:hAnsi="Courier New" w:cs="Courier New"/>
          <w:color w:val="auto"/>
          <w:sz w:val="20"/>
        </w:rPr>
      </w:pPr>
      <w:r w:rsidRPr="001D2D10">
        <w:rPr>
          <w:rFonts w:ascii="Courier New" w:hAnsi="Courier New" w:cs="Courier New"/>
          <w:color w:val="auto"/>
          <w:sz w:val="20"/>
        </w:rPr>
        <w:tab/>
        <w:t xml:space="preserve">  (Manpower &amp; Reserve Affairs)</w:t>
      </w:r>
    </w:p>
    <w:p w:rsidR="00E3077F" w:rsidRPr="001F29F9" w:rsidRDefault="00E3077F" w:rsidP="00BF0E94">
      <w:pPr>
        <w:tabs>
          <w:tab w:val="left" w:pos="0"/>
          <w:tab w:val="left" w:pos="4320"/>
        </w:tabs>
        <w:jc w:val="both"/>
        <w:rPr>
          <w:color w:val="000000"/>
          <w:szCs w:val="24"/>
        </w:rPr>
      </w:pPr>
    </w:p>
    <w:p w:rsidR="00A6029E" w:rsidRDefault="00A6029E" w:rsidP="00E90A2A">
      <w:pPr>
        <w:jc w:val="left"/>
        <w:rPr>
          <w:color w:val="000000"/>
          <w:szCs w:val="24"/>
          <w:u w:val="single"/>
        </w:rPr>
      </w:pPr>
    </w:p>
    <w:p w:rsidR="009C6098" w:rsidRDefault="009C6098" w:rsidP="00E90A2A">
      <w:pPr>
        <w:jc w:val="left"/>
        <w:rPr>
          <w:color w:val="000000"/>
          <w:szCs w:val="24"/>
          <w:u w:val="single"/>
        </w:rPr>
      </w:pPr>
    </w:p>
    <w:p w:rsidR="00240DB0" w:rsidRDefault="00240DB0">
      <w:pPr>
        <w:spacing w:line="240" w:lineRule="auto"/>
        <w:jc w:val="left"/>
        <w:rPr>
          <w:color w:val="000000"/>
          <w:szCs w:val="24"/>
          <w:u w:val="single"/>
        </w:rPr>
      </w:pPr>
    </w:p>
    <w:sectPr w:rsidR="00240DB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74" w:rsidRDefault="00823974">
      <w:r>
        <w:separator/>
      </w:r>
    </w:p>
  </w:endnote>
  <w:endnote w:type="continuationSeparator" w:id="0">
    <w:p w:rsidR="00823974" w:rsidRDefault="00823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D" w:rsidRPr="00374247" w:rsidRDefault="00284FFD" w:rsidP="00374247">
    <w:pPr>
      <w:pStyle w:val="Footer"/>
      <w:ind w:firstLine="4320"/>
      <w:rPr>
        <w:color w:val="auto"/>
        <w:szCs w:val="24"/>
      </w:rPr>
    </w:pPr>
    <w:r w:rsidRPr="00374247">
      <w:rPr>
        <w:color w:val="auto"/>
        <w:szCs w:val="24"/>
      </w:rPr>
      <w:t xml:space="preserve">   </w:t>
    </w:r>
    <w:r w:rsidR="00DD53C9" w:rsidRPr="00374247">
      <w:rPr>
        <w:color w:val="auto"/>
        <w:szCs w:val="24"/>
      </w:rPr>
      <w:fldChar w:fldCharType="begin"/>
    </w:r>
    <w:r w:rsidRPr="00374247">
      <w:rPr>
        <w:color w:val="auto"/>
        <w:szCs w:val="24"/>
      </w:rPr>
      <w:instrText xml:space="preserve"> PAGE   \* MERGEFORMAT </w:instrText>
    </w:r>
    <w:r w:rsidR="00DD53C9" w:rsidRPr="00374247">
      <w:rPr>
        <w:color w:val="auto"/>
        <w:szCs w:val="24"/>
      </w:rPr>
      <w:fldChar w:fldCharType="separate"/>
    </w:r>
    <w:r w:rsidR="001D2D10" w:rsidRPr="001D2D10">
      <w:rPr>
        <w:noProof/>
        <w:color w:val="auto"/>
      </w:rPr>
      <w:t>6</w:t>
    </w:r>
    <w:r w:rsidR="00DD53C9" w:rsidRPr="00374247">
      <w:rPr>
        <w:color w:val="auto"/>
        <w:szCs w:val="24"/>
      </w:rPr>
      <w:fldChar w:fldCharType="end"/>
    </w:r>
    <w:r w:rsidRPr="00374247">
      <w:rPr>
        <w:color w:val="auto"/>
        <w:szCs w:val="24"/>
      </w:rPr>
      <w:t xml:space="preserve">                                                           </w:t>
    </w:r>
    <w:r w:rsidRPr="00D80F17">
      <w:rPr>
        <w:color w:val="auto"/>
        <w:szCs w:val="24"/>
      </w:rPr>
      <w:t>PD1100551</w:t>
    </w:r>
  </w:p>
  <w:p w:rsidR="00284FFD" w:rsidRPr="00684CE6" w:rsidRDefault="00284FF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74" w:rsidRDefault="00823974">
      <w:r>
        <w:separator/>
      </w:r>
    </w:p>
  </w:footnote>
  <w:footnote w:type="continuationSeparator" w:id="0">
    <w:p w:rsidR="00823974" w:rsidRDefault="00823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C28D1"/>
    <w:rsid w:val="000024F5"/>
    <w:rsid w:val="000028B2"/>
    <w:rsid w:val="000059FA"/>
    <w:rsid w:val="00006186"/>
    <w:rsid w:val="00006F87"/>
    <w:rsid w:val="00007107"/>
    <w:rsid w:val="00010ABA"/>
    <w:rsid w:val="00010B0F"/>
    <w:rsid w:val="00012428"/>
    <w:rsid w:val="00012733"/>
    <w:rsid w:val="00013417"/>
    <w:rsid w:val="000145C2"/>
    <w:rsid w:val="0001473F"/>
    <w:rsid w:val="00014A47"/>
    <w:rsid w:val="00014A9E"/>
    <w:rsid w:val="000150D3"/>
    <w:rsid w:val="00015992"/>
    <w:rsid w:val="00017778"/>
    <w:rsid w:val="00017C40"/>
    <w:rsid w:val="00021361"/>
    <w:rsid w:val="00022CF3"/>
    <w:rsid w:val="00023913"/>
    <w:rsid w:val="00023D43"/>
    <w:rsid w:val="00024002"/>
    <w:rsid w:val="00024DE7"/>
    <w:rsid w:val="00026092"/>
    <w:rsid w:val="00030776"/>
    <w:rsid w:val="00030F48"/>
    <w:rsid w:val="00032E07"/>
    <w:rsid w:val="000332CA"/>
    <w:rsid w:val="0003374E"/>
    <w:rsid w:val="000344D8"/>
    <w:rsid w:val="000344E6"/>
    <w:rsid w:val="00035C3A"/>
    <w:rsid w:val="00036E4B"/>
    <w:rsid w:val="00037929"/>
    <w:rsid w:val="000379D0"/>
    <w:rsid w:val="00040879"/>
    <w:rsid w:val="000409DA"/>
    <w:rsid w:val="00040FC4"/>
    <w:rsid w:val="000416F8"/>
    <w:rsid w:val="00042C26"/>
    <w:rsid w:val="00043382"/>
    <w:rsid w:val="00044623"/>
    <w:rsid w:val="000452D7"/>
    <w:rsid w:val="00047E17"/>
    <w:rsid w:val="00051622"/>
    <w:rsid w:val="00051A11"/>
    <w:rsid w:val="00052234"/>
    <w:rsid w:val="00053D7C"/>
    <w:rsid w:val="000575C5"/>
    <w:rsid w:val="000577C9"/>
    <w:rsid w:val="00060684"/>
    <w:rsid w:val="00060FFD"/>
    <w:rsid w:val="00061D69"/>
    <w:rsid w:val="0006431E"/>
    <w:rsid w:val="000652EA"/>
    <w:rsid w:val="00065E21"/>
    <w:rsid w:val="000673ED"/>
    <w:rsid w:val="00067854"/>
    <w:rsid w:val="00070C8D"/>
    <w:rsid w:val="00070DED"/>
    <w:rsid w:val="00071CEC"/>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7A1"/>
    <w:rsid w:val="000949DD"/>
    <w:rsid w:val="00094E4F"/>
    <w:rsid w:val="000A2BCE"/>
    <w:rsid w:val="000A31E2"/>
    <w:rsid w:val="000A33C8"/>
    <w:rsid w:val="000A41E3"/>
    <w:rsid w:val="000A4BBA"/>
    <w:rsid w:val="000A5071"/>
    <w:rsid w:val="000A78FE"/>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2F4"/>
    <w:rsid w:val="000E2E50"/>
    <w:rsid w:val="000E37E0"/>
    <w:rsid w:val="000E3F20"/>
    <w:rsid w:val="000E4C25"/>
    <w:rsid w:val="000E4CBF"/>
    <w:rsid w:val="000E5577"/>
    <w:rsid w:val="000E7034"/>
    <w:rsid w:val="000F02BE"/>
    <w:rsid w:val="000F03FE"/>
    <w:rsid w:val="000F0928"/>
    <w:rsid w:val="000F0B3D"/>
    <w:rsid w:val="000F1E65"/>
    <w:rsid w:val="000F2254"/>
    <w:rsid w:val="000F427B"/>
    <w:rsid w:val="000F43D0"/>
    <w:rsid w:val="000F4F18"/>
    <w:rsid w:val="000F585B"/>
    <w:rsid w:val="000F688E"/>
    <w:rsid w:val="000F7181"/>
    <w:rsid w:val="000F7581"/>
    <w:rsid w:val="001007CE"/>
    <w:rsid w:val="001008C1"/>
    <w:rsid w:val="001023DB"/>
    <w:rsid w:val="00102B8D"/>
    <w:rsid w:val="001031F4"/>
    <w:rsid w:val="00103948"/>
    <w:rsid w:val="00103CCF"/>
    <w:rsid w:val="0010417F"/>
    <w:rsid w:val="001042D2"/>
    <w:rsid w:val="0010530E"/>
    <w:rsid w:val="001058E1"/>
    <w:rsid w:val="00105C07"/>
    <w:rsid w:val="00106920"/>
    <w:rsid w:val="00106AD8"/>
    <w:rsid w:val="001078DB"/>
    <w:rsid w:val="001079FA"/>
    <w:rsid w:val="00107EC5"/>
    <w:rsid w:val="001103CD"/>
    <w:rsid w:val="00113D2A"/>
    <w:rsid w:val="00114F20"/>
    <w:rsid w:val="0011590B"/>
    <w:rsid w:val="001211AF"/>
    <w:rsid w:val="001215DF"/>
    <w:rsid w:val="001219DF"/>
    <w:rsid w:val="00122160"/>
    <w:rsid w:val="0012220B"/>
    <w:rsid w:val="00122ABE"/>
    <w:rsid w:val="001231DC"/>
    <w:rsid w:val="0012453A"/>
    <w:rsid w:val="0012489B"/>
    <w:rsid w:val="00125434"/>
    <w:rsid w:val="001272AE"/>
    <w:rsid w:val="00130756"/>
    <w:rsid w:val="001315DD"/>
    <w:rsid w:val="00132BBD"/>
    <w:rsid w:val="00134801"/>
    <w:rsid w:val="0013525F"/>
    <w:rsid w:val="00135385"/>
    <w:rsid w:val="00136204"/>
    <w:rsid w:val="001364D1"/>
    <w:rsid w:val="001374C7"/>
    <w:rsid w:val="00140FA4"/>
    <w:rsid w:val="001416FF"/>
    <w:rsid w:val="00141BC9"/>
    <w:rsid w:val="001421FD"/>
    <w:rsid w:val="001425C8"/>
    <w:rsid w:val="00142EBA"/>
    <w:rsid w:val="00143B79"/>
    <w:rsid w:val="00145965"/>
    <w:rsid w:val="001469D7"/>
    <w:rsid w:val="001474E1"/>
    <w:rsid w:val="00150B8A"/>
    <w:rsid w:val="00150DCB"/>
    <w:rsid w:val="00151912"/>
    <w:rsid w:val="00153740"/>
    <w:rsid w:val="001537D8"/>
    <w:rsid w:val="00153D88"/>
    <w:rsid w:val="001541C5"/>
    <w:rsid w:val="0015623F"/>
    <w:rsid w:val="00156585"/>
    <w:rsid w:val="001568C0"/>
    <w:rsid w:val="00156BA9"/>
    <w:rsid w:val="00157234"/>
    <w:rsid w:val="00161642"/>
    <w:rsid w:val="00161761"/>
    <w:rsid w:val="00162CD8"/>
    <w:rsid w:val="00166182"/>
    <w:rsid w:val="0017038B"/>
    <w:rsid w:val="00170C94"/>
    <w:rsid w:val="0017139A"/>
    <w:rsid w:val="001724C8"/>
    <w:rsid w:val="001732C4"/>
    <w:rsid w:val="001745DD"/>
    <w:rsid w:val="00174FDE"/>
    <w:rsid w:val="00174FE3"/>
    <w:rsid w:val="00176625"/>
    <w:rsid w:val="00176D63"/>
    <w:rsid w:val="00176EE0"/>
    <w:rsid w:val="00177659"/>
    <w:rsid w:val="001779E5"/>
    <w:rsid w:val="00180826"/>
    <w:rsid w:val="00181240"/>
    <w:rsid w:val="0018169A"/>
    <w:rsid w:val="00182A4C"/>
    <w:rsid w:val="00183F77"/>
    <w:rsid w:val="00183FB3"/>
    <w:rsid w:val="001844D8"/>
    <w:rsid w:val="00185DA8"/>
    <w:rsid w:val="00185ECB"/>
    <w:rsid w:val="001865E0"/>
    <w:rsid w:val="001870F0"/>
    <w:rsid w:val="00190E48"/>
    <w:rsid w:val="0019114B"/>
    <w:rsid w:val="0019192D"/>
    <w:rsid w:val="0019273F"/>
    <w:rsid w:val="00193814"/>
    <w:rsid w:val="00193AAB"/>
    <w:rsid w:val="00193AD5"/>
    <w:rsid w:val="00194930"/>
    <w:rsid w:val="001956FC"/>
    <w:rsid w:val="00195AAC"/>
    <w:rsid w:val="001A025E"/>
    <w:rsid w:val="001A08CD"/>
    <w:rsid w:val="001A0A1E"/>
    <w:rsid w:val="001A2182"/>
    <w:rsid w:val="001A323E"/>
    <w:rsid w:val="001A5320"/>
    <w:rsid w:val="001A5E62"/>
    <w:rsid w:val="001A6484"/>
    <w:rsid w:val="001A6848"/>
    <w:rsid w:val="001A7538"/>
    <w:rsid w:val="001B06FB"/>
    <w:rsid w:val="001B0B1A"/>
    <w:rsid w:val="001B20E6"/>
    <w:rsid w:val="001B4C0B"/>
    <w:rsid w:val="001B4D12"/>
    <w:rsid w:val="001B4EC2"/>
    <w:rsid w:val="001B5B59"/>
    <w:rsid w:val="001B60E0"/>
    <w:rsid w:val="001B755A"/>
    <w:rsid w:val="001B7C8C"/>
    <w:rsid w:val="001C0489"/>
    <w:rsid w:val="001C051D"/>
    <w:rsid w:val="001C0688"/>
    <w:rsid w:val="001C17D1"/>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D10"/>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597"/>
    <w:rsid w:val="002310C3"/>
    <w:rsid w:val="002316F6"/>
    <w:rsid w:val="00232C9B"/>
    <w:rsid w:val="00232E73"/>
    <w:rsid w:val="00232F09"/>
    <w:rsid w:val="002335D5"/>
    <w:rsid w:val="002338CA"/>
    <w:rsid w:val="00233FE5"/>
    <w:rsid w:val="00234B3B"/>
    <w:rsid w:val="00234D98"/>
    <w:rsid w:val="00235AD0"/>
    <w:rsid w:val="00236018"/>
    <w:rsid w:val="002374C9"/>
    <w:rsid w:val="00240DB0"/>
    <w:rsid w:val="0024162D"/>
    <w:rsid w:val="0024174E"/>
    <w:rsid w:val="00241D07"/>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6BA"/>
    <w:rsid w:val="00270864"/>
    <w:rsid w:val="002712F7"/>
    <w:rsid w:val="0027159C"/>
    <w:rsid w:val="002722F2"/>
    <w:rsid w:val="00274549"/>
    <w:rsid w:val="00274E46"/>
    <w:rsid w:val="002752AE"/>
    <w:rsid w:val="00275AFD"/>
    <w:rsid w:val="002769AF"/>
    <w:rsid w:val="00276C86"/>
    <w:rsid w:val="00276FD0"/>
    <w:rsid w:val="00277217"/>
    <w:rsid w:val="00280982"/>
    <w:rsid w:val="002810A4"/>
    <w:rsid w:val="0028261C"/>
    <w:rsid w:val="00282DB6"/>
    <w:rsid w:val="00284A26"/>
    <w:rsid w:val="00284FFD"/>
    <w:rsid w:val="00285095"/>
    <w:rsid w:val="00287006"/>
    <w:rsid w:val="0029030A"/>
    <w:rsid w:val="00292397"/>
    <w:rsid w:val="00292AB2"/>
    <w:rsid w:val="00292B82"/>
    <w:rsid w:val="00293DB6"/>
    <w:rsid w:val="00293DDD"/>
    <w:rsid w:val="00293FE8"/>
    <w:rsid w:val="00294437"/>
    <w:rsid w:val="00296686"/>
    <w:rsid w:val="00297A00"/>
    <w:rsid w:val="00297A45"/>
    <w:rsid w:val="00297E20"/>
    <w:rsid w:val="002A0D1A"/>
    <w:rsid w:val="002A233F"/>
    <w:rsid w:val="002A3237"/>
    <w:rsid w:val="002A4119"/>
    <w:rsid w:val="002A46A7"/>
    <w:rsid w:val="002A58B7"/>
    <w:rsid w:val="002A5943"/>
    <w:rsid w:val="002A5C3C"/>
    <w:rsid w:val="002A685E"/>
    <w:rsid w:val="002A72C7"/>
    <w:rsid w:val="002B0204"/>
    <w:rsid w:val="002B03B2"/>
    <w:rsid w:val="002B0749"/>
    <w:rsid w:val="002B2645"/>
    <w:rsid w:val="002B303A"/>
    <w:rsid w:val="002B32E9"/>
    <w:rsid w:val="002B4E22"/>
    <w:rsid w:val="002B6618"/>
    <w:rsid w:val="002B6FA0"/>
    <w:rsid w:val="002B7710"/>
    <w:rsid w:val="002C0DEA"/>
    <w:rsid w:val="002C11B6"/>
    <w:rsid w:val="002C34F6"/>
    <w:rsid w:val="002C3B6D"/>
    <w:rsid w:val="002C3F59"/>
    <w:rsid w:val="002C5D9D"/>
    <w:rsid w:val="002C5F10"/>
    <w:rsid w:val="002C6E5B"/>
    <w:rsid w:val="002C70B9"/>
    <w:rsid w:val="002D08F3"/>
    <w:rsid w:val="002D18B4"/>
    <w:rsid w:val="002D1AB5"/>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2D6"/>
    <w:rsid w:val="002F6AD8"/>
    <w:rsid w:val="002F7F81"/>
    <w:rsid w:val="00300A36"/>
    <w:rsid w:val="00301B45"/>
    <w:rsid w:val="003027C0"/>
    <w:rsid w:val="00305856"/>
    <w:rsid w:val="00305867"/>
    <w:rsid w:val="0030678B"/>
    <w:rsid w:val="00306D16"/>
    <w:rsid w:val="00307595"/>
    <w:rsid w:val="003078D1"/>
    <w:rsid w:val="00307DA6"/>
    <w:rsid w:val="00310CD7"/>
    <w:rsid w:val="00313C3A"/>
    <w:rsid w:val="00313D7A"/>
    <w:rsid w:val="003155FB"/>
    <w:rsid w:val="00320E07"/>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0F7F"/>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A09"/>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18D"/>
    <w:rsid w:val="00373F64"/>
    <w:rsid w:val="00374247"/>
    <w:rsid w:val="00374733"/>
    <w:rsid w:val="00374EA1"/>
    <w:rsid w:val="0037520D"/>
    <w:rsid w:val="00375724"/>
    <w:rsid w:val="00375809"/>
    <w:rsid w:val="00375CF1"/>
    <w:rsid w:val="0037628C"/>
    <w:rsid w:val="00376A07"/>
    <w:rsid w:val="00376B81"/>
    <w:rsid w:val="00376E08"/>
    <w:rsid w:val="00377BD2"/>
    <w:rsid w:val="00380FD4"/>
    <w:rsid w:val="00381E16"/>
    <w:rsid w:val="003821E1"/>
    <w:rsid w:val="00383AA0"/>
    <w:rsid w:val="003840F6"/>
    <w:rsid w:val="00384866"/>
    <w:rsid w:val="003851BA"/>
    <w:rsid w:val="003857D4"/>
    <w:rsid w:val="00385934"/>
    <w:rsid w:val="00385D6F"/>
    <w:rsid w:val="00386D43"/>
    <w:rsid w:val="00387095"/>
    <w:rsid w:val="00387E95"/>
    <w:rsid w:val="00390092"/>
    <w:rsid w:val="00390CFA"/>
    <w:rsid w:val="003911DD"/>
    <w:rsid w:val="00391858"/>
    <w:rsid w:val="00393651"/>
    <w:rsid w:val="00394926"/>
    <w:rsid w:val="00394F9F"/>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685"/>
    <w:rsid w:val="003B2E43"/>
    <w:rsid w:val="003B34E5"/>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4253"/>
    <w:rsid w:val="003D56A0"/>
    <w:rsid w:val="003D609F"/>
    <w:rsid w:val="003D69F5"/>
    <w:rsid w:val="003D6D2C"/>
    <w:rsid w:val="003D7089"/>
    <w:rsid w:val="003D7DDB"/>
    <w:rsid w:val="003E024F"/>
    <w:rsid w:val="003E02C7"/>
    <w:rsid w:val="003E0543"/>
    <w:rsid w:val="003E061D"/>
    <w:rsid w:val="003E0B5A"/>
    <w:rsid w:val="003E1682"/>
    <w:rsid w:val="003E31E3"/>
    <w:rsid w:val="003E3E93"/>
    <w:rsid w:val="003E46D1"/>
    <w:rsid w:val="003E5A5D"/>
    <w:rsid w:val="003E6214"/>
    <w:rsid w:val="003F070E"/>
    <w:rsid w:val="003F1206"/>
    <w:rsid w:val="003F2418"/>
    <w:rsid w:val="003F28DB"/>
    <w:rsid w:val="003F2EEE"/>
    <w:rsid w:val="003F58B0"/>
    <w:rsid w:val="003F776F"/>
    <w:rsid w:val="004007E9"/>
    <w:rsid w:val="00400810"/>
    <w:rsid w:val="00401681"/>
    <w:rsid w:val="00401825"/>
    <w:rsid w:val="00401BBC"/>
    <w:rsid w:val="004026FC"/>
    <w:rsid w:val="00403BFB"/>
    <w:rsid w:val="00403EB0"/>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6E62"/>
    <w:rsid w:val="00427C7F"/>
    <w:rsid w:val="00427F54"/>
    <w:rsid w:val="004316FD"/>
    <w:rsid w:val="00433F36"/>
    <w:rsid w:val="004343B3"/>
    <w:rsid w:val="00434860"/>
    <w:rsid w:val="00434BBD"/>
    <w:rsid w:val="0043503A"/>
    <w:rsid w:val="00437B8A"/>
    <w:rsid w:val="00437D18"/>
    <w:rsid w:val="00437D77"/>
    <w:rsid w:val="00441D99"/>
    <w:rsid w:val="0044322E"/>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B04"/>
    <w:rsid w:val="004718E7"/>
    <w:rsid w:val="00472289"/>
    <w:rsid w:val="00472535"/>
    <w:rsid w:val="004761CC"/>
    <w:rsid w:val="004766C9"/>
    <w:rsid w:val="00480D4A"/>
    <w:rsid w:val="00481269"/>
    <w:rsid w:val="00481DA1"/>
    <w:rsid w:val="00483A2B"/>
    <w:rsid w:val="00484212"/>
    <w:rsid w:val="004848C3"/>
    <w:rsid w:val="00484BA9"/>
    <w:rsid w:val="0048599A"/>
    <w:rsid w:val="00486818"/>
    <w:rsid w:val="0049255F"/>
    <w:rsid w:val="0049336D"/>
    <w:rsid w:val="0049445D"/>
    <w:rsid w:val="00494D39"/>
    <w:rsid w:val="00495350"/>
    <w:rsid w:val="00495596"/>
    <w:rsid w:val="00495E3C"/>
    <w:rsid w:val="00496041"/>
    <w:rsid w:val="00497156"/>
    <w:rsid w:val="004A0C79"/>
    <w:rsid w:val="004A24D2"/>
    <w:rsid w:val="004A3214"/>
    <w:rsid w:val="004A4136"/>
    <w:rsid w:val="004A417B"/>
    <w:rsid w:val="004A4378"/>
    <w:rsid w:val="004A6B41"/>
    <w:rsid w:val="004A712D"/>
    <w:rsid w:val="004A7C03"/>
    <w:rsid w:val="004B03F3"/>
    <w:rsid w:val="004B0CC9"/>
    <w:rsid w:val="004B1EDF"/>
    <w:rsid w:val="004B2536"/>
    <w:rsid w:val="004B46D7"/>
    <w:rsid w:val="004B6AF3"/>
    <w:rsid w:val="004B6F1F"/>
    <w:rsid w:val="004B715E"/>
    <w:rsid w:val="004B7169"/>
    <w:rsid w:val="004B79C9"/>
    <w:rsid w:val="004B7A4B"/>
    <w:rsid w:val="004C00DD"/>
    <w:rsid w:val="004C05CF"/>
    <w:rsid w:val="004C06B7"/>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713"/>
    <w:rsid w:val="00542B34"/>
    <w:rsid w:val="00542C9A"/>
    <w:rsid w:val="005436C2"/>
    <w:rsid w:val="005442D4"/>
    <w:rsid w:val="005456F8"/>
    <w:rsid w:val="0054586A"/>
    <w:rsid w:val="0054631F"/>
    <w:rsid w:val="00546A38"/>
    <w:rsid w:val="00546C24"/>
    <w:rsid w:val="005471BA"/>
    <w:rsid w:val="00547BDA"/>
    <w:rsid w:val="00547BE6"/>
    <w:rsid w:val="0055034F"/>
    <w:rsid w:val="00550476"/>
    <w:rsid w:val="005523E9"/>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450"/>
    <w:rsid w:val="005738F5"/>
    <w:rsid w:val="00573D34"/>
    <w:rsid w:val="00574A1B"/>
    <w:rsid w:val="00574DB5"/>
    <w:rsid w:val="00575963"/>
    <w:rsid w:val="00575EBE"/>
    <w:rsid w:val="00576E4B"/>
    <w:rsid w:val="0058039C"/>
    <w:rsid w:val="00580A63"/>
    <w:rsid w:val="00582FAF"/>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5E8"/>
    <w:rsid w:val="005A464E"/>
    <w:rsid w:val="005A4DE7"/>
    <w:rsid w:val="005A62FC"/>
    <w:rsid w:val="005A6C99"/>
    <w:rsid w:val="005A7377"/>
    <w:rsid w:val="005A7D5D"/>
    <w:rsid w:val="005B0040"/>
    <w:rsid w:val="005B011A"/>
    <w:rsid w:val="005B0283"/>
    <w:rsid w:val="005B1ADA"/>
    <w:rsid w:val="005B1D09"/>
    <w:rsid w:val="005B1D8F"/>
    <w:rsid w:val="005B1E94"/>
    <w:rsid w:val="005B21BC"/>
    <w:rsid w:val="005B5B3D"/>
    <w:rsid w:val="005B5E8F"/>
    <w:rsid w:val="005B64CF"/>
    <w:rsid w:val="005B72DA"/>
    <w:rsid w:val="005C0E87"/>
    <w:rsid w:val="005C0EF3"/>
    <w:rsid w:val="005C1398"/>
    <w:rsid w:val="005C16F3"/>
    <w:rsid w:val="005C1E44"/>
    <w:rsid w:val="005C3758"/>
    <w:rsid w:val="005C4D72"/>
    <w:rsid w:val="005C5059"/>
    <w:rsid w:val="005C50C1"/>
    <w:rsid w:val="005C62C2"/>
    <w:rsid w:val="005D2306"/>
    <w:rsid w:val="005D2562"/>
    <w:rsid w:val="005D2666"/>
    <w:rsid w:val="005D4548"/>
    <w:rsid w:val="005D4A74"/>
    <w:rsid w:val="005D4D49"/>
    <w:rsid w:val="005D5E91"/>
    <w:rsid w:val="005D67EF"/>
    <w:rsid w:val="005E3064"/>
    <w:rsid w:val="005E54DC"/>
    <w:rsid w:val="005E5DD2"/>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21B"/>
    <w:rsid w:val="00605AAB"/>
    <w:rsid w:val="00606BEB"/>
    <w:rsid w:val="0061014A"/>
    <w:rsid w:val="0061054B"/>
    <w:rsid w:val="006110FB"/>
    <w:rsid w:val="00612FB0"/>
    <w:rsid w:val="0061356D"/>
    <w:rsid w:val="00613E26"/>
    <w:rsid w:val="00615641"/>
    <w:rsid w:val="00615A66"/>
    <w:rsid w:val="00616959"/>
    <w:rsid w:val="0062036E"/>
    <w:rsid w:val="006203F8"/>
    <w:rsid w:val="00620417"/>
    <w:rsid w:val="006211D0"/>
    <w:rsid w:val="00621595"/>
    <w:rsid w:val="0062359D"/>
    <w:rsid w:val="00623634"/>
    <w:rsid w:val="00624D0C"/>
    <w:rsid w:val="00626A0F"/>
    <w:rsid w:val="006274B4"/>
    <w:rsid w:val="006307BA"/>
    <w:rsid w:val="006315BA"/>
    <w:rsid w:val="00632575"/>
    <w:rsid w:val="00634C4A"/>
    <w:rsid w:val="0063532E"/>
    <w:rsid w:val="0063579F"/>
    <w:rsid w:val="006364ED"/>
    <w:rsid w:val="00636632"/>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62B"/>
    <w:rsid w:val="00653AB2"/>
    <w:rsid w:val="00653D2D"/>
    <w:rsid w:val="00653F10"/>
    <w:rsid w:val="0065435E"/>
    <w:rsid w:val="006544ED"/>
    <w:rsid w:val="00654551"/>
    <w:rsid w:val="00654F91"/>
    <w:rsid w:val="006555E7"/>
    <w:rsid w:val="00655CCC"/>
    <w:rsid w:val="006560B6"/>
    <w:rsid w:val="0065726D"/>
    <w:rsid w:val="006573F2"/>
    <w:rsid w:val="00661BA2"/>
    <w:rsid w:val="00662A8C"/>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6DC"/>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1D8"/>
    <w:rsid w:val="006A5362"/>
    <w:rsid w:val="006A543A"/>
    <w:rsid w:val="006A5C07"/>
    <w:rsid w:val="006A75FA"/>
    <w:rsid w:val="006B07D5"/>
    <w:rsid w:val="006B1309"/>
    <w:rsid w:val="006B31E6"/>
    <w:rsid w:val="006B383D"/>
    <w:rsid w:val="006B3923"/>
    <w:rsid w:val="006B3F3E"/>
    <w:rsid w:val="006B4AA2"/>
    <w:rsid w:val="006B4C4D"/>
    <w:rsid w:val="006B53C4"/>
    <w:rsid w:val="006B586B"/>
    <w:rsid w:val="006B5923"/>
    <w:rsid w:val="006B643A"/>
    <w:rsid w:val="006B67D9"/>
    <w:rsid w:val="006B6C14"/>
    <w:rsid w:val="006B7159"/>
    <w:rsid w:val="006B715E"/>
    <w:rsid w:val="006C1D6E"/>
    <w:rsid w:val="006C288F"/>
    <w:rsid w:val="006C2EF6"/>
    <w:rsid w:val="006C3A68"/>
    <w:rsid w:val="006C3B08"/>
    <w:rsid w:val="006C6AB1"/>
    <w:rsid w:val="006C6E6B"/>
    <w:rsid w:val="006C73D4"/>
    <w:rsid w:val="006C7947"/>
    <w:rsid w:val="006D145F"/>
    <w:rsid w:val="006D2000"/>
    <w:rsid w:val="006D2D39"/>
    <w:rsid w:val="006D2E73"/>
    <w:rsid w:val="006D2F31"/>
    <w:rsid w:val="006D4250"/>
    <w:rsid w:val="006D4E0E"/>
    <w:rsid w:val="006D4E65"/>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3D2B"/>
    <w:rsid w:val="00704519"/>
    <w:rsid w:val="00704C40"/>
    <w:rsid w:val="00704C88"/>
    <w:rsid w:val="00704EA1"/>
    <w:rsid w:val="00705BE5"/>
    <w:rsid w:val="00705C40"/>
    <w:rsid w:val="00705F88"/>
    <w:rsid w:val="00706482"/>
    <w:rsid w:val="00706754"/>
    <w:rsid w:val="00706BEF"/>
    <w:rsid w:val="00707028"/>
    <w:rsid w:val="00707ECE"/>
    <w:rsid w:val="00710CE8"/>
    <w:rsid w:val="00711350"/>
    <w:rsid w:val="00711538"/>
    <w:rsid w:val="007116BC"/>
    <w:rsid w:val="00711961"/>
    <w:rsid w:val="00711CA6"/>
    <w:rsid w:val="007165CE"/>
    <w:rsid w:val="00716CD5"/>
    <w:rsid w:val="0071757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AAD"/>
    <w:rsid w:val="0073254D"/>
    <w:rsid w:val="007340F3"/>
    <w:rsid w:val="007347BB"/>
    <w:rsid w:val="00735704"/>
    <w:rsid w:val="00736A49"/>
    <w:rsid w:val="007419A1"/>
    <w:rsid w:val="00742DA5"/>
    <w:rsid w:val="00742F1C"/>
    <w:rsid w:val="00743B71"/>
    <w:rsid w:val="00743C2D"/>
    <w:rsid w:val="00743C3A"/>
    <w:rsid w:val="00743E36"/>
    <w:rsid w:val="00743F05"/>
    <w:rsid w:val="007441C1"/>
    <w:rsid w:val="007446F7"/>
    <w:rsid w:val="00744EBB"/>
    <w:rsid w:val="00745B0A"/>
    <w:rsid w:val="00745CD3"/>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2D53"/>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B7E1D"/>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BE2"/>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0E6"/>
    <w:rsid w:val="007E0183"/>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F96"/>
    <w:rsid w:val="0080064F"/>
    <w:rsid w:val="00801B85"/>
    <w:rsid w:val="00803850"/>
    <w:rsid w:val="008039E8"/>
    <w:rsid w:val="00804385"/>
    <w:rsid w:val="00804547"/>
    <w:rsid w:val="00804E0E"/>
    <w:rsid w:val="0080510A"/>
    <w:rsid w:val="008051EB"/>
    <w:rsid w:val="008052E2"/>
    <w:rsid w:val="0080588E"/>
    <w:rsid w:val="00805AFD"/>
    <w:rsid w:val="00806397"/>
    <w:rsid w:val="008078D8"/>
    <w:rsid w:val="0080798E"/>
    <w:rsid w:val="00811BD9"/>
    <w:rsid w:val="00811D5B"/>
    <w:rsid w:val="00813C51"/>
    <w:rsid w:val="00814B7D"/>
    <w:rsid w:val="00816CCB"/>
    <w:rsid w:val="00817572"/>
    <w:rsid w:val="00817713"/>
    <w:rsid w:val="008208C3"/>
    <w:rsid w:val="00820B20"/>
    <w:rsid w:val="008220F1"/>
    <w:rsid w:val="0082285E"/>
    <w:rsid w:val="0082340B"/>
    <w:rsid w:val="00823974"/>
    <w:rsid w:val="00823D6A"/>
    <w:rsid w:val="008240A9"/>
    <w:rsid w:val="00827812"/>
    <w:rsid w:val="00827B29"/>
    <w:rsid w:val="00827DB6"/>
    <w:rsid w:val="008304B2"/>
    <w:rsid w:val="00830999"/>
    <w:rsid w:val="00830D5E"/>
    <w:rsid w:val="00830F69"/>
    <w:rsid w:val="00831940"/>
    <w:rsid w:val="008324D9"/>
    <w:rsid w:val="00833418"/>
    <w:rsid w:val="0083387F"/>
    <w:rsid w:val="00833A20"/>
    <w:rsid w:val="00834458"/>
    <w:rsid w:val="00834AEA"/>
    <w:rsid w:val="00835841"/>
    <w:rsid w:val="00835BF8"/>
    <w:rsid w:val="00835FB7"/>
    <w:rsid w:val="00837257"/>
    <w:rsid w:val="00837465"/>
    <w:rsid w:val="00837808"/>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239"/>
    <w:rsid w:val="00857368"/>
    <w:rsid w:val="00860869"/>
    <w:rsid w:val="00860E60"/>
    <w:rsid w:val="0086102A"/>
    <w:rsid w:val="0086162B"/>
    <w:rsid w:val="00861710"/>
    <w:rsid w:val="00861D5C"/>
    <w:rsid w:val="00861E7C"/>
    <w:rsid w:val="008636BA"/>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EC7"/>
    <w:rsid w:val="0087737B"/>
    <w:rsid w:val="00877453"/>
    <w:rsid w:val="00877F88"/>
    <w:rsid w:val="00882CC2"/>
    <w:rsid w:val="00883103"/>
    <w:rsid w:val="0088325A"/>
    <w:rsid w:val="00883930"/>
    <w:rsid w:val="00884535"/>
    <w:rsid w:val="008902BE"/>
    <w:rsid w:val="0089038F"/>
    <w:rsid w:val="00890A06"/>
    <w:rsid w:val="00890CDA"/>
    <w:rsid w:val="00891BBA"/>
    <w:rsid w:val="00892079"/>
    <w:rsid w:val="00892B90"/>
    <w:rsid w:val="00896535"/>
    <w:rsid w:val="00896683"/>
    <w:rsid w:val="00896E71"/>
    <w:rsid w:val="0089750B"/>
    <w:rsid w:val="00897589"/>
    <w:rsid w:val="008A0C99"/>
    <w:rsid w:val="008A0D4F"/>
    <w:rsid w:val="008A1CC3"/>
    <w:rsid w:val="008A39D7"/>
    <w:rsid w:val="008A3C66"/>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A44"/>
    <w:rsid w:val="008C22F3"/>
    <w:rsid w:val="008C2BBE"/>
    <w:rsid w:val="008C3223"/>
    <w:rsid w:val="008C3FD0"/>
    <w:rsid w:val="008C4F01"/>
    <w:rsid w:val="008C5152"/>
    <w:rsid w:val="008C710E"/>
    <w:rsid w:val="008D1484"/>
    <w:rsid w:val="008D29E7"/>
    <w:rsid w:val="008D32C3"/>
    <w:rsid w:val="008D38E6"/>
    <w:rsid w:val="008D5104"/>
    <w:rsid w:val="008D75F4"/>
    <w:rsid w:val="008D795D"/>
    <w:rsid w:val="008D7B07"/>
    <w:rsid w:val="008E0D8F"/>
    <w:rsid w:val="008E0F4E"/>
    <w:rsid w:val="008E1E94"/>
    <w:rsid w:val="008E2D99"/>
    <w:rsid w:val="008E30D4"/>
    <w:rsid w:val="008E38B0"/>
    <w:rsid w:val="008E3A73"/>
    <w:rsid w:val="008E3C90"/>
    <w:rsid w:val="008E4A60"/>
    <w:rsid w:val="008E744D"/>
    <w:rsid w:val="008F1E08"/>
    <w:rsid w:val="008F30F4"/>
    <w:rsid w:val="008F58E1"/>
    <w:rsid w:val="008F6E05"/>
    <w:rsid w:val="008F6FC8"/>
    <w:rsid w:val="008F748B"/>
    <w:rsid w:val="0090045D"/>
    <w:rsid w:val="00900906"/>
    <w:rsid w:val="00900D8F"/>
    <w:rsid w:val="00901229"/>
    <w:rsid w:val="009014E3"/>
    <w:rsid w:val="009020ED"/>
    <w:rsid w:val="009026E8"/>
    <w:rsid w:val="00902FDD"/>
    <w:rsid w:val="00905EEF"/>
    <w:rsid w:val="00906E2B"/>
    <w:rsid w:val="00906EB7"/>
    <w:rsid w:val="00907FE6"/>
    <w:rsid w:val="009102BF"/>
    <w:rsid w:val="00911490"/>
    <w:rsid w:val="009115F2"/>
    <w:rsid w:val="00911B11"/>
    <w:rsid w:val="009122C9"/>
    <w:rsid w:val="00914ADB"/>
    <w:rsid w:val="00917182"/>
    <w:rsid w:val="009200A0"/>
    <w:rsid w:val="00920251"/>
    <w:rsid w:val="00921CFD"/>
    <w:rsid w:val="00923B25"/>
    <w:rsid w:val="0092402E"/>
    <w:rsid w:val="009259BA"/>
    <w:rsid w:val="00926FCB"/>
    <w:rsid w:val="009270F5"/>
    <w:rsid w:val="00927E5A"/>
    <w:rsid w:val="009303BB"/>
    <w:rsid w:val="0093108A"/>
    <w:rsid w:val="00931B6D"/>
    <w:rsid w:val="0093311A"/>
    <w:rsid w:val="009346D0"/>
    <w:rsid w:val="009369A6"/>
    <w:rsid w:val="0093762D"/>
    <w:rsid w:val="00937F57"/>
    <w:rsid w:val="0094031E"/>
    <w:rsid w:val="009419B4"/>
    <w:rsid w:val="00941A4C"/>
    <w:rsid w:val="009425F8"/>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DAC"/>
    <w:rsid w:val="00971810"/>
    <w:rsid w:val="00972996"/>
    <w:rsid w:val="009730B4"/>
    <w:rsid w:val="0097320E"/>
    <w:rsid w:val="009732B8"/>
    <w:rsid w:val="0097334A"/>
    <w:rsid w:val="00974647"/>
    <w:rsid w:val="00974C96"/>
    <w:rsid w:val="0097514A"/>
    <w:rsid w:val="009759C2"/>
    <w:rsid w:val="00975C72"/>
    <w:rsid w:val="00976869"/>
    <w:rsid w:val="00977740"/>
    <w:rsid w:val="00977CB4"/>
    <w:rsid w:val="00977E3B"/>
    <w:rsid w:val="009809B8"/>
    <w:rsid w:val="00981086"/>
    <w:rsid w:val="009818AF"/>
    <w:rsid w:val="00981B1C"/>
    <w:rsid w:val="0098222D"/>
    <w:rsid w:val="009842F3"/>
    <w:rsid w:val="00984EBF"/>
    <w:rsid w:val="00985099"/>
    <w:rsid w:val="00985D32"/>
    <w:rsid w:val="00986514"/>
    <w:rsid w:val="00986FCC"/>
    <w:rsid w:val="00990FD6"/>
    <w:rsid w:val="00992396"/>
    <w:rsid w:val="009935C3"/>
    <w:rsid w:val="0099421F"/>
    <w:rsid w:val="00994FC8"/>
    <w:rsid w:val="009969B7"/>
    <w:rsid w:val="009A0DE3"/>
    <w:rsid w:val="009A1643"/>
    <w:rsid w:val="009A215A"/>
    <w:rsid w:val="009A26B9"/>
    <w:rsid w:val="009A49D3"/>
    <w:rsid w:val="009A4F1B"/>
    <w:rsid w:val="009A66C5"/>
    <w:rsid w:val="009A66E7"/>
    <w:rsid w:val="009A741E"/>
    <w:rsid w:val="009A79BA"/>
    <w:rsid w:val="009B09CB"/>
    <w:rsid w:val="009B10F9"/>
    <w:rsid w:val="009B14D1"/>
    <w:rsid w:val="009B1534"/>
    <w:rsid w:val="009B4963"/>
    <w:rsid w:val="009B4A3B"/>
    <w:rsid w:val="009B4C12"/>
    <w:rsid w:val="009B6023"/>
    <w:rsid w:val="009B69D3"/>
    <w:rsid w:val="009B721E"/>
    <w:rsid w:val="009B7BA7"/>
    <w:rsid w:val="009B7C01"/>
    <w:rsid w:val="009C0938"/>
    <w:rsid w:val="009C0C22"/>
    <w:rsid w:val="009C15D9"/>
    <w:rsid w:val="009C1A1D"/>
    <w:rsid w:val="009C22C8"/>
    <w:rsid w:val="009C3F82"/>
    <w:rsid w:val="009C582A"/>
    <w:rsid w:val="009C5C56"/>
    <w:rsid w:val="009C6098"/>
    <w:rsid w:val="009C72DD"/>
    <w:rsid w:val="009C78FD"/>
    <w:rsid w:val="009C7DF5"/>
    <w:rsid w:val="009D056C"/>
    <w:rsid w:val="009D060F"/>
    <w:rsid w:val="009D1ADE"/>
    <w:rsid w:val="009D297C"/>
    <w:rsid w:val="009D3652"/>
    <w:rsid w:val="009D37CA"/>
    <w:rsid w:val="009D4229"/>
    <w:rsid w:val="009D4268"/>
    <w:rsid w:val="009D517C"/>
    <w:rsid w:val="009D5DE9"/>
    <w:rsid w:val="009E09D0"/>
    <w:rsid w:val="009E1181"/>
    <w:rsid w:val="009E1283"/>
    <w:rsid w:val="009E3A7F"/>
    <w:rsid w:val="009E4C9B"/>
    <w:rsid w:val="009E4DFC"/>
    <w:rsid w:val="009E5789"/>
    <w:rsid w:val="009E57B1"/>
    <w:rsid w:val="009E6379"/>
    <w:rsid w:val="009E7D58"/>
    <w:rsid w:val="009F020F"/>
    <w:rsid w:val="009F3B63"/>
    <w:rsid w:val="009F43E2"/>
    <w:rsid w:val="009F6292"/>
    <w:rsid w:val="009F71F7"/>
    <w:rsid w:val="009F7809"/>
    <w:rsid w:val="009F7822"/>
    <w:rsid w:val="009F7AF5"/>
    <w:rsid w:val="00A00613"/>
    <w:rsid w:val="00A006F1"/>
    <w:rsid w:val="00A007A7"/>
    <w:rsid w:val="00A00D14"/>
    <w:rsid w:val="00A01408"/>
    <w:rsid w:val="00A02457"/>
    <w:rsid w:val="00A02AA8"/>
    <w:rsid w:val="00A03190"/>
    <w:rsid w:val="00A03A9E"/>
    <w:rsid w:val="00A0404B"/>
    <w:rsid w:val="00A05BE5"/>
    <w:rsid w:val="00A06F66"/>
    <w:rsid w:val="00A07953"/>
    <w:rsid w:val="00A0798C"/>
    <w:rsid w:val="00A07BDD"/>
    <w:rsid w:val="00A07F12"/>
    <w:rsid w:val="00A1105B"/>
    <w:rsid w:val="00A1213C"/>
    <w:rsid w:val="00A130E8"/>
    <w:rsid w:val="00A15B6B"/>
    <w:rsid w:val="00A15EB4"/>
    <w:rsid w:val="00A16172"/>
    <w:rsid w:val="00A165FF"/>
    <w:rsid w:val="00A16876"/>
    <w:rsid w:val="00A200AA"/>
    <w:rsid w:val="00A20558"/>
    <w:rsid w:val="00A20F4D"/>
    <w:rsid w:val="00A211DD"/>
    <w:rsid w:val="00A2186F"/>
    <w:rsid w:val="00A2270B"/>
    <w:rsid w:val="00A23B89"/>
    <w:rsid w:val="00A23C4F"/>
    <w:rsid w:val="00A23FE3"/>
    <w:rsid w:val="00A248C3"/>
    <w:rsid w:val="00A2496E"/>
    <w:rsid w:val="00A24A82"/>
    <w:rsid w:val="00A2515A"/>
    <w:rsid w:val="00A253E8"/>
    <w:rsid w:val="00A258B7"/>
    <w:rsid w:val="00A25A0C"/>
    <w:rsid w:val="00A25A83"/>
    <w:rsid w:val="00A262B6"/>
    <w:rsid w:val="00A305AD"/>
    <w:rsid w:val="00A31FE2"/>
    <w:rsid w:val="00A32743"/>
    <w:rsid w:val="00A40356"/>
    <w:rsid w:val="00A40FFB"/>
    <w:rsid w:val="00A41468"/>
    <w:rsid w:val="00A414A9"/>
    <w:rsid w:val="00A4350C"/>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29E"/>
    <w:rsid w:val="00A608FB"/>
    <w:rsid w:val="00A60D83"/>
    <w:rsid w:val="00A60F68"/>
    <w:rsid w:val="00A6344B"/>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37B"/>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884"/>
    <w:rsid w:val="00AB0A8A"/>
    <w:rsid w:val="00AB1754"/>
    <w:rsid w:val="00AB1F8D"/>
    <w:rsid w:val="00AB27DD"/>
    <w:rsid w:val="00AB4BA4"/>
    <w:rsid w:val="00AB592E"/>
    <w:rsid w:val="00AB6DDD"/>
    <w:rsid w:val="00AC0C1C"/>
    <w:rsid w:val="00AC1305"/>
    <w:rsid w:val="00AC37BE"/>
    <w:rsid w:val="00AC439D"/>
    <w:rsid w:val="00AC62CC"/>
    <w:rsid w:val="00AC636B"/>
    <w:rsid w:val="00AC6E8F"/>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57E"/>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0F9"/>
    <w:rsid w:val="00AF41EE"/>
    <w:rsid w:val="00AF4FA5"/>
    <w:rsid w:val="00AF5BB4"/>
    <w:rsid w:val="00AF6ECC"/>
    <w:rsid w:val="00B02145"/>
    <w:rsid w:val="00B022DC"/>
    <w:rsid w:val="00B04562"/>
    <w:rsid w:val="00B0472F"/>
    <w:rsid w:val="00B06930"/>
    <w:rsid w:val="00B0773A"/>
    <w:rsid w:val="00B07955"/>
    <w:rsid w:val="00B1176B"/>
    <w:rsid w:val="00B1366E"/>
    <w:rsid w:val="00B140B8"/>
    <w:rsid w:val="00B14FAA"/>
    <w:rsid w:val="00B15BED"/>
    <w:rsid w:val="00B15D30"/>
    <w:rsid w:val="00B15F09"/>
    <w:rsid w:val="00B16D18"/>
    <w:rsid w:val="00B177DE"/>
    <w:rsid w:val="00B20624"/>
    <w:rsid w:val="00B20F57"/>
    <w:rsid w:val="00B21F2F"/>
    <w:rsid w:val="00B23436"/>
    <w:rsid w:val="00B237F1"/>
    <w:rsid w:val="00B23F10"/>
    <w:rsid w:val="00B24328"/>
    <w:rsid w:val="00B24ED4"/>
    <w:rsid w:val="00B24F33"/>
    <w:rsid w:val="00B25589"/>
    <w:rsid w:val="00B26354"/>
    <w:rsid w:val="00B26CA0"/>
    <w:rsid w:val="00B270A9"/>
    <w:rsid w:val="00B2771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26E9"/>
    <w:rsid w:val="00B55143"/>
    <w:rsid w:val="00B553B2"/>
    <w:rsid w:val="00B555C8"/>
    <w:rsid w:val="00B55917"/>
    <w:rsid w:val="00B55D87"/>
    <w:rsid w:val="00B5646A"/>
    <w:rsid w:val="00B56F3D"/>
    <w:rsid w:val="00B57921"/>
    <w:rsid w:val="00B57E78"/>
    <w:rsid w:val="00B57EB8"/>
    <w:rsid w:val="00B609F6"/>
    <w:rsid w:val="00B60E75"/>
    <w:rsid w:val="00B61903"/>
    <w:rsid w:val="00B643A6"/>
    <w:rsid w:val="00B64DD6"/>
    <w:rsid w:val="00B66505"/>
    <w:rsid w:val="00B6710C"/>
    <w:rsid w:val="00B67E84"/>
    <w:rsid w:val="00B72076"/>
    <w:rsid w:val="00B72303"/>
    <w:rsid w:val="00B727A9"/>
    <w:rsid w:val="00B727EE"/>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44E"/>
    <w:rsid w:val="00B8478F"/>
    <w:rsid w:val="00B84F93"/>
    <w:rsid w:val="00B91676"/>
    <w:rsid w:val="00B9322B"/>
    <w:rsid w:val="00B93640"/>
    <w:rsid w:val="00B955D5"/>
    <w:rsid w:val="00B95833"/>
    <w:rsid w:val="00B97354"/>
    <w:rsid w:val="00BA1824"/>
    <w:rsid w:val="00BA2D98"/>
    <w:rsid w:val="00BA2F0C"/>
    <w:rsid w:val="00BA30D1"/>
    <w:rsid w:val="00BA30E1"/>
    <w:rsid w:val="00BA4609"/>
    <w:rsid w:val="00BA4725"/>
    <w:rsid w:val="00BA5BE2"/>
    <w:rsid w:val="00BA6A9C"/>
    <w:rsid w:val="00BA7F46"/>
    <w:rsid w:val="00BB0388"/>
    <w:rsid w:val="00BB0A0A"/>
    <w:rsid w:val="00BB0AAB"/>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0E21"/>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4E6"/>
    <w:rsid w:val="00C276CD"/>
    <w:rsid w:val="00C27827"/>
    <w:rsid w:val="00C30A97"/>
    <w:rsid w:val="00C31DDC"/>
    <w:rsid w:val="00C3223A"/>
    <w:rsid w:val="00C33443"/>
    <w:rsid w:val="00C34168"/>
    <w:rsid w:val="00C34247"/>
    <w:rsid w:val="00C34326"/>
    <w:rsid w:val="00C34CEB"/>
    <w:rsid w:val="00C36201"/>
    <w:rsid w:val="00C368E8"/>
    <w:rsid w:val="00C36C3D"/>
    <w:rsid w:val="00C36F4E"/>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907"/>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1E6B"/>
    <w:rsid w:val="00C826F5"/>
    <w:rsid w:val="00C83740"/>
    <w:rsid w:val="00C84527"/>
    <w:rsid w:val="00C84AD1"/>
    <w:rsid w:val="00C85579"/>
    <w:rsid w:val="00C8590C"/>
    <w:rsid w:val="00C85F87"/>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4AC"/>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6B79"/>
    <w:rsid w:val="00CE7EBC"/>
    <w:rsid w:val="00CF158D"/>
    <w:rsid w:val="00CF2166"/>
    <w:rsid w:val="00CF4340"/>
    <w:rsid w:val="00CF4394"/>
    <w:rsid w:val="00CF48B4"/>
    <w:rsid w:val="00CF5C12"/>
    <w:rsid w:val="00CF6D4D"/>
    <w:rsid w:val="00CF7B72"/>
    <w:rsid w:val="00D000A9"/>
    <w:rsid w:val="00D000DD"/>
    <w:rsid w:val="00D00384"/>
    <w:rsid w:val="00D005DB"/>
    <w:rsid w:val="00D0064E"/>
    <w:rsid w:val="00D00981"/>
    <w:rsid w:val="00D02596"/>
    <w:rsid w:val="00D0280D"/>
    <w:rsid w:val="00D02AEF"/>
    <w:rsid w:val="00D03EC9"/>
    <w:rsid w:val="00D05669"/>
    <w:rsid w:val="00D061EB"/>
    <w:rsid w:val="00D06952"/>
    <w:rsid w:val="00D07253"/>
    <w:rsid w:val="00D07A72"/>
    <w:rsid w:val="00D10577"/>
    <w:rsid w:val="00D12405"/>
    <w:rsid w:val="00D12A4E"/>
    <w:rsid w:val="00D1323B"/>
    <w:rsid w:val="00D14BAE"/>
    <w:rsid w:val="00D15107"/>
    <w:rsid w:val="00D1648B"/>
    <w:rsid w:val="00D16819"/>
    <w:rsid w:val="00D17DD9"/>
    <w:rsid w:val="00D20AC0"/>
    <w:rsid w:val="00D229E7"/>
    <w:rsid w:val="00D22D60"/>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941"/>
    <w:rsid w:val="00D52A1B"/>
    <w:rsid w:val="00D52AA7"/>
    <w:rsid w:val="00D52FCC"/>
    <w:rsid w:val="00D53F14"/>
    <w:rsid w:val="00D54BE4"/>
    <w:rsid w:val="00D54DDB"/>
    <w:rsid w:val="00D554BC"/>
    <w:rsid w:val="00D55814"/>
    <w:rsid w:val="00D560DC"/>
    <w:rsid w:val="00D56602"/>
    <w:rsid w:val="00D56D4C"/>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0F17"/>
    <w:rsid w:val="00D813EE"/>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16E"/>
    <w:rsid w:val="00D9168C"/>
    <w:rsid w:val="00D9189B"/>
    <w:rsid w:val="00D91B46"/>
    <w:rsid w:val="00D91DA6"/>
    <w:rsid w:val="00D921A0"/>
    <w:rsid w:val="00D93A41"/>
    <w:rsid w:val="00D93B9A"/>
    <w:rsid w:val="00D95984"/>
    <w:rsid w:val="00D95C64"/>
    <w:rsid w:val="00D95DD2"/>
    <w:rsid w:val="00D9706F"/>
    <w:rsid w:val="00D972D4"/>
    <w:rsid w:val="00DA0FE3"/>
    <w:rsid w:val="00DA195B"/>
    <w:rsid w:val="00DA27F3"/>
    <w:rsid w:val="00DA2D1E"/>
    <w:rsid w:val="00DA3EC8"/>
    <w:rsid w:val="00DA40C1"/>
    <w:rsid w:val="00DA5564"/>
    <w:rsid w:val="00DA6B55"/>
    <w:rsid w:val="00DA6B97"/>
    <w:rsid w:val="00DA6CEE"/>
    <w:rsid w:val="00DA77A8"/>
    <w:rsid w:val="00DA78FC"/>
    <w:rsid w:val="00DB0015"/>
    <w:rsid w:val="00DB0359"/>
    <w:rsid w:val="00DB0ABB"/>
    <w:rsid w:val="00DB2AAD"/>
    <w:rsid w:val="00DB44E2"/>
    <w:rsid w:val="00DB4A6D"/>
    <w:rsid w:val="00DB5941"/>
    <w:rsid w:val="00DB626D"/>
    <w:rsid w:val="00DB6365"/>
    <w:rsid w:val="00DB756C"/>
    <w:rsid w:val="00DC07B7"/>
    <w:rsid w:val="00DC0BF1"/>
    <w:rsid w:val="00DC17F2"/>
    <w:rsid w:val="00DC306C"/>
    <w:rsid w:val="00DC4001"/>
    <w:rsid w:val="00DC41C3"/>
    <w:rsid w:val="00DC4A3C"/>
    <w:rsid w:val="00DC4FA4"/>
    <w:rsid w:val="00DC5B37"/>
    <w:rsid w:val="00DD286D"/>
    <w:rsid w:val="00DD2CAF"/>
    <w:rsid w:val="00DD3593"/>
    <w:rsid w:val="00DD53C9"/>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441"/>
    <w:rsid w:val="00E1085B"/>
    <w:rsid w:val="00E1308B"/>
    <w:rsid w:val="00E14581"/>
    <w:rsid w:val="00E14623"/>
    <w:rsid w:val="00E15539"/>
    <w:rsid w:val="00E16541"/>
    <w:rsid w:val="00E169BE"/>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CC5"/>
    <w:rsid w:val="00E3077F"/>
    <w:rsid w:val="00E322F7"/>
    <w:rsid w:val="00E3369B"/>
    <w:rsid w:val="00E362D2"/>
    <w:rsid w:val="00E36D76"/>
    <w:rsid w:val="00E40478"/>
    <w:rsid w:val="00E405EA"/>
    <w:rsid w:val="00E408B7"/>
    <w:rsid w:val="00E40FA0"/>
    <w:rsid w:val="00E412EB"/>
    <w:rsid w:val="00E41637"/>
    <w:rsid w:val="00E42789"/>
    <w:rsid w:val="00E43F59"/>
    <w:rsid w:val="00E464F0"/>
    <w:rsid w:val="00E46EF3"/>
    <w:rsid w:val="00E47370"/>
    <w:rsid w:val="00E473E9"/>
    <w:rsid w:val="00E47B47"/>
    <w:rsid w:val="00E50BEB"/>
    <w:rsid w:val="00E53460"/>
    <w:rsid w:val="00E540DC"/>
    <w:rsid w:val="00E548FA"/>
    <w:rsid w:val="00E55CD9"/>
    <w:rsid w:val="00E57703"/>
    <w:rsid w:val="00E57ED4"/>
    <w:rsid w:val="00E57FED"/>
    <w:rsid w:val="00E6092F"/>
    <w:rsid w:val="00E60EF1"/>
    <w:rsid w:val="00E61EE9"/>
    <w:rsid w:val="00E62049"/>
    <w:rsid w:val="00E629DA"/>
    <w:rsid w:val="00E64374"/>
    <w:rsid w:val="00E6451F"/>
    <w:rsid w:val="00E6469F"/>
    <w:rsid w:val="00E64AB9"/>
    <w:rsid w:val="00E6546A"/>
    <w:rsid w:val="00E65C05"/>
    <w:rsid w:val="00E65D39"/>
    <w:rsid w:val="00E670F8"/>
    <w:rsid w:val="00E6741B"/>
    <w:rsid w:val="00E67580"/>
    <w:rsid w:val="00E67FAC"/>
    <w:rsid w:val="00E70164"/>
    <w:rsid w:val="00E71485"/>
    <w:rsid w:val="00E7200B"/>
    <w:rsid w:val="00E7250A"/>
    <w:rsid w:val="00E738CB"/>
    <w:rsid w:val="00E73C88"/>
    <w:rsid w:val="00E74437"/>
    <w:rsid w:val="00E7443D"/>
    <w:rsid w:val="00E74F1D"/>
    <w:rsid w:val="00E75ACE"/>
    <w:rsid w:val="00E771AF"/>
    <w:rsid w:val="00E80386"/>
    <w:rsid w:val="00E809C3"/>
    <w:rsid w:val="00E814D4"/>
    <w:rsid w:val="00E81A1A"/>
    <w:rsid w:val="00E81C3E"/>
    <w:rsid w:val="00E82359"/>
    <w:rsid w:val="00E82B6D"/>
    <w:rsid w:val="00E83187"/>
    <w:rsid w:val="00E831E9"/>
    <w:rsid w:val="00E83A02"/>
    <w:rsid w:val="00E84DDA"/>
    <w:rsid w:val="00E8608F"/>
    <w:rsid w:val="00E86C1D"/>
    <w:rsid w:val="00E90703"/>
    <w:rsid w:val="00E90A2A"/>
    <w:rsid w:val="00E90A62"/>
    <w:rsid w:val="00E919B4"/>
    <w:rsid w:val="00E9265E"/>
    <w:rsid w:val="00E94B79"/>
    <w:rsid w:val="00E956DB"/>
    <w:rsid w:val="00E95BD9"/>
    <w:rsid w:val="00E9763D"/>
    <w:rsid w:val="00EA1177"/>
    <w:rsid w:val="00EA118B"/>
    <w:rsid w:val="00EA11B6"/>
    <w:rsid w:val="00EA2181"/>
    <w:rsid w:val="00EA2DD8"/>
    <w:rsid w:val="00EA30FC"/>
    <w:rsid w:val="00EA4475"/>
    <w:rsid w:val="00EA52FE"/>
    <w:rsid w:val="00EA681F"/>
    <w:rsid w:val="00EA6A09"/>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5BE5"/>
    <w:rsid w:val="00ED664B"/>
    <w:rsid w:val="00ED6A61"/>
    <w:rsid w:val="00ED768E"/>
    <w:rsid w:val="00ED7DA4"/>
    <w:rsid w:val="00EE03BB"/>
    <w:rsid w:val="00EE0552"/>
    <w:rsid w:val="00EE0B44"/>
    <w:rsid w:val="00EE125D"/>
    <w:rsid w:val="00EE22AB"/>
    <w:rsid w:val="00EE23DE"/>
    <w:rsid w:val="00EE48BB"/>
    <w:rsid w:val="00EE4F19"/>
    <w:rsid w:val="00EE55CB"/>
    <w:rsid w:val="00EE6FE0"/>
    <w:rsid w:val="00EE704A"/>
    <w:rsid w:val="00EE7840"/>
    <w:rsid w:val="00EF0B62"/>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0065"/>
    <w:rsid w:val="00F3197A"/>
    <w:rsid w:val="00F32139"/>
    <w:rsid w:val="00F33CF0"/>
    <w:rsid w:val="00F33D56"/>
    <w:rsid w:val="00F34E08"/>
    <w:rsid w:val="00F37EB6"/>
    <w:rsid w:val="00F41D91"/>
    <w:rsid w:val="00F41F52"/>
    <w:rsid w:val="00F41FA1"/>
    <w:rsid w:val="00F42363"/>
    <w:rsid w:val="00F427C4"/>
    <w:rsid w:val="00F43D6C"/>
    <w:rsid w:val="00F4647F"/>
    <w:rsid w:val="00F46964"/>
    <w:rsid w:val="00F46F9A"/>
    <w:rsid w:val="00F470FD"/>
    <w:rsid w:val="00F50F30"/>
    <w:rsid w:val="00F5126A"/>
    <w:rsid w:val="00F5126E"/>
    <w:rsid w:val="00F5140E"/>
    <w:rsid w:val="00F516EF"/>
    <w:rsid w:val="00F51755"/>
    <w:rsid w:val="00F531D9"/>
    <w:rsid w:val="00F54D8E"/>
    <w:rsid w:val="00F54DC5"/>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938"/>
    <w:rsid w:val="00F67E31"/>
    <w:rsid w:val="00F70B44"/>
    <w:rsid w:val="00F71436"/>
    <w:rsid w:val="00F718A8"/>
    <w:rsid w:val="00F71C01"/>
    <w:rsid w:val="00F7207E"/>
    <w:rsid w:val="00F72183"/>
    <w:rsid w:val="00F75C12"/>
    <w:rsid w:val="00F76D01"/>
    <w:rsid w:val="00F80B43"/>
    <w:rsid w:val="00F80C97"/>
    <w:rsid w:val="00F81C35"/>
    <w:rsid w:val="00F82981"/>
    <w:rsid w:val="00F8311F"/>
    <w:rsid w:val="00F83248"/>
    <w:rsid w:val="00F83376"/>
    <w:rsid w:val="00F853AE"/>
    <w:rsid w:val="00F868E3"/>
    <w:rsid w:val="00F908D5"/>
    <w:rsid w:val="00F913B9"/>
    <w:rsid w:val="00F93892"/>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D89"/>
    <w:rsid w:val="00FC5FF5"/>
    <w:rsid w:val="00FC6285"/>
    <w:rsid w:val="00FC71DF"/>
    <w:rsid w:val="00FC78FB"/>
    <w:rsid w:val="00FC7DBC"/>
    <w:rsid w:val="00FD076A"/>
    <w:rsid w:val="00FD0AA0"/>
    <w:rsid w:val="00FD1D5A"/>
    <w:rsid w:val="00FD3DDB"/>
    <w:rsid w:val="00FD5059"/>
    <w:rsid w:val="00FD554D"/>
    <w:rsid w:val="00FD5BCC"/>
    <w:rsid w:val="00FD7B23"/>
    <w:rsid w:val="00FE0AEA"/>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48126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ADC1-36AC-4D6D-AD66-0EA7F65F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17</cp:revision>
  <cp:lastPrinted>2012-05-21T18:07:00Z</cp:lastPrinted>
  <dcterms:created xsi:type="dcterms:W3CDTF">2012-05-15T12:26:00Z</dcterms:created>
  <dcterms:modified xsi:type="dcterms:W3CDTF">2012-06-01T18:35:00Z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