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00" w:rsidRPr="001F29F9" w:rsidRDefault="00D74D00" w:rsidP="00BF0E94">
      <w:pPr>
        <w:tabs>
          <w:tab w:val="left" w:pos="288"/>
          <w:tab w:val="left" w:pos="4752"/>
        </w:tabs>
        <w:rPr>
          <w:color w:val="000000"/>
        </w:rPr>
      </w:pPr>
      <w:r w:rsidRPr="001F29F9">
        <w:rPr>
          <w:color w:val="000000"/>
        </w:rPr>
        <w:t>RECORD OF PROCEEDINGS</w:t>
      </w:r>
    </w:p>
    <w:p w:rsidR="00D74D00" w:rsidRPr="001F29F9" w:rsidRDefault="00D74D00" w:rsidP="00BF0E94">
      <w:pPr>
        <w:tabs>
          <w:tab w:val="left" w:pos="288"/>
          <w:tab w:val="left" w:pos="4752"/>
        </w:tabs>
        <w:rPr>
          <w:color w:val="000000"/>
        </w:rPr>
      </w:pPr>
      <w:r w:rsidRPr="001F29F9">
        <w:rPr>
          <w:color w:val="000000"/>
        </w:rPr>
        <w:t>PHYSICAL DISABILITY BOARD OF REVIEW</w:t>
      </w:r>
    </w:p>
    <w:p w:rsidR="00D74D00" w:rsidRPr="001F29F9" w:rsidRDefault="00D74D00" w:rsidP="00BF0E94">
      <w:pPr>
        <w:tabs>
          <w:tab w:val="left" w:pos="288"/>
          <w:tab w:val="left" w:pos="4752"/>
        </w:tabs>
        <w:jc w:val="both"/>
        <w:rPr>
          <w:caps/>
          <w:color w:val="000000"/>
        </w:rPr>
      </w:pPr>
    </w:p>
    <w:p w:rsidR="00D74D00" w:rsidRPr="001F29F9" w:rsidRDefault="00D74D00" w:rsidP="003C53E8">
      <w:pPr>
        <w:tabs>
          <w:tab w:val="left" w:pos="288"/>
          <w:tab w:val="left" w:pos="4752"/>
          <w:tab w:val="left" w:pos="6390"/>
          <w:tab w:val="left" w:pos="9270"/>
        </w:tabs>
        <w:jc w:val="both"/>
        <w:rPr>
          <w:caps/>
          <w:color w:val="000000"/>
        </w:rPr>
      </w:pPr>
      <w:r w:rsidRPr="001F29F9">
        <w:rPr>
          <w:caps/>
          <w:color w:val="000000"/>
        </w:rPr>
        <w:t xml:space="preserve">NAME:  </w:t>
      </w:r>
      <w:r w:rsidR="00B07C4D">
        <w:rPr>
          <w:caps/>
          <w:color w:val="000000"/>
        </w:rPr>
        <w:t>XXXXXXXXXXXX</w:t>
      </w:r>
      <w:r w:rsidRPr="001F29F9">
        <w:rPr>
          <w:caps/>
          <w:color w:val="000000"/>
        </w:rPr>
        <w:t xml:space="preserve">                </w:t>
      </w:r>
      <w:r>
        <w:rPr>
          <w:caps/>
          <w:color w:val="000000"/>
        </w:rPr>
        <w:t xml:space="preserve">                        </w:t>
      </w:r>
      <w:r w:rsidR="001B2682">
        <w:rPr>
          <w:caps/>
          <w:color w:val="000000"/>
        </w:rPr>
        <w:t xml:space="preserve">       </w:t>
      </w:r>
      <w:r>
        <w:rPr>
          <w:caps/>
          <w:color w:val="000000"/>
        </w:rPr>
        <w:t xml:space="preserve">                       </w:t>
      </w:r>
      <w:r w:rsidR="00194A85">
        <w:rPr>
          <w:caps/>
          <w:color w:val="000000"/>
        </w:rPr>
        <w:t xml:space="preserve">     </w:t>
      </w:r>
      <w:r w:rsidRPr="001F29F9">
        <w:rPr>
          <w:caps/>
          <w:color w:val="000000"/>
        </w:rPr>
        <w:t>BRANCH OF SERVICE:</w:t>
      </w:r>
      <w:r w:rsidRPr="00E7382C">
        <w:rPr>
          <w:caps/>
          <w:color w:val="000000"/>
        </w:rPr>
        <w:t xml:space="preserve"> Army</w:t>
      </w:r>
    </w:p>
    <w:p w:rsidR="00D74D00" w:rsidRPr="001F29F9" w:rsidRDefault="00D74D00" w:rsidP="0068098E">
      <w:pPr>
        <w:tabs>
          <w:tab w:val="left" w:pos="288"/>
          <w:tab w:val="left" w:pos="4166"/>
          <w:tab w:val="left" w:pos="4752"/>
          <w:tab w:val="left" w:pos="5130"/>
          <w:tab w:val="left" w:pos="9270"/>
        </w:tabs>
        <w:jc w:val="both"/>
        <w:rPr>
          <w:caps/>
          <w:color w:val="000000"/>
        </w:rPr>
      </w:pPr>
      <w:r w:rsidRPr="001F29F9">
        <w:rPr>
          <w:caps/>
          <w:color w:val="000000"/>
        </w:rPr>
        <w:t>CASE NUMBER:  PD1100550</w:t>
      </w:r>
      <w:r w:rsidRPr="001F29F9">
        <w:rPr>
          <w:color w:val="000000"/>
        </w:rPr>
        <w:t xml:space="preserve"> </w:t>
      </w:r>
      <w:r w:rsidRPr="001F29F9">
        <w:rPr>
          <w:color w:val="000000"/>
        </w:rPr>
        <w:tab/>
      </w:r>
      <w:r w:rsidRPr="001F29F9">
        <w:rPr>
          <w:color w:val="000000"/>
        </w:rPr>
        <w:tab/>
        <w:t xml:space="preserve">                       </w:t>
      </w:r>
      <w:r w:rsidR="00194A85">
        <w:rPr>
          <w:color w:val="000000"/>
        </w:rPr>
        <w:t xml:space="preserve">       </w:t>
      </w:r>
      <w:r w:rsidRPr="001F29F9">
        <w:rPr>
          <w:color w:val="000000"/>
        </w:rPr>
        <w:t>SEPARATION DATE:  20051031</w:t>
      </w:r>
    </w:p>
    <w:p w:rsidR="00D74D00" w:rsidRPr="001F29F9" w:rsidRDefault="00D74D00" w:rsidP="00E7382C">
      <w:pPr>
        <w:tabs>
          <w:tab w:val="left" w:pos="288"/>
          <w:tab w:val="left" w:pos="5130"/>
        </w:tabs>
        <w:jc w:val="both"/>
        <w:rPr>
          <w:color w:val="000000"/>
        </w:rPr>
      </w:pPr>
      <w:r w:rsidRPr="001F29F9">
        <w:rPr>
          <w:caps/>
          <w:color w:val="000000"/>
        </w:rPr>
        <w:t xml:space="preserve">BOARD </w:t>
      </w:r>
      <w:r w:rsidR="00194A85">
        <w:rPr>
          <w:caps/>
          <w:color w:val="000000"/>
        </w:rPr>
        <w:t>DATE:  2012</w:t>
      </w:r>
      <w:r w:rsidR="005C4EF0">
        <w:rPr>
          <w:caps/>
          <w:color w:val="000000"/>
        </w:rPr>
        <w:t>0511</w:t>
      </w:r>
      <w:r w:rsidRPr="001F29F9">
        <w:rPr>
          <w:caps/>
          <w:color w:val="000000"/>
        </w:rPr>
        <w:t xml:space="preserve">    </w:t>
      </w:r>
    </w:p>
    <w:p w:rsidR="00D74D00" w:rsidRPr="001F29F9" w:rsidRDefault="00D74D00" w:rsidP="003C53E8">
      <w:pPr>
        <w:pBdr>
          <w:bottom w:val="single" w:sz="12" w:space="1" w:color="auto"/>
        </w:pBd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r w:rsidRPr="001F29F9">
        <w:rPr>
          <w:color w:val="000000"/>
          <w:u w:val="single"/>
        </w:rPr>
        <w:t>SUMMARY OF CASE</w:t>
      </w:r>
      <w:r w:rsidRPr="001F29F9">
        <w:rPr>
          <w:color w:val="000000"/>
        </w:rPr>
        <w:t>: Data extracted from the available evidence of record reflects that this covered individual (CI) was an active duty SGT/E-5 (91W, Health Care Speci</w:t>
      </w:r>
      <w:r w:rsidR="00994D37">
        <w:rPr>
          <w:color w:val="000000"/>
        </w:rPr>
        <w:t>alist)</w:t>
      </w:r>
      <w:r w:rsidRPr="001F29F9">
        <w:rPr>
          <w:color w:val="000000"/>
        </w:rPr>
        <w:t xml:space="preserve"> medically separated for </w:t>
      </w:r>
      <w:r w:rsidR="00994D37">
        <w:rPr>
          <w:color w:val="000000"/>
        </w:rPr>
        <w:t xml:space="preserve">a </w:t>
      </w:r>
      <w:r w:rsidRPr="001F29F9">
        <w:rPr>
          <w:color w:val="000000"/>
        </w:rPr>
        <w:t xml:space="preserve">right scapular and shoulder </w:t>
      </w:r>
      <w:r w:rsidR="00994D37">
        <w:rPr>
          <w:color w:val="000000"/>
        </w:rPr>
        <w:t>condition</w:t>
      </w:r>
      <w:r w:rsidRPr="001F29F9">
        <w:rPr>
          <w:color w:val="000000"/>
        </w:rPr>
        <w:t xml:space="preserve">. </w:t>
      </w:r>
      <w:r w:rsidR="00994D37">
        <w:rPr>
          <w:color w:val="000000"/>
        </w:rPr>
        <w:t xml:space="preserve"> </w:t>
      </w:r>
      <w:r w:rsidRPr="001F29F9">
        <w:rPr>
          <w:color w:val="000000"/>
        </w:rPr>
        <w:t>The CI first experi</w:t>
      </w:r>
      <w:r w:rsidR="005C4EF0">
        <w:rPr>
          <w:color w:val="000000"/>
        </w:rPr>
        <w:t xml:space="preserve">enced </w:t>
      </w:r>
      <w:proofErr w:type="spellStart"/>
      <w:r w:rsidR="005C4EF0">
        <w:rPr>
          <w:color w:val="000000"/>
        </w:rPr>
        <w:t>atraumatic</w:t>
      </w:r>
      <w:proofErr w:type="spellEnd"/>
      <w:r w:rsidR="005C4EF0">
        <w:rPr>
          <w:color w:val="000000"/>
        </w:rPr>
        <w:t xml:space="preserve"> right </w:t>
      </w:r>
      <w:proofErr w:type="gramStart"/>
      <w:r w:rsidR="005C4EF0">
        <w:rPr>
          <w:color w:val="000000"/>
        </w:rPr>
        <w:t xml:space="preserve">shoulder </w:t>
      </w:r>
      <w:r w:rsidRPr="001F29F9">
        <w:rPr>
          <w:color w:val="000000"/>
        </w:rPr>
        <w:t>pain</w:t>
      </w:r>
      <w:proofErr w:type="gramEnd"/>
      <w:r w:rsidRPr="001F29F9">
        <w:rPr>
          <w:color w:val="000000"/>
        </w:rPr>
        <w:t xml:space="preserve"> in 2002</w:t>
      </w:r>
      <w:r w:rsidR="00686811">
        <w:rPr>
          <w:color w:val="000000"/>
        </w:rPr>
        <w:t xml:space="preserve"> </w:t>
      </w:r>
      <w:r w:rsidR="00686811" w:rsidRPr="00AB5764">
        <w:rPr>
          <w:color w:val="000000"/>
        </w:rPr>
        <w:t xml:space="preserve">which continued to worsen; and, which progressed </w:t>
      </w:r>
      <w:r w:rsidR="005C4EF0">
        <w:rPr>
          <w:color w:val="000000"/>
        </w:rPr>
        <w:t>to</w:t>
      </w:r>
      <w:r w:rsidR="00686811" w:rsidRPr="00AB5764">
        <w:rPr>
          <w:color w:val="000000"/>
        </w:rPr>
        <w:t xml:space="preserve"> a neuromuscular deformity which could not be precisely diagnosed or </w:t>
      </w:r>
      <w:r w:rsidR="003E42D1">
        <w:rPr>
          <w:color w:val="000000"/>
        </w:rPr>
        <w:t xml:space="preserve">surgically </w:t>
      </w:r>
      <w:r w:rsidR="00686811" w:rsidRPr="00AB5764">
        <w:rPr>
          <w:color w:val="000000"/>
        </w:rPr>
        <w:t>corrected</w:t>
      </w:r>
      <w:r w:rsidRPr="00AB5764">
        <w:rPr>
          <w:color w:val="000000"/>
        </w:rPr>
        <w:t xml:space="preserve">. </w:t>
      </w:r>
      <w:r w:rsidR="00686811" w:rsidRPr="00AB5764">
        <w:rPr>
          <w:color w:val="000000"/>
        </w:rPr>
        <w:t xml:space="preserve"> The condition could not be adequately rehabilitated to meet the physical requirements of his Military Occupational Specialty (MOS) or satisfy physical fitness standards.  He was issued a permanent U3 profile and referred for a Medical Evaluation Board (MEB).  The right shoulder condition, characterized as “right scapular displacement and right shoulder deformity with probable shoulder </w:t>
      </w:r>
      <w:proofErr w:type="spellStart"/>
      <w:r w:rsidR="00686811" w:rsidRPr="00AB5764">
        <w:rPr>
          <w:color w:val="000000"/>
        </w:rPr>
        <w:t>dystonia</w:t>
      </w:r>
      <w:proofErr w:type="spellEnd"/>
      <w:r w:rsidR="00324E36">
        <w:rPr>
          <w:color w:val="000000"/>
        </w:rPr>
        <w:t>,</w:t>
      </w:r>
      <w:r w:rsidR="00686811" w:rsidRPr="00AB5764">
        <w:rPr>
          <w:color w:val="000000"/>
        </w:rPr>
        <w:t xml:space="preserve">” was forwarded to the Physical Evaluation Board (PEB) as medically unacceptable IAW AR 40-501.  </w:t>
      </w:r>
      <w:r w:rsidRPr="00AB5764">
        <w:rPr>
          <w:color w:val="000000"/>
        </w:rPr>
        <w:t xml:space="preserve">Four other conditions, as identified in the rating chart below, were forwarded on the MEB submission as medically acceptable conditions. </w:t>
      </w:r>
      <w:r w:rsidR="00AB5764" w:rsidRPr="00AB5764">
        <w:rPr>
          <w:color w:val="000000"/>
        </w:rPr>
        <w:t xml:space="preserve"> </w:t>
      </w:r>
      <w:r w:rsidRPr="00AB5764">
        <w:rPr>
          <w:color w:val="000000"/>
        </w:rPr>
        <w:t xml:space="preserve">The PEB adjudicated the right shoulder condition as unfitting, rated 20%, </w:t>
      </w:r>
      <w:r w:rsidR="00AB5764" w:rsidRPr="00AB5764">
        <w:rPr>
          <w:color w:val="000000"/>
        </w:rPr>
        <w:t xml:space="preserve">citing criteria </w:t>
      </w:r>
      <w:r w:rsidRPr="00AB5764">
        <w:rPr>
          <w:color w:val="000000"/>
        </w:rPr>
        <w:t xml:space="preserve">of the Veterans Administration Schedule for Rating Disabilities (VASRD). </w:t>
      </w:r>
      <w:r w:rsidR="00AB5764" w:rsidRPr="00AB5764">
        <w:rPr>
          <w:color w:val="000000"/>
        </w:rPr>
        <w:t xml:space="preserve"> The remaining conditions were determined to be not unfitting.  </w:t>
      </w:r>
      <w:r w:rsidRPr="00AB5764">
        <w:rPr>
          <w:color w:val="000000"/>
        </w:rPr>
        <w:t>The CI made no appeals, and was medically separated with a 20% disability rating.</w:t>
      </w:r>
    </w:p>
    <w:p w:rsidR="00D74D00" w:rsidRPr="001F29F9" w:rsidRDefault="00D74D00" w:rsidP="00BF0E94">
      <w:pPr>
        <w:pBdr>
          <w:bottom w:val="single" w:sz="12" w:space="1" w:color="auto"/>
        </w:pBd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r w:rsidRPr="001F29F9">
        <w:rPr>
          <w:color w:val="000000"/>
          <w:u w:val="single"/>
        </w:rPr>
        <w:t>CI CONTENTION</w:t>
      </w:r>
      <w:r w:rsidRPr="001F29F9">
        <w:rPr>
          <w:color w:val="000000"/>
        </w:rPr>
        <w:t>:</w:t>
      </w:r>
      <w:r w:rsidRPr="005D639F">
        <w:rPr>
          <w:b/>
          <w:color w:val="auto"/>
        </w:rPr>
        <w:t xml:space="preserve"> </w:t>
      </w:r>
      <w:r>
        <w:rPr>
          <w:color w:val="000000"/>
        </w:rPr>
        <w:t>“</w:t>
      </w:r>
      <w:r w:rsidRPr="0072380B">
        <w:rPr>
          <w:rFonts w:cs="Arial"/>
          <w:color w:val="000000"/>
        </w:rPr>
        <w:t>The rating I received from the United States Army is inconsistent with the rating I received from the Veteran Affairs Office. I only received a</w:t>
      </w:r>
      <w:r>
        <w:rPr>
          <w:rFonts w:cs="Arial"/>
          <w:color w:val="000000"/>
        </w:rPr>
        <w:t xml:space="preserve"> </w:t>
      </w:r>
      <w:r w:rsidRPr="0072380B">
        <w:rPr>
          <w:rFonts w:cs="Arial"/>
          <w:color w:val="000000"/>
        </w:rPr>
        <w:t xml:space="preserve">rating from the military of 20 percent on my shoulder for my diagnosis of </w:t>
      </w:r>
      <w:proofErr w:type="spellStart"/>
      <w:r w:rsidRPr="0072380B">
        <w:rPr>
          <w:rFonts w:cs="Arial"/>
          <w:color w:val="000000"/>
        </w:rPr>
        <w:t>Dystonia</w:t>
      </w:r>
      <w:proofErr w:type="spellEnd"/>
      <w:r w:rsidRPr="0072380B">
        <w:rPr>
          <w:rFonts w:cs="Arial"/>
          <w:color w:val="000000"/>
        </w:rPr>
        <w:t>, centralized in my shoulder. The VA granted me numerous</w:t>
      </w:r>
      <w:r>
        <w:rPr>
          <w:rFonts w:cs="Arial"/>
          <w:color w:val="000000"/>
        </w:rPr>
        <w:t xml:space="preserve"> </w:t>
      </w:r>
      <w:r w:rsidRPr="0072380B">
        <w:rPr>
          <w:rFonts w:cs="Arial"/>
          <w:color w:val="000000"/>
        </w:rPr>
        <w:t xml:space="preserve">ratings that </w:t>
      </w:r>
      <w:proofErr w:type="gramStart"/>
      <w:r w:rsidRPr="0072380B">
        <w:rPr>
          <w:rFonts w:cs="Arial"/>
          <w:color w:val="000000"/>
        </w:rPr>
        <w:t>was</w:t>
      </w:r>
      <w:proofErr w:type="gramEnd"/>
      <w:r w:rsidRPr="0072380B">
        <w:rPr>
          <w:rFonts w:cs="Arial"/>
          <w:color w:val="000000"/>
        </w:rPr>
        <w:t xml:space="preserve"> averaged out to 50 percent. The ratings included: My neck, mid and lower back, anxiety and loss of sensation on my upper lip</w:t>
      </w:r>
      <w:r>
        <w:rPr>
          <w:rFonts w:cs="Arial"/>
          <w:color w:val="000000"/>
        </w:rPr>
        <w:t xml:space="preserve">. </w:t>
      </w:r>
      <w:r w:rsidRPr="0072380B">
        <w:rPr>
          <w:rFonts w:cs="Times New Roman"/>
          <w:color w:val="000000"/>
        </w:rPr>
        <w:t>The MEB process was not explained in detail during my time of separation from the United States Army and I was under the assumption that this</w:t>
      </w:r>
      <w:r>
        <w:rPr>
          <w:rFonts w:cs="Times New Roman"/>
          <w:color w:val="000000"/>
        </w:rPr>
        <w:t xml:space="preserve"> </w:t>
      </w:r>
      <w:r w:rsidRPr="0072380B">
        <w:rPr>
          <w:rFonts w:cs="Times New Roman"/>
          <w:color w:val="000000"/>
        </w:rPr>
        <w:t xml:space="preserve">was my only choice. Upon conducting recent research, I found that I am a prime candidate for reconsideration. </w:t>
      </w:r>
      <w:r w:rsidR="00194A85">
        <w:rPr>
          <w:rFonts w:cs="Times New Roman"/>
          <w:color w:val="000000"/>
        </w:rPr>
        <w:t>… [Elaborates post separation clin</w:t>
      </w:r>
      <w:r w:rsidR="009F46CE">
        <w:rPr>
          <w:rFonts w:cs="Times New Roman"/>
          <w:color w:val="000000"/>
        </w:rPr>
        <w:t>ical course and medical details, and describes geographic barriers to VA medical care with an inability to obtain compensation for local care.</w:t>
      </w:r>
      <w:r w:rsidR="00194A85">
        <w:rPr>
          <w:rFonts w:cs="Times New Roman"/>
          <w:color w:val="000000"/>
        </w:rPr>
        <w:t xml:space="preserve">] </w:t>
      </w:r>
      <w:r w:rsidR="00994D37">
        <w:rPr>
          <w:rFonts w:cs="Times New Roman"/>
          <w:color w:val="000000"/>
        </w:rPr>
        <w:t xml:space="preserve">… </w:t>
      </w:r>
      <w:r w:rsidRPr="0072380B">
        <w:rPr>
          <w:rFonts w:cs="Times New Roman"/>
          <w:color w:val="000000"/>
        </w:rPr>
        <w:t>Also, I have very limited movement in my neck in which I cannot rotate it all the way to the right and downward towards my chest.</w:t>
      </w:r>
      <w:r w:rsidR="009F46CE">
        <w:rPr>
          <w:rFonts w:cs="Times New Roman"/>
          <w:color w:val="000000"/>
        </w:rPr>
        <w:t xml:space="preserve"> </w:t>
      </w:r>
      <w:r w:rsidRPr="0072380B">
        <w:rPr>
          <w:rFonts w:cs="Times New Roman"/>
          <w:color w:val="000000"/>
        </w:rPr>
        <w:t xml:space="preserve"> This greatly hinders my ability to perform my current</w:t>
      </w:r>
      <w:r w:rsidR="00AB5764">
        <w:rPr>
          <w:rFonts w:cs="Times New Roman"/>
          <w:color w:val="000000"/>
        </w:rPr>
        <w:t xml:space="preserve"> occupation of a police officer</w:t>
      </w:r>
      <w:r w:rsidRPr="0072380B">
        <w:rPr>
          <w:rFonts w:cs="Times New Roman"/>
          <w:color w:val="000000"/>
        </w:rPr>
        <w:t>.</w:t>
      </w:r>
      <w:r>
        <w:rPr>
          <w:rFonts w:cs="Times New Roman"/>
          <w:color w:val="000000"/>
        </w:rPr>
        <w:t>”</w:t>
      </w:r>
    </w:p>
    <w:p w:rsidR="00D74D00" w:rsidRPr="001F29F9" w:rsidRDefault="00D74D00" w:rsidP="00BF0E94">
      <w:pPr>
        <w:pBdr>
          <w:bottom w:val="single" w:sz="12" w:space="1" w:color="auto"/>
        </w:pBd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p>
    <w:p w:rsidR="00AB5764" w:rsidRPr="00C566C9" w:rsidRDefault="00AB5764" w:rsidP="00AB5764">
      <w:pPr>
        <w:jc w:val="both"/>
        <w:rPr>
          <w:color w:val="auto"/>
        </w:rPr>
      </w:pPr>
      <w:r w:rsidRPr="006A714F">
        <w:rPr>
          <w:color w:val="auto"/>
          <w:u w:val="single"/>
        </w:rPr>
        <w:t>SCOPE OF REVIEW</w:t>
      </w:r>
      <w:r>
        <w:rPr>
          <w:color w:val="auto"/>
        </w:rPr>
        <w:t xml:space="preserve">: </w:t>
      </w:r>
      <w:r w:rsidRPr="00C566C9">
        <w:rPr>
          <w:color w:val="auto"/>
        </w:rPr>
        <w:t xml:space="preserve">The Board wishes to clarify that the scope of its review as defined in DoDI 6040.44 (4.a) is limited to those conditions which were determined by the PEB to be specifically unfitting for continued </w:t>
      </w:r>
      <w:r w:rsidRPr="009F46CE">
        <w:rPr>
          <w:color w:val="auto"/>
        </w:rPr>
        <w:t>military service; or, when requested by the CI, those condition(s) “identified but not determined to be unfitting by the PEB</w:t>
      </w:r>
      <w:r w:rsidR="00324E36">
        <w:rPr>
          <w:color w:val="auto"/>
        </w:rPr>
        <w:t>.</w:t>
      </w:r>
      <w:r w:rsidRPr="009F46CE">
        <w:rPr>
          <w:color w:val="auto"/>
        </w:rPr>
        <w:t xml:space="preserve">”  In addition to a review of the </w:t>
      </w:r>
      <w:r w:rsidR="00324E36">
        <w:rPr>
          <w:color w:val="auto"/>
        </w:rPr>
        <w:t>s</w:t>
      </w:r>
      <w:r w:rsidRPr="009F46CE">
        <w:rPr>
          <w:color w:val="auto"/>
        </w:rPr>
        <w:t xml:space="preserve">ervice ratings for the  unfitting right shoulder condition, </w:t>
      </w:r>
      <w:r w:rsidR="00F0646A">
        <w:rPr>
          <w:color w:val="auto"/>
        </w:rPr>
        <w:t>three</w:t>
      </w:r>
      <w:r w:rsidRPr="009F46CE">
        <w:rPr>
          <w:color w:val="auto"/>
        </w:rPr>
        <w:t xml:space="preserve"> conditions (those determined to be not unfitting as charted below</w:t>
      </w:r>
      <w:r w:rsidR="00F0646A">
        <w:rPr>
          <w:color w:val="auto"/>
        </w:rPr>
        <w:t>, excluding plantar fasciitis which was not requested</w:t>
      </w:r>
      <w:r w:rsidRPr="009F46CE">
        <w:rPr>
          <w:color w:val="auto"/>
        </w:rPr>
        <w:t xml:space="preserve">) meet the criteria prescribed in DoDI 6040.44 for Board purview; and, and are addressed below.  </w:t>
      </w:r>
      <w:r w:rsidR="00F0646A">
        <w:rPr>
          <w:color w:val="auto"/>
        </w:rPr>
        <w:t>Plantar fasciitis, t</w:t>
      </w:r>
      <w:r w:rsidR="009F46CE" w:rsidRPr="009F46CE">
        <w:rPr>
          <w:color w:val="auto"/>
        </w:rPr>
        <w:t xml:space="preserve">he lip neuropathy </w:t>
      </w:r>
      <w:r w:rsidR="00F0646A">
        <w:rPr>
          <w:color w:val="auto"/>
        </w:rPr>
        <w:t xml:space="preserve">(not </w:t>
      </w:r>
      <w:r w:rsidR="00324E36">
        <w:rPr>
          <w:color w:val="auto"/>
        </w:rPr>
        <w:t>s</w:t>
      </w:r>
      <w:r w:rsidR="00F0646A">
        <w:rPr>
          <w:color w:val="auto"/>
        </w:rPr>
        <w:t xml:space="preserve">ervice adjudicated), </w:t>
      </w:r>
      <w:r w:rsidR="009F46CE" w:rsidRPr="009F46CE">
        <w:rPr>
          <w:color w:val="auto"/>
        </w:rPr>
        <w:t>and a</w:t>
      </w:r>
      <w:r w:rsidRPr="009F46CE">
        <w:rPr>
          <w:color w:val="auto"/>
        </w:rPr>
        <w:t xml:space="preserve">ny </w:t>
      </w:r>
      <w:r w:rsidR="009F46CE" w:rsidRPr="009F46CE">
        <w:rPr>
          <w:color w:val="auto"/>
        </w:rPr>
        <w:t xml:space="preserve">other </w:t>
      </w:r>
      <w:r w:rsidRPr="009F46CE">
        <w:rPr>
          <w:color w:val="auto"/>
        </w:rPr>
        <w:t>conditions or contention not requested in this application</w:t>
      </w:r>
      <w:r w:rsidR="009F46CE" w:rsidRPr="009F46CE">
        <w:rPr>
          <w:color w:val="auto"/>
        </w:rPr>
        <w:t xml:space="preserve"> </w:t>
      </w:r>
      <w:r w:rsidRPr="009F46CE">
        <w:rPr>
          <w:color w:val="auto"/>
        </w:rPr>
        <w:t>remain eligible for future consideration by the Army Board for the Correction of Military Records (</w:t>
      </w:r>
      <w:r w:rsidR="001B2682">
        <w:rPr>
          <w:color w:val="auto"/>
        </w:rPr>
        <w:t>A</w:t>
      </w:r>
      <w:r w:rsidRPr="009F46CE">
        <w:rPr>
          <w:color w:val="auto"/>
        </w:rPr>
        <w:t>BCMR).</w:t>
      </w:r>
      <w:r w:rsidR="00D217C6">
        <w:rPr>
          <w:color w:val="auto"/>
        </w:rPr>
        <w:t xml:space="preserve"> </w:t>
      </w:r>
    </w:p>
    <w:p w:rsidR="00AB5764" w:rsidRPr="001F29F9" w:rsidRDefault="00AB5764" w:rsidP="00AB5764">
      <w:pPr>
        <w:pBdr>
          <w:bottom w:val="single" w:sz="12" w:space="1" w:color="auto"/>
        </w:pBdr>
        <w:tabs>
          <w:tab w:val="left" w:pos="288"/>
          <w:tab w:val="left" w:pos="4752"/>
        </w:tabs>
        <w:jc w:val="both"/>
        <w:rPr>
          <w:color w:val="000000"/>
        </w:rPr>
      </w:pPr>
    </w:p>
    <w:p w:rsidR="00AB5764" w:rsidRPr="001F29F9" w:rsidRDefault="00AB5764" w:rsidP="00AB5764">
      <w:pPr>
        <w:tabs>
          <w:tab w:val="left" w:pos="288"/>
          <w:tab w:val="left" w:pos="4752"/>
        </w:tabs>
        <w:jc w:val="both"/>
        <w:rPr>
          <w:color w:val="000000"/>
        </w:rPr>
      </w:pPr>
    </w:p>
    <w:p w:rsidR="009F46CE" w:rsidRDefault="009F46CE">
      <w:pPr>
        <w:spacing w:line="240" w:lineRule="auto"/>
        <w:jc w:val="left"/>
        <w:rPr>
          <w:color w:val="000000"/>
          <w:u w:val="single"/>
        </w:rPr>
      </w:pPr>
      <w:r>
        <w:rPr>
          <w:color w:val="000000"/>
          <w:u w:val="single"/>
        </w:rPr>
        <w:br w:type="page"/>
      </w:r>
    </w:p>
    <w:p w:rsidR="00D74D00" w:rsidRPr="00AB5764" w:rsidRDefault="00D74D00" w:rsidP="00AB5764">
      <w:pPr>
        <w:spacing w:line="240" w:lineRule="auto"/>
        <w:jc w:val="left"/>
        <w:rPr>
          <w:color w:val="000000"/>
          <w:u w:val="single"/>
        </w:rPr>
      </w:pPr>
      <w:r w:rsidRPr="001F29F9">
        <w:rPr>
          <w:color w:val="000000"/>
          <w:u w:val="single"/>
        </w:rPr>
        <w:lastRenderedPageBreak/>
        <w:t>RATING COMPARISON</w:t>
      </w:r>
      <w:r w:rsidRPr="001F29F9">
        <w:rPr>
          <w:color w:val="000000"/>
        </w:rPr>
        <w:t>:</w:t>
      </w:r>
    </w:p>
    <w:p w:rsidR="002A5CE0" w:rsidRDefault="002A5CE0" w:rsidP="00BF0E94">
      <w:pPr>
        <w:jc w:val="left"/>
        <w:rPr>
          <w:color w:val="000000"/>
        </w:rPr>
      </w:pPr>
    </w:p>
    <w:tbl>
      <w:tblPr>
        <w:tblStyle w:val="TableGrid"/>
        <w:tblpPr w:leftFromText="187" w:rightFromText="187" w:vertAnchor="text" w:tblpXSpec="center" w:tblpY="1"/>
        <w:tblOverlap w:val="never"/>
        <w:tblW w:w="9348" w:type="dxa"/>
        <w:tblLayout w:type="fixed"/>
        <w:tblLook w:val="00A0"/>
      </w:tblPr>
      <w:tblGrid>
        <w:gridCol w:w="2178"/>
        <w:gridCol w:w="1071"/>
        <w:gridCol w:w="720"/>
        <w:gridCol w:w="2619"/>
        <w:gridCol w:w="1080"/>
        <w:gridCol w:w="720"/>
        <w:gridCol w:w="960"/>
      </w:tblGrid>
      <w:tr w:rsidR="002A5CE0" w:rsidRPr="000D5DBE" w:rsidTr="002A5CE0">
        <w:trPr>
          <w:trHeight w:val="170"/>
        </w:trPr>
        <w:tc>
          <w:tcPr>
            <w:tcW w:w="3969" w:type="dxa"/>
            <w:gridSpan w:val="3"/>
            <w:tcBorders>
              <w:right w:val="thinThickThinSmallGap" w:sz="24" w:space="0" w:color="auto"/>
            </w:tcBorders>
            <w:shd w:val="clear" w:color="auto" w:fill="D9D9D9"/>
            <w:vAlign w:val="center"/>
          </w:tcPr>
          <w:p w:rsidR="002A5CE0" w:rsidRPr="00947728" w:rsidRDefault="00324E36" w:rsidP="00CA6597">
            <w:pPr>
              <w:contextualSpacing/>
              <w:rPr>
                <w:rFonts w:cs="Calibri"/>
                <w:b/>
                <w:color w:val="auto"/>
                <w:sz w:val="18"/>
              </w:rPr>
            </w:pPr>
            <w:r>
              <w:rPr>
                <w:b/>
                <w:color w:val="auto"/>
                <w:sz w:val="18"/>
              </w:rPr>
              <w:t xml:space="preserve">Service </w:t>
            </w:r>
            <w:r w:rsidR="002A5CE0" w:rsidRPr="00947728">
              <w:rPr>
                <w:b/>
                <w:color w:val="auto"/>
                <w:sz w:val="18"/>
              </w:rPr>
              <w:t xml:space="preserve">PEB – Dated </w:t>
            </w:r>
            <w:r w:rsidR="002A5CE0" w:rsidRPr="00D17F1C">
              <w:rPr>
                <w:b/>
                <w:color w:val="000000"/>
                <w:sz w:val="18"/>
              </w:rPr>
              <w:t>20050927</w:t>
            </w:r>
          </w:p>
        </w:tc>
        <w:tc>
          <w:tcPr>
            <w:tcW w:w="5379" w:type="dxa"/>
            <w:gridSpan w:val="4"/>
            <w:tcBorders>
              <w:left w:val="thinThickThinSmallGap" w:sz="24" w:space="0" w:color="auto"/>
            </w:tcBorders>
            <w:shd w:val="clear" w:color="auto" w:fill="D9D9D9"/>
            <w:vAlign w:val="center"/>
          </w:tcPr>
          <w:p w:rsidR="002A5CE0" w:rsidRPr="00947728" w:rsidRDefault="002A5CE0" w:rsidP="00CA6597">
            <w:pPr>
              <w:contextualSpacing/>
              <w:rPr>
                <w:rFonts w:cs="Calibri"/>
                <w:b/>
                <w:color w:val="auto"/>
                <w:sz w:val="18"/>
              </w:rPr>
            </w:pPr>
            <w:r>
              <w:rPr>
                <w:b/>
                <w:color w:val="auto"/>
                <w:sz w:val="18"/>
              </w:rPr>
              <w:t>VA (10</w:t>
            </w:r>
            <w:r w:rsidRPr="00947728">
              <w:rPr>
                <w:b/>
                <w:color w:val="auto"/>
                <w:sz w:val="18"/>
              </w:rPr>
              <w:t xml:space="preserve"> Mo. Post-Separation) – All Effective Date </w:t>
            </w:r>
            <w:r w:rsidRPr="00D17F1C">
              <w:rPr>
                <w:b/>
                <w:color w:val="000000"/>
                <w:sz w:val="18"/>
              </w:rPr>
              <w:t>20051101</w:t>
            </w:r>
          </w:p>
        </w:tc>
      </w:tr>
      <w:tr w:rsidR="00194A85" w:rsidRPr="000D5DBE" w:rsidTr="00194A85">
        <w:trPr>
          <w:trHeight w:val="97"/>
        </w:trPr>
        <w:tc>
          <w:tcPr>
            <w:tcW w:w="2178" w:type="dxa"/>
            <w:tcBorders>
              <w:right w:val="single" w:sz="4" w:space="0" w:color="auto"/>
            </w:tcBorders>
            <w:shd w:val="clear" w:color="auto" w:fill="D9D9D9"/>
            <w:vAlign w:val="center"/>
          </w:tcPr>
          <w:p w:rsidR="002A5CE0" w:rsidRPr="000D5DBE" w:rsidRDefault="002A5CE0" w:rsidP="00CA6597">
            <w:pPr>
              <w:contextualSpacing/>
              <w:rPr>
                <w:rFonts w:cs="Calibri"/>
                <w:b/>
                <w:color w:val="000000"/>
                <w:sz w:val="18"/>
              </w:rPr>
            </w:pPr>
            <w:r w:rsidRPr="000D5DBE">
              <w:rPr>
                <w:b/>
                <w:color w:val="000000"/>
                <w:sz w:val="18"/>
              </w:rPr>
              <w:t>Condition</w:t>
            </w:r>
          </w:p>
        </w:tc>
        <w:tc>
          <w:tcPr>
            <w:tcW w:w="1071" w:type="dxa"/>
            <w:tcBorders>
              <w:left w:val="single" w:sz="4" w:space="0" w:color="auto"/>
            </w:tcBorders>
            <w:shd w:val="clear" w:color="auto" w:fill="D9D9D9"/>
            <w:vAlign w:val="center"/>
          </w:tcPr>
          <w:p w:rsidR="002A5CE0" w:rsidRPr="000D5DBE" w:rsidRDefault="002A5CE0" w:rsidP="00CA6597">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2A5CE0" w:rsidRPr="000D5DBE" w:rsidRDefault="002A5CE0" w:rsidP="00CA6597">
            <w:pPr>
              <w:contextualSpacing/>
              <w:rPr>
                <w:rFonts w:cs="Calibri"/>
                <w:b/>
                <w:color w:val="000000"/>
                <w:sz w:val="18"/>
              </w:rPr>
            </w:pPr>
            <w:r w:rsidRPr="000D5DBE">
              <w:rPr>
                <w:b/>
                <w:color w:val="000000"/>
                <w:sz w:val="18"/>
              </w:rPr>
              <w:t>Rating</w:t>
            </w:r>
          </w:p>
        </w:tc>
        <w:tc>
          <w:tcPr>
            <w:tcW w:w="2619" w:type="dxa"/>
            <w:tcBorders>
              <w:left w:val="thinThickThinSmallGap" w:sz="24" w:space="0" w:color="auto"/>
            </w:tcBorders>
            <w:shd w:val="clear" w:color="auto" w:fill="D9D9D9"/>
            <w:vAlign w:val="center"/>
          </w:tcPr>
          <w:p w:rsidR="002A5CE0" w:rsidRPr="000D5DBE" w:rsidRDefault="002A5CE0" w:rsidP="00CA6597">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2A5CE0" w:rsidRPr="000D5DBE" w:rsidRDefault="002A5CE0" w:rsidP="00CA6597">
            <w:pPr>
              <w:contextualSpacing/>
              <w:rPr>
                <w:rFonts w:cs="Calibri"/>
                <w:b/>
                <w:color w:val="000000"/>
                <w:sz w:val="18"/>
              </w:rPr>
            </w:pPr>
            <w:r w:rsidRPr="000D5DBE">
              <w:rPr>
                <w:b/>
                <w:color w:val="000000"/>
                <w:sz w:val="18"/>
              </w:rPr>
              <w:t>Code</w:t>
            </w:r>
          </w:p>
        </w:tc>
        <w:tc>
          <w:tcPr>
            <w:tcW w:w="720" w:type="dxa"/>
            <w:shd w:val="clear" w:color="auto" w:fill="D9D9D9"/>
            <w:vAlign w:val="center"/>
          </w:tcPr>
          <w:p w:rsidR="002A5CE0" w:rsidRPr="000D5DBE" w:rsidRDefault="002A5CE0" w:rsidP="00CA6597">
            <w:pPr>
              <w:contextualSpacing/>
              <w:rPr>
                <w:rFonts w:cs="Calibri"/>
                <w:b/>
                <w:color w:val="000000"/>
                <w:sz w:val="18"/>
              </w:rPr>
            </w:pPr>
            <w:r w:rsidRPr="000D5DBE">
              <w:rPr>
                <w:b/>
                <w:color w:val="000000"/>
                <w:sz w:val="18"/>
              </w:rPr>
              <w:t>Rating</w:t>
            </w:r>
          </w:p>
        </w:tc>
        <w:tc>
          <w:tcPr>
            <w:tcW w:w="960" w:type="dxa"/>
            <w:shd w:val="clear" w:color="auto" w:fill="D9D9D9"/>
            <w:vAlign w:val="center"/>
          </w:tcPr>
          <w:p w:rsidR="002A5CE0" w:rsidRPr="000D5DBE" w:rsidRDefault="002A5CE0" w:rsidP="00CA6597">
            <w:pPr>
              <w:contextualSpacing/>
              <w:rPr>
                <w:rFonts w:cs="Calibri"/>
                <w:b/>
                <w:color w:val="000000"/>
                <w:sz w:val="18"/>
              </w:rPr>
            </w:pPr>
            <w:r w:rsidRPr="000D5DBE">
              <w:rPr>
                <w:b/>
                <w:color w:val="000000"/>
                <w:sz w:val="18"/>
              </w:rPr>
              <w:t>Exam</w:t>
            </w:r>
          </w:p>
        </w:tc>
      </w:tr>
      <w:tr w:rsidR="00194A85" w:rsidRPr="000D5DBE" w:rsidTr="00194A85">
        <w:trPr>
          <w:trHeight w:val="118"/>
        </w:trPr>
        <w:tc>
          <w:tcPr>
            <w:tcW w:w="2178" w:type="dxa"/>
            <w:tcBorders>
              <w:right w:val="single" w:sz="4" w:space="0" w:color="auto"/>
            </w:tcBorders>
            <w:shd w:val="clear" w:color="auto" w:fill="FFFFFF"/>
            <w:vAlign w:val="center"/>
          </w:tcPr>
          <w:p w:rsidR="002A5CE0" w:rsidRPr="001F29F9" w:rsidRDefault="002A5CE0" w:rsidP="00194A85">
            <w:pPr>
              <w:spacing w:line="180" w:lineRule="exact"/>
              <w:contextualSpacing/>
              <w:jc w:val="left"/>
              <w:rPr>
                <w:rFonts w:cs="Calibri"/>
                <w:color w:val="000000"/>
                <w:sz w:val="18"/>
              </w:rPr>
            </w:pPr>
            <w:r>
              <w:rPr>
                <w:color w:val="000000"/>
                <w:sz w:val="18"/>
              </w:rPr>
              <w:t>R</w:t>
            </w:r>
            <w:r w:rsidRPr="00D17F1C">
              <w:rPr>
                <w:color w:val="000000"/>
                <w:sz w:val="18"/>
              </w:rPr>
              <w:t xml:space="preserve"> Scapular Displacement </w:t>
            </w:r>
            <w:r w:rsidR="00194A85">
              <w:rPr>
                <w:color w:val="000000"/>
                <w:sz w:val="18"/>
              </w:rPr>
              <w:t>and R</w:t>
            </w:r>
            <w:r w:rsidRPr="00D17F1C">
              <w:rPr>
                <w:color w:val="000000"/>
                <w:sz w:val="18"/>
              </w:rPr>
              <w:t xml:space="preserve"> Shoulder Deformity</w:t>
            </w:r>
          </w:p>
        </w:tc>
        <w:tc>
          <w:tcPr>
            <w:tcW w:w="1071" w:type="dxa"/>
            <w:tcBorders>
              <w:left w:val="single" w:sz="4" w:space="0" w:color="auto"/>
            </w:tcBorders>
            <w:shd w:val="clear" w:color="auto" w:fill="FFFFFF"/>
            <w:vAlign w:val="center"/>
          </w:tcPr>
          <w:p w:rsidR="002A5CE0" w:rsidRPr="001F29F9" w:rsidRDefault="002A5CE0" w:rsidP="00194A85">
            <w:pPr>
              <w:spacing w:line="180" w:lineRule="exact"/>
              <w:contextualSpacing/>
              <w:rPr>
                <w:rFonts w:cs="Calibri"/>
                <w:color w:val="000000"/>
                <w:sz w:val="18"/>
              </w:rPr>
            </w:pPr>
            <w:r w:rsidRPr="00D17F1C">
              <w:rPr>
                <w:color w:val="000000"/>
                <w:sz w:val="18"/>
              </w:rPr>
              <w:t>5399-5303</w:t>
            </w:r>
          </w:p>
        </w:tc>
        <w:tc>
          <w:tcPr>
            <w:tcW w:w="720" w:type="dxa"/>
            <w:tcBorders>
              <w:right w:val="thinThickThinSmallGap" w:sz="24" w:space="0" w:color="auto"/>
            </w:tcBorders>
            <w:shd w:val="clear" w:color="auto" w:fill="FFFFFF"/>
            <w:vAlign w:val="center"/>
          </w:tcPr>
          <w:p w:rsidR="002A5CE0" w:rsidRPr="001F29F9" w:rsidRDefault="002A5CE0" w:rsidP="00194A85">
            <w:pPr>
              <w:spacing w:line="180" w:lineRule="exact"/>
              <w:rPr>
                <w:rFonts w:cs="Calibri"/>
                <w:color w:val="000000"/>
                <w:sz w:val="18"/>
              </w:rPr>
            </w:pPr>
            <w:r w:rsidRPr="00D17F1C">
              <w:rPr>
                <w:color w:val="000000"/>
                <w:sz w:val="18"/>
              </w:rPr>
              <w:t>20%</w:t>
            </w:r>
          </w:p>
        </w:tc>
        <w:tc>
          <w:tcPr>
            <w:tcW w:w="2619" w:type="dxa"/>
            <w:tcBorders>
              <w:left w:val="thinThickThinSmallGap" w:sz="24" w:space="0" w:color="auto"/>
            </w:tcBorders>
            <w:shd w:val="clear" w:color="auto" w:fill="FFFFFF"/>
            <w:vAlign w:val="center"/>
          </w:tcPr>
          <w:p w:rsidR="002A5CE0" w:rsidRPr="001F29F9" w:rsidRDefault="002A5CE0" w:rsidP="00194A85">
            <w:pPr>
              <w:spacing w:line="180" w:lineRule="exact"/>
              <w:contextualSpacing/>
              <w:jc w:val="left"/>
              <w:rPr>
                <w:rFonts w:cs="Calibri"/>
                <w:color w:val="000000"/>
                <w:sz w:val="18"/>
              </w:rPr>
            </w:pPr>
            <w:r w:rsidRPr="00D17F1C">
              <w:rPr>
                <w:color w:val="000000"/>
                <w:sz w:val="18"/>
              </w:rPr>
              <w:t xml:space="preserve">Right Shoulder with Scapular Displacement and </w:t>
            </w:r>
            <w:proofErr w:type="spellStart"/>
            <w:r w:rsidRPr="00D17F1C">
              <w:rPr>
                <w:color w:val="000000"/>
                <w:sz w:val="18"/>
              </w:rPr>
              <w:t>Dystonia</w:t>
            </w:r>
            <w:proofErr w:type="spellEnd"/>
          </w:p>
        </w:tc>
        <w:tc>
          <w:tcPr>
            <w:tcW w:w="1080" w:type="dxa"/>
            <w:shd w:val="clear" w:color="auto" w:fill="FFFFFF"/>
            <w:vAlign w:val="center"/>
          </w:tcPr>
          <w:p w:rsidR="002A5CE0" w:rsidRPr="001F29F9" w:rsidRDefault="002A5CE0" w:rsidP="00194A85">
            <w:pPr>
              <w:spacing w:line="180" w:lineRule="exact"/>
              <w:contextualSpacing/>
              <w:rPr>
                <w:rFonts w:cs="Calibri"/>
                <w:color w:val="000000"/>
                <w:sz w:val="18"/>
              </w:rPr>
            </w:pPr>
            <w:r w:rsidRPr="00D17F1C">
              <w:rPr>
                <w:color w:val="000000"/>
                <w:sz w:val="18"/>
              </w:rPr>
              <w:t>5201</w:t>
            </w:r>
          </w:p>
        </w:tc>
        <w:tc>
          <w:tcPr>
            <w:tcW w:w="720" w:type="dxa"/>
            <w:shd w:val="clear" w:color="auto" w:fill="FFFFFF"/>
            <w:vAlign w:val="center"/>
          </w:tcPr>
          <w:p w:rsidR="002A5CE0" w:rsidRPr="001F29F9" w:rsidRDefault="002A5CE0" w:rsidP="00194A85">
            <w:pPr>
              <w:spacing w:line="180" w:lineRule="exact"/>
              <w:contextualSpacing/>
              <w:rPr>
                <w:rFonts w:cs="Calibri"/>
                <w:color w:val="000000"/>
                <w:sz w:val="18"/>
              </w:rPr>
            </w:pPr>
            <w:r w:rsidRPr="00D17F1C">
              <w:rPr>
                <w:color w:val="000000"/>
                <w:sz w:val="18"/>
              </w:rPr>
              <w:t>20%</w:t>
            </w:r>
          </w:p>
        </w:tc>
        <w:tc>
          <w:tcPr>
            <w:tcW w:w="960" w:type="dxa"/>
            <w:shd w:val="clear" w:color="auto" w:fill="FFFFFF"/>
            <w:vAlign w:val="center"/>
          </w:tcPr>
          <w:p w:rsidR="002A5CE0" w:rsidRPr="001F29F9" w:rsidRDefault="002A5CE0" w:rsidP="00194A85">
            <w:pPr>
              <w:spacing w:line="180" w:lineRule="exact"/>
              <w:contextualSpacing/>
              <w:rPr>
                <w:rFonts w:cs="Calibri"/>
                <w:color w:val="000000"/>
                <w:sz w:val="18"/>
              </w:rPr>
            </w:pPr>
            <w:r w:rsidRPr="00D17F1C">
              <w:rPr>
                <w:color w:val="000000"/>
                <w:sz w:val="18"/>
              </w:rPr>
              <w:t>20060302</w:t>
            </w:r>
          </w:p>
        </w:tc>
      </w:tr>
      <w:tr w:rsidR="002A5CE0" w:rsidRPr="000D5DBE" w:rsidTr="00194A85">
        <w:trPr>
          <w:trHeight w:val="97"/>
        </w:trPr>
        <w:tc>
          <w:tcPr>
            <w:tcW w:w="2178" w:type="dxa"/>
            <w:tcBorders>
              <w:right w:val="single" w:sz="4" w:space="0" w:color="auto"/>
            </w:tcBorders>
            <w:shd w:val="clear" w:color="auto" w:fill="FFFFFF"/>
            <w:vAlign w:val="center"/>
          </w:tcPr>
          <w:p w:rsidR="002A5CE0" w:rsidRPr="001F29F9" w:rsidRDefault="002A5CE0" w:rsidP="00194A85">
            <w:pPr>
              <w:spacing w:line="220" w:lineRule="exact"/>
              <w:contextualSpacing/>
              <w:jc w:val="left"/>
              <w:rPr>
                <w:rFonts w:cs="Calibri"/>
                <w:color w:val="000000"/>
                <w:sz w:val="18"/>
              </w:rPr>
            </w:pPr>
            <w:r>
              <w:rPr>
                <w:color w:val="000000"/>
                <w:sz w:val="18"/>
              </w:rPr>
              <w:t>Chronic Low Back Pain</w:t>
            </w:r>
          </w:p>
        </w:tc>
        <w:tc>
          <w:tcPr>
            <w:tcW w:w="1791" w:type="dxa"/>
            <w:gridSpan w:val="2"/>
            <w:tcBorders>
              <w:left w:val="single" w:sz="4" w:space="0" w:color="auto"/>
              <w:right w:val="thinThickThinSmallGap" w:sz="24" w:space="0" w:color="auto"/>
            </w:tcBorders>
            <w:shd w:val="clear" w:color="auto" w:fill="FFFFFF"/>
            <w:vAlign w:val="center"/>
          </w:tcPr>
          <w:p w:rsidR="002A5CE0" w:rsidRPr="00D17F1C" w:rsidRDefault="002A5CE0" w:rsidP="00194A85">
            <w:pPr>
              <w:spacing w:line="220" w:lineRule="exact"/>
              <w:contextualSpacing/>
              <w:rPr>
                <w:rFonts w:cs="Calibri"/>
                <w:color w:val="000000"/>
                <w:sz w:val="18"/>
              </w:rPr>
            </w:pPr>
            <w:r w:rsidRPr="00D17F1C">
              <w:rPr>
                <w:color w:val="000000"/>
                <w:sz w:val="18"/>
              </w:rPr>
              <w:t>Not Unfitting</w:t>
            </w:r>
          </w:p>
        </w:tc>
        <w:tc>
          <w:tcPr>
            <w:tcW w:w="2619" w:type="dxa"/>
            <w:tcBorders>
              <w:left w:val="thinThickThinSmallGap" w:sz="24" w:space="0" w:color="auto"/>
              <w:right w:val="single" w:sz="4" w:space="0" w:color="auto"/>
            </w:tcBorders>
            <w:shd w:val="clear" w:color="auto" w:fill="FFFFFF"/>
            <w:vAlign w:val="center"/>
          </w:tcPr>
          <w:p w:rsidR="002A5CE0" w:rsidRPr="00D17F1C" w:rsidRDefault="002A5CE0" w:rsidP="00194A85">
            <w:pPr>
              <w:spacing w:line="220" w:lineRule="exact"/>
              <w:contextualSpacing/>
              <w:jc w:val="left"/>
              <w:rPr>
                <w:rFonts w:cs="Calibri"/>
                <w:color w:val="000000"/>
                <w:sz w:val="18"/>
              </w:rPr>
            </w:pPr>
            <w:proofErr w:type="spellStart"/>
            <w:r>
              <w:rPr>
                <w:color w:val="000000"/>
                <w:sz w:val="18"/>
              </w:rPr>
              <w:t>Thoracolumbosacral</w:t>
            </w:r>
            <w:proofErr w:type="spellEnd"/>
            <w:r>
              <w:rPr>
                <w:color w:val="000000"/>
                <w:sz w:val="18"/>
              </w:rPr>
              <w:t xml:space="preserve"> Strain</w:t>
            </w:r>
          </w:p>
        </w:tc>
        <w:tc>
          <w:tcPr>
            <w:tcW w:w="1080" w:type="dxa"/>
            <w:tcBorders>
              <w:left w:val="single" w:sz="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r>
              <w:rPr>
                <w:color w:val="000000"/>
                <w:sz w:val="18"/>
              </w:rPr>
              <w:t>5243-5242</w:t>
            </w:r>
          </w:p>
        </w:tc>
        <w:tc>
          <w:tcPr>
            <w:tcW w:w="720" w:type="dxa"/>
            <w:shd w:val="clear" w:color="auto" w:fill="FFFFFF"/>
            <w:vAlign w:val="center"/>
          </w:tcPr>
          <w:p w:rsidR="002A5CE0" w:rsidRPr="001F29F9" w:rsidRDefault="002A5CE0" w:rsidP="00194A85">
            <w:pPr>
              <w:spacing w:line="220" w:lineRule="exact"/>
              <w:contextualSpacing/>
              <w:rPr>
                <w:rFonts w:cs="Calibri"/>
                <w:color w:val="000000"/>
                <w:sz w:val="18"/>
              </w:rPr>
            </w:pPr>
            <w:r>
              <w:rPr>
                <w:color w:val="000000"/>
                <w:sz w:val="18"/>
              </w:rPr>
              <w:t>10%</w:t>
            </w:r>
          </w:p>
        </w:tc>
        <w:tc>
          <w:tcPr>
            <w:tcW w:w="960" w:type="dxa"/>
            <w:shd w:val="clear" w:color="auto" w:fill="FFFFFF"/>
            <w:vAlign w:val="center"/>
          </w:tcPr>
          <w:p w:rsidR="002A5CE0" w:rsidRPr="00614621" w:rsidRDefault="002A5CE0" w:rsidP="00194A85">
            <w:pPr>
              <w:spacing w:line="220" w:lineRule="exact"/>
              <w:contextualSpacing/>
              <w:rPr>
                <w:rFonts w:cs="Calibri"/>
                <w:color w:val="000000"/>
                <w:sz w:val="18"/>
              </w:rPr>
            </w:pPr>
            <w:r w:rsidRPr="00614621">
              <w:rPr>
                <w:color w:val="000000"/>
                <w:sz w:val="18"/>
              </w:rPr>
              <w:t>20060302</w:t>
            </w:r>
          </w:p>
        </w:tc>
      </w:tr>
      <w:tr w:rsidR="002A5CE0" w:rsidRPr="000D5DBE" w:rsidTr="00194A85">
        <w:trPr>
          <w:trHeight w:val="97"/>
        </w:trPr>
        <w:tc>
          <w:tcPr>
            <w:tcW w:w="2178" w:type="dxa"/>
            <w:tcBorders>
              <w:right w:val="single" w:sz="4" w:space="0" w:color="auto"/>
            </w:tcBorders>
            <w:shd w:val="clear" w:color="auto" w:fill="FFFFFF"/>
            <w:vAlign w:val="center"/>
          </w:tcPr>
          <w:p w:rsidR="002A5CE0" w:rsidRPr="001F29F9" w:rsidRDefault="002A5CE0" w:rsidP="00194A85">
            <w:pPr>
              <w:spacing w:line="220" w:lineRule="exact"/>
              <w:contextualSpacing/>
              <w:jc w:val="left"/>
              <w:rPr>
                <w:rFonts w:cs="Calibri"/>
                <w:color w:val="000000"/>
                <w:sz w:val="18"/>
              </w:rPr>
            </w:pPr>
            <w:r>
              <w:rPr>
                <w:color w:val="000000"/>
                <w:sz w:val="18"/>
              </w:rPr>
              <w:t>Chronic Neck Pain</w:t>
            </w:r>
          </w:p>
        </w:tc>
        <w:tc>
          <w:tcPr>
            <w:tcW w:w="1791" w:type="dxa"/>
            <w:gridSpan w:val="2"/>
            <w:tcBorders>
              <w:left w:val="single" w:sz="4" w:space="0" w:color="auto"/>
              <w:right w:val="thinThickThinSmallGap" w:sz="24" w:space="0" w:color="auto"/>
            </w:tcBorders>
            <w:shd w:val="clear" w:color="auto" w:fill="FFFFFF"/>
            <w:vAlign w:val="center"/>
          </w:tcPr>
          <w:p w:rsidR="002A5CE0" w:rsidRPr="00D17F1C" w:rsidRDefault="002A5CE0" w:rsidP="00194A85">
            <w:pPr>
              <w:spacing w:line="220" w:lineRule="exact"/>
              <w:contextualSpacing/>
              <w:rPr>
                <w:rFonts w:cs="Calibri"/>
                <w:color w:val="000000"/>
                <w:sz w:val="18"/>
              </w:rPr>
            </w:pPr>
            <w:r w:rsidRPr="00D17F1C">
              <w:rPr>
                <w:color w:val="000000"/>
                <w:sz w:val="18"/>
              </w:rPr>
              <w:t>Not Unfitting</w:t>
            </w:r>
          </w:p>
        </w:tc>
        <w:tc>
          <w:tcPr>
            <w:tcW w:w="2619" w:type="dxa"/>
            <w:tcBorders>
              <w:left w:val="thinThickThinSmallGap" w:sz="24" w:space="0" w:color="auto"/>
              <w:right w:val="single" w:sz="4" w:space="0" w:color="auto"/>
            </w:tcBorders>
            <w:shd w:val="clear" w:color="auto" w:fill="FFFFFF"/>
            <w:vAlign w:val="center"/>
          </w:tcPr>
          <w:p w:rsidR="002A5CE0" w:rsidRPr="001F29F9" w:rsidRDefault="002A5CE0" w:rsidP="00194A85">
            <w:pPr>
              <w:spacing w:line="220" w:lineRule="exact"/>
              <w:contextualSpacing/>
              <w:jc w:val="left"/>
              <w:rPr>
                <w:rFonts w:cs="Calibri"/>
                <w:color w:val="000000"/>
                <w:sz w:val="18"/>
              </w:rPr>
            </w:pPr>
            <w:r w:rsidRPr="00D17F1C">
              <w:rPr>
                <w:color w:val="000000"/>
                <w:sz w:val="18"/>
              </w:rPr>
              <w:t>Cervical Strain</w:t>
            </w:r>
          </w:p>
        </w:tc>
        <w:tc>
          <w:tcPr>
            <w:tcW w:w="1080" w:type="dxa"/>
            <w:tcBorders>
              <w:left w:val="single" w:sz="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r w:rsidRPr="00D17F1C">
              <w:rPr>
                <w:color w:val="000000"/>
                <w:sz w:val="18"/>
              </w:rPr>
              <w:t>5243-5237</w:t>
            </w:r>
          </w:p>
        </w:tc>
        <w:tc>
          <w:tcPr>
            <w:tcW w:w="720" w:type="dxa"/>
            <w:shd w:val="clear" w:color="auto" w:fill="FFFFFF"/>
            <w:vAlign w:val="center"/>
          </w:tcPr>
          <w:p w:rsidR="002A5CE0" w:rsidRPr="001F29F9" w:rsidRDefault="002A5CE0" w:rsidP="00194A85">
            <w:pPr>
              <w:spacing w:line="220" w:lineRule="exact"/>
              <w:contextualSpacing/>
              <w:rPr>
                <w:rFonts w:cs="Calibri"/>
                <w:color w:val="000000"/>
                <w:sz w:val="18"/>
              </w:rPr>
            </w:pPr>
            <w:r w:rsidRPr="00D17F1C">
              <w:rPr>
                <w:color w:val="000000"/>
                <w:sz w:val="18"/>
              </w:rPr>
              <w:t>10%</w:t>
            </w:r>
          </w:p>
        </w:tc>
        <w:tc>
          <w:tcPr>
            <w:tcW w:w="960" w:type="dxa"/>
            <w:shd w:val="clear" w:color="auto" w:fill="FFFFFF"/>
            <w:vAlign w:val="center"/>
          </w:tcPr>
          <w:p w:rsidR="002A5CE0" w:rsidRPr="001F29F9" w:rsidRDefault="002A5CE0" w:rsidP="00194A85">
            <w:pPr>
              <w:spacing w:line="220" w:lineRule="exact"/>
              <w:contextualSpacing/>
              <w:rPr>
                <w:rFonts w:cs="Calibri"/>
                <w:color w:val="000000"/>
                <w:sz w:val="18"/>
              </w:rPr>
            </w:pPr>
            <w:r w:rsidRPr="00D17F1C">
              <w:rPr>
                <w:color w:val="000000"/>
                <w:sz w:val="18"/>
              </w:rPr>
              <w:t>20060302</w:t>
            </w:r>
          </w:p>
        </w:tc>
      </w:tr>
      <w:tr w:rsidR="003E42D1" w:rsidRPr="000D5DBE" w:rsidTr="00194A85">
        <w:trPr>
          <w:trHeight w:val="97"/>
        </w:trPr>
        <w:tc>
          <w:tcPr>
            <w:tcW w:w="2178" w:type="dxa"/>
            <w:tcBorders>
              <w:right w:val="single" w:sz="4" w:space="0" w:color="auto"/>
            </w:tcBorders>
            <w:shd w:val="clear" w:color="auto" w:fill="FFFFFF"/>
            <w:vAlign w:val="center"/>
          </w:tcPr>
          <w:p w:rsidR="003E42D1" w:rsidRPr="00D17F1C" w:rsidRDefault="003E42D1" w:rsidP="003E42D1">
            <w:pPr>
              <w:spacing w:line="220" w:lineRule="exact"/>
              <w:contextualSpacing/>
              <w:jc w:val="left"/>
              <w:rPr>
                <w:rFonts w:cs="Calibri"/>
                <w:color w:val="000000"/>
                <w:sz w:val="18"/>
              </w:rPr>
            </w:pPr>
            <w:r w:rsidRPr="00D17F1C">
              <w:rPr>
                <w:color w:val="000000"/>
                <w:sz w:val="18"/>
              </w:rPr>
              <w:t>Plantar Fasciitis</w:t>
            </w:r>
          </w:p>
        </w:tc>
        <w:tc>
          <w:tcPr>
            <w:tcW w:w="1791" w:type="dxa"/>
            <w:gridSpan w:val="2"/>
            <w:tcBorders>
              <w:left w:val="single" w:sz="4" w:space="0" w:color="auto"/>
              <w:right w:val="thinThickThinSmallGap" w:sz="24" w:space="0" w:color="auto"/>
            </w:tcBorders>
            <w:shd w:val="clear" w:color="auto" w:fill="FFFFFF"/>
            <w:vAlign w:val="center"/>
          </w:tcPr>
          <w:p w:rsidR="003E42D1" w:rsidRPr="00D17F1C" w:rsidRDefault="003E42D1" w:rsidP="003E42D1">
            <w:pPr>
              <w:spacing w:line="220" w:lineRule="exact"/>
              <w:contextualSpacing/>
              <w:rPr>
                <w:rFonts w:cs="Calibri"/>
                <w:color w:val="000000"/>
                <w:sz w:val="18"/>
              </w:rPr>
            </w:pPr>
            <w:r w:rsidRPr="00D17F1C">
              <w:rPr>
                <w:color w:val="000000"/>
                <w:sz w:val="18"/>
              </w:rPr>
              <w:t>Not Unfitting</w:t>
            </w:r>
          </w:p>
        </w:tc>
        <w:tc>
          <w:tcPr>
            <w:tcW w:w="2619" w:type="dxa"/>
            <w:tcBorders>
              <w:left w:val="thinThickThinSmallGap" w:sz="24" w:space="0" w:color="auto"/>
              <w:right w:val="single" w:sz="4" w:space="0" w:color="auto"/>
            </w:tcBorders>
            <w:shd w:val="clear" w:color="auto" w:fill="FFFFFF"/>
            <w:vAlign w:val="center"/>
          </w:tcPr>
          <w:p w:rsidR="003E42D1" w:rsidRPr="00D17F1C" w:rsidRDefault="003E42D1" w:rsidP="003E42D1">
            <w:pPr>
              <w:spacing w:line="220" w:lineRule="exact"/>
              <w:contextualSpacing/>
              <w:jc w:val="left"/>
              <w:rPr>
                <w:rFonts w:cs="Calibri"/>
                <w:color w:val="000000"/>
                <w:sz w:val="18"/>
              </w:rPr>
            </w:pPr>
            <w:r w:rsidRPr="00D17F1C">
              <w:rPr>
                <w:color w:val="000000"/>
                <w:sz w:val="18"/>
              </w:rPr>
              <w:t>Bilateral Plantar Fasciitis</w:t>
            </w:r>
          </w:p>
        </w:tc>
        <w:tc>
          <w:tcPr>
            <w:tcW w:w="1080" w:type="dxa"/>
            <w:tcBorders>
              <w:left w:val="single" w:sz="4" w:space="0" w:color="auto"/>
              <w:right w:val="single" w:sz="4" w:space="0" w:color="auto"/>
            </w:tcBorders>
            <w:shd w:val="clear" w:color="auto" w:fill="FFFFFF"/>
            <w:vAlign w:val="center"/>
          </w:tcPr>
          <w:p w:rsidR="003E42D1" w:rsidRPr="00D17F1C" w:rsidRDefault="003E42D1" w:rsidP="003E42D1">
            <w:pPr>
              <w:spacing w:line="220" w:lineRule="exact"/>
              <w:contextualSpacing/>
              <w:rPr>
                <w:rFonts w:cs="Calibri"/>
                <w:color w:val="000000"/>
                <w:sz w:val="18"/>
              </w:rPr>
            </w:pPr>
            <w:r w:rsidRPr="00D17F1C">
              <w:rPr>
                <w:color w:val="000000"/>
                <w:sz w:val="18"/>
              </w:rPr>
              <w:t>5299-5276</w:t>
            </w:r>
          </w:p>
        </w:tc>
        <w:tc>
          <w:tcPr>
            <w:tcW w:w="720" w:type="dxa"/>
            <w:tcBorders>
              <w:left w:val="single" w:sz="4" w:space="0" w:color="auto"/>
            </w:tcBorders>
            <w:shd w:val="clear" w:color="auto" w:fill="FFFFFF"/>
            <w:vAlign w:val="center"/>
          </w:tcPr>
          <w:p w:rsidR="003E42D1" w:rsidRPr="00D17F1C" w:rsidRDefault="003E42D1" w:rsidP="003E42D1">
            <w:pPr>
              <w:spacing w:line="220" w:lineRule="exact"/>
              <w:contextualSpacing/>
              <w:rPr>
                <w:rFonts w:cs="Calibri"/>
                <w:color w:val="000000"/>
                <w:sz w:val="18"/>
              </w:rPr>
            </w:pPr>
            <w:r w:rsidRPr="00D17F1C">
              <w:rPr>
                <w:color w:val="000000"/>
                <w:sz w:val="18"/>
              </w:rPr>
              <w:t>0%</w:t>
            </w:r>
          </w:p>
        </w:tc>
        <w:tc>
          <w:tcPr>
            <w:tcW w:w="960" w:type="dxa"/>
            <w:shd w:val="clear" w:color="auto" w:fill="FFFFFF"/>
            <w:vAlign w:val="center"/>
          </w:tcPr>
          <w:p w:rsidR="003E42D1" w:rsidRPr="00D17F1C" w:rsidRDefault="003E42D1" w:rsidP="003E42D1">
            <w:pPr>
              <w:spacing w:line="220" w:lineRule="exact"/>
              <w:contextualSpacing/>
              <w:rPr>
                <w:rFonts w:cs="Calibri"/>
                <w:color w:val="000000"/>
                <w:sz w:val="18"/>
              </w:rPr>
            </w:pPr>
            <w:r w:rsidRPr="00D17F1C">
              <w:rPr>
                <w:color w:val="000000"/>
                <w:sz w:val="18"/>
              </w:rPr>
              <w:t>20060302</w:t>
            </w:r>
          </w:p>
        </w:tc>
      </w:tr>
      <w:tr w:rsidR="002A5CE0" w:rsidRPr="000D5DBE" w:rsidTr="00194A85">
        <w:trPr>
          <w:trHeight w:val="97"/>
        </w:trPr>
        <w:tc>
          <w:tcPr>
            <w:tcW w:w="2178" w:type="dxa"/>
            <w:tcBorders>
              <w:right w:val="single" w:sz="4" w:space="0" w:color="auto"/>
            </w:tcBorders>
            <w:shd w:val="clear" w:color="auto" w:fill="FFFFFF"/>
            <w:vAlign w:val="center"/>
          </w:tcPr>
          <w:p w:rsidR="002A5CE0" w:rsidRPr="00D17F1C" w:rsidRDefault="002A5CE0" w:rsidP="00194A85">
            <w:pPr>
              <w:spacing w:line="220" w:lineRule="exact"/>
              <w:contextualSpacing/>
              <w:jc w:val="left"/>
              <w:rPr>
                <w:rFonts w:cs="Calibri"/>
                <w:color w:val="000000"/>
                <w:sz w:val="18"/>
              </w:rPr>
            </w:pPr>
            <w:r w:rsidRPr="00D17F1C">
              <w:rPr>
                <w:color w:val="000000"/>
                <w:sz w:val="18"/>
              </w:rPr>
              <w:t>Anxiety Disorder</w:t>
            </w:r>
          </w:p>
        </w:tc>
        <w:tc>
          <w:tcPr>
            <w:tcW w:w="1791" w:type="dxa"/>
            <w:gridSpan w:val="2"/>
            <w:tcBorders>
              <w:left w:val="single" w:sz="4" w:space="0" w:color="auto"/>
              <w:right w:val="thinThickThinSmallGap" w:sz="2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r w:rsidRPr="00D17F1C">
              <w:rPr>
                <w:color w:val="000000"/>
                <w:sz w:val="18"/>
              </w:rPr>
              <w:t>Not Unfitting</w:t>
            </w:r>
          </w:p>
        </w:tc>
        <w:tc>
          <w:tcPr>
            <w:tcW w:w="2619" w:type="dxa"/>
            <w:tcBorders>
              <w:left w:val="thinThickThinSmallGap" w:sz="24" w:space="0" w:color="auto"/>
              <w:right w:val="single" w:sz="4" w:space="0" w:color="auto"/>
            </w:tcBorders>
            <w:shd w:val="clear" w:color="auto" w:fill="FFFFFF"/>
            <w:vAlign w:val="center"/>
          </w:tcPr>
          <w:p w:rsidR="002A5CE0" w:rsidRPr="001F29F9" w:rsidRDefault="002A5CE0" w:rsidP="00194A85">
            <w:pPr>
              <w:spacing w:line="220" w:lineRule="exact"/>
              <w:contextualSpacing/>
              <w:jc w:val="left"/>
              <w:rPr>
                <w:rFonts w:cs="Calibri"/>
                <w:color w:val="000000"/>
                <w:sz w:val="18"/>
              </w:rPr>
            </w:pPr>
            <w:r w:rsidRPr="00D17F1C">
              <w:rPr>
                <w:color w:val="000000"/>
                <w:sz w:val="18"/>
              </w:rPr>
              <w:t>Anxiety Disorder</w:t>
            </w:r>
          </w:p>
        </w:tc>
        <w:tc>
          <w:tcPr>
            <w:tcW w:w="1080" w:type="dxa"/>
            <w:tcBorders>
              <w:left w:val="single" w:sz="4" w:space="0" w:color="auto"/>
              <w:right w:val="single" w:sz="4" w:space="0" w:color="auto"/>
            </w:tcBorders>
            <w:shd w:val="clear" w:color="auto" w:fill="FFFFFF"/>
            <w:vAlign w:val="center"/>
          </w:tcPr>
          <w:p w:rsidR="002A5CE0" w:rsidRPr="00D17F1C" w:rsidRDefault="002A5CE0" w:rsidP="00194A85">
            <w:pPr>
              <w:spacing w:line="220" w:lineRule="exact"/>
              <w:contextualSpacing/>
              <w:rPr>
                <w:rFonts w:cs="Calibri"/>
                <w:color w:val="000000"/>
                <w:sz w:val="18"/>
              </w:rPr>
            </w:pPr>
            <w:r w:rsidRPr="00D17F1C">
              <w:rPr>
                <w:color w:val="000000"/>
                <w:sz w:val="18"/>
              </w:rPr>
              <w:t>9400</w:t>
            </w:r>
          </w:p>
        </w:tc>
        <w:tc>
          <w:tcPr>
            <w:tcW w:w="720" w:type="dxa"/>
            <w:tcBorders>
              <w:left w:val="single" w:sz="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r>
              <w:rPr>
                <w:color w:val="000000"/>
                <w:sz w:val="18"/>
              </w:rPr>
              <w:t>10%</w:t>
            </w:r>
          </w:p>
        </w:tc>
        <w:tc>
          <w:tcPr>
            <w:tcW w:w="960" w:type="dxa"/>
            <w:shd w:val="clear" w:color="auto" w:fill="FFFFFF"/>
            <w:vAlign w:val="center"/>
          </w:tcPr>
          <w:p w:rsidR="002A5CE0" w:rsidRPr="00614621" w:rsidRDefault="002A5CE0" w:rsidP="00194A85">
            <w:pPr>
              <w:spacing w:line="220" w:lineRule="exact"/>
              <w:contextualSpacing/>
              <w:rPr>
                <w:rFonts w:cs="Calibri"/>
                <w:color w:val="000000"/>
                <w:sz w:val="18"/>
              </w:rPr>
            </w:pPr>
            <w:r>
              <w:rPr>
                <w:color w:val="000000"/>
                <w:sz w:val="18"/>
              </w:rPr>
              <w:t>20060302</w:t>
            </w:r>
          </w:p>
        </w:tc>
      </w:tr>
      <w:tr w:rsidR="002A5CE0" w:rsidRPr="000D5DBE" w:rsidTr="002A5CE0">
        <w:trPr>
          <w:trHeight w:val="172"/>
        </w:trPr>
        <w:tc>
          <w:tcPr>
            <w:tcW w:w="3969" w:type="dxa"/>
            <w:gridSpan w:val="3"/>
            <w:vMerge w:val="restart"/>
            <w:tcBorders>
              <w:right w:val="thinThickThinSmallGap" w:sz="24" w:space="0" w:color="auto"/>
            </w:tcBorders>
            <w:shd w:val="clear" w:color="auto" w:fill="FFFFFF"/>
            <w:vAlign w:val="center"/>
          </w:tcPr>
          <w:p w:rsidR="002A5CE0" w:rsidRPr="000D5DBE" w:rsidRDefault="002A5CE0" w:rsidP="00194A85">
            <w:pPr>
              <w:spacing w:line="220" w:lineRule="exact"/>
              <w:contextualSpacing/>
              <w:rPr>
                <w:color w:val="000000"/>
                <w:sz w:val="18"/>
              </w:rPr>
            </w:pPr>
            <w:r w:rsidRPr="000D5DBE">
              <w:rPr>
                <w:color w:val="000000"/>
                <w:sz w:val="18"/>
              </w:rPr>
              <w:t>No Additional MEB/PEB Entries</w:t>
            </w:r>
          </w:p>
        </w:tc>
        <w:tc>
          <w:tcPr>
            <w:tcW w:w="2619" w:type="dxa"/>
            <w:tcBorders>
              <w:left w:val="thinThickThinSmallGap" w:sz="24" w:space="0" w:color="auto"/>
              <w:right w:val="single" w:sz="4" w:space="0" w:color="auto"/>
            </w:tcBorders>
            <w:shd w:val="clear" w:color="auto" w:fill="FFFFFF"/>
            <w:vAlign w:val="center"/>
          </w:tcPr>
          <w:p w:rsidR="002A5CE0" w:rsidRPr="00D17F1C" w:rsidRDefault="002A5CE0" w:rsidP="00194A85">
            <w:pPr>
              <w:spacing w:line="220" w:lineRule="exact"/>
              <w:contextualSpacing/>
              <w:jc w:val="both"/>
              <w:rPr>
                <w:rFonts w:cs="Calibri"/>
                <w:color w:val="000000"/>
                <w:sz w:val="18"/>
              </w:rPr>
            </w:pPr>
            <w:r>
              <w:rPr>
                <w:color w:val="000000"/>
                <w:sz w:val="18"/>
              </w:rPr>
              <w:t>Neuropathy Upper Lip</w:t>
            </w:r>
          </w:p>
        </w:tc>
        <w:tc>
          <w:tcPr>
            <w:tcW w:w="1080" w:type="dxa"/>
            <w:tcBorders>
              <w:left w:val="single" w:sz="4" w:space="0" w:color="auto"/>
              <w:right w:val="single" w:sz="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r>
              <w:rPr>
                <w:color w:val="000000"/>
                <w:sz w:val="18"/>
              </w:rPr>
              <w:t>8205</w:t>
            </w:r>
          </w:p>
        </w:tc>
        <w:tc>
          <w:tcPr>
            <w:tcW w:w="720" w:type="dxa"/>
            <w:tcBorders>
              <w:left w:val="single" w:sz="4" w:space="0" w:color="auto"/>
            </w:tcBorders>
            <w:shd w:val="clear" w:color="auto" w:fill="FFFFFF"/>
            <w:vAlign w:val="center"/>
          </w:tcPr>
          <w:p w:rsidR="002A5CE0" w:rsidRPr="00D17F1C" w:rsidRDefault="002A5CE0" w:rsidP="00194A85">
            <w:pPr>
              <w:spacing w:line="220" w:lineRule="exact"/>
              <w:contextualSpacing/>
              <w:rPr>
                <w:rFonts w:cs="Calibri"/>
                <w:color w:val="000000"/>
                <w:sz w:val="18"/>
              </w:rPr>
            </w:pPr>
            <w:r w:rsidRPr="00D17F1C">
              <w:rPr>
                <w:color w:val="000000"/>
                <w:sz w:val="18"/>
              </w:rPr>
              <w:t>10%</w:t>
            </w:r>
          </w:p>
        </w:tc>
        <w:tc>
          <w:tcPr>
            <w:tcW w:w="960" w:type="dxa"/>
            <w:shd w:val="clear" w:color="auto" w:fill="FFFFFF"/>
            <w:vAlign w:val="center"/>
          </w:tcPr>
          <w:p w:rsidR="002A5CE0" w:rsidRPr="00614621" w:rsidRDefault="002A5CE0" w:rsidP="00194A85">
            <w:pPr>
              <w:spacing w:line="220" w:lineRule="exact"/>
              <w:contextualSpacing/>
              <w:rPr>
                <w:rFonts w:cs="Calibri"/>
                <w:color w:val="000000"/>
                <w:sz w:val="18"/>
              </w:rPr>
            </w:pPr>
            <w:r w:rsidRPr="00614621">
              <w:rPr>
                <w:color w:val="000000"/>
                <w:sz w:val="18"/>
              </w:rPr>
              <w:t>20060717</w:t>
            </w:r>
          </w:p>
        </w:tc>
      </w:tr>
      <w:tr w:rsidR="002A5CE0" w:rsidRPr="000D5DBE" w:rsidTr="002A5CE0">
        <w:trPr>
          <w:trHeight w:val="172"/>
        </w:trPr>
        <w:tc>
          <w:tcPr>
            <w:tcW w:w="3969" w:type="dxa"/>
            <w:gridSpan w:val="3"/>
            <w:vMerge/>
            <w:tcBorders>
              <w:right w:val="thinThickThinSmallGap" w:sz="24" w:space="0" w:color="auto"/>
            </w:tcBorders>
            <w:shd w:val="clear" w:color="auto" w:fill="FFFFFF"/>
            <w:vAlign w:val="center"/>
          </w:tcPr>
          <w:p w:rsidR="002A5CE0" w:rsidRPr="000D5DBE" w:rsidRDefault="002A5CE0" w:rsidP="00194A85">
            <w:pPr>
              <w:spacing w:line="220" w:lineRule="exact"/>
              <w:contextualSpacing/>
              <w:rPr>
                <w:color w:val="000000"/>
                <w:sz w:val="18"/>
              </w:rPr>
            </w:pPr>
          </w:p>
        </w:tc>
        <w:tc>
          <w:tcPr>
            <w:tcW w:w="2619" w:type="dxa"/>
            <w:tcBorders>
              <w:left w:val="thinThickThinSmallGap" w:sz="24" w:space="0" w:color="auto"/>
              <w:right w:val="single" w:sz="4" w:space="0" w:color="auto"/>
            </w:tcBorders>
            <w:shd w:val="clear" w:color="auto" w:fill="FFFFFF"/>
            <w:vAlign w:val="center"/>
          </w:tcPr>
          <w:p w:rsidR="002A5CE0" w:rsidRPr="001F29F9" w:rsidRDefault="002A5CE0" w:rsidP="00194A85">
            <w:pPr>
              <w:spacing w:line="220" w:lineRule="exact"/>
              <w:contextualSpacing/>
              <w:jc w:val="left"/>
              <w:rPr>
                <w:rFonts w:cs="Calibri"/>
                <w:color w:val="000000"/>
                <w:sz w:val="18"/>
              </w:rPr>
            </w:pPr>
            <w:r>
              <w:rPr>
                <w:color w:val="000000"/>
                <w:sz w:val="18"/>
              </w:rPr>
              <w:t>Tinnitus</w:t>
            </w:r>
          </w:p>
        </w:tc>
        <w:tc>
          <w:tcPr>
            <w:tcW w:w="1080" w:type="dxa"/>
            <w:tcBorders>
              <w:left w:val="single" w:sz="4" w:space="0" w:color="auto"/>
              <w:right w:val="single" w:sz="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r>
              <w:rPr>
                <w:color w:val="000000"/>
                <w:sz w:val="18"/>
              </w:rPr>
              <w:t>6260</w:t>
            </w:r>
          </w:p>
        </w:tc>
        <w:tc>
          <w:tcPr>
            <w:tcW w:w="720" w:type="dxa"/>
            <w:tcBorders>
              <w:left w:val="single" w:sz="4" w:space="0" w:color="auto"/>
            </w:tcBorders>
            <w:shd w:val="clear" w:color="auto" w:fill="FFFFFF"/>
            <w:vAlign w:val="center"/>
          </w:tcPr>
          <w:p w:rsidR="002A5CE0" w:rsidRPr="00D17F1C" w:rsidRDefault="002A5CE0" w:rsidP="00194A85">
            <w:pPr>
              <w:spacing w:line="220" w:lineRule="exact"/>
              <w:contextualSpacing/>
              <w:rPr>
                <w:rFonts w:cs="Calibri"/>
                <w:color w:val="000000"/>
                <w:sz w:val="18"/>
              </w:rPr>
            </w:pPr>
            <w:r>
              <w:rPr>
                <w:color w:val="000000"/>
                <w:sz w:val="18"/>
              </w:rPr>
              <w:t>10%</w:t>
            </w:r>
          </w:p>
        </w:tc>
        <w:tc>
          <w:tcPr>
            <w:tcW w:w="960" w:type="dxa"/>
            <w:shd w:val="clear" w:color="auto" w:fill="FFFFFF"/>
            <w:vAlign w:val="center"/>
          </w:tcPr>
          <w:p w:rsidR="002A5CE0" w:rsidRPr="00614621" w:rsidRDefault="002A5CE0" w:rsidP="00194A85">
            <w:pPr>
              <w:spacing w:line="220" w:lineRule="exact"/>
              <w:contextualSpacing/>
              <w:rPr>
                <w:rFonts w:cs="Calibri"/>
                <w:color w:val="000000"/>
                <w:sz w:val="18"/>
              </w:rPr>
            </w:pPr>
            <w:r w:rsidRPr="00614621">
              <w:rPr>
                <w:color w:val="000000"/>
                <w:sz w:val="18"/>
              </w:rPr>
              <w:t>20060302</w:t>
            </w:r>
          </w:p>
        </w:tc>
      </w:tr>
      <w:tr w:rsidR="002A5CE0" w:rsidRPr="000D5DBE" w:rsidTr="002A5CE0">
        <w:trPr>
          <w:trHeight w:val="172"/>
        </w:trPr>
        <w:tc>
          <w:tcPr>
            <w:tcW w:w="3969" w:type="dxa"/>
            <w:gridSpan w:val="3"/>
            <w:vMerge/>
            <w:tcBorders>
              <w:right w:val="thinThickThinSmallGap" w:sz="2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p>
        </w:tc>
        <w:tc>
          <w:tcPr>
            <w:tcW w:w="4419" w:type="dxa"/>
            <w:gridSpan w:val="3"/>
            <w:tcBorders>
              <w:left w:val="thinThickThinSmallGap" w:sz="24" w:space="0" w:color="auto"/>
            </w:tcBorders>
            <w:shd w:val="clear" w:color="auto" w:fill="FFFFFF"/>
            <w:vAlign w:val="center"/>
          </w:tcPr>
          <w:p w:rsidR="002A5CE0" w:rsidRPr="001F29F9" w:rsidRDefault="002A5CE0" w:rsidP="00194A85">
            <w:pPr>
              <w:spacing w:line="220" w:lineRule="exact"/>
              <w:contextualSpacing/>
              <w:rPr>
                <w:rFonts w:cs="Calibri"/>
                <w:color w:val="000000"/>
                <w:sz w:val="18"/>
              </w:rPr>
            </w:pPr>
            <w:r>
              <w:rPr>
                <w:color w:val="000000"/>
                <w:sz w:val="18"/>
              </w:rPr>
              <w:t>0% X 2 Additional</w:t>
            </w:r>
          </w:p>
        </w:tc>
        <w:tc>
          <w:tcPr>
            <w:tcW w:w="960" w:type="dxa"/>
            <w:shd w:val="clear" w:color="auto" w:fill="FFFFFF"/>
            <w:vAlign w:val="center"/>
          </w:tcPr>
          <w:p w:rsidR="002A5CE0" w:rsidRPr="001F29F9" w:rsidRDefault="002A5CE0" w:rsidP="00194A85">
            <w:pPr>
              <w:spacing w:line="220" w:lineRule="exact"/>
              <w:contextualSpacing/>
              <w:rPr>
                <w:rFonts w:cs="Calibri"/>
                <w:color w:val="000000"/>
                <w:sz w:val="18"/>
              </w:rPr>
            </w:pPr>
            <w:r w:rsidRPr="00614621">
              <w:rPr>
                <w:color w:val="000000"/>
                <w:sz w:val="18"/>
              </w:rPr>
              <w:t>20060302</w:t>
            </w:r>
          </w:p>
        </w:tc>
      </w:tr>
      <w:tr w:rsidR="002A5CE0" w:rsidRPr="000D5DBE" w:rsidTr="002A5CE0">
        <w:trPr>
          <w:trHeight w:val="124"/>
        </w:trPr>
        <w:tc>
          <w:tcPr>
            <w:tcW w:w="3969" w:type="dxa"/>
            <w:gridSpan w:val="3"/>
            <w:tcBorders>
              <w:right w:val="thinThickThinSmallGap" w:sz="24" w:space="0" w:color="auto"/>
            </w:tcBorders>
            <w:shd w:val="clear" w:color="auto" w:fill="D9D9D9"/>
          </w:tcPr>
          <w:p w:rsidR="002A5CE0" w:rsidRPr="000D5DBE" w:rsidRDefault="002A5CE0" w:rsidP="00CA6597">
            <w:pPr>
              <w:contextualSpacing/>
              <w:rPr>
                <w:rFonts w:cs="Calibri"/>
                <w:b/>
                <w:color w:val="000000"/>
                <w:sz w:val="18"/>
              </w:rPr>
            </w:pPr>
            <w:r>
              <w:rPr>
                <w:b/>
                <w:color w:val="000000"/>
                <w:sz w:val="18"/>
              </w:rPr>
              <w:t>Combined:  2</w:t>
            </w:r>
            <w:r w:rsidRPr="000D5DBE">
              <w:rPr>
                <w:b/>
                <w:color w:val="000000"/>
                <w:sz w:val="18"/>
              </w:rPr>
              <w:t>0%</w:t>
            </w:r>
          </w:p>
        </w:tc>
        <w:tc>
          <w:tcPr>
            <w:tcW w:w="5379" w:type="dxa"/>
            <w:gridSpan w:val="4"/>
            <w:tcBorders>
              <w:left w:val="thinThickThinSmallGap" w:sz="24" w:space="0" w:color="auto"/>
            </w:tcBorders>
            <w:shd w:val="clear" w:color="auto" w:fill="D9D9D9"/>
          </w:tcPr>
          <w:p w:rsidR="002A5CE0" w:rsidRPr="000D5DBE" w:rsidRDefault="002A5CE0" w:rsidP="00CA6597">
            <w:pPr>
              <w:contextualSpacing/>
              <w:rPr>
                <w:rFonts w:cs="Calibri"/>
                <w:b/>
                <w:color w:val="000000"/>
                <w:sz w:val="18"/>
              </w:rPr>
            </w:pPr>
            <w:r>
              <w:rPr>
                <w:b/>
                <w:color w:val="000000"/>
                <w:sz w:val="18"/>
              </w:rPr>
              <w:t>Combined:  5</w:t>
            </w:r>
            <w:r w:rsidRPr="000D5DBE">
              <w:rPr>
                <w:b/>
                <w:color w:val="000000"/>
                <w:sz w:val="18"/>
              </w:rPr>
              <w:t>0%</w:t>
            </w:r>
          </w:p>
        </w:tc>
      </w:tr>
    </w:tbl>
    <w:p w:rsidR="00D74D00" w:rsidRPr="001F29F9" w:rsidRDefault="00D74D00" w:rsidP="00BF0E94">
      <w:pPr>
        <w:pBdr>
          <w:bottom w:val="single" w:sz="12" w:space="1" w:color="auto"/>
        </w:pBdr>
        <w:tabs>
          <w:tab w:val="left" w:pos="288"/>
          <w:tab w:val="left" w:pos="4752"/>
        </w:tabs>
        <w:jc w:val="both"/>
        <w:rPr>
          <w:color w:val="000000"/>
        </w:rPr>
      </w:pPr>
    </w:p>
    <w:p w:rsidR="00D74D00" w:rsidRPr="001F29F9" w:rsidRDefault="00D74D00" w:rsidP="009369A6">
      <w:pPr>
        <w:rPr>
          <w:color w:val="000000"/>
          <w:u w:val="single"/>
        </w:rPr>
      </w:pPr>
    </w:p>
    <w:p w:rsidR="00D74D00" w:rsidRPr="001F29F9" w:rsidRDefault="00D74D00" w:rsidP="00244791">
      <w:pPr>
        <w:jc w:val="both"/>
        <w:rPr>
          <w:color w:val="000000"/>
          <w:u w:val="single"/>
        </w:rPr>
      </w:pPr>
      <w:r w:rsidRPr="001F29F9">
        <w:rPr>
          <w:color w:val="000000"/>
          <w:u w:val="single"/>
        </w:rPr>
        <w:t>ANALYSIS SUMMARY</w:t>
      </w:r>
      <w:r w:rsidRPr="001F29F9">
        <w:rPr>
          <w:color w:val="000000"/>
        </w:rPr>
        <w:t>:</w:t>
      </w:r>
      <w:r>
        <w:rPr>
          <w:color w:val="000000"/>
        </w:rPr>
        <w:t xml:space="preserve"> </w:t>
      </w:r>
      <w:r w:rsidR="00EA7862">
        <w:rPr>
          <w:color w:val="000000"/>
        </w:rPr>
        <w:t xml:space="preserve"> </w:t>
      </w:r>
      <w:r w:rsidRPr="00EB0615">
        <w:rPr>
          <w:color w:val="000000"/>
        </w:rPr>
        <w:t>The Board acknowledges the sentiment expressed in the CI’s application regarding the significant impairment with which his service-connected conditions continue to burden him.</w:t>
      </w:r>
      <w:r w:rsidR="00EA7862">
        <w:rPr>
          <w:color w:val="000000"/>
        </w:rPr>
        <w:t xml:space="preserve"> </w:t>
      </w:r>
      <w:r w:rsidRPr="00EB0615">
        <w:rPr>
          <w:color w:val="000000"/>
        </w:rPr>
        <w:t xml:space="preserve"> </w:t>
      </w:r>
      <w:r w:rsidRPr="00B505E9">
        <w:rPr>
          <w:color w:val="000000"/>
        </w:rPr>
        <w:t xml:space="preserve">It is a fact, however, that the </w:t>
      </w:r>
      <w:r w:rsidR="00324E36">
        <w:rPr>
          <w:color w:val="000000"/>
        </w:rPr>
        <w:t>Disability Evaluation System (</w:t>
      </w:r>
      <w:r w:rsidR="001E35E4">
        <w:rPr>
          <w:color w:val="000000"/>
        </w:rPr>
        <w:t>DES)</w:t>
      </w:r>
      <w:r w:rsidRPr="00B505E9">
        <w:rPr>
          <w:color w:val="000000"/>
        </w:rPr>
        <w:t xml:space="preserve"> has neither the role nor the authority to compensate service members for anticipated future severity or potential complications of conditions resulting in medical separation. </w:t>
      </w:r>
      <w:r w:rsidR="00EA7862">
        <w:rPr>
          <w:color w:val="000000"/>
        </w:rPr>
        <w:t xml:space="preserve"> </w:t>
      </w:r>
      <w:r w:rsidRPr="00EB0615">
        <w:rPr>
          <w:color w:val="000000"/>
        </w:rPr>
        <w:t>The Department of Veteran</w:t>
      </w:r>
      <w:r w:rsidR="00324E36">
        <w:rPr>
          <w:color w:val="000000"/>
        </w:rPr>
        <w:t>s’</w:t>
      </w:r>
      <w:r w:rsidRPr="00EB0615">
        <w:rPr>
          <w:color w:val="000000"/>
        </w:rPr>
        <w:t xml:space="preserve"> Affairs (DVA), operating under a different set of laws (Title 38, United States Code), is empowered to compensate all service-connected conditions and to periodically reevaluate said conditions for the purpose of adjusting the </w:t>
      </w:r>
      <w:r w:rsidR="00324E36">
        <w:rPr>
          <w:color w:val="000000"/>
        </w:rPr>
        <w:t>V</w:t>
      </w:r>
      <w:r w:rsidRPr="00EB0615">
        <w:rPr>
          <w:color w:val="000000"/>
        </w:rPr>
        <w:t xml:space="preserve">eteran’s disability rating should </w:t>
      </w:r>
      <w:r w:rsidR="00324E36">
        <w:rPr>
          <w:color w:val="000000"/>
        </w:rPr>
        <w:t>the</w:t>
      </w:r>
      <w:r w:rsidRPr="00EB0615">
        <w:rPr>
          <w:color w:val="000000"/>
        </w:rPr>
        <w:t xml:space="preserve"> degree of impairment vary over time.</w:t>
      </w:r>
      <w:r w:rsidR="00EA7862">
        <w:rPr>
          <w:color w:val="000000"/>
        </w:rPr>
        <w:t xml:space="preserve"> </w:t>
      </w:r>
      <w:r w:rsidRPr="00780BB6">
        <w:rPr>
          <w:color w:val="000000"/>
          <w:sz w:val="23"/>
        </w:rPr>
        <w:t xml:space="preserve"> </w:t>
      </w:r>
      <w:r w:rsidRPr="00B505E9">
        <w:rPr>
          <w:color w:val="000000"/>
        </w:rPr>
        <w:t xml:space="preserve">The Board utilizes </w:t>
      </w:r>
      <w:r w:rsidR="00324E36">
        <w:rPr>
          <w:color w:val="000000"/>
        </w:rPr>
        <w:t>D</w:t>
      </w:r>
      <w:r w:rsidRPr="00B505E9">
        <w:rPr>
          <w:color w:val="000000"/>
        </w:rPr>
        <w:t xml:space="preserve">VA evidence proximal to separation in arriving at its recommendations; </w:t>
      </w:r>
      <w:r w:rsidR="00A03FC6">
        <w:rPr>
          <w:color w:val="000000"/>
        </w:rPr>
        <w:t>but,</w:t>
      </w:r>
      <w:r w:rsidRPr="00B505E9">
        <w:rPr>
          <w:color w:val="000000"/>
        </w:rPr>
        <w:t xml:space="preserve"> Board’s authority as defined in DoDI 6044.40, however, resides in evaluating the fairness of DES fitness determinations and rating decisions for disability at the time of separation.</w:t>
      </w:r>
      <w:r w:rsidR="00EA7862">
        <w:rPr>
          <w:color w:val="000000"/>
        </w:rPr>
        <w:t xml:space="preserve"> </w:t>
      </w:r>
      <w:r w:rsidRPr="00B505E9">
        <w:rPr>
          <w:color w:val="000000"/>
        </w:rPr>
        <w:t xml:space="preserve"> </w:t>
      </w:r>
      <w:r w:rsidR="000A0E5F" w:rsidRPr="000A0E5F">
        <w:rPr>
          <w:color w:val="000000"/>
        </w:rPr>
        <w:t xml:space="preserve">The Board further </w:t>
      </w:r>
      <w:r w:rsidR="000A0E5F">
        <w:rPr>
          <w:color w:val="000000"/>
        </w:rPr>
        <w:t xml:space="preserve">acknowledges the CI’s assertion that he was poorly informed by the </w:t>
      </w:r>
      <w:r w:rsidR="00324E36">
        <w:rPr>
          <w:color w:val="000000"/>
        </w:rPr>
        <w:t>s</w:t>
      </w:r>
      <w:r w:rsidR="000A0E5F">
        <w:rPr>
          <w:color w:val="000000"/>
        </w:rPr>
        <w:t>ervice regarding MEB procedures</w:t>
      </w:r>
      <w:r w:rsidR="000A0E5F" w:rsidRPr="000A0E5F">
        <w:rPr>
          <w:color w:val="000000"/>
        </w:rPr>
        <w:t>; but, must note for the record that it has neither the jurisdiction nor authority to scrutinize or render opinions in reference to such allegations.  The Board’s role is confined to the review of medical records and all evidence at hand to assess the fairness of rating and fitness determinations at separation, as elaborated above.</w:t>
      </w:r>
    </w:p>
    <w:p w:rsidR="00D74D00" w:rsidRPr="001F29F9" w:rsidRDefault="00D74D00" w:rsidP="00BF0E94">
      <w:pPr>
        <w:jc w:val="left"/>
        <w:rPr>
          <w:color w:val="000000"/>
        </w:rPr>
      </w:pPr>
    </w:p>
    <w:p w:rsidR="009F46CE" w:rsidRDefault="00D74D00" w:rsidP="00244791">
      <w:pPr>
        <w:jc w:val="both"/>
        <w:rPr>
          <w:color w:val="000000"/>
        </w:rPr>
      </w:pPr>
      <w:proofErr w:type="gramStart"/>
      <w:r w:rsidRPr="00244791">
        <w:rPr>
          <w:color w:val="000000"/>
          <w:u w:val="single"/>
        </w:rPr>
        <w:t>Right Shoulder</w:t>
      </w:r>
      <w:r w:rsidRPr="00FF5304">
        <w:rPr>
          <w:color w:val="000000"/>
          <w:u w:val="single"/>
        </w:rPr>
        <w:t xml:space="preserve"> Condition</w:t>
      </w:r>
      <w:r w:rsidRPr="00FF5304">
        <w:rPr>
          <w:color w:val="000000"/>
        </w:rPr>
        <w:t>.</w:t>
      </w:r>
      <w:proofErr w:type="gramEnd"/>
      <w:r w:rsidRPr="00FF5304">
        <w:rPr>
          <w:color w:val="000000"/>
        </w:rPr>
        <w:t xml:space="preserve"> </w:t>
      </w:r>
      <w:r w:rsidR="00C56AFE">
        <w:rPr>
          <w:color w:val="000000"/>
        </w:rPr>
        <w:t xml:space="preserve"> </w:t>
      </w:r>
      <w:r w:rsidR="004C078F" w:rsidRPr="00FF5304">
        <w:rPr>
          <w:color w:val="000000"/>
        </w:rPr>
        <w:t xml:space="preserve">While deployed to Korea in 2002, the CI began </w:t>
      </w:r>
      <w:r w:rsidR="004C078F">
        <w:rPr>
          <w:color w:val="000000"/>
        </w:rPr>
        <w:t xml:space="preserve">to </w:t>
      </w:r>
      <w:r w:rsidR="004C078F" w:rsidRPr="00FF5304">
        <w:rPr>
          <w:color w:val="000000"/>
        </w:rPr>
        <w:t xml:space="preserve">experience </w:t>
      </w:r>
      <w:r w:rsidR="004C078F">
        <w:rPr>
          <w:color w:val="000000"/>
        </w:rPr>
        <w:t xml:space="preserve">gradual </w:t>
      </w:r>
      <w:r w:rsidR="004C078F" w:rsidRPr="00FF5304">
        <w:rPr>
          <w:color w:val="000000"/>
        </w:rPr>
        <w:t xml:space="preserve">onset </w:t>
      </w:r>
      <w:r w:rsidR="004C078F">
        <w:rPr>
          <w:color w:val="000000"/>
        </w:rPr>
        <w:t xml:space="preserve">of </w:t>
      </w:r>
      <w:r w:rsidR="004C078F" w:rsidRPr="00FF5304">
        <w:rPr>
          <w:color w:val="000000"/>
        </w:rPr>
        <w:t xml:space="preserve">pain in his </w:t>
      </w:r>
      <w:r w:rsidR="004C078F">
        <w:rPr>
          <w:color w:val="000000"/>
        </w:rPr>
        <w:t xml:space="preserve">dominant </w:t>
      </w:r>
      <w:r w:rsidR="004C078F" w:rsidRPr="00FF5304">
        <w:rPr>
          <w:color w:val="000000"/>
        </w:rPr>
        <w:t>right shoulder.</w:t>
      </w:r>
      <w:r w:rsidR="004C078F">
        <w:rPr>
          <w:color w:val="000000"/>
        </w:rPr>
        <w:t xml:space="preserve"> </w:t>
      </w:r>
      <w:r w:rsidR="004C078F" w:rsidRPr="00FF5304">
        <w:rPr>
          <w:color w:val="000000"/>
        </w:rPr>
        <w:t xml:space="preserve"> </w:t>
      </w:r>
      <w:r w:rsidRPr="00FF5304">
        <w:rPr>
          <w:color w:val="000000"/>
        </w:rPr>
        <w:t xml:space="preserve">It was initially thought to be caused by nerve impingement, and he was treated with a series of </w:t>
      </w:r>
      <w:r w:rsidR="005C4EF0">
        <w:rPr>
          <w:color w:val="000000"/>
        </w:rPr>
        <w:t xml:space="preserve">local </w:t>
      </w:r>
      <w:r w:rsidRPr="00FF5304">
        <w:rPr>
          <w:color w:val="000000"/>
        </w:rPr>
        <w:t xml:space="preserve">steroid injections. </w:t>
      </w:r>
      <w:r w:rsidR="00C56AFE">
        <w:rPr>
          <w:color w:val="000000"/>
        </w:rPr>
        <w:t xml:space="preserve"> </w:t>
      </w:r>
      <w:r w:rsidRPr="00FF5304">
        <w:rPr>
          <w:color w:val="000000"/>
        </w:rPr>
        <w:t>The injections did no</w:t>
      </w:r>
      <w:r w:rsidR="00C56AFE">
        <w:rPr>
          <w:color w:val="000000"/>
        </w:rPr>
        <w:t>t provide lasting relief, however; and, he gradually developed an abnormal contour of the shoulder with superior and lateral displacement of the scapula</w:t>
      </w:r>
      <w:r w:rsidRPr="00FF5304">
        <w:rPr>
          <w:color w:val="000000"/>
        </w:rPr>
        <w:t xml:space="preserve">. </w:t>
      </w:r>
      <w:r w:rsidR="00C56AFE">
        <w:rPr>
          <w:color w:val="000000"/>
        </w:rPr>
        <w:t xml:space="preserve"> </w:t>
      </w:r>
      <w:r w:rsidR="001E35E4">
        <w:rPr>
          <w:color w:val="000000"/>
        </w:rPr>
        <w:t>This was associated with persistent pain, constant spasm and limitation of shoulder motion.  The CI</w:t>
      </w:r>
      <w:r w:rsidR="00C56AFE">
        <w:rPr>
          <w:color w:val="000000"/>
        </w:rPr>
        <w:t xml:space="preserve"> underwent extensive orthopedic, neurosurgical and neurological evaluations which included numerous ancillary investigations.  Magnetic resonance imaging </w:t>
      </w:r>
      <w:r w:rsidR="00776492">
        <w:rPr>
          <w:color w:val="000000"/>
        </w:rPr>
        <w:t xml:space="preserve">(MRI) </w:t>
      </w:r>
      <w:r w:rsidR="00C56AFE">
        <w:rPr>
          <w:color w:val="000000"/>
        </w:rPr>
        <w:t xml:space="preserve">revealed no </w:t>
      </w:r>
      <w:r w:rsidR="00BD10A7">
        <w:rPr>
          <w:color w:val="000000"/>
        </w:rPr>
        <w:t xml:space="preserve">shoulder </w:t>
      </w:r>
      <w:r w:rsidR="00C56AFE">
        <w:rPr>
          <w:color w:val="000000"/>
        </w:rPr>
        <w:t>joint pathology</w:t>
      </w:r>
      <w:r w:rsidR="00BD10A7">
        <w:rPr>
          <w:color w:val="000000"/>
        </w:rPr>
        <w:t>,</w:t>
      </w:r>
      <w:r w:rsidR="00C56AFE">
        <w:rPr>
          <w:color w:val="000000"/>
        </w:rPr>
        <w:t xml:space="preserve"> </w:t>
      </w:r>
      <w:r w:rsidR="00BD10A7">
        <w:rPr>
          <w:color w:val="000000"/>
        </w:rPr>
        <w:t>but</w:t>
      </w:r>
      <w:r w:rsidR="00C56AFE">
        <w:rPr>
          <w:color w:val="000000"/>
        </w:rPr>
        <w:t xml:space="preserve"> some mild </w:t>
      </w:r>
      <w:r w:rsidR="001E35E4">
        <w:rPr>
          <w:color w:val="000000"/>
        </w:rPr>
        <w:t xml:space="preserve">multilevel </w:t>
      </w:r>
      <w:r w:rsidR="00C56AFE">
        <w:rPr>
          <w:color w:val="000000"/>
        </w:rPr>
        <w:t>spinal disc pathology</w:t>
      </w:r>
      <w:r w:rsidR="00BD10A7">
        <w:rPr>
          <w:color w:val="000000"/>
        </w:rPr>
        <w:t xml:space="preserve"> (</w:t>
      </w:r>
      <w:r w:rsidR="00C56AFE">
        <w:rPr>
          <w:color w:val="000000"/>
        </w:rPr>
        <w:t>not felt to be etiologic</w:t>
      </w:r>
      <w:r w:rsidR="00BD10A7">
        <w:rPr>
          <w:color w:val="000000"/>
        </w:rPr>
        <w:t>)</w:t>
      </w:r>
      <w:r w:rsidR="00C56AFE">
        <w:rPr>
          <w:color w:val="000000"/>
        </w:rPr>
        <w:t xml:space="preserve">.  Multiple electrodiagnostic studies revealed no nerve </w:t>
      </w:r>
      <w:r w:rsidR="001E35E4">
        <w:rPr>
          <w:color w:val="000000"/>
        </w:rPr>
        <w:t>impairment</w:t>
      </w:r>
      <w:r w:rsidR="00C56AFE">
        <w:rPr>
          <w:color w:val="000000"/>
        </w:rPr>
        <w:t xml:space="preserve">.  An </w:t>
      </w:r>
      <w:proofErr w:type="spellStart"/>
      <w:r w:rsidR="00C56AFE" w:rsidRPr="00FF5304">
        <w:rPr>
          <w:color w:val="000000"/>
        </w:rPr>
        <w:t>arthrogram</w:t>
      </w:r>
      <w:proofErr w:type="spellEnd"/>
      <w:r w:rsidR="00C56AFE" w:rsidRPr="00FF5304">
        <w:rPr>
          <w:color w:val="000000"/>
        </w:rPr>
        <w:t xml:space="preserve"> revealed </w:t>
      </w:r>
      <w:r w:rsidR="00C56AFE">
        <w:rPr>
          <w:color w:val="000000"/>
        </w:rPr>
        <w:t xml:space="preserve">only </w:t>
      </w:r>
      <w:r w:rsidR="00C56AFE" w:rsidRPr="00FF5304">
        <w:rPr>
          <w:color w:val="000000"/>
        </w:rPr>
        <w:t xml:space="preserve">mild degenerative changes of the </w:t>
      </w:r>
      <w:proofErr w:type="spellStart"/>
      <w:r w:rsidR="00C56AFE" w:rsidRPr="00FF5304">
        <w:rPr>
          <w:color w:val="000000"/>
        </w:rPr>
        <w:t>acromioclavicular</w:t>
      </w:r>
      <w:proofErr w:type="spellEnd"/>
      <w:r w:rsidR="00C56AFE" w:rsidRPr="00FF5304">
        <w:rPr>
          <w:color w:val="000000"/>
        </w:rPr>
        <w:t xml:space="preserve"> joint</w:t>
      </w:r>
      <w:r w:rsidR="00C56AFE">
        <w:rPr>
          <w:color w:val="000000"/>
        </w:rPr>
        <w:t xml:space="preserve"> which was likewise </w:t>
      </w:r>
      <w:r w:rsidR="001E65E0">
        <w:rPr>
          <w:color w:val="000000"/>
        </w:rPr>
        <w:t xml:space="preserve">considered incidental to the etiology.  The consultants settled on a working diagnosis of </w:t>
      </w:r>
      <w:proofErr w:type="spellStart"/>
      <w:r w:rsidR="001E65E0">
        <w:rPr>
          <w:color w:val="000000"/>
        </w:rPr>
        <w:t>dystonia</w:t>
      </w:r>
      <w:proofErr w:type="spellEnd"/>
      <w:r w:rsidR="001E65E0">
        <w:rPr>
          <w:color w:val="000000"/>
        </w:rPr>
        <w:t xml:space="preserve"> (poor control of muscle tone and associated spasm) of shoulder girdle musculature, but </w:t>
      </w:r>
      <w:r w:rsidR="001E35E4">
        <w:rPr>
          <w:color w:val="000000"/>
        </w:rPr>
        <w:t>this was unconfirmed</w:t>
      </w:r>
      <w:r w:rsidR="005C4EF0">
        <w:rPr>
          <w:color w:val="000000"/>
        </w:rPr>
        <w:t>.  S</w:t>
      </w:r>
      <w:r w:rsidR="001E65E0">
        <w:rPr>
          <w:color w:val="000000"/>
        </w:rPr>
        <w:t>ubsequent VA examiners concurred</w:t>
      </w:r>
      <w:r w:rsidR="005C4EF0">
        <w:rPr>
          <w:color w:val="000000"/>
        </w:rPr>
        <w:t xml:space="preserve"> with this impression</w:t>
      </w:r>
      <w:r w:rsidR="001E65E0">
        <w:rPr>
          <w:color w:val="000000"/>
        </w:rPr>
        <w:t xml:space="preserve">.  A trial of </w:t>
      </w:r>
      <w:proofErr w:type="spellStart"/>
      <w:r w:rsidR="001E65E0">
        <w:rPr>
          <w:color w:val="000000"/>
        </w:rPr>
        <w:t>botox</w:t>
      </w:r>
      <w:proofErr w:type="spellEnd"/>
      <w:r w:rsidR="001E65E0">
        <w:rPr>
          <w:color w:val="000000"/>
        </w:rPr>
        <w:t xml:space="preserve"> injections (to block spasm) and </w:t>
      </w:r>
      <w:r w:rsidR="001E35E4">
        <w:rPr>
          <w:color w:val="000000"/>
        </w:rPr>
        <w:t xml:space="preserve">a </w:t>
      </w:r>
      <w:r w:rsidR="001E65E0">
        <w:rPr>
          <w:color w:val="000000"/>
        </w:rPr>
        <w:t xml:space="preserve">protracted </w:t>
      </w:r>
      <w:r w:rsidR="001E35E4">
        <w:rPr>
          <w:color w:val="000000"/>
        </w:rPr>
        <w:t>course</w:t>
      </w:r>
      <w:r w:rsidR="001E65E0">
        <w:rPr>
          <w:color w:val="000000"/>
        </w:rPr>
        <w:t xml:space="preserve"> of physical therapy </w:t>
      </w:r>
      <w:r w:rsidR="001E35E4">
        <w:rPr>
          <w:color w:val="000000"/>
        </w:rPr>
        <w:t xml:space="preserve">modalities were unsuccessful, and no surgical intervention was indicated.  </w:t>
      </w:r>
      <w:r w:rsidRPr="00FF5304">
        <w:rPr>
          <w:color w:val="000000"/>
        </w:rPr>
        <w:t xml:space="preserve">There were </w:t>
      </w:r>
      <w:r w:rsidR="00324E36">
        <w:rPr>
          <w:color w:val="000000"/>
        </w:rPr>
        <w:t>three goniometric range-of-</w:t>
      </w:r>
      <w:r w:rsidRPr="00FF5304">
        <w:rPr>
          <w:color w:val="000000"/>
        </w:rPr>
        <w:t>motion (ROM) evaluations in evidence, with documentation of additional ratable criteria, which the Board weighed in arriving at its rating recommendation</w:t>
      </w:r>
      <w:r w:rsidR="000A0E5F">
        <w:rPr>
          <w:color w:val="000000"/>
        </w:rPr>
        <w:t>; as follows</w:t>
      </w:r>
      <w:r w:rsidR="000A0E5F">
        <w:rPr>
          <w:rFonts w:cs="Times New Roman"/>
          <w:color w:val="auto"/>
        </w:rPr>
        <w:t>:</w:t>
      </w:r>
    </w:p>
    <w:p w:rsidR="00A03FC6" w:rsidRPr="00A03FC6" w:rsidRDefault="000A0E5F" w:rsidP="000A0E5F">
      <w:pPr>
        <w:spacing w:line="240" w:lineRule="auto"/>
        <w:jc w:val="left"/>
        <w:rPr>
          <w:color w:val="000000"/>
        </w:rPr>
      </w:pPr>
      <w:r>
        <w:rPr>
          <w:color w:val="000000"/>
        </w:rPr>
        <w:br w:type="page"/>
      </w:r>
    </w:p>
    <w:tbl>
      <w:tblPr>
        <w:tblW w:w="9163" w:type="dxa"/>
        <w:jc w:val="center"/>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2244"/>
        <w:gridCol w:w="2203"/>
        <w:gridCol w:w="2646"/>
      </w:tblGrid>
      <w:tr w:rsidR="009F46CE" w:rsidRPr="009F46CE" w:rsidTr="009F7FAB">
        <w:trPr>
          <w:jc w:val="center"/>
        </w:trPr>
        <w:tc>
          <w:tcPr>
            <w:tcW w:w="2070" w:type="dxa"/>
            <w:shd w:val="clear" w:color="auto" w:fill="D9D9D9"/>
            <w:vAlign w:val="center"/>
          </w:tcPr>
          <w:p w:rsidR="009F46CE" w:rsidRPr="009F46CE" w:rsidRDefault="009F46CE" w:rsidP="009F7FAB">
            <w:pPr>
              <w:contextualSpacing/>
              <w:rPr>
                <w:rFonts w:eastAsia="Calibri"/>
                <w:color w:val="auto"/>
                <w:sz w:val="22"/>
                <w:szCs w:val="22"/>
              </w:rPr>
            </w:pPr>
            <w:r w:rsidRPr="009F46CE">
              <w:rPr>
                <w:rFonts w:eastAsia="Calibri"/>
                <w:color w:val="auto"/>
                <w:sz w:val="22"/>
                <w:szCs w:val="22"/>
              </w:rPr>
              <w:lastRenderedPageBreak/>
              <w:t>Right Shoulder ROM</w:t>
            </w:r>
          </w:p>
        </w:tc>
        <w:tc>
          <w:tcPr>
            <w:tcW w:w="2244" w:type="dxa"/>
            <w:shd w:val="clear" w:color="auto" w:fill="D9D9D9"/>
            <w:vAlign w:val="center"/>
          </w:tcPr>
          <w:p w:rsidR="009F46CE" w:rsidRPr="009F46CE" w:rsidRDefault="009F46CE" w:rsidP="009F7FAB">
            <w:pPr>
              <w:contextualSpacing/>
              <w:rPr>
                <w:rFonts w:eastAsia="Calibri"/>
                <w:color w:val="auto"/>
                <w:sz w:val="22"/>
                <w:szCs w:val="22"/>
              </w:rPr>
            </w:pPr>
            <w:r>
              <w:rPr>
                <w:rFonts w:eastAsia="Calibri"/>
                <w:color w:val="auto"/>
                <w:sz w:val="22"/>
                <w:szCs w:val="22"/>
              </w:rPr>
              <w:t>Ortho</w:t>
            </w:r>
            <w:r w:rsidR="000E25E3">
              <w:rPr>
                <w:rFonts w:eastAsia="Calibri"/>
                <w:color w:val="auto"/>
                <w:sz w:val="22"/>
                <w:szCs w:val="22"/>
              </w:rPr>
              <w:t xml:space="preserve"> ~2</w:t>
            </w:r>
            <w:r w:rsidRPr="009F46CE">
              <w:rPr>
                <w:rFonts w:eastAsia="Calibri"/>
                <w:color w:val="auto"/>
                <w:sz w:val="22"/>
                <w:szCs w:val="22"/>
              </w:rPr>
              <w:t xml:space="preserve"> Mo. Pre-Sep</w:t>
            </w:r>
          </w:p>
        </w:tc>
        <w:tc>
          <w:tcPr>
            <w:tcW w:w="2203" w:type="dxa"/>
            <w:shd w:val="clear" w:color="auto" w:fill="D9D9D9"/>
            <w:vAlign w:val="center"/>
          </w:tcPr>
          <w:p w:rsidR="009F46CE" w:rsidRPr="009F46CE" w:rsidRDefault="000E25E3" w:rsidP="009F7FAB">
            <w:pPr>
              <w:contextualSpacing/>
              <w:rPr>
                <w:rFonts w:eastAsia="Calibri"/>
                <w:color w:val="auto"/>
                <w:sz w:val="22"/>
                <w:szCs w:val="22"/>
              </w:rPr>
            </w:pPr>
            <w:r>
              <w:rPr>
                <w:rFonts w:eastAsia="Calibri"/>
                <w:color w:val="auto"/>
                <w:sz w:val="22"/>
                <w:szCs w:val="22"/>
              </w:rPr>
              <w:t>MEB ~2</w:t>
            </w:r>
            <w:r w:rsidR="009F46CE" w:rsidRPr="009F46CE">
              <w:rPr>
                <w:rFonts w:eastAsia="Calibri"/>
                <w:color w:val="auto"/>
                <w:sz w:val="22"/>
                <w:szCs w:val="22"/>
              </w:rPr>
              <w:t xml:space="preserve"> Mo. Pre-Sep</w:t>
            </w:r>
          </w:p>
        </w:tc>
        <w:tc>
          <w:tcPr>
            <w:tcW w:w="2646" w:type="dxa"/>
            <w:shd w:val="clear" w:color="auto" w:fill="D9D9D9"/>
            <w:vAlign w:val="center"/>
          </w:tcPr>
          <w:p w:rsidR="009F46CE" w:rsidRPr="009F46CE" w:rsidRDefault="009F46CE" w:rsidP="009F7FAB">
            <w:pPr>
              <w:contextualSpacing/>
              <w:rPr>
                <w:rFonts w:eastAsia="Cambria"/>
                <w:color w:val="auto"/>
                <w:sz w:val="22"/>
                <w:szCs w:val="22"/>
              </w:rPr>
            </w:pPr>
            <w:r w:rsidRPr="009F46CE">
              <w:rPr>
                <w:rFonts w:eastAsia="Calibri"/>
                <w:color w:val="auto"/>
                <w:sz w:val="22"/>
                <w:szCs w:val="22"/>
              </w:rPr>
              <w:t>VA</w:t>
            </w:r>
            <w:r w:rsidR="000E25E3">
              <w:rPr>
                <w:rFonts w:eastAsia="Cambria"/>
                <w:color w:val="auto"/>
                <w:sz w:val="22"/>
                <w:szCs w:val="22"/>
              </w:rPr>
              <w:t xml:space="preserve"> C&amp;P ~4</w:t>
            </w:r>
            <w:r w:rsidRPr="009F46CE">
              <w:rPr>
                <w:rFonts w:eastAsia="Cambria"/>
                <w:color w:val="auto"/>
                <w:sz w:val="22"/>
                <w:szCs w:val="22"/>
              </w:rPr>
              <w:t xml:space="preserve"> Mo. Post-Sep</w:t>
            </w:r>
          </w:p>
        </w:tc>
      </w:tr>
      <w:tr w:rsidR="000E25E3" w:rsidRPr="009F46CE" w:rsidTr="009F7FAB">
        <w:trPr>
          <w:jc w:val="center"/>
        </w:trPr>
        <w:tc>
          <w:tcPr>
            <w:tcW w:w="2070" w:type="dxa"/>
            <w:vAlign w:val="center"/>
          </w:tcPr>
          <w:p w:rsidR="000E25E3" w:rsidRPr="009F46CE" w:rsidRDefault="000E25E3" w:rsidP="009F7FAB">
            <w:pPr>
              <w:contextualSpacing/>
              <w:rPr>
                <w:rFonts w:eastAsia="Calibri"/>
                <w:color w:val="auto"/>
                <w:sz w:val="22"/>
                <w:szCs w:val="22"/>
              </w:rPr>
            </w:pPr>
            <w:r w:rsidRPr="009F46CE">
              <w:rPr>
                <w:rFonts w:eastAsia="Calibri"/>
                <w:color w:val="auto"/>
                <w:sz w:val="22"/>
                <w:szCs w:val="22"/>
              </w:rPr>
              <w:t>Flexion (0-180⁰)</w:t>
            </w:r>
          </w:p>
        </w:tc>
        <w:tc>
          <w:tcPr>
            <w:tcW w:w="2244" w:type="dxa"/>
            <w:vAlign w:val="center"/>
          </w:tcPr>
          <w:p w:rsidR="000E25E3" w:rsidRPr="009F46CE" w:rsidRDefault="000E25E3" w:rsidP="00A03FC6">
            <w:pPr>
              <w:contextualSpacing/>
              <w:rPr>
                <w:rFonts w:eastAsia="Calibri"/>
                <w:color w:val="auto"/>
                <w:sz w:val="22"/>
                <w:szCs w:val="22"/>
              </w:rPr>
            </w:pPr>
            <w:r>
              <w:rPr>
                <w:rFonts w:eastAsia="Calibri"/>
                <w:color w:val="auto"/>
                <w:sz w:val="22"/>
                <w:szCs w:val="22"/>
              </w:rPr>
              <w:t>9</w:t>
            </w:r>
            <w:r w:rsidRPr="009F46CE">
              <w:rPr>
                <w:rFonts w:eastAsia="Calibri"/>
                <w:color w:val="auto"/>
                <w:sz w:val="22"/>
                <w:szCs w:val="22"/>
              </w:rPr>
              <w:t>0⁰</w:t>
            </w:r>
            <w:r>
              <w:rPr>
                <w:rFonts w:eastAsia="Calibri"/>
                <w:color w:val="auto"/>
                <w:sz w:val="22"/>
                <w:szCs w:val="22"/>
              </w:rPr>
              <w:t xml:space="preserve">* </w:t>
            </w:r>
          </w:p>
        </w:tc>
        <w:tc>
          <w:tcPr>
            <w:tcW w:w="2203" w:type="dxa"/>
            <w:vAlign w:val="center"/>
          </w:tcPr>
          <w:p w:rsidR="000E25E3" w:rsidRPr="009F46CE" w:rsidRDefault="000E25E3" w:rsidP="009F7FAB">
            <w:pPr>
              <w:contextualSpacing/>
              <w:rPr>
                <w:rFonts w:eastAsia="Calibri"/>
                <w:color w:val="auto"/>
                <w:sz w:val="22"/>
                <w:szCs w:val="22"/>
              </w:rPr>
            </w:pPr>
            <w:r>
              <w:rPr>
                <w:rFonts w:eastAsia="Calibri"/>
                <w:color w:val="auto"/>
                <w:sz w:val="22"/>
                <w:szCs w:val="22"/>
              </w:rPr>
              <w:t>11</w:t>
            </w:r>
            <w:r w:rsidRPr="009F46CE">
              <w:rPr>
                <w:rFonts w:eastAsia="Calibri"/>
                <w:color w:val="auto"/>
                <w:sz w:val="22"/>
                <w:szCs w:val="22"/>
              </w:rPr>
              <w:t>0⁰</w:t>
            </w:r>
          </w:p>
        </w:tc>
        <w:tc>
          <w:tcPr>
            <w:tcW w:w="2646" w:type="dxa"/>
            <w:vAlign w:val="center"/>
          </w:tcPr>
          <w:p w:rsidR="000E25E3" w:rsidRPr="009F46CE" w:rsidRDefault="000E25E3" w:rsidP="009F7FAB">
            <w:pPr>
              <w:contextualSpacing/>
              <w:rPr>
                <w:rFonts w:eastAsia="Calibri"/>
                <w:color w:val="auto"/>
                <w:sz w:val="22"/>
                <w:szCs w:val="22"/>
              </w:rPr>
            </w:pPr>
            <w:r>
              <w:rPr>
                <w:rFonts w:eastAsia="Calibri"/>
                <w:color w:val="auto"/>
                <w:sz w:val="22"/>
                <w:szCs w:val="22"/>
              </w:rPr>
              <w:t>11</w:t>
            </w:r>
            <w:r w:rsidRPr="009F46CE">
              <w:rPr>
                <w:rFonts w:eastAsia="Calibri"/>
                <w:color w:val="auto"/>
                <w:sz w:val="22"/>
                <w:szCs w:val="22"/>
              </w:rPr>
              <w:t>0⁰</w:t>
            </w:r>
          </w:p>
        </w:tc>
      </w:tr>
      <w:tr w:rsidR="000E25E3" w:rsidRPr="009F46CE" w:rsidTr="009F7FAB">
        <w:trPr>
          <w:jc w:val="center"/>
        </w:trPr>
        <w:tc>
          <w:tcPr>
            <w:tcW w:w="2070" w:type="dxa"/>
            <w:vAlign w:val="center"/>
          </w:tcPr>
          <w:p w:rsidR="000E25E3" w:rsidRPr="009F46CE" w:rsidRDefault="000E25E3" w:rsidP="009F7FAB">
            <w:pPr>
              <w:contextualSpacing/>
              <w:rPr>
                <w:rFonts w:eastAsia="Calibri"/>
                <w:color w:val="auto"/>
                <w:sz w:val="22"/>
                <w:szCs w:val="22"/>
              </w:rPr>
            </w:pPr>
            <w:r w:rsidRPr="009F46CE">
              <w:rPr>
                <w:rFonts w:eastAsia="Calibri"/>
                <w:color w:val="auto"/>
                <w:sz w:val="22"/>
                <w:szCs w:val="22"/>
              </w:rPr>
              <w:t>Abduction (0-180⁰)</w:t>
            </w:r>
          </w:p>
        </w:tc>
        <w:tc>
          <w:tcPr>
            <w:tcW w:w="2244" w:type="dxa"/>
            <w:vAlign w:val="center"/>
          </w:tcPr>
          <w:p w:rsidR="000E25E3" w:rsidRPr="009F46CE" w:rsidRDefault="000E25E3" w:rsidP="009F7FAB">
            <w:pPr>
              <w:contextualSpacing/>
              <w:rPr>
                <w:rFonts w:eastAsia="Calibri"/>
                <w:color w:val="auto"/>
                <w:sz w:val="22"/>
                <w:szCs w:val="22"/>
              </w:rPr>
            </w:pPr>
            <w:r>
              <w:rPr>
                <w:rFonts w:eastAsia="Calibri"/>
                <w:color w:val="auto"/>
                <w:sz w:val="22"/>
                <w:szCs w:val="22"/>
              </w:rPr>
              <w:t>90</w:t>
            </w:r>
            <w:r w:rsidRPr="009F46CE">
              <w:rPr>
                <w:rFonts w:eastAsia="Calibri"/>
                <w:color w:val="auto"/>
                <w:sz w:val="22"/>
                <w:szCs w:val="22"/>
              </w:rPr>
              <w:t>⁰</w:t>
            </w:r>
            <w:r>
              <w:rPr>
                <w:rFonts w:eastAsia="Calibri"/>
                <w:color w:val="auto"/>
                <w:sz w:val="22"/>
                <w:szCs w:val="22"/>
              </w:rPr>
              <w:t>*</w:t>
            </w:r>
          </w:p>
        </w:tc>
        <w:tc>
          <w:tcPr>
            <w:tcW w:w="2203" w:type="dxa"/>
            <w:vAlign w:val="center"/>
          </w:tcPr>
          <w:p w:rsidR="000E25E3" w:rsidRPr="009F46CE" w:rsidRDefault="000E25E3" w:rsidP="009F7FAB">
            <w:pPr>
              <w:contextualSpacing/>
              <w:rPr>
                <w:rFonts w:eastAsia="Calibri"/>
                <w:color w:val="auto"/>
                <w:sz w:val="22"/>
                <w:szCs w:val="22"/>
              </w:rPr>
            </w:pPr>
            <w:r>
              <w:rPr>
                <w:rFonts w:eastAsia="Calibri"/>
                <w:color w:val="auto"/>
                <w:sz w:val="22"/>
                <w:szCs w:val="22"/>
              </w:rPr>
              <w:t>86</w:t>
            </w:r>
            <w:r w:rsidRPr="009F46CE">
              <w:rPr>
                <w:rFonts w:eastAsia="Calibri"/>
                <w:color w:val="auto"/>
                <w:sz w:val="22"/>
                <w:szCs w:val="22"/>
              </w:rPr>
              <w:t>⁰</w:t>
            </w:r>
          </w:p>
        </w:tc>
        <w:tc>
          <w:tcPr>
            <w:tcW w:w="2646" w:type="dxa"/>
            <w:vAlign w:val="center"/>
          </w:tcPr>
          <w:p w:rsidR="000E25E3" w:rsidRPr="009F46CE" w:rsidRDefault="000E25E3" w:rsidP="009F7FAB">
            <w:pPr>
              <w:contextualSpacing/>
              <w:rPr>
                <w:rFonts w:eastAsia="Calibri"/>
                <w:color w:val="auto"/>
                <w:sz w:val="22"/>
                <w:szCs w:val="22"/>
              </w:rPr>
            </w:pPr>
            <w:r>
              <w:rPr>
                <w:rFonts w:eastAsia="Calibri"/>
                <w:color w:val="auto"/>
                <w:sz w:val="22"/>
                <w:szCs w:val="22"/>
              </w:rPr>
              <w:t>80</w:t>
            </w:r>
            <w:r w:rsidRPr="009F46CE">
              <w:rPr>
                <w:rFonts w:eastAsia="Calibri"/>
                <w:color w:val="auto"/>
                <w:sz w:val="22"/>
                <w:szCs w:val="22"/>
              </w:rPr>
              <w:t>⁰</w:t>
            </w:r>
          </w:p>
        </w:tc>
      </w:tr>
      <w:tr w:rsidR="009F46CE" w:rsidRPr="009F46CE" w:rsidTr="009F7FAB">
        <w:trPr>
          <w:jc w:val="center"/>
        </w:trPr>
        <w:tc>
          <w:tcPr>
            <w:tcW w:w="2070" w:type="dxa"/>
            <w:vAlign w:val="center"/>
          </w:tcPr>
          <w:p w:rsidR="009F46CE" w:rsidRPr="009F46CE" w:rsidRDefault="009F46CE" w:rsidP="009F7FAB">
            <w:pPr>
              <w:tabs>
                <w:tab w:val="left" w:pos="288"/>
                <w:tab w:val="left" w:pos="4752"/>
              </w:tabs>
              <w:rPr>
                <w:rFonts w:eastAsia="Cambria"/>
                <w:color w:val="auto"/>
                <w:sz w:val="22"/>
                <w:szCs w:val="22"/>
              </w:rPr>
            </w:pPr>
            <w:r w:rsidRPr="009F46CE">
              <w:rPr>
                <w:rFonts w:eastAsia="Cambria"/>
                <w:color w:val="auto"/>
                <w:sz w:val="22"/>
                <w:szCs w:val="22"/>
              </w:rPr>
              <w:t>Comments</w:t>
            </w:r>
          </w:p>
        </w:tc>
        <w:tc>
          <w:tcPr>
            <w:tcW w:w="2244" w:type="dxa"/>
            <w:vAlign w:val="center"/>
          </w:tcPr>
          <w:p w:rsidR="009F46CE" w:rsidRPr="00585B01" w:rsidRDefault="000E25E3" w:rsidP="00F2792F">
            <w:pPr>
              <w:tabs>
                <w:tab w:val="left" w:pos="288"/>
                <w:tab w:val="left" w:pos="4752"/>
              </w:tabs>
              <w:spacing w:line="200" w:lineRule="exact"/>
              <w:rPr>
                <w:rFonts w:eastAsia="Cambria"/>
                <w:color w:val="auto"/>
                <w:sz w:val="22"/>
                <w:szCs w:val="22"/>
              </w:rPr>
            </w:pPr>
            <w:r w:rsidRPr="00585B01">
              <w:rPr>
                <w:rFonts w:eastAsia="Cambria"/>
                <w:color w:val="auto"/>
                <w:sz w:val="22"/>
                <w:szCs w:val="22"/>
              </w:rPr>
              <w:t>*Exam states “shoulder height”.</w:t>
            </w:r>
          </w:p>
        </w:tc>
        <w:tc>
          <w:tcPr>
            <w:tcW w:w="2203" w:type="dxa"/>
            <w:vAlign w:val="center"/>
          </w:tcPr>
          <w:p w:rsidR="009F46CE" w:rsidRPr="009F46CE" w:rsidRDefault="009F7FAB" w:rsidP="00F2792F">
            <w:pPr>
              <w:tabs>
                <w:tab w:val="left" w:pos="288"/>
                <w:tab w:val="left" w:pos="4752"/>
              </w:tabs>
              <w:spacing w:line="200" w:lineRule="exact"/>
              <w:rPr>
                <w:rFonts w:eastAsia="Cambria"/>
                <w:color w:val="auto"/>
                <w:sz w:val="22"/>
                <w:szCs w:val="22"/>
              </w:rPr>
            </w:pPr>
            <w:r w:rsidRPr="00585B01">
              <w:rPr>
                <w:rFonts w:eastAsia="Cambria"/>
                <w:color w:val="auto"/>
                <w:sz w:val="22"/>
                <w:szCs w:val="22"/>
              </w:rPr>
              <w:t>“</w:t>
            </w:r>
            <w:r w:rsidR="00585B01" w:rsidRPr="00585B01">
              <w:rPr>
                <w:rFonts w:eastAsia="Cambria"/>
                <w:color w:val="auto"/>
                <w:sz w:val="22"/>
                <w:szCs w:val="22"/>
              </w:rPr>
              <w:t>Loss of normal contours”.</w:t>
            </w:r>
          </w:p>
        </w:tc>
        <w:tc>
          <w:tcPr>
            <w:tcW w:w="2646" w:type="dxa"/>
            <w:vAlign w:val="center"/>
          </w:tcPr>
          <w:p w:rsidR="009F46CE" w:rsidRPr="009F46CE" w:rsidRDefault="009F7FAB" w:rsidP="00F2792F">
            <w:pPr>
              <w:tabs>
                <w:tab w:val="left" w:pos="288"/>
                <w:tab w:val="left" w:pos="4752"/>
              </w:tabs>
              <w:spacing w:line="200" w:lineRule="exact"/>
              <w:rPr>
                <w:rFonts w:eastAsia="Cambria"/>
                <w:color w:val="auto"/>
                <w:sz w:val="22"/>
                <w:szCs w:val="22"/>
              </w:rPr>
            </w:pPr>
            <w:r w:rsidRPr="00585B01">
              <w:rPr>
                <w:rFonts w:eastAsia="Cambria"/>
                <w:color w:val="auto"/>
                <w:sz w:val="22"/>
                <w:szCs w:val="22"/>
              </w:rPr>
              <w:t>“Elevation and protraction of the scapula”.</w:t>
            </w:r>
          </w:p>
        </w:tc>
      </w:tr>
      <w:tr w:rsidR="009F46CE" w:rsidRPr="009F46CE" w:rsidTr="009F7FAB">
        <w:trPr>
          <w:trHeight w:val="70"/>
          <w:jc w:val="center"/>
        </w:trPr>
        <w:tc>
          <w:tcPr>
            <w:tcW w:w="2070" w:type="dxa"/>
            <w:vAlign w:val="center"/>
          </w:tcPr>
          <w:p w:rsidR="009F46CE" w:rsidRPr="009F46CE" w:rsidRDefault="009F46CE" w:rsidP="009F7FAB">
            <w:pPr>
              <w:tabs>
                <w:tab w:val="left" w:pos="288"/>
                <w:tab w:val="left" w:pos="4752"/>
              </w:tabs>
              <w:rPr>
                <w:rFonts w:eastAsia="Cambria"/>
                <w:color w:val="auto"/>
                <w:sz w:val="22"/>
                <w:szCs w:val="22"/>
              </w:rPr>
            </w:pPr>
            <w:r w:rsidRPr="009F46CE">
              <w:rPr>
                <w:rFonts w:eastAsia="Cambria"/>
                <w:color w:val="auto"/>
                <w:sz w:val="22"/>
                <w:szCs w:val="22"/>
              </w:rPr>
              <w:t>§4.71a Rating</w:t>
            </w:r>
          </w:p>
        </w:tc>
        <w:tc>
          <w:tcPr>
            <w:tcW w:w="2244" w:type="dxa"/>
            <w:vAlign w:val="center"/>
          </w:tcPr>
          <w:p w:rsidR="009F46CE" w:rsidRPr="009F46CE" w:rsidRDefault="000E25E3" w:rsidP="009F7FAB">
            <w:pPr>
              <w:tabs>
                <w:tab w:val="left" w:pos="288"/>
                <w:tab w:val="left" w:pos="4752"/>
              </w:tabs>
              <w:rPr>
                <w:rFonts w:eastAsia="Cambria"/>
                <w:color w:val="auto"/>
                <w:sz w:val="22"/>
                <w:szCs w:val="22"/>
              </w:rPr>
            </w:pPr>
            <w:r>
              <w:rPr>
                <w:rFonts w:eastAsia="Cambria"/>
                <w:color w:val="auto"/>
                <w:sz w:val="22"/>
                <w:szCs w:val="22"/>
              </w:rPr>
              <w:t>2</w:t>
            </w:r>
            <w:r w:rsidRPr="009F46CE">
              <w:rPr>
                <w:rFonts w:eastAsia="Cambria"/>
                <w:color w:val="auto"/>
                <w:sz w:val="22"/>
                <w:szCs w:val="22"/>
              </w:rPr>
              <w:t>0%</w:t>
            </w:r>
          </w:p>
        </w:tc>
        <w:tc>
          <w:tcPr>
            <w:tcW w:w="2203" w:type="dxa"/>
            <w:vAlign w:val="center"/>
          </w:tcPr>
          <w:p w:rsidR="009F46CE" w:rsidRPr="009F46CE" w:rsidRDefault="000E25E3" w:rsidP="009F7FAB">
            <w:pPr>
              <w:tabs>
                <w:tab w:val="left" w:pos="288"/>
                <w:tab w:val="left" w:pos="4752"/>
              </w:tabs>
              <w:rPr>
                <w:rFonts w:eastAsia="Cambria"/>
                <w:color w:val="auto"/>
                <w:sz w:val="22"/>
                <w:szCs w:val="22"/>
              </w:rPr>
            </w:pPr>
            <w:r>
              <w:rPr>
                <w:rFonts w:eastAsia="Cambria"/>
                <w:color w:val="auto"/>
                <w:sz w:val="22"/>
                <w:szCs w:val="22"/>
              </w:rPr>
              <w:t>2</w:t>
            </w:r>
            <w:r w:rsidR="009F46CE" w:rsidRPr="009F46CE">
              <w:rPr>
                <w:rFonts w:eastAsia="Cambria"/>
                <w:color w:val="auto"/>
                <w:sz w:val="22"/>
                <w:szCs w:val="22"/>
              </w:rPr>
              <w:t>0%</w:t>
            </w:r>
          </w:p>
        </w:tc>
        <w:tc>
          <w:tcPr>
            <w:tcW w:w="2646" w:type="dxa"/>
            <w:vAlign w:val="center"/>
          </w:tcPr>
          <w:p w:rsidR="009F46CE" w:rsidRPr="009F46CE" w:rsidRDefault="000E25E3" w:rsidP="009F7FAB">
            <w:pPr>
              <w:tabs>
                <w:tab w:val="left" w:pos="288"/>
                <w:tab w:val="left" w:pos="4752"/>
              </w:tabs>
              <w:rPr>
                <w:rFonts w:eastAsia="Cambria"/>
                <w:color w:val="auto"/>
                <w:sz w:val="22"/>
                <w:szCs w:val="22"/>
              </w:rPr>
            </w:pPr>
            <w:r>
              <w:rPr>
                <w:rFonts w:eastAsia="Cambria"/>
                <w:color w:val="auto"/>
                <w:sz w:val="22"/>
                <w:szCs w:val="22"/>
              </w:rPr>
              <w:t>2</w:t>
            </w:r>
            <w:r w:rsidR="009F46CE" w:rsidRPr="009F46CE">
              <w:rPr>
                <w:rFonts w:eastAsia="Cambria"/>
                <w:color w:val="auto"/>
                <w:sz w:val="22"/>
                <w:szCs w:val="22"/>
              </w:rPr>
              <w:t>0%</w:t>
            </w:r>
          </w:p>
        </w:tc>
      </w:tr>
    </w:tbl>
    <w:p w:rsidR="00585B01" w:rsidRDefault="00585B01" w:rsidP="00244791">
      <w:pPr>
        <w:tabs>
          <w:tab w:val="left" w:pos="288"/>
          <w:tab w:val="left" w:pos="4752"/>
        </w:tabs>
        <w:jc w:val="both"/>
        <w:rPr>
          <w:rFonts w:cs="Times New Roman"/>
          <w:color w:val="auto"/>
        </w:rPr>
      </w:pPr>
    </w:p>
    <w:p w:rsidR="00F2792F" w:rsidRDefault="00D74D00" w:rsidP="00244791">
      <w:pPr>
        <w:tabs>
          <w:tab w:val="left" w:pos="288"/>
          <w:tab w:val="left" w:pos="4752"/>
        </w:tabs>
        <w:jc w:val="both"/>
        <w:rPr>
          <w:rFonts w:cs="Times New Roman"/>
          <w:color w:val="auto"/>
        </w:rPr>
      </w:pPr>
      <w:r w:rsidRPr="003C53E8">
        <w:rPr>
          <w:rFonts w:cs="Times New Roman"/>
          <w:color w:val="auto"/>
        </w:rPr>
        <w:t xml:space="preserve">At the MEB </w:t>
      </w:r>
      <w:r w:rsidR="002818DA">
        <w:rPr>
          <w:rFonts w:cs="Times New Roman"/>
          <w:color w:val="auto"/>
        </w:rPr>
        <w:t>evaluation</w:t>
      </w:r>
      <w:r w:rsidRPr="003C53E8">
        <w:rPr>
          <w:rFonts w:cs="Times New Roman"/>
          <w:color w:val="auto"/>
        </w:rPr>
        <w:t xml:space="preserve">, the CI reported daily pain with decreased strength and </w:t>
      </w:r>
      <w:r w:rsidR="002818DA">
        <w:rPr>
          <w:rFonts w:cs="Times New Roman"/>
          <w:color w:val="auto"/>
        </w:rPr>
        <w:t>functionally significant</w:t>
      </w:r>
      <w:r w:rsidRPr="003C53E8">
        <w:rPr>
          <w:rFonts w:cs="Times New Roman"/>
          <w:color w:val="auto"/>
        </w:rPr>
        <w:t xml:space="preserve"> </w:t>
      </w:r>
      <w:r w:rsidR="002818DA">
        <w:rPr>
          <w:rFonts w:cs="Times New Roman"/>
          <w:color w:val="auto"/>
        </w:rPr>
        <w:t xml:space="preserve">ROM limitation. </w:t>
      </w:r>
      <w:r w:rsidR="00324E36">
        <w:rPr>
          <w:rFonts w:cs="Times New Roman"/>
          <w:color w:val="auto"/>
        </w:rPr>
        <w:t xml:space="preserve"> </w:t>
      </w:r>
      <w:r w:rsidR="002818DA">
        <w:rPr>
          <w:rFonts w:cs="Times New Roman"/>
          <w:color w:val="auto"/>
        </w:rPr>
        <w:t xml:space="preserve">The exam noted prominent scapular </w:t>
      </w:r>
      <w:r w:rsidRPr="003C53E8">
        <w:rPr>
          <w:rFonts w:cs="Times New Roman"/>
          <w:color w:val="auto"/>
        </w:rPr>
        <w:t xml:space="preserve">displacement </w:t>
      </w:r>
      <w:r w:rsidR="002818DA">
        <w:rPr>
          <w:rFonts w:cs="Times New Roman"/>
          <w:color w:val="auto"/>
        </w:rPr>
        <w:t>with</w:t>
      </w:r>
      <w:r w:rsidRPr="003C53E8">
        <w:rPr>
          <w:rFonts w:cs="Times New Roman"/>
          <w:color w:val="auto"/>
        </w:rPr>
        <w:t xml:space="preserve"> loss of normal anatomic </w:t>
      </w:r>
      <w:r w:rsidR="002818DA">
        <w:rPr>
          <w:rFonts w:cs="Times New Roman"/>
          <w:color w:val="auto"/>
        </w:rPr>
        <w:t>features, spasm, and p</w:t>
      </w:r>
      <w:r w:rsidRPr="003C53E8">
        <w:rPr>
          <w:rFonts w:cs="Times New Roman"/>
          <w:color w:val="auto"/>
        </w:rPr>
        <w:t xml:space="preserve">ain </w:t>
      </w:r>
      <w:r w:rsidR="002818DA">
        <w:rPr>
          <w:rFonts w:cs="Times New Roman"/>
          <w:color w:val="auto"/>
        </w:rPr>
        <w:t xml:space="preserve">with </w:t>
      </w:r>
      <w:r w:rsidRPr="003C53E8">
        <w:rPr>
          <w:rFonts w:cs="Times New Roman"/>
          <w:color w:val="auto"/>
        </w:rPr>
        <w:t xml:space="preserve">all motion. </w:t>
      </w:r>
      <w:r w:rsidR="002818DA">
        <w:rPr>
          <w:rFonts w:cs="Times New Roman"/>
          <w:color w:val="auto"/>
        </w:rPr>
        <w:t xml:space="preserve"> ROM measurements were recorded as charted above, which were slightly improved over those of a recent orthopedic examiner.  Various</w:t>
      </w:r>
      <w:r w:rsidR="00324E36">
        <w:rPr>
          <w:rFonts w:cs="Times New Roman"/>
          <w:color w:val="auto"/>
        </w:rPr>
        <w:t xml:space="preserve"> outpatient entries over the 12-</w:t>
      </w:r>
      <w:r w:rsidR="002818DA">
        <w:rPr>
          <w:rFonts w:cs="Times New Roman"/>
          <w:color w:val="auto"/>
        </w:rPr>
        <w:t>month period preceding separation commented on right shoulder ROM, with none noting abduction or flexion &lt; 80</w:t>
      </w:r>
      <w:r w:rsidR="002818DA">
        <w:rPr>
          <w:color w:val="auto"/>
        </w:rPr>
        <w:t>⁰</w:t>
      </w:r>
      <w:r w:rsidR="002818DA">
        <w:rPr>
          <w:rFonts w:cs="Times New Roman"/>
          <w:color w:val="auto"/>
        </w:rPr>
        <w:t xml:space="preserve">.  </w:t>
      </w:r>
      <w:r w:rsidRPr="003C53E8">
        <w:rPr>
          <w:rFonts w:cs="Times New Roman"/>
          <w:color w:val="auto"/>
        </w:rPr>
        <w:t>At the VA Compensation &amp; Pension (C&amp;P) exam</w:t>
      </w:r>
      <w:r w:rsidR="00324E36">
        <w:rPr>
          <w:rFonts w:cs="Times New Roman"/>
          <w:color w:val="auto"/>
        </w:rPr>
        <w:t xml:space="preserve"> after separation</w:t>
      </w:r>
      <w:r w:rsidRPr="003C53E8">
        <w:rPr>
          <w:rFonts w:cs="Times New Roman"/>
          <w:color w:val="auto"/>
        </w:rPr>
        <w:t xml:space="preserve">, the CI continued to report daily pain which was aggravated by heavy lifting, moving the arm above the shoulder, and sitting too long. </w:t>
      </w:r>
      <w:r w:rsidR="00230ADF">
        <w:rPr>
          <w:rFonts w:cs="Times New Roman"/>
          <w:color w:val="auto"/>
        </w:rPr>
        <w:t xml:space="preserve"> He was employed as a police dispatcher.  The VA examiner noted similar anatomic abnormalities to those previously </w:t>
      </w:r>
      <w:proofErr w:type="gramStart"/>
      <w:r w:rsidR="00F2792F">
        <w:rPr>
          <w:rFonts w:cs="Times New Roman"/>
          <w:color w:val="auto"/>
        </w:rPr>
        <w:t>documented</w:t>
      </w:r>
      <w:r w:rsidR="00230ADF">
        <w:rPr>
          <w:rFonts w:cs="Times New Roman"/>
          <w:color w:val="auto"/>
        </w:rPr>
        <w:t>,</w:t>
      </w:r>
      <w:proofErr w:type="gramEnd"/>
      <w:r w:rsidR="00230ADF">
        <w:rPr>
          <w:rFonts w:cs="Times New Roman"/>
          <w:color w:val="auto"/>
        </w:rPr>
        <w:t xml:space="preserve"> </w:t>
      </w:r>
      <w:r w:rsidR="00F2792F">
        <w:rPr>
          <w:rFonts w:cs="Times New Roman"/>
          <w:color w:val="auto"/>
        </w:rPr>
        <w:t xml:space="preserve">an absence of spasm, and pain in all planes of motion.  The ROM values charted above reflect deductions for loss of ROM with repetitive motion (DeLuca criteria).  All </w:t>
      </w:r>
      <w:r w:rsidR="00324E36">
        <w:rPr>
          <w:rFonts w:cs="Times New Roman"/>
          <w:color w:val="auto"/>
        </w:rPr>
        <w:t>s</w:t>
      </w:r>
      <w:r w:rsidR="00F2792F">
        <w:rPr>
          <w:rFonts w:cs="Times New Roman"/>
          <w:color w:val="auto"/>
        </w:rPr>
        <w:t>ervice and VA examinations in evidence documented normal neurologic testing of the right upper extremity.</w:t>
      </w:r>
    </w:p>
    <w:p w:rsidR="00D74D00" w:rsidRPr="003C53E8" w:rsidRDefault="00D74D00" w:rsidP="003C53E8">
      <w:pPr>
        <w:tabs>
          <w:tab w:val="left" w:pos="288"/>
          <w:tab w:val="left" w:pos="4752"/>
        </w:tabs>
        <w:jc w:val="left"/>
        <w:rPr>
          <w:rFonts w:cs="Times New Roman"/>
          <w:color w:val="auto"/>
        </w:rPr>
      </w:pPr>
    </w:p>
    <w:p w:rsidR="005B22B0" w:rsidRPr="00241B01" w:rsidRDefault="00F2792F" w:rsidP="005B22B0">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D74D00" w:rsidRPr="009A7578">
        <w:rPr>
          <w:rFonts w:cs="Times New Roman"/>
          <w:color w:val="auto"/>
        </w:rPr>
        <w:t xml:space="preserve">The Board first considered </w:t>
      </w:r>
      <w:r w:rsidR="00377DE5">
        <w:rPr>
          <w:rFonts w:cs="Times New Roman"/>
          <w:color w:val="auto"/>
        </w:rPr>
        <w:t xml:space="preserve">available coding options.  The PEB chose the </w:t>
      </w:r>
      <w:r w:rsidR="0027192E">
        <w:rPr>
          <w:rFonts w:cs="Times New Roman"/>
          <w:color w:val="auto"/>
        </w:rPr>
        <w:t>applicable</w:t>
      </w:r>
      <w:r w:rsidR="00377DE5">
        <w:rPr>
          <w:rFonts w:cs="Times New Roman"/>
          <w:color w:val="auto"/>
        </w:rPr>
        <w:t xml:space="preserve"> analogous code for rating as muscle disability, and the VA applied the </w:t>
      </w:r>
      <w:r w:rsidR="0027192E">
        <w:rPr>
          <w:rFonts w:cs="Times New Roman"/>
          <w:color w:val="auto"/>
        </w:rPr>
        <w:t>joint</w:t>
      </w:r>
      <w:r w:rsidR="00377DE5">
        <w:rPr>
          <w:rFonts w:cs="Times New Roman"/>
          <w:color w:val="auto"/>
        </w:rPr>
        <w:t xml:space="preserve"> code for rating limitation of motion.  The unequivocal VASRD §4.71a rating under the latter approach is 20%, based on all probative ROM evidence.  T</w:t>
      </w:r>
      <w:r w:rsidR="00D74D00" w:rsidRPr="009A7578">
        <w:rPr>
          <w:rFonts w:cs="Times New Roman"/>
          <w:color w:val="auto"/>
        </w:rPr>
        <w:t xml:space="preserve">he PEB’s analogous </w:t>
      </w:r>
      <w:r w:rsidR="00377DE5">
        <w:rPr>
          <w:rFonts w:cs="Times New Roman"/>
          <w:color w:val="auto"/>
        </w:rPr>
        <w:t>coding</w:t>
      </w:r>
      <w:r w:rsidR="00D74D00" w:rsidRPr="009A7578">
        <w:rPr>
          <w:rFonts w:cs="Times New Roman"/>
          <w:color w:val="auto"/>
        </w:rPr>
        <w:t xml:space="preserve"> under </w:t>
      </w:r>
      <w:r w:rsidR="00377DE5">
        <w:rPr>
          <w:rFonts w:cs="Times New Roman"/>
          <w:color w:val="auto"/>
        </w:rPr>
        <w:t xml:space="preserve">the applicable </w:t>
      </w:r>
      <w:r w:rsidR="00D74D00" w:rsidRPr="009A7578">
        <w:rPr>
          <w:rFonts w:cs="Times New Roman"/>
          <w:color w:val="auto"/>
        </w:rPr>
        <w:t>5303</w:t>
      </w:r>
      <w:r w:rsidR="00377DE5">
        <w:rPr>
          <w:rFonts w:cs="Times New Roman"/>
          <w:color w:val="auto"/>
        </w:rPr>
        <w:t xml:space="preserve"> (</w:t>
      </w:r>
      <w:r w:rsidR="00324E36">
        <w:rPr>
          <w:rFonts w:cs="Times New Roman"/>
          <w:color w:val="auto"/>
        </w:rPr>
        <w:t>g</w:t>
      </w:r>
      <w:r w:rsidR="00377DE5">
        <w:rPr>
          <w:rFonts w:cs="Times New Roman"/>
          <w:color w:val="auto"/>
        </w:rPr>
        <w:t>roup III</w:t>
      </w:r>
      <w:r w:rsidR="00DE0B65">
        <w:rPr>
          <w:rFonts w:cs="Times New Roman"/>
          <w:color w:val="auto"/>
        </w:rPr>
        <w:t>, intrinsic muscles of shoulder girdle</w:t>
      </w:r>
      <w:r w:rsidR="00377DE5">
        <w:rPr>
          <w:rFonts w:cs="Times New Roman"/>
          <w:color w:val="auto"/>
        </w:rPr>
        <w:t xml:space="preserve">) yields </w:t>
      </w:r>
      <w:r w:rsidR="00184E0F">
        <w:rPr>
          <w:rFonts w:cs="Times New Roman"/>
          <w:color w:val="auto"/>
        </w:rPr>
        <w:t xml:space="preserve">a 20% (major) rating for </w:t>
      </w:r>
      <w:r w:rsidR="00324E36">
        <w:rPr>
          <w:rFonts w:cs="Times New Roman"/>
          <w:color w:val="auto"/>
        </w:rPr>
        <w:t>“</w:t>
      </w:r>
      <w:r w:rsidR="00184E0F">
        <w:rPr>
          <w:rFonts w:cs="Times New Roman"/>
          <w:color w:val="auto"/>
        </w:rPr>
        <w:t>moderate</w:t>
      </w:r>
      <w:r w:rsidR="00324E36">
        <w:rPr>
          <w:rFonts w:cs="Times New Roman"/>
          <w:color w:val="auto"/>
        </w:rPr>
        <w:t>”</w:t>
      </w:r>
      <w:r w:rsidR="00184E0F">
        <w:rPr>
          <w:rFonts w:cs="Times New Roman"/>
          <w:color w:val="auto"/>
        </w:rPr>
        <w:t xml:space="preserve"> </w:t>
      </w:r>
      <w:r w:rsidR="00A1075A">
        <w:rPr>
          <w:rFonts w:cs="Times New Roman"/>
          <w:color w:val="auto"/>
        </w:rPr>
        <w:t xml:space="preserve">muscle disability, 30%  for </w:t>
      </w:r>
      <w:r w:rsidR="00324E36">
        <w:rPr>
          <w:rFonts w:cs="Times New Roman"/>
          <w:color w:val="auto"/>
        </w:rPr>
        <w:t>“</w:t>
      </w:r>
      <w:r w:rsidR="00184E0F">
        <w:rPr>
          <w:rFonts w:cs="Times New Roman"/>
          <w:color w:val="auto"/>
        </w:rPr>
        <w:t>moderately severe</w:t>
      </w:r>
      <w:r w:rsidR="00A1075A">
        <w:rPr>
          <w:rFonts w:cs="Times New Roman"/>
          <w:color w:val="auto"/>
        </w:rPr>
        <w:t>,</w:t>
      </w:r>
      <w:r w:rsidR="00324E36">
        <w:rPr>
          <w:rFonts w:cs="Times New Roman"/>
          <w:color w:val="auto"/>
        </w:rPr>
        <w:t>”</w:t>
      </w:r>
      <w:r w:rsidR="00A1075A">
        <w:rPr>
          <w:rFonts w:cs="Times New Roman"/>
          <w:color w:val="auto"/>
        </w:rPr>
        <w:t xml:space="preserve"> and 4</w:t>
      </w:r>
      <w:r w:rsidR="00184E0F">
        <w:rPr>
          <w:rFonts w:cs="Times New Roman"/>
          <w:color w:val="auto"/>
        </w:rPr>
        <w:t xml:space="preserve">0% for </w:t>
      </w:r>
      <w:r w:rsidR="00324E36">
        <w:rPr>
          <w:rFonts w:cs="Times New Roman"/>
          <w:color w:val="auto"/>
        </w:rPr>
        <w:t>“</w:t>
      </w:r>
      <w:r w:rsidR="00184E0F">
        <w:rPr>
          <w:rFonts w:cs="Times New Roman"/>
          <w:color w:val="auto"/>
        </w:rPr>
        <w:t>severe</w:t>
      </w:r>
      <w:r w:rsidR="00324E36">
        <w:rPr>
          <w:rFonts w:cs="Times New Roman"/>
          <w:color w:val="auto"/>
        </w:rPr>
        <w:t>.”</w:t>
      </w:r>
      <w:r w:rsidR="00D74D00" w:rsidRPr="009A7578">
        <w:rPr>
          <w:rFonts w:cs="Times New Roman"/>
          <w:color w:val="auto"/>
        </w:rPr>
        <w:t xml:space="preserve"> </w:t>
      </w:r>
      <w:r w:rsidR="00184E0F">
        <w:rPr>
          <w:rFonts w:cs="Times New Roman"/>
          <w:color w:val="auto"/>
        </w:rPr>
        <w:t xml:space="preserve"> </w:t>
      </w:r>
      <w:r w:rsidR="00D74D00" w:rsidRPr="009A7578">
        <w:rPr>
          <w:rFonts w:cs="Times New Roman"/>
          <w:color w:val="auto"/>
        </w:rPr>
        <w:t>VASRD</w:t>
      </w:r>
      <w:r w:rsidR="00184E0F">
        <w:rPr>
          <w:rFonts w:cs="Times New Roman"/>
          <w:color w:val="auto"/>
        </w:rPr>
        <w:t xml:space="preserve"> §4.56</w:t>
      </w:r>
      <w:r w:rsidR="00A1075A">
        <w:rPr>
          <w:rFonts w:cs="Times New Roman"/>
          <w:color w:val="auto"/>
        </w:rPr>
        <w:t xml:space="preserve"> defines the </w:t>
      </w:r>
      <w:r w:rsidR="00D74D00" w:rsidRPr="009A7578">
        <w:rPr>
          <w:rFonts w:cs="Times New Roman"/>
          <w:color w:val="auto"/>
        </w:rPr>
        <w:t xml:space="preserve">cardinal signs and symptoms of muscle disability </w:t>
      </w:r>
      <w:r w:rsidR="00A1075A">
        <w:rPr>
          <w:rFonts w:cs="Times New Roman"/>
          <w:color w:val="auto"/>
        </w:rPr>
        <w:t>as</w:t>
      </w:r>
      <w:r w:rsidR="00D74D00" w:rsidRPr="009A7578">
        <w:rPr>
          <w:rFonts w:cs="Times New Roman"/>
          <w:color w:val="auto"/>
        </w:rPr>
        <w:t xml:space="preserve"> </w:t>
      </w:r>
      <w:r w:rsidR="00A1075A">
        <w:rPr>
          <w:rFonts w:cs="Times New Roman"/>
          <w:color w:val="auto"/>
        </w:rPr>
        <w:t>“</w:t>
      </w:r>
      <w:r w:rsidR="00D74D00" w:rsidRPr="009A7578">
        <w:rPr>
          <w:rFonts w:cs="Times New Roman"/>
          <w:color w:val="auto"/>
        </w:rPr>
        <w:t>loss of power, weakness, lowered threshold of fatigue, fatigue-pain, impairment of coordinat</w:t>
      </w:r>
      <w:r w:rsidR="00A1075A">
        <w:rPr>
          <w:rFonts w:cs="Times New Roman"/>
          <w:color w:val="auto"/>
        </w:rPr>
        <w:t>ion and uncertainty of movement</w:t>
      </w:r>
      <w:r w:rsidR="00324E36">
        <w:rPr>
          <w:rFonts w:cs="Times New Roman"/>
          <w:color w:val="auto"/>
        </w:rPr>
        <w:t>.</w:t>
      </w:r>
      <w:r w:rsidR="00D74D00" w:rsidRPr="009A7578">
        <w:rPr>
          <w:rFonts w:cs="Times New Roman"/>
          <w:color w:val="auto"/>
        </w:rPr>
        <w:t>”</w:t>
      </w:r>
      <w:r w:rsidR="00A1075A">
        <w:rPr>
          <w:rFonts w:cs="Times New Roman"/>
          <w:color w:val="auto"/>
        </w:rPr>
        <w:t xml:space="preserve">  </w:t>
      </w:r>
      <w:r w:rsidR="00D74D00" w:rsidRPr="009A7578">
        <w:rPr>
          <w:rFonts w:cs="Times New Roman"/>
          <w:color w:val="auto"/>
        </w:rPr>
        <w:t xml:space="preserve">A 30% </w:t>
      </w:r>
      <w:r w:rsidR="00A1075A">
        <w:rPr>
          <w:rFonts w:cs="Times New Roman"/>
          <w:color w:val="auto"/>
        </w:rPr>
        <w:t>‘</w:t>
      </w:r>
      <w:r w:rsidR="00D74D00" w:rsidRPr="009A7578">
        <w:rPr>
          <w:rFonts w:cs="Times New Roman"/>
          <w:color w:val="auto"/>
        </w:rPr>
        <w:t>moderately severe</w:t>
      </w:r>
      <w:r w:rsidR="00A1075A">
        <w:rPr>
          <w:rFonts w:cs="Times New Roman"/>
          <w:color w:val="auto"/>
        </w:rPr>
        <w:t>’</w:t>
      </w:r>
      <w:r w:rsidR="00D74D00" w:rsidRPr="009A7578">
        <w:rPr>
          <w:rFonts w:cs="Times New Roman"/>
          <w:color w:val="auto"/>
        </w:rPr>
        <w:t xml:space="preserve"> rating </w:t>
      </w:r>
      <w:r w:rsidR="00A1075A">
        <w:rPr>
          <w:rFonts w:cs="Times New Roman"/>
          <w:color w:val="auto"/>
        </w:rPr>
        <w:t xml:space="preserve">describes a clinical course requiring “hospitalization </w:t>
      </w:r>
      <w:r w:rsidR="00A1075A" w:rsidRPr="00B808D2">
        <w:rPr>
          <w:color w:val="000000"/>
        </w:rPr>
        <w:t>for a prolonged period for treatment</w:t>
      </w:r>
      <w:r w:rsidR="00A1075A">
        <w:rPr>
          <w:color w:val="000000"/>
        </w:rPr>
        <w:t>” and a “r</w:t>
      </w:r>
      <w:r w:rsidR="00A1075A" w:rsidRPr="00B808D2">
        <w:rPr>
          <w:color w:val="000000"/>
        </w:rPr>
        <w:t>ecord of consistent complaint of cardinal signs and symptoms</w:t>
      </w:r>
      <w:r w:rsidR="00324E36">
        <w:rPr>
          <w:color w:val="000000"/>
        </w:rPr>
        <w:t>.</w:t>
      </w:r>
      <w:r w:rsidR="00A1075A">
        <w:rPr>
          <w:color w:val="000000"/>
        </w:rPr>
        <w:t>”</w:t>
      </w:r>
      <w:r w:rsidR="00D74D00" w:rsidRPr="009A7578">
        <w:rPr>
          <w:rFonts w:cs="Times New Roman"/>
          <w:color w:val="auto"/>
        </w:rPr>
        <w:t xml:space="preserve"> </w:t>
      </w:r>
      <w:r w:rsidR="00E70FC2">
        <w:rPr>
          <w:rFonts w:cs="Times New Roman"/>
          <w:color w:val="auto"/>
        </w:rPr>
        <w:t xml:space="preserve"> The 20% </w:t>
      </w:r>
      <w:r w:rsidR="00324E36">
        <w:rPr>
          <w:rFonts w:cs="Times New Roman"/>
          <w:color w:val="auto"/>
        </w:rPr>
        <w:t>“</w:t>
      </w:r>
      <w:r w:rsidR="00E70FC2">
        <w:rPr>
          <w:rFonts w:cs="Times New Roman"/>
          <w:color w:val="auto"/>
        </w:rPr>
        <w:t>moderate</w:t>
      </w:r>
      <w:r w:rsidR="00324E36">
        <w:rPr>
          <w:rFonts w:cs="Times New Roman"/>
          <w:color w:val="auto"/>
        </w:rPr>
        <w:t>”</w:t>
      </w:r>
      <w:r w:rsidR="00E70FC2">
        <w:rPr>
          <w:rFonts w:cs="Times New Roman"/>
          <w:color w:val="auto"/>
        </w:rPr>
        <w:t xml:space="preserve"> rating simply requires “</w:t>
      </w:r>
      <w:r w:rsidR="00E70FC2">
        <w:rPr>
          <w:color w:val="000000"/>
        </w:rPr>
        <w:t xml:space="preserve">evidence of in-service </w:t>
      </w:r>
      <w:r w:rsidR="00E70FC2" w:rsidRPr="005F2CCE">
        <w:rPr>
          <w:color w:val="000000"/>
        </w:rPr>
        <w:t>treatment</w:t>
      </w:r>
      <w:r w:rsidR="00E70FC2">
        <w:rPr>
          <w:rFonts w:cs="Times New Roman"/>
          <w:color w:val="auto"/>
        </w:rPr>
        <w:t>” and “</w:t>
      </w:r>
      <w:r w:rsidR="00E70FC2" w:rsidRPr="005F2CCE">
        <w:rPr>
          <w:color w:val="000000"/>
        </w:rPr>
        <w:t>consistent complaint of one or more of the cardinal signs and symptoms</w:t>
      </w:r>
      <w:r w:rsidR="00324E36">
        <w:rPr>
          <w:color w:val="000000"/>
        </w:rPr>
        <w:t>.</w:t>
      </w:r>
      <w:r w:rsidR="00E70FC2">
        <w:rPr>
          <w:rFonts w:cs="Times New Roman"/>
          <w:color w:val="auto"/>
        </w:rPr>
        <w:t>”  The CI manifested 3 of the 6 cardinal signs (</w:t>
      </w:r>
      <w:r w:rsidR="00E70FC2" w:rsidRPr="009A7578">
        <w:rPr>
          <w:rFonts w:cs="Times New Roman"/>
          <w:color w:val="auto"/>
        </w:rPr>
        <w:t>loss of power</w:t>
      </w:r>
      <w:r w:rsidR="00E70FC2">
        <w:rPr>
          <w:rFonts w:cs="Times New Roman"/>
          <w:color w:val="auto"/>
        </w:rPr>
        <w:t xml:space="preserve">, </w:t>
      </w:r>
      <w:r w:rsidR="00E70FC2" w:rsidRPr="009A7578">
        <w:rPr>
          <w:rFonts w:cs="Times New Roman"/>
          <w:color w:val="auto"/>
        </w:rPr>
        <w:t xml:space="preserve">lowered threshold of fatigue, </w:t>
      </w:r>
      <w:r w:rsidR="00E70FC2">
        <w:rPr>
          <w:rFonts w:cs="Times New Roman"/>
          <w:color w:val="auto"/>
        </w:rPr>
        <w:t xml:space="preserve">and </w:t>
      </w:r>
      <w:r w:rsidR="00E70FC2" w:rsidRPr="009A7578">
        <w:rPr>
          <w:rFonts w:cs="Times New Roman"/>
          <w:color w:val="auto"/>
        </w:rPr>
        <w:t>fatigue-pain</w:t>
      </w:r>
      <w:r w:rsidR="00E70FC2">
        <w:rPr>
          <w:rFonts w:cs="Times New Roman"/>
          <w:color w:val="auto"/>
        </w:rPr>
        <w:t>)</w:t>
      </w:r>
      <w:r w:rsidR="00055134">
        <w:rPr>
          <w:rFonts w:cs="Times New Roman"/>
          <w:color w:val="auto"/>
        </w:rPr>
        <w:t>;</w:t>
      </w:r>
      <w:r w:rsidR="00E70FC2">
        <w:rPr>
          <w:rFonts w:cs="Times New Roman"/>
          <w:color w:val="auto"/>
        </w:rPr>
        <w:t xml:space="preserve"> and</w:t>
      </w:r>
      <w:r w:rsidR="00055134">
        <w:rPr>
          <w:rFonts w:cs="Times New Roman"/>
          <w:color w:val="auto"/>
        </w:rPr>
        <w:t>,</w:t>
      </w:r>
      <w:r w:rsidR="00E70FC2">
        <w:rPr>
          <w:rFonts w:cs="Times New Roman"/>
          <w:color w:val="auto"/>
        </w:rPr>
        <w:t xml:space="preserve"> his clinical course</w:t>
      </w:r>
      <w:r w:rsidR="00055134">
        <w:rPr>
          <w:rFonts w:cs="Times New Roman"/>
          <w:color w:val="auto"/>
        </w:rPr>
        <w:t xml:space="preserve">, although protracted, did not require hospitalizations or surgery.  After due deliberation, members agreed that the evidence was more consistent with the §4.56 criteria for </w:t>
      </w:r>
      <w:r w:rsidR="00324E36">
        <w:rPr>
          <w:rFonts w:cs="Times New Roman"/>
          <w:color w:val="auto"/>
        </w:rPr>
        <w:t>“</w:t>
      </w:r>
      <w:r w:rsidR="00055134">
        <w:rPr>
          <w:rFonts w:cs="Times New Roman"/>
          <w:color w:val="auto"/>
        </w:rPr>
        <w:t>moderate</w:t>
      </w:r>
      <w:r w:rsidR="00324E36">
        <w:rPr>
          <w:rFonts w:cs="Times New Roman"/>
          <w:color w:val="auto"/>
        </w:rPr>
        <w:t>”</w:t>
      </w:r>
      <w:r w:rsidR="00055134">
        <w:rPr>
          <w:rFonts w:cs="Times New Roman"/>
          <w:color w:val="auto"/>
        </w:rPr>
        <w:t xml:space="preserve"> than with those for </w:t>
      </w:r>
      <w:r w:rsidR="00324E36">
        <w:rPr>
          <w:rFonts w:cs="Times New Roman"/>
          <w:color w:val="auto"/>
        </w:rPr>
        <w:t>“</w:t>
      </w:r>
      <w:r w:rsidR="00055134">
        <w:rPr>
          <w:rFonts w:cs="Times New Roman"/>
          <w:color w:val="auto"/>
        </w:rPr>
        <w:t>moderately severe</w:t>
      </w:r>
      <w:r w:rsidR="00324E36">
        <w:rPr>
          <w:rFonts w:cs="Times New Roman"/>
          <w:color w:val="auto"/>
        </w:rPr>
        <w:t>”</w:t>
      </w:r>
      <w:r w:rsidR="00055134">
        <w:rPr>
          <w:rFonts w:cs="Times New Roman"/>
          <w:color w:val="auto"/>
        </w:rPr>
        <w:t xml:space="preserve"> disability.  Neither a rating based on limitation of motion nor any other defensible coding option would yield a rating higher than 20% for the disability in evidence.  </w:t>
      </w:r>
      <w:r w:rsidR="005B22B0"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B22B0">
        <w:rPr>
          <w:rFonts w:eastAsia="Calibri" w:cs="Times New Roman"/>
          <w:color w:val="auto"/>
          <w:szCs w:val="24"/>
        </w:rPr>
        <w:t>right shoulder</w:t>
      </w:r>
      <w:r w:rsidR="005B22B0" w:rsidRPr="00626902">
        <w:rPr>
          <w:rFonts w:eastAsia="Calibri" w:cs="Times New Roman"/>
          <w:color w:val="auto"/>
          <w:szCs w:val="24"/>
        </w:rPr>
        <w:t xml:space="preserve"> condition.</w:t>
      </w:r>
    </w:p>
    <w:p w:rsidR="00D74D00" w:rsidRPr="001F29F9" w:rsidRDefault="00D74D00" w:rsidP="00244791">
      <w:pPr>
        <w:jc w:val="both"/>
        <w:rPr>
          <w:color w:val="000000"/>
          <w:u w:val="single"/>
        </w:rPr>
      </w:pPr>
    </w:p>
    <w:p w:rsidR="00211A1F" w:rsidRDefault="00585B01" w:rsidP="00211A1F">
      <w:pPr>
        <w:jc w:val="both"/>
        <w:rPr>
          <w:rFonts w:eastAsia="Calibri" w:cs="Times New Roman"/>
          <w:color w:val="auto"/>
          <w:szCs w:val="24"/>
        </w:rPr>
      </w:pPr>
      <w:proofErr w:type="gramStart"/>
      <w:r w:rsidRPr="001F29F9">
        <w:rPr>
          <w:rFonts w:eastAsia="HiddenHorzOCR"/>
          <w:color w:val="000000"/>
          <w:u w:val="single"/>
        </w:rPr>
        <w:t xml:space="preserve">Contended </w:t>
      </w:r>
      <w:r w:rsidR="00D74D00" w:rsidRPr="001F29F9">
        <w:rPr>
          <w:rFonts w:eastAsia="HiddenHorzOCR"/>
          <w:color w:val="000000"/>
          <w:u w:val="single"/>
        </w:rPr>
        <w:t>PEB Conditions</w:t>
      </w:r>
      <w:r w:rsidR="00D74D00" w:rsidRPr="001F29F9">
        <w:rPr>
          <w:rFonts w:eastAsia="HiddenHorzOCR"/>
          <w:color w:val="000000"/>
        </w:rPr>
        <w:t>.</w:t>
      </w:r>
      <w:proofErr w:type="gramEnd"/>
      <w:r w:rsidR="00D74D00" w:rsidRPr="001F29F9">
        <w:rPr>
          <w:rFonts w:eastAsia="HiddenHorzOCR"/>
          <w:color w:val="000000"/>
        </w:rPr>
        <w:t xml:space="preserve"> </w:t>
      </w:r>
      <w:r w:rsidR="00D74D00" w:rsidRPr="001F29F9">
        <w:rPr>
          <w:color w:val="000000"/>
        </w:rPr>
        <w:t xml:space="preserve">The </w:t>
      </w:r>
      <w:r w:rsidR="00776492">
        <w:rPr>
          <w:color w:val="000000"/>
        </w:rPr>
        <w:t>PEB</w:t>
      </w:r>
      <w:r w:rsidR="00D74D00" w:rsidRPr="001F29F9">
        <w:rPr>
          <w:color w:val="000000"/>
        </w:rPr>
        <w:t xml:space="preserve"> adjudicated </w:t>
      </w:r>
      <w:r w:rsidR="00776492">
        <w:rPr>
          <w:color w:val="000000"/>
        </w:rPr>
        <w:t>and contended conditions</w:t>
      </w:r>
      <w:r w:rsidR="00D74D00" w:rsidRPr="001F29F9">
        <w:rPr>
          <w:color w:val="000000"/>
        </w:rPr>
        <w:t xml:space="preserve"> were chronic low back pain, chronic neck pain, and anxiety disorder. </w:t>
      </w:r>
      <w:r w:rsidR="00776492">
        <w:rPr>
          <w:color w:val="000000"/>
        </w:rPr>
        <w:t xml:space="preserve"> </w:t>
      </w:r>
      <w:r w:rsidR="002B3CE0" w:rsidRPr="002B3CE0">
        <w:rPr>
          <w:rFonts w:eastAsia="Calibri" w:cs="Times New Roman"/>
          <w:color w:val="auto"/>
          <w:szCs w:val="24"/>
        </w:rPr>
        <w:t xml:space="preserve">The Board’s </w:t>
      </w:r>
      <w:r w:rsidR="002B3CE0">
        <w:rPr>
          <w:rFonts w:eastAsia="Calibri" w:cs="Times New Roman"/>
          <w:color w:val="auto"/>
          <w:szCs w:val="24"/>
        </w:rPr>
        <w:t>first charge with</w:t>
      </w:r>
      <w:r w:rsidR="002B3CE0" w:rsidRPr="002B3CE0">
        <w:rPr>
          <w:rFonts w:eastAsia="Calibri" w:cs="Times New Roman"/>
          <w:color w:val="auto"/>
          <w:szCs w:val="24"/>
        </w:rPr>
        <w:t xml:space="preserve"> respect to </w:t>
      </w:r>
      <w:r w:rsidR="002B3CE0">
        <w:rPr>
          <w:rFonts w:eastAsia="Calibri" w:cs="Times New Roman"/>
          <w:color w:val="auto"/>
          <w:szCs w:val="24"/>
        </w:rPr>
        <w:t>these</w:t>
      </w:r>
      <w:r w:rsidR="002B3CE0" w:rsidRPr="002B3CE0">
        <w:rPr>
          <w:rFonts w:eastAsia="Calibri" w:cs="Times New Roman"/>
          <w:color w:val="auto"/>
          <w:szCs w:val="24"/>
        </w:rPr>
        <w:t xml:space="preserve"> condition</w:t>
      </w:r>
      <w:r w:rsidR="002B3CE0">
        <w:rPr>
          <w:rFonts w:eastAsia="Calibri" w:cs="Times New Roman"/>
          <w:color w:val="auto"/>
          <w:szCs w:val="24"/>
        </w:rPr>
        <w:t>s</w:t>
      </w:r>
      <w:r w:rsidR="002B3CE0" w:rsidRPr="002B3CE0">
        <w:rPr>
          <w:rFonts w:eastAsia="Calibri" w:cs="Times New Roman"/>
          <w:color w:val="auto"/>
          <w:szCs w:val="24"/>
        </w:rPr>
        <w:t xml:space="preserve"> is an assessment of the appropriateness of the PEB’s fitness adjudication</w:t>
      </w:r>
      <w:r w:rsidR="002B3CE0">
        <w:rPr>
          <w:rFonts w:eastAsia="Calibri" w:cs="Times New Roman"/>
          <w:color w:val="auto"/>
          <w:szCs w:val="24"/>
        </w:rPr>
        <w:t>s</w:t>
      </w:r>
      <w:r w:rsidR="002B3CE0" w:rsidRPr="002B3CE0">
        <w:rPr>
          <w:rFonts w:eastAsia="Calibri" w:cs="Times New Roman"/>
          <w:color w:val="auto"/>
          <w:szCs w:val="24"/>
        </w:rPr>
        <w:t xml:space="preserve">.  The Board’s threshold for countering </w:t>
      </w:r>
      <w:r w:rsidR="00324E36">
        <w:rPr>
          <w:rFonts w:eastAsia="Calibri" w:cs="Times New Roman"/>
          <w:color w:val="auto"/>
          <w:szCs w:val="24"/>
        </w:rPr>
        <w:t>s</w:t>
      </w:r>
      <w:r w:rsidR="002B3CE0">
        <w:rPr>
          <w:rFonts w:eastAsia="Calibri" w:cs="Times New Roman"/>
          <w:color w:val="auto"/>
          <w:szCs w:val="24"/>
        </w:rPr>
        <w:t>ervice</w:t>
      </w:r>
      <w:r w:rsidR="002B3CE0" w:rsidRPr="002B3CE0">
        <w:rPr>
          <w:rFonts w:eastAsia="Calibri" w:cs="Times New Roman"/>
          <w:color w:val="auto"/>
          <w:szCs w:val="24"/>
        </w:rPr>
        <w:t xml:space="preserve"> fitness determinations is higher than the VASRD §4.3 (reasonable doubt) standard used for its rating recommendations, but remains adherent to the DoDI 6040.44 “fair and equitable” standard.  </w:t>
      </w:r>
      <w:r w:rsidR="00776492">
        <w:rPr>
          <w:color w:val="000000"/>
        </w:rPr>
        <w:t>All of these conditions were evaluated during the MEB period and all were judged to meet retention standards.  Both of the spine conditions were evaluated by MRI</w:t>
      </w:r>
      <w:r w:rsidR="00793A86">
        <w:rPr>
          <w:color w:val="000000"/>
        </w:rPr>
        <w:t>,</w:t>
      </w:r>
      <w:r w:rsidR="00776492">
        <w:rPr>
          <w:color w:val="000000"/>
        </w:rPr>
        <w:t xml:space="preserve"> and associated disc disease was discovered at C5/6</w:t>
      </w:r>
      <w:r w:rsidR="00793A86">
        <w:rPr>
          <w:color w:val="000000"/>
        </w:rPr>
        <w:t>,</w:t>
      </w:r>
      <w:r w:rsidR="00776492">
        <w:rPr>
          <w:color w:val="000000"/>
        </w:rPr>
        <w:t xml:space="preserve"> L4/5</w:t>
      </w:r>
      <w:r w:rsidR="00793A86">
        <w:rPr>
          <w:color w:val="000000"/>
        </w:rPr>
        <w:t>,</w:t>
      </w:r>
      <w:r w:rsidR="00776492">
        <w:rPr>
          <w:color w:val="000000"/>
        </w:rPr>
        <w:t xml:space="preserve"> and L5/S1.  None of these were associated with neural compromise or surgical </w:t>
      </w:r>
      <w:r w:rsidR="00793A86">
        <w:rPr>
          <w:color w:val="000000"/>
        </w:rPr>
        <w:t>indications</w:t>
      </w:r>
      <w:r w:rsidR="00776492">
        <w:rPr>
          <w:color w:val="000000"/>
        </w:rPr>
        <w:t xml:space="preserve">.  Neither </w:t>
      </w:r>
      <w:r w:rsidR="00E13404">
        <w:rPr>
          <w:color w:val="000000"/>
        </w:rPr>
        <w:t>the lumbar nor cervical spine conditions were</w:t>
      </w:r>
      <w:r w:rsidR="00776492">
        <w:rPr>
          <w:color w:val="000000"/>
        </w:rPr>
        <w:t xml:space="preserve"> profiled, although there was significant interplay between the cervical condition</w:t>
      </w:r>
      <w:r w:rsidR="00E13404">
        <w:rPr>
          <w:color w:val="000000"/>
        </w:rPr>
        <w:t xml:space="preserve"> and the profiled right shoulder condition.  </w:t>
      </w:r>
      <w:r w:rsidR="00324E36">
        <w:rPr>
          <w:color w:val="000000"/>
        </w:rPr>
        <w:t>The s</w:t>
      </w:r>
      <w:r w:rsidR="00B13AFB">
        <w:rPr>
          <w:color w:val="000000"/>
        </w:rPr>
        <w:t xml:space="preserve">ervice </w:t>
      </w:r>
      <w:r w:rsidR="00B13AFB">
        <w:rPr>
          <w:color w:val="000000"/>
        </w:rPr>
        <w:lastRenderedPageBreak/>
        <w:t xml:space="preserve">and VA ROM evaluations for the cervical spine were normal.  The pain associated with the cervical condition was coexistent with that of the shoulder condition and therefore subsumed in that rating.  Thus a compensable rating would be difficult to justify even if it could be conceded that that the cervical condition was separately unfitting.  </w:t>
      </w:r>
      <w:r w:rsidR="00211A1F">
        <w:rPr>
          <w:color w:val="000000"/>
        </w:rPr>
        <w:t>The anxiety disorder was addressed by a psychiatric addendum to the narrative summary.  This documented treatment for anxiety “related to his getting out of the Army” since July 2005, with improvement on medication.  The psychiatrist stated that the CI did not “miss duty or require duty limitations as a result of his difficulties” and that “no psychiatric profile is warranted</w:t>
      </w:r>
      <w:r w:rsidR="00324E36">
        <w:rPr>
          <w:color w:val="000000"/>
        </w:rPr>
        <w:t>.</w:t>
      </w:r>
      <w:r w:rsidR="00211A1F">
        <w:rPr>
          <w:color w:val="000000"/>
        </w:rPr>
        <w:t xml:space="preserve">”  None of the above conditions were implicated in the commander’s statement.  </w:t>
      </w:r>
      <w:r w:rsidR="00211A1F" w:rsidRPr="001F29F9">
        <w:rPr>
          <w:color w:val="000000"/>
        </w:rPr>
        <w:t xml:space="preserve">All were reviewed by the </w:t>
      </w:r>
      <w:r w:rsidR="00324E36">
        <w:rPr>
          <w:color w:val="000000"/>
        </w:rPr>
        <w:t>a</w:t>
      </w:r>
      <w:r w:rsidR="00211A1F" w:rsidRPr="001F29F9">
        <w:rPr>
          <w:color w:val="000000"/>
        </w:rPr>
        <w:t xml:space="preserve">ction </w:t>
      </w:r>
      <w:r w:rsidR="00324E36">
        <w:rPr>
          <w:color w:val="000000"/>
        </w:rPr>
        <w:t>o</w:t>
      </w:r>
      <w:r w:rsidR="00211A1F" w:rsidRPr="001F29F9">
        <w:rPr>
          <w:color w:val="000000"/>
        </w:rPr>
        <w:t>fficer and considered by the Board.</w:t>
      </w:r>
      <w:r w:rsidR="00211A1F">
        <w:rPr>
          <w:color w:val="000000"/>
        </w:rPr>
        <w:t xml:space="preserve"> </w:t>
      </w:r>
      <w:r w:rsidR="00211A1F" w:rsidRPr="001F29F9">
        <w:rPr>
          <w:color w:val="000000"/>
        </w:rPr>
        <w:t xml:space="preserve"> There was no indication from the record that any </w:t>
      </w:r>
      <w:r w:rsidR="00211A1F">
        <w:rPr>
          <w:color w:val="000000"/>
        </w:rPr>
        <w:t>of them</w:t>
      </w:r>
      <w:r w:rsidR="00211A1F" w:rsidRPr="001F29F9">
        <w:rPr>
          <w:color w:val="000000"/>
        </w:rPr>
        <w:t xml:space="preserve"> significantly interfered with satisfactory duty performance.  </w:t>
      </w:r>
      <w:r w:rsidR="00211A1F">
        <w:rPr>
          <w:rFonts w:eastAsia="Calibri" w:cs="Times New Roman"/>
          <w:color w:val="auto"/>
          <w:szCs w:val="24"/>
        </w:rPr>
        <w:t>After due deliberation</w:t>
      </w:r>
      <w:r w:rsidR="00211A1F" w:rsidRPr="00241B01">
        <w:rPr>
          <w:rFonts w:eastAsia="Calibri" w:cs="Times New Roman"/>
          <w:color w:val="auto"/>
          <w:szCs w:val="24"/>
        </w:rPr>
        <w:t xml:space="preserve"> </w:t>
      </w:r>
      <w:r w:rsidR="00211A1F">
        <w:rPr>
          <w:rFonts w:eastAsia="Calibri" w:cs="Times New Roman"/>
          <w:color w:val="auto"/>
          <w:szCs w:val="24"/>
        </w:rPr>
        <w:t>in consideration of the preponderance</w:t>
      </w:r>
      <w:r w:rsidR="00211A1F" w:rsidRPr="00241B01">
        <w:rPr>
          <w:rFonts w:eastAsia="Calibri" w:cs="Times New Roman"/>
          <w:color w:val="auto"/>
          <w:szCs w:val="24"/>
        </w:rPr>
        <w:t xml:space="preserve"> of the evidence, the Board concluded that there was insufficient cause to recommend a change in the PEB </w:t>
      </w:r>
      <w:r w:rsidR="00211A1F">
        <w:rPr>
          <w:rFonts w:eastAsia="Calibri" w:cs="Times New Roman"/>
          <w:color w:val="auto"/>
          <w:szCs w:val="24"/>
        </w:rPr>
        <w:t>fitness determination</w:t>
      </w:r>
      <w:r w:rsidR="00211A1F" w:rsidRPr="00241B01">
        <w:rPr>
          <w:rFonts w:eastAsia="Calibri" w:cs="Times New Roman"/>
          <w:color w:val="auto"/>
          <w:szCs w:val="24"/>
        </w:rPr>
        <w:t xml:space="preserve"> for the </w:t>
      </w:r>
      <w:r w:rsidR="00211A1F">
        <w:rPr>
          <w:rFonts w:eastAsia="Calibri" w:cs="Times New Roman"/>
          <w:color w:val="auto"/>
          <w:szCs w:val="24"/>
        </w:rPr>
        <w:t xml:space="preserve">any of </w:t>
      </w:r>
      <w:r w:rsidR="00392542">
        <w:rPr>
          <w:rFonts w:eastAsia="Calibri" w:cs="Times New Roman"/>
          <w:color w:val="auto"/>
          <w:szCs w:val="24"/>
        </w:rPr>
        <w:t>the contended</w:t>
      </w:r>
      <w:r w:rsidR="00211A1F" w:rsidRPr="00241B01">
        <w:rPr>
          <w:rFonts w:eastAsia="Calibri" w:cs="Times New Roman"/>
          <w:color w:val="auto"/>
          <w:szCs w:val="24"/>
        </w:rPr>
        <w:t xml:space="preserve"> condition</w:t>
      </w:r>
      <w:r w:rsidR="00392542">
        <w:rPr>
          <w:rFonts w:eastAsia="Calibri" w:cs="Times New Roman"/>
          <w:color w:val="auto"/>
          <w:szCs w:val="24"/>
        </w:rPr>
        <w:t xml:space="preserve">s; and, therefore, no additional </w:t>
      </w:r>
      <w:r w:rsidR="00324E36">
        <w:rPr>
          <w:rFonts w:eastAsia="Calibri" w:cs="Times New Roman"/>
          <w:color w:val="auto"/>
          <w:szCs w:val="24"/>
        </w:rPr>
        <w:t>s</w:t>
      </w:r>
      <w:r w:rsidR="00392542">
        <w:rPr>
          <w:rFonts w:eastAsia="Calibri" w:cs="Times New Roman"/>
          <w:color w:val="auto"/>
          <w:szCs w:val="24"/>
        </w:rPr>
        <w:t>ervice disability ratings can be recommended</w:t>
      </w:r>
      <w:r w:rsidR="00211A1F" w:rsidRPr="00241B01">
        <w:rPr>
          <w:rFonts w:eastAsia="Calibri" w:cs="Times New Roman"/>
          <w:color w:val="auto"/>
          <w:szCs w:val="24"/>
        </w:rPr>
        <w:t>.</w:t>
      </w:r>
    </w:p>
    <w:p w:rsidR="00D74D00" w:rsidRPr="001F29F9" w:rsidRDefault="00D74D00" w:rsidP="00BF0E94">
      <w:pPr>
        <w:pBdr>
          <w:bottom w:val="single" w:sz="12" w:space="1" w:color="auto"/>
        </w:pBdr>
        <w:tabs>
          <w:tab w:val="left" w:pos="288"/>
          <w:tab w:val="left" w:pos="4752"/>
        </w:tabs>
        <w:jc w:val="both"/>
        <w:rPr>
          <w:color w:val="000000"/>
        </w:rPr>
      </w:pPr>
    </w:p>
    <w:p w:rsidR="00D74D00" w:rsidRPr="001F29F9" w:rsidRDefault="00D74D00" w:rsidP="006364ED">
      <w:pPr>
        <w:jc w:val="left"/>
        <w:rPr>
          <w:color w:val="000000"/>
        </w:rPr>
      </w:pPr>
    </w:p>
    <w:p w:rsidR="00D74D00" w:rsidRPr="0010583B" w:rsidRDefault="00D74D00" w:rsidP="00244791">
      <w:pPr>
        <w:jc w:val="both"/>
        <w:rPr>
          <w:rFonts w:eastAsia="Calibri" w:cs="Times New Roman"/>
          <w:color w:val="auto"/>
          <w:szCs w:val="24"/>
        </w:rPr>
      </w:pPr>
      <w:r w:rsidRPr="001F29F9">
        <w:rPr>
          <w:color w:val="000000"/>
          <w:u w:val="single"/>
        </w:rPr>
        <w:t>BOARD FINDINGS</w:t>
      </w:r>
      <w:r w:rsidRPr="001F29F9">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3C53E8">
        <w:rPr>
          <w:rFonts w:cs="Times New Roman"/>
          <w:color w:val="auto"/>
        </w:rPr>
        <w:t xml:space="preserve">. The Board did not surmise </w:t>
      </w:r>
      <w:r w:rsidRPr="00A03FC6">
        <w:rPr>
          <w:rFonts w:cs="Times New Roman"/>
          <w:color w:val="auto"/>
        </w:rPr>
        <w:t>from the record or PEB ruling in this case that any prerogatives outside the VASRD were exercised. In the matter of the right shoulder</w:t>
      </w:r>
      <w:r w:rsidR="00B808D2" w:rsidRPr="00A03FC6">
        <w:rPr>
          <w:rFonts w:cs="Times New Roman"/>
          <w:color w:val="auto"/>
        </w:rPr>
        <w:t xml:space="preserve"> condition and IAW VASRD §4.73</w:t>
      </w:r>
      <w:r w:rsidRPr="00A03FC6">
        <w:rPr>
          <w:rFonts w:cs="Times New Roman"/>
          <w:color w:val="auto"/>
        </w:rPr>
        <w:t xml:space="preserve">, the Board </w:t>
      </w:r>
      <w:r w:rsidR="00B808D2" w:rsidRPr="00A03FC6">
        <w:rPr>
          <w:rFonts w:cs="Times New Roman"/>
          <w:color w:val="auto"/>
        </w:rPr>
        <w:t>unanimously</w:t>
      </w:r>
      <w:r w:rsidRPr="00A03FC6">
        <w:rPr>
          <w:rFonts w:cs="Times New Roman"/>
          <w:color w:val="auto"/>
        </w:rPr>
        <w:t xml:space="preserve"> recommends no change in the PEB adjudication. </w:t>
      </w:r>
      <w:r w:rsidR="0010583B" w:rsidRPr="00A03FC6">
        <w:rPr>
          <w:rFonts w:cs="Times New Roman"/>
          <w:color w:val="auto"/>
        </w:rPr>
        <w:t xml:space="preserve"> </w:t>
      </w:r>
      <w:r w:rsidRPr="00A03FC6">
        <w:rPr>
          <w:rFonts w:cs="Times New Roman"/>
          <w:color w:val="auto"/>
        </w:rPr>
        <w:t xml:space="preserve">In the matter of the </w:t>
      </w:r>
      <w:r w:rsidR="0010583B" w:rsidRPr="00A03FC6">
        <w:rPr>
          <w:rFonts w:cs="Times New Roman"/>
          <w:color w:val="auto"/>
        </w:rPr>
        <w:t xml:space="preserve">contended </w:t>
      </w:r>
      <w:r w:rsidR="0010583B" w:rsidRPr="00A03FC6">
        <w:rPr>
          <w:color w:val="000000"/>
        </w:rPr>
        <w:t>lumbar spine</w:t>
      </w:r>
      <w:r w:rsidRPr="00A03FC6">
        <w:rPr>
          <w:color w:val="000000"/>
        </w:rPr>
        <w:t xml:space="preserve">, </w:t>
      </w:r>
      <w:r w:rsidR="0010583B" w:rsidRPr="00A03FC6">
        <w:rPr>
          <w:color w:val="000000"/>
        </w:rPr>
        <w:t>cervical spine</w:t>
      </w:r>
      <w:r w:rsidRPr="00A03FC6">
        <w:rPr>
          <w:color w:val="000000"/>
        </w:rPr>
        <w:t xml:space="preserve">, and anxiety </w:t>
      </w:r>
      <w:r w:rsidR="0010583B" w:rsidRPr="00A03FC6">
        <w:rPr>
          <w:rFonts w:cs="Times New Roman"/>
          <w:color w:val="auto"/>
        </w:rPr>
        <w:t>conditions;</w:t>
      </w:r>
      <w:r w:rsidRPr="00A03FC6">
        <w:rPr>
          <w:rFonts w:cs="Times New Roman"/>
          <w:color w:val="auto"/>
        </w:rPr>
        <w:t xml:space="preserve"> the Board unanimously recommends no change</w:t>
      </w:r>
      <w:r w:rsidRPr="00244791">
        <w:rPr>
          <w:rFonts w:cs="Times New Roman"/>
          <w:color w:val="auto"/>
        </w:rPr>
        <w:t xml:space="preserve"> from the PEB adjudications as not unfitting. </w:t>
      </w:r>
      <w:r w:rsidR="0010583B">
        <w:rPr>
          <w:rFonts w:cs="Times New Roman"/>
          <w:color w:val="auto"/>
        </w:rPr>
        <w:t xml:space="preserve"> </w:t>
      </w:r>
      <w:r w:rsidR="0010583B" w:rsidRPr="003471C5">
        <w:rPr>
          <w:rFonts w:eastAsia="Calibri" w:cs="Times New Roman"/>
          <w:color w:val="auto"/>
          <w:szCs w:val="24"/>
        </w:rPr>
        <w:t>There were no other conditions within the Board’s scope of review for consideration.</w:t>
      </w:r>
    </w:p>
    <w:p w:rsidR="00D74D00" w:rsidRPr="001F29F9" w:rsidRDefault="00D74D00" w:rsidP="00BF0E94">
      <w:pPr>
        <w:pBdr>
          <w:bottom w:val="single" w:sz="12" w:space="1" w:color="auto"/>
        </w:pBdr>
        <w:tabs>
          <w:tab w:val="left" w:pos="288"/>
          <w:tab w:val="left" w:pos="4752"/>
        </w:tabs>
        <w:jc w:val="both"/>
        <w:rPr>
          <w:color w:val="000000"/>
        </w:rPr>
      </w:pPr>
    </w:p>
    <w:p w:rsidR="00D74D00" w:rsidRPr="001F29F9" w:rsidRDefault="00D74D00" w:rsidP="006364ED">
      <w:pPr>
        <w:jc w:val="left"/>
        <w:rPr>
          <w:color w:val="000000"/>
        </w:rPr>
      </w:pPr>
    </w:p>
    <w:p w:rsidR="00D74D00" w:rsidRPr="001F29F9" w:rsidRDefault="00D74D00" w:rsidP="00BF0E94">
      <w:pPr>
        <w:jc w:val="both"/>
        <w:rPr>
          <w:color w:val="000000"/>
        </w:rPr>
      </w:pPr>
      <w:r w:rsidRPr="001F29F9">
        <w:rPr>
          <w:color w:val="000000"/>
          <w:u w:val="single"/>
        </w:rPr>
        <w:t>RECOMMENDATION</w:t>
      </w:r>
      <w:r w:rsidRPr="001F29F9">
        <w:rPr>
          <w:color w:val="000000"/>
        </w:rPr>
        <w:t>:</w:t>
      </w:r>
      <w:r w:rsidRPr="00F71436">
        <w:rPr>
          <w:color w:val="000000"/>
          <w:sz w:val="22"/>
        </w:rPr>
        <w:t xml:space="preserve"> </w:t>
      </w:r>
      <w:r w:rsidRPr="001F29F9">
        <w:rPr>
          <w:color w:val="000000"/>
        </w:rPr>
        <w:t xml:space="preserve">The Board, therefore, 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w:t>
      </w:r>
    </w:p>
    <w:p w:rsidR="00D74D00" w:rsidRPr="001F29F9" w:rsidRDefault="00D74D00"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98"/>
        <w:gridCol w:w="1710"/>
        <w:gridCol w:w="1080"/>
      </w:tblGrid>
      <w:tr w:rsidR="00D74D00" w:rsidRPr="000D5DBE" w:rsidTr="0010583B">
        <w:trPr>
          <w:trHeight w:val="233"/>
          <w:jc w:val="center"/>
        </w:trPr>
        <w:tc>
          <w:tcPr>
            <w:tcW w:w="6498" w:type="dxa"/>
            <w:shd w:val="clear" w:color="auto" w:fill="D9D9D9"/>
            <w:vAlign w:val="center"/>
          </w:tcPr>
          <w:p w:rsidR="00D74D00" w:rsidRPr="00244791" w:rsidRDefault="00D74D00" w:rsidP="00BF0E94">
            <w:pPr>
              <w:tabs>
                <w:tab w:val="left" w:pos="288"/>
                <w:tab w:val="left" w:pos="4752"/>
              </w:tabs>
              <w:rPr>
                <w:b/>
                <w:color w:val="000000"/>
              </w:rPr>
            </w:pPr>
            <w:r w:rsidRPr="00244791">
              <w:rPr>
                <w:b/>
                <w:color w:val="000000"/>
              </w:rPr>
              <w:t>UNFITTING CONDITION</w:t>
            </w:r>
          </w:p>
        </w:tc>
        <w:tc>
          <w:tcPr>
            <w:tcW w:w="1710" w:type="dxa"/>
            <w:shd w:val="clear" w:color="auto" w:fill="D9D9D9"/>
            <w:vAlign w:val="center"/>
          </w:tcPr>
          <w:p w:rsidR="00D74D00" w:rsidRPr="000D5DBE" w:rsidRDefault="00D74D00" w:rsidP="00BF0E94">
            <w:pPr>
              <w:tabs>
                <w:tab w:val="left" w:pos="288"/>
                <w:tab w:val="left" w:pos="4752"/>
              </w:tabs>
              <w:rPr>
                <w:b/>
                <w:color w:val="000000"/>
              </w:rPr>
            </w:pPr>
            <w:r w:rsidRPr="000D5DBE">
              <w:rPr>
                <w:b/>
                <w:color w:val="000000"/>
              </w:rPr>
              <w:t>VASRD CODE</w:t>
            </w:r>
          </w:p>
        </w:tc>
        <w:tc>
          <w:tcPr>
            <w:tcW w:w="1080" w:type="dxa"/>
            <w:shd w:val="clear" w:color="auto" w:fill="D9D9D9"/>
            <w:vAlign w:val="center"/>
          </w:tcPr>
          <w:p w:rsidR="00D74D00" w:rsidRPr="000D5DBE" w:rsidRDefault="00D74D00" w:rsidP="00BF0E94">
            <w:pPr>
              <w:tabs>
                <w:tab w:val="left" w:pos="288"/>
                <w:tab w:val="left" w:pos="4752"/>
              </w:tabs>
              <w:rPr>
                <w:b/>
                <w:color w:val="000000"/>
              </w:rPr>
            </w:pPr>
            <w:r w:rsidRPr="000D5DBE">
              <w:rPr>
                <w:b/>
                <w:color w:val="000000"/>
              </w:rPr>
              <w:t>RATING</w:t>
            </w:r>
          </w:p>
        </w:tc>
      </w:tr>
      <w:tr w:rsidR="00D74D00" w:rsidRPr="000D5DBE" w:rsidTr="0010583B">
        <w:trPr>
          <w:jc w:val="center"/>
        </w:trPr>
        <w:tc>
          <w:tcPr>
            <w:tcW w:w="6498" w:type="dxa"/>
            <w:vAlign w:val="center"/>
          </w:tcPr>
          <w:p w:rsidR="00D74D00" w:rsidRPr="00244791" w:rsidRDefault="00D74D00" w:rsidP="00BF0E94">
            <w:pPr>
              <w:tabs>
                <w:tab w:val="left" w:pos="288"/>
                <w:tab w:val="left" w:pos="4752"/>
              </w:tabs>
              <w:jc w:val="left"/>
              <w:rPr>
                <w:color w:val="000000"/>
              </w:rPr>
            </w:pPr>
            <w:r w:rsidRPr="00244791">
              <w:rPr>
                <w:color w:val="000000"/>
              </w:rPr>
              <w:t>Right Scapular Displacement and Right Shoulder Deformity</w:t>
            </w:r>
          </w:p>
        </w:tc>
        <w:tc>
          <w:tcPr>
            <w:tcW w:w="1710" w:type="dxa"/>
            <w:vAlign w:val="center"/>
          </w:tcPr>
          <w:p w:rsidR="00D74D00" w:rsidRPr="000D5DBE" w:rsidRDefault="00D74D00" w:rsidP="00BF0E94">
            <w:pPr>
              <w:tabs>
                <w:tab w:val="left" w:pos="288"/>
                <w:tab w:val="left" w:pos="4752"/>
              </w:tabs>
              <w:rPr>
                <w:color w:val="000000"/>
              </w:rPr>
            </w:pPr>
            <w:r w:rsidRPr="000D5DBE">
              <w:rPr>
                <w:color w:val="000000"/>
              </w:rPr>
              <w:t>5399-5303</w:t>
            </w:r>
          </w:p>
        </w:tc>
        <w:tc>
          <w:tcPr>
            <w:tcW w:w="1080" w:type="dxa"/>
            <w:vAlign w:val="center"/>
          </w:tcPr>
          <w:p w:rsidR="00D74D00" w:rsidRPr="000D5DBE" w:rsidRDefault="00D74D00" w:rsidP="00BF0E94">
            <w:pPr>
              <w:tabs>
                <w:tab w:val="left" w:pos="288"/>
                <w:tab w:val="left" w:pos="4752"/>
              </w:tabs>
              <w:rPr>
                <w:color w:val="000000"/>
              </w:rPr>
            </w:pPr>
            <w:r w:rsidRPr="000D5DBE">
              <w:rPr>
                <w:color w:val="000000"/>
              </w:rPr>
              <w:t>20%</w:t>
            </w:r>
          </w:p>
        </w:tc>
      </w:tr>
      <w:tr w:rsidR="00D74D00" w:rsidRPr="000D5DBE" w:rsidTr="0010583B">
        <w:tblPrEx>
          <w:tblLook w:val="0000"/>
        </w:tblPrEx>
        <w:trPr>
          <w:gridBefore w:val="1"/>
          <w:wBefore w:w="6498" w:type="dxa"/>
          <w:trHeight w:val="152"/>
          <w:jc w:val="center"/>
        </w:trPr>
        <w:tc>
          <w:tcPr>
            <w:tcW w:w="1710" w:type="dxa"/>
            <w:tcBorders>
              <w:left w:val="single" w:sz="4" w:space="0" w:color="auto"/>
            </w:tcBorders>
            <w:shd w:val="clear" w:color="auto" w:fill="D9D9D9"/>
            <w:vAlign w:val="center"/>
          </w:tcPr>
          <w:p w:rsidR="00D74D00" w:rsidRPr="000D5DBE" w:rsidRDefault="00D74D00" w:rsidP="00BF0E94">
            <w:pPr>
              <w:tabs>
                <w:tab w:val="left" w:pos="288"/>
                <w:tab w:val="left" w:pos="4752"/>
              </w:tabs>
              <w:rPr>
                <w:b/>
                <w:color w:val="000000"/>
              </w:rPr>
            </w:pPr>
            <w:r w:rsidRPr="000D5DBE">
              <w:rPr>
                <w:b/>
                <w:color w:val="000000"/>
              </w:rPr>
              <w:t>COMBINED</w:t>
            </w:r>
          </w:p>
        </w:tc>
        <w:tc>
          <w:tcPr>
            <w:tcW w:w="1080" w:type="dxa"/>
            <w:shd w:val="clear" w:color="auto" w:fill="D9D9D9"/>
            <w:vAlign w:val="center"/>
          </w:tcPr>
          <w:p w:rsidR="00D74D00" w:rsidRPr="000D5DBE" w:rsidRDefault="00D74D00" w:rsidP="00BF0E94">
            <w:pPr>
              <w:tabs>
                <w:tab w:val="left" w:pos="288"/>
                <w:tab w:val="left" w:pos="4752"/>
              </w:tabs>
              <w:rPr>
                <w:b/>
                <w:color w:val="000000"/>
              </w:rPr>
            </w:pPr>
            <w:r w:rsidRPr="000D5DBE" w:rsidDel="005F2CCE">
              <w:rPr>
                <w:b/>
                <w:color w:val="000000"/>
              </w:rPr>
              <w:t>2</w:t>
            </w:r>
            <w:r w:rsidRPr="000D5DBE">
              <w:rPr>
                <w:b/>
                <w:color w:val="000000"/>
              </w:rPr>
              <w:t>0%</w:t>
            </w:r>
          </w:p>
        </w:tc>
      </w:tr>
    </w:tbl>
    <w:p w:rsidR="00D74D00" w:rsidRPr="001F29F9" w:rsidRDefault="00D74D00" w:rsidP="00BF0E94">
      <w:pPr>
        <w:pBdr>
          <w:bottom w:val="single" w:sz="12" w:space="1" w:color="auto"/>
        </w:pBdr>
        <w:tabs>
          <w:tab w:val="left" w:pos="288"/>
          <w:tab w:val="left" w:pos="4752"/>
        </w:tabs>
        <w:jc w:val="both"/>
        <w:rPr>
          <w:color w:val="000000"/>
        </w:rPr>
      </w:pPr>
    </w:p>
    <w:p w:rsidR="00D74D00" w:rsidRPr="001F29F9" w:rsidRDefault="00D74D00" w:rsidP="00BF0E94">
      <w:pPr>
        <w:rPr>
          <w:color w:val="000000"/>
        </w:rPr>
      </w:pPr>
    </w:p>
    <w:p w:rsidR="00D74D00" w:rsidRPr="001F29F9" w:rsidRDefault="00D74D00" w:rsidP="00BF0E94">
      <w:pPr>
        <w:tabs>
          <w:tab w:val="left" w:pos="288"/>
          <w:tab w:val="left" w:pos="4752"/>
        </w:tabs>
        <w:jc w:val="both"/>
        <w:rPr>
          <w:color w:val="000000"/>
        </w:rPr>
      </w:pPr>
      <w:r w:rsidRPr="001F29F9">
        <w:rPr>
          <w:color w:val="000000"/>
        </w:rPr>
        <w:t>The following documentary evidence was considered:</w:t>
      </w:r>
    </w:p>
    <w:p w:rsidR="00D74D00" w:rsidRPr="001F29F9" w:rsidRDefault="00D74D00" w:rsidP="00BF0E94">
      <w:pPr>
        <w:tabs>
          <w:tab w:val="left" w:pos="288"/>
          <w:tab w:val="left" w:pos="4752"/>
        </w:tabs>
        <w:jc w:val="both"/>
        <w:rPr>
          <w:color w:val="000000"/>
        </w:rPr>
      </w:pPr>
    </w:p>
    <w:p w:rsidR="00D74D00" w:rsidRPr="001F29F9" w:rsidRDefault="00D74D00" w:rsidP="00B3575C">
      <w:pPr>
        <w:tabs>
          <w:tab w:val="left" w:pos="288"/>
          <w:tab w:val="left" w:pos="4752"/>
        </w:tabs>
        <w:spacing w:line="440" w:lineRule="exact"/>
        <w:jc w:val="both"/>
        <w:rPr>
          <w:color w:val="000000"/>
        </w:rPr>
      </w:pPr>
      <w:r w:rsidRPr="001F29F9">
        <w:rPr>
          <w:color w:val="000000"/>
        </w:rPr>
        <w:t>Exhibit A.  DD Fo</w:t>
      </w:r>
      <w:r w:rsidR="00324E36">
        <w:rPr>
          <w:color w:val="000000"/>
        </w:rPr>
        <w:t>rm 294, dated 20110525, w/atchs</w:t>
      </w:r>
    </w:p>
    <w:p w:rsidR="00D74D00" w:rsidRPr="001F29F9" w:rsidRDefault="00D74D00" w:rsidP="00BF0E94">
      <w:pPr>
        <w:tabs>
          <w:tab w:val="left" w:pos="288"/>
          <w:tab w:val="left" w:pos="4752"/>
        </w:tabs>
        <w:jc w:val="both"/>
        <w:rPr>
          <w:color w:val="000000"/>
        </w:rPr>
      </w:pPr>
      <w:r w:rsidRPr="001F29F9">
        <w:rPr>
          <w:color w:val="000000"/>
        </w:rPr>
        <w:t>Exhib</w:t>
      </w:r>
      <w:r w:rsidR="00324E36">
        <w:rPr>
          <w:color w:val="000000"/>
        </w:rPr>
        <w:t>it B.  Service Treatment Record</w:t>
      </w:r>
    </w:p>
    <w:p w:rsidR="00D74D00" w:rsidRPr="001F29F9" w:rsidRDefault="00D74D00" w:rsidP="00BF0E94">
      <w:pPr>
        <w:tabs>
          <w:tab w:val="left" w:pos="288"/>
          <w:tab w:val="left" w:pos="4752"/>
        </w:tabs>
        <w:jc w:val="both"/>
        <w:rPr>
          <w:color w:val="000000"/>
        </w:rPr>
      </w:pPr>
      <w:r w:rsidRPr="001F29F9">
        <w:rPr>
          <w:color w:val="000000"/>
        </w:rPr>
        <w:t>Exhibit C.  Department of Ve</w:t>
      </w:r>
      <w:r w:rsidR="00324E36">
        <w:rPr>
          <w:color w:val="000000"/>
        </w:rPr>
        <w:t>terans’ Affairs Treatment Record</w:t>
      </w:r>
    </w:p>
    <w:p w:rsidR="00D74D00" w:rsidRPr="001F29F9" w:rsidRDefault="00D74D00" w:rsidP="00BF0E94">
      <w:pP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p>
    <w:p w:rsidR="00D74D00" w:rsidRPr="001F29F9" w:rsidRDefault="00D74D00" w:rsidP="00BF0E94">
      <w:pPr>
        <w:tabs>
          <w:tab w:val="left" w:pos="288"/>
          <w:tab w:val="left" w:pos="4752"/>
        </w:tabs>
        <w:jc w:val="both"/>
        <w:rPr>
          <w:color w:val="000000"/>
        </w:rPr>
      </w:pPr>
    </w:p>
    <w:p w:rsidR="00D74D00" w:rsidRPr="001F29F9" w:rsidRDefault="00D74D00" w:rsidP="00BF0E94">
      <w:pPr>
        <w:tabs>
          <w:tab w:val="left" w:pos="0"/>
          <w:tab w:val="left" w:pos="4320"/>
        </w:tabs>
        <w:jc w:val="both"/>
        <w:rPr>
          <w:color w:val="000000"/>
        </w:rPr>
      </w:pPr>
      <w:r w:rsidRPr="001F29F9">
        <w:rPr>
          <w:color w:val="000000"/>
        </w:rPr>
        <w:tab/>
        <w:t xml:space="preserve">           </w:t>
      </w:r>
      <w:r w:rsidR="00B07C4D">
        <w:rPr>
          <w:color w:val="000000"/>
        </w:rPr>
        <w:t>XXXXXXXXX</w:t>
      </w:r>
    </w:p>
    <w:p w:rsidR="00D74D00" w:rsidRPr="001F29F9" w:rsidRDefault="00D74D00" w:rsidP="00BF0E94">
      <w:pPr>
        <w:tabs>
          <w:tab w:val="left" w:pos="0"/>
          <w:tab w:val="left" w:pos="4320"/>
        </w:tabs>
        <w:jc w:val="both"/>
        <w:rPr>
          <w:color w:val="000000"/>
        </w:rPr>
      </w:pPr>
      <w:r w:rsidRPr="001F29F9">
        <w:rPr>
          <w:color w:val="000000"/>
        </w:rPr>
        <w:tab/>
        <w:t xml:space="preserve">           President</w:t>
      </w:r>
    </w:p>
    <w:p w:rsidR="006C7B86" w:rsidRPr="00EA7862" w:rsidRDefault="00D74D00" w:rsidP="00EA7862">
      <w:pPr>
        <w:tabs>
          <w:tab w:val="left" w:pos="0"/>
          <w:tab w:val="left" w:pos="4320"/>
        </w:tabs>
        <w:jc w:val="both"/>
        <w:rPr>
          <w:color w:val="000000"/>
        </w:rPr>
      </w:pPr>
      <w:r w:rsidRPr="001F29F9">
        <w:rPr>
          <w:color w:val="000000"/>
        </w:rPr>
        <w:tab/>
        <w:t xml:space="preserve">           Physical Disability Board of Review</w:t>
      </w:r>
    </w:p>
    <w:p w:rsidR="00B07C4D" w:rsidRDefault="00B07C4D">
      <w:pPr>
        <w:spacing w:line="240" w:lineRule="auto"/>
        <w:jc w:val="left"/>
      </w:pPr>
      <w:r>
        <w:br w:type="page"/>
      </w:r>
    </w:p>
    <w:p w:rsidR="00B07C4D" w:rsidRDefault="00B07C4D" w:rsidP="00B07C4D">
      <w:pPr>
        <w:pStyle w:val="Header"/>
        <w:tabs>
          <w:tab w:val="left" w:pos="720"/>
        </w:tabs>
        <w:jc w:val="left"/>
      </w:pPr>
      <w:r>
        <w:lastRenderedPageBreak/>
        <w:t>SFMR-RB</w:t>
      </w:r>
      <w:r>
        <w:tab/>
      </w:r>
      <w:r>
        <w:tab/>
      </w:r>
      <w:r>
        <w:tab/>
      </w:r>
      <w:r>
        <w:tab/>
      </w:r>
      <w:r>
        <w:tab/>
      </w:r>
      <w:r>
        <w:tab/>
      </w:r>
      <w:r>
        <w:tab/>
      </w:r>
      <w:r>
        <w:tab/>
      </w:r>
      <w:r>
        <w:tab/>
      </w:r>
    </w:p>
    <w:p w:rsidR="00B07C4D" w:rsidRDefault="00B07C4D" w:rsidP="00B07C4D">
      <w:pPr>
        <w:pStyle w:val="Header"/>
        <w:tabs>
          <w:tab w:val="left" w:pos="720"/>
        </w:tabs>
        <w:jc w:val="left"/>
      </w:pPr>
    </w:p>
    <w:p w:rsidR="00B07C4D" w:rsidRDefault="00B07C4D" w:rsidP="00B07C4D">
      <w:pPr>
        <w:jc w:val="left"/>
      </w:pPr>
    </w:p>
    <w:p w:rsidR="00B07C4D" w:rsidRDefault="00B07C4D" w:rsidP="00B07C4D">
      <w:pPr>
        <w:jc w:val="left"/>
      </w:pPr>
      <w:r>
        <w:t xml:space="preserve">MEMORANDUM FOR Commander, US Army Physical Disability Agency </w:t>
      </w:r>
    </w:p>
    <w:p w:rsidR="00B07C4D" w:rsidRDefault="00B07C4D" w:rsidP="00B07C4D">
      <w:pPr>
        <w:jc w:val="left"/>
      </w:pPr>
      <w:r>
        <w:t xml:space="preserve">(TAPD-ZB </w:t>
      </w:r>
      <w:proofErr w:type="gramStart"/>
      <w:r>
        <w:t>/  )</w:t>
      </w:r>
      <w:proofErr w:type="gramEnd"/>
      <w:r>
        <w:t>, 2900 Crystal Drive, Suite 300, Arlington, VA  22202</w:t>
      </w:r>
    </w:p>
    <w:p w:rsidR="00B07C4D" w:rsidRDefault="00B07C4D" w:rsidP="00B07C4D">
      <w:pPr>
        <w:jc w:val="left"/>
      </w:pPr>
    </w:p>
    <w:p w:rsidR="00B07C4D" w:rsidRDefault="00B07C4D" w:rsidP="00B07C4D">
      <w:pPr>
        <w:ind w:right="-180"/>
        <w:jc w:val="left"/>
      </w:pPr>
      <w:r>
        <w:t>SUBJECT:  Department of Defense Physical Disability Board of Review Recommendation for XXXXXXXXXXXX, AR20120009212 (PD201100550)</w:t>
      </w:r>
    </w:p>
    <w:p w:rsidR="00B07C4D" w:rsidRDefault="00B07C4D" w:rsidP="00B07C4D">
      <w:pPr>
        <w:pStyle w:val="Header"/>
        <w:tabs>
          <w:tab w:val="left" w:pos="720"/>
        </w:tabs>
        <w:jc w:val="left"/>
      </w:pPr>
    </w:p>
    <w:p w:rsidR="00B07C4D" w:rsidRDefault="00B07C4D" w:rsidP="00B07C4D">
      <w:pPr>
        <w:jc w:val="left"/>
      </w:pPr>
    </w:p>
    <w:p w:rsidR="00B07C4D" w:rsidRDefault="00B07C4D" w:rsidP="00B07C4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07C4D" w:rsidRDefault="00B07C4D" w:rsidP="00B07C4D">
      <w:pPr>
        <w:jc w:val="left"/>
      </w:pPr>
      <w:r>
        <w:t>This decision is final.  The individual concerned, counsel (if any), and any Members of Congress who have shown interest in this application have been notified of this decision by mail.</w:t>
      </w:r>
    </w:p>
    <w:p w:rsidR="00B07C4D" w:rsidRDefault="00B07C4D" w:rsidP="00B07C4D">
      <w:pPr>
        <w:jc w:val="left"/>
      </w:pPr>
    </w:p>
    <w:p w:rsidR="00B07C4D" w:rsidRDefault="00B07C4D" w:rsidP="00B07C4D">
      <w:pPr>
        <w:jc w:val="left"/>
      </w:pPr>
      <w:r>
        <w:t xml:space="preserve"> BY ORDER OF THE SECRETARY OF THE ARMY:</w:t>
      </w:r>
    </w:p>
    <w:p w:rsidR="00B07C4D" w:rsidRDefault="00B07C4D" w:rsidP="00B07C4D">
      <w:pPr>
        <w:jc w:val="left"/>
      </w:pPr>
    </w:p>
    <w:p w:rsidR="00B07C4D" w:rsidRDefault="00B07C4D" w:rsidP="00B07C4D">
      <w:pPr>
        <w:jc w:val="left"/>
      </w:pPr>
    </w:p>
    <w:p w:rsidR="00B07C4D" w:rsidRDefault="00B07C4D" w:rsidP="00B07C4D">
      <w:pPr>
        <w:pStyle w:val="Header"/>
        <w:tabs>
          <w:tab w:val="left" w:pos="720"/>
        </w:tabs>
        <w:jc w:val="left"/>
      </w:pPr>
    </w:p>
    <w:p w:rsidR="00B07C4D" w:rsidRDefault="00B07C4D" w:rsidP="00B07C4D">
      <w:pPr>
        <w:jc w:val="left"/>
      </w:pPr>
    </w:p>
    <w:p w:rsidR="00B07C4D" w:rsidRDefault="00B07C4D" w:rsidP="00B07C4D">
      <w:pPr>
        <w:jc w:val="left"/>
      </w:pPr>
      <w:bookmarkStart w:id="0" w:name="OLE_LINK4"/>
      <w:bookmarkStart w:id="1" w:name="OLE_LINK3"/>
      <w:r>
        <w:t>Encl</w:t>
      </w:r>
      <w:r>
        <w:tab/>
      </w:r>
      <w:r>
        <w:tab/>
      </w:r>
      <w:r>
        <w:tab/>
      </w:r>
      <w:r>
        <w:tab/>
      </w:r>
      <w:r>
        <w:tab/>
      </w:r>
      <w:r>
        <w:tab/>
        <w:t xml:space="preserve">     XXXXXXXXXXX</w:t>
      </w:r>
    </w:p>
    <w:p w:rsidR="00B07C4D" w:rsidRDefault="00B07C4D" w:rsidP="00B07C4D">
      <w:pPr>
        <w:jc w:val="left"/>
      </w:pPr>
      <w:r>
        <w:tab/>
      </w:r>
      <w:r>
        <w:tab/>
      </w:r>
      <w:r>
        <w:tab/>
      </w:r>
      <w:r>
        <w:tab/>
      </w:r>
      <w:r>
        <w:tab/>
      </w:r>
      <w:r>
        <w:tab/>
        <w:t xml:space="preserve">     Deputy Assistant Secretary</w:t>
      </w:r>
    </w:p>
    <w:p w:rsidR="00B07C4D" w:rsidRDefault="00B07C4D" w:rsidP="00B07C4D">
      <w:pPr>
        <w:jc w:val="left"/>
      </w:pPr>
      <w:r>
        <w:tab/>
      </w:r>
      <w:r>
        <w:tab/>
      </w:r>
      <w:r>
        <w:tab/>
      </w:r>
      <w:r>
        <w:tab/>
      </w:r>
      <w:r>
        <w:tab/>
      </w:r>
      <w:r>
        <w:tab/>
        <w:t xml:space="preserve">         (Army Review Boards)</w:t>
      </w:r>
      <w:bookmarkEnd w:id="0"/>
      <w:bookmarkEnd w:id="1"/>
    </w:p>
    <w:p w:rsidR="00B07C4D" w:rsidRDefault="00B07C4D" w:rsidP="00B07C4D">
      <w:pPr>
        <w:jc w:val="left"/>
      </w:pPr>
    </w:p>
    <w:p w:rsidR="00B07C4D" w:rsidRDefault="00B07C4D" w:rsidP="00B07C4D">
      <w:pPr>
        <w:jc w:val="left"/>
      </w:pPr>
      <w:r>
        <w:t xml:space="preserve">CF: </w:t>
      </w:r>
    </w:p>
    <w:p w:rsidR="00B07C4D" w:rsidRDefault="00B07C4D" w:rsidP="00B07C4D">
      <w:pPr>
        <w:jc w:val="left"/>
      </w:pPr>
      <w:r>
        <w:t xml:space="preserve">(  ) </w:t>
      </w:r>
      <w:proofErr w:type="spellStart"/>
      <w:proofErr w:type="gramStart"/>
      <w:r>
        <w:t>DoD</w:t>
      </w:r>
      <w:proofErr w:type="spellEnd"/>
      <w:proofErr w:type="gramEnd"/>
      <w:r>
        <w:t xml:space="preserve"> PDBR</w:t>
      </w:r>
    </w:p>
    <w:p w:rsidR="00B07C4D" w:rsidRDefault="00B07C4D" w:rsidP="00B07C4D">
      <w:pPr>
        <w:jc w:val="left"/>
      </w:pPr>
      <w:r>
        <w:t>(  ) DVA</w:t>
      </w:r>
    </w:p>
    <w:p w:rsidR="00B07C4D" w:rsidRDefault="00B07C4D" w:rsidP="00B07C4D"/>
    <w:p w:rsidR="00C35B4D" w:rsidRDefault="00C35B4D" w:rsidP="00A03FC6">
      <w:pPr>
        <w:jc w:val="both"/>
        <w:rPr>
          <w:color w:val="000000"/>
        </w:rPr>
      </w:pPr>
    </w:p>
    <w:sectPr w:rsidR="00C35B4D"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13" w:rsidRDefault="00753513">
      <w:r>
        <w:separator/>
      </w:r>
    </w:p>
  </w:endnote>
  <w:endnote w:type="continuationSeparator" w:id="0">
    <w:p w:rsidR="00753513" w:rsidRDefault="007535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00" w:rsidRPr="00374247" w:rsidRDefault="00D74D00" w:rsidP="00E7382C">
    <w:pPr>
      <w:pStyle w:val="Footer"/>
      <w:ind w:firstLine="4320"/>
      <w:rPr>
        <w:color w:val="auto"/>
      </w:rPr>
    </w:pPr>
    <w:r w:rsidRPr="00374247">
      <w:rPr>
        <w:color w:val="auto"/>
      </w:rPr>
      <w:t xml:space="preserve">   </w:t>
    </w:r>
    <w:fldSimple w:instr=" PAGE   \* MERGEFORMAT ">
      <w:r w:rsidR="00B07C4D" w:rsidRPr="00B07C4D">
        <w:rPr>
          <w:noProof/>
          <w:color w:val="auto"/>
        </w:rPr>
        <w:t>5</w:t>
      </w:r>
    </w:fldSimple>
    <w:r w:rsidRPr="00374247">
      <w:rPr>
        <w:color w:val="auto"/>
      </w:rPr>
      <w:t xml:space="preserve">                                                           </w:t>
    </w:r>
    <w:r w:rsidRPr="001D64F3">
      <w:rPr>
        <w:color w:val="auto"/>
      </w:rPr>
      <w:t>PD1100550</w:t>
    </w:r>
  </w:p>
  <w:p w:rsidR="00D74D00" w:rsidRPr="00684CE6" w:rsidRDefault="00D74D0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13" w:rsidRDefault="00753513">
      <w:r>
        <w:separator/>
      </w:r>
    </w:p>
  </w:footnote>
  <w:footnote w:type="continuationSeparator" w:id="0">
    <w:p w:rsidR="00753513" w:rsidRDefault="00753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68B2"/>
    <w:rsid w:val="0001726C"/>
    <w:rsid w:val="00017778"/>
    <w:rsid w:val="00021361"/>
    <w:rsid w:val="00022CF3"/>
    <w:rsid w:val="00023913"/>
    <w:rsid w:val="00023D43"/>
    <w:rsid w:val="00024002"/>
    <w:rsid w:val="00024DE7"/>
    <w:rsid w:val="00026092"/>
    <w:rsid w:val="00030776"/>
    <w:rsid w:val="00032DCE"/>
    <w:rsid w:val="00032E07"/>
    <w:rsid w:val="000332CA"/>
    <w:rsid w:val="0003374E"/>
    <w:rsid w:val="00034253"/>
    <w:rsid w:val="000344D8"/>
    <w:rsid w:val="000344E6"/>
    <w:rsid w:val="00035C3A"/>
    <w:rsid w:val="00036E4B"/>
    <w:rsid w:val="00036EB5"/>
    <w:rsid w:val="00037929"/>
    <w:rsid w:val="000379D0"/>
    <w:rsid w:val="00040FC4"/>
    <w:rsid w:val="0004161C"/>
    <w:rsid w:val="000416F8"/>
    <w:rsid w:val="00042C26"/>
    <w:rsid w:val="00043382"/>
    <w:rsid w:val="00044623"/>
    <w:rsid w:val="000452D7"/>
    <w:rsid w:val="00046CCC"/>
    <w:rsid w:val="00051622"/>
    <w:rsid w:val="00051A11"/>
    <w:rsid w:val="00052234"/>
    <w:rsid w:val="00053D7C"/>
    <w:rsid w:val="00055134"/>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0E5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7D55"/>
    <w:rsid w:val="000E0993"/>
    <w:rsid w:val="000E25E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54A"/>
    <w:rsid w:val="001007CE"/>
    <w:rsid w:val="001008C1"/>
    <w:rsid w:val="001023DB"/>
    <w:rsid w:val="00102B8D"/>
    <w:rsid w:val="001031F4"/>
    <w:rsid w:val="00103948"/>
    <w:rsid w:val="00103CCF"/>
    <w:rsid w:val="0010417F"/>
    <w:rsid w:val="001042D2"/>
    <w:rsid w:val="0010530E"/>
    <w:rsid w:val="0010583B"/>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4E0F"/>
    <w:rsid w:val="00185DA8"/>
    <w:rsid w:val="00185ECB"/>
    <w:rsid w:val="001865E0"/>
    <w:rsid w:val="001870F0"/>
    <w:rsid w:val="00190E48"/>
    <w:rsid w:val="0019114B"/>
    <w:rsid w:val="0019273F"/>
    <w:rsid w:val="00193814"/>
    <w:rsid w:val="00193AAB"/>
    <w:rsid w:val="00193AD5"/>
    <w:rsid w:val="00194930"/>
    <w:rsid w:val="00194A85"/>
    <w:rsid w:val="00195AA5"/>
    <w:rsid w:val="00195AAC"/>
    <w:rsid w:val="001A025E"/>
    <w:rsid w:val="001A08CD"/>
    <w:rsid w:val="001A0A1E"/>
    <w:rsid w:val="001A2182"/>
    <w:rsid w:val="001A323E"/>
    <w:rsid w:val="001A5320"/>
    <w:rsid w:val="001A5E62"/>
    <w:rsid w:val="001A6848"/>
    <w:rsid w:val="001A7538"/>
    <w:rsid w:val="001B06FB"/>
    <w:rsid w:val="001B0B1A"/>
    <w:rsid w:val="001B20E6"/>
    <w:rsid w:val="001B2682"/>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07"/>
    <w:rsid w:val="001D68CF"/>
    <w:rsid w:val="001D6A8C"/>
    <w:rsid w:val="001D7A56"/>
    <w:rsid w:val="001E15C0"/>
    <w:rsid w:val="001E18E0"/>
    <w:rsid w:val="001E18E2"/>
    <w:rsid w:val="001E19D0"/>
    <w:rsid w:val="001E2A18"/>
    <w:rsid w:val="001E2A30"/>
    <w:rsid w:val="001E2FF1"/>
    <w:rsid w:val="001E35E4"/>
    <w:rsid w:val="001E3FE1"/>
    <w:rsid w:val="001E41FE"/>
    <w:rsid w:val="001E4989"/>
    <w:rsid w:val="001E635C"/>
    <w:rsid w:val="001E65E0"/>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1A1F"/>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AD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4791"/>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67834"/>
    <w:rsid w:val="00270864"/>
    <w:rsid w:val="002712F7"/>
    <w:rsid w:val="0027159C"/>
    <w:rsid w:val="0027192E"/>
    <w:rsid w:val="002722F2"/>
    <w:rsid w:val="00274549"/>
    <w:rsid w:val="00274E46"/>
    <w:rsid w:val="002752AE"/>
    <w:rsid w:val="00275AFD"/>
    <w:rsid w:val="002769AF"/>
    <w:rsid w:val="00276C86"/>
    <w:rsid w:val="00276FD0"/>
    <w:rsid w:val="00277217"/>
    <w:rsid w:val="002810A4"/>
    <w:rsid w:val="002818DA"/>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5CE0"/>
    <w:rsid w:val="002A685E"/>
    <w:rsid w:val="002A72C7"/>
    <w:rsid w:val="002B0204"/>
    <w:rsid w:val="002B03B2"/>
    <w:rsid w:val="002B0749"/>
    <w:rsid w:val="002B2645"/>
    <w:rsid w:val="002B303A"/>
    <w:rsid w:val="002B32E9"/>
    <w:rsid w:val="002B3CE0"/>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4E36"/>
    <w:rsid w:val="003255DB"/>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48"/>
    <w:rsid w:val="0034669F"/>
    <w:rsid w:val="003470C4"/>
    <w:rsid w:val="00351498"/>
    <w:rsid w:val="00352B22"/>
    <w:rsid w:val="00352CBF"/>
    <w:rsid w:val="00354547"/>
    <w:rsid w:val="003549F5"/>
    <w:rsid w:val="00355ACB"/>
    <w:rsid w:val="003567DE"/>
    <w:rsid w:val="003574F3"/>
    <w:rsid w:val="00357831"/>
    <w:rsid w:val="0036030E"/>
    <w:rsid w:val="003604A5"/>
    <w:rsid w:val="0036114B"/>
    <w:rsid w:val="003614F9"/>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71B"/>
    <w:rsid w:val="00376A07"/>
    <w:rsid w:val="00376B81"/>
    <w:rsid w:val="00376E08"/>
    <w:rsid w:val="00377BD2"/>
    <w:rsid w:val="00377DE5"/>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542"/>
    <w:rsid w:val="00393651"/>
    <w:rsid w:val="00393D7D"/>
    <w:rsid w:val="00394926"/>
    <w:rsid w:val="00394FF9"/>
    <w:rsid w:val="00395651"/>
    <w:rsid w:val="00395E12"/>
    <w:rsid w:val="003962A8"/>
    <w:rsid w:val="00396779"/>
    <w:rsid w:val="00397DB7"/>
    <w:rsid w:val="003A27B2"/>
    <w:rsid w:val="003A40B4"/>
    <w:rsid w:val="003A41BA"/>
    <w:rsid w:val="003A4315"/>
    <w:rsid w:val="003A5491"/>
    <w:rsid w:val="003A5958"/>
    <w:rsid w:val="003A6A99"/>
    <w:rsid w:val="003A6E60"/>
    <w:rsid w:val="003A76AB"/>
    <w:rsid w:val="003A7FF8"/>
    <w:rsid w:val="003B17AC"/>
    <w:rsid w:val="003B2143"/>
    <w:rsid w:val="003B227A"/>
    <w:rsid w:val="003B3A77"/>
    <w:rsid w:val="003B4319"/>
    <w:rsid w:val="003B5854"/>
    <w:rsid w:val="003B6764"/>
    <w:rsid w:val="003B6B0F"/>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2D1"/>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594E"/>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1B3"/>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776"/>
    <w:rsid w:val="004C078F"/>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54B"/>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B01"/>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2B0"/>
    <w:rsid w:val="005B5B3D"/>
    <w:rsid w:val="005B5E8F"/>
    <w:rsid w:val="005B64CF"/>
    <w:rsid w:val="005B72DA"/>
    <w:rsid w:val="005C0E87"/>
    <w:rsid w:val="005C1398"/>
    <w:rsid w:val="005C16F3"/>
    <w:rsid w:val="005C3758"/>
    <w:rsid w:val="005C4D72"/>
    <w:rsid w:val="005C4EF0"/>
    <w:rsid w:val="005C50C1"/>
    <w:rsid w:val="005C5DDE"/>
    <w:rsid w:val="005C62C2"/>
    <w:rsid w:val="005C6A1B"/>
    <w:rsid w:val="005D2306"/>
    <w:rsid w:val="005D2562"/>
    <w:rsid w:val="005D2666"/>
    <w:rsid w:val="005D4548"/>
    <w:rsid w:val="005D4A74"/>
    <w:rsid w:val="005D5E91"/>
    <w:rsid w:val="005D639F"/>
    <w:rsid w:val="005D67EF"/>
    <w:rsid w:val="005E3064"/>
    <w:rsid w:val="005E54DC"/>
    <w:rsid w:val="005E65DC"/>
    <w:rsid w:val="005E6AEE"/>
    <w:rsid w:val="005E72B2"/>
    <w:rsid w:val="005E79A0"/>
    <w:rsid w:val="005F097E"/>
    <w:rsid w:val="005F1115"/>
    <w:rsid w:val="005F1AB6"/>
    <w:rsid w:val="005F27F2"/>
    <w:rsid w:val="005F2B27"/>
    <w:rsid w:val="005F2CCE"/>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4621"/>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6811"/>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4DC"/>
    <w:rsid w:val="006B586B"/>
    <w:rsid w:val="006B5923"/>
    <w:rsid w:val="006B67D9"/>
    <w:rsid w:val="006B6C14"/>
    <w:rsid w:val="006B7159"/>
    <w:rsid w:val="006B715E"/>
    <w:rsid w:val="006C1D6E"/>
    <w:rsid w:val="006C2EF6"/>
    <w:rsid w:val="006C3A68"/>
    <w:rsid w:val="006C3B08"/>
    <w:rsid w:val="006C6AB1"/>
    <w:rsid w:val="006C6E6B"/>
    <w:rsid w:val="006C71B7"/>
    <w:rsid w:val="006C73D4"/>
    <w:rsid w:val="006C7B86"/>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380B"/>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513"/>
    <w:rsid w:val="0076100C"/>
    <w:rsid w:val="007612A5"/>
    <w:rsid w:val="00763CAE"/>
    <w:rsid w:val="00763F95"/>
    <w:rsid w:val="007651ED"/>
    <w:rsid w:val="00766C87"/>
    <w:rsid w:val="00771043"/>
    <w:rsid w:val="0077272B"/>
    <w:rsid w:val="00773AF7"/>
    <w:rsid w:val="00774FFD"/>
    <w:rsid w:val="00776492"/>
    <w:rsid w:val="00780378"/>
    <w:rsid w:val="0078085E"/>
    <w:rsid w:val="00780BB6"/>
    <w:rsid w:val="00781BD4"/>
    <w:rsid w:val="00782562"/>
    <w:rsid w:val="007828B4"/>
    <w:rsid w:val="00784832"/>
    <w:rsid w:val="00784EA0"/>
    <w:rsid w:val="00785C75"/>
    <w:rsid w:val="00785D77"/>
    <w:rsid w:val="00786111"/>
    <w:rsid w:val="00790963"/>
    <w:rsid w:val="0079150B"/>
    <w:rsid w:val="0079154B"/>
    <w:rsid w:val="00791DED"/>
    <w:rsid w:val="00791EED"/>
    <w:rsid w:val="00791F1E"/>
    <w:rsid w:val="007927BE"/>
    <w:rsid w:val="007935B8"/>
    <w:rsid w:val="00793A8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2C0"/>
    <w:rsid w:val="007E71B1"/>
    <w:rsid w:val="007E7B4E"/>
    <w:rsid w:val="007E7F02"/>
    <w:rsid w:val="007F0292"/>
    <w:rsid w:val="007F0722"/>
    <w:rsid w:val="007F0AB7"/>
    <w:rsid w:val="007F0CE2"/>
    <w:rsid w:val="007F0EFF"/>
    <w:rsid w:val="007F1375"/>
    <w:rsid w:val="007F1AFD"/>
    <w:rsid w:val="007F30E4"/>
    <w:rsid w:val="007F3D10"/>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203"/>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474A"/>
    <w:rsid w:val="009369A6"/>
    <w:rsid w:val="00937F57"/>
    <w:rsid w:val="0094031E"/>
    <w:rsid w:val="009419B4"/>
    <w:rsid w:val="00941A4C"/>
    <w:rsid w:val="00942645"/>
    <w:rsid w:val="0094336A"/>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D37"/>
    <w:rsid w:val="00994FC8"/>
    <w:rsid w:val="009A0DE3"/>
    <w:rsid w:val="009A1410"/>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3E47"/>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6CE"/>
    <w:rsid w:val="009F6292"/>
    <w:rsid w:val="009F7809"/>
    <w:rsid w:val="009F7822"/>
    <w:rsid w:val="009F7AF5"/>
    <w:rsid w:val="009F7FAB"/>
    <w:rsid w:val="00A00613"/>
    <w:rsid w:val="00A006F1"/>
    <w:rsid w:val="00A007A7"/>
    <w:rsid w:val="00A00D14"/>
    <w:rsid w:val="00A01408"/>
    <w:rsid w:val="00A02457"/>
    <w:rsid w:val="00A02AA8"/>
    <w:rsid w:val="00A03190"/>
    <w:rsid w:val="00A03A9E"/>
    <w:rsid w:val="00A03FC6"/>
    <w:rsid w:val="00A0404B"/>
    <w:rsid w:val="00A06F66"/>
    <w:rsid w:val="00A0798C"/>
    <w:rsid w:val="00A07BDD"/>
    <w:rsid w:val="00A07F12"/>
    <w:rsid w:val="00A1075A"/>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241B"/>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4F9"/>
    <w:rsid w:val="00AA73AF"/>
    <w:rsid w:val="00AB062D"/>
    <w:rsid w:val="00AB0A8A"/>
    <w:rsid w:val="00AB1754"/>
    <w:rsid w:val="00AB1F8D"/>
    <w:rsid w:val="00AB27DD"/>
    <w:rsid w:val="00AB4A57"/>
    <w:rsid w:val="00AB4BA4"/>
    <w:rsid w:val="00AB576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07C4D"/>
    <w:rsid w:val="00B1176B"/>
    <w:rsid w:val="00B13AF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628"/>
    <w:rsid w:val="00B3575C"/>
    <w:rsid w:val="00B36569"/>
    <w:rsid w:val="00B37345"/>
    <w:rsid w:val="00B37F53"/>
    <w:rsid w:val="00B37FBA"/>
    <w:rsid w:val="00B40A05"/>
    <w:rsid w:val="00B40A3E"/>
    <w:rsid w:val="00B427BB"/>
    <w:rsid w:val="00B43BA2"/>
    <w:rsid w:val="00B449EE"/>
    <w:rsid w:val="00B454AE"/>
    <w:rsid w:val="00B50227"/>
    <w:rsid w:val="00B50510"/>
    <w:rsid w:val="00B505E9"/>
    <w:rsid w:val="00B51F0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1507"/>
    <w:rsid w:val="00B72076"/>
    <w:rsid w:val="00B72303"/>
    <w:rsid w:val="00B727A9"/>
    <w:rsid w:val="00B72C72"/>
    <w:rsid w:val="00B72ED9"/>
    <w:rsid w:val="00B731E4"/>
    <w:rsid w:val="00B751CE"/>
    <w:rsid w:val="00B75A8B"/>
    <w:rsid w:val="00B75B61"/>
    <w:rsid w:val="00B76796"/>
    <w:rsid w:val="00B771E0"/>
    <w:rsid w:val="00B7793B"/>
    <w:rsid w:val="00B77EE7"/>
    <w:rsid w:val="00B808D2"/>
    <w:rsid w:val="00B80EDD"/>
    <w:rsid w:val="00B812BD"/>
    <w:rsid w:val="00B81964"/>
    <w:rsid w:val="00B82277"/>
    <w:rsid w:val="00B83F87"/>
    <w:rsid w:val="00B844F1"/>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0A7"/>
    <w:rsid w:val="00BD1844"/>
    <w:rsid w:val="00BD2010"/>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E2"/>
    <w:rsid w:val="00C3223A"/>
    <w:rsid w:val="00C34168"/>
    <w:rsid w:val="00C34247"/>
    <w:rsid w:val="00C34326"/>
    <w:rsid w:val="00C34CEB"/>
    <w:rsid w:val="00C35B4D"/>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EC7"/>
    <w:rsid w:val="00C560A7"/>
    <w:rsid w:val="00C56AFE"/>
    <w:rsid w:val="00C56FC8"/>
    <w:rsid w:val="00C60F23"/>
    <w:rsid w:val="00C6170B"/>
    <w:rsid w:val="00C62EB2"/>
    <w:rsid w:val="00C63431"/>
    <w:rsid w:val="00C64C87"/>
    <w:rsid w:val="00C65414"/>
    <w:rsid w:val="00C665FE"/>
    <w:rsid w:val="00C71645"/>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17F1C"/>
    <w:rsid w:val="00D20AC0"/>
    <w:rsid w:val="00D217C6"/>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2400"/>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122"/>
    <w:rsid w:val="00D65D70"/>
    <w:rsid w:val="00D67FD7"/>
    <w:rsid w:val="00D704E4"/>
    <w:rsid w:val="00D72410"/>
    <w:rsid w:val="00D73D53"/>
    <w:rsid w:val="00D7402C"/>
    <w:rsid w:val="00D7408A"/>
    <w:rsid w:val="00D74261"/>
    <w:rsid w:val="00D7441B"/>
    <w:rsid w:val="00D74D00"/>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B65"/>
    <w:rsid w:val="00DE0C67"/>
    <w:rsid w:val="00DE3555"/>
    <w:rsid w:val="00DE3AAD"/>
    <w:rsid w:val="00DE598A"/>
    <w:rsid w:val="00DE6952"/>
    <w:rsid w:val="00DE6FBE"/>
    <w:rsid w:val="00DE7A7D"/>
    <w:rsid w:val="00DE7E74"/>
    <w:rsid w:val="00DF071B"/>
    <w:rsid w:val="00DF4FB1"/>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3404"/>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FC2"/>
    <w:rsid w:val="00E71485"/>
    <w:rsid w:val="00E7200B"/>
    <w:rsid w:val="00E7382C"/>
    <w:rsid w:val="00E738CB"/>
    <w:rsid w:val="00E73C88"/>
    <w:rsid w:val="00E74437"/>
    <w:rsid w:val="00E7443D"/>
    <w:rsid w:val="00E75ACE"/>
    <w:rsid w:val="00E771AF"/>
    <w:rsid w:val="00E771E3"/>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2EDC"/>
    <w:rsid w:val="00EA30FC"/>
    <w:rsid w:val="00EA4475"/>
    <w:rsid w:val="00EA52FE"/>
    <w:rsid w:val="00EA681F"/>
    <w:rsid w:val="00EA7862"/>
    <w:rsid w:val="00EB04C6"/>
    <w:rsid w:val="00EB0615"/>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447"/>
    <w:rsid w:val="00F0044B"/>
    <w:rsid w:val="00F00E60"/>
    <w:rsid w:val="00F020E5"/>
    <w:rsid w:val="00F02F9F"/>
    <w:rsid w:val="00F03525"/>
    <w:rsid w:val="00F039A8"/>
    <w:rsid w:val="00F0424D"/>
    <w:rsid w:val="00F04957"/>
    <w:rsid w:val="00F053F0"/>
    <w:rsid w:val="00F05807"/>
    <w:rsid w:val="00F06451"/>
    <w:rsid w:val="00F0646A"/>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2792F"/>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4BB4"/>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DEF"/>
    <w:rsid w:val="00FE323C"/>
    <w:rsid w:val="00FE3A27"/>
    <w:rsid w:val="00FE48A6"/>
    <w:rsid w:val="00FE49C4"/>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304"/>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3201043">
      <w:bodyDiv w:val="1"/>
      <w:marLeft w:val="0"/>
      <w:marRight w:val="0"/>
      <w:marTop w:val="0"/>
      <w:marBottom w:val="0"/>
      <w:divBdr>
        <w:top w:val="none" w:sz="0" w:space="0" w:color="auto"/>
        <w:left w:val="none" w:sz="0" w:space="0" w:color="auto"/>
        <w:bottom w:val="none" w:sz="0" w:space="0" w:color="auto"/>
        <w:right w:val="none" w:sz="0" w:space="0" w:color="auto"/>
      </w:divBdr>
    </w:div>
    <w:div w:id="31977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2012-05-14T18:39:00Z</cp:lastPrinted>
  <dcterms:created xsi:type="dcterms:W3CDTF">2012-05-31T19:51:00Z</dcterms:created>
  <dcterms:modified xsi:type="dcterms:W3CDTF">2012-05-31T19:51:00Z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