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A7" w:rsidRPr="001F29F9" w:rsidRDefault="006537A7" w:rsidP="00BF0E94">
      <w:pPr>
        <w:tabs>
          <w:tab w:val="left" w:pos="288"/>
          <w:tab w:val="left" w:pos="4752"/>
        </w:tabs>
        <w:rPr>
          <w:color w:val="000000"/>
        </w:rPr>
      </w:pPr>
      <w:r w:rsidRPr="001F29F9">
        <w:rPr>
          <w:color w:val="000000"/>
        </w:rPr>
        <w:t>RECORD OF PROCEEDINGS</w:t>
      </w:r>
    </w:p>
    <w:p w:rsidR="006537A7" w:rsidRPr="001F29F9" w:rsidRDefault="006537A7" w:rsidP="00BF0E94">
      <w:pPr>
        <w:tabs>
          <w:tab w:val="left" w:pos="288"/>
          <w:tab w:val="left" w:pos="4752"/>
        </w:tabs>
        <w:rPr>
          <w:color w:val="000000"/>
        </w:rPr>
      </w:pPr>
      <w:r w:rsidRPr="001F29F9">
        <w:rPr>
          <w:color w:val="000000"/>
        </w:rPr>
        <w:t>PHYSICAL DISABILITY BOARD OF REVIEW</w:t>
      </w:r>
    </w:p>
    <w:p w:rsidR="006537A7" w:rsidRPr="001F29F9" w:rsidRDefault="006537A7" w:rsidP="00BF0E94">
      <w:pPr>
        <w:tabs>
          <w:tab w:val="left" w:pos="288"/>
          <w:tab w:val="left" w:pos="4752"/>
        </w:tabs>
        <w:jc w:val="both"/>
        <w:rPr>
          <w:caps/>
          <w:color w:val="000000"/>
        </w:rPr>
      </w:pPr>
    </w:p>
    <w:p w:rsidR="006537A7" w:rsidRPr="001F29F9" w:rsidRDefault="006537A7" w:rsidP="003C53E8">
      <w:pPr>
        <w:tabs>
          <w:tab w:val="left" w:pos="288"/>
          <w:tab w:val="left" w:pos="4752"/>
          <w:tab w:val="left" w:pos="6390"/>
          <w:tab w:val="left" w:pos="9270"/>
        </w:tabs>
        <w:jc w:val="both"/>
        <w:rPr>
          <w:caps/>
          <w:color w:val="000000"/>
        </w:rPr>
      </w:pPr>
      <w:r w:rsidRPr="001F29F9">
        <w:rPr>
          <w:caps/>
          <w:color w:val="000000"/>
        </w:rPr>
        <w:t xml:space="preserve">NAME: </w:t>
      </w:r>
      <w:r w:rsidR="00204B36">
        <w:rPr>
          <w:caps/>
          <w:color w:val="000000"/>
        </w:rPr>
        <w:t xml:space="preserve"> </w:t>
      </w:r>
      <w:r w:rsidR="00731F1F">
        <w:rPr>
          <w:caps/>
          <w:color w:val="000000"/>
        </w:rPr>
        <w:t xml:space="preserve"> </w:t>
      </w:r>
      <w:r w:rsidRPr="001F29F9">
        <w:rPr>
          <w:caps/>
          <w:color w:val="000000"/>
        </w:rPr>
        <w:t xml:space="preserve">              </w:t>
      </w:r>
      <w:r>
        <w:rPr>
          <w:caps/>
          <w:color w:val="000000"/>
        </w:rPr>
        <w:tab/>
        <w:t xml:space="preserve">                      </w:t>
      </w:r>
      <w:r w:rsidRPr="001F29F9">
        <w:rPr>
          <w:caps/>
          <w:color w:val="000000"/>
        </w:rPr>
        <w:t>BRANCH OF SERVICE:</w:t>
      </w:r>
      <w:r w:rsidRPr="00D97303">
        <w:rPr>
          <w:caps/>
          <w:color w:val="000000"/>
        </w:rPr>
        <w:t xml:space="preserve"> </w:t>
      </w:r>
      <w:r w:rsidR="00204B36">
        <w:rPr>
          <w:caps/>
          <w:color w:val="000000"/>
        </w:rPr>
        <w:t xml:space="preserve"> </w:t>
      </w:r>
      <w:r w:rsidRPr="00D97303">
        <w:rPr>
          <w:caps/>
          <w:color w:val="000000"/>
        </w:rPr>
        <w:t xml:space="preserve">Army </w:t>
      </w:r>
    </w:p>
    <w:p w:rsidR="006537A7" w:rsidRPr="001F29F9" w:rsidRDefault="006537A7" w:rsidP="0068098E">
      <w:pPr>
        <w:tabs>
          <w:tab w:val="left" w:pos="288"/>
          <w:tab w:val="left" w:pos="4166"/>
          <w:tab w:val="left" w:pos="4752"/>
          <w:tab w:val="left" w:pos="5130"/>
          <w:tab w:val="left" w:pos="9270"/>
        </w:tabs>
        <w:jc w:val="both"/>
        <w:rPr>
          <w:caps/>
          <w:color w:val="000000"/>
        </w:rPr>
      </w:pPr>
      <w:r w:rsidRPr="001F29F9">
        <w:rPr>
          <w:caps/>
          <w:color w:val="000000"/>
        </w:rPr>
        <w:t xml:space="preserve">CASE NUMBER: </w:t>
      </w:r>
      <w:r w:rsidR="00204B36">
        <w:rPr>
          <w:caps/>
          <w:color w:val="000000"/>
        </w:rPr>
        <w:t xml:space="preserve"> </w:t>
      </w:r>
      <w:r w:rsidRPr="001F29F9">
        <w:rPr>
          <w:caps/>
          <w:color w:val="000000"/>
        </w:rPr>
        <w:t>PD110</w:t>
      </w:r>
      <w:r w:rsidRPr="001F29F9">
        <w:rPr>
          <w:color w:val="000000"/>
        </w:rPr>
        <w:t>0548</w:t>
      </w:r>
      <w:r w:rsidRPr="001F29F9">
        <w:rPr>
          <w:color w:val="000000"/>
        </w:rPr>
        <w:tab/>
      </w:r>
      <w:r w:rsidRPr="001F29F9">
        <w:rPr>
          <w:color w:val="000000"/>
        </w:rPr>
        <w:tab/>
        <w:t xml:space="preserve">                      SEPARATION DATE: </w:t>
      </w:r>
      <w:r w:rsidR="00204B36">
        <w:rPr>
          <w:color w:val="000000"/>
        </w:rPr>
        <w:t xml:space="preserve"> </w:t>
      </w:r>
      <w:r w:rsidRPr="001F29F9">
        <w:rPr>
          <w:color w:val="000000"/>
        </w:rPr>
        <w:t>20050627</w:t>
      </w:r>
    </w:p>
    <w:p w:rsidR="006537A7" w:rsidRPr="001F29F9" w:rsidRDefault="0096417B" w:rsidP="00D97303">
      <w:pPr>
        <w:tabs>
          <w:tab w:val="left" w:pos="288"/>
          <w:tab w:val="left" w:pos="5130"/>
        </w:tabs>
        <w:jc w:val="both"/>
        <w:rPr>
          <w:color w:val="000000"/>
        </w:rPr>
      </w:pPr>
      <w:r>
        <w:rPr>
          <w:caps/>
          <w:color w:val="000000"/>
        </w:rPr>
        <w:t xml:space="preserve">BOARD DATE: </w:t>
      </w:r>
      <w:r w:rsidR="00204B36">
        <w:rPr>
          <w:caps/>
          <w:color w:val="000000"/>
        </w:rPr>
        <w:t xml:space="preserve"> </w:t>
      </w:r>
      <w:r>
        <w:rPr>
          <w:caps/>
          <w:color w:val="000000"/>
        </w:rPr>
        <w:t>2012</w:t>
      </w:r>
      <w:r w:rsidR="00A5544D">
        <w:rPr>
          <w:caps/>
          <w:color w:val="000000"/>
        </w:rPr>
        <w:t>0322</w:t>
      </w:r>
      <w:r w:rsidR="006537A7">
        <w:rPr>
          <w:rFonts w:cs="Times New Roman"/>
          <w:caps/>
          <w:color w:val="000000"/>
        </w:rPr>
        <w:tab/>
      </w:r>
    </w:p>
    <w:p w:rsidR="006537A7" w:rsidRPr="001F29F9" w:rsidRDefault="006537A7" w:rsidP="003C53E8">
      <w:pPr>
        <w:pBdr>
          <w:bottom w:val="single" w:sz="12" w:space="1" w:color="auto"/>
        </w:pBdr>
        <w:tabs>
          <w:tab w:val="left" w:pos="288"/>
          <w:tab w:val="left" w:pos="4752"/>
        </w:tabs>
        <w:jc w:val="both"/>
        <w:rPr>
          <w:color w:val="000000"/>
        </w:rPr>
      </w:pPr>
      <w:r w:rsidRPr="001F29F9">
        <w:rPr>
          <w:color w:val="000000"/>
        </w:rPr>
        <w:t xml:space="preserve"> </w:t>
      </w:r>
    </w:p>
    <w:p w:rsidR="006537A7" w:rsidRPr="001F29F9" w:rsidRDefault="006537A7" w:rsidP="00BF0E94">
      <w:pP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individual (CI) was an active duty S</w:t>
      </w:r>
      <w:r w:rsidR="00F308CA">
        <w:rPr>
          <w:color w:val="000000"/>
        </w:rPr>
        <w:t>GT/E-5 (91W, Medical Assistant)</w:t>
      </w:r>
      <w:r w:rsidRPr="001F29F9">
        <w:rPr>
          <w:color w:val="000000"/>
        </w:rPr>
        <w:t xml:space="preserve"> medically separated for right foot and </w:t>
      </w:r>
      <w:r w:rsidR="00F308CA">
        <w:rPr>
          <w:color w:val="000000"/>
        </w:rPr>
        <w:t>lumbar spine conditions</w:t>
      </w:r>
      <w:r w:rsidRPr="001F29F9">
        <w:rPr>
          <w:color w:val="000000"/>
        </w:rPr>
        <w:t xml:space="preserve">. </w:t>
      </w:r>
      <w:r w:rsidR="00F308CA">
        <w:rPr>
          <w:color w:val="000000"/>
        </w:rPr>
        <w:t xml:space="preserve"> </w:t>
      </w:r>
      <w:r w:rsidRPr="001F29F9">
        <w:rPr>
          <w:color w:val="000000"/>
        </w:rPr>
        <w:t xml:space="preserve">The CI injured his ankle while running during basic training in 1999. </w:t>
      </w:r>
      <w:r w:rsidR="00F308CA">
        <w:rPr>
          <w:color w:val="000000"/>
        </w:rPr>
        <w:t xml:space="preserve"> </w:t>
      </w:r>
      <w:r w:rsidRPr="001F29F9">
        <w:rPr>
          <w:color w:val="000000"/>
        </w:rPr>
        <w:t xml:space="preserve">He was </w:t>
      </w:r>
      <w:r w:rsidR="00F308CA">
        <w:rPr>
          <w:color w:val="000000"/>
        </w:rPr>
        <w:t xml:space="preserve">subsequently </w:t>
      </w:r>
      <w:r w:rsidRPr="001F29F9">
        <w:rPr>
          <w:color w:val="000000"/>
        </w:rPr>
        <w:t xml:space="preserve">diagnosed with tarsal tunnel syndrome and underwent surgery in 2002. </w:t>
      </w:r>
      <w:r w:rsidR="00F308CA">
        <w:rPr>
          <w:color w:val="000000"/>
        </w:rPr>
        <w:t xml:space="preserve"> </w:t>
      </w:r>
      <w:r w:rsidRPr="001F29F9">
        <w:rPr>
          <w:color w:val="000000"/>
        </w:rPr>
        <w:t xml:space="preserve">He </w:t>
      </w:r>
      <w:r w:rsidR="00F308CA">
        <w:rPr>
          <w:color w:val="000000"/>
        </w:rPr>
        <w:t>fared well post-operatively</w:t>
      </w:r>
      <w:r w:rsidRPr="001F29F9">
        <w:rPr>
          <w:color w:val="000000"/>
        </w:rPr>
        <w:t>, but reinjured his ankle later that year</w:t>
      </w:r>
      <w:r w:rsidR="00F308CA">
        <w:rPr>
          <w:color w:val="000000"/>
        </w:rPr>
        <w:t xml:space="preserve"> and the pain recurred</w:t>
      </w:r>
      <w:r w:rsidRPr="001F29F9">
        <w:rPr>
          <w:color w:val="000000"/>
        </w:rPr>
        <w:t xml:space="preserve">. </w:t>
      </w:r>
      <w:r w:rsidR="00F308CA">
        <w:rPr>
          <w:color w:val="000000"/>
        </w:rPr>
        <w:t xml:space="preserve"> </w:t>
      </w:r>
      <w:r w:rsidRPr="001F29F9">
        <w:rPr>
          <w:color w:val="000000"/>
        </w:rPr>
        <w:t xml:space="preserve">The CI deployed to Iraq in 2003, and </w:t>
      </w:r>
      <w:r w:rsidR="00F308CA">
        <w:rPr>
          <w:color w:val="000000"/>
        </w:rPr>
        <w:t>there</w:t>
      </w:r>
      <w:r w:rsidRPr="001F29F9">
        <w:rPr>
          <w:color w:val="000000"/>
        </w:rPr>
        <w:t xml:space="preserve"> injured his low back </w:t>
      </w:r>
      <w:r w:rsidR="00A5544D">
        <w:rPr>
          <w:color w:val="000000"/>
        </w:rPr>
        <w:t>while</w:t>
      </w:r>
      <w:r w:rsidRPr="001F29F9">
        <w:rPr>
          <w:color w:val="000000"/>
        </w:rPr>
        <w:t xml:space="preserve"> </w:t>
      </w:r>
      <w:r w:rsidR="00F308CA" w:rsidRPr="001F29F9">
        <w:rPr>
          <w:color w:val="000000"/>
        </w:rPr>
        <w:t xml:space="preserve">litter </w:t>
      </w:r>
      <w:r w:rsidR="00F308CA">
        <w:rPr>
          <w:color w:val="000000"/>
        </w:rPr>
        <w:t>bearing</w:t>
      </w:r>
      <w:r w:rsidRPr="001F29F9">
        <w:rPr>
          <w:color w:val="000000"/>
        </w:rPr>
        <w:t xml:space="preserve">. </w:t>
      </w:r>
      <w:r w:rsidR="00F308CA">
        <w:rPr>
          <w:color w:val="000000"/>
        </w:rPr>
        <w:t xml:space="preserve"> </w:t>
      </w:r>
      <w:r w:rsidRPr="001F29F9">
        <w:rPr>
          <w:color w:val="000000"/>
        </w:rPr>
        <w:t xml:space="preserve">He was </w:t>
      </w:r>
      <w:r w:rsidR="00F308CA">
        <w:rPr>
          <w:color w:val="000000"/>
        </w:rPr>
        <w:t xml:space="preserve">subsequently </w:t>
      </w:r>
      <w:r w:rsidR="00F308CA" w:rsidRPr="001F29F9">
        <w:rPr>
          <w:color w:val="000000"/>
        </w:rPr>
        <w:t xml:space="preserve">diagnosed </w:t>
      </w:r>
      <w:r w:rsidR="009844D9">
        <w:rPr>
          <w:color w:val="000000"/>
        </w:rPr>
        <w:t>with non-surgical lumbar</w:t>
      </w:r>
      <w:r w:rsidRPr="001F29F9">
        <w:rPr>
          <w:color w:val="000000"/>
        </w:rPr>
        <w:t xml:space="preserve"> disc </w:t>
      </w:r>
      <w:r w:rsidR="009844D9">
        <w:rPr>
          <w:color w:val="000000"/>
        </w:rPr>
        <w:t>disease</w:t>
      </w:r>
      <w:r w:rsidRPr="001F29F9">
        <w:rPr>
          <w:color w:val="000000"/>
        </w:rPr>
        <w:t xml:space="preserve">, </w:t>
      </w:r>
      <w:r w:rsidR="009844D9">
        <w:rPr>
          <w:color w:val="000000"/>
        </w:rPr>
        <w:t>which</w:t>
      </w:r>
      <w:r w:rsidRPr="001F29F9">
        <w:rPr>
          <w:color w:val="000000"/>
        </w:rPr>
        <w:t xml:space="preserve"> was </w:t>
      </w:r>
      <w:r w:rsidR="009844D9">
        <w:rPr>
          <w:color w:val="000000"/>
        </w:rPr>
        <w:t xml:space="preserve">unresponsive to </w:t>
      </w:r>
      <w:r w:rsidR="00F308CA">
        <w:rPr>
          <w:color w:val="000000"/>
        </w:rPr>
        <w:t xml:space="preserve">conservative </w:t>
      </w:r>
      <w:r w:rsidR="009844D9">
        <w:rPr>
          <w:color w:val="000000"/>
        </w:rPr>
        <w:t>modalities</w:t>
      </w:r>
      <w:r w:rsidRPr="001F29F9">
        <w:rPr>
          <w:color w:val="000000"/>
        </w:rPr>
        <w:t xml:space="preserve">. </w:t>
      </w:r>
      <w:r w:rsidR="00F308CA">
        <w:rPr>
          <w:color w:val="000000"/>
        </w:rPr>
        <w:t xml:space="preserve"> Due to both the ankle and spine conditions, he was unable </w:t>
      </w:r>
      <w:r w:rsidR="00F308CA" w:rsidRPr="00F308CA">
        <w:rPr>
          <w:color w:val="000000"/>
        </w:rPr>
        <w:t xml:space="preserve">to meet the physical requirements of his Military Occupational Specialty (MOS) or satisfy physical fitness standards.  He was issued a permanent L3 </w:t>
      </w:r>
      <w:r w:rsidR="008B0109" w:rsidRPr="00F308CA">
        <w:rPr>
          <w:color w:val="000000"/>
        </w:rPr>
        <w:t xml:space="preserve">profile </w:t>
      </w:r>
      <w:r w:rsidR="008B0109">
        <w:rPr>
          <w:color w:val="000000"/>
        </w:rPr>
        <w:t>and</w:t>
      </w:r>
      <w:r w:rsidR="00F308CA" w:rsidRPr="00F308CA">
        <w:rPr>
          <w:color w:val="000000"/>
        </w:rPr>
        <w:t xml:space="preserve"> referred for a Medical Evaluation Board (MEB).  </w:t>
      </w:r>
      <w:r w:rsidR="006E2AD4">
        <w:rPr>
          <w:color w:val="000000"/>
        </w:rPr>
        <w:t>R</w:t>
      </w:r>
      <w:r w:rsidRPr="00D97303">
        <w:rPr>
          <w:color w:val="000000"/>
        </w:rPr>
        <w:t xml:space="preserve">ight foot pain and lower back pain were forwarded to the Physical Evaluation Board (PEB) as medically unacceptable </w:t>
      </w:r>
      <w:r w:rsidR="006E2AD4">
        <w:rPr>
          <w:color w:val="000000"/>
        </w:rPr>
        <w:t xml:space="preserve">conditions </w:t>
      </w:r>
      <w:r w:rsidRPr="00D97303">
        <w:rPr>
          <w:color w:val="000000"/>
        </w:rPr>
        <w:t>IAW AR 40-501.</w:t>
      </w:r>
      <w:r w:rsidR="006E2AD4">
        <w:rPr>
          <w:color w:val="000000"/>
        </w:rPr>
        <w:t xml:space="preserve"> </w:t>
      </w:r>
      <w:r w:rsidRPr="00D97303">
        <w:rPr>
          <w:color w:val="000000"/>
        </w:rPr>
        <w:t xml:space="preserve"> No other conditions </w:t>
      </w:r>
      <w:r w:rsidR="006E2AD4">
        <w:rPr>
          <w:color w:val="000000"/>
        </w:rPr>
        <w:t xml:space="preserve">were submitted by the MEB.  </w:t>
      </w:r>
      <w:r w:rsidRPr="00D97303">
        <w:rPr>
          <w:color w:val="000000"/>
        </w:rPr>
        <w:t xml:space="preserve">Other conditions </w:t>
      </w:r>
      <w:r w:rsidR="006E2AD4">
        <w:rPr>
          <w:color w:val="000000"/>
        </w:rPr>
        <w:t>evidenced</w:t>
      </w:r>
      <w:r w:rsidRPr="00D97303">
        <w:rPr>
          <w:color w:val="000000"/>
        </w:rPr>
        <w:t xml:space="preserve"> in the Disability Evaluation System (DES) </w:t>
      </w:r>
      <w:r w:rsidR="006E2AD4">
        <w:rPr>
          <w:color w:val="000000"/>
        </w:rPr>
        <w:t>are addressed</w:t>
      </w:r>
      <w:r w:rsidRPr="00D97303">
        <w:rPr>
          <w:color w:val="000000"/>
        </w:rPr>
        <w:t xml:space="preserve"> below. </w:t>
      </w:r>
      <w:r w:rsidR="006E2AD4">
        <w:rPr>
          <w:color w:val="000000"/>
        </w:rPr>
        <w:t xml:space="preserve"> The </w:t>
      </w:r>
      <w:r w:rsidRPr="00D97303">
        <w:rPr>
          <w:color w:val="000000"/>
        </w:rPr>
        <w:t xml:space="preserve">PEB adjudicated the right </w:t>
      </w:r>
      <w:r w:rsidR="006E2AD4">
        <w:rPr>
          <w:color w:val="000000"/>
        </w:rPr>
        <w:t>ankle</w:t>
      </w:r>
      <w:r w:rsidRPr="00D97303">
        <w:rPr>
          <w:color w:val="000000"/>
        </w:rPr>
        <w:t xml:space="preserve"> </w:t>
      </w:r>
      <w:r w:rsidR="006E2AD4" w:rsidRPr="00D97303">
        <w:rPr>
          <w:color w:val="000000"/>
        </w:rPr>
        <w:t xml:space="preserve">and </w:t>
      </w:r>
      <w:r w:rsidR="006E2AD4">
        <w:rPr>
          <w:color w:val="000000"/>
        </w:rPr>
        <w:t xml:space="preserve">lumbar </w:t>
      </w:r>
      <w:r w:rsidRPr="00D97303">
        <w:rPr>
          <w:color w:val="000000"/>
        </w:rPr>
        <w:t>condition</w:t>
      </w:r>
      <w:r w:rsidR="006E2AD4">
        <w:rPr>
          <w:color w:val="000000"/>
        </w:rPr>
        <w:t>s</w:t>
      </w:r>
      <w:r w:rsidRPr="00D97303">
        <w:rPr>
          <w:color w:val="000000"/>
        </w:rPr>
        <w:t xml:space="preserve"> </w:t>
      </w:r>
      <w:r w:rsidR="006E2AD4">
        <w:rPr>
          <w:color w:val="000000"/>
        </w:rPr>
        <w:t>as unfitting;</w:t>
      </w:r>
      <w:r w:rsidRPr="00D97303">
        <w:rPr>
          <w:color w:val="000000"/>
        </w:rPr>
        <w:t xml:space="preserve"> </w:t>
      </w:r>
      <w:r w:rsidR="006E2AD4">
        <w:rPr>
          <w:color w:val="000000"/>
        </w:rPr>
        <w:t>each</w:t>
      </w:r>
      <w:r w:rsidR="006E2AD4" w:rsidRPr="00D97303">
        <w:rPr>
          <w:color w:val="000000"/>
        </w:rPr>
        <w:t xml:space="preserve"> </w:t>
      </w:r>
      <w:r w:rsidRPr="00D97303">
        <w:rPr>
          <w:color w:val="000000"/>
        </w:rPr>
        <w:t xml:space="preserve">rated 10%, </w:t>
      </w:r>
      <w:r w:rsidR="00A5544D">
        <w:rPr>
          <w:color w:val="000000"/>
        </w:rPr>
        <w:t>and</w:t>
      </w:r>
      <w:r w:rsidR="007D41FB">
        <w:rPr>
          <w:color w:val="000000"/>
        </w:rPr>
        <w:t xml:space="preserve"> each citing </w:t>
      </w:r>
      <w:r w:rsidR="006E2AD4">
        <w:rPr>
          <w:color w:val="000000"/>
        </w:rPr>
        <w:t>criteria</w:t>
      </w:r>
      <w:r w:rsidRPr="00D97303">
        <w:rPr>
          <w:color w:val="000000"/>
        </w:rPr>
        <w:t xml:space="preserve"> of the US Army Physical Disability Agency (USAPDA) pain policy. </w:t>
      </w:r>
      <w:r w:rsidR="007D41FB">
        <w:rPr>
          <w:color w:val="000000"/>
        </w:rPr>
        <w:t xml:space="preserve"> </w:t>
      </w:r>
      <w:r w:rsidRPr="00D97303">
        <w:rPr>
          <w:color w:val="000000"/>
        </w:rPr>
        <w:t>The CI made no appeals, and was medically separated with a 20% combined disability rating.</w:t>
      </w:r>
    </w:p>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r w:rsidRPr="001F29F9">
        <w:rPr>
          <w:color w:val="000000"/>
          <w:u w:val="single"/>
        </w:rPr>
        <w:t>CI CONTENTION</w:t>
      </w:r>
      <w:r w:rsidRPr="001F29F9">
        <w:rPr>
          <w:color w:val="000000"/>
        </w:rPr>
        <w:t>:</w:t>
      </w:r>
      <w:r w:rsidRPr="005D639F">
        <w:rPr>
          <w:b/>
          <w:color w:val="auto"/>
        </w:rPr>
        <w:t xml:space="preserve"> </w:t>
      </w:r>
      <w:r>
        <w:rPr>
          <w:color w:val="000000"/>
        </w:rPr>
        <w:t>“I feel like the issues for PTSD, Right Ankle Tarsal Tunnel Release (February 2002), Lower Lumbar Spine L4-L5 S1 was under rated after discharged from the Army I had a Spinal Fusion to my Lower Back with no relief.”</w:t>
      </w:r>
      <w:r w:rsidRPr="00B37FBA">
        <w:rPr>
          <w:b/>
          <w:color w:val="auto"/>
        </w:rPr>
        <w:t xml:space="preserve"> </w:t>
      </w:r>
    </w:p>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p>
    <w:p w:rsidR="006537A7" w:rsidRPr="00D97303" w:rsidRDefault="006537A7" w:rsidP="00FE7C22">
      <w:pPr>
        <w:jc w:val="both"/>
        <w:rPr>
          <w:color w:val="000000"/>
        </w:rPr>
      </w:pPr>
      <w:r w:rsidRPr="001F29F9">
        <w:rPr>
          <w:color w:val="000000"/>
          <w:u w:val="single"/>
        </w:rPr>
        <w:t>RATING COMPARISON</w:t>
      </w:r>
      <w:r w:rsidRPr="001F29F9">
        <w:rPr>
          <w:color w:val="000000"/>
        </w:rPr>
        <w:t>:</w:t>
      </w:r>
      <w:r w:rsidRPr="00D97303">
        <w:rPr>
          <w:color w:val="000000"/>
        </w:rPr>
        <w:t xml:space="preserve"> </w:t>
      </w:r>
    </w:p>
    <w:p w:rsidR="006537A7" w:rsidRPr="001F29F9" w:rsidRDefault="006537A7" w:rsidP="00FE7C22">
      <w:pPr>
        <w:jc w:val="both"/>
        <w:rPr>
          <w:color w:val="000000"/>
        </w:rPr>
      </w:pPr>
    </w:p>
    <w:tbl>
      <w:tblPr>
        <w:tblStyle w:val="TableGrid"/>
        <w:tblpPr w:leftFromText="187" w:rightFromText="187" w:vertAnchor="text" w:tblpXSpec="center" w:tblpY="1"/>
        <w:tblOverlap w:val="never"/>
        <w:tblW w:w="9378" w:type="dxa"/>
        <w:jc w:val="center"/>
        <w:tblLayout w:type="fixed"/>
        <w:tblLook w:val="00A0"/>
      </w:tblPr>
      <w:tblGrid>
        <w:gridCol w:w="2178"/>
        <w:gridCol w:w="1080"/>
        <w:gridCol w:w="900"/>
        <w:gridCol w:w="2880"/>
        <w:gridCol w:w="630"/>
        <w:gridCol w:w="720"/>
        <w:gridCol w:w="990"/>
      </w:tblGrid>
      <w:tr w:rsidR="006537A7" w:rsidRPr="009E3E47" w:rsidTr="0096417B">
        <w:trPr>
          <w:trHeight w:val="170"/>
          <w:jc w:val="center"/>
        </w:trPr>
        <w:tc>
          <w:tcPr>
            <w:tcW w:w="4158" w:type="dxa"/>
            <w:gridSpan w:val="3"/>
            <w:tcBorders>
              <w:right w:val="thinThickThinSmallGap" w:sz="24" w:space="0" w:color="auto"/>
            </w:tcBorders>
            <w:shd w:val="clear" w:color="auto" w:fill="D9D9D9"/>
            <w:vAlign w:val="center"/>
          </w:tcPr>
          <w:p w:rsidR="006537A7" w:rsidRPr="009E3E47" w:rsidRDefault="006E2AD4" w:rsidP="0096417B">
            <w:pPr>
              <w:contextualSpacing/>
              <w:rPr>
                <w:rFonts w:cs="Calibri"/>
                <w:b/>
                <w:color w:val="000000"/>
                <w:sz w:val="18"/>
              </w:rPr>
            </w:pPr>
            <w:r>
              <w:rPr>
                <w:b/>
                <w:color w:val="000000"/>
                <w:sz w:val="18"/>
              </w:rPr>
              <w:t xml:space="preserve">Service </w:t>
            </w:r>
            <w:r w:rsidR="006537A7" w:rsidRPr="009E3E47">
              <w:rPr>
                <w:b/>
                <w:color w:val="000000"/>
                <w:sz w:val="18"/>
              </w:rPr>
              <w:t>PEB – Dated 20050418</w:t>
            </w:r>
          </w:p>
        </w:tc>
        <w:tc>
          <w:tcPr>
            <w:tcW w:w="5220" w:type="dxa"/>
            <w:gridSpan w:val="4"/>
            <w:tcBorders>
              <w:left w:val="thinThickThinSmallGap" w:sz="24" w:space="0" w:color="auto"/>
            </w:tcBorders>
            <w:shd w:val="clear" w:color="auto" w:fill="D9D9D9"/>
            <w:vAlign w:val="center"/>
          </w:tcPr>
          <w:p w:rsidR="006537A7" w:rsidRPr="009E3E47" w:rsidRDefault="008A0813" w:rsidP="0096417B">
            <w:pPr>
              <w:contextualSpacing/>
              <w:rPr>
                <w:rFonts w:cs="Calibri"/>
                <w:b/>
                <w:color w:val="000000"/>
                <w:sz w:val="18"/>
              </w:rPr>
            </w:pPr>
            <w:r>
              <w:rPr>
                <w:b/>
                <w:color w:val="000000"/>
                <w:sz w:val="18"/>
              </w:rPr>
              <w:t>VA (11</w:t>
            </w:r>
            <w:r w:rsidR="006537A7" w:rsidRPr="009E3E47">
              <w:rPr>
                <w:b/>
                <w:color w:val="000000"/>
                <w:sz w:val="18"/>
              </w:rPr>
              <w:t xml:space="preserve"> Mo. Post-Separation) – All Effective 20050628</w:t>
            </w:r>
          </w:p>
        </w:tc>
      </w:tr>
      <w:tr w:rsidR="006537A7" w:rsidRPr="009E3E47" w:rsidTr="0096417B">
        <w:trPr>
          <w:trHeight w:val="97"/>
          <w:jc w:val="center"/>
        </w:trPr>
        <w:tc>
          <w:tcPr>
            <w:tcW w:w="2178" w:type="dxa"/>
            <w:tcBorders>
              <w:right w:val="single" w:sz="4" w:space="0" w:color="auto"/>
            </w:tcBorders>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Condition</w:t>
            </w:r>
          </w:p>
        </w:tc>
        <w:tc>
          <w:tcPr>
            <w:tcW w:w="1080" w:type="dxa"/>
            <w:tcBorders>
              <w:left w:val="single" w:sz="4" w:space="0" w:color="auto"/>
            </w:tcBorders>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Code</w:t>
            </w:r>
          </w:p>
        </w:tc>
        <w:tc>
          <w:tcPr>
            <w:tcW w:w="900" w:type="dxa"/>
            <w:tcBorders>
              <w:right w:val="thinThickThinSmallGap" w:sz="24" w:space="0" w:color="auto"/>
            </w:tcBorders>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Rating</w:t>
            </w:r>
          </w:p>
        </w:tc>
        <w:tc>
          <w:tcPr>
            <w:tcW w:w="2880" w:type="dxa"/>
            <w:tcBorders>
              <w:left w:val="thinThickThinSmallGap" w:sz="24" w:space="0" w:color="auto"/>
            </w:tcBorders>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Condition</w:t>
            </w:r>
          </w:p>
        </w:tc>
        <w:tc>
          <w:tcPr>
            <w:tcW w:w="630" w:type="dxa"/>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Code</w:t>
            </w:r>
          </w:p>
        </w:tc>
        <w:tc>
          <w:tcPr>
            <w:tcW w:w="720" w:type="dxa"/>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Rating</w:t>
            </w:r>
          </w:p>
        </w:tc>
        <w:tc>
          <w:tcPr>
            <w:tcW w:w="990" w:type="dxa"/>
            <w:shd w:val="clear" w:color="auto" w:fill="D9D9D9"/>
            <w:vAlign w:val="center"/>
          </w:tcPr>
          <w:p w:rsidR="006537A7" w:rsidRPr="009E3E47" w:rsidRDefault="006537A7" w:rsidP="0096417B">
            <w:pPr>
              <w:contextualSpacing/>
              <w:rPr>
                <w:rFonts w:cs="Calibri"/>
                <w:b/>
                <w:color w:val="000000"/>
                <w:sz w:val="18"/>
              </w:rPr>
            </w:pPr>
            <w:r w:rsidRPr="009E3E47">
              <w:rPr>
                <w:b/>
                <w:color w:val="000000"/>
                <w:sz w:val="18"/>
              </w:rPr>
              <w:t>Exam</w:t>
            </w:r>
          </w:p>
        </w:tc>
      </w:tr>
      <w:tr w:rsidR="006537A7" w:rsidRPr="009E3E47" w:rsidTr="0096417B">
        <w:trPr>
          <w:trHeight w:val="115"/>
          <w:jc w:val="center"/>
        </w:trPr>
        <w:tc>
          <w:tcPr>
            <w:tcW w:w="2178" w:type="dxa"/>
            <w:tcBorders>
              <w:right w:val="single" w:sz="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sidRPr="009E3E47">
              <w:rPr>
                <w:color w:val="000000"/>
                <w:sz w:val="18"/>
              </w:rPr>
              <w:t>Chronic Right Foot Pain</w:t>
            </w:r>
          </w:p>
        </w:tc>
        <w:tc>
          <w:tcPr>
            <w:tcW w:w="1080" w:type="dxa"/>
            <w:tcBorders>
              <w:left w:val="single" w:sz="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5099-5003</w:t>
            </w:r>
          </w:p>
        </w:tc>
        <w:tc>
          <w:tcPr>
            <w:tcW w:w="900" w:type="dxa"/>
            <w:tcBorders>
              <w:right w:val="thinThickThinSmallGap" w:sz="24" w:space="0" w:color="auto"/>
            </w:tcBorders>
            <w:shd w:val="clear" w:color="auto" w:fill="FFFFFF"/>
            <w:vAlign w:val="center"/>
          </w:tcPr>
          <w:p w:rsidR="006537A7" w:rsidRPr="001F29F9" w:rsidRDefault="006537A7" w:rsidP="0096417B">
            <w:pPr>
              <w:spacing w:line="220" w:lineRule="exact"/>
              <w:rPr>
                <w:rFonts w:cs="Calibri"/>
                <w:color w:val="000000"/>
                <w:sz w:val="18"/>
              </w:rPr>
            </w:pPr>
            <w:r w:rsidRPr="009E3E47">
              <w:rPr>
                <w:color w:val="000000"/>
                <w:sz w:val="18"/>
              </w:rPr>
              <w:t>10%</w:t>
            </w:r>
          </w:p>
        </w:tc>
        <w:tc>
          <w:tcPr>
            <w:tcW w:w="2880" w:type="dxa"/>
            <w:tcBorders>
              <w:left w:val="thinThickThinSmallGap" w:sz="2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sidRPr="009E3E47">
              <w:rPr>
                <w:color w:val="000000"/>
                <w:sz w:val="18"/>
              </w:rPr>
              <w:t>Right Ankle Tarsal Tunnel Release</w:t>
            </w:r>
          </w:p>
        </w:tc>
        <w:tc>
          <w:tcPr>
            <w:tcW w:w="63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8721</w:t>
            </w:r>
          </w:p>
        </w:tc>
        <w:tc>
          <w:tcPr>
            <w:tcW w:w="72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10%</w:t>
            </w:r>
          </w:p>
        </w:tc>
        <w:tc>
          <w:tcPr>
            <w:tcW w:w="99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20060522</w:t>
            </w:r>
          </w:p>
        </w:tc>
      </w:tr>
      <w:tr w:rsidR="006537A7" w:rsidRPr="009E3E47" w:rsidTr="0096417B">
        <w:trPr>
          <w:trHeight w:val="106"/>
          <w:jc w:val="center"/>
        </w:trPr>
        <w:tc>
          <w:tcPr>
            <w:tcW w:w="2178" w:type="dxa"/>
            <w:tcBorders>
              <w:right w:val="single" w:sz="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sidRPr="009E3E47">
              <w:rPr>
                <w:color w:val="000000"/>
                <w:sz w:val="18"/>
              </w:rPr>
              <w:t>Chronic Low Back Pain</w:t>
            </w:r>
          </w:p>
        </w:tc>
        <w:tc>
          <w:tcPr>
            <w:tcW w:w="1080" w:type="dxa"/>
            <w:tcBorders>
              <w:left w:val="single" w:sz="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5299-5237</w:t>
            </w:r>
          </w:p>
        </w:tc>
        <w:tc>
          <w:tcPr>
            <w:tcW w:w="900" w:type="dxa"/>
            <w:tcBorders>
              <w:right w:val="thinThickThinSmallGap" w:sz="24" w:space="0" w:color="auto"/>
            </w:tcBorders>
            <w:shd w:val="clear" w:color="auto" w:fill="FFFFFF"/>
            <w:vAlign w:val="center"/>
          </w:tcPr>
          <w:p w:rsidR="006537A7" w:rsidRPr="001F29F9" w:rsidRDefault="006537A7" w:rsidP="0096417B">
            <w:pPr>
              <w:spacing w:line="220" w:lineRule="exact"/>
              <w:rPr>
                <w:rFonts w:cs="Calibri"/>
                <w:color w:val="000000"/>
                <w:sz w:val="18"/>
              </w:rPr>
            </w:pPr>
            <w:r w:rsidRPr="009E3E47">
              <w:rPr>
                <w:color w:val="000000"/>
                <w:sz w:val="18"/>
              </w:rPr>
              <w:t>10%</w:t>
            </w:r>
          </w:p>
        </w:tc>
        <w:tc>
          <w:tcPr>
            <w:tcW w:w="2880" w:type="dxa"/>
            <w:tcBorders>
              <w:left w:val="thinThickThinSmallGap" w:sz="24" w:space="0" w:color="auto"/>
              <w:right w:val="single" w:sz="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sidRPr="009E3E47">
              <w:rPr>
                <w:color w:val="000000"/>
                <w:sz w:val="18"/>
              </w:rPr>
              <w:t>Traumatic Arthritis, LS Spine</w:t>
            </w:r>
          </w:p>
        </w:tc>
        <w:tc>
          <w:tcPr>
            <w:tcW w:w="630" w:type="dxa"/>
            <w:tcBorders>
              <w:left w:val="single" w:sz="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5242</w:t>
            </w:r>
          </w:p>
        </w:tc>
        <w:tc>
          <w:tcPr>
            <w:tcW w:w="72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20%</w:t>
            </w:r>
          </w:p>
        </w:tc>
        <w:tc>
          <w:tcPr>
            <w:tcW w:w="99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20060522</w:t>
            </w:r>
          </w:p>
        </w:tc>
      </w:tr>
      <w:tr w:rsidR="006537A7" w:rsidRPr="009E3E47" w:rsidTr="0096417B">
        <w:trPr>
          <w:trHeight w:val="97"/>
          <w:jc w:val="center"/>
        </w:trPr>
        <w:tc>
          <w:tcPr>
            <w:tcW w:w="4158" w:type="dxa"/>
            <w:gridSpan w:val="3"/>
            <w:vMerge w:val="restart"/>
            <w:tcBorders>
              <w:right w:val="thinThickThinSmallGap" w:sz="24" w:space="0" w:color="auto"/>
            </w:tcBorders>
            <w:shd w:val="clear" w:color="auto" w:fill="FFFFFF"/>
          </w:tcPr>
          <w:p w:rsidR="006537A7" w:rsidRPr="001F29F9" w:rsidRDefault="006537A7" w:rsidP="0096417B">
            <w:pPr>
              <w:spacing w:line="220" w:lineRule="exact"/>
              <w:contextualSpacing/>
              <w:rPr>
                <w:rFonts w:cs="Calibri"/>
                <w:color w:val="000000"/>
                <w:sz w:val="18"/>
                <w:highlight w:val="yellow"/>
              </w:rPr>
            </w:pPr>
            <w:r w:rsidRPr="009E3E47">
              <w:rPr>
                <w:color w:val="000000"/>
                <w:sz w:val="18"/>
              </w:rPr>
              <w:t>↓No Additional MEB/PEB Entries↓</w:t>
            </w:r>
          </w:p>
        </w:tc>
        <w:tc>
          <w:tcPr>
            <w:tcW w:w="2880" w:type="dxa"/>
            <w:tcBorders>
              <w:left w:val="thinThickThinSmallGap" w:sz="24" w:space="0" w:color="auto"/>
              <w:right w:val="single" w:sz="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Pr>
                <w:color w:val="000000"/>
                <w:sz w:val="18"/>
              </w:rPr>
              <w:t>PTSD</w:t>
            </w:r>
          </w:p>
        </w:tc>
        <w:tc>
          <w:tcPr>
            <w:tcW w:w="630" w:type="dxa"/>
            <w:tcBorders>
              <w:left w:val="single" w:sz="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Pr>
                <w:color w:val="000000"/>
                <w:sz w:val="18"/>
              </w:rPr>
              <w:t>9411</w:t>
            </w:r>
          </w:p>
        </w:tc>
        <w:tc>
          <w:tcPr>
            <w:tcW w:w="720" w:type="dxa"/>
            <w:shd w:val="clear" w:color="auto" w:fill="FFFFFF"/>
            <w:vAlign w:val="center"/>
          </w:tcPr>
          <w:p w:rsidR="006537A7" w:rsidRPr="001F29F9" w:rsidRDefault="006537A7" w:rsidP="0096417B">
            <w:pPr>
              <w:spacing w:line="220" w:lineRule="exact"/>
              <w:contextualSpacing/>
              <w:rPr>
                <w:rFonts w:cs="Calibri"/>
                <w:color w:val="000000"/>
                <w:sz w:val="18"/>
              </w:rPr>
            </w:pPr>
            <w:r>
              <w:rPr>
                <w:color w:val="000000"/>
                <w:sz w:val="18"/>
              </w:rPr>
              <w:t>30%</w:t>
            </w:r>
          </w:p>
        </w:tc>
        <w:tc>
          <w:tcPr>
            <w:tcW w:w="990" w:type="dxa"/>
            <w:shd w:val="clear" w:color="auto" w:fill="FFFFFF"/>
            <w:vAlign w:val="center"/>
          </w:tcPr>
          <w:p w:rsidR="006537A7" w:rsidRPr="0089409F" w:rsidRDefault="006537A7" w:rsidP="0096417B">
            <w:pPr>
              <w:spacing w:line="220" w:lineRule="exact"/>
              <w:contextualSpacing/>
              <w:rPr>
                <w:rFonts w:cs="Calibri"/>
                <w:color w:val="000000"/>
                <w:sz w:val="18"/>
              </w:rPr>
            </w:pPr>
            <w:r w:rsidRPr="0089409F">
              <w:rPr>
                <w:color w:val="000000"/>
                <w:sz w:val="18"/>
              </w:rPr>
              <w:t>20051101</w:t>
            </w:r>
          </w:p>
        </w:tc>
      </w:tr>
      <w:tr w:rsidR="006537A7" w:rsidRPr="009E3E47" w:rsidTr="0096417B">
        <w:trPr>
          <w:trHeight w:val="178"/>
          <w:jc w:val="center"/>
        </w:trPr>
        <w:tc>
          <w:tcPr>
            <w:tcW w:w="4158" w:type="dxa"/>
            <w:gridSpan w:val="3"/>
            <w:vMerge/>
            <w:tcBorders>
              <w:right w:val="thinThickThinSmallGap" w:sz="24" w:space="0" w:color="auto"/>
            </w:tcBorders>
            <w:shd w:val="clear" w:color="auto" w:fill="FFFFFF"/>
            <w:vAlign w:val="center"/>
          </w:tcPr>
          <w:p w:rsidR="006537A7" w:rsidRPr="001F29F9" w:rsidRDefault="006537A7" w:rsidP="0096417B">
            <w:pPr>
              <w:spacing w:line="220" w:lineRule="exact"/>
              <w:contextualSpacing/>
              <w:rPr>
                <w:rFonts w:cs="Calibri"/>
                <w:color w:val="000000"/>
                <w:sz w:val="18"/>
                <w:highlight w:val="yellow"/>
              </w:rPr>
            </w:pPr>
          </w:p>
        </w:tc>
        <w:tc>
          <w:tcPr>
            <w:tcW w:w="2880" w:type="dxa"/>
            <w:tcBorders>
              <w:left w:val="thinThickThinSmallGap" w:sz="24" w:space="0" w:color="auto"/>
              <w:right w:val="single" w:sz="4" w:space="0" w:color="auto"/>
            </w:tcBorders>
            <w:shd w:val="clear" w:color="auto" w:fill="FFFFFF"/>
            <w:vAlign w:val="center"/>
          </w:tcPr>
          <w:p w:rsidR="006537A7" w:rsidRPr="001F29F9" w:rsidRDefault="006537A7" w:rsidP="0096417B">
            <w:pPr>
              <w:spacing w:line="220" w:lineRule="exact"/>
              <w:contextualSpacing/>
              <w:jc w:val="left"/>
              <w:rPr>
                <w:rFonts w:cs="Calibri"/>
                <w:color w:val="000000"/>
                <w:sz w:val="18"/>
              </w:rPr>
            </w:pPr>
            <w:r>
              <w:rPr>
                <w:color w:val="000000"/>
                <w:sz w:val="18"/>
              </w:rPr>
              <w:t>Tinnitus</w:t>
            </w:r>
          </w:p>
        </w:tc>
        <w:tc>
          <w:tcPr>
            <w:tcW w:w="630" w:type="dxa"/>
            <w:tcBorders>
              <w:left w:val="single" w:sz="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Pr>
                <w:color w:val="000000"/>
                <w:sz w:val="18"/>
              </w:rPr>
              <w:t>6260</w:t>
            </w:r>
          </w:p>
        </w:tc>
        <w:tc>
          <w:tcPr>
            <w:tcW w:w="720" w:type="dxa"/>
            <w:shd w:val="clear" w:color="auto" w:fill="FFFFFF"/>
            <w:vAlign w:val="center"/>
          </w:tcPr>
          <w:p w:rsidR="006537A7" w:rsidRPr="001F29F9" w:rsidRDefault="006537A7" w:rsidP="0096417B">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6537A7" w:rsidRPr="00A73DB1" w:rsidRDefault="006537A7" w:rsidP="0096417B">
            <w:pPr>
              <w:spacing w:line="220" w:lineRule="exact"/>
              <w:contextualSpacing/>
              <w:rPr>
                <w:rFonts w:cs="Calibri"/>
                <w:color w:val="000000"/>
                <w:sz w:val="18"/>
              </w:rPr>
            </w:pPr>
            <w:r w:rsidRPr="00A73DB1">
              <w:rPr>
                <w:color w:val="000000"/>
                <w:sz w:val="18"/>
              </w:rPr>
              <w:t>20060522</w:t>
            </w:r>
          </w:p>
        </w:tc>
      </w:tr>
      <w:tr w:rsidR="006537A7" w:rsidRPr="009E3E47" w:rsidTr="0096417B">
        <w:trPr>
          <w:trHeight w:val="133"/>
          <w:jc w:val="center"/>
        </w:trPr>
        <w:tc>
          <w:tcPr>
            <w:tcW w:w="4158" w:type="dxa"/>
            <w:gridSpan w:val="3"/>
            <w:vMerge/>
            <w:tcBorders>
              <w:right w:val="thinThickThinSmallGap" w:sz="2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p>
        </w:tc>
        <w:tc>
          <w:tcPr>
            <w:tcW w:w="4230" w:type="dxa"/>
            <w:gridSpan w:val="3"/>
            <w:tcBorders>
              <w:left w:val="thinThickThinSmallGap" w:sz="24" w:space="0" w:color="auto"/>
            </w:tcBorders>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Not Service Connected x 2</w:t>
            </w:r>
          </w:p>
        </w:tc>
        <w:tc>
          <w:tcPr>
            <w:tcW w:w="990" w:type="dxa"/>
            <w:shd w:val="clear" w:color="auto" w:fill="FFFFFF"/>
            <w:vAlign w:val="center"/>
          </w:tcPr>
          <w:p w:rsidR="006537A7" w:rsidRPr="001F29F9" w:rsidRDefault="006537A7" w:rsidP="0096417B">
            <w:pPr>
              <w:spacing w:line="220" w:lineRule="exact"/>
              <w:contextualSpacing/>
              <w:rPr>
                <w:rFonts w:cs="Calibri"/>
                <w:color w:val="000000"/>
                <w:sz w:val="18"/>
              </w:rPr>
            </w:pPr>
            <w:r w:rsidRPr="009E3E47">
              <w:rPr>
                <w:color w:val="000000"/>
                <w:sz w:val="18"/>
              </w:rPr>
              <w:t>20060522</w:t>
            </w:r>
          </w:p>
        </w:tc>
      </w:tr>
      <w:tr w:rsidR="006537A7" w:rsidRPr="009E3E47" w:rsidTr="0096417B">
        <w:trPr>
          <w:trHeight w:val="124"/>
          <w:jc w:val="center"/>
        </w:trPr>
        <w:tc>
          <w:tcPr>
            <w:tcW w:w="4158" w:type="dxa"/>
            <w:gridSpan w:val="3"/>
            <w:tcBorders>
              <w:right w:val="thinThickThinSmallGap" w:sz="24" w:space="0" w:color="auto"/>
            </w:tcBorders>
            <w:shd w:val="clear" w:color="auto" w:fill="D9D9D9"/>
          </w:tcPr>
          <w:p w:rsidR="006537A7" w:rsidRPr="009E3E47" w:rsidRDefault="006537A7" w:rsidP="0096417B">
            <w:pPr>
              <w:contextualSpacing/>
              <w:rPr>
                <w:rFonts w:cs="Calibri"/>
                <w:b/>
                <w:color w:val="000000"/>
                <w:sz w:val="18"/>
              </w:rPr>
            </w:pPr>
            <w:r w:rsidRPr="009E3E47">
              <w:rPr>
                <w:b/>
                <w:color w:val="000000"/>
                <w:sz w:val="18"/>
              </w:rPr>
              <w:t>Combined:  20%</w:t>
            </w:r>
          </w:p>
        </w:tc>
        <w:tc>
          <w:tcPr>
            <w:tcW w:w="5220" w:type="dxa"/>
            <w:gridSpan w:val="4"/>
            <w:tcBorders>
              <w:left w:val="thinThickThinSmallGap" w:sz="24" w:space="0" w:color="auto"/>
            </w:tcBorders>
            <w:shd w:val="clear" w:color="auto" w:fill="D9D9D9"/>
          </w:tcPr>
          <w:p w:rsidR="006537A7" w:rsidRPr="009E3E47" w:rsidRDefault="006537A7" w:rsidP="0096417B">
            <w:pPr>
              <w:contextualSpacing/>
              <w:rPr>
                <w:rFonts w:cs="Calibri"/>
                <w:b/>
                <w:color w:val="000000"/>
                <w:sz w:val="18"/>
              </w:rPr>
            </w:pPr>
            <w:r w:rsidRPr="009E3E47">
              <w:rPr>
                <w:b/>
                <w:color w:val="000000"/>
                <w:sz w:val="18"/>
              </w:rPr>
              <w:t>Combined:  60%</w:t>
            </w:r>
          </w:p>
        </w:tc>
      </w:tr>
    </w:tbl>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9369A6">
      <w:pPr>
        <w:rPr>
          <w:color w:val="000000"/>
          <w:u w:val="single"/>
        </w:rPr>
      </w:pPr>
    </w:p>
    <w:p w:rsidR="006537A7" w:rsidRPr="00B505E9" w:rsidRDefault="006537A7" w:rsidP="00AF1DBB">
      <w:pPr>
        <w:jc w:val="both"/>
        <w:rPr>
          <w:color w:val="000000"/>
        </w:rPr>
      </w:pPr>
      <w:r w:rsidRPr="001F29F9">
        <w:rPr>
          <w:color w:val="000000"/>
          <w:u w:val="single"/>
        </w:rPr>
        <w:t>ANALYSIS SUMMARY</w:t>
      </w:r>
      <w:r w:rsidRPr="001F29F9">
        <w:rPr>
          <w:color w:val="000000"/>
        </w:rPr>
        <w:t>:</w:t>
      </w:r>
      <w:r>
        <w:rPr>
          <w:color w:val="000000"/>
        </w:rPr>
        <w:t xml:space="preserve"> </w:t>
      </w:r>
      <w:r w:rsidR="008A0813">
        <w:rPr>
          <w:color w:val="000000"/>
        </w:rPr>
        <w:t xml:space="preserve"> </w:t>
      </w:r>
      <w:r w:rsidR="008A0813" w:rsidRPr="008A0813">
        <w:rPr>
          <w:color w:val="000000"/>
        </w:rPr>
        <w:t>The Board acknowledges the sentiment expressed in the CI’s application regarding the significant impairment with which his service-incurred condition continues to burden him.  The Board wishes to clarify that it i</w:t>
      </w:r>
      <w:r w:rsidR="003C0B51">
        <w:rPr>
          <w:color w:val="000000"/>
        </w:rPr>
        <w:t>s subject to the same laws for s</w:t>
      </w:r>
      <w:r w:rsidR="008A0813" w:rsidRPr="008A0813">
        <w:rPr>
          <w:color w:val="000000"/>
        </w:rPr>
        <w:t>ervice disability entitl</w:t>
      </w:r>
      <w:r w:rsidR="00A30E6D">
        <w:rPr>
          <w:color w:val="000000"/>
        </w:rPr>
        <w:t xml:space="preserve">ements as those under which the DES operates.  The </w:t>
      </w:r>
      <w:r w:rsidR="008A0813" w:rsidRPr="008A0813">
        <w:rPr>
          <w:color w:val="000000"/>
        </w:rPr>
        <w:t>DES has neither the role nor the authority to compensate service members for anticipated future severity or potential complications of conditions resulting in medical separation.  That role and authority is granted by Congress to the Department of Veteran</w:t>
      </w:r>
      <w:r w:rsidR="00A30E6D">
        <w:rPr>
          <w:color w:val="000000"/>
        </w:rPr>
        <w:t>s’</w:t>
      </w:r>
      <w:r w:rsidR="008A0813" w:rsidRPr="008A0813">
        <w:rPr>
          <w:color w:val="000000"/>
        </w:rPr>
        <w:t xml:space="preserve"> Affairs (DVA), operating under a different set of laws (Title 38, United States Code).  The Board evaluates VA evidence proximal to separation in arriving at its recommendations, but its authority resides in evaluating the fairness of DES </w:t>
      </w:r>
      <w:r w:rsidR="008A0813" w:rsidRPr="008A0813">
        <w:rPr>
          <w:color w:val="000000"/>
        </w:rPr>
        <w:lastRenderedPageBreak/>
        <w:t xml:space="preserve">fitness decisions and rating determinations for disability at the time of separation.  The Board further acknowledges the CI’s contention for </w:t>
      </w:r>
      <w:r w:rsidR="00A30E6D">
        <w:rPr>
          <w:color w:val="000000"/>
        </w:rPr>
        <w:t>s</w:t>
      </w:r>
      <w:r w:rsidR="008A0813" w:rsidRPr="008A0813">
        <w:rPr>
          <w:color w:val="000000"/>
        </w:rPr>
        <w:t>ervice ratings for other conditions documented at the time of separation, and notes that its recommendations in that regard must comply with t</w:t>
      </w:r>
      <w:r w:rsidR="00A30E6D">
        <w:rPr>
          <w:color w:val="000000"/>
        </w:rPr>
        <w:t xml:space="preserve">he same governance.  While the </w:t>
      </w:r>
      <w:r w:rsidR="008A0813" w:rsidRPr="008A0813">
        <w:rPr>
          <w:color w:val="000000"/>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A30E6D">
        <w:rPr>
          <w:color w:val="000000"/>
        </w:rPr>
        <w:t>empowered to compensate service-</w:t>
      </w:r>
      <w:r w:rsidR="008A0813" w:rsidRPr="008A0813">
        <w:rPr>
          <w:color w:val="000000"/>
        </w:rPr>
        <w:t xml:space="preserve">connected conditions and to periodically re-evaluate said conditions for the purpose of adjusting the </w:t>
      </w:r>
      <w:r w:rsidR="00204B36">
        <w:rPr>
          <w:color w:val="000000"/>
        </w:rPr>
        <w:t>v</w:t>
      </w:r>
      <w:r w:rsidR="008A0813" w:rsidRPr="008A0813">
        <w:rPr>
          <w:color w:val="000000"/>
        </w:rPr>
        <w:t xml:space="preserve">eteran’s disability rating should </w:t>
      </w:r>
      <w:r w:rsidR="00A30E6D">
        <w:rPr>
          <w:color w:val="000000"/>
        </w:rPr>
        <w:t>the</w:t>
      </w:r>
      <w:r w:rsidR="008A0813" w:rsidRPr="008A0813">
        <w:rPr>
          <w:color w:val="000000"/>
        </w:rPr>
        <w:t xml:space="preserve"> degree of impairment vary over time.</w:t>
      </w:r>
    </w:p>
    <w:p w:rsidR="006537A7" w:rsidRPr="001F29F9" w:rsidRDefault="006537A7" w:rsidP="009369A6">
      <w:pPr>
        <w:jc w:val="left"/>
        <w:rPr>
          <w:color w:val="000000"/>
          <w:u w:val="single"/>
        </w:rPr>
      </w:pPr>
    </w:p>
    <w:p w:rsidR="006537A7" w:rsidRPr="003C53E8" w:rsidRDefault="006537A7" w:rsidP="0070532D">
      <w:pPr>
        <w:jc w:val="both"/>
        <w:rPr>
          <w:rFonts w:cs="Times New Roman"/>
          <w:color w:val="auto"/>
        </w:rPr>
      </w:pPr>
      <w:proofErr w:type="gramStart"/>
      <w:r w:rsidRPr="004D7587">
        <w:rPr>
          <w:color w:val="000000"/>
          <w:u w:val="single"/>
        </w:rPr>
        <w:t>Right Foot/Ankle Condition</w:t>
      </w:r>
      <w:r w:rsidRPr="004D7587">
        <w:rPr>
          <w:color w:val="000000"/>
        </w:rPr>
        <w:t>.</w:t>
      </w:r>
      <w:proofErr w:type="gramEnd"/>
      <w:r w:rsidRPr="004D7587">
        <w:rPr>
          <w:color w:val="000000"/>
        </w:rPr>
        <w:t xml:space="preserve">  </w:t>
      </w:r>
      <w:r w:rsidR="00A5544D">
        <w:rPr>
          <w:color w:val="000000"/>
        </w:rPr>
        <w:t>After the</w:t>
      </w:r>
      <w:r w:rsidR="007D41FB">
        <w:rPr>
          <w:color w:val="000000"/>
        </w:rPr>
        <w:t xml:space="preserve"> initial injury in </w:t>
      </w:r>
      <w:r w:rsidRPr="004D7587">
        <w:rPr>
          <w:color w:val="000000"/>
        </w:rPr>
        <w:t xml:space="preserve">1999, </w:t>
      </w:r>
      <w:r w:rsidR="00F41ABC">
        <w:rPr>
          <w:color w:val="000000"/>
        </w:rPr>
        <w:t>magnetic resonance imaging (MRI) was normal</w:t>
      </w:r>
      <w:r w:rsidR="00A5544D">
        <w:rPr>
          <w:color w:val="000000"/>
        </w:rPr>
        <w:t>; but, the CI experienced</w:t>
      </w:r>
      <w:r w:rsidR="00F41ABC">
        <w:rPr>
          <w:color w:val="000000"/>
        </w:rPr>
        <w:t xml:space="preserve"> persistent pain </w:t>
      </w:r>
      <w:r w:rsidR="00A5544D">
        <w:rPr>
          <w:color w:val="000000"/>
        </w:rPr>
        <w:t xml:space="preserve">and </w:t>
      </w:r>
      <w:r w:rsidR="00F41ABC">
        <w:rPr>
          <w:color w:val="000000"/>
        </w:rPr>
        <w:t>was followed by podiatry.  He was</w:t>
      </w:r>
      <w:r w:rsidRPr="004D7587">
        <w:rPr>
          <w:color w:val="000000"/>
        </w:rPr>
        <w:t xml:space="preserve"> </w:t>
      </w:r>
      <w:r w:rsidR="00F41ABC">
        <w:rPr>
          <w:color w:val="000000"/>
        </w:rPr>
        <w:t xml:space="preserve">ultimately </w:t>
      </w:r>
      <w:r w:rsidRPr="004D7587">
        <w:rPr>
          <w:color w:val="000000"/>
        </w:rPr>
        <w:t xml:space="preserve">diagnosed with posterior tibial tendonitis </w:t>
      </w:r>
      <w:r w:rsidR="00F41ABC">
        <w:rPr>
          <w:color w:val="000000"/>
        </w:rPr>
        <w:t>and</w:t>
      </w:r>
      <w:r w:rsidRPr="004D7587">
        <w:rPr>
          <w:color w:val="000000"/>
        </w:rPr>
        <w:t xml:space="preserve"> tarsal tu</w:t>
      </w:r>
      <w:r w:rsidR="00F41ABC">
        <w:rPr>
          <w:color w:val="000000"/>
        </w:rPr>
        <w:t>nnel syndrome; initially treated with</w:t>
      </w:r>
      <w:r w:rsidRPr="004D7587">
        <w:rPr>
          <w:color w:val="000000"/>
        </w:rPr>
        <w:t xml:space="preserve"> steroid injections</w:t>
      </w:r>
      <w:r w:rsidR="00204B36">
        <w:rPr>
          <w:color w:val="000000"/>
        </w:rPr>
        <w:t>.  He</w:t>
      </w:r>
      <w:r w:rsidR="00F41ABC">
        <w:rPr>
          <w:color w:val="000000"/>
        </w:rPr>
        <w:t xml:space="preserve"> finally</w:t>
      </w:r>
      <w:r w:rsidR="00A5544D">
        <w:rPr>
          <w:color w:val="000000"/>
        </w:rPr>
        <w:t xml:space="preserve"> underwent</w:t>
      </w:r>
      <w:r w:rsidRPr="004D7587">
        <w:rPr>
          <w:color w:val="000000"/>
        </w:rPr>
        <w:t xml:space="preserve"> tarsal tunnel release surgery in February 2002.</w:t>
      </w:r>
      <w:r w:rsidR="0063677C">
        <w:rPr>
          <w:color w:val="000000"/>
        </w:rPr>
        <w:t xml:space="preserve"> </w:t>
      </w:r>
      <w:r w:rsidRPr="004D7587">
        <w:rPr>
          <w:color w:val="000000"/>
        </w:rPr>
        <w:t xml:space="preserve"> </w:t>
      </w:r>
      <w:r w:rsidR="00F41ABC">
        <w:rPr>
          <w:color w:val="000000"/>
        </w:rPr>
        <w:t>This was met with favorable results until t</w:t>
      </w:r>
      <w:r w:rsidRPr="004D7587">
        <w:rPr>
          <w:color w:val="000000"/>
        </w:rPr>
        <w:t>he CI r</w:t>
      </w:r>
      <w:r w:rsidR="00F41ABC">
        <w:rPr>
          <w:color w:val="000000"/>
        </w:rPr>
        <w:t>einjured his ankle in the field</w:t>
      </w:r>
      <w:r w:rsidRPr="004D7587">
        <w:rPr>
          <w:color w:val="000000"/>
        </w:rPr>
        <w:t xml:space="preserve"> and the </w:t>
      </w:r>
      <w:r w:rsidR="00F41ABC">
        <w:rPr>
          <w:color w:val="000000"/>
        </w:rPr>
        <w:t xml:space="preserve">resultant </w:t>
      </w:r>
      <w:r w:rsidRPr="004D7587">
        <w:rPr>
          <w:color w:val="000000"/>
        </w:rPr>
        <w:t xml:space="preserve">pain </w:t>
      </w:r>
      <w:r w:rsidR="00F41ABC">
        <w:rPr>
          <w:color w:val="000000"/>
        </w:rPr>
        <w:t>did not respond to</w:t>
      </w:r>
      <w:r w:rsidRPr="004D7587">
        <w:rPr>
          <w:color w:val="000000"/>
        </w:rPr>
        <w:t xml:space="preserve"> </w:t>
      </w:r>
      <w:r w:rsidR="0063677C">
        <w:rPr>
          <w:color w:val="000000"/>
        </w:rPr>
        <w:t xml:space="preserve">repeat </w:t>
      </w:r>
      <w:r w:rsidRPr="004D7587">
        <w:rPr>
          <w:color w:val="000000"/>
        </w:rPr>
        <w:t xml:space="preserve">steroid injections </w:t>
      </w:r>
      <w:r w:rsidR="00A5544D">
        <w:rPr>
          <w:color w:val="000000"/>
        </w:rPr>
        <w:t>or other measures.  There</w:t>
      </w:r>
      <w:r w:rsidR="0063677C">
        <w:rPr>
          <w:color w:val="000000"/>
        </w:rPr>
        <w:t xml:space="preserve"> </w:t>
      </w:r>
      <w:r w:rsidR="00B34D0C">
        <w:rPr>
          <w:color w:val="000000"/>
        </w:rPr>
        <w:t xml:space="preserve">no records addressing any ankle or </w:t>
      </w:r>
      <w:r w:rsidR="0063677C">
        <w:rPr>
          <w:color w:val="000000"/>
        </w:rPr>
        <w:t xml:space="preserve">foot issues associated with the subsequent </w:t>
      </w:r>
      <w:r w:rsidR="00A5544D">
        <w:rPr>
          <w:color w:val="000000"/>
        </w:rPr>
        <w:t xml:space="preserve">2003 </w:t>
      </w:r>
      <w:r w:rsidR="0063677C">
        <w:rPr>
          <w:color w:val="000000"/>
        </w:rPr>
        <w:t>deployment</w:t>
      </w:r>
      <w:r w:rsidR="00A5544D">
        <w:rPr>
          <w:color w:val="000000"/>
        </w:rPr>
        <w:t xml:space="preserve"> to Iraq</w:t>
      </w:r>
      <w:r w:rsidR="0063677C">
        <w:rPr>
          <w:color w:val="000000"/>
        </w:rPr>
        <w:t xml:space="preserve">. </w:t>
      </w:r>
      <w:r w:rsidRPr="004D7587">
        <w:rPr>
          <w:color w:val="000000"/>
        </w:rPr>
        <w:t xml:space="preserve"> An</w:t>
      </w:r>
      <w:r w:rsidR="0063677C">
        <w:rPr>
          <w:color w:val="000000"/>
        </w:rPr>
        <w:t xml:space="preserve"> </w:t>
      </w:r>
      <w:proofErr w:type="spellStart"/>
      <w:r w:rsidR="0063677C">
        <w:rPr>
          <w:color w:val="000000"/>
        </w:rPr>
        <w:t>electromyelogram</w:t>
      </w:r>
      <w:proofErr w:type="spellEnd"/>
      <w:r w:rsidRPr="004D7587">
        <w:rPr>
          <w:color w:val="000000"/>
        </w:rPr>
        <w:t xml:space="preserve"> </w:t>
      </w:r>
      <w:r w:rsidR="0063677C">
        <w:rPr>
          <w:color w:val="000000"/>
        </w:rPr>
        <w:t>(</w:t>
      </w:r>
      <w:r w:rsidRPr="004D7587">
        <w:rPr>
          <w:color w:val="000000"/>
        </w:rPr>
        <w:t>EMG</w:t>
      </w:r>
      <w:r w:rsidR="0063677C">
        <w:rPr>
          <w:color w:val="000000"/>
        </w:rPr>
        <w:t>)</w:t>
      </w:r>
      <w:r w:rsidRPr="004D7587">
        <w:rPr>
          <w:color w:val="000000"/>
        </w:rPr>
        <w:t xml:space="preserve"> from October 2003 </w:t>
      </w:r>
      <w:r w:rsidR="0063677C">
        <w:rPr>
          <w:color w:val="000000"/>
        </w:rPr>
        <w:t xml:space="preserve">(after redeployment) </w:t>
      </w:r>
      <w:r w:rsidRPr="004D7587">
        <w:rPr>
          <w:color w:val="000000"/>
        </w:rPr>
        <w:t xml:space="preserve">showed no evidence of posterior tibial neuropathy, but pain and tenderness was noted over the surgical scar. </w:t>
      </w:r>
      <w:r w:rsidR="0063677C">
        <w:rPr>
          <w:color w:val="000000"/>
        </w:rPr>
        <w:t xml:space="preserve"> </w:t>
      </w:r>
      <w:r w:rsidRPr="00FF5304">
        <w:rPr>
          <w:color w:val="000000"/>
        </w:rPr>
        <w:t xml:space="preserve">There were </w:t>
      </w:r>
      <w:r w:rsidR="00A30E6D">
        <w:rPr>
          <w:color w:val="000000"/>
        </w:rPr>
        <w:t>four goniometric range-of-</w:t>
      </w:r>
      <w:r w:rsidRPr="00FF5304">
        <w:rPr>
          <w:color w:val="000000"/>
        </w:rPr>
        <w:t>motion (ROM) evaluations in evidence, with documentation of additional ratable criteria, which the Board weighed in arriving at its rating recommendation</w:t>
      </w:r>
      <w:r w:rsidR="009844D9">
        <w:rPr>
          <w:rFonts w:cs="Times New Roman"/>
          <w:color w:val="auto"/>
        </w:rPr>
        <w:t>; as summarized in the chart below.</w:t>
      </w:r>
    </w:p>
    <w:p w:rsidR="006537A7" w:rsidRPr="001F29F9" w:rsidRDefault="006537A7" w:rsidP="004D7587">
      <w:pPr>
        <w:jc w:val="both"/>
        <w:rPr>
          <w:color w:val="000000"/>
        </w:rPr>
      </w:pPr>
    </w:p>
    <w:tbl>
      <w:tblPr>
        <w:tblpPr w:leftFromText="180" w:rightFromText="180" w:vertAnchor="text" w:tblpXSpec="center" w:tblpY="1"/>
        <w:tblOverlap w:val="neve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30"/>
        <w:gridCol w:w="1530"/>
        <w:gridCol w:w="1530"/>
        <w:gridCol w:w="1710"/>
      </w:tblGrid>
      <w:tr w:rsidR="006537A7" w:rsidRPr="009F5B87" w:rsidTr="009F5B87">
        <w:trPr>
          <w:trHeight w:val="264"/>
        </w:trPr>
        <w:tc>
          <w:tcPr>
            <w:tcW w:w="2268" w:type="dxa"/>
            <w:shd w:val="clear" w:color="auto" w:fill="D9D9D9"/>
            <w:vAlign w:val="center"/>
          </w:tcPr>
          <w:p w:rsidR="006537A7" w:rsidRPr="009F5B87" w:rsidRDefault="006537A7" w:rsidP="009F5B87">
            <w:pPr>
              <w:contextualSpacing/>
              <w:rPr>
                <w:color w:val="000000"/>
                <w:sz w:val="22"/>
                <w:szCs w:val="22"/>
              </w:rPr>
            </w:pPr>
            <w:r w:rsidRPr="009F5B87">
              <w:rPr>
                <w:color w:val="000000"/>
                <w:sz w:val="22"/>
                <w:szCs w:val="22"/>
              </w:rPr>
              <w:t>Right Ankle ROM</w:t>
            </w:r>
          </w:p>
        </w:tc>
        <w:tc>
          <w:tcPr>
            <w:tcW w:w="1530" w:type="dxa"/>
            <w:shd w:val="clear" w:color="auto" w:fill="D9D9D9"/>
            <w:vAlign w:val="center"/>
          </w:tcPr>
          <w:p w:rsidR="006537A7" w:rsidRPr="009F5B87" w:rsidRDefault="009F5B87" w:rsidP="009F5B87">
            <w:pPr>
              <w:spacing w:line="200" w:lineRule="exact"/>
              <w:contextualSpacing/>
              <w:rPr>
                <w:color w:val="000000"/>
                <w:sz w:val="22"/>
                <w:szCs w:val="22"/>
              </w:rPr>
            </w:pPr>
            <w:r w:rsidRPr="009F5B87">
              <w:rPr>
                <w:color w:val="000000"/>
                <w:sz w:val="22"/>
                <w:szCs w:val="22"/>
              </w:rPr>
              <w:t>Ortho</w:t>
            </w:r>
          </w:p>
          <w:p w:rsidR="006537A7" w:rsidRPr="009F5B87" w:rsidRDefault="009F5B87" w:rsidP="009F5B87">
            <w:pPr>
              <w:spacing w:line="200" w:lineRule="exact"/>
              <w:contextualSpacing/>
              <w:rPr>
                <w:color w:val="000000"/>
                <w:sz w:val="22"/>
                <w:szCs w:val="22"/>
              </w:rPr>
            </w:pPr>
            <w:r>
              <w:rPr>
                <w:color w:val="000000"/>
                <w:sz w:val="22"/>
                <w:szCs w:val="22"/>
              </w:rPr>
              <w:t>7 Mo</w:t>
            </w:r>
            <w:r w:rsidR="006537A7" w:rsidRPr="009F5B87">
              <w:rPr>
                <w:color w:val="000000"/>
                <w:sz w:val="22"/>
                <w:szCs w:val="22"/>
              </w:rPr>
              <w:t>. Pre-Sep</w:t>
            </w:r>
          </w:p>
        </w:tc>
        <w:tc>
          <w:tcPr>
            <w:tcW w:w="1530" w:type="dxa"/>
            <w:shd w:val="clear" w:color="auto" w:fill="D9D9D9"/>
            <w:vAlign w:val="center"/>
          </w:tcPr>
          <w:p w:rsidR="006537A7" w:rsidRPr="009F5B87" w:rsidRDefault="009F5B87" w:rsidP="009F5B87">
            <w:pPr>
              <w:spacing w:line="200" w:lineRule="exact"/>
              <w:contextualSpacing/>
              <w:rPr>
                <w:color w:val="000000"/>
                <w:sz w:val="22"/>
                <w:szCs w:val="22"/>
              </w:rPr>
            </w:pPr>
            <w:r w:rsidRPr="009F5B87">
              <w:rPr>
                <w:color w:val="000000"/>
                <w:sz w:val="22"/>
                <w:szCs w:val="22"/>
              </w:rPr>
              <w:t>MEB Physical</w:t>
            </w:r>
          </w:p>
          <w:p w:rsidR="006537A7" w:rsidRPr="009F5B87" w:rsidRDefault="009F5B87" w:rsidP="009F5B87">
            <w:pPr>
              <w:spacing w:line="200" w:lineRule="exact"/>
              <w:contextualSpacing/>
              <w:rPr>
                <w:color w:val="000000"/>
                <w:sz w:val="22"/>
                <w:szCs w:val="22"/>
              </w:rPr>
            </w:pPr>
            <w:r>
              <w:rPr>
                <w:color w:val="000000"/>
                <w:sz w:val="22"/>
                <w:szCs w:val="22"/>
              </w:rPr>
              <w:t>6 Mo</w:t>
            </w:r>
            <w:r w:rsidR="006537A7" w:rsidRPr="009F5B87">
              <w:rPr>
                <w:color w:val="000000"/>
                <w:sz w:val="22"/>
                <w:szCs w:val="22"/>
              </w:rPr>
              <w:t>. Pre-Sep</w:t>
            </w:r>
          </w:p>
        </w:tc>
        <w:tc>
          <w:tcPr>
            <w:tcW w:w="1530" w:type="dxa"/>
            <w:shd w:val="clear" w:color="auto" w:fill="D9D9D9"/>
            <w:vAlign w:val="center"/>
          </w:tcPr>
          <w:p w:rsidR="006537A7" w:rsidRPr="009F5B87" w:rsidRDefault="009F5B87" w:rsidP="009F5B87">
            <w:pPr>
              <w:spacing w:line="200" w:lineRule="exact"/>
              <w:contextualSpacing/>
              <w:rPr>
                <w:color w:val="000000"/>
                <w:sz w:val="22"/>
                <w:szCs w:val="22"/>
              </w:rPr>
            </w:pPr>
            <w:r w:rsidRPr="009F5B87">
              <w:rPr>
                <w:color w:val="000000"/>
                <w:sz w:val="22"/>
                <w:szCs w:val="22"/>
              </w:rPr>
              <w:t>MEB/PT</w:t>
            </w:r>
          </w:p>
          <w:p w:rsidR="006537A7" w:rsidRPr="009F5B87" w:rsidRDefault="009F5B87" w:rsidP="009F5B87">
            <w:pPr>
              <w:spacing w:line="200" w:lineRule="exact"/>
              <w:contextualSpacing/>
              <w:rPr>
                <w:color w:val="000000"/>
                <w:sz w:val="22"/>
                <w:szCs w:val="22"/>
              </w:rPr>
            </w:pPr>
            <w:r>
              <w:rPr>
                <w:color w:val="000000"/>
                <w:sz w:val="22"/>
                <w:szCs w:val="22"/>
              </w:rPr>
              <w:t>3 Mo</w:t>
            </w:r>
            <w:r w:rsidR="006537A7" w:rsidRPr="009F5B87">
              <w:rPr>
                <w:color w:val="000000"/>
                <w:sz w:val="22"/>
                <w:szCs w:val="22"/>
              </w:rPr>
              <w:t>. Pre-Sep</w:t>
            </w:r>
          </w:p>
        </w:tc>
        <w:tc>
          <w:tcPr>
            <w:tcW w:w="1710" w:type="dxa"/>
            <w:shd w:val="clear" w:color="auto" w:fill="D9D9D9"/>
            <w:vAlign w:val="center"/>
          </w:tcPr>
          <w:p w:rsidR="006537A7" w:rsidRPr="009F5B87" w:rsidRDefault="009F5B87" w:rsidP="009F5B87">
            <w:pPr>
              <w:spacing w:line="200" w:lineRule="exact"/>
              <w:contextualSpacing/>
              <w:rPr>
                <w:color w:val="000000"/>
                <w:sz w:val="22"/>
                <w:szCs w:val="22"/>
              </w:rPr>
            </w:pPr>
            <w:r w:rsidRPr="009F5B87">
              <w:rPr>
                <w:color w:val="000000"/>
                <w:sz w:val="22"/>
                <w:szCs w:val="22"/>
              </w:rPr>
              <w:t>VA C&amp;P</w:t>
            </w:r>
          </w:p>
          <w:p w:rsidR="006537A7" w:rsidRPr="009F5B87" w:rsidRDefault="009F5B87" w:rsidP="009F5B87">
            <w:pPr>
              <w:spacing w:line="200" w:lineRule="exact"/>
              <w:contextualSpacing/>
              <w:rPr>
                <w:color w:val="000000"/>
                <w:sz w:val="22"/>
                <w:szCs w:val="22"/>
              </w:rPr>
            </w:pPr>
            <w:r>
              <w:rPr>
                <w:color w:val="000000"/>
                <w:sz w:val="22"/>
                <w:szCs w:val="22"/>
              </w:rPr>
              <w:t>11 Mo</w:t>
            </w:r>
            <w:r w:rsidR="006537A7" w:rsidRPr="009F5B87">
              <w:rPr>
                <w:color w:val="000000"/>
                <w:sz w:val="22"/>
                <w:szCs w:val="22"/>
              </w:rPr>
              <w:t>. Post-Sep</w:t>
            </w:r>
          </w:p>
        </w:tc>
      </w:tr>
      <w:tr w:rsidR="006537A7" w:rsidRPr="009F5B87" w:rsidTr="009F5B87">
        <w:tc>
          <w:tcPr>
            <w:tcW w:w="2268" w:type="dxa"/>
            <w:vAlign w:val="center"/>
          </w:tcPr>
          <w:p w:rsidR="006537A7" w:rsidRPr="009F5B87" w:rsidRDefault="006537A7" w:rsidP="009F5B87">
            <w:pPr>
              <w:contextualSpacing/>
              <w:rPr>
                <w:color w:val="000000"/>
                <w:sz w:val="22"/>
                <w:szCs w:val="22"/>
              </w:rPr>
            </w:pPr>
            <w:r w:rsidRPr="009F5B87">
              <w:rPr>
                <w:color w:val="000000"/>
                <w:sz w:val="22"/>
                <w:szCs w:val="22"/>
              </w:rPr>
              <w:t>Dorsiflexion  (0-20</w:t>
            </w:r>
            <w:r w:rsidR="009F5B87" w:rsidRPr="009F5B87">
              <w:rPr>
                <w:color w:val="000000"/>
                <w:sz w:val="22"/>
                <w:szCs w:val="22"/>
              </w:rPr>
              <w:t>⁰</w:t>
            </w:r>
            <w:r w:rsidRPr="009F5B87">
              <w:rPr>
                <w:color w:val="000000"/>
                <w:sz w:val="22"/>
                <w:szCs w:val="22"/>
              </w:rPr>
              <w:t>)</w:t>
            </w:r>
          </w:p>
        </w:tc>
        <w:tc>
          <w:tcPr>
            <w:tcW w:w="1530" w:type="dxa"/>
            <w:vAlign w:val="center"/>
          </w:tcPr>
          <w:p w:rsidR="006537A7" w:rsidRPr="009F5B87" w:rsidRDefault="006537A7" w:rsidP="009F5B87">
            <w:pPr>
              <w:contextualSpacing/>
              <w:rPr>
                <w:color w:val="000000"/>
                <w:sz w:val="22"/>
                <w:szCs w:val="22"/>
              </w:rPr>
            </w:pPr>
            <w:r w:rsidRPr="009F5B87">
              <w:rPr>
                <w:color w:val="000000"/>
                <w:sz w:val="22"/>
                <w:szCs w:val="22"/>
              </w:rPr>
              <w:t>25⁰</w:t>
            </w:r>
          </w:p>
        </w:tc>
        <w:tc>
          <w:tcPr>
            <w:tcW w:w="1530" w:type="dxa"/>
            <w:vAlign w:val="center"/>
          </w:tcPr>
          <w:p w:rsidR="006537A7" w:rsidRPr="009F5B87" w:rsidRDefault="008436FD" w:rsidP="009F5B87">
            <w:pPr>
              <w:contextualSpacing/>
              <w:rPr>
                <w:color w:val="000000"/>
                <w:sz w:val="22"/>
                <w:szCs w:val="22"/>
              </w:rPr>
            </w:pPr>
            <w:r>
              <w:rPr>
                <w:color w:val="000000"/>
                <w:sz w:val="22"/>
                <w:szCs w:val="22"/>
              </w:rPr>
              <w:t xml:space="preserve"> “Normal”</w:t>
            </w:r>
          </w:p>
        </w:tc>
        <w:tc>
          <w:tcPr>
            <w:tcW w:w="1530" w:type="dxa"/>
            <w:vAlign w:val="center"/>
          </w:tcPr>
          <w:p w:rsidR="006537A7" w:rsidRPr="009F5B87" w:rsidRDefault="006537A7" w:rsidP="009F5B87">
            <w:pPr>
              <w:contextualSpacing/>
              <w:rPr>
                <w:color w:val="000000"/>
                <w:sz w:val="22"/>
                <w:szCs w:val="22"/>
              </w:rPr>
            </w:pPr>
            <w:r w:rsidRPr="009F5B87">
              <w:rPr>
                <w:color w:val="000000"/>
                <w:sz w:val="22"/>
                <w:szCs w:val="22"/>
              </w:rPr>
              <w:t>5⁰</w:t>
            </w:r>
          </w:p>
        </w:tc>
        <w:tc>
          <w:tcPr>
            <w:tcW w:w="1710" w:type="dxa"/>
            <w:vAlign w:val="center"/>
          </w:tcPr>
          <w:p w:rsidR="006537A7" w:rsidRPr="009F5B87" w:rsidRDefault="006537A7" w:rsidP="009F5B87">
            <w:pPr>
              <w:contextualSpacing/>
              <w:rPr>
                <w:color w:val="000000"/>
                <w:sz w:val="22"/>
                <w:szCs w:val="22"/>
              </w:rPr>
            </w:pPr>
            <w:r w:rsidRPr="009F5B87">
              <w:rPr>
                <w:color w:val="000000"/>
                <w:sz w:val="22"/>
                <w:szCs w:val="22"/>
              </w:rPr>
              <w:t>15⁰</w:t>
            </w:r>
          </w:p>
        </w:tc>
      </w:tr>
      <w:tr w:rsidR="006537A7" w:rsidRPr="009F5B87" w:rsidTr="009F5B87">
        <w:tc>
          <w:tcPr>
            <w:tcW w:w="2268" w:type="dxa"/>
            <w:vAlign w:val="center"/>
          </w:tcPr>
          <w:p w:rsidR="006537A7" w:rsidRPr="009F5B87" w:rsidRDefault="006537A7" w:rsidP="009F5B87">
            <w:pPr>
              <w:contextualSpacing/>
              <w:rPr>
                <w:color w:val="000000"/>
                <w:sz w:val="22"/>
                <w:szCs w:val="22"/>
              </w:rPr>
            </w:pPr>
            <w:r w:rsidRPr="009F5B87">
              <w:rPr>
                <w:color w:val="000000"/>
                <w:sz w:val="22"/>
                <w:szCs w:val="22"/>
              </w:rPr>
              <w:t>Plantar Flexion (0-45</w:t>
            </w:r>
            <w:r w:rsidR="009F5B87" w:rsidRPr="009F5B87">
              <w:rPr>
                <w:color w:val="000000"/>
                <w:sz w:val="22"/>
                <w:szCs w:val="22"/>
              </w:rPr>
              <w:t>⁰</w:t>
            </w:r>
            <w:r w:rsidRPr="009F5B87">
              <w:rPr>
                <w:color w:val="000000"/>
                <w:sz w:val="22"/>
                <w:szCs w:val="22"/>
              </w:rPr>
              <w:t>)</w:t>
            </w:r>
          </w:p>
        </w:tc>
        <w:tc>
          <w:tcPr>
            <w:tcW w:w="1530" w:type="dxa"/>
            <w:vAlign w:val="center"/>
          </w:tcPr>
          <w:p w:rsidR="006537A7" w:rsidRPr="009F5B87" w:rsidRDefault="006537A7" w:rsidP="009F5B87">
            <w:pPr>
              <w:contextualSpacing/>
              <w:rPr>
                <w:color w:val="000000"/>
                <w:sz w:val="22"/>
                <w:szCs w:val="22"/>
              </w:rPr>
            </w:pPr>
            <w:r w:rsidRPr="009F5B87">
              <w:rPr>
                <w:color w:val="000000"/>
                <w:sz w:val="22"/>
                <w:szCs w:val="22"/>
              </w:rPr>
              <w:t>50⁰</w:t>
            </w:r>
          </w:p>
        </w:tc>
        <w:tc>
          <w:tcPr>
            <w:tcW w:w="1530" w:type="dxa"/>
            <w:vAlign w:val="center"/>
          </w:tcPr>
          <w:p w:rsidR="006537A7" w:rsidRPr="009F5B87" w:rsidRDefault="008436FD" w:rsidP="009F5B87">
            <w:pPr>
              <w:contextualSpacing/>
              <w:rPr>
                <w:color w:val="000000"/>
                <w:sz w:val="22"/>
                <w:szCs w:val="22"/>
              </w:rPr>
            </w:pPr>
            <w:r>
              <w:rPr>
                <w:color w:val="000000"/>
                <w:sz w:val="22"/>
                <w:szCs w:val="22"/>
              </w:rPr>
              <w:t>“Normal”</w:t>
            </w:r>
          </w:p>
        </w:tc>
        <w:tc>
          <w:tcPr>
            <w:tcW w:w="1530" w:type="dxa"/>
            <w:vAlign w:val="center"/>
          </w:tcPr>
          <w:p w:rsidR="006537A7" w:rsidRPr="009F5B87" w:rsidRDefault="006537A7" w:rsidP="009F5B87">
            <w:pPr>
              <w:contextualSpacing/>
              <w:rPr>
                <w:color w:val="000000"/>
                <w:sz w:val="22"/>
                <w:szCs w:val="22"/>
              </w:rPr>
            </w:pPr>
            <w:r w:rsidRPr="009F5B87">
              <w:rPr>
                <w:color w:val="000000"/>
                <w:sz w:val="22"/>
                <w:szCs w:val="22"/>
              </w:rPr>
              <w:t>20⁰</w:t>
            </w:r>
          </w:p>
        </w:tc>
        <w:tc>
          <w:tcPr>
            <w:tcW w:w="1710" w:type="dxa"/>
            <w:vAlign w:val="center"/>
          </w:tcPr>
          <w:p w:rsidR="006537A7" w:rsidRPr="009F5B87" w:rsidRDefault="006537A7" w:rsidP="009F5B87">
            <w:pPr>
              <w:contextualSpacing/>
              <w:rPr>
                <w:color w:val="000000"/>
                <w:sz w:val="22"/>
                <w:szCs w:val="22"/>
              </w:rPr>
            </w:pPr>
            <w:r w:rsidRPr="009F5B87">
              <w:rPr>
                <w:color w:val="000000"/>
                <w:sz w:val="22"/>
                <w:szCs w:val="22"/>
              </w:rPr>
              <w:t>45⁰</w:t>
            </w:r>
          </w:p>
        </w:tc>
      </w:tr>
      <w:tr w:rsidR="006537A7" w:rsidRPr="009F5B87" w:rsidTr="009F5B87">
        <w:tc>
          <w:tcPr>
            <w:tcW w:w="2268" w:type="dxa"/>
            <w:vAlign w:val="center"/>
          </w:tcPr>
          <w:p w:rsidR="006537A7" w:rsidRPr="009F5B87" w:rsidRDefault="006537A7" w:rsidP="009F5B87">
            <w:pPr>
              <w:tabs>
                <w:tab w:val="left" w:pos="288"/>
                <w:tab w:val="left" w:pos="4752"/>
              </w:tabs>
              <w:rPr>
                <w:color w:val="000000"/>
                <w:sz w:val="22"/>
                <w:szCs w:val="22"/>
              </w:rPr>
            </w:pPr>
            <w:r w:rsidRPr="009F5B87">
              <w:rPr>
                <w:color w:val="000000"/>
                <w:sz w:val="22"/>
                <w:szCs w:val="22"/>
              </w:rPr>
              <w:t>§4.71a Rating</w:t>
            </w:r>
          </w:p>
        </w:tc>
        <w:tc>
          <w:tcPr>
            <w:tcW w:w="1530" w:type="dxa"/>
            <w:vAlign w:val="center"/>
          </w:tcPr>
          <w:p w:rsidR="006537A7" w:rsidRPr="009F5B87" w:rsidRDefault="006537A7" w:rsidP="009F5B87">
            <w:pPr>
              <w:pStyle w:val="ListParagraph"/>
              <w:spacing w:after="0" w:line="240" w:lineRule="exact"/>
              <w:ind w:left="0"/>
              <w:rPr>
                <w:rFonts w:cs="Calibri"/>
                <w:color w:val="000000"/>
              </w:rPr>
            </w:pPr>
            <w:r w:rsidRPr="009F5B87">
              <w:rPr>
                <w:rFonts w:cs="Calibri"/>
                <w:color w:val="000000"/>
              </w:rPr>
              <w:t>10%*</w:t>
            </w:r>
          </w:p>
        </w:tc>
        <w:tc>
          <w:tcPr>
            <w:tcW w:w="1530" w:type="dxa"/>
            <w:vAlign w:val="center"/>
          </w:tcPr>
          <w:p w:rsidR="006537A7" w:rsidRPr="009F5B87" w:rsidRDefault="006537A7" w:rsidP="009F5B87">
            <w:pPr>
              <w:pStyle w:val="ListParagraph"/>
              <w:spacing w:after="0" w:line="240" w:lineRule="exact"/>
              <w:ind w:left="0"/>
              <w:rPr>
                <w:rFonts w:cs="Calibri"/>
                <w:color w:val="000000"/>
              </w:rPr>
            </w:pPr>
            <w:r w:rsidRPr="009F5B87">
              <w:rPr>
                <w:rFonts w:cs="Calibri"/>
                <w:color w:val="000000"/>
              </w:rPr>
              <w:t>10%*</w:t>
            </w:r>
          </w:p>
        </w:tc>
        <w:tc>
          <w:tcPr>
            <w:tcW w:w="1530" w:type="dxa"/>
            <w:vAlign w:val="center"/>
          </w:tcPr>
          <w:p w:rsidR="006537A7" w:rsidRPr="009F5B87" w:rsidRDefault="006537A7" w:rsidP="009F5B87">
            <w:pPr>
              <w:pStyle w:val="ListParagraph"/>
              <w:spacing w:after="0" w:line="240" w:lineRule="exact"/>
              <w:ind w:left="0"/>
              <w:rPr>
                <w:rFonts w:cs="Calibri"/>
                <w:color w:val="000000"/>
              </w:rPr>
            </w:pPr>
            <w:r w:rsidRPr="009F5B87">
              <w:rPr>
                <w:rFonts w:cs="Calibri"/>
                <w:color w:val="000000"/>
              </w:rPr>
              <w:t>20%</w:t>
            </w:r>
            <w:r w:rsidR="00D14F15">
              <w:rPr>
                <w:rFonts w:cs="Calibri"/>
                <w:color w:val="000000"/>
              </w:rPr>
              <w:t>**</w:t>
            </w:r>
          </w:p>
        </w:tc>
        <w:tc>
          <w:tcPr>
            <w:tcW w:w="1710" w:type="dxa"/>
            <w:vAlign w:val="center"/>
          </w:tcPr>
          <w:p w:rsidR="006537A7" w:rsidRPr="009F5B87" w:rsidRDefault="006537A7" w:rsidP="009F5B87">
            <w:pPr>
              <w:pStyle w:val="ListParagraph"/>
              <w:spacing w:after="0" w:line="240" w:lineRule="exact"/>
              <w:ind w:left="0"/>
              <w:rPr>
                <w:rFonts w:cs="Calibri"/>
                <w:color w:val="000000"/>
              </w:rPr>
            </w:pPr>
            <w:r w:rsidRPr="009F5B87">
              <w:rPr>
                <w:rFonts w:cs="Calibri"/>
                <w:color w:val="000000"/>
              </w:rPr>
              <w:t>10%</w:t>
            </w:r>
            <w:r w:rsidR="009F5B87">
              <w:rPr>
                <w:rFonts w:cs="Calibri"/>
                <w:color w:val="000000"/>
              </w:rPr>
              <w:t>*</w:t>
            </w:r>
          </w:p>
        </w:tc>
      </w:tr>
    </w:tbl>
    <w:p w:rsidR="006537A7" w:rsidRPr="009F5B87" w:rsidRDefault="006537A7" w:rsidP="004D7587">
      <w:pPr>
        <w:jc w:val="left"/>
        <w:rPr>
          <w:color w:val="000000"/>
          <w:sz w:val="22"/>
          <w:szCs w:val="22"/>
        </w:rPr>
      </w:pPr>
      <w:r w:rsidRPr="001F29F9">
        <w:rPr>
          <w:color w:val="000000"/>
        </w:rPr>
        <w:t xml:space="preserve">      </w:t>
      </w:r>
      <w:r w:rsidR="009F5B87">
        <w:rPr>
          <w:color w:val="000000"/>
        </w:rPr>
        <w:t xml:space="preserve"> </w:t>
      </w:r>
      <w:r w:rsidRPr="009F5B87">
        <w:rPr>
          <w:rFonts w:cs="Times New Roman"/>
          <w:color w:val="auto"/>
          <w:sz w:val="22"/>
          <w:szCs w:val="22"/>
        </w:rPr>
        <w:t>* Conceding §4.59 as below.</w:t>
      </w:r>
      <w:r w:rsidR="00D14F15">
        <w:rPr>
          <w:rFonts w:cs="Times New Roman"/>
          <w:color w:val="auto"/>
          <w:sz w:val="22"/>
          <w:szCs w:val="22"/>
        </w:rPr>
        <w:t xml:space="preserve">   </w:t>
      </w:r>
      <w:r w:rsidR="003D1520">
        <w:rPr>
          <w:rFonts w:cs="Times New Roman"/>
          <w:color w:val="auto"/>
          <w:sz w:val="22"/>
          <w:szCs w:val="22"/>
        </w:rPr>
        <w:t xml:space="preserve">                              </w:t>
      </w:r>
      <w:r w:rsidR="00D14F15">
        <w:rPr>
          <w:rFonts w:cs="Times New Roman"/>
          <w:color w:val="auto"/>
          <w:sz w:val="22"/>
          <w:szCs w:val="22"/>
        </w:rPr>
        <w:t xml:space="preserve"> ** For ‘marked’ limitation of motion under 5271.</w:t>
      </w:r>
    </w:p>
    <w:p w:rsidR="006537A7" w:rsidRPr="003C53E8" w:rsidRDefault="006537A7" w:rsidP="003C53E8">
      <w:pPr>
        <w:tabs>
          <w:tab w:val="left" w:pos="288"/>
          <w:tab w:val="left" w:pos="4752"/>
        </w:tabs>
        <w:jc w:val="left"/>
        <w:rPr>
          <w:rFonts w:cs="Times New Roman"/>
          <w:color w:val="auto"/>
        </w:rPr>
      </w:pPr>
    </w:p>
    <w:p w:rsidR="00D14F15" w:rsidRDefault="006537A7" w:rsidP="0070532D">
      <w:pPr>
        <w:jc w:val="both"/>
        <w:rPr>
          <w:rFonts w:cs="Times New Roman"/>
          <w:color w:val="auto"/>
        </w:rPr>
      </w:pPr>
      <w:r w:rsidRPr="003C53E8">
        <w:rPr>
          <w:rFonts w:cs="Times New Roman"/>
          <w:color w:val="auto"/>
        </w:rPr>
        <w:t>At the MEB exam, the CI reported frequent slight pain along th</w:t>
      </w:r>
      <w:r w:rsidR="0063677C">
        <w:rPr>
          <w:rFonts w:cs="Times New Roman"/>
          <w:color w:val="auto"/>
        </w:rPr>
        <w:t xml:space="preserve">e medial side of his right foot; </w:t>
      </w:r>
      <w:r w:rsidRPr="003C53E8">
        <w:rPr>
          <w:rFonts w:cs="Times New Roman"/>
          <w:color w:val="auto"/>
        </w:rPr>
        <w:t xml:space="preserve">exacerbated by wearing boots, running and walking. </w:t>
      </w:r>
      <w:r w:rsidR="0063677C">
        <w:rPr>
          <w:rFonts w:cs="Times New Roman"/>
          <w:color w:val="auto"/>
        </w:rPr>
        <w:t xml:space="preserve"> </w:t>
      </w:r>
      <w:r w:rsidRPr="003C53E8">
        <w:rPr>
          <w:rFonts w:cs="Times New Roman"/>
          <w:color w:val="auto"/>
        </w:rPr>
        <w:t>It was noted that no further surgical interventions were i</w:t>
      </w:r>
      <w:r w:rsidR="00FC7B17">
        <w:rPr>
          <w:rFonts w:cs="Times New Roman"/>
          <w:color w:val="auto"/>
        </w:rPr>
        <w:t>ndicated for the</w:t>
      </w:r>
      <w:r w:rsidRPr="003C53E8">
        <w:rPr>
          <w:rFonts w:cs="Times New Roman"/>
          <w:color w:val="auto"/>
        </w:rPr>
        <w:t xml:space="preserve"> condition. </w:t>
      </w:r>
      <w:r w:rsidR="0063677C">
        <w:rPr>
          <w:rFonts w:cs="Times New Roman"/>
          <w:color w:val="auto"/>
        </w:rPr>
        <w:t xml:space="preserve"> The </w:t>
      </w:r>
      <w:r w:rsidR="0075317A">
        <w:rPr>
          <w:rFonts w:cs="Times New Roman"/>
          <w:color w:val="auto"/>
        </w:rPr>
        <w:t xml:space="preserve">narrative summary </w:t>
      </w:r>
      <w:r w:rsidR="00A30E6D">
        <w:rPr>
          <w:rFonts w:cs="Times New Roman"/>
          <w:color w:val="auto"/>
        </w:rPr>
        <w:t xml:space="preserve">(NARSUM) </w:t>
      </w:r>
      <w:r w:rsidR="0075317A">
        <w:rPr>
          <w:rFonts w:cs="Times New Roman"/>
          <w:color w:val="auto"/>
        </w:rPr>
        <w:t xml:space="preserve">referenced the MEB physical exam, and the </w:t>
      </w:r>
      <w:r w:rsidR="0063677C">
        <w:rPr>
          <w:rFonts w:cs="Times New Roman"/>
          <w:color w:val="auto"/>
        </w:rPr>
        <w:t xml:space="preserve">CI was </w:t>
      </w:r>
      <w:r w:rsidR="0075317A">
        <w:rPr>
          <w:rFonts w:cs="Times New Roman"/>
          <w:color w:val="auto"/>
        </w:rPr>
        <w:t xml:space="preserve">also </w:t>
      </w:r>
      <w:r w:rsidR="0063677C">
        <w:rPr>
          <w:rFonts w:cs="Times New Roman"/>
          <w:color w:val="auto"/>
        </w:rPr>
        <w:t xml:space="preserve">referred to </w:t>
      </w:r>
      <w:r w:rsidR="00A30E6D">
        <w:rPr>
          <w:rFonts w:cs="Times New Roman"/>
          <w:color w:val="auto"/>
        </w:rPr>
        <w:t>p</w:t>
      </w:r>
      <w:r w:rsidR="0063677C" w:rsidRPr="003C53E8">
        <w:rPr>
          <w:rFonts w:cs="Times New Roman"/>
          <w:color w:val="auto"/>
        </w:rPr>
        <w:t xml:space="preserve">hysical </w:t>
      </w:r>
      <w:r w:rsidR="00A30E6D">
        <w:rPr>
          <w:rFonts w:cs="Times New Roman"/>
          <w:color w:val="auto"/>
        </w:rPr>
        <w:t>t</w:t>
      </w:r>
      <w:r w:rsidR="0063677C" w:rsidRPr="003C53E8">
        <w:rPr>
          <w:rFonts w:cs="Times New Roman"/>
          <w:color w:val="auto"/>
        </w:rPr>
        <w:t xml:space="preserve">herapy </w:t>
      </w:r>
      <w:r w:rsidR="0075317A">
        <w:rPr>
          <w:rFonts w:cs="Times New Roman"/>
          <w:color w:val="auto"/>
        </w:rPr>
        <w:t xml:space="preserve">(PT) for ROM measurements.  Both of these ROM exams, along with a </w:t>
      </w:r>
      <w:r w:rsidR="00FC7B17">
        <w:rPr>
          <w:rFonts w:cs="Times New Roman"/>
          <w:color w:val="auto"/>
        </w:rPr>
        <w:t>concurrent</w:t>
      </w:r>
      <w:r w:rsidR="0075317A">
        <w:rPr>
          <w:rFonts w:cs="Times New Roman"/>
          <w:color w:val="auto"/>
        </w:rPr>
        <w:t xml:space="preserve"> one from an orthopedic consultant, are charted above</w:t>
      </w:r>
      <w:r w:rsidR="0063677C">
        <w:rPr>
          <w:rFonts w:cs="Times New Roman"/>
          <w:color w:val="auto"/>
        </w:rPr>
        <w:t xml:space="preserve">.  </w:t>
      </w:r>
      <w:r w:rsidRPr="003C53E8">
        <w:rPr>
          <w:rFonts w:cs="Times New Roman"/>
          <w:color w:val="auto"/>
        </w:rPr>
        <w:t xml:space="preserve">At the VA Compensation </w:t>
      </w:r>
      <w:r w:rsidR="00A30E6D">
        <w:rPr>
          <w:rFonts w:cs="Times New Roman"/>
          <w:color w:val="auto"/>
        </w:rPr>
        <w:t>and</w:t>
      </w:r>
      <w:r w:rsidRPr="003C53E8">
        <w:rPr>
          <w:rFonts w:cs="Times New Roman"/>
          <w:color w:val="auto"/>
        </w:rPr>
        <w:t xml:space="preserve"> Pension (C&amp;P) exam </w:t>
      </w:r>
      <w:r w:rsidR="0075317A">
        <w:rPr>
          <w:rFonts w:cs="Times New Roman"/>
          <w:color w:val="auto"/>
        </w:rPr>
        <w:t xml:space="preserve">(significantly remote from </w:t>
      </w:r>
      <w:r w:rsidRPr="003C53E8">
        <w:rPr>
          <w:rFonts w:cs="Times New Roman"/>
          <w:color w:val="auto"/>
        </w:rPr>
        <w:t>separation</w:t>
      </w:r>
      <w:r w:rsidR="0075317A">
        <w:rPr>
          <w:rFonts w:cs="Times New Roman"/>
          <w:color w:val="auto"/>
        </w:rPr>
        <w:t>)</w:t>
      </w:r>
      <w:r w:rsidRPr="003C53E8">
        <w:rPr>
          <w:rFonts w:cs="Times New Roman"/>
          <w:color w:val="auto"/>
        </w:rPr>
        <w:t xml:space="preserve">, the CI reported constant pain with intermittent swelling. </w:t>
      </w:r>
      <w:r w:rsidR="00D14F15">
        <w:rPr>
          <w:rFonts w:cs="Times New Roman"/>
          <w:color w:val="auto"/>
        </w:rPr>
        <w:t xml:space="preserve"> </w:t>
      </w:r>
      <w:r w:rsidRPr="003C53E8">
        <w:rPr>
          <w:rFonts w:cs="Times New Roman"/>
          <w:color w:val="auto"/>
        </w:rPr>
        <w:t xml:space="preserve">The surgical scar was tender to palpation. </w:t>
      </w:r>
      <w:r w:rsidR="0075317A">
        <w:rPr>
          <w:rFonts w:cs="Times New Roman"/>
          <w:color w:val="auto"/>
        </w:rPr>
        <w:t xml:space="preserve"> </w:t>
      </w:r>
      <w:r w:rsidRPr="003C53E8">
        <w:rPr>
          <w:rFonts w:cs="Times New Roman"/>
          <w:color w:val="auto"/>
        </w:rPr>
        <w:t>Pain was also noted with motion.</w:t>
      </w:r>
      <w:r w:rsidRPr="0070532D">
        <w:rPr>
          <w:rFonts w:cs="Times New Roman"/>
          <w:color w:val="auto"/>
        </w:rPr>
        <w:t xml:space="preserve"> </w:t>
      </w:r>
      <w:r w:rsidR="0075317A">
        <w:rPr>
          <w:rFonts w:cs="Times New Roman"/>
          <w:color w:val="auto"/>
        </w:rPr>
        <w:t xml:space="preserve"> </w:t>
      </w:r>
      <w:r w:rsidR="00D14F15">
        <w:rPr>
          <w:rFonts w:cs="Times New Roman"/>
          <w:color w:val="auto"/>
        </w:rPr>
        <w:t>A normal gait w</w:t>
      </w:r>
      <w:r w:rsidR="00FC7B17">
        <w:rPr>
          <w:rFonts w:cs="Times New Roman"/>
          <w:color w:val="auto"/>
        </w:rPr>
        <w:t xml:space="preserve">as documented by all examiners, </w:t>
      </w:r>
      <w:r w:rsidR="00D14F15">
        <w:rPr>
          <w:rFonts w:cs="Times New Roman"/>
          <w:color w:val="auto"/>
        </w:rPr>
        <w:t xml:space="preserve">including </w:t>
      </w:r>
      <w:r w:rsidR="00FC7B17">
        <w:rPr>
          <w:rFonts w:cs="Times New Roman"/>
          <w:color w:val="auto"/>
        </w:rPr>
        <w:t>on the unrelated spine exams</w:t>
      </w:r>
      <w:r w:rsidR="00D14F15">
        <w:rPr>
          <w:rFonts w:cs="Times New Roman"/>
          <w:color w:val="auto"/>
        </w:rPr>
        <w:t xml:space="preserve">.  </w:t>
      </w:r>
    </w:p>
    <w:p w:rsidR="00D14F15" w:rsidRDefault="00D14F15" w:rsidP="0070532D">
      <w:pPr>
        <w:jc w:val="both"/>
        <w:rPr>
          <w:rFonts w:cs="Times New Roman"/>
          <w:color w:val="auto"/>
        </w:rPr>
      </w:pPr>
    </w:p>
    <w:p w:rsidR="003D1520" w:rsidRPr="003D1520" w:rsidRDefault="00D14F15" w:rsidP="003D1520">
      <w:pPr>
        <w:jc w:val="both"/>
        <w:rPr>
          <w:rFonts w:cs="Times New Roman"/>
          <w:color w:val="auto"/>
        </w:rPr>
      </w:pPr>
      <w:r w:rsidRPr="00D14F15">
        <w:rPr>
          <w:rFonts w:cs="Times New Roman"/>
          <w:color w:val="auto"/>
        </w:rPr>
        <w:t>The Board directs attention to its rating recommendation based on the above evidence.</w:t>
      </w:r>
      <w:r>
        <w:rPr>
          <w:rFonts w:cs="Times New Roman"/>
          <w:color w:val="auto"/>
        </w:rPr>
        <w:t xml:space="preserve">  It is clear that the PT exam is significantly disparate from the physician examinations.  </w:t>
      </w:r>
      <w:r w:rsidR="008436FD">
        <w:rPr>
          <w:rFonts w:cs="Times New Roman"/>
          <w:color w:val="auto"/>
        </w:rPr>
        <w:t xml:space="preserve">The PT exam </w:t>
      </w:r>
      <w:r w:rsidR="0054704D">
        <w:rPr>
          <w:rFonts w:cs="Times New Roman"/>
          <w:color w:val="auto"/>
        </w:rPr>
        <w:t>listed a single measurement for each plane and did</w:t>
      </w:r>
      <w:r w:rsidR="008436FD">
        <w:rPr>
          <w:rFonts w:cs="Times New Roman"/>
          <w:color w:val="auto"/>
        </w:rPr>
        <w:t xml:space="preserve"> not specify whether the ROM was limited by pain or recorded at the onset of pain.  The latter would </w:t>
      </w:r>
      <w:r w:rsidR="00FC7B17">
        <w:rPr>
          <w:rFonts w:cs="Times New Roman"/>
          <w:color w:val="auto"/>
        </w:rPr>
        <w:t xml:space="preserve">be </w:t>
      </w:r>
      <w:r w:rsidR="008436FD">
        <w:rPr>
          <w:rFonts w:cs="Times New Roman"/>
          <w:color w:val="auto"/>
        </w:rPr>
        <w:t xml:space="preserve">more consistent with the markedly lower measurements, since there is no ready clinical explanation for them.  </w:t>
      </w:r>
      <w:r w:rsidR="00FC7B17">
        <w:rPr>
          <w:rFonts w:cs="Times New Roman"/>
          <w:color w:val="auto"/>
        </w:rPr>
        <w:t>F</w:t>
      </w:r>
      <w:r w:rsidR="008436FD">
        <w:rPr>
          <w:rFonts w:cs="Times New Roman"/>
          <w:color w:val="auto"/>
        </w:rPr>
        <w:t xml:space="preserve">or probative value assignment, the members agreed that the MEB physical and MEB orthopedic examinations most reliably reflected disability at separation; given the discordance of the PT exam and temporal distance of the VA exam from separation.  </w:t>
      </w:r>
      <w:r w:rsidR="00A67EC1">
        <w:rPr>
          <w:rFonts w:cs="Times New Roman"/>
          <w:color w:val="auto"/>
        </w:rPr>
        <w:t xml:space="preserve">There are </w:t>
      </w:r>
      <w:r w:rsidR="00A30E6D">
        <w:rPr>
          <w:rFonts w:cs="Times New Roman"/>
          <w:color w:val="auto"/>
        </w:rPr>
        <w:t>three</w:t>
      </w:r>
      <w:r w:rsidR="00A67EC1">
        <w:rPr>
          <w:rFonts w:cs="Times New Roman"/>
          <w:color w:val="auto"/>
        </w:rPr>
        <w:t xml:space="preserve"> coding approaches to the pathology in evidence, </w:t>
      </w:r>
      <w:r w:rsidR="00FC7B17">
        <w:rPr>
          <w:rFonts w:cs="Times New Roman"/>
          <w:color w:val="auto"/>
        </w:rPr>
        <w:t>although</w:t>
      </w:r>
      <w:r w:rsidR="00A67EC1">
        <w:rPr>
          <w:rFonts w:cs="Times New Roman"/>
          <w:color w:val="auto"/>
        </w:rPr>
        <w:t xml:space="preserve"> no combinations </w:t>
      </w:r>
      <w:r w:rsidR="00FC7B17">
        <w:rPr>
          <w:rFonts w:cs="Times New Roman"/>
          <w:color w:val="auto"/>
        </w:rPr>
        <w:t xml:space="preserve">for separate ratings would comply with </w:t>
      </w:r>
      <w:r w:rsidR="00204B36">
        <w:rPr>
          <w:rFonts w:cs="Times New Roman"/>
          <w:color w:val="auto"/>
        </w:rPr>
        <w:t>the VA Schedule for Rating Disabilities (</w:t>
      </w:r>
      <w:r w:rsidR="00FC7B17">
        <w:rPr>
          <w:rFonts w:cs="Times New Roman"/>
          <w:color w:val="auto"/>
        </w:rPr>
        <w:t>VASRD</w:t>
      </w:r>
      <w:r w:rsidR="00204B36">
        <w:rPr>
          <w:rFonts w:cs="Times New Roman"/>
          <w:color w:val="auto"/>
        </w:rPr>
        <w:t>)</w:t>
      </w:r>
      <w:r w:rsidR="00A67EC1">
        <w:rPr>
          <w:rFonts w:cs="Times New Roman"/>
          <w:color w:val="auto"/>
        </w:rPr>
        <w:t xml:space="preserve"> </w:t>
      </w:r>
      <w:r w:rsidR="00A67EC1" w:rsidRPr="00A67EC1">
        <w:rPr>
          <w:rFonts w:cs="Times New Roman"/>
          <w:color w:val="auto"/>
        </w:rPr>
        <w:t>§4.14 (avoidance of pyramiding)</w:t>
      </w:r>
      <w:r w:rsidR="00A67EC1">
        <w:rPr>
          <w:rFonts w:cs="Times New Roman"/>
          <w:color w:val="auto"/>
        </w:rPr>
        <w:t xml:space="preserve">.  These </w:t>
      </w:r>
      <w:r w:rsidR="00A30E6D">
        <w:rPr>
          <w:rFonts w:cs="Times New Roman"/>
          <w:color w:val="auto"/>
        </w:rPr>
        <w:t>three</w:t>
      </w:r>
      <w:r w:rsidR="00A67EC1">
        <w:rPr>
          <w:rFonts w:cs="Times New Roman"/>
          <w:color w:val="auto"/>
        </w:rPr>
        <w:t xml:space="preserve"> approaches are: analogous to 5003 (degenerative arthritis) as per the PEB; coding the peripheral neuropathy, i.e., 8721 (neuralgia, common peroneal) as per the VA; or under 5271 (ankle, limitation of motion).  The analogous 5003 option yields a 10% rating</w:t>
      </w:r>
      <w:r w:rsidR="003D1520">
        <w:rPr>
          <w:rFonts w:cs="Times New Roman"/>
          <w:color w:val="auto"/>
        </w:rPr>
        <w:t xml:space="preserve"> if </w:t>
      </w:r>
      <w:r w:rsidR="003D1520" w:rsidRPr="003D1520">
        <w:rPr>
          <w:rFonts w:cs="Times New Roman"/>
          <w:color w:val="auto"/>
        </w:rPr>
        <w:t xml:space="preserve">§4.59 (painful motion) is conceded.  </w:t>
      </w:r>
      <w:r w:rsidR="003D1520">
        <w:rPr>
          <w:rFonts w:cs="Times New Roman"/>
          <w:color w:val="auto"/>
        </w:rPr>
        <w:t xml:space="preserve">The peripheral nerve code could not be rated any higher than 10% for </w:t>
      </w:r>
      <w:r w:rsidR="00A30E6D">
        <w:rPr>
          <w:rFonts w:cs="Times New Roman"/>
          <w:color w:val="auto"/>
        </w:rPr>
        <w:lastRenderedPageBreak/>
        <w:t>“</w:t>
      </w:r>
      <w:r w:rsidR="003D1520">
        <w:rPr>
          <w:rFonts w:cs="Times New Roman"/>
          <w:color w:val="auto"/>
        </w:rPr>
        <w:t>mild</w:t>
      </w:r>
      <w:r w:rsidR="00A30E6D">
        <w:rPr>
          <w:rFonts w:cs="Times New Roman"/>
          <w:color w:val="auto"/>
        </w:rPr>
        <w:t>”</w:t>
      </w:r>
      <w:r w:rsidR="003D1520">
        <w:rPr>
          <w:rFonts w:cs="Times New Roman"/>
          <w:color w:val="auto"/>
        </w:rPr>
        <w:t xml:space="preserve"> impairment since there was only sensory (pain) involvement.  The 5271 code could be invoked for a 20% rating if the dubious PT measurements were conceded, </w:t>
      </w:r>
      <w:r w:rsidR="00FC7B17">
        <w:rPr>
          <w:rFonts w:cs="Times New Roman"/>
          <w:color w:val="auto"/>
        </w:rPr>
        <w:t xml:space="preserve">but the more probative ROM exams would only support a 10% rating </w:t>
      </w:r>
      <w:r w:rsidR="00CE0BF3">
        <w:rPr>
          <w:rFonts w:cs="Times New Roman"/>
          <w:color w:val="auto"/>
        </w:rPr>
        <w:t xml:space="preserve">via </w:t>
      </w:r>
      <w:r w:rsidR="003D1520" w:rsidRPr="003D1520">
        <w:rPr>
          <w:rFonts w:cs="Times New Roman"/>
          <w:color w:val="auto"/>
        </w:rPr>
        <w:t>§4.59</w:t>
      </w:r>
      <w:r w:rsidR="003D1520">
        <w:rPr>
          <w:rFonts w:cs="Times New Roman"/>
          <w:color w:val="auto"/>
        </w:rPr>
        <w:t xml:space="preserve">.  </w:t>
      </w:r>
      <w:r w:rsidR="00A67EC1" w:rsidRPr="004D7587">
        <w:rPr>
          <w:rFonts w:cs="Times New Roman"/>
          <w:color w:val="auto"/>
        </w:rPr>
        <w:t xml:space="preserve">The PEB’s DA Form 199 reflected application of the USAPDA pain policy for rating, but its 10% determination was consistent with §4.71a standards. </w:t>
      </w:r>
      <w:r w:rsidR="003D1520">
        <w:rPr>
          <w:rFonts w:cs="Times New Roman"/>
          <w:color w:val="auto"/>
        </w:rPr>
        <w:t xml:space="preserve"> </w:t>
      </w:r>
      <w:r w:rsidR="003D1520" w:rsidRPr="003D1520">
        <w:rPr>
          <w:rFonts w:cs="Times New Roman"/>
          <w:color w:val="auto"/>
        </w:rPr>
        <w:t xml:space="preserve">After due deliberation, considering all of the evidence and mindful of VASRD §4.3 (reasonable doubt), the Board concluded that there was insufficient cause to recommend a change in the PEB adjudication for the </w:t>
      </w:r>
      <w:r w:rsidR="003D1520">
        <w:rPr>
          <w:rFonts w:cs="Times New Roman"/>
          <w:color w:val="auto"/>
        </w:rPr>
        <w:t>right foot/ankle</w:t>
      </w:r>
      <w:r w:rsidR="003D1520" w:rsidRPr="003D1520">
        <w:rPr>
          <w:rFonts w:cs="Times New Roman"/>
          <w:color w:val="auto"/>
        </w:rPr>
        <w:t xml:space="preserve"> condition.</w:t>
      </w:r>
    </w:p>
    <w:p w:rsidR="003D1520" w:rsidRDefault="003D1520" w:rsidP="00A67EC1">
      <w:pPr>
        <w:jc w:val="both"/>
        <w:rPr>
          <w:rFonts w:cs="Times New Roman"/>
          <w:color w:val="auto"/>
        </w:rPr>
      </w:pPr>
    </w:p>
    <w:p w:rsidR="009844D9" w:rsidRPr="003C53E8" w:rsidRDefault="003D1520" w:rsidP="009844D9">
      <w:pPr>
        <w:jc w:val="both"/>
        <w:rPr>
          <w:rFonts w:cs="Times New Roman"/>
          <w:color w:val="auto"/>
        </w:rPr>
      </w:pPr>
      <w:proofErr w:type="gramStart"/>
      <w:r>
        <w:rPr>
          <w:color w:val="000000"/>
          <w:u w:val="single"/>
        </w:rPr>
        <w:t>Lumbar Spine</w:t>
      </w:r>
      <w:r w:rsidR="006537A7" w:rsidRPr="004D7587">
        <w:rPr>
          <w:color w:val="000000"/>
          <w:u w:val="single"/>
        </w:rPr>
        <w:t xml:space="preserve"> Condition</w:t>
      </w:r>
      <w:r w:rsidR="006537A7" w:rsidRPr="00FF5304">
        <w:rPr>
          <w:color w:val="000000"/>
        </w:rPr>
        <w:t>.</w:t>
      </w:r>
      <w:proofErr w:type="gramEnd"/>
      <w:r w:rsidR="006537A7" w:rsidRPr="0070532D">
        <w:rPr>
          <w:color w:val="000000"/>
        </w:rPr>
        <w:t xml:space="preserve"> </w:t>
      </w:r>
      <w:r>
        <w:rPr>
          <w:color w:val="000000"/>
        </w:rPr>
        <w:t xml:space="preserve"> </w:t>
      </w:r>
      <w:r w:rsidR="00814E83">
        <w:rPr>
          <w:color w:val="000000"/>
        </w:rPr>
        <w:t xml:space="preserve">The CI’s back pain, precipitated by </w:t>
      </w:r>
      <w:r w:rsidR="00CE0BF3">
        <w:rPr>
          <w:color w:val="000000"/>
        </w:rPr>
        <w:t>a litter</w:t>
      </w:r>
      <w:r w:rsidR="00814E83">
        <w:rPr>
          <w:color w:val="000000"/>
        </w:rPr>
        <w:t xml:space="preserve"> lifting injury in Iraq, persisted after redeployment.  </w:t>
      </w:r>
      <w:r w:rsidR="006537A7" w:rsidRPr="004D7587">
        <w:rPr>
          <w:color w:val="000000"/>
        </w:rPr>
        <w:t>The pain radiated to both buttocks</w:t>
      </w:r>
      <w:r w:rsidR="00814E83">
        <w:rPr>
          <w:color w:val="000000"/>
        </w:rPr>
        <w:t>; and</w:t>
      </w:r>
      <w:r w:rsidR="00CE0BF3">
        <w:rPr>
          <w:color w:val="000000"/>
        </w:rPr>
        <w:t>,</w:t>
      </w:r>
      <w:r w:rsidR="00814E83">
        <w:rPr>
          <w:color w:val="000000"/>
        </w:rPr>
        <w:t xml:space="preserve"> was treated with PT, activity modification</w:t>
      </w:r>
      <w:r w:rsidR="00CE0BF3">
        <w:rPr>
          <w:color w:val="000000"/>
        </w:rPr>
        <w:t>,</w:t>
      </w:r>
      <w:r w:rsidR="00814E83">
        <w:rPr>
          <w:color w:val="000000"/>
        </w:rPr>
        <w:t xml:space="preserve"> and medications</w:t>
      </w:r>
      <w:r w:rsidR="006537A7" w:rsidRPr="004D7587">
        <w:rPr>
          <w:color w:val="000000"/>
        </w:rPr>
        <w:t xml:space="preserve">. </w:t>
      </w:r>
      <w:r w:rsidR="00814E83">
        <w:rPr>
          <w:color w:val="000000"/>
        </w:rPr>
        <w:t xml:space="preserve"> </w:t>
      </w:r>
      <w:r w:rsidR="006537A7" w:rsidRPr="004D7587">
        <w:rPr>
          <w:color w:val="000000"/>
        </w:rPr>
        <w:t>An MRI in December 2004 revealed desiccation of the L5-S1 disc with moderate central disc bulge</w:t>
      </w:r>
      <w:r w:rsidR="009844D9">
        <w:rPr>
          <w:color w:val="000000"/>
        </w:rPr>
        <w:t>,</w:t>
      </w:r>
      <w:r w:rsidR="006537A7">
        <w:rPr>
          <w:color w:val="000000"/>
        </w:rPr>
        <w:t xml:space="preserve"> but no </w:t>
      </w:r>
      <w:r w:rsidR="009844D9">
        <w:rPr>
          <w:color w:val="000000"/>
        </w:rPr>
        <w:t>neural impingent.</w:t>
      </w:r>
      <w:r w:rsidR="006537A7">
        <w:rPr>
          <w:color w:val="000000"/>
        </w:rPr>
        <w:t xml:space="preserve"> </w:t>
      </w:r>
      <w:r w:rsidR="009844D9">
        <w:rPr>
          <w:color w:val="000000"/>
        </w:rPr>
        <w:t xml:space="preserve"> EMGs of both lower extremities were normal.  </w:t>
      </w:r>
      <w:r w:rsidR="006537A7" w:rsidRPr="004D7587">
        <w:rPr>
          <w:color w:val="000000"/>
        </w:rPr>
        <w:t>A neurosurgical consult</w:t>
      </w:r>
      <w:r w:rsidR="009844D9">
        <w:rPr>
          <w:color w:val="000000"/>
        </w:rPr>
        <w:t>ant</w:t>
      </w:r>
      <w:r w:rsidR="006537A7" w:rsidRPr="004D7587">
        <w:rPr>
          <w:color w:val="000000"/>
        </w:rPr>
        <w:t xml:space="preserve"> </w:t>
      </w:r>
      <w:r w:rsidR="009844D9">
        <w:rPr>
          <w:color w:val="000000"/>
        </w:rPr>
        <w:t>did not recommend surgery and the CI failed further attempts at rehabilitation, which included epidural steroid injections.</w:t>
      </w:r>
      <w:r w:rsidR="006537A7" w:rsidRPr="004D7587">
        <w:rPr>
          <w:color w:val="000000"/>
        </w:rPr>
        <w:t xml:space="preserve"> </w:t>
      </w:r>
      <w:r w:rsidR="009844D9">
        <w:rPr>
          <w:color w:val="000000"/>
        </w:rPr>
        <w:t xml:space="preserve"> There were </w:t>
      </w:r>
      <w:r w:rsidR="00A30E6D">
        <w:rPr>
          <w:color w:val="000000"/>
        </w:rPr>
        <w:t>two</w:t>
      </w:r>
      <w:r w:rsidR="009844D9" w:rsidRPr="00FF5304">
        <w:rPr>
          <w:color w:val="000000"/>
        </w:rPr>
        <w:t xml:space="preserve"> goniometric </w:t>
      </w:r>
      <w:r w:rsidR="00A30E6D">
        <w:rPr>
          <w:color w:val="000000"/>
        </w:rPr>
        <w:t>ROM</w:t>
      </w:r>
      <w:r w:rsidR="009844D9" w:rsidRPr="00FF5304">
        <w:rPr>
          <w:color w:val="000000"/>
        </w:rPr>
        <w:t xml:space="preserve"> evaluations in evidence with documentation of additional ratable criteria which the Board weighed in arriving at its rating recommendation</w:t>
      </w:r>
      <w:r w:rsidR="00204B36">
        <w:rPr>
          <w:color w:val="000000"/>
        </w:rPr>
        <w:t>,</w:t>
      </w:r>
      <w:r w:rsidR="009844D9">
        <w:rPr>
          <w:rFonts w:cs="Times New Roman"/>
          <w:color w:val="auto"/>
        </w:rPr>
        <w:t xml:space="preserve"> as summarized in the chart below.</w:t>
      </w:r>
    </w:p>
    <w:p w:rsidR="009F5B87" w:rsidRDefault="009F5B87" w:rsidP="0070532D">
      <w:pPr>
        <w:jc w:val="both"/>
        <w:rPr>
          <w:rFonts w:cs="Times New Roman"/>
          <w:color w:val="auto"/>
        </w:rPr>
      </w:pPr>
    </w:p>
    <w:tbl>
      <w:tblPr>
        <w:tblW w:w="7115"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394"/>
        <w:gridCol w:w="2606"/>
      </w:tblGrid>
      <w:tr w:rsidR="009F5B87" w:rsidRPr="009F5B87" w:rsidTr="00AA6D9F">
        <w:trPr>
          <w:jc w:val="center"/>
        </w:trPr>
        <w:tc>
          <w:tcPr>
            <w:tcW w:w="2115" w:type="dxa"/>
            <w:shd w:val="clear" w:color="auto" w:fill="D9D9D9"/>
            <w:vAlign w:val="center"/>
          </w:tcPr>
          <w:p w:rsidR="009F5B87" w:rsidRPr="009F5B87" w:rsidRDefault="009F5B87" w:rsidP="009F5B87">
            <w:pPr>
              <w:contextualSpacing/>
              <w:rPr>
                <w:rFonts w:eastAsia="Calibri"/>
                <w:color w:val="auto"/>
                <w:sz w:val="22"/>
                <w:szCs w:val="22"/>
              </w:rPr>
            </w:pPr>
            <w:r w:rsidRPr="003C53E8">
              <w:rPr>
                <w:rFonts w:cs="Times New Roman"/>
                <w:color w:val="auto"/>
                <w:sz w:val="22"/>
              </w:rPr>
              <w:t xml:space="preserve">Thoracolumbar </w:t>
            </w:r>
            <w:r w:rsidRPr="009F5B87">
              <w:rPr>
                <w:rFonts w:eastAsia="Calibri"/>
                <w:color w:val="auto"/>
                <w:sz w:val="22"/>
                <w:szCs w:val="22"/>
              </w:rPr>
              <w:t>ROM</w:t>
            </w:r>
          </w:p>
        </w:tc>
        <w:tc>
          <w:tcPr>
            <w:tcW w:w="2394" w:type="dxa"/>
            <w:shd w:val="clear" w:color="auto" w:fill="D9D9D9"/>
            <w:vAlign w:val="center"/>
          </w:tcPr>
          <w:p w:rsidR="009F5B87" w:rsidRPr="009F5B87" w:rsidRDefault="009F5B87" w:rsidP="009F5B87">
            <w:pPr>
              <w:contextualSpacing/>
              <w:rPr>
                <w:rFonts w:eastAsia="Calibri"/>
                <w:color w:val="auto"/>
                <w:sz w:val="22"/>
                <w:szCs w:val="22"/>
              </w:rPr>
            </w:pPr>
            <w:r>
              <w:rPr>
                <w:rFonts w:eastAsia="Calibri"/>
                <w:color w:val="auto"/>
                <w:sz w:val="22"/>
                <w:szCs w:val="22"/>
              </w:rPr>
              <w:t>MEB</w:t>
            </w:r>
            <w:r w:rsidR="009844D9">
              <w:rPr>
                <w:rFonts w:eastAsia="Calibri"/>
                <w:color w:val="auto"/>
                <w:sz w:val="22"/>
                <w:szCs w:val="22"/>
              </w:rPr>
              <w:t>/PT</w:t>
            </w:r>
            <w:r>
              <w:rPr>
                <w:rFonts w:eastAsia="Calibri"/>
                <w:color w:val="auto"/>
                <w:sz w:val="22"/>
                <w:szCs w:val="22"/>
              </w:rPr>
              <w:t xml:space="preserve"> ~3</w:t>
            </w:r>
            <w:r w:rsidRPr="009F5B87">
              <w:rPr>
                <w:rFonts w:eastAsia="Calibri"/>
                <w:color w:val="auto"/>
                <w:sz w:val="22"/>
                <w:szCs w:val="22"/>
              </w:rPr>
              <w:t xml:space="preserve"> Mo. Pre-Sep</w:t>
            </w:r>
          </w:p>
        </w:tc>
        <w:tc>
          <w:tcPr>
            <w:tcW w:w="2606" w:type="dxa"/>
            <w:shd w:val="clear" w:color="auto" w:fill="D9D9D9"/>
            <w:vAlign w:val="center"/>
          </w:tcPr>
          <w:p w:rsidR="009F5B87" w:rsidRPr="009F5B87" w:rsidRDefault="009F5B87" w:rsidP="009F5B87">
            <w:pPr>
              <w:contextualSpacing/>
              <w:rPr>
                <w:rFonts w:eastAsia="Cambria"/>
                <w:color w:val="auto"/>
                <w:sz w:val="22"/>
                <w:szCs w:val="22"/>
              </w:rPr>
            </w:pPr>
            <w:r w:rsidRPr="009F5B87">
              <w:rPr>
                <w:rFonts w:eastAsia="Calibri"/>
                <w:color w:val="auto"/>
                <w:sz w:val="22"/>
                <w:szCs w:val="22"/>
              </w:rPr>
              <w:t>VA</w:t>
            </w:r>
            <w:r>
              <w:rPr>
                <w:rFonts w:eastAsia="Cambria"/>
                <w:color w:val="auto"/>
                <w:sz w:val="22"/>
                <w:szCs w:val="22"/>
              </w:rPr>
              <w:t xml:space="preserve"> C&amp;P ~11</w:t>
            </w:r>
            <w:r w:rsidRPr="009F5B87">
              <w:rPr>
                <w:rFonts w:eastAsia="Cambria"/>
                <w:color w:val="auto"/>
                <w:sz w:val="22"/>
                <w:szCs w:val="22"/>
              </w:rPr>
              <w:t xml:space="preserve"> Mo. Post-Sep</w:t>
            </w:r>
          </w:p>
        </w:tc>
      </w:tr>
      <w:tr w:rsidR="008A0813" w:rsidRPr="009F5B87" w:rsidTr="00AA6D9F">
        <w:trPr>
          <w:jc w:val="center"/>
        </w:trPr>
        <w:tc>
          <w:tcPr>
            <w:tcW w:w="2115" w:type="dxa"/>
            <w:vAlign w:val="center"/>
          </w:tcPr>
          <w:p w:rsidR="008A0813" w:rsidRPr="009F5B87" w:rsidRDefault="008A0813" w:rsidP="009F5B87">
            <w:pPr>
              <w:contextualSpacing/>
              <w:rPr>
                <w:rFonts w:eastAsia="Calibri"/>
                <w:color w:val="auto"/>
                <w:sz w:val="22"/>
                <w:szCs w:val="22"/>
              </w:rPr>
            </w:pPr>
            <w:r w:rsidRPr="009F5B87">
              <w:rPr>
                <w:rFonts w:eastAsia="Calibri"/>
                <w:color w:val="auto"/>
                <w:sz w:val="22"/>
                <w:szCs w:val="22"/>
              </w:rPr>
              <w:t>Flexion (</w:t>
            </w:r>
            <w:r>
              <w:rPr>
                <w:rFonts w:eastAsia="Calibri"/>
                <w:color w:val="auto"/>
                <w:sz w:val="22"/>
                <w:szCs w:val="22"/>
              </w:rPr>
              <w:t>9</w:t>
            </w:r>
            <w:r w:rsidRPr="009F5B87">
              <w:rPr>
                <w:rFonts w:eastAsia="Calibri"/>
                <w:color w:val="auto"/>
                <w:sz w:val="22"/>
                <w:szCs w:val="22"/>
              </w:rPr>
              <w:t>0⁰</w:t>
            </w:r>
            <w:r>
              <w:rPr>
                <w:rFonts w:eastAsia="Calibri"/>
                <w:color w:val="auto"/>
                <w:sz w:val="22"/>
                <w:szCs w:val="22"/>
              </w:rPr>
              <w:t xml:space="preserve"> Normal</w:t>
            </w:r>
            <w:r w:rsidRPr="009F5B87">
              <w:rPr>
                <w:rFonts w:eastAsia="Calibri"/>
                <w:color w:val="auto"/>
                <w:sz w:val="22"/>
                <w:szCs w:val="22"/>
              </w:rPr>
              <w:t>)</w:t>
            </w:r>
          </w:p>
        </w:tc>
        <w:tc>
          <w:tcPr>
            <w:tcW w:w="2394" w:type="dxa"/>
          </w:tcPr>
          <w:p w:rsidR="008A0813" w:rsidRPr="003C53E8" w:rsidRDefault="008A0813" w:rsidP="00532B73">
            <w:pPr>
              <w:contextualSpacing/>
              <w:rPr>
                <w:rFonts w:cs="Times New Roman"/>
                <w:color w:val="auto"/>
                <w:sz w:val="22"/>
              </w:rPr>
            </w:pPr>
            <w:r w:rsidRPr="003C53E8">
              <w:rPr>
                <w:rFonts w:cs="Times New Roman"/>
                <w:color w:val="auto"/>
                <w:sz w:val="22"/>
              </w:rPr>
              <w:t>45⁰</w:t>
            </w:r>
          </w:p>
        </w:tc>
        <w:tc>
          <w:tcPr>
            <w:tcW w:w="2606" w:type="dxa"/>
          </w:tcPr>
          <w:p w:rsidR="008A0813" w:rsidRPr="003C53E8" w:rsidRDefault="008A0813" w:rsidP="00532B73">
            <w:pPr>
              <w:contextualSpacing/>
              <w:rPr>
                <w:rFonts w:cs="Times New Roman"/>
                <w:color w:val="auto"/>
                <w:sz w:val="22"/>
              </w:rPr>
            </w:pPr>
            <w:r w:rsidRPr="003C53E8">
              <w:rPr>
                <w:rFonts w:cs="Times New Roman"/>
                <w:color w:val="auto"/>
                <w:sz w:val="22"/>
              </w:rPr>
              <w:t>55⁰</w:t>
            </w:r>
          </w:p>
        </w:tc>
      </w:tr>
      <w:tr w:rsidR="008A0813" w:rsidRPr="009F5B87" w:rsidTr="00AA6D9F">
        <w:trPr>
          <w:jc w:val="center"/>
        </w:trPr>
        <w:tc>
          <w:tcPr>
            <w:tcW w:w="2115" w:type="dxa"/>
            <w:vAlign w:val="center"/>
          </w:tcPr>
          <w:p w:rsidR="008A0813" w:rsidRPr="009F5B87" w:rsidRDefault="008A0813" w:rsidP="009F5B87">
            <w:pPr>
              <w:contextualSpacing/>
              <w:rPr>
                <w:rFonts w:eastAsia="Calibri"/>
                <w:color w:val="auto"/>
                <w:sz w:val="22"/>
                <w:szCs w:val="22"/>
              </w:rPr>
            </w:pPr>
            <w:r w:rsidRPr="003C53E8">
              <w:rPr>
                <w:rFonts w:cs="Times New Roman"/>
                <w:color w:val="auto"/>
                <w:sz w:val="22"/>
              </w:rPr>
              <w:t xml:space="preserve">Combined </w:t>
            </w:r>
            <w:r>
              <w:rPr>
                <w:rFonts w:cs="Times New Roman"/>
                <w:color w:val="auto"/>
                <w:sz w:val="22"/>
              </w:rPr>
              <w:t>(</w:t>
            </w:r>
            <w:r w:rsidRPr="003C53E8">
              <w:rPr>
                <w:rFonts w:cs="Times New Roman"/>
                <w:color w:val="auto"/>
                <w:sz w:val="22"/>
              </w:rPr>
              <w:t>240⁰</w:t>
            </w:r>
            <w:r>
              <w:rPr>
                <w:rFonts w:cs="Times New Roman"/>
                <w:color w:val="auto"/>
                <w:sz w:val="22"/>
              </w:rPr>
              <w:t>)</w:t>
            </w:r>
            <w:r w:rsidRPr="003C53E8">
              <w:rPr>
                <w:rFonts w:cs="Times New Roman"/>
                <w:color w:val="auto"/>
                <w:sz w:val="22"/>
              </w:rPr>
              <w:t xml:space="preserve"> </w:t>
            </w:r>
          </w:p>
        </w:tc>
        <w:tc>
          <w:tcPr>
            <w:tcW w:w="2394" w:type="dxa"/>
          </w:tcPr>
          <w:p w:rsidR="008A0813" w:rsidRPr="003C53E8" w:rsidRDefault="008A0813" w:rsidP="00532B73">
            <w:pPr>
              <w:contextualSpacing/>
              <w:rPr>
                <w:rFonts w:cs="Times New Roman"/>
                <w:color w:val="auto"/>
                <w:sz w:val="22"/>
              </w:rPr>
            </w:pPr>
            <w:r w:rsidRPr="003C53E8">
              <w:rPr>
                <w:rFonts w:cs="Times New Roman"/>
                <w:color w:val="auto"/>
                <w:sz w:val="22"/>
              </w:rPr>
              <w:t>180⁰</w:t>
            </w:r>
          </w:p>
        </w:tc>
        <w:tc>
          <w:tcPr>
            <w:tcW w:w="2606" w:type="dxa"/>
          </w:tcPr>
          <w:p w:rsidR="008A0813" w:rsidRPr="003C53E8" w:rsidRDefault="008A0813" w:rsidP="00532B73">
            <w:pPr>
              <w:contextualSpacing/>
              <w:rPr>
                <w:rFonts w:cs="Times New Roman"/>
                <w:color w:val="auto"/>
                <w:sz w:val="22"/>
              </w:rPr>
            </w:pPr>
            <w:r w:rsidRPr="003C53E8">
              <w:rPr>
                <w:rFonts w:cs="Times New Roman"/>
                <w:color w:val="auto"/>
                <w:sz w:val="22"/>
              </w:rPr>
              <w:t>195⁰</w:t>
            </w:r>
          </w:p>
        </w:tc>
      </w:tr>
      <w:tr w:rsidR="008A0813" w:rsidRPr="009F5B87" w:rsidTr="00AA6D9F">
        <w:trPr>
          <w:trHeight w:val="70"/>
          <w:jc w:val="center"/>
        </w:trPr>
        <w:tc>
          <w:tcPr>
            <w:tcW w:w="2115" w:type="dxa"/>
            <w:vAlign w:val="center"/>
          </w:tcPr>
          <w:p w:rsidR="008A0813" w:rsidRPr="009F5B87" w:rsidRDefault="008A0813" w:rsidP="009F5B87">
            <w:pPr>
              <w:tabs>
                <w:tab w:val="left" w:pos="288"/>
                <w:tab w:val="left" w:pos="4752"/>
              </w:tabs>
              <w:rPr>
                <w:rFonts w:eastAsia="Cambria"/>
                <w:color w:val="auto"/>
                <w:sz w:val="22"/>
                <w:szCs w:val="22"/>
              </w:rPr>
            </w:pPr>
            <w:r w:rsidRPr="009F5B87">
              <w:rPr>
                <w:rFonts w:eastAsia="Cambria"/>
                <w:color w:val="auto"/>
                <w:sz w:val="22"/>
                <w:szCs w:val="22"/>
              </w:rPr>
              <w:t>§4.71a Rating</w:t>
            </w:r>
          </w:p>
        </w:tc>
        <w:tc>
          <w:tcPr>
            <w:tcW w:w="2394" w:type="dxa"/>
          </w:tcPr>
          <w:p w:rsidR="008A0813" w:rsidRPr="003C53E8" w:rsidRDefault="008A0813" w:rsidP="00532B73">
            <w:pPr>
              <w:tabs>
                <w:tab w:val="left" w:pos="288"/>
                <w:tab w:val="left" w:pos="4752"/>
              </w:tabs>
              <w:rPr>
                <w:rFonts w:cs="Times New Roman"/>
                <w:color w:val="auto"/>
                <w:sz w:val="22"/>
              </w:rPr>
            </w:pPr>
            <w:r w:rsidRPr="003C53E8">
              <w:rPr>
                <w:rFonts w:cs="Times New Roman"/>
                <w:color w:val="auto"/>
                <w:sz w:val="22"/>
              </w:rPr>
              <w:t>20%</w:t>
            </w:r>
          </w:p>
        </w:tc>
        <w:tc>
          <w:tcPr>
            <w:tcW w:w="2606" w:type="dxa"/>
          </w:tcPr>
          <w:p w:rsidR="008A0813" w:rsidRPr="003C53E8" w:rsidRDefault="008A0813" w:rsidP="00532B73">
            <w:pPr>
              <w:tabs>
                <w:tab w:val="left" w:pos="288"/>
                <w:tab w:val="left" w:pos="4752"/>
              </w:tabs>
              <w:rPr>
                <w:rFonts w:cs="Times New Roman"/>
                <w:color w:val="auto"/>
                <w:sz w:val="22"/>
              </w:rPr>
            </w:pPr>
            <w:r w:rsidRPr="003C53E8">
              <w:rPr>
                <w:rFonts w:cs="Times New Roman"/>
                <w:color w:val="auto"/>
                <w:sz w:val="22"/>
              </w:rPr>
              <w:t>20%</w:t>
            </w:r>
          </w:p>
        </w:tc>
      </w:tr>
    </w:tbl>
    <w:p w:rsidR="006537A7" w:rsidRPr="003C53E8" w:rsidRDefault="006537A7" w:rsidP="003C53E8">
      <w:pPr>
        <w:tabs>
          <w:tab w:val="left" w:pos="288"/>
          <w:tab w:val="left" w:pos="4752"/>
        </w:tabs>
        <w:jc w:val="left"/>
        <w:rPr>
          <w:rFonts w:cs="Times New Roman"/>
          <w:color w:val="auto"/>
          <w:sz w:val="18"/>
        </w:rPr>
      </w:pPr>
      <w:r w:rsidRPr="003C53E8">
        <w:rPr>
          <w:rFonts w:cs="Times New Roman"/>
          <w:color w:val="auto"/>
          <w:sz w:val="18"/>
        </w:rPr>
        <w:tab/>
        <w:t xml:space="preserve">                             </w:t>
      </w:r>
    </w:p>
    <w:p w:rsidR="006537A7" w:rsidRPr="002F770A" w:rsidRDefault="006537A7" w:rsidP="0070532D">
      <w:pPr>
        <w:jc w:val="both"/>
        <w:rPr>
          <w:rFonts w:eastAsia="HiddenHorzOCR"/>
          <w:color w:val="000000"/>
        </w:rPr>
      </w:pPr>
      <w:r w:rsidRPr="001F29F9">
        <w:rPr>
          <w:rFonts w:eastAsia="HiddenHorzOCR"/>
          <w:color w:val="000000"/>
        </w:rPr>
        <w:t xml:space="preserve">At the MEB exam, the CI reported frequent moderate pain that required frequent breaks from work to stretch and stand. </w:t>
      </w:r>
      <w:r w:rsidR="00AA6D9F">
        <w:rPr>
          <w:rFonts w:eastAsia="HiddenHorzOCR"/>
          <w:color w:val="000000"/>
        </w:rPr>
        <w:t xml:space="preserve"> </w:t>
      </w:r>
      <w:r w:rsidRPr="001F29F9">
        <w:rPr>
          <w:rFonts w:eastAsia="HiddenHorzOCR"/>
          <w:color w:val="000000"/>
        </w:rPr>
        <w:t xml:space="preserve">He was unable to sit for long periods, run, </w:t>
      </w:r>
      <w:proofErr w:type="gramStart"/>
      <w:r w:rsidRPr="001F29F9">
        <w:rPr>
          <w:rFonts w:eastAsia="HiddenHorzOCR"/>
          <w:color w:val="000000"/>
        </w:rPr>
        <w:t>march</w:t>
      </w:r>
      <w:proofErr w:type="gramEnd"/>
      <w:r w:rsidRPr="001F29F9">
        <w:rPr>
          <w:rFonts w:eastAsia="HiddenHorzOCR"/>
          <w:color w:val="000000"/>
        </w:rPr>
        <w:t>, carry more than 20 pounds</w:t>
      </w:r>
      <w:r w:rsidR="00CE0BF3">
        <w:rPr>
          <w:rFonts w:eastAsia="HiddenHorzOCR"/>
          <w:color w:val="000000"/>
        </w:rPr>
        <w:t>,</w:t>
      </w:r>
      <w:r w:rsidRPr="001F29F9">
        <w:rPr>
          <w:rFonts w:eastAsia="HiddenHorzOCR"/>
          <w:color w:val="000000"/>
        </w:rPr>
        <w:t xml:space="preserve"> or carry a rucksack. </w:t>
      </w:r>
      <w:r w:rsidR="00AA6D9F">
        <w:rPr>
          <w:rFonts w:eastAsia="HiddenHorzOCR"/>
          <w:color w:val="000000"/>
        </w:rPr>
        <w:t xml:space="preserve"> The only lumbar ROM</w:t>
      </w:r>
      <w:r w:rsidR="00AA6D9F" w:rsidRPr="00AA6D9F">
        <w:rPr>
          <w:rFonts w:eastAsia="HiddenHorzOCR"/>
          <w:color w:val="000000"/>
        </w:rPr>
        <w:t xml:space="preserve"> </w:t>
      </w:r>
      <w:r w:rsidR="00AA6D9F">
        <w:rPr>
          <w:rFonts w:eastAsia="HiddenHorzOCR"/>
          <w:color w:val="000000"/>
        </w:rPr>
        <w:t>measurements evidenced in the service treatment record (STR) were those recorded at the same PT evaluation which was of compromised probative value</w:t>
      </w:r>
      <w:r w:rsidR="00204B36">
        <w:rPr>
          <w:rFonts w:eastAsia="HiddenHorzOCR"/>
          <w:color w:val="000000"/>
        </w:rPr>
        <w:t>,</w:t>
      </w:r>
      <w:r w:rsidR="00AA6D9F">
        <w:rPr>
          <w:rFonts w:eastAsia="HiddenHorzOCR"/>
          <w:color w:val="000000"/>
        </w:rPr>
        <w:t xml:space="preserve"> as discussed for the foot condition.  The PEB sent a memorandum of discontinuance to the MEB, stating “</w:t>
      </w:r>
      <w:r w:rsidR="00A30E6D">
        <w:rPr>
          <w:rFonts w:eastAsia="HiddenHorzOCR"/>
          <w:color w:val="000000"/>
        </w:rPr>
        <w:t>s</w:t>
      </w:r>
      <w:r w:rsidR="00AA6D9F">
        <w:rPr>
          <w:rFonts w:eastAsia="HiddenHorzOCR"/>
          <w:color w:val="000000"/>
        </w:rPr>
        <w:t xml:space="preserve">oldier’s thoracolumbar </w:t>
      </w:r>
      <w:r w:rsidR="00A30E6D">
        <w:rPr>
          <w:rFonts w:eastAsia="HiddenHorzOCR"/>
          <w:color w:val="000000"/>
        </w:rPr>
        <w:t>ROM</w:t>
      </w:r>
      <w:r w:rsidR="00AA6D9F">
        <w:rPr>
          <w:rFonts w:eastAsia="HiddenHorzOCR"/>
          <w:color w:val="000000"/>
        </w:rPr>
        <w:t xml:space="preserve"> is quite restricted.  He has no spinal lesion which would limit motion to that extent.  Is any of the limitation due to pain?</w:t>
      </w:r>
      <w:r w:rsidR="002F770A">
        <w:rPr>
          <w:rFonts w:eastAsia="HiddenHorzOCR"/>
          <w:color w:val="000000"/>
        </w:rPr>
        <w:t>”  The MEB physician replied with a memorandum which stated, “</w:t>
      </w:r>
      <w:r w:rsidR="00A30E6D">
        <w:rPr>
          <w:rFonts w:eastAsia="HiddenHorzOCR"/>
          <w:color w:val="000000"/>
        </w:rPr>
        <w:t>w</w:t>
      </w:r>
      <w:r w:rsidR="002F770A">
        <w:rPr>
          <w:rFonts w:eastAsia="HiddenHorzOCR"/>
          <w:color w:val="000000"/>
        </w:rPr>
        <w:t xml:space="preserve">ith respect to [CI’s] restricted </w:t>
      </w:r>
      <w:r w:rsidR="00A30E6D">
        <w:rPr>
          <w:rFonts w:eastAsia="HiddenHorzOCR"/>
          <w:color w:val="000000"/>
        </w:rPr>
        <w:t>ROM</w:t>
      </w:r>
      <w:r w:rsidR="002F770A">
        <w:rPr>
          <w:rFonts w:eastAsia="HiddenHorzOCR"/>
          <w:color w:val="000000"/>
        </w:rPr>
        <w:t>, he is in pain on a daily basis and much of this restriction can be attributed to this.”  No repeat ROM evaluation was performed</w:t>
      </w:r>
      <w:r w:rsidR="00CE0BF3">
        <w:rPr>
          <w:rFonts w:eastAsia="HiddenHorzOCR"/>
          <w:color w:val="000000"/>
        </w:rPr>
        <w:t>, or requested by the PEB</w:t>
      </w:r>
      <w:r w:rsidR="002F770A">
        <w:rPr>
          <w:rFonts w:eastAsia="HiddenHorzOCR"/>
          <w:color w:val="000000"/>
        </w:rPr>
        <w:t>.  There were numerous outpatient notes in the STR addressing the back condition, but none commented on ROM grossly or otherwise.  A normal gait and absence of spasm were documented on several entries; a few noted “some pain” on flexion; and several PT notes contained the automated entry “patient appeared uncomfortable</w:t>
      </w:r>
      <w:r w:rsidR="00A30E6D">
        <w:rPr>
          <w:rFonts w:eastAsia="HiddenHorzOCR"/>
          <w:color w:val="000000"/>
        </w:rPr>
        <w:t>.</w:t>
      </w:r>
      <w:r w:rsidR="002F770A">
        <w:rPr>
          <w:rFonts w:eastAsia="HiddenHorzOCR"/>
          <w:color w:val="000000"/>
        </w:rPr>
        <w:t>”  A brief neurosurgical addendum stated, “</w:t>
      </w:r>
      <w:proofErr w:type="gramStart"/>
      <w:r w:rsidR="00A30E6D">
        <w:rPr>
          <w:rFonts w:eastAsia="HiddenHorzOCR"/>
          <w:color w:val="000000"/>
        </w:rPr>
        <w:t>h</w:t>
      </w:r>
      <w:r w:rsidR="002F770A">
        <w:rPr>
          <w:rFonts w:eastAsia="HiddenHorzOCR"/>
          <w:color w:val="000000"/>
        </w:rPr>
        <w:t>e</w:t>
      </w:r>
      <w:proofErr w:type="gramEnd"/>
      <w:r w:rsidR="002F770A">
        <w:rPr>
          <w:rFonts w:eastAsia="HiddenHorzOCR"/>
          <w:color w:val="000000"/>
        </w:rPr>
        <w:t xml:space="preserve"> has pain with extension, pain on rotation but minimally, and he has a negative straight leg raising with a normal motor and sensory examination.  </w:t>
      </w:r>
      <w:r w:rsidRPr="003C53E8">
        <w:rPr>
          <w:rFonts w:cs="Times New Roman"/>
          <w:color w:val="auto"/>
        </w:rPr>
        <w:t xml:space="preserve">At the </w:t>
      </w:r>
      <w:r w:rsidR="00AA6D9F">
        <w:rPr>
          <w:rFonts w:cs="Times New Roman"/>
          <w:color w:val="auto"/>
        </w:rPr>
        <w:t xml:space="preserve">(delayed) </w:t>
      </w:r>
      <w:r w:rsidRPr="003C53E8">
        <w:rPr>
          <w:rFonts w:cs="Times New Roman"/>
          <w:color w:val="auto"/>
        </w:rPr>
        <w:t xml:space="preserve">VA </w:t>
      </w:r>
      <w:r w:rsidR="00AA6D9F">
        <w:rPr>
          <w:rFonts w:cs="Times New Roman"/>
          <w:color w:val="auto"/>
        </w:rPr>
        <w:t>C&amp;P</w:t>
      </w:r>
      <w:r w:rsidRPr="003C53E8">
        <w:rPr>
          <w:rFonts w:cs="Times New Roman"/>
          <w:color w:val="auto"/>
        </w:rPr>
        <w:t xml:space="preserve"> exam</w:t>
      </w:r>
      <w:r w:rsidR="00AA6D9F">
        <w:rPr>
          <w:rFonts w:cs="Times New Roman"/>
          <w:color w:val="auto"/>
        </w:rPr>
        <w:t>,</w:t>
      </w:r>
      <w:r w:rsidRPr="003C53E8">
        <w:rPr>
          <w:rFonts w:cs="Times New Roman"/>
          <w:color w:val="auto"/>
        </w:rPr>
        <w:t xml:space="preserve"> the CI continued to report </w:t>
      </w:r>
      <w:r w:rsidR="00AA6D9F">
        <w:rPr>
          <w:rFonts w:cs="Times New Roman"/>
          <w:color w:val="auto"/>
        </w:rPr>
        <w:t xml:space="preserve">radiating back </w:t>
      </w:r>
      <w:r w:rsidRPr="003C53E8">
        <w:rPr>
          <w:rFonts w:cs="Times New Roman"/>
          <w:color w:val="auto"/>
        </w:rPr>
        <w:t>pain</w:t>
      </w:r>
      <w:r w:rsidR="00AA6D9F">
        <w:rPr>
          <w:rFonts w:cs="Times New Roman"/>
          <w:color w:val="auto"/>
        </w:rPr>
        <w:t xml:space="preserve">. </w:t>
      </w:r>
      <w:r w:rsidRPr="003C53E8">
        <w:rPr>
          <w:rFonts w:cs="Times New Roman"/>
          <w:color w:val="auto"/>
        </w:rPr>
        <w:t xml:space="preserve"> He was employed as a carpenter but </w:t>
      </w:r>
      <w:r w:rsidR="00AA6D9F">
        <w:rPr>
          <w:rFonts w:cs="Times New Roman"/>
          <w:color w:val="auto"/>
        </w:rPr>
        <w:t xml:space="preserve">it was stated that he </w:t>
      </w:r>
      <w:r w:rsidRPr="003C53E8">
        <w:rPr>
          <w:rFonts w:cs="Times New Roman"/>
          <w:color w:val="auto"/>
        </w:rPr>
        <w:t xml:space="preserve">was unable to do anything more than drive a vehicle around </w:t>
      </w:r>
      <w:r w:rsidR="00AA6D9F">
        <w:rPr>
          <w:rFonts w:cs="Times New Roman"/>
          <w:color w:val="auto"/>
        </w:rPr>
        <w:t>a</w:t>
      </w:r>
      <w:r w:rsidRPr="003C53E8">
        <w:rPr>
          <w:rFonts w:cs="Times New Roman"/>
          <w:color w:val="auto"/>
        </w:rPr>
        <w:t xml:space="preserve"> shipyard. </w:t>
      </w:r>
      <w:r w:rsidR="00AA6D9F">
        <w:rPr>
          <w:rFonts w:cs="Times New Roman"/>
          <w:color w:val="auto"/>
        </w:rPr>
        <w:t xml:space="preserve"> </w:t>
      </w:r>
      <w:r w:rsidR="002F770A">
        <w:rPr>
          <w:rFonts w:cs="Times New Roman"/>
          <w:color w:val="auto"/>
        </w:rPr>
        <w:t xml:space="preserve">The ROMs charted above were </w:t>
      </w:r>
      <w:r w:rsidR="00582CBA">
        <w:rPr>
          <w:rFonts w:cs="Times New Roman"/>
          <w:color w:val="auto"/>
        </w:rPr>
        <w:t>noted to be pain limited,</w:t>
      </w:r>
      <w:r w:rsidR="002F770A">
        <w:rPr>
          <w:rFonts w:cs="Times New Roman"/>
          <w:color w:val="auto"/>
        </w:rPr>
        <w:t xml:space="preserve"> and there was no </w:t>
      </w:r>
      <w:r w:rsidR="00582CBA">
        <w:rPr>
          <w:rFonts w:cs="Times New Roman"/>
          <w:color w:val="auto"/>
        </w:rPr>
        <w:t xml:space="preserve">DeLuca degradation with repetition.  </w:t>
      </w:r>
    </w:p>
    <w:p w:rsidR="006537A7" w:rsidRPr="003C53E8" w:rsidRDefault="006537A7" w:rsidP="003C53E8">
      <w:pPr>
        <w:tabs>
          <w:tab w:val="left" w:pos="288"/>
          <w:tab w:val="left" w:pos="4752"/>
        </w:tabs>
        <w:jc w:val="left"/>
        <w:rPr>
          <w:rFonts w:cs="Times New Roman"/>
          <w:color w:val="auto"/>
        </w:rPr>
      </w:pPr>
    </w:p>
    <w:p w:rsidR="006537A7" w:rsidRPr="00C030B9" w:rsidRDefault="00582CBA" w:rsidP="0070532D">
      <w:pPr>
        <w:jc w:val="both"/>
        <w:rPr>
          <w:rFonts w:eastAsia="HiddenHorzOCR"/>
          <w:color w:val="000000"/>
          <w:u w:val="single"/>
        </w:rPr>
      </w:pPr>
      <w:r w:rsidRPr="00582CBA">
        <w:rPr>
          <w:rFonts w:cs="Times New Roman"/>
          <w:color w:val="auto"/>
        </w:rPr>
        <w:t>The Board directs attention to its rating recommendation based on the above evidence.</w:t>
      </w:r>
      <w:r>
        <w:rPr>
          <w:rFonts w:cs="Times New Roman"/>
          <w:color w:val="auto"/>
        </w:rPr>
        <w:t xml:space="preserve"> </w:t>
      </w:r>
      <w:r w:rsidRPr="00582CBA">
        <w:rPr>
          <w:rFonts w:cs="Times New Roman"/>
          <w:color w:val="auto"/>
        </w:rPr>
        <w:t xml:space="preserve"> </w:t>
      </w:r>
      <w:r>
        <w:rPr>
          <w:rFonts w:cs="Times New Roman"/>
          <w:color w:val="auto"/>
        </w:rPr>
        <w:t>The Board notes that both ROM evaluations in evidence</w:t>
      </w:r>
      <w:r w:rsidRPr="009A7578">
        <w:rPr>
          <w:rFonts w:cs="Times New Roman"/>
          <w:color w:val="auto"/>
        </w:rPr>
        <w:t xml:space="preserve"> result in a rating of 20% since</w:t>
      </w:r>
      <w:r w:rsidR="00204B36">
        <w:rPr>
          <w:rFonts w:cs="Times New Roman"/>
          <w:color w:val="auto"/>
        </w:rPr>
        <w:t>,</w:t>
      </w:r>
      <w:r w:rsidRPr="009A7578">
        <w:rPr>
          <w:rFonts w:cs="Times New Roman"/>
          <w:color w:val="auto"/>
        </w:rPr>
        <w:t xml:space="preserve"> </w:t>
      </w:r>
      <w:r>
        <w:rPr>
          <w:rFonts w:cs="Times New Roman"/>
          <w:color w:val="auto"/>
        </w:rPr>
        <w:t>on each</w:t>
      </w:r>
      <w:r w:rsidR="00204B36">
        <w:rPr>
          <w:rFonts w:cs="Times New Roman"/>
          <w:color w:val="auto"/>
        </w:rPr>
        <w:t>,</w:t>
      </w:r>
      <w:r w:rsidRPr="009A7578">
        <w:rPr>
          <w:rFonts w:cs="Times New Roman"/>
          <w:color w:val="auto"/>
        </w:rPr>
        <w:t xml:space="preserve"> flexion fall</w:t>
      </w:r>
      <w:r>
        <w:rPr>
          <w:rFonts w:cs="Times New Roman"/>
          <w:color w:val="auto"/>
        </w:rPr>
        <w:t>s</w:t>
      </w:r>
      <w:r w:rsidRPr="009A7578">
        <w:rPr>
          <w:rFonts w:cs="Times New Roman"/>
          <w:color w:val="auto"/>
        </w:rPr>
        <w:t xml:space="preserve"> within the range of 35-60 degrees</w:t>
      </w:r>
      <w:r>
        <w:rPr>
          <w:rFonts w:cs="Times New Roman"/>
          <w:color w:val="auto"/>
        </w:rPr>
        <w:t xml:space="preserve"> specified for that rating</w:t>
      </w:r>
      <w:r w:rsidRPr="009A7578">
        <w:rPr>
          <w:rFonts w:cs="Times New Roman"/>
          <w:color w:val="auto"/>
        </w:rPr>
        <w:t>.</w:t>
      </w:r>
      <w:r>
        <w:rPr>
          <w:rFonts w:cs="Times New Roman"/>
          <w:color w:val="auto"/>
        </w:rPr>
        <w:t xml:space="preserve">  The MEB PT evaluation does not comply adequately with </w:t>
      </w:r>
      <w:r w:rsidRPr="00582CBA">
        <w:rPr>
          <w:rFonts w:cs="Times New Roman"/>
          <w:color w:val="auto"/>
        </w:rPr>
        <w:t>VASRD §4.46 (accurate measurement)</w:t>
      </w:r>
      <w:r w:rsidR="00204B36">
        <w:rPr>
          <w:rFonts w:cs="Times New Roman"/>
          <w:color w:val="auto"/>
        </w:rPr>
        <w:t>,</w:t>
      </w:r>
      <w:r>
        <w:rPr>
          <w:rFonts w:cs="Times New Roman"/>
          <w:color w:val="auto"/>
        </w:rPr>
        <w:t xml:space="preserve"> does not comport clinically with the known pathology or </w:t>
      </w:r>
      <w:r w:rsidR="00E7480E">
        <w:rPr>
          <w:rFonts w:cs="Times New Roman"/>
          <w:color w:val="auto"/>
        </w:rPr>
        <w:t>other clinical entries</w:t>
      </w:r>
      <w:r w:rsidR="00204B36">
        <w:rPr>
          <w:rFonts w:cs="Times New Roman"/>
          <w:color w:val="auto"/>
        </w:rPr>
        <w:t>,</w:t>
      </w:r>
      <w:r w:rsidR="00E7480E">
        <w:rPr>
          <w:rFonts w:cs="Times New Roman"/>
          <w:color w:val="auto"/>
        </w:rPr>
        <w:t xml:space="preserve"> and the VA evaluation is significantly remote from separation and vulnerable to secondary gain influence.  There is, however, no contemporary </w:t>
      </w:r>
      <w:r w:rsidR="00A30E6D">
        <w:rPr>
          <w:rFonts w:cs="Times New Roman"/>
          <w:color w:val="auto"/>
        </w:rPr>
        <w:t>s</w:t>
      </w:r>
      <w:r w:rsidR="00E7480E">
        <w:rPr>
          <w:rFonts w:cs="Times New Roman"/>
          <w:color w:val="auto"/>
        </w:rPr>
        <w:t xml:space="preserve">ervice evidence which is irreconcilable with the PT ROMs and no competing ROM evaluation which would approach </w:t>
      </w:r>
      <w:r w:rsidR="00E7480E" w:rsidRPr="00582CBA">
        <w:rPr>
          <w:rFonts w:cs="Times New Roman"/>
          <w:color w:val="auto"/>
        </w:rPr>
        <w:t>§4.46</w:t>
      </w:r>
      <w:r w:rsidR="00E7480E">
        <w:rPr>
          <w:rFonts w:cs="Times New Roman"/>
          <w:color w:val="auto"/>
        </w:rPr>
        <w:t xml:space="preserve"> standards.  The PEB’s 10% rating was clearly derived from the </w:t>
      </w:r>
      <w:r w:rsidR="00C030B9">
        <w:rPr>
          <w:rFonts w:cs="Times New Roman"/>
          <w:color w:val="auto"/>
        </w:rPr>
        <w:t xml:space="preserve">USAPDA pain policy and was not compatible with VASRD </w:t>
      </w:r>
      <w:r w:rsidR="00C030B9" w:rsidRPr="00582CBA">
        <w:rPr>
          <w:rFonts w:cs="Times New Roman"/>
          <w:color w:val="auto"/>
        </w:rPr>
        <w:t>§4.</w:t>
      </w:r>
      <w:r w:rsidR="00C030B9">
        <w:rPr>
          <w:rFonts w:cs="Times New Roman"/>
          <w:color w:val="auto"/>
        </w:rPr>
        <w:t xml:space="preserve">71a </w:t>
      </w:r>
      <w:r w:rsidR="00C030B9">
        <w:rPr>
          <w:rFonts w:cs="Times New Roman"/>
          <w:color w:val="auto"/>
        </w:rPr>
        <w:lastRenderedPageBreak/>
        <w:t xml:space="preserve">standards applied to the ROMs under consideration.  Both the PEB’s 5237 (lumbosacral strain) and VA’s </w:t>
      </w:r>
      <w:r w:rsidR="00C030B9" w:rsidRPr="00C030B9">
        <w:rPr>
          <w:rFonts w:cs="Times New Roman"/>
          <w:color w:val="auto"/>
        </w:rPr>
        <w:t xml:space="preserve">5242 </w:t>
      </w:r>
      <w:r w:rsidR="00C030B9">
        <w:rPr>
          <w:rFonts w:cs="Times New Roman"/>
          <w:color w:val="auto"/>
        </w:rPr>
        <w:t>(d</w:t>
      </w:r>
      <w:r w:rsidR="00C030B9" w:rsidRPr="00C030B9">
        <w:rPr>
          <w:rFonts w:cs="Times New Roman"/>
          <w:color w:val="auto"/>
        </w:rPr>
        <w:t>egenerative arthritis of the spine</w:t>
      </w:r>
      <w:r w:rsidR="00C030B9">
        <w:rPr>
          <w:rFonts w:cs="Times New Roman"/>
          <w:color w:val="auto"/>
        </w:rPr>
        <w:t xml:space="preserve">) coding choices were reasonable clinical fits and neutral to rating.  </w:t>
      </w:r>
      <w:r w:rsidR="00C030B9" w:rsidRPr="003C53E8">
        <w:rPr>
          <w:rFonts w:cs="Times New Roman"/>
          <w:color w:val="auto"/>
        </w:rPr>
        <w:t xml:space="preserve">There was no evidence of ratable peripheral nerve impairment or documentation of incapacitating episodes </w:t>
      </w:r>
      <w:r w:rsidR="00C030B9">
        <w:rPr>
          <w:rFonts w:cs="Times New Roman"/>
          <w:color w:val="auto"/>
        </w:rPr>
        <w:t xml:space="preserve">in this case </w:t>
      </w:r>
      <w:r w:rsidR="00C030B9" w:rsidRPr="003C53E8">
        <w:rPr>
          <w:rFonts w:cs="Times New Roman"/>
          <w:color w:val="auto"/>
        </w:rPr>
        <w:t>which would provide for additional or higher rating.</w:t>
      </w:r>
      <w:r w:rsidR="00C030B9" w:rsidRPr="00C030B9">
        <w:rPr>
          <w:rFonts w:cs="Times New Roman"/>
          <w:color w:val="auto"/>
        </w:rPr>
        <w:t xml:space="preserve">  </w:t>
      </w:r>
      <w:r w:rsidR="006537A7" w:rsidRPr="003C53E8">
        <w:rPr>
          <w:rFonts w:cs="Times New Roman"/>
          <w:color w:val="auto"/>
        </w:rPr>
        <w:t xml:space="preserve">After due </w:t>
      </w:r>
      <w:r w:rsidR="006537A7" w:rsidRPr="004D7587">
        <w:rPr>
          <w:rFonts w:cs="Times New Roman"/>
          <w:color w:val="auto"/>
        </w:rPr>
        <w:t xml:space="preserve">deliberation, </w:t>
      </w:r>
      <w:r w:rsidR="00C030B9">
        <w:rPr>
          <w:rFonts w:cs="Times New Roman"/>
          <w:color w:val="auto"/>
        </w:rPr>
        <w:t>in consideration of</w:t>
      </w:r>
      <w:r w:rsidR="006537A7" w:rsidRPr="004D7587">
        <w:rPr>
          <w:rFonts w:cs="Times New Roman"/>
          <w:color w:val="auto"/>
        </w:rPr>
        <w:t xml:space="preserve"> all the evidence</w:t>
      </w:r>
      <w:r w:rsidR="00C030B9">
        <w:rPr>
          <w:rFonts w:cs="Times New Roman"/>
          <w:color w:val="auto"/>
        </w:rPr>
        <w:t xml:space="preserve">, the Board agreed that </w:t>
      </w:r>
      <w:r w:rsidR="006537A7" w:rsidRPr="004D7587">
        <w:rPr>
          <w:rFonts w:cs="Times New Roman"/>
          <w:color w:val="auto"/>
        </w:rPr>
        <w:t>VASRD §4.3 (reasonable doubt)</w:t>
      </w:r>
      <w:r w:rsidR="00C030B9">
        <w:rPr>
          <w:rFonts w:cs="Times New Roman"/>
          <w:color w:val="auto"/>
        </w:rPr>
        <w:t xml:space="preserve"> </w:t>
      </w:r>
      <w:r w:rsidR="00E86B31">
        <w:rPr>
          <w:rFonts w:cs="Times New Roman"/>
          <w:color w:val="auto"/>
        </w:rPr>
        <w:t>should prevail over the probative value concerns raised by this case and</w:t>
      </w:r>
      <w:r w:rsidR="00204B36">
        <w:rPr>
          <w:rFonts w:cs="Times New Roman"/>
          <w:color w:val="auto"/>
        </w:rPr>
        <w:t>,</w:t>
      </w:r>
      <w:r w:rsidR="00E86B31">
        <w:rPr>
          <w:rFonts w:cs="Times New Roman"/>
          <w:color w:val="auto"/>
        </w:rPr>
        <w:t xml:space="preserve"> accordingly, </w:t>
      </w:r>
      <w:r w:rsidR="006537A7" w:rsidRPr="004D7587">
        <w:rPr>
          <w:rFonts w:cs="Times New Roman"/>
          <w:color w:val="auto"/>
        </w:rPr>
        <w:t>recommends</w:t>
      </w:r>
      <w:r w:rsidR="006537A7" w:rsidRPr="003C53E8">
        <w:rPr>
          <w:rFonts w:cs="Times New Roman"/>
          <w:color w:val="auto"/>
        </w:rPr>
        <w:t xml:space="preserve"> a separation rating of 20% for the </w:t>
      </w:r>
      <w:r w:rsidR="00E86B31">
        <w:rPr>
          <w:rFonts w:cs="Times New Roman"/>
          <w:color w:val="auto"/>
        </w:rPr>
        <w:t>lumbar spine</w:t>
      </w:r>
      <w:r w:rsidR="006537A7" w:rsidRPr="003C53E8">
        <w:rPr>
          <w:rFonts w:cs="Times New Roman"/>
          <w:color w:val="auto"/>
        </w:rPr>
        <w:t xml:space="preserve"> condition.</w:t>
      </w:r>
      <w:r w:rsidR="00E86B31">
        <w:rPr>
          <w:rFonts w:cs="Times New Roman"/>
          <w:color w:val="auto"/>
        </w:rPr>
        <w:t xml:space="preserve">  The </w:t>
      </w:r>
      <w:r w:rsidR="00A30E6D">
        <w:rPr>
          <w:rFonts w:cs="Times New Roman"/>
          <w:color w:val="auto"/>
        </w:rPr>
        <w:t>a</w:t>
      </w:r>
      <w:r w:rsidR="00E86B31">
        <w:rPr>
          <w:rFonts w:cs="Times New Roman"/>
          <w:color w:val="auto"/>
        </w:rPr>
        <w:t xml:space="preserve">ction </w:t>
      </w:r>
      <w:r w:rsidR="00A30E6D">
        <w:rPr>
          <w:rFonts w:cs="Times New Roman"/>
          <w:color w:val="auto"/>
        </w:rPr>
        <w:t>o</w:t>
      </w:r>
      <w:r w:rsidR="00E86B31">
        <w:rPr>
          <w:rFonts w:cs="Times New Roman"/>
          <w:color w:val="auto"/>
        </w:rPr>
        <w:t>fficer recommends the 5242 code for its clinical fit with the diagnosis by imaging.</w:t>
      </w:r>
    </w:p>
    <w:p w:rsidR="00C030B9" w:rsidRDefault="00C030B9" w:rsidP="00D97303">
      <w:pPr>
        <w:jc w:val="both"/>
        <w:rPr>
          <w:rFonts w:eastAsia="HiddenHorzOCR"/>
          <w:color w:val="000000"/>
          <w:u w:val="single"/>
        </w:rPr>
      </w:pPr>
    </w:p>
    <w:p w:rsidR="006537A7" w:rsidRPr="001F29F9" w:rsidRDefault="006537A7" w:rsidP="00D97303">
      <w:pPr>
        <w:jc w:val="both"/>
        <w:rPr>
          <w:color w:val="000000"/>
        </w:rPr>
      </w:pPr>
      <w:proofErr w:type="gramStart"/>
      <w:r w:rsidRPr="001F29F9">
        <w:rPr>
          <w:rFonts w:eastAsia="HiddenHorzOCR"/>
          <w:color w:val="000000"/>
          <w:u w:val="single"/>
        </w:rPr>
        <w:t xml:space="preserve">Contended </w:t>
      </w:r>
      <w:r w:rsidR="00A30E6D">
        <w:rPr>
          <w:rFonts w:eastAsia="HiddenHorzOCR"/>
          <w:color w:val="000000"/>
          <w:u w:val="single"/>
        </w:rPr>
        <w:t>Postt</w:t>
      </w:r>
      <w:r w:rsidR="00A5544D" w:rsidRPr="00A5544D">
        <w:rPr>
          <w:rFonts w:eastAsia="HiddenHorzOCR"/>
          <w:color w:val="000000"/>
          <w:u w:val="single"/>
        </w:rPr>
        <w:t>raumatic Stress Disorder</w:t>
      </w:r>
      <w:r w:rsidR="00A30E6D">
        <w:rPr>
          <w:rFonts w:eastAsia="HiddenHorzOCR"/>
          <w:color w:val="000000"/>
          <w:u w:val="single"/>
        </w:rPr>
        <w:t xml:space="preserve"> (PTSD)</w:t>
      </w:r>
      <w:r w:rsidRPr="001F29F9">
        <w:rPr>
          <w:rFonts w:eastAsia="HiddenHorzOCR"/>
          <w:color w:val="000000"/>
        </w:rPr>
        <w:t>.</w:t>
      </w:r>
      <w:proofErr w:type="gramEnd"/>
      <w:r w:rsidRPr="001F29F9">
        <w:rPr>
          <w:rFonts w:eastAsia="HiddenHorzOCR"/>
          <w:color w:val="000000"/>
        </w:rPr>
        <w:t xml:space="preserve"> </w:t>
      </w:r>
      <w:r w:rsidR="00E86B31">
        <w:rPr>
          <w:rFonts w:eastAsia="HiddenHorzOCR"/>
          <w:color w:val="000000"/>
        </w:rPr>
        <w:t xml:space="preserve"> </w:t>
      </w:r>
      <w:r w:rsidRPr="001F29F9">
        <w:rPr>
          <w:rFonts w:eastAsia="HiddenHorzOCR"/>
          <w:color w:val="000000"/>
        </w:rPr>
        <w:t xml:space="preserve">The CI’s application asserts that </w:t>
      </w:r>
      <w:r w:rsidR="00E86B31">
        <w:rPr>
          <w:rFonts w:eastAsia="HiddenHorzOCR"/>
          <w:color w:val="000000"/>
        </w:rPr>
        <w:t>a compensable rating</w:t>
      </w:r>
      <w:r w:rsidRPr="001F29F9">
        <w:rPr>
          <w:rFonts w:eastAsia="HiddenHorzOCR"/>
          <w:color w:val="000000"/>
        </w:rPr>
        <w:t xml:space="preserve"> should be considered for </w:t>
      </w:r>
      <w:r w:rsidR="00A5544D">
        <w:rPr>
          <w:rFonts w:eastAsia="HiddenHorzOCR"/>
          <w:color w:val="000000"/>
        </w:rPr>
        <w:t>PTSD</w:t>
      </w:r>
      <w:r w:rsidRPr="001F29F9">
        <w:rPr>
          <w:rFonts w:eastAsia="HiddenHorzOCR"/>
          <w:color w:val="000000"/>
        </w:rPr>
        <w:t xml:space="preserve">. </w:t>
      </w:r>
      <w:r w:rsidR="00E86B31">
        <w:rPr>
          <w:rFonts w:eastAsia="HiddenHorzOCR"/>
          <w:color w:val="000000"/>
        </w:rPr>
        <w:t xml:space="preserve"> The CI first sought mental health evaluation after his PEB adjudication, but before separation</w:t>
      </w:r>
      <w:r w:rsidR="00213C9E">
        <w:rPr>
          <w:rFonts w:eastAsia="HiddenHorzOCR"/>
          <w:color w:val="000000"/>
        </w:rPr>
        <w:t xml:space="preserve"> (note dated </w:t>
      </w:r>
      <w:r w:rsidR="00A30E6D">
        <w:rPr>
          <w:rFonts w:eastAsia="HiddenHorzOCR"/>
          <w:color w:val="000000"/>
        </w:rPr>
        <w:t>21 April 2004</w:t>
      </w:r>
      <w:r w:rsidR="00213C9E">
        <w:rPr>
          <w:rFonts w:eastAsia="HiddenHorzOCR"/>
          <w:color w:val="000000"/>
        </w:rPr>
        <w:t>)</w:t>
      </w:r>
      <w:r w:rsidR="00E86B31">
        <w:rPr>
          <w:rFonts w:eastAsia="HiddenHorzOCR"/>
          <w:color w:val="000000"/>
        </w:rPr>
        <w:t xml:space="preserve">.  </w:t>
      </w:r>
      <w:r w:rsidR="00213C9E">
        <w:rPr>
          <w:rFonts w:eastAsia="HiddenHorzOCR"/>
          <w:color w:val="000000"/>
        </w:rPr>
        <w:t>The examiner noted that the CI was upset over his military disability rating and quoted the CI as stating</w:t>
      </w:r>
      <w:r w:rsidR="00204B36">
        <w:rPr>
          <w:rFonts w:eastAsia="HiddenHorzOCR"/>
          <w:color w:val="000000"/>
        </w:rPr>
        <w:t>,</w:t>
      </w:r>
      <w:r w:rsidR="00213C9E">
        <w:rPr>
          <w:rFonts w:eastAsia="HiddenHorzOCR"/>
          <w:color w:val="000000"/>
        </w:rPr>
        <w:t xml:space="preserve"> “I have a friend who </w:t>
      </w:r>
      <w:r w:rsidR="00A30E6D">
        <w:rPr>
          <w:rFonts w:eastAsia="HiddenHorzOCR"/>
          <w:color w:val="000000"/>
        </w:rPr>
        <w:t>got next to 30% due to his post</w:t>
      </w:r>
      <w:r w:rsidR="00213C9E">
        <w:rPr>
          <w:rFonts w:eastAsia="HiddenHorzOCR"/>
          <w:color w:val="000000"/>
        </w:rPr>
        <w:t xml:space="preserve">traumatic stress.”  The examiner </w:t>
      </w:r>
      <w:r w:rsidR="00532B73">
        <w:rPr>
          <w:rFonts w:eastAsia="HiddenHorzOCR"/>
          <w:color w:val="000000"/>
        </w:rPr>
        <w:t>listed</w:t>
      </w:r>
      <w:r w:rsidR="00A30E6D">
        <w:rPr>
          <w:rFonts w:eastAsia="HiddenHorzOCR"/>
          <w:color w:val="000000"/>
        </w:rPr>
        <w:t xml:space="preserve"> PTSD as one of the </w:t>
      </w:r>
      <w:r w:rsidR="00204B36">
        <w:rPr>
          <w:rFonts w:eastAsia="HiddenHorzOCR"/>
          <w:color w:val="000000"/>
        </w:rPr>
        <w:t>A</w:t>
      </w:r>
      <w:r w:rsidR="00213C9E">
        <w:rPr>
          <w:rFonts w:eastAsia="HiddenHorzOCR"/>
          <w:color w:val="000000"/>
        </w:rPr>
        <w:t>xis I diagnoses, and noted that the CI had entered group therapy on base.</w:t>
      </w:r>
      <w:r w:rsidR="00532B73">
        <w:rPr>
          <w:rFonts w:eastAsia="HiddenHorzOCR"/>
          <w:color w:val="000000"/>
        </w:rPr>
        <w:t xml:space="preserve"> </w:t>
      </w:r>
      <w:r w:rsidR="00213C9E">
        <w:rPr>
          <w:rFonts w:eastAsia="HiddenHorzOCR"/>
          <w:color w:val="000000"/>
        </w:rPr>
        <w:t xml:space="preserve"> Psychiatric medication was started, and there is only a single follow-up note in </w:t>
      </w:r>
      <w:r w:rsidR="00532B73">
        <w:rPr>
          <w:rFonts w:eastAsia="HiddenHorzOCR"/>
          <w:color w:val="000000"/>
        </w:rPr>
        <w:t>evidence prior to separation.  At that time (</w:t>
      </w:r>
      <w:r w:rsidR="00204B36">
        <w:rPr>
          <w:rFonts w:eastAsia="HiddenHorzOCR"/>
          <w:color w:val="000000"/>
        </w:rPr>
        <w:t>four</w:t>
      </w:r>
      <w:r w:rsidR="00532B73">
        <w:rPr>
          <w:rFonts w:eastAsia="HiddenHorzOCR"/>
          <w:color w:val="000000"/>
        </w:rPr>
        <w:t xml:space="preserve"> weeks prior to separation), t</w:t>
      </w:r>
      <w:r w:rsidR="00213C9E">
        <w:rPr>
          <w:rFonts w:eastAsia="HiddenHorzOCR"/>
          <w:color w:val="000000"/>
        </w:rPr>
        <w:t xml:space="preserve">he CI was stable with mood disturbance </w:t>
      </w:r>
      <w:r w:rsidR="00532B73">
        <w:rPr>
          <w:rFonts w:eastAsia="HiddenHorzOCR"/>
          <w:color w:val="000000"/>
        </w:rPr>
        <w:t>as</w:t>
      </w:r>
      <w:r w:rsidR="00213C9E">
        <w:rPr>
          <w:rFonts w:eastAsia="HiddenHorzOCR"/>
          <w:color w:val="000000"/>
        </w:rPr>
        <w:t xml:space="preserve"> the </w:t>
      </w:r>
      <w:r w:rsidR="00532B73">
        <w:rPr>
          <w:rFonts w:eastAsia="HiddenHorzOCR"/>
          <w:color w:val="000000"/>
        </w:rPr>
        <w:t xml:space="preserve">only finding on </w:t>
      </w:r>
      <w:r w:rsidR="00213C9E">
        <w:rPr>
          <w:rFonts w:eastAsia="HiddenHorzOCR"/>
          <w:color w:val="000000"/>
        </w:rPr>
        <w:t>mental status exam</w:t>
      </w:r>
      <w:r w:rsidR="00532B73">
        <w:rPr>
          <w:rFonts w:eastAsia="HiddenHorzOCR"/>
          <w:color w:val="000000"/>
        </w:rPr>
        <w:t xml:space="preserve">.  His anti-depressant was switched due to side effect.  No psychiatric profile was initiated, and the commander’s statement documented good performance within the parameters of the profiled physical limitations. </w:t>
      </w:r>
      <w:r w:rsidR="00213C9E">
        <w:rPr>
          <w:rFonts w:eastAsia="HiddenHorzOCR"/>
          <w:color w:val="000000"/>
        </w:rPr>
        <w:t xml:space="preserve"> </w:t>
      </w:r>
      <w:r w:rsidRPr="001F29F9">
        <w:rPr>
          <w:rFonts w:eastAsia="HiddenHorzOCR"/>
          <w:color w:val="000000"/>
        </w:rPr>
        <w:t>This</w:t>
      </w:r>
      <w:r w:rsidRPr="001F29F9">
        <w:rPr>
          <w:color w:val="000000"/>
        </w:rPr>
        <w:t xml:space="preserve"> condition was reviewed by the </w:t>
      </w:r>
      <w:r w:rsidR="00A30E6D">
        <w:rPr>
          <w:color w:val="000000"/>
        </w:rPr>
        <w:t>a</w:t>
      </w:r>
      <w:r w:rsidR="00532B73" w:rsidRPr="001F29F9">
        <w:rPr>
          <w:color w:val="000000"/>
        </w:rPr>
        <w:t xml:space="preserve">ction </w:t>
      </w:r>
      <w:r w:rsidR="00A30E6D">
        <w:rPr>
          <w:color w:val="000000"/>
        </w:rPr>
        <w:t>o</w:t>
      </w:r>
      <w:r w:rsidR="00532B73" w:rsidRPr="001F29F9">
        <w:rPr>
          <w:color w:val="000000"/>
        </w:rPr>
        <w:t xml:space="preserve">fficer </w:t>
      </w:r>
      <w:r w:rsidRPr="001F29F9">
        <w:rPr>
          <w:color w:val="000000"/>
        </w:rPr>
        <w:t>and considered by the Board.</w:t>
      </w:r>
      <w:r w:rsidR="00532B73">
        <w:rPr>
          <w:color w:val="000000"/>
        </w:rPr>
        <w:t xml:space="preserve"> </w:t>
      </w:r>
      <w:r w:rsidRPr="001F29F9">
        <w:rPr>
          <w:color w:val="000000"/>
        </w:rPr>
        <w:t xml:space="preserve"> There was no evidence for concluding that this condition interfered with duty performance to a degree that could be argued as unfitting. </w:t>
      </w:r>
      <w:r w:rsidR="00532B73">
        <w:rPr>
          <w:color w:val="000000"/>
        </w:rPr>
        <w:t xml:space="preserve"> </w:t>
      </w:r>
      <w:r w:rsidRPr="001F29F9">
        <w:rPr>
          <w:color w:val="000000"/>
        </w:rPr>
        <w:t xml:space="preserve">The Board determined therefore that the </w:t>
      </w:r>
      <w:r w:rsidR="00532B73">
        <w:rPr>
          <w:color w:val="000000"/>
        </w:rPr>
        <w:t xml:space="preserve">PTSD condition was </w:t>
      </w:r>
      <w:r w:rsidR="00A30E6D">
        <w:rPr>
          <w:color w:val="000000"/>
        </w:rPr>
        <w:t>not subject to s</w:t>
      </w:r>
      <w:r w:rsidRPr="001F29F9">
        <w:rPr>
          <w:color w:val="000000"/>
        </w:rPr>
        <w:t>ervice disability rating.</w:t>
      </w:r>
    </w:p>
    <w:p w:rsidR="006537A7" w:rsidRPr="001F29F9" w:rsidRDefault="006537A7" w:rsidP="00BF0E94">
      <w:pPr>
        <w:jc w:val="both"/>
        <w:rPr>
          <w:color w:val="000000"/>
        </w:rPr>
      </w:pPr>
    </w:p>
    <w:p w:rsidR="006537A7" w:rsidRPr="001F29F9" w:rsidRDefault="006537A7" w:rsidP="00A02AA8">
      <w:pPr>
        <w:jc w:val="both"/>
        <w:rPr>
          <w:color w:val="000000"/>
        </w:rPr>
      </w:pPr>
      <w:proofErr w:type="gramStart"/>
      <w:r w:rsidRPr="001F29F9">
        <w:rPr>
          <w:color w:val="000000"/>
          <w:u w:val="single"/>
        </w:rPr>
        <w:t xml:space="preserve">Remaining </w:t>
      </w:r>
      <w:r w:rsidRPr="00D97303">
        <w:rPr>
          <w:color w:val="000000"/>
          <w:u w:val="single"/>
        </w:rPr>
        <w:t>Conditions</w:t>
      </w:r>
      <w:r w:rsidRPr="00532B73">
        <w:rPr>
          <w:color w:val="000000"/>
        </w:rPr>
        <w:t>.</w:t>
      </w:r>
      <w:proofErr w:type="gramEnd"/>
      <w:r w:rsidRPr="00D97303">
        <w:rPr>
          <w:color w:val="000000"/>
        </w:rPr>
        <w:t xml:space="preserve"> Other conditions identified in the DES file were mild scoliosis and headaches. </w:t>
      </w:r>
      <w:r w:rsidR="00532B73">
        <w:rPr>
          <w:color w:val="000000"/>
        </w:rPr>
        <w:t xml:space="preserve"> </w:t>
      </w:r>
      <w:r w:rsidRPr="00D97303">
        <w:rPr>
          <w:color w:val="000000"/>
        </w:rPr>
        <w:t xml:space="preserve">Several additional non-acute conditions or medical complaints were also documented. </w:t>
      </w:r>
      <w:r w:rsidR="00532B73">
        <w:rPr>
          <w:color w:val="000000"/>
        </w:rPr>
        <w:t xml:space="preserve"> </w:t>
      </w:r>
      <w:r w:rsidRPr="00D97303">
        <w:rPr>
          <w:color w:val="000000"/>
        </w:rPr>
        <w:t>None of these conditions were significantly clinically or occupational</w:t>
      </w:r>
      <w:r w:rsidR="00532B73">
        <w:rPr>
          <w:color w:val="000000"/>
        </w:rPr>
        <w:t>ly active during the MEB period</w:t>
      </w:r>
      <w:r w:rsidR="00204B36">
        <w:rPr>
          <w:color w:val="000000"/>
        </w:rPr>
        <w:t>,</w:t>
      </w:r>
      <w:r w:rsidRPr="00D97303">
        <w:rPr>
          <w:color w:val="000000"/>
        </w:rPr>
        <w:t xml:space="preserve"> none</w:t>
      </w:r>
      <w:r w:rsidR="00532B73">
        <w:rPr>
          <w:color w:val="000000"/>
        </w:rPr>
        <w:t xml:space="preserve"> carried attached profiles</w:t>
      </w:r>
      <w:r w:rsidR="00204B36">
        <w:rPr>
          <w:color w:val="000000"/>
        </w:rPr>
        <w:t>,</w:t>
      </w:r>
      <w:r w:rsidRPr="00D97303">
        <w:rPr>
          <w:color w:val="000000"/>
        </w:rPr>
        <w:t xml:space="preserve"> and none were implicated in the commander’s statement. </w:t>
      </w:r>
      <w:r w:rsidR="00532B73">
        <w:rPr>
          <w:color w:val="000000"/>
        </w:rPr>
        <w:t xml:space="preserve"> </w:t>
      </w:r>
      <w:r w:rsidRPr="00D97303">
        <w:rPr>
          <w:color w:val="000000"/>
        </w:rPr>
        <w:t xml:space="preserve">These conditions were reviewed by the </w:t>
      </w:r>
      <w:r w:rsidR="00A30E6D">
        <w:rPr>
          <w:color w:val="000000"/>
        </w:rPr>
        <w:t>action o</w:t>
      </w:r>
      <w:r w:rsidR="00B34D0C" w:rsidRPr="00D97303">
        <w:rPr>
          <w:color w:val="000000"/>
        </w:rPr>
        <w:t xml:space="preserve">fficer </w:t>
      </w:r>
      <w:r w:rsidRPr="00D97303">
        <w:rPr>
          <w:color w:val="000000"/>
        </w:rPr>
        <w:t>and considered by the Board.</w:t>
      </w:r>
      <w:r w:rsidR="00B34D0C">
        <w:rPr>
          <w:color w:val="000000"/>
        </w:rPr>
        <w:t xml:space="preserve"> </w:t>
      </w:r>
      <w:r w:rsidRPr="00D97303">
        <w:rPr>
          <w:color w:val="000000"/>
        </w:rPr>
        <w:t xml:space="preserve"> It was determined that none could be argued as unfitting and subject to </w:t>
      </w:r>
      <w:r w:rsidR="00A30E6D">
        <w:rPr>
          <w:color w:val="000000"/>
        </w:rPr>
        <w:t>s</w:t>
      </w:r>
      <w:r w:rsidR="00B34D0C">
        <w:rPr>
          <w:color w:val="000000"/>
        </w:rPr>
        <w:t>ervice disability</w:t>
      </w:r>
      <w:r w:rsidRPr="00D97303">
        <w:rPr>
          <w:color w:val="000000"/>
        </w:rPr>
        <w:t xml:space="preserve"> rating.  Additionally</w:t>
      </w:r>
      <w:r w:rsidR="00204B36">
        <w:rPr>
          <w:color w:val="000000"/>
        </w:rPr>
        <w:t>,</w:t>
      </w:r>
      <w:r w:rsidRPr="00D97303">
        <w:rPr>
          <w:color w:val="000000"/>
        </w:rPr>
        <w:t xml:space="preserve"> tinnitus and several other non-acute conditions were noted in the </w:t>
      </w:r>
      <w:r w:rsidR="00A30E6D">
        <w:rPr>
          <w:color w:val="000000"/>
        </w:rPr>
        <w:t xml:space="preserve">after </w:t>
      </w:r>
      <w:r w:rsidR="00B34D0C">
        <w:rPr>
          <w:color w:val="000000"/>
        </w:rPr>
        <w:t xml:space="preserve">separation </w:t>
      </w:r>
      <w:r w:rsidRPr="00D97303">
        <w:rPr>
          <w:color w:val="000000"/>
        </w:rPr>
        <w:t xml:space="preserve">VA rating </w:t>
      </w:r>
      <w:r w:rsidR="00B34D0C">
        <w:rPr>
          <w:color w:val="000000"/>
        </w:rPr>
        <w:t>decision</w:t>
      </w:r>
      <w:r w:rsidRPr="00D97303">
        <w:rPr>
          <w:color w:val="000000"/>
        </w:rPr>
        <w:t>, but were not documented in the DES file.</w:t>
      </w:r>
      <w:r w:rsidR="00B34D0C">
        <w:rPr>
          <w:color w:val="000000"/>
        </w:rPr>
        <w:t xml:space="preserve"> </w:t>
      </w:r>
      <w:r w:rsidRPr="00D97303">
        <w:rPr>
          <w:color w:val="000000"/>
        </w:rPr>
        <w:t xml:space="preserve"> The Board does not have the authority under DoDI 6040.44 to render fitness or rating recommendations for any conditions not considered by the DES.</w:t>
      </w:r>
      <w:r w:rsidR="00B34D0C">
        <w:rPr>
          <w:color w:val="000000"/>
        </w:rPr>
        <w:t xml:space="preserve"> </w:t>
      </w:r>
      <w:r w:rsidRPr="00D97303">
        <w:rPr>
          <w:color w:val="000000"/>
        </w:rPr>
        <w:t xml:space="preserve"> The Board therefore has no reasonable basis for recommending any additional unfitting conditions for </w:t>
      </w:r>
      <w:r w:rsidR="00A30E6D">
        <w:rPr>
          <w:color w:val="000000"/>
        </w:rPr>
        <w:t>s</w:t>
      </w:r>
      <w:r w:rsidR="00B34D0C" w:rsidRPr="00B34D0C">
        <w:rPr>
          <w:color w:val="000000"/>
        </w:rPr>
        <w:t xml:space="preserve">ervice disability </w:t>
      </w:r>
      <w:r w:rsidRPr="00D97303">
        <w:rPr>
          <w:color w:val="000000"/>
        </w:rPr>
        <w:t>rating.</w:t>
      </w:r>
    </w:p>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6364ED">
      <w:pPr>
        <w:jc w:val="left"/>
        <w:rPr>
          <w:color w:val="000000"/>
        </w:rPr>
      </w:pPr>
    </w:p>
    <w:p w:rsidR="006537A7" w:rsidRPr="003C53E8" w:rsidRDefault="006537A7" w:rsidP="004D7587">
      <w:pPr>
        <w:jc w:val="both"/>
        <w:rPr>
          <w:rFonts w:cs="Times New Roman"/>
          <w:color w:val="auto"/>
        </w:rPr>
      </w:pPr>
      <w:r w:rsidRPr="001F29F9">
        <w:rPr>
          <w:color w:val="000000"/>
          <w:u w:val="single"/>
        </w:rPr>
        <w:t>BOARD FINDINGS</w:t>
      </w:r>
      <w:r w:rsidRPr="001F29F9">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 xml:space="preserve">. </w:t>
      </w:r>
      <w:r w:rsidR="00B34D0C">
        <w:rPr>
          <w:rFonts w:cs="Times New Roman"/>
          <w:color w:val="auto"/>
        </w:rPr>
        <w:t xml:space="preserve"> </w:t>
      </w:r>
      <w:r w:rsidRPr="003C53E8">
        <w:rPr>
          <w:rFonts w:cs="Times New Roman"/>
          <w:color w:val="auto"/>
        </w:rPr>
        <w:t xml:space="preserve">As discussed above, PEB reliance on the USAPDA pain policy for rating </w:t>
      </w:r>
      <w:r w:rsidR="00B34D0C">
        <w:rPr>
          <w:rFonts w:cs="Times New Roman"/>
          <w:color w:val="auto"/>
        </w:rPr>
        <w:t xml:space="preserve">the </w:t>
      </w:r>
      <w:r w:rsidRPr="003C53E8">
        <w:rPr>
          <w:rFonts w:cs="Times New Roman"/>
          <w:color w:val="auto"/>
        </w:rPr>
        <w:t xml:space="preserve">right </w:t>
      </w:r>
      <w:r w:rsidR="00B34D0C">
        <w:rPr>
          <w:rFonts w:cs="Times New Roman"/>
          <w:color w:val="auto"/>
        </w:rPr>
        <w:t>foot and lumbar conditions</w:t>
      </w:r>
      <w:r w:rsidRPr="003C53E8">
        <w:rPr>
          <w:rFonts w:cs="Times New Roman"/>
          <w:color w:val="auto"/>
        </w:rPr>
        <w:t xml:space="preserve"> was operant in this case and the condition</w:t>
      </w:r>
      <w:r w:rsidR="00B34D0C">
        <w:rPr>
          <w:rFonts w:cs="Times New Roman"/>
          <w:color w:val="auto"/>
        </w:rPr>
        <w:t>s were</w:t>
      </w:r>
      <w:r w:rsidRPr="003C53E8">
        <w:rPr>
          <w:rFonts w:cs="Times New Roman"/>
          <w:color w:val="auto"/>
        </w:rPr>
        <w:t xml:space="preserve"> adjudicated independently of </w:t>
      </w:r>
      <w:r w:rsidRPr="00765D55">
        <w:rPr>
          <w:rFonts w:cs="Times New Roman"/>
          <w:color w:val="auto"/>
        </w:rPr>
        <w:t>that policy by the Board.</w:t>
      </w:r>
      <w:r w:rsidR="00B34D0C" w:rsidRPr="00765D55">
        <w:rPr>
          <w:rFonts w:cs="Times New Roman"/>
          <w:color w:val="auto"/>
        </w:rPr>
        <w:t xml:space="preserve"> </w:t>
      </w:r>
      <w:r w:rsidRPr="00765D55">
        <w:rPr>
          <w:rFonts w:cs="Times New Roman"/>
          <w:color w:val="auto"/>
        </w:rPr>
        <w:t xml:space="preserve"> In the matter of the right </w:t>
      </w:r>
      <w:r w:rsidR="00B34D0C" w:rsidRPr="00765D55">
        <w:rPr>
          <w:rFonts w:cs="Times New Roman"/>
          <w:color w:val="auto"/>
        </w:rPr>
        <w:t>foot</w:t>
      </w:r>
      <w:r w:rsidRPr="00765D55">
        <w:rPr>
          <w:rFonts w:cs="Times New Roman"/>
          <w:color w:val="auto"/>
        </w:rPr>
        <w:t xml:space="preserve"> condition and IAW VASRD §4.71a, the Board unanimously recommends no change in the PEB adjudication. </w:t>
      </w:r>
      <w:r w:rsidR="00B34D0C" w:rsidRPr="00765D55">
        <w:rPr>
          <w:rFonts w:cs="Times New Roman"/>
          <w:color w:val="auto"/>
        </w:rPr>
        <w:t xml:space="preserve"> </w:t>
      </w:r>
      <w:r w:rsidRPr="00765D55">
        <w:rPr>
          <w:rFonts w:cs="Times New Roman"/>
          <w:color w:val="auto"/>
        </w:rPr>
        <w:t xml:space="preserve">In the matter of the </w:t>
      </w:r>
      <w:r w:rsidR="00B34D0C" w:rsidRPr="00765D55">
        <w:rPr>
          <w:rFonts w:cs="Times New Roman"/>
          <w:color w:val="auto"/>
        </w:rPr>
        <w:t>lumbar spine</w:t>
      </w:r>
      <w:r w:rsidRPr="00765D55">
        <w:rPr>
          <w:rFonts w:cs="Times New Roman"/>
          <w:color w:val="auto"/>
        </w:rPr>
        <w:t xml:space="preserve"> condition, the Board unanimously recommends a rating of 20%</w:t>
      </w:r>
      <w:r w:rsidR="00204B36">
        <w:rPr>
          <w:rFonts w:cs="Times New Roman"/>
          <w:color w:val="auto"/>
        </w:rPr>
        <w:t>,</w:t>
      </w:r>
      <w:r w:rsidRPr="00765D55">
        <w:rPr>
          <w:rFonts w:cs="Times New Roman"/>
          <w:color w:val="auto"/>
        </w:rPr>
        <w:t xml:space="preserve"> coded </w:t>
      </w:r>
      <w:r w:rsidR="00B34D0C" w:rsidRPr="00765D55">
        <w:rPr>
          <w:rFonts w:cs="Times New Roman"/>
          <w:color w:val="auto"/>
        </w:rPr>
        <w:t>5242</w:t>
      </w:r>
      <w:r w:rsidRPr="00765D55">
        <w:rPr>
          <w:rFonts w:cs="Times New Roman"/>
          <w:color w:val="auto"/>
        </w:rPr>
        <w:t xml:space="preserve"> IAW VASRD §4.</w:t>
      </w:r>
      <w:r w:rsidRPr="004D7587">
        <w:rPr>
          <w:rFonts w:cs="Times New Roman"/>
          <w:color w:val="auto"/>
        </w:rPr>
        <w:t>71a.</w:t>
      </w:r>
      <w:r w:rsidRPr="003C53E8">
        <w:rPr>
          <w:rFonts w:cs="Times New Roman"/>
          <w:color w:val="auto"/>
        </w:rPr>
        <w:t xml:space="preserve"> </w:t>
      </w:r>
      <w:r w:rsidR="00A82344">
        <w:rPr>
          <w:rFonts w:cs="Times New Roman"/>
          <w:color w:val="auto"/>
        </w:rPr>
        <w:t xml:space="preserve"> </w:t>
      </w:r>
      <w:r w:rsidRPr="003C53E8">
        <w:rPr>
          <w:rFonts w:cs="Times New Roman"/>
          <w:color w:val="auto"/>
        </w:rPr>
        <w:t xml:space="preserve">In the matter of the </w:t>
      </w:r>
      <w:r w:rsidR="00A82344">
        <w:rPr>
          <w:rFonts w:cs="Times New Roman"/>
          <w:color w:val="auto"/>
        </w:rPr>
        <w:t xml:space="preserve">contended </w:t>
      </w:r>
      <w:r w:rsidR="00A30E6D">
        <w:rPr>
          <w:rFonts w:eastAsia="HiddenHorzOCR"/>
          <w:color w:val="000000"/>
        </w:rPr>
        <w:t>PTSD</w:t>
      </w:r>
      <w:r w:rsidRPr="003C53E8">
        <w:rPr>
          <w:rFonts w:cs="Times New Roman"/>
          <w:color w:val="auto"/>
        </w:rPr>
        <w:t xml:space="preserve">, the </w:t>
      </w:r>
      <w:r w:rsidRPr="004D7587">
        <w:rPr>
          <w:rFonts w:cs="Times New Roman"/>
          <w:color w:val="auto"/>
        </w:rPr>
        <w:t>Board unanimously agrees that it cannot</w:t>
      </w:r>
      <w:r w:rsidRPr="004D7587">
        <w:rPr>
          <w:rFonts w:cs="Times New Roman"/>
          <w:color w:val="000080"/>
        </w:rPr>
        <w:t xml:space="preserve"> </w:t>
      </w:r>
      <w:r w:rsidRPr="004D7587">
        <w:rPr>
          <w:rFonts w:cs="Times New Roman"/>
          <w:color w:val="auto"/>
        </w:rPr>
        <w:t xml:space="preserve">recommend a finding of unfit for additional </w:t>
      </w:r>
      <w:r w:rsidR="003C0B51">
        <w:rPr>
          <w:rFonts w:cs="Times New Roman"/>
          <w:color w:val="auto"/>
        </w:rPr>
        <w:t>s</w:t>
      </w:r>
      <w:r w:rsidR="00A82344">
        <w:rPr>
          <w:rFonts w:cs="Times New Roman"/>
          <w:color w:val="auto"/>
        </w:rPr>
        <w:t>ervice disability rating</w:t>
      </w:r>
      <w:r w:rsidRPr="004D7587">
        <w:rPr>
          <w:rFonts w:cs="Times New Roman"/>
          <w:color w:val="auto"/>
        </w:rPr>
        <w:t>.</w:t>
      </w:r>
      <w:r w:rsidRPr="003C53E8">
        <w:rPr>
          <w:rFonts w:cs="Times New Roman"/>
          <w:color w:val="auto"/>
        </w:rPr>
        <w:t xml:space="preserve"> </w:t>
      </w:r>
      <w:r w:rsidR="00A82344">
        <w:rPr>
          <w:rFonts w:cs="Times New Roman"/>
          <w:color w:val="auto"/>
        </w:rPr>
        <w:t xml:space="preserve"> </w:t>
      </w:r>
      <w:r w:rsidRPr="004D7587">
        <w:rPr>
          <w:rFonts w:cs="Times New Roman"/>
          <w:color w:val="auto"/>
        </w:rPr>
        <w:t xml:space="preserve">The Board unanimously agrees that there were no other conditions eligible for Board consideration which could be recommended as unfitting for </w:t>
      </w:r>
      <w:r w:rsidR="00A82344" w:rsidRPr="004D7587">
        <w:rPr>
          <w:rFonts w:cs="Times New Roman"/>
          <w:color w:val="auto"/>
        </w:rPr>
        <w:t xml:space="preserve">additional </w:t>
      </w:r>
      <w:r w:rsidR="00A30E6D">
        <w:rPr>
          <w:rFonts w:cs="Times New Roman"/>
          <w:color w:val="auto"/>
        </w:rPr>
        <w:t>s</w:t>
      </w:r>
      <w:r w:rsidR="00A82344">
        <w:rPr>
          <w:rFonts w:cs="Times New Roman"/>
          <w:color w:val="auto"/>
        </w:rPr>
        <w:t>ervice disability rating</w:t>
      </w:r>
      <w:r w:rsidR="00A82344" w:rsidRPr="004D7587">
        <w:rPr>
          <w:rFonts w:cs="Times New Roman"/>
          <w:color w:val="auto"/>
        </w:rPr>
        <w:t>.</w:t>
      </w:r>
      <w:r w:rsidR="00A82344" w:rsidRPr="003C53E8">
        <w:rPr>
          <w:rFonts w:cs="Times New Roman"/>
          <w:color w:val="auto"/>
        </w:rPr>
        <w:t xml:space="preserve"> </w:t>
      </w:r>
      <w:r w:rsidR="00A82344">
        <w:rPr>
          <w:rFonts w:cs="Times New Roman"/>
          <w:color w:val="auto"/>
        </w:rPr>
        <w:t xml:space="preserve"> </w:t>
      </w:r>
    </w:p>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6364ED">
      <w:pPr>
        <w:jc w:val="left"/>
        <w:rPr>
          <w:color w:val="000000"/>
        </w:rPr>
      </w:pPr>
    </w:p>
    <w:p w:rsidR="00A82344" w:rsidRPr="001F29F9" w:rsidRDefault="006537A7" w:rsidP="00BF0E94">
      <w:pPr>
        <w:jc w:val="both"/>
        <w:rPr>
          <w:color w:val="000000"/>
        </w:rPr>
      </w:pPr>
      <w:r w:rsidRPr="001F29F9">
        <w:rPr>
          <w:color w:val="000000"/>
          <w:u w:val="single"/>
        </w:rPr>
        <w:lastRenderedPageBreak/>
        <w:t>RECOMMENDATION</w:t>
      </w:r>
      <w:r w:rsidRPr="001F29F9">
        <w:rPr>
          <w:color w:val="000000"/>
        </w:rPr>
        <w:t>:</w:t>
      </w:r>
      <w:r w:rsidRPr="00F71436">
        <w:rPr>
          <w:color w:val="000000"/>
          <w:sz w:val="22"/>
        </w:rPr>
        <w:t xml:space="preserve"> </w:t>
      </w:r>
      <w:r w:rsidR="00204B36">
        <w:rPr>
          <w:color w:val="000000"/>
          <w:sz w:val="22"/>
        </w:rPr>
        <w:t xml:space="preserve"> </w:t>
      </w:r>
      <w:r w:rsidRPr="001F29F9">
        <w:rPr>
          <w:color w:val="000000"/>
        </w:rPr>
        <w:t xml:space="preserve">The Board recommends that the CI’s prior determination be modified as follows and that the discharge with severance pay be </w:t>
      </w:r>
      <w:proofErr w:type="spellStart"/>
      <w:r w:rsidRPr="001F29F9">
        <w:rPr>
          <w:color w:val="000000"/>
        </w:rPr>
        <w:t>recharacterized</w:t>
      </w:r>
      <w:proofErr w:type="spellEnd"/>
      <w:r w:rsidRPr="001F29F9">
        <w:rPr>
          <w:color w:val="000000"/>
        </w:rPr>
        <w:t xml:space="preserve"> to reflect permanent disability retirement, effective as of the date of his prior medical separation: </w:t>
      </w:r>
    </w:p>
    <w:p w:rsidR="006537A7" w:rsidRPr="001F29F9" w:rsidRDefault="006537A7"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8"/>
        <w:gridCol w:w="1620"/>
        <w:gridCol w:w="1044"/>
      </w:tblGrid>
      <w:tr w:rsidR="006537A7" w:rsidRPr="000D5DBE" w:rsidTr="00A82344">
        <w:trPr>
          <w:trHeight w:val="233"/>
          <w:jc w:val="center"/>
        </w:trPr>
        <w:tc>
          <w:tcPr>
            <w:tcW w:w="6678" w:type="dxa"/>
            <w:shd w:val="clear" w:color="auto" w:fill="D9D9D9"/>
            <w:vAlign w:val="center"/>
          </w:tcPr>
          <w:p w:rsidR="006537A7" w:rsidRPr="000D5DBE" w:rsidRDefault="006537A7" w:rsidP="00BF0E94">
            <w:pPr>
              <w:tabs>
                <w:tab w:val="left" w:pos="288"/>
                <w:tab w:val="left" w:pos="4752"/>
              </w:tabs>
              <w:rPr>
                <w:b/>
                <w:color w:val="000000"/>
              </w:rPr>
            </w:pPr>
            <w:r w:rsidRPr="000D5DBE">
              <w:rPr>
                <w:b/>
                <w:color w:val="000000"/>
              </w:rPr>
              <w:t>UNFITTING CONDITION</w:t>
            </w:r>
          </w:p>
        </w:tc>
        <w:tc>
          <w:tcPr>
            <w:tcW w:w="1620" w:type="dxa"/>
            <w:shd w:val="clear" w:color="auto" w:fill="D9D9D9"/>
            <w:vAlign w:val="center"/>
          </w:tcPr>
          <w:p w:rsidR="006537A7" w:rsidRPr="000D5DBE" w:rsidRDefault="006537A7" w:rsidP="00BF0E94">
            <w:pPr>
              <w:tabs>
                <w:tab w:val="left" w:pos="288"/>
                <w:tab w:val="left" w:pos="4752"/>
              </w:tabs>
              <w:rPr>
                <w:b/>
                <w:color w:val="000000"/>
              </w:rPr>
            </w:pPr>
            <w:r w:rsidRPr="000D5DBE">
              <w:rPr>
                <w:b/>
                <w:color w:val="000000"/>
              </w:rPr>
              <w:t>VASRD CODE</w:t>
            </w:r>
          </w:p>
        </w:tc>
        <w:tc>
          <w:tcPr>
            <w:tcW w:w="1044" w:type="dxa"/>
            <w:shd w:val="clear" w:color="auto" w:fill="D9D9D9"/>
            <w:vAlign w:val="center"/>
          </w:tcPr>
          <w:p w:rsidR="006537A7" w:rsidRPr="000D5DBE" w:rsidRDefault="006537A7" w:rsidP="00BF0E94">
            <w:pPr>
              <w:tabs>
                <w:tab w:val="left" w:pos="288"/>
                <w:tab w:val="left" w:pos="4752"/>
              </w:tabs>
              <w:rPr>
                <w:b/>
                <w:color w:val="000000"/>
              </w:rPr>
            </w:pPr>
            <w:r w:rsidRPr="000D5DBE">
              <w:rPr>
                <w:b/>
                <w:color w:val="000000"/>
              </w:rPr>
              <w:t>RATING</w:t>
            </w:r>
          </w:p>
        </w:tc>
      </w:tr>
      <w:tr w:rsidR="006537A7" w:rsidRPr="000D5DBE" w:rsidTr="00A82344">
        <w:trPr>
          <w:trHeight w:val="120"/>
          <w:jc w:val="center"/>
        </w:trPr>
        <w:tc>
          <w:tcPr>
            <w:tcW w:w="6678" w:type="dxa"/>
            <w:vAlign w:val="center"/>
          </w:tcPr>
          <w:p w:rsidR="006537A7" w:rsidRPr="000D5DBE" w:rsidRDefault="006537A7" w:rsidP="00BF0E94">
            <w:pPr>
              <w:tabs>
                <w:tab w:val="left" w:pos="288"/>
                <w:tab w:val="left" w:pos="4752"/>
              </w:tabs>
              <w:jc w:val="left"/>
              <w:rPr>
                <w:color w:val="000000"/>
              </w:rPr>
            </w:pPr>
            <w:r w:rsidRPr="000D5DBE">
              <w:rPr>
                <w:color w:val="000000"/>
              </w:rPr>
              <w:t>Chronic Right Ankle Pain</w:t>
            </w:r>
          </w:p>
        </w:tc>
        <w:tc>
          <w:tcPr>
            <w:tcW w:w="1620" w:type="dxa"/>
            <w:vAlign w:val="center"/>
          </w:tcPr>
          <w:p w:rsidR="006537A7" w:rsidRPr="000D5DBE" w:rsidRDefault="00A82344" w:rsidP="00A82344">
            <w:pPr>
              <w:tabs>
                <w:tab w:val="left" w:pos="288"/>
                <w:tab w:val="left" w:pos="4752"/>
              </w:tabs>
              <w:rPr>
                <w:color w:val="000000"/>
              </w:rPr>
            </w:pPr>
            <w:r>
              <w:rPr>
                <w:color w:val="000000"/>
              </w:rPr>
              <w:t>5099-</w:t>
            </w:r>
            <w:r w:rsidR="006537A7" w:rsidRPr="000D5DBE">
              <w:rPr>
                <w:color w:val="000000"/>
              </w:rPr>
              <w:t>5003</w:t>
            </w:r>
          </w:p>
        </w:tc>
        <w:tc>
          <w:tcPr>
            <w:tcW w:w="1044" w:type="dxa"/>
            <w:vAlign w:val="center"/>
          </w:tcPr>
          <w:p w:rsidR="006537A7" w:rsidRPr="000D5DBE" w:rsidRDefault="006537A7" w:rsidP="00BF0E94">
            <w:pPr>
              <w:tabs>
                <w:tab w:val="left" w:pos="288"/>
                <w:tab w:val="left" w:pos="4752"/>
              </w:tabs>
              <w:rPr>
                <w:color w:val="000000"/>
              </w:rPr>
            </w:pPr>
            <w:r w:rsidRPr="000D5DBE">
              <w:rPr>
                <w:color w:val="000000"/>
              </w:rPr>
              <w:t>10%</w:t>
            </w:r>
          </w:p>
        </w:tc>
      </w:tr>
      <w:tr w:rsidR="006537A7" w:rsidRPr="000D5DBE" w:rsidTr="00A82344">
        <w:trPr>
          <w:trHeight w:val="119"/>
          <w:jc w:val="center"/>
        </w:trPr>
        <w:tc>
          <w:tcPr>
            <w:tcW w:w="6678" w:type="dxa"/>
            <w:vAlign w:val="center"/>
          </w:tcPr>
          <w:p w:rsidR="006537A7" w:rsidRPr="004D7587" w:rsidRDefault="00A82344" w:rsidP="00BF0E94">
            <w:pPr>
              <w:tabs>
                <w:tab w:val="left" w:pos="288"/>
                <w:tab w:val="left" w:pos="4752"/>
              </w:tabs>
              <w:jc w:val="left"/>
              <w:rPr>
                <w:color w:val="000000"/>
              </w:rPr>
            </w:pPr>
            <w:r>
              <w:rPr>
                <w:color w:val="000000"/>
              </w:rPr>
              <w:t>Degenerative Disc Disease, Lumbosacral Spine</w:t>
            </w:r>
          </w:p>
        </w:tc>
        <w:tc>
          <w:tcPr>
            <w:tcW w:w="1620" w:type="dxa"/>
            <w:vAlign w:val="center"/>
          </w:tcPr>
          <w:p w:rsidR="006537A7" w:rsidRPr="004D7587" w:rsidRDefault="00B34D0C" w:rsidP="00BF0E94">
            <w:pPr>
              <w:tabs>
                <w:tab w:val="left" w:pos="288"/>
                <w:tab w:val="left" w:pos="4752"/>
              </w:tabs>
              <w:rPr>
                <w:color w:val="000000"/>
              </w:rPr>
            </w:pPr>
            <w:r>
              <w:rPr>
                <w:color w:val="000000"/>
              </w:rPr>
              <w:t>5242</w:t>
            </w:r>
          </w:p>
        </w:tc>
        <w:tc>
          <w:tcPr>
            <w:tcW w:w="1044" w:type="dxa"/>
            <w:vAlign w:val="center"/>
          </w:tcPr>
          <w:p w:rsidR="006537A7" w:rsidRPr="004D7587" w:rsidRDefault="006537A7" w:rsidP="00BF0E94">
            <w:pPr>
              <w:tabs>
                <w:tab w:val="left" w:pos="288"/>
                <w:tab w:val="left" w:pos="4752"/>
              </w:tabs>
              <w:rPr>
                <w:color w:val="000000"/>
              </w:rPr>
            </w:pPr>
            <w:r w:rsidRPr="004D7587">
              <w:rPr>
                <w:color w:val="000000"/>
              </w:rPr>
              <w:t>20%</w:t>
            </w:r>
          </w:p>
        </w:tc>
      </w:tr>
      <w:tr w:rsidR="006537A7" w:rsidRPr="000D5DBE" w:rsidTr="00A82344">
        <w:tblPrEx>
          <w:tblLook w:val="0000"/>
        </w:tblPrEx>
        <w:trPr>
          <w:gridBefore w:val="1"/>
          <w:wBefore w:w="6678" w:type="dxa"/>
          <w:trHeight w:val="152"/>
          <w:jc w:val="center"/>
        </w:trPr>
        <w:tc>
          <w:tcPr>
            <w:tcW w:w="1620" w:type="dxa"/>
            <w:tcBorders>
              <w:left w:val="single" w:sz="4" w:space="0" w:color="auto"/>
            </w:tcBorders>
            <w:shd w:val="clear" w:color="auto" w:fill="D9D9D9"/>
            <w:vAlign w:val="center"/>
          </w:tcPr>
          <w:p w:rsidR="006537A7" w:rsidRPr="000D5DBE" w:rsidRDefault="006537A7" w:rsidP="00BF0E94">
            <w:pPr>
              <w:tabs>
                <w:tab w:val="left" w:pos="288"/>
                <w:tab w:val="left" w:pos="4752"/>
              </w:tabs>
              <w:rPr>
                <w:b/>
                <w:color w:val="000000"/>
              </w:rPr>
            </w:pPr>
            <w:r w:rsidRPr="000D5DBE">
              <w:rPr>
                <w:b/>
                <w:color w:val="000000"/>
              </w:rPr>
              <w:t>COMBINED</w:t>
            </w:r>
          </w:p>
        </w:tc>
        <w:tc>
          <w:tcPr>
            <w:tcW w:w="1044" w:type="dxa"/>
            <w:shd w:val="clear" w:color="auto" w:fill="D9D9D9"/>
            <w:vAlign w:val="center"/>
          </w:tcPr>
          <w:p w:rsidR="006537A7" w:rsidRPr="000D5DBE" w:rsidRDefault="006537A7" w:rsidP="00BF0E94">
            <w:pPr>
              <w:tabs>
                <w:tab w:val="left" w:pos="288"/>
                <w:tab w:val="left" w:pos="4752"/>
              </w:tabs>
              <w:rPr>
                <w:b/>
                <w:color w:val="000000"/>
              </w:rPr>
            </w:pPr>
            <w:r w:rsidRPr="000D5DBE">
              <w:rPr>
                <w:b/>
                <w:color w:val="000000"/>
              </w:rPr>
              <w:t>30%</w:t>
            </w:r>
          </w:p>
        </w:tc>
      </w:tr>
    </w:tbl>
    <w:p w:rsidR="006537A7" w:rsidRPr="001F29F9" w:rsidRDefault="006537A7" w:rsidP="00BF0E94">
      <w:pPr>
        <w:pBdr>
          <w:bottom w:val="single" w:sz="12" w:space="1" w:color="auto"/>
        </w:pBdr>
        <w:tabs>
          <w:tab w:val="left" w:pos="288"/>
          <w:tab w:val="left" w:pos="4752"/>
        </w:tabs>
        <w:jc w:val="both"/>
        <w:rPr>
          <w:color w:val="000000"/>
        </w:rPr>
      </w:pPr>
    </w:p>
    <w:p w:rsidR="006537A7" w:rsidRPr="001F29F9" w:rsidRDefault="006537A7" w:rsidP="00BF0E94">
      <w:pPr>
        <w:rPr>
          <w:color w:val="000000"/>
        </w:rPr>
      </w:pPr>
    </w:p>
    <w:p w:rsidR="006537A7" w:rsidRPr="001F29F9" w:rsidRDefault="006537A7" w:rsidP="00BF0E94">
      <w:pPr>
        <w:tabs>
          <w:tab w:val="left" w:pos="288"/>
          <w:tab w:val="left" w:pos="4752"/>
        </w:tabs>
        <w:jc w:val="both"/>
        <w:rPr>
          <w:color w:val="000000"/>
        </w:rPr>
      </w:pPr>
      <w:r w:rsidRPr="001F29F9">
        <w:rPr>
          <w:color w:val="000000"/>
        </w:rPr>
        <w:t>The following documentary evidence was considered:</w:t>
      </w:r>
    </w:p>
    <w:p w:rsidR="006537A7" w:rsidRPr="001F29F9" w:rsidRDefault="006537A7" w:rsidP="00B3575C">
      <w:pPr>
        <w:tabs>
          <w:tab w:val="left" w:pos="288"/>
          <w:tab w:val="left" w:pos="4752"/>
        </w:tabs>
        <w:spacing w:line="440" w:lineRule="exact"/>
        <w:jc w:val="both"/>
        <w:rPr>
          <w:color w:val="000000"/>
        </w:rPr>
      </w:pPr>
      <w:r w:rsidRPr="001F29F9">
        <w:rPr>
          <w:color w:val="000000"/>
        </w:rPr>
        <w:t>Exhibit A.  DD Fo</w:t>
      </w:r>
      <w:r w:rsidR="00A30E6D">
        <w:rPr>
          <w:color w:val="000000"/>
        </w:rPr>
        <w:t>rm 294, dated 20110724, w/</w:t>
      </w:r>
      <w:proofErr w:type="spellStart"/>
      <w:r w:rsidR="00A30E6D">
        <w:rPr>
          <w:color w:val="000000"/>
        </w:rPr>
        <w:t>atchs</w:t>
      </w:r>
      <w:proofErr w:type="spellEnd"/>
    </w:p>
    <w:p w:rsidR="006537A7" w:rsidRPr="001F29F9" w:rsidRDefault="006537A7" w:rsidP="00BF0E94">
      <w:pPr>
        <w:tabs>
          <w:tab w:val="left" w:pos="288"/>
          <w:tab w:val="left" w:pos="4752"/>
        </w:tabs>
        <w:jc w:val="both"/>
        <w:rPr>
          <w:color w:val="000000"/>
        </w:rPr>
      </w:pPr>
      <w:r w:rsidRPr="001F29F9">
        <w:rPr>
          <w:color w:val="000000"/>
        </w:rPr>
        <w:t>Exhib</w:t>
      </w:r>
      <w:r w:rsidR="00A30E6D">
        <w:rPr>
          <w:color w:val="000000"/>
        </w:rPr>
        <w:t>it B.  Service Treatment Record</w:t>
      </w:r>
    </w:p>
    <w:p w:rsidR="006537A7" w:rsidRPr="001F29F9" w:rsidRDefault="006537A7" w:rsidP="00BF0E94">
      <w:pPr>
        <w:tabs>
          <w:tab w:val="left" w:pos="288"/>
          <w:tab w:val="left" w:pos="4752"/>
        </w:tabs>
        <w:jc w:val="both"/>
        <w:rPr>
          <w:color w:val="000000"/>
        </w:rPr>
      </w:pPr>
      <w:r w:rsidRPr="001F29F9">
        <w:rPr>
          <w:color w:val="000000"/>
        </w:rPr>
        <w:t xml:space="preserve">Exhibit C.  Department of Veterans </w:t>
      </w:r>
      <w:r w:rsidR="00A30E6D">
        <w:rPr>
          <w:color w:val="000000"/>
        </w:rPr>
        <w:t>Affairs Treatment Record</w:t>
      </w:r>
    </w:p>
    <w:p w:rsidR="006537A7" w:rsidRPr="001F29F9" w:rsidRDefault="006537A7" w:rsidP="00BF0E94">
      <w:pP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p>
    <w:p w:rsidR="006537A7" w:rsidRPr="001F29F9" w:rsidRDefault="006537A7" w:rsidP="00BF0E94">
      <w:pPr>
        <w:tabs>
          <w:tab w:val="left" w:pos="288"/>
          <w:tab w:val="left" w:pos="4752"/>
        </w:tabs>
        <w:jc w:val="both"/>
        <w:rPr>
          <w:color w:val="000000"/>
        </w:rPr>
      </w:pPr>
    </w:p>
    <w:p w:rsidR="006537A7" w:rsidRPr="001F29F9" w:rsidRDefault="00731F1F" w:rsidP="00BF0E94">
      <w:pPr>
        <w:tabs>
          <w:tab w:val="left" w:pos="0"/>
          <w:tab w:val="left" w:pos="4320"/>
        </w:tabs>
        <w:jc w:val="both"/>
        <w:rPr>
          <w:color w:val="000000"/>
        </w:rPr>
      </w:pPr>
      <w:r>
        <w:rPr>
          <w:color w:val="000000"/>
        </w:rPr>
        <w:t xml:space="preserve"> </w:t>
      </w:r>
    </w:p>
    <w:p w:rsidR="006537A7" w:rsidRPr="001F29F9" w:rsidRDefault="006537A7" w:rsidP="00BF0E94">
      <w:pPr>
        <w:tabs>
          <w:tab w:val="left" w:pos="0"/>
          <w:tab w:val="left" w:pos="4320"/>
        </w:tabs>
        <w:jc w:val="both"/>
        <w:rPr>
          <w:color w:val="000000"/>
        </w:rPr>
      </w:pPr>
      <w:r w:rsidRPr="001F29F9">
        <w:rPr>
          <w:color w:val="000000"/>
        </w:rPr>
        <w:tab/>
        <w:t xml:space="preserve">           President</w:t>
      </w:r>
    </w:p>
    <w:p w:rsidR="00731F1F" w:rsidRDefault="006537A7" w:rsidP="00BF0E94">
      <w:pPr>
        <w:tabs>
          <w:tab w:val="left" w:pos="0"/>
          <w:tab w:val="left" w:pos="4320"/>
        </w:tabs>
        <w:jc w:val="both"/>
        <w:rPr>
          <w:color w:val="000000"/>
        </w:rPr>
      </w:pPr>
      <w:r w:rsidRPr="001F29F9">
        <w:rPr>
          <w:color w:val="000000"/>
        </w:rPr>
        <w:tab/>
        <w:t xml:space="preserve">           Physical Disability Board of Review</w:t>
      </w:r>
    </w:p>
    <w:p w:rsidR="00731F1F" w:rsidRDefault="00731F1F">
      <w:pPr>
        <w:spacing w:line="240" w:lineRule="auto"/>
        <w:jc w:val="left"/>
        <w:rPr>
          <w:color w:val="000000"/>
        </w:rPr>
      </w:pPr>
      <w:r>
        <w:rPr>
          <w:color w:val="000000"/>
        </w:rPr>
        <w:br w:type="page"/>
      </w:r>
    </w:p>
    <w:p w:rsidR="00731F1F" w:rsidRDefault="00731F1F" w:rsidP="00731F1F">
      <w:pPr>
        <w:pStyle w:val="Header"/>
        <w:tabs>
          <w:tab w:val="clear" w:pos="4320"/>
          <w:tab w:val="clear" w:pos="8640"/>
        </w:tabs>
        <w:jc w:val="left"/>
      </w:pPr>
      <w:r>
        <w:lastRenderedPageBreak/>
        <w:t>SFMR-RB</w:t>
      </w:r>
      <w:r>
        <w:tab/>
      </w:r>
      <w:r>
        <w:tab/>
      </w:r>
      <w:r>
        <w:tab/>
      </w:r>
      <w:r>
        <w:tab/>
      </w:r>
      <w:r>
        <w:tab/>
      </w:r>
      <w:r>
        <w:tab/>
      </w:r>
      <w:r>
        <w:tab/>
      </w:r>
      <w:r>
        <w:tab/>
      </w:r>
      <w:r>
        <w:tab/>
      </w:r>
    </w:p>
    <w:p w:rsidR="00731F1F" w:rsidRDefault="00731F1F" w:rsidP="00731F1F">
      <w:pPr>
        <w:pStyle w:val="Header"/>
        <w:tabs>
          <w:tab w:val="clear" w:pos="4320"/>
          <w:tab w:val="clear" w:pos="8640"/>
        </w:tabs>
        <w:jc w:val="left"/>
      </w:pPr>
    </w:p>
    <w:p w:rsidR="00731F1F" w:rsidRDefault="00731F1F" w:rsidP="00731F1F">
      <w:pPr>
        <w:jc w:val="left"/>
      </w:pPr>
    </w:p>
    <w:p w:rsidR="00731F1F" w:rsidRDefault="00731F1F" w:rsidP="00731F1F">
      <w:pPr>
        <w:jc w:val="left"/>
      </w:pPr>
      <w:r>
        <w:t xml:space="preserve">MEMORANDUM FOR Commander, US Army Physical Disability Agency </w:t>
      </w:r>
    </w:p>
    <w:p w:rsidR="00731F1F" w:rsidRDefault="00731F1F" w:rsidP="00731F1F">
      <w:pPr>
        <w:jc w:val="left"/>
      </w:pPr>
      <w:r>
        <w:t xml:space="preserve"> </w:t>
      </w:r>
    </w:p>
    <w:p w:rsidR="00731F1F" w:rsidRDefault="00731F1F" w:rsidP="00731F1F">
      <w:pPr>
        <w:jc w:val="left"/>
      </w:pPr>
    </w:p>
    <w:p w:rsidR="00731F1F" w:rsidRDefault="00731F1F" w:rsidP="00731F1F">
      <w:pPr>
        <w:ind w:right="-180"/>
        <w:jc w:val="left"/>
      </w:pPr>
      <w:r>
        <w:t xml:space="preserve">SUBJECT:  Department of Defense Physical Disability Board of Review Recommendation </w:t>
      </w:r>
    </w:p>
    <w:p w:rsidR="00731F1F" w:rsidRDefault="00731F1F" w:rsidP="00731F1F">
      <w:pPr>
        <w:pStyle w:val="Header"/>
        <w:tabs>
          <w:tab w:val="clear" w:pos="4320"/>
          <w:tab w:val="clear" w:pos="8640"/>
        </w:tabs>
        <w:jc w:val="left"/>
      </w:pPr>
      <w:r>
        <w:t xml:space="preserve"> </w:t>
      </w:r>
    </w:p>
    <w:p w:rsidR="00731F1F" w:rsidRDefault="00731F1F" w:rsidP="00731F1F">
      <w:pPr>
        <w:pStyle w:val="Header"/>
        <w:tabs>
          <w:tab w:val="clear" w:pos="4320"/>
          <w:tab w:val="clear" w:pos="8640"/>
        </w:tabs>
        <w:jc w:val="left"/>
      </w:pPr>
    </w:p>
    <w:p w:rsidR="00731F1F" w:rsidRDefault="00731F1F" w:rsidP="00731F1F">
      <w:pPr>
        <w:jc w:val="left"/>
      </w:pPr>
    </w:p>
    <w:p w:rsidR="00731F1F" w:rsidRPr="00B904A2" w:rsidRDefault="00731F1F" w:rsidP="00731F1F">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731F1F" w:rsidRPr="00B904A2" w:rsidRDefault="00731F1F" w:rsidP="00731F1F">
      <w:pPr>
        <w:jc w:val="left"/>
      </w:pPr>
    </w:p>
    <w:p w:rsidR="00731F1F" w:rsidRDefault="00731F1F" w:rsidP="00731F1F">
      <w:pPr>
        <w:jc w:val="left"/>
      </w:pPr>
      <w:r w:rsidRPr="00FF16DA">
        <w:t>2.  I direct that all the Department of the Army records of the individual concerned be corrected accordingly no later than 120 day</w:t>
      </w:r>
      <w:r>
        <w:t>s from the date of this memorandum:</w:t>
      </w:r>
    </w:p>
    <w:p w:rsidR="00731F1F" w:rsidRDefault="00731F1F" w:rsidP="00731F1F">
      <w:pPr>
        <w:jc w:val="left"/>
      </w:pPr>
    </w:p>
    <w:p w:rsidR="00731F1F" w:rsidRDefault="00731F1F" w:rsidP="00731F1F">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731F1F" w:rsidRDefault="00731F1F" w:rsidP="00731F1F">
      <w:pPr>
        <w:jc w:val="left"/>
      </w:pPr>
    </w:p>
    <w:p w:rsidR="00731F1F" w:rsidRDefault="00731F1F" w:rsidP="00731F1F">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731F1F" w:rsidRDefault="00731F1F" w:rsidP="00731F1F">
      <w:pPr>
        <w:jc w:val="left"/>
      </w:pPr>
    </w:p>
    <w:p w:rsidR="00731F1F" w:rsidRDefault="00731F1F" w:rsidP="00731F1F">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731F1F" w:rsidRDefault="00731F1F" w:rsidP="00731F1F">
      <w:pPr>
        <w:jc w:val="left"/>
      </w:pPr>
    </w:p>
    <w:p w:rsidR="00731F1F" w:rsidRDefault="00731F1F" w:rsidP="00731F1F">
      <w:pPr>
        <w:jc w:val="left"/>
      </w:pPr>
      <w:r>
        <w:tab/>
      </w:r>
      <w:proofErr w:type="gramStart"/>
      <w:r>
        <w:t>d.  Affording</w:t>
      </w:r>
      <w:proofErr w:type="gramEnd"/>
      <w:r>
        <w:t xml:space="preserve"> the </w:t>
      </w:r>
      <w:r w:rsidRPr="00FF16DA">
        <w:t>individual the opportunity to elect Survivor Benefit Plan (SBP) and medical TRICARE retiree options.</w:t>
      </w:r>
    </w:p>
    <w:p w:rsidR="00731F1F" w:rsidRDefault="00731F1F" w:rsidP="00731F1F">
      <w:pPr>
        <w:jc w:val="left"/>
      </w:pPr>
    </w:p>
    <w:p w:rsidR="00731F1F" w:rsidRDefault="00731F1F" w:rsidP="00731F1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31F1F" w:rsidRDefault="00731F1F" w:rsidP="00731F1F">
      <w:pPr>
        <w:jc w:val="left"/>
      </w:pPr>
    </w:p>
    <w:p w:rsidR="00731F1F" w:rsidRDefault="00731F1F" w:rsidP="00731F1F">
      <w:pPr>
        <w:jc w:val="left"/>
      </w:pPr>
      <w:r>
        <w:t>BY ORDER OF THE SECRETARY OF THE ARMY:</w:t>
      </w:r>
    </w:p>
    <w:p w:rsidR="00731F1F" w:rsidRDefault="00731F1F" w:rsidP="00731F1F">
      <w:pPr>
        <w:jc w:val="left"/>
      </w:pPr>
    </w:p>
    <w:p w:rsidR="00731F1F" w:rsidRDefault="00731F1F" w:rsidP="00731F1F">
      <w:pPr>
        <w:jc w:val="left"/>
      </w:pPr>
    </w:p>
    <w:p w:rsidR="00731F1F" w:rsidRDefault="00731F1F" w:rsidP="00731F1F">
      <w:pPr>
        <w:pStyle w:val="Header"/>
        <w:tabs>
          <w:tab w:val="clear" w:pos="4320"/>
          <w:tab w:val="clear" w:pos="8640"/>
        </w:tabs>
        <w:jc w:val="left"/>
      </w:pPr>
    </w:p>
    <w:p w:rsidR="00731F1F" w:rsidRDefault="00731F1F" w:rsidP="00731F1F">
      <w:pPr>
        <w:jc w:val="left"/>
      </w:pPr>
    </w:p>
    <w:p w:rsidR="00731F1F" w:rsidRDefault="00731F1F" w:rsidP="00731F1F">
      <w:pPr>
        <w:jc w:val="left"/>
      </w:pPr>
      <w:bookmarkStart w:id="0" w:name="OLE_LINK3"/>
      <w:bookmarkStart w:id="1" w:name="OLE_LINK4"/>
      <w:r>
        <w:t>Encl</w:t>
      </w:r>
      <w:r>
        <w:tab/>
      </w:r>
      <w:r>
        <w:tab/>
      </w:r>
      <w:r>
        <w:tab/>
      </w:r>
      <w:r>
        <w:tab/>
      </w:r>
      <w:r>
        <w:tab/>
      </w:r>
      <w:r>
        <w:tab/>
        <w:t xml:space="preserve">      </w:t>
      </w:r>
    </w:p>
    <w:p w:rsidR="00731F1F" w:rsidRDefault="00731F1F" w:rsidP="00731F1F">
      <w:pPr>
        <w:jc w:val="left"/>
      </w:pPr>
      <w:r>
        <w:tab/>
      </w:r>
      <w:r>
        <w:tab/>
      </w:r>
      <w:r>
        <w:tab/>
      </w:r>
      <w:r>
        <w:tab/>
      </w:r>
      <w:r>
        <w:tab/>
      </w:r>
      <w:r>
        <w:tab/>
        <w:t xml:space="preserve">     Deputy Assistant Secretary</w:t>
      </w:r>
    </w:p>
    <w:p w:rsidR="00731F1F" w:rsidRDefault="00731F1F" w:rsidP="00731F1F">
      <w:pPr>
        <w:jc w:val="left"/>
      </w:pPr>
      <w:r>
        <w:tab/>
      </w:r>
      <w:r>
        <w:tab/>
      </w:r>
      <w:r>
        <w:tab/>
      </w:r>
      <w:r>
        <w:tab/>
      </w:r>
      <w:r>
        <w:tab/>
      </w:r>
      <w:r>
        <w:tab/>
        <w:t xml:space="preserve">         (Army Review Boards)</w:t>
      </w:r>
      <w:bookmarkEnd w:id="0"/>
      <w:bookmarkEnd w:id="1"/>
    </w:p>
    <w:p w:rsidR="006537A7" w:rsidRPr="001F29F9" w:rsidRDefault="006537A7" w:rsidP="00BF0E94">
      <w:pPr>
        <w:tabs>
          <w:tab w:val="left" w:pos="0"/>
          <w:tab w:val="left" w:pos="4320"/>
        </w:tabs>
        <w:jc w:val="both"/>
        <w:rPr>
          <w:color w:val="000000"/>
        </w:rPr>
      </w:pPr>
    </w:p>
    <w:p w:rsidR="006537A7" w:rsidRDefault="006537A7" w:rsidP="00BF0E94">
      <w:pPr>
        <w:rPr>
          <w:color w:val="000000"/>
          <w:u w:val="single"/>
        </w:rPr>
      </w:pPr>
    </w:p>
    <w:sectPr w:rsidR="006537A7"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F4" w:rsidRDefault="006468F4">
      <w:r>
        <w:separator/>
      </w:r>
    </w:p>
  </w:endnote>
  <w:endnote w:type="continuationSeparator" w:id="0">
    <w:p w:rsidR="006468F4" w:rsidRDefault="00646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73" w:rsidRPr="00374247" w:rsidRDefault="00532B73" w:rsidP="00374247">
    <w:pPr>
      <w:pStyle w:val="Footer"/>
      <w:ind w:firstLine="4320"/>
      <w:rPr>
        <w:color w:val="auto"/>
      </w:rPr>
    </w:pPr>
    <w:r w:rsidRPr="00374247">
      <w:rPr>
        <w:color w:val="auto"/>
      </w:rPr>
      <w:t xml:space="preserve">   </w:t>
    </w:r>
    <w:fldSimple w:instr=" PAGE   \* MERGEFORMAT ">
      <w:r w:rsidR="00731F1F" w:rsidRPr="00731F1F">
        <w:rPr>
          <w:noProof/>
          <w:color w:val="auto"/>
        </w:rPr>
        <w:t>2</w:t>
      </w:r>
    </w:fldSimple>
    <w:r w:rsidRPr="00374247">
      <w:rPr>
        <w:color w:val="auto"/>
      </w:rPr>
      <w:t xml:space="preserve">                                                           </w:t>
    </w:r>
    <w:r w:rsidRPr="001D64F3">
      <w:rPr>
        <w:color w:val="auto"/>
      </w:rPr>
      <w:t>PD1</w:t>
    </w:r>
    <w:r w:rsidRPr="009369A6">
      <w:rPr>
        <w:color w:val="auto"/>
      </w:rPr>
      <w:t>100548</w:t>
    </w:r>
  </w:p>
  <w:p w:rsidR="00532B73" w:rsidRPr="00684CE6" w:rsidRDefault="00532B7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F4" w:rsidRDefault="006468F4">
      <w:r>
        <w:separator/>
      </w:r>
    </w:p>
  </w:footnote>
  <w:footnote w:type="continuationSeparator" w:id="0">
    <w:p w:rsidR="006468F4" w:rsidRDefault="00646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12B"/>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57FB"/>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781"/>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ED"/>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18"/>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4B36"/>
    <w:rsid w:val="00205B4F"/>
    <w:rsid w:val="002060B6"/>
    <w:rsid w:val="002066B5"/>
    <w:rsid w:val="00210EAC"/>
    <w:rsid w:val="00211612"/>
    <w:rsid w:val="002119B6"/>
    <w:rsid w:val="00212389"/>
    <w:rsid w:val="00212B40"/>
    <w:rsid w:val="00213BD0"/>
    <w:rsid w:val="00213C9E"/>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0903"/>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554"/>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60F"/>
    <w:rsid w:val="002C34F6"/>
    <w:rsid w:val="002C3B6D"/>
    <w:rsid w:val="002C3F59"/>
    <w:rsid w:val="002C4080"/>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70A"/>
    <w:rsid w:val="002F7F81"/>
    <w:rsid w:val="00300A36"/>
    <w:rsid w:val="003012B8"/>
    <w:rsid w:val="00301B45"/>
    <w:rsid w:val="00305856"/>
    <w:rsid w:val="00305867"/>
    <w:rsid w:val="0030678B"/>
    <w:rsid w:val="00306D16"/>
    <w:rsid w:val="0030700A"/>
    <w:rsid w:val="00307595"/>
    <w:rsid w:val="00307DA6"/>
    <w:rsid w:val="00310CD7"/>
    <w:rsid w:val="00313C3A"/>
    <w:rsid w:val="00313D7A"/>
    <w:rsid w:val="00315245"/>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4F9"/>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830"/>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B51"/>
    <w:rsid w:val="003C247E"/>
    <w:rsid w:val="003C294B"/>
    <w:rsid w:val="003C5046"/>
    <w:rsid w:val="003C53E8"/>
    <w:rsid w:val="003C5B54"/>
    <w:rsid w:val="003C6068"/>
    <w:rsid w:val="003C7AEC"/>
    <w:rsid w:val="003D1520"/>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092E"/>
    <w:rsid w:val="003F1206"/>
    <w:rsid w:val="003F2418"/>
    <w:rsid w:val="003F28DB"/>
    <w:rsid w:val="003F2EEE"/>
    <w:rsid w:val="003F4107"/>
    <w:rsid w:val="003F44FD"/>
    <w:rsid w:val="003F58B0"/>
    <w:rsid w:val="003F776F"/>
    <w:rsid w:val="004007E9"/>
    <w:rsid w:val="00400810"/>
    <w:rsid w:val="00401825"/>
    <w:rsid w:val="00401BBC"/>
    <w:rsid w:val="004026FC"/>
    <w:rsid w:val="00403052"/>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6A7"/>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D7587"/>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B73"/>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04D"/>
    <w:rsid w:val="005471BA"/>
    <w:rsid w:val="00547BDA"/>
    <w:rsid w:val="00547BE6"/>
    <w:rsid w:val="0055034F"/>
    <w:rsid w:val="00550476"/>
    <w:rsid w:val="0055288D"/>
    <w:rsid w:val="00555259"/>
    <w:rsid w:val="00555C66"/>
    <w:rsid w:val="005569EF"/>
    <w:rsid w:val="00556BDE"/>
    <w:rsid w:val="0056054B"/>
    <w:rsid w:val="00560D57"/>
    <w:rsid w:val="00562A94"/>
    <w:rsid w:val="00563FAD"/>
    <w:rsid w:val="005701C1"/>
    <w:rsid w:val="005703BF"/>
    <w:rsid w:val="00570754"/>
    <w:rsid w:val="005709F7"/>
    <w:rsid w:val="00570B5C"/>
    <w:rsid w:val="00570EAA"/>
    <w:rsid w:val="005710A9"/>
    <w:rsid w:val="005716B0"/>
    <w:rsid w:val="00571B11"/>
    <w:rsid w:val="00571D1B"/>
    <w:rsid w:val="00571DA3"/>
    <w:rsid w:val="005738F5"/>
    <w:rsid w:val="00573D34"/>
    <w:rsid w:val="00574A1B"/>
    <w:rsid w:val="00575963"/>
    <w:rsid w:val="00575EBE"/>
    <w:rsid w:val="0058039C"/>
    <w:rsid w:val="00580A63"/>
    <w:rsid w:val="00582CBA"/>
    <w:rsid w:val="00583379"/>
    <w:rsid w:val="0058417C"/>
    <w:rsid w:val="005854F9"/>
    <w:rsid w:val="00586EC6"/>
    <w:rsid w:val="00587DDE"/>
    <w:rsid w:val="00593043"/>
    <w:rsid w:val="00595B60"/>
    <w:rsid w:val="00595B63"/>
    <w:rsid w:val="00595BF0"/>
    <w:rsid w:val="00596448"/>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39F"/>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677C"/>
    <w:rsid w:val="00637063"/>
    <w:rsid w:val="0063737C"/>
    <w:rsid w:val="00637BDC"/>
    <w:rsid w:val="00640363"/>
    <w:rsid w:val="00640622"/>
    <w:rsid w:val="006418C9"/>
    <w:rsid w:val="00642BD6"/>
    <w:rsid w:val="006439E0"/>
    <w:rsid w:val="00643C8F"/>
    <w:rsid w:val="00645046"/>
    <w:rsid w:val="0064527A"/>
    <w:rsid w:val="006458FD"/>
    <w:rsid w:val="00645DE8"/>
    <w:rsid w:val="00645EA2"/>
    <w:rsid w:val="006468F4"/>
    <w:rsid w:val="00650BB1"/>
    <w:rsid w:val="00651E6D"/>
    <w:rsid w:val="0065237D"/>
    <w:rsid w:val="00652943"/>
    <w:rsid w:val="006537A7"/>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AD4"/>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32D"/>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A17"/>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F1F"/>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17A"/>
    <w:rsid w:val="0076100C"/>
    <w:rsid w:val="007612A5"/>
    <w:rsid w:val="00763CAE"/>
    <w:rsid w:val="00763F95"/>
    <w:rsid w:val="007651ED"/>
    <w:rsid w:val="00765D55"/>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311"/>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1FB"/>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2C0"/>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8D5"/>
    <w:rsid w:val="008039E8"/>
    <w:rsid w:val="00804385"/>
    <w:rsid w:val="00804E0E"/>
    <w:rsid w:val="008051EB"/>
    <w:rsid w:val="0080588E"/>
    <w:rsid w:val="00805AFD"/>
    <w:rsid w:val="00806397"/>
    <w:rsid w:val="008078D8"/>
    <w:rsid w:val="0080798E"/>
    <w:rsid w:val="00811BD9"/>
    <w:rsid w:val="00811D5B"/>
    <w:rsid w:val="00813C51"/>
    <w:rsid w:val="00814E83"/>
    <w:rsid w:val="00816CCB"/>
    <w:rsid w:val="00817572"/>
    <w:rsid w:val="00817713"/>
    <w:rsid w:val="008208C3"/>
    <w:rsid w:val="008220F1"/>
    <w:rsid w:val="008228D4"/>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6FD"/>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34E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13D"/>
    <w:rsid w:val="00891BBA"/>
    <w:rsid w:val="00892079"/>
    <w:rsid w:val="00892B90"/>
    <w:rsid w:val="0089409F"/>
    <w:rsid w:val="00896535"/>
    <w:rsid w:val="00896683"/>
    <w:rsid w:val="00896E71"/>
    <w:rsid w:val="0089750B"/>
    <w:rsid w:val="00897589"/>
    <w:rsid w:val="008A0813"/>
    <w:rsid w:val="008A0C99"/>
    <w:rsid w:val="008A0D4F"/>
    <w:rsid w:val="008A1CC3"/>
    <w:rsid w:val="008A39D7"/>
    <w:rsid w:val="008A55DE"/>
    <w:rsid w:val="008A5705"/>
    <w:rsid w:val="008A5C34"/>
    <w:rsid w:val="008A63A9"/>
    <w:rsid w:val="008A7073"/>
    <w:rsid w:val="008A79F0"/>
    <w:rsid w:val="008A7F7E"/>
    <w:rsid w:val="008B0109"/>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474A"/>
    <w:rsid w:val="009368F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17B"/>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4D9"/>
    <w:rsid w:val="00984EBF"/>
    <w:rsid w:val="00985099"/>
    <w:rsid w:val="00985D32"/>
    <w:rsid w:val="00986514"/>
    <w:rsid w:val="00986FCC"/>
    <w:rsid w:val="00990FD6"/>
    <w:rsid w:val="00991120"/>
    <w:rsid w:val="009935C3"/>
    <w:rsid w:val="0099421F"/>
    <w:rsid w:val="00994FC8"/>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48C0"/>
    <w:rsid w:val="009D5DE9"/>
    <w:rsid w:val="009E09D0"/>
    <w:rsid w:val="009E1181"/>
    <w:rsid w:val="009E1283"/>
    <w:rsid w:val="009E3A7F"/>
    <w:rsid w:val="009E3E47"/>
    <w:rsid w:val="009E4C9B"/>
    <w:rsid w:val="009E4DFC"/>
    <w:rsid w:val="009E5789"/>
    <w:rsid w:val="009E57B1"/>
    <w:rsid w:val="009E6379"/>
    <w:rsid w:val="009F020F"/>
    <w:rsid w:val="009F3B63"/>
    <w:rsid w:val="009F43E2"/>
    <w:rsid w:val="009F5B87"/>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E6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44D"/>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67EC1"/>
    <w:rsid w:val="00A70E7B"/>
    <w:rsid w:val="00A717EA"/>
    <w:rsid w:val="00A730B0"/>
    <w:rsid w:val="00A73B84"/>
    <w:rsid w:val="00A73DB1"/>
    <w:rsid w:val="00A7411D"/>
    <w:rsid w:val="00A756C4"/>
    <w:rsid w:val="00A7592B"/>
    <w:rsid w:val="00A75ED7"/>
    <w:rsid w:val="00A76094"/>
    <w:rsid w:val="00A768E2"/>
    <w:rsid w:val="00A82344"/>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4F9"/>
    <w:rsid w:val="00AA6D9F"/>
    <w:rsid w:val="00AA73AF"/>
    <w:rsid w:val="00AB062D"/>
    <w:rsid w:val="00AB0A8A"/>
    <w:rsid w:val="00AB1754"/>
    <w:rsid w:val="00AB1F8D"/>
    <w:rsid w:val="00AB27DD"/>
    <w:rsid w:val="00AB4BA4"/>
    <w:rsid w:val="00AB4FC6"/>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D0C"/>
    <w:rsid w:val="00B3575C"/>
    <w:rsid w:val="00B36569"/>
    <w:rsid w:val="00B37345"/>
    <w:rsid w:val="00B37F53"/>
    <w:rsid w:val="00B37FBA"/>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4F1"/>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0B9"/>
    <w:rsid w:val="00C0359D"/>
    <w:rsid w:val="00C038EC"/>
    <w:rsid w:val="00C03C21"/>
    <w:rsid w:val="00C05C6D"/>
    <w:rsid w:val="00C06DC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EC7"/>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782"/>
    <w:rsid w:val="00CD5653"/>
    <w:rsid w:val="00CD5E6D"/>
    <w:rsid w:val="00CD63C8"/>
    <w:rsid w:val="00CD76F8"/>
    <w:rsid w:val="00CD78A5"/>
    <w:rsid w:val="00CE02E8"/>
    <w:rsid w:val="00CE069E"/>
    <w:rsid w:val="00CE0BF3"/>
    <w:rsid w:val="00CE0DE0"/>
    <w:rsid w:val="00CE269A"/>
    <w:rsid w:val="00CE2CC2"/>
    <w:rsid w:val="00CE3722"/>
    <w:rsid w:val="00CE3CE6"/>
    <w:rsid w:val="00CF14BC"/>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4F15"/>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4DF2"/>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D7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303"/>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A51"/>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4FB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367"/>
    <w:rsid w:val="00E1308B"/>
    <w:rsid w:val="00E13A08"/>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80E"/>
    <w:rsid w:val="00E75ACE"/>
    <w:rsid w:val="00E771AF"/>
    <w:rsid w:val="00E80386"/>
    <w:rsid w:val="00E809C3"/>
    <w:rsid w:val="00E814D4"/>
    <w:rsid w:val="00E81A1A"/>
    <w:rsid w:val="00E81C3E"/>
    <w:rsid w:val="00E82359"/>
    <w:rsid w:val="00E82B6D"/>
    <w:rsid w:val="00E83187"/>
    <w:rsid w:val="00E831E9"/>
    <w:rsid w:val="00E84DDA"/>
    <w:rsid w:val="00E8608F"/>
    <w:rsid w:val="00E86B31"/>
    <w:rsid w:val="00E86C1D"/>
    <w:rsid w:val="00E90703"/>
    <w:rsid w:val="00E90A62"/>
    <w:rsid w:val="00E9265E"/>
    <w:rsid w:val="00E93F99"/>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DFD"/>
    <w:rsid w:val="00F26432"/>
    <w:rsid w:val="00F308CA"/>
    <w:rsid w:val="00F3197A"/>
    <w:rsid w:val="00F32139"/>
    <w:rsid w:val="00F33CF0"/>
    <w:rsid w:val="00F33D56"/>
    <w:rsid w:val="00F34E08"/>
    <w:rsid w:val="00F366DE"/>
    <w:rsid w:val="00F41ABC"/>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4BB4"/>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B17"/>
    <w:rsid w:val="00FC7DBC"/>
    <w:rsid w:val="00FD076A"/>
    <w:rsid w:val="00FD0AA0"/>
    <w:rsid w:val="00FD1D5A"/>
    <w:rsid w:val="00FD2E73"/>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dcterms:created xsi:type="dcterms:W3CDTF">2012-03-21T18:44:00Z</dcterms:created>
  <dcterms:modified xsi:type="dcterms:W3CDTF">2012-04-09T17:08:00Z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