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C71DB" w:rsidRDefault="00540BEF" w:rsidP="00BF0E94">
      <w:pPr>
        <w:tabs>
          <w:tab w:val="left" w:pos="288"/>
          <w:tab w:val="left" w:pos="4752"/>
        </w:tabs>
        <w:rPr>
          <w:color w:val="auto"/>
        </w:rPr>
      </w:pPr>
      <w:r w:rsidRPr="00EC71DB">
        <w:rPr>
          <w:color w:val="auto"/>
        </w:rPr>
        <w:t>RECORD OF PROCEEDINGS</w:t>
      </w:r>
    </w:p>
    <w:p w:rsidR="00540BEF" w:rsidRPr="00EC71DB" w:rsidRDefault="00540BEF" w:rsidP="00BF0E94">
      <w:pPr>
        <w:tabs>
          <w:tab w:val="left" w:pos="288"/>
          <w:tab w:val="left" w:pos="4752"/>
        </w:tabs>
        <w:rPr>
          <w:color w:val="auto"/>
        </w:rPr>
      </w:pPr>
      <w:r w:rsidRPr="00EC71DB">
        <w:rPr>
          <w:color w:val="auto"/>
        </w:rPr>
        <w:t>PHYSICAL DISABILITY BOARD OF REVIEW</w:t>
      </w:r>
    </w:p>
    <w:p w:rsidR="00540BEF" w:rsidRPr="00EC71DB" w:rsidRDefault="00540BEF" w:rsidP="00BF0E94">
      <w:pPr>
        <w:tabs>
          <w:tab w:val="left" w:pos="288"/>
          <w:tab w:val="left" w:pos="4752"/>
        </w:tabs>
        <w:jc w:val="both"/>
        <w:rPr>
          <w:caps/>
          <w:color w:val="auto"/>
        </w:rPr>
      </w:pPr>
    </w:p>
    <w:p w:rsidR="00E0346A" w:rsidRPr="00EC71DB" w:rsidRDefault="00F629C0" w:rsidP="003C53E8">
      <w:pPr>
        <w:tabs>
          <w:tab w:val="left" w:pos="288"/>
          <w:tab w:val="left" w:pos="4752"/>
          <w:tab w:val="left" w:pos="6390"/>
          <w:tab w:val="left" w:pos="9270"/>
        </w:tabs>
        <w:jc w:val="both"/>
        <w:rPr>
          <w:caps/>
          <w:color w:val="auto"/>
        </w:rPr>
      </w:pPr>
      <w:r w:rsidRPr="00EC71DB">
        <w:rPr>
          <w:caps/>
          <w:color w:val="auto"/>
        </w:rPr>
        <w:t xml:space="preserve">NAME:  </w:t>
      </w:r>
      <w:r w:rsidR="004477EA">
        <w:rPr>
          <w:caps/>
          <w:color w:val="auto"/>
        </w:rPr>
        <w:t>XXXXXXXXXXXXX</w:t>
      </w:r>
      <w:r w:rsidR="004216DA" w:rsidRPr="00EC71DB">
        <w:rPr>
          <w:caps/>
          <w:color w:val="auto"/>
        </w:rPr>
        <w:t xml:space="preserve">         </w:t>
      </w:r>
      <w:r w:rsidR="00332DE3" w:rsidRPr="00EC71DB">
        <w:rPr>
          <w:caps/>
          <w:color w:val="auto"/>
        </w:rPr>
        <w:t xml:space="preserve"> </w:t>
      </w:r>
      <w:r w:rsidR="004216DA" w:rsidRPr="00EC71DB">
        <w:rPr>
          <w:caps/>
          <w:color w:val="auto"/>
        </w:rPr>
        <w:t xml:space="preserve">  </w:t>
      </w:r>
      <w:r w:rsidR="00416939" w:rsidRPr="00EC71DB">
        <w:rPr>
          <w:caps/>
          <w:color w:val="auto"/>
        </w:rPr>
        <w:tab/>
        <w:t xml:space="preserve">           </w:t>
      </w:r>
      <w:r w:rsidR="001F7261" w:rsidRPr="00EC71DB">
        <w:rPr>
          <w:caps/>
          <w:color w:val="auto"/>
        </w:rPr>
        <w:t xml:space="preserve">              </w:t>
      </w:r>
      <w:r w:rsidRPr="00EC71DB">
        <w:rPr>
          <w:caps/>
          <w:color w:val="auto"/>
        </w:rPr>
        <w:t xml:space="preserve">BRANCH OF SERVICE: </w:t>
      </w:r>
      <w:r w:rsidR="004C24C5" w:rsidRPr="00EC71DB">
        <w:rPr>
          <w:caps/>
          <w:color w:val="auto"/>
        </w:rPr>
        <w:t xml:space="preserve"> </w:t>
      </w:r>
      <w:r w:rsidR="00416939" w:rsidRPr="00EC71DB">
        <w:rPr>
          <w:caps/>
          <w:color w:val="auto"/>
        </w:rPr>
        <w:t>AIR FORCE</w:t>
      </w:r>
    </w:p>
    <w:p w:rsidR="00DE3AAD" w:rsidRPr="00EC71DB" w:rsidRDefault="00012733" w:rsidP="0068098E">
      <w:pPr>
        <w:tabs>
          <w:tab w:val="left" w:pos="288"/>
          <w:tab w:val="left" w:pos="4166"/>
          <w:tab w:val="left" w:pos="4752"/>
          <w:tab w:val="left" w:pos="5130"/>
          <w:tab w:val="left" w:pos="9270"/>
        </w:tabs>
        <w:jc w:val="both"/>
        <w:rPr>
          <w:caps/>
          <w:color w:val="auto"/>
        </w:rPr>
      </w:pPr>
      <w:r w:rsidRPr="00EC71DB">
        <w:rPr>
          <w:caps/>
          <w:color w:val="auto"/>
        </w:rPr>
        <w:t>C</w:t>
      </w:r>
      <w:r w:rsidR="00DE3AAD" w:rsidRPr="00EC71DB">
        <w:rPr>
          <w:caps/>
          <w:color w:val="auto"/>
        </w:rPr>
        <w:t>ASE NUMBER:  PD</w:t>
      </w:r>
      <w:r w:rsidR="008F58E1" w:rsidRPr="00EC71DB">
        <w:rPr>
          <w:caps/>
          <w:color w:val="auto"/>
        </w:rPr>
        <w:t>11</w:t>
      </w:r>
      <w:r w:rsidR="00416939" w:rsidRPr="00EC71DB">
        <w:rPr>
          <w:caps/>
          <w:color w:val="auto"/>
        </w:rPr>
        <w:t>00547</w:t>
      </w:r>
      <w:r w:rsidR="00DE3AAD" w:rsidRPr="00EC71DB">
        <w:rPr>
          <w:color w:val="auto"/>
        </w:rPr>
        <w:t xml:space="preserve"> </w:t>
      </w:r>
      <w:r w:rsidR="00DE3AAD" w:rsidRPr="00EC71DB">
        <w:rPr>
          <w:color w:val="auto"/>
        </w:rPr>
        <w:tab/>
      </w:r>
      <w:r w:rsidR="0068098E" w:rsidRPr="00EC71DB">
        <w:rPr>
          <w:color w:val="auto"/>
        </w:rPr>
        <w:tab/>
      </w:r>
      <w:r w:rsidR="00416939" w:rsidRPr="00EC71DB">
        <w:rPr>
          <w:color w:val="auto"/>
        </w:rPr>
        <w:t xml:space="preserve">  </w:t>
      </w:r>
      <w:r w:rsidR="00E0346A" w:rsidRPr="00EC71DB">
        <w:rPr>
          <w:color w:val="auto"/>
        </w:rPr>
        <w:t xml:space="preserve">         </w:t>
      </w:r>
      <w:r w:rsidR="001F7261" w:rsidRPr="00EC71DB">
        <w:rPr>
          <w:color w:val="auto"/>
        </w:rPr>
        <w:t xml:space="preserve">             </w:t>
      </w:r>
      <w:r w:rsidR="00EB32ED" w:rsidRPr="00EC71DB">
        <w:rPr>
          <w:color w:val="auto"/>
        </w:rPr>
        <w:t xml:space="preserve"> </w:t>
      </w:r>
      <w:r w:rsidR="00DE3AAD" w:rsidRPr="00EC71DB">
        <w:rPr>
          <w:color w:val="auto"/>
        </w:rPr>
        <w:t>SEPARATION DATE:  200</w:t>
      </w:r>
      <w:r w:rsidR="00416939" w:rsidRPr="00EC71DB">
        <w:rPr>
          <w:color w:val="auto"/>
        </w:rPr>
        <w:t>80825</w:t>
      </w:r>
    </w:p>
    <w:p w:rsidR="003B2143" w:rsidRPr="00EC71DB" w:rsidRDefault="004F3639" w:rsidP="00BF0E94">
      <w:pPr>
        <w:tabs>
          <w:tab w:val="left" w:pos="288"/>
          <w:tab w:val="left" w:pos="5130"/>
        </w:tabs>
        <w:jc w:val="both"/>
        <w:rPr>
          <w:color w:val="auto"/>
        </w:rPr>
      </w:pPr>
      <w:r w:rsidRPr="00EC71DB">
        <w:rPr>
          <w:caps/>
          <w:color w:val="auto"/>
        </w:rPr>
        <w:t>BOARD DATE:  201</w:t>
      </w:r>
      <w:r w:rsidR="00CF45CF" w:rsidRPr="00EC71DB">
        <w:rPr>
          <w:caps/>
          <w:color w:val="auto"/>
        </w:rPr>
        <w:t>2</w:t>
      </w:r>
      <w:r w:rsidR="00A648B0" w:rsidRPr="00EC71DB">
        <w:rPr>
          <w:caps/>
          <w:color w:val="auto"/>
        </w:rPr>
        <w:t>0509</w:t>
      </w:r>
      <w:r w:rsidR="00CF45CF" w:rsidRPr="00EC71DB">
        <w:rPr>
          <w:caps/>
          <w:color w:val="auto"/>
        </w:rPr>
        <w:t xml:space="preserve"> </w:t>
      </w:r>
      <w:r w:rsidR="00FE4948" w:rsidRPr="00EC71DB">
        <w:rPr>
          <w:caps/>
          <w:color w:val="auto"/>
        </w:rPr>
        <w:t xml:space="preserve"> </w:t>
      </w:r>
    </w:p>
    <w:p w:rsidR="00CF45CF" w:rsidRPr="00EC71DB" w:rsidRDefault="00CF45CF" w:rsidP="00CF45CF">
      <w:pPr>
        <w:pBdr>
          <w:bottom w:val="single" w:sz="12" w:space="1" w:color="auto"/>
        </w:pBdr>
        <w:tabs>
          <w:tab w:val="left" w:pos="288"/>
          <w:tab w:val="left" w:pos="4752"/>
        </w:tabs>
        <w:jc w:val="both"/>
        <w:rPr>
          <w:color w:val="auto"/>
        </w:rPr>
      </w:pPr>
    </w:p>
    <w:p w:rsidR="00CF45CF" w:rsidRPr="00EC71DB" w:rsidRDefault="00CF45CF" w:rsidP="00CF45CF">
      <w:pPr>
        <w:tabs>
          <w:tab w:val="left" w:pos="288"/>
          <w:tab w:val="left" w:pos="4752"/>
        </w:tabs>
        <w:jc w:val="both"/>
        <w:rPr>
          <w:color w:val="auto"/>
        </w:rPr>
      </w:pPr>
    </w:p>
    <w:p w:rsidR="00540601" w:rsidRPr="00EC71DB" w:rsidRDefault="00FB0E80" w:rsidP="00540601">
      <w:pPr>
        <w:tabs>
          <w:tab w:val="left" w:pos="288"/>
          <w:tab w:val="left" w:pos="4752"/>
        </w:tabs>
        <w:jc w:val="both"/>
        <w:rPr>
          <w:color w:val="auto"/>
          <w:szCs w:val="24"/>
        </w:rPr>
      </w:pPr>
      <w:r w:rsidRPr="00EC71DB">
        <w:rPr>
          <w:color w:val="auto"/>
          <w:u w:val="single"/>
        </w:rPr>
        <w:t>SUMMARY OF CASE</w:t>
      </w:r>
      <w:r w:rsidRPr="00EC71DB">
        <w:rPr>
          <w:color w:val="auto"/>
        </w:rPr>
        <w:t xml:space="preserve">:  </w:t>
      </w:r>
      <w:r w:rsidR="009759C2" w:rsidRPr="00EC71DB">
        <w:rPr>
          <w:color w:val="auto"/>
        </w:rPr>
        <w:t>Data extracted from the available evidence of record reflects that this covered individual (CI)</w:t>
      </w:r>
      <w:r w:rsidR="00570754" w:rsidRPr="00EC71DB">
        <w:rPr>
          <w:color w:val="auto"/>
        </w:rPr>
        <w:t xml:space="preserve"> </w:t>
      </w:r>
      <w:r w:rsidR="002C6E5B" w:rsidRPr="00EC71DB">
        <w:rPr>
          <w:color w:val="auto"/>
          <w:szCs w:val="24"/>
        </w:rPr>
        <w:t xml:space="preserve">was </w:t>
      </w:r>
      <w:r w:rsidR="00E322F7" w:rsidRPr="00EC71DB">
        <w:rPr>
          <w:color w:val="auto"/>
          <w:szCs w:val="24"/>
        </w:rPr>
        <w:t>an active duty</w:t>
      </w:r>
      <w:r w:rsidR="006D4E0E" w:rsidRPr="00EC71DB">
        <w:rPr>
          <w:color w:val="auto"/>
          <w:szCs w:val="24"/>
        </w:rPr>
        <w:t xml:space="preserve"> </w:t>
      </w:r>
      <w:r w:rsidR="009B15B0" w:rsidRPr="00EC71DB">
        <w:rPr>
          <w:color w:val="auto"/>
          <w:szCs w:val="24"/>
        </w:rPr>
        <w:t>A1C</w:t>
      </w:r>
      <w:r w:rsidR="00661BA2" w:rsidRPr="00EC71DB">
        <w:rPr>
          <w:color w:val="auto"/>
          <w:szCs w:val="24"/>
        </w:rPr>
        <w:t>/E-</w:t>
      </w:r>
      <w:r w:rsidR="009B15B0" w:rsidRPr="00EC71DB">
        <w:rPr>
          <w:color w:val="auto"/>
          <w:szCs w:val="24"/>
        </w:rPr>
        <w:t>3</w:t>
      </w:r>
      <w:r w:rsidR="00705C40" w:rsidRPr="00EC71DB">
        <w:rPr>
          <w:color w:val="auto"/>
          <w:szCs w:val="24"/>
        </w:rPr>
        <w:t xml:space="preserve"> (</w:t>
      </w:r>
      <w:r w:rsidR="009B15B0" w:rsidRPr="00EC71DB">
        <w:rPr>
          <w:color w:val="auto"/>
          <w:szCs w:val="24"/>
        </w:rPr>
        <w:t>2A33B</w:t>
      </w:r>
      <w:r w:rsidR="00901EE7">
        <w:rPr>
          <w:color w:val="auto"/>
          <w:szCs w:val="24"/>
        </w:rPr>
        <w:t>/</w:t>
      </w:r>
      <w:r w:rsidR="009B15B0" w:rsidRPr="00EC71DB">
        <w:rPr>
          <w:color w:val="auto"/>
          <w:szCs w:val="24"/>
        </w:rPr>
        <w:t>Tactical Aircraft Maint</w:t>
      </w:r>
      <w:r w:rsidR="001E377F" w:rsidRPr="00EC71DB">
        <w:rPr>
          <w:color w:val="auto"/>
          <w:szCs w:val="24"/>
        </w:rPr>
        <w:t>enance</w:t>
      </w:r>
      <w:r w:rsidR="009B15B0" w:rsidRPr="00EC71DB">
        <w:rPr>
          <w:color w:val="auto"/>
          <w:szCs w:val="24"/>
        </w:rPr>
        <w:t xml:space="preserve"> Apprentice</w:t>
      </w:r>
      <w:r w:rsidR="00E322F7" w:rsidRPr="00EC71DB">
        <w:rPr>
          <w:color w:val="auto"/>
          <w:szCs w:val="24"/>
        </w:rPr>
        <w:t>)</w:t>
      </w:r>
      <w:r w:rsidR="00C75F3D" w:rsidRPr="00EC71DB">
        <w:rPr>
          <w:color w:val="auto"/>
          <w:szCs w:val="24"/>
        </w:rPr>
        <w:t xml:space="preserve">, </w:t>
      </w:r>
      <w:r w:rsidR="002C6E5B" w:rsidRPr="00EC71DB">
        <w:rPr>
          <w:color w:val="auto"/>
          <w:szCs w:val="24"/>
        </w:rPr>
        <w:t xml:space="preserve">medically separated for </w:t>
      </w:r>
      <w:r w:rsidR="00CF2B20" w:rsidRPr="00EC71DB">
        <w:rPr>
          <w:color w:val="auto"/>
          <w:szCs w:val="24"/>
        </w:rPr>
        <w:t>chronic thoracic back pain.</w:t>
      </w:r>
      <w:r w:rsidR="003E78AB" w:rsidRPr="00EC71DB">
        <w:rPr>
          <w:color w:val="auto"/>
          <w:szCs w:val="24"/>
        </w:rPr>
        <w:t xml:space="preserve">  She was injured in Iraq in May 2007 when she was struck with the metal arm of a FOD Boss that pulled her legs from under her</w:t>
      </w:r>
      <w:r w:rsidR="00481A43" w:rsidRPr="00EC71DB">
        <w:rPr>
          <w:color w:val="auto"/>
          <w:szCs w:val="24"/>
        </w:rPr>
        <w:t>.  S</w:t>
      </w:r>
      <w:r w:rsidR="003E78AB" w:rsidRPr="00EC71DB">
        <w:rPr>
          <w:color w:val="auto"/>
          <w:szCs w:val="24"/>
        </w:rPr>
        <w:t>he landed on her back</w:t>
      </w:r>
      <w:r w:rsidR="00481A43" w:rsidRPr="00EC71DB">
        <w:rPr>
          <w:color w:val="auto"/>
          <w:szCs w:val="24"/>
        </w:rPr>
        <w:t xml:space="preserve"> and suffered back pain since that time</w:t>
      </w:r>
      <w:r w:rsidR="003E78AB" w:rsidRPr="00EC71DB">
        <w:rPr>
          <w:color w:val="auto"/>
          <w:szCs w:val="24"/>
        </w:rPr>
        <w:t xml:space="preserve">.   </w:t>
      </w:r>
      <w:r w:rsidR="00481A43" w:rsidRPr="00EC71DB">
        <w:rPr>
          <w:color w:val="auto"/>
          <w:szCs w:val="24"/>
        </w:rPr>
        <w:t>She achieved a good level of pain control with conservative management</w:t>
      </w:r>
      <w:r w:rsidR="00540601" w:rsidRPr="00EC71DB">
        <w:rPr>
          <w:color w:val="auto"/>
          <w:szCs w:val="24"/>
        </w:rPr>
        <w:t xml:space="preserve">, but her job required her to perform functions that would exacerbate her pain.  </w:t>
      </w:r>
      <w:r w:rsidR="00C0165A" w:rsidRPr="00EC71DB">
        <w:rPr>
          <w:color w:val="auto"/>
          <w:szCs w:val="24"/>
        </w:rPr>
        <w:t>H</w:t>
      </w:r>
      <w:r w:rsidR="00540601" w:rsidRPr="00EC71DB">
        <w:rPr>
          <w:color w:val="auto"/>
          <w:szCs w:val="24"/>
        </w:rPr>
        <w:t xml:space="preserve">er medical condition did not allow her to perform all primary military duties </w:t>
      </w:r>
      <w:r w:rsidR="00901EE7">
        <w:rPr>
          <w:color w:val="auto"/>
          <w:szCs w:val="24"/>
        </w:rPr>
        <w:t>of her Air Force Specialty (AFS)</w:t>
      </w:r>
      <w:r w:rsidR="007976BE" w:rsidRPr="00EC71DB">
        <w:rPr>
          <w:color w:val="auto"/>
          <w:szCs w:val="24"/>
        </w:rPr>
        <w:t xml:space="preserve"> </w:t>
      </w:r>
      <w:r w:rsidR="00540601" w:rsidRPr="00EC71DB">
        <w:rPr>
          <w:color w:val="auto"/>
          <w:szCs w:val="24"/>
        </w:rPr>
        <w:t>without restrictions, limitations or work-a-round; therefore, she underwent a Medical Evaluation Board (MEB).  “Mid back pain” was forwarded to the Physical Evaluation Board (PEB) as medically unacceptable IAW AFI 48-123.  No other conditions appeared on the MEB’s submission</w:t>
      </w:r>
      <w:r w:rsidR="004F6DB6" w:rsidRPr="00EC71DB">
        <w:rPr>
          <w:color w:val="auto"/>
          <w:szCs w:val="24"/>
        </w:rPr>
        <w:t>.</w:t>
      </w:r>
      <w:r w:rsidR="00540601" w:rsidRPr="00EC71DB">
        <w:rPr>
          <w:color w:val="auto"/>
          <w:szCs w:val="24"/>
        </w:rPr>
        <w:t xml:space="preserve"> </w:t>
      </w:r>
      <w:r w:rsidR="00EB32ED" w:rsidRPr="00EC71DB">
        <w:rPr>
          <w:color w:val="auto"/>
          <w:szCs w:val="24"/>
        </w:rPr>
        <w:t xml:space="preserve"> </w:t>
      </w:r>
      <w:r w:rsidR="00540601" w:rsidRPr="00EC71DB">
        <w:rPr>
          <w:color w:val="auto"/>
          <w:szCs w:val="24"/>
        </w:rPr>
        <w:t xml:space="preserve">The PEB adjudicated the thoracic back pain condition as unfitting, rated 10% with application of the Veterans Administration Schedule </w:t>
      </w:r>
      <w:r w:rsidR="00EB32ED" w:rsidRPr="00EC71DB">
        <w:rPr>
          <w:color w:val="auto"/>
          <w:szCs w:val="24"/>
        </w:rPr>
        <w:t>for Rating Disabilities (VASRD)</w:t>
      </w:r>
      <w:r w:rsidR="00540601" w:rsidRPr="00EC71DB">
        <w:rPr>
          <w:color w:val="auto"/>
          <w:szCs w:val="24"/>
        </w:rPr>
        <w:t>.  The CI initially appealed to Formal Physical Evaluation Board (FPEB), but subsequently withdrew her appeal, and was then medically separated with a 10% disability rating.</w:t>
      </w:r>
      <w:r w:rsidR="00CF45CF" w:rsidRPr="00EC71DB">
        <w:rPr>
          <w:color w:val="auto"/>
          <w:szCs w:val="24"/>
        </w:rPr>
        <w:t xml:space="preserve">  </w:t>
      </w:r>
    </w:p>
    <w:p w:rsidR="004174F0" w:rsidRPr="00EC71DB" w:rsidRDefault="004174F0" w:rsidP="00BF0E94">
      <w:pPr>
        <w:pBdr>
          <w:bottom w:val="single" w:sz="12" w:space="1" w:color="auto"/>
        </w:pBdr>
        <w:tabs>
          <w:tab w:val="left" w:pos="288"/>
          <w:tab w:val="left" w:pos="4752"/>
        </w:tabs>
        <w:jc w:val="both"/>
        <w:rPr>
          <w:color w:val="auto"/>
        </w:rPr>
      </w:pPr>
    </w:p>
    <w:p w:rsidR="004174F0" w:rsidRPr="00EC71DB" w:rsidRDefault="004174F0" w:rsidP="00BF0E94">
      <w:pPr>
        <w:tabs>
          <w:tab w:val="left" w:pos="288"/>
          <w:tab w:val="left" w:pos="4752"/>
        </w:tabs>
        <w:jc w:val="both"/>
        <w:rPr>
          <w:color w:val="auto"/>
        </w:rPr>
      </w:pPr>
    </w:p>
    <w:p w:rsidR="00ED5284" w:rsidRPr="00EC71DB" w:rsidRDefault="002C6E5B" w:rsidP="00BF0E94">
      <w:pPr>
        <w:tabs>
          <w:tab w:val="left" w:pos="288"/>
          <w:tab w:val="left" w:pos="4752"/>
        </w:tabs>
        <w:jc w:val="both"/>
        <w:rPr>
          <w:rFonts w:eastAsiaTheme="minorHAnsi"/>
          <w:color w:val="auto"/>
          <w:szCs w:val="24"/>
        </w:rPr>
      </w:pPr>
      <w:r w:rsidRPr="00EC71DB">
        <w:rPr>
          <w:color w:val="auto"/>
          <w:u w:val="single"/>
        </w:rPr>
        <w:t>CI CONTENTION</w:t>
      </w:r>
      <w:r w:rsidRPr="00EC71DB">
        <w:rPr>
          <w:color w:val="auto"/>
        </w:rPr>
        <w:t>:</w:t>
      </w:r>
      <w:r w:rsidR="00CF2B20" w:rsidRPr="00EC71DB">
        <w:rPr>
          <w:color w:val="auto"/>
        </w:rPr>
        <w:t xml:space="preserve">  “Member was medically discharged for injuries sustained while deployed to </w:t>
      </w:r>
      <w:proofErr w:type="spellStart"/>
      <w:r w:rsidR="00CF2B20" w:rsidRPr="00EC71DB">
        <w:rPr>
          <w:color w:val="auto"/>
        </w:rPr>
        <w:t>Balad</w:t>
      </w:r>
      <w:proofErr w:type="spellEnd"/>
      <w:r w:rsidR="00CF2B20" w:rsidRPr="00EC71DB">
        <w:rPr>
          <w:color w:val="auto"/>
        </w:rPr>
        <w:t xml:space="preserve"> AB, Iraq. </w:t>
      </w:r>
      <w:r w:rsidR="00CF45CF" w:rsidRPr="00EC71DB">
        <w:rPr>
          <w:color w:val="auto"/>
        </w:rPr>
        <w:t xml:space="preserve"> </w:t>
      </w:r>
      <w:r w:rsidR="00CF2B20" w:rsidRPr="00EC71DB">
        <w:rPr>
          <w:color w:val="auto"/>
        </w:rPr>
        <w:t>She was hit by a military operated vehicle.  MRI showed rotation of T9 and T10 vertebrae rendering her unable to lift over 15lbs</w:t>
      </w:r>
      <w:r w:rsidR="00CF45CF" w:rsidRPr="00EC71DB">
        <w:rPr>
          <w:color w:val="auto"/>
        </w:rPr>
        <w:t xml:space="preserve">. </w:t>
      </w:r>
      <w:r w:rsidR="00CF2B20" w:rsidRPr="00EC71DB">
        <w:rPr>
          <w:color w:val="auto"/>
        </w:rPr>
        <w:t xml:space="preserve"> Air Force deemed her unfit for combat and she medically separated at </w:t>
      </w:r>
      <w:proofErr w:type="spellStart"/>
      <w:r w:rsidR="00CF2B20" w:rsidRPr="00EC71DB">
        <w:rPr>
          <w:color w:val="auto"/>
        </w:rPr>
        <w:t>Macdill</w:t>
      </w:r>
      <w:proofErr w:type="spellEnd"/>
      <w:r w:rsidR="00CF2B20" w:rsidRPr="00EC71DB">
        <w:rPr>
          <w:color w:val="auto"/>
        </w:rPr>
        <w:t xml:space="preserve"> (sic) AFB in Tampa, FL. </w:t>
      </w:r>
      <w:r w:rsidR="00CF45CF" w:rsidRPr="00EC71DB">
        <w:rPr>
          <w:color w:val="auto"/>
        </w:rPr>
        <w:t xml:space="preserve"> </w:t>
      </w:r>
      <w:r w:rsidR="00CF2B20" w:rsidRPr="00EC71DB">
        <w:rPr>
          <w:color w:val="auto"/>
        </w:rPr>
        <w:t>Veteran has constant medical issues pertaining to injuries sustained.”</w:t>
      </w:r>
      <w:r w:rsidR="000707C1" w:rsidRPr="00EC71DB">
        <w:rPr>
          <w:color w:val="auto"/>
        </w:rPr>
        <w:t xml:space="preserve">  </w:t>
      </w:r>
      <w:r w:rsidR="00D54DDB" w:rsidRPr="00EC71DB">
        <w:rPr>
          <w:rFonts w:eastAsiaTheme="minorHAnsi"/>
          <w:color w:val="auto"/>
          <w:szCs w:val="24"/>
        </w:rPr>
        <w:t>She</w:t>
      </w:r>
      <w:r w:rsidR="00ED5284" w:rsidRPr="00EC71DB">
        <w:rPr>
          <w:rFonts w:eastAsiaTheme="minorHAnsi"/>
          <w:color w:val="auto"/>
          <w:szCs w:val="24"/>
        </w:rPr>
        <w:t xml:space="preserve"> elaborates no specific contentions regarding rating or coding and mentions no additionally contended conditions.</w:t>
      </w:r>
      <w:r w:rsidR="00CF45CF" w:rsidRPr="00EC71DB">
        <w:rPr>
          <w:rFonts w:eastAsiaTheme="minorHAnsi"/>
          <w:color w:val="auto"/>
          <w:szCs w:val="24"/>
        </w:rPr>
        <w:t xml:space="preserve">  </w:t>
      </w:r>
    </w:p>
    <w:p w:rsidR="00DB3C01" w:rsidRPr="00EC71DB" w:rsidRDefault="00DB3C01" w:rsidP="00DB3C01">
      <w:pPr>
        <w:pBdr>
          <w:bottom w:val="single" w:sz="12" w:space="1" w:color="auto"/>
        </w:pBdr>
        <w:tabs>
          <w:tab w:val="left" w:pos="288"/>
          <w:tab w:val="left" w:pos="4752"/>
        </w:tabs>
        <w:jc w:val="both"/>
        <w:rPr>
          <w:color w:val="auto"/>
        </w:rPr>
      </w:pPr>
    </w:p>
    <w:p w:rsidR="00DB3C01" w:rsidRPr="00EC71DB" w:rsidRDefault="00DB3C01" w:rsidP="00DB3C01">
      <w:pPr>
        <w:tabs>
          <w:tab w:val="left" w:pos="288"/>
          <w:tab w:val="left" w:pos="4752"/>
        </w:tabs>
        <w:jc w:val="both"/>
        <w:rPr>
          <w:color w:val="auto"/>
        </w:rPr>
      </w:pPr>
    </w:p>
    <w:p w:rsidR="00DB3C01" w:rsidRPr="00EC71DB" w:rsidRDefault="00DB3C01" w:rsidP="00DB3C01">
      <w:pPr>
        <w:jc w:val="both"/>
        <w:rPr>
          <w:color w:val="auto"/>
        </w:rPr>
      </w:pPr>
      <w:r w:rsidRPr="00EC71DB">
        <w:rPr>
          <w:color w:val="auto"/>
          <w:u w:val="single"/>
        </w:rPr>
        <w:t>SCOPE OF REVIEW</w:t>
      </w:r>
      <w:r w:rsidRPr="00EC71DB">
        <w:rPr>
          <w:color w:val="auto"/>
        </w:rPr>
        <w:t>: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  The conditions T9 and T10 (thoracic spine/thoracolumbar spine) as requested for consideration meets the criteria prescribed in DoDI 6040.44 for Board purview; and, is addressed below as a review of the service ratings for the unfitting condition.  The general statement of “injuries sustained” may allude to other conditions, but other injuries are not within the Board’s purview.  Any conditions or contention not requested in this application, or otherwise outside the Board’s defined scope of review, remain eligible for future consideration by the Air Force Board for the Correction of Military Records (</w:t>
      </w:r>
      <w:r w:rsidR="00FC4D5C">
        <w:rPr>
          <w:color w:val="auto"/>
        </w:rPr>
        <w:t>AF</w:t>
      </w:r>
      <w:r w:rsidRPr="00EC71DB">
        <w:rPr>
          <w:color w:val="auto"/>
        </w:rPr>
        <w:t xml:space="preserve">BCMR).  </w:t>
      </w:r>
    </w:p>
    <w:p w:rsidR="00DB3C01" w:rsidRPr="00EC71DB" w:rsidRDefault="00DB3C01" w:rsidP="00DB3C01">
      <w:pPr>
        <w:pBdr>
          <w:bottom w:val="single" w:sz="12" w:space="1" w:color="auto"/>
        </w:pBdr>
        <w:tabs>
          <w:tab w:val="left" w:pos="288"/>
          <w:tab w:val="left" w:pos="4752"/>
        </w:tabs>
        <w:jc w:val="both"/>
        <w:rPr>
          <w:color w:val="auto"/>
        </w:rPr>
      </w:pPr>
    </w:p>
    <w:p w:rsidR="00DB3C01" w:rsidRPr="00EC71DB" w:rsidRDefault="00DB3C01" w:rsidP="00DB3C01">
      <w:pPr>
        <w:tabs>
          <w:tab w:val="left" w:pos="288"/>
          <w:tab w:val="left" w:pos="4752"/>
        </w:tabs>
        <w:jc w:val="both"/>
        <w:rPr>
          <w:color w:val="auto"/>
        </w:rPr>
      </w:pPr>
    </w:p>
    <w:p w:rsidR="00DB3C01" w:rsidRPr="00EC71DB" w:rsidRDefault="00DB3C01">
      <w:pPr>
        <w:rPr>
          <w:color w:val="auto"/>
          <w:u w:val="single"/>
        </w:rPr>
      </w:pPr>
      <w:r w:rsidRPr="00EC71DB">
        <w:rPr>
          <w:color w:val="auto"/>
          <w:u w:val="single"/>
        </w:rPr>
        <w:br w:type="page"/>
      </w:r>
    </w:p>
    <w:p w:rsidR="001537D8" w:rsidRPr="00EC71DB" w:rsidRDefault="007F0AB7" w:rsidP="00BF0E94">
      <w:pPr>
        <w:jc w:val="left"/>
        <w:rPr>
          <w:color w:val="auto"/>
        </w:rPr>
      </w:pPr>
      <w:r w:rsidRPr="00EC71DB">
        <w:rPr>
          <w:color w:val="auto"/>
          <w:u w:val="single"/>
        </w:rPr>
        <w:lastRenderedPageBreak/>
        <w:t>R</w:t>
      </w:r>
      <w:r w:rsidR="002C6E5B" w:rsidRPr="00EC71DB">
        <w:rPr>
          <w:color w:val="auto"/>
          <w:u w:val="single"/>
        </w:rPr>
        <w:t>ATING COMPARISON</w:t>
      </w:r>
      <w:r w:rsidR="002C6E5B" w:rsidRPr="00EC71DB">
        <w:rPr>
          <w:color w:val="auto"/>
        </w:rPr>
        <w:t>:</w:t>
      </w:r>
      <w:r w:rsidR="004F6DB6" w:rsidRPr="00EC71DB">
        <w:rPr>
          <w:color w:val="auto"/>
        </w:rPr>
        <w:t xml:space="preserve">  </w:t>
      </w:r>
    </w:p>
    <w:p w:rsidR="002151AB" w:rsidRPr="00EC71DB" w:rsidRDefault="002151AB" w:rsidP="00FE7C22">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EC71DB"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EC71DB" w:rsidRDefault="00B731E4" w:rsidP="009B15B0">
            <w:pPr>
              <w:contextualSpacing/>
              <w:rPr>
                <w:rFonts w:ascii="Calibri" w:hAnsi="Calibri" w:cs="Calibri"/>
                <w:b/>
                <w:color w:val="auto"/>
                <w:sz w:val="18"/>
                <w:szCs w:val="18"/>
              </w:rPr>
            </w:pPr>
            <w:r w:rsidRPr="00EC71DB">
              <w:rPr>
                <w:rFonts w:ascii="Calibri" w:hAnsi="Calibri" w:cs="Calibri"/>
                <w:b/>
                <w:color w:val="auto"/>
                <w:sz w:val="18"/>
                <w:szCs w:val="18"/>
              </w:rPr>
              <w:t>Service PEB – Dated 200</w:t>
            </w:r>
            <w:r w:rsidR="009B15B0" w:rsidRPr="00EC71DB">
              <w:rPr>
                <w:rFonts w:ascii="Calibri" w:hAnsi="Calibri" w:cs="Calibri"/>
                <w:b/>
                <w:color w:val="auto"/>
                <w:sz w:val="18"/>
                <w:szCs w:val="18"/>
              </w:rPr>
              <w:t>80428</w:t>
            </w:r>
          </w:p>
        </w:tc>
        <w:tc>
          <w:tcPr>
            <w:tcW w:w="5220" w:type="dxa"/>
            <w:gridSpan w:val="4"/>
            <w:tcBorders>
              <w:left w:val="thinThickThinSmallGap" w:sz="24" w:space="0" w:color="auto"/>
            </w:tcBorders>
            <w:shd w:val="clear" w:color="auto" w:fill="D9D9D9" w:themeFill="background1" w:themeFillShade="D9"/>
            <w:vAlign w:val="center"/>
          </w:tcPr>
          <w:p w:rsidR="002B4E22" w:rsidRPr="00EC71DB" w:rsidRDefault="002B4E22" w:rsidP="000F04DC">
            <w:pPr>
              <w:contextualSpacing/>
              <w:rPr>
                <w:rFonts w:ascii="Calibri" w:hAnsi="Calibri" w:cs="Calibri"/>
                <w:b/>
                <w:color w:val="auto"/>
                <w:sz w:val="18"/>
                <w:szCs w:val="18"/>
              </w:rPr>
            </w:pPr>
            <w:r w:rsidRPr="00EC71DB">
              <w:rPr>
                <w:rFonts w:ascii="Calibri" w:hAnsi="Calibri" w:cs="Calibri"/>
                <w:b/>
                <w:color w:val="auto"/>
                <w:sz w:val="18"/>
                <w:szCs w:val="18"/>
              </w:rPr>
              <w:t>VA (</w:t>
            </w:r>
            <w:r w:rsidR="000F04DC" w:rsidRPr="00EC71DB">
              <w:rPr>
                <w:rFonts w:ascii="Calibri" w:hAnsi="Calibri" w:cs="Calibri"/>
                <w:b/>
                <w:color w:val="auto"/>
                <w:sz w:val="18"/>
                <w:szCs w:val="18"/>
              </w:rPr>
              <w:t>3</w:t>
            </w:r>
            <w:r w:rsidR="0079154B" w:rsidRPr="00EC71DB">
              <w:rPr>
                <w:rFonts w:ascii="Calibri" w:hAnsi="Calibri" w:cs="Calibri"/>
                <w:b/>
                <w:color w:val="auto"/>
                <w:sz w:val="18"/>
                <w:szCs w:val="18"/>
              </w:rPr>
              <w:t xml:space="preserve"> </w:t>
            </w:r>
            <w:r w:rsidRPr="00EC71DB">
              <w:rPr>
                <w:rFonts w:ascii="Calibri" w:hAnsi="Calibri" w:cs="Calibri"/>
                <w:b/>
                <w:color w:val="auto"/>
                <w:sz w:val="18"/>
                <w:szCs w:val="18"/>
              </w:rPr>
              <w:t>Mo</w:t>
            </w:r>
            <w:r w:rsidR="000F04DC" w:rsidRPr="00EC71DB">
              <w:rPr>
                <w:rFonts w:ascii="Calibri" w:hAnsi="Calibri" w:cs="Calibri"/>
                <w:b/>
                <w:color w:val="auto"/>
                <w:sz w:val="18"/>
                <w:szCs w:val="18"/>
              </w:rPr>
              <w:t>s</w:t>
            </w:r>
            <w:r w:rsidRPr="00EC71DB">
              <w:rPr>
                <w:rFonts w:ascii="Calibri" w:hAnsi="Calibri" w:cs="Calibri"/>
                <w:b/>
                <w:color w:val="auto"/>
                <w:sz w:val="18"/>
                <w:szCs w:val="18"/>
              </w:rPr>
              <w:t xml:space="preserve">. After Separation) – All Effective </w:t>
            </w:r>
            <w:r w:rsidR="00416939" w:rsidRPr="00EC71DB">
              <w:rPr>
                <w:rFonts w:ascii="Calibri" w:hAnsi="Calibri" w:cs="Calibri"/>
                <w:b/>
                <w:color w:val="auto"/>
                <w:sz w:val="18"/>
                <w:szCs w:val="18"/>
              </w:rPr>
              <w:t>20080826</w:t>
            </w:r>
          </w:p>
        </w:tc>
      </w:tr>
      <w:tr w:rsidR="002B4E22" w:rsidRPr="00EC71DB" w:rsidTr="003C53E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EC71DB" w:rsidRDefault="002B4E22" w:rsidP="00BF0E94">
            <w:pPr>
              <w:contextualSpacing/>
              <w:rPr>
                <w:rFonts w:ascii="Calibri" w:hAnsi="Calibri" w:cs="Calibri"/>
                <w:b/>
                <w:color w:val="auto"/>
                <w:sz w:val="18"/>
                <w:szCs w:val="18"/>
              </w:rPr>
            </w:pPr>
            <w:r w:rsidRPr="00EC71DB">
              <w:rPr>
                <w:rFonts w:ascii="Calibri" w:hAnsi="Calibri" w:cs="Calibri"/>
                <w:b/>
                <w:color w:val="auto"/>
                <w:sz w:val="18"/>
                <w:szCs w:val="18"/>
              </w:rPr>
              <w:t>Exam</w:t>
            </w:r>
          </w:p>
        </w:tc>
      </w:tr>
      <w:tr w:rsidR="00C03C21" w:rsidRPr="00EC71DB" w:rsidTr="003C53E8">
        <w:trPr>
          <w:trHeight w:val="115"/>
          <w:jc w:val="center"/>
        </w:trPr>
        <w:tc>
          <w:tcPr>
            <w:tcW w:w="2178" w:type="dxa"/>
            <w:tcBorders>
              <w:right w:val="single" w:sz="4" w:space="0" w:color="auto"/>
            </w:tcBorders>
            <w:shd w:val="clear" w:color="auto" w:fill="FFFFFF" w:themeFill="background1"/>
            <w:vAlign w:val="center"/>
          </w:tcPr>
          <w:p w:rsidR="00BC5860" w:rsidRPr="00EC71DB" w:rsidRDefault="009B15B0">
            <w:pPr>
              <w:spacing w:line="180" w:lineRule="exact"/>
              <w:contextualSpacing/>
              <w:jc w:val="left"/>
              <w:rPr>
                <w:rFonts w:ascii="Calibri" w:eastAsia="Times New Roman" w:hAnsi="Calibri" w:cs="Calibri"/>
                <w:color w:val="auto"/>
                <w:sz w:val="18"/>
                <w:szCs w:val="18"/>
              </w:rPr>
            </w:pPr>
            <w:r w:rsidRPr="00EC71DB">
              <w:rPr>
                <w:rFonts w:ascii="Calibri" w:eastAsia="Times New Roman" w:hAnsi="Calibri" w:cs="Calibri"/>
                <w:color w:val="auto"/>
                <w:sz w:val="18"/>
                <w:szCs w:val="18"/>
              </w:rPr>
              <w:t>Chronic Thoracic Back Pain</w:t>
            </w:r>
          </w:p>
        </w:tc>
        <w:tc>
          <w:tcPr>
            <w:tcW w:w="1080" w:type="dxa"/>
            <w:tcBorders>
              <w:left w:val="single" w:sz="4" w:space="0" w:color="auto"/>
            </w:tcBorders>
            <w:shd w:val="clear" w:color="auto" w:fill="FFFFFF" w:themeFill="background1"/>
            <w:vAlign w:val="center"/>
          </w:tcPr>
          <w:p w:rsidR="00BC5860" w:rsidRPr="00EC71DB" w:rsidRDefault="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BC5860" w:rsidRPr="00EC71DB" w:rsidRDefault="009B15B0">
            <w:pPr>
              <w:spacing w:line="180" w:lineRule="exact"/>
              <w:rPr>
                <w:rFonts w:ascii="Calibri" w:eastAsia="Times New Roman" w:hAnsi="Calibri" w:cs="Calibri"/>
                <w:color w:val="auto"/>
                <w:sz w:val="18"/>
                <w:szCs w:val="18"/>
              </w:rPr>
            </w:pPr>
            <w:r w:rsidRPr="00EC71DB">
              <w:rPr>
                <w:rFonts w:ascii="Calibri" w:eastAsia="Times New Roman" w:hAnsi="Calibri"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BC5860" w:rsidRPr="00EC71DB" w:rsidRDefault="009B15B0">
            <w:pPr>
              <w:spacing w:line="180" w:lineRule="exact"/>
              <w:contextualSpacing/>
              <w:jc w:val="left"/>
              <w:rPr>
                <w:rFonts w:ascii="Calibri" w:eastAsia="Times New Roman" w:hAnsi="Calibri" w:cs="Calibri"/>
                <w:color w:val="auto"/>
                <w:sz w:val="18"/>
                <w:szCs w:val="18"/>
              </w:rPr>
            </w:pPr>
            <w:r w:rsidRPr="00EC71DB">
              <w:rPr>
                <w:rFonts w:ascii="Calibri" w:eastAsia="Times New Roman" w:hAnsi="Calibri" w:cs="Calibri"/>
                <w:color w:val="auto"/>
                <w:sz w:val="18"/>
                <w:szCs w:val="18"/>
              </w:rPr>
              <w:t>Thoracic, Lumbar and Left Sacroiliac Joint Strain</w:t>
            </w:r>
          </w:p>
        </w:tc>
        <w:tc>
          <w:tcPr>
            <w:tcW w:w="1080" w:type="dxa"/>
            <w:shd w:val="clear" w:color="auto" w:fill="FFFFFF" w:themeFill="background1"/>
            <w:vAlign w:val="center"/>
          </w:tcPr>
          <w:p w:rsidR="00BC5860" w:rsidRPr="00EC71DB" w:rsidRDefault="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5237</w:t>
            </w:r>
          </w:p>
        </w:tc>
        <w:tc>
          <w:tcPr>
            <w:tcW w:w="828" w:type="dxa"/>
            <w:shd w:val="clear" w:color="auto" w:fill="FFFFFF" w:themeFill="background1"/>
            <w:vAlign w:val="center"/>
          </w:tcPr>
          <w:p w:rsidR="00BC5860" w:rsidRPr="00EC71DB" w:rsidRDefault="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EC71DB" w:rsidRDefault="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20081106</w:t>
            </w:r>
          </w:p>
        </w:tc>
      </w:tr>
      <w:tr w:rsidR="00CF45CF" w:rsidRPr="00EC71DB" w:rsidTr="00273222">
        <w:trPr>
          <w:trHeight w:val="106"/>
          <w:jc w:val="center"/>
        </w:trPr>
        <w:tc>
          <w:tcPr>
            <w:tcW w:w="4158" w:type="dxa"/>
            <w:gridSpan w:val="3"/>
            <w:vMerge w:val="restart"/>
            <w:tcBorders>
              <w:right w:val="thinThickThinSmallGap" w:sz="24" w:space="0" w:color="auto"/>
            </w:tcBorders>
            <w:shd w:val="clear" w:color="auto" w:fill="FFFFFF" w:themeFill="background1"/>
            <w:vAlign w:val="center"/>
          </w:tcPr>
          <w:p w:rsidR="00CF45CF" w:rsidRPr="00EC71DB" w:rsidRDefault="00CF45CF">
            <w:pPr>
              <w:spacing w:line="180" w:lineRule="exact"/>
              <w:rPr>
                <w:rFonts w:ascii="Calibri" w:eastAsia="Times New Roman" w:hAnsi="Calibri" w:cs="Calibri"/>
                <w:color w:val="auto"/>
                <w:sz w:val="18"/>
                <w:szCs w:val="18"/>
              </w:rPr>
            </w:pPr>
            <w:r w:rsidRPr="00EC71DB">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CF45CF" w:rsidRPr="00EC71DB" w:rsidRDefault="00CF45CF">
            <w:pPr>
              <w:spacing w:line="180" w:lineRule="exact"/>
              <w:contextualSpacing/>
              <w:jc w:val="left"/>
              <w:rPr>
                <w:rFonts w:ascii="Calibri" w:eastAsia="Times New Roman" w:hAnsi="Calibri" w:cs="Calibri"/>
                <w:color w:val="auto"/>
                <w:sz w:val="18"/>
                <w:szCs w:val="18"/>
              </w:rPr>
            </w:pPr>
            <w:r w:rsidRPr="00EC71DB">
              <w:rPr>
                <w:rFonts w:ascii="Calibri" w:eastAsia="Times New Roman" w:hAnsi="Calibri" w:cs="Calibri"/>
                <w:color w:val="auto"/>
                <w:sz w:val="18"/>
                <w:szCs w:val="18"/>
              </w:rPr>
              <w:t>Cervical Strain</w:t>
            </w:r>
          </w:p>
        </w:tc>
        <w:tc>
          <w:tcPr>
            <w:tcW w:w="1080" w:type="dxa"/>
            <w:tcBorders>
              <w:left w:val="single" w:sz="4" w:space="0" w:color="auto"/>
            </w:tcBorders>
            <w:shd w:val="clear" w:color="auto" w:fill="FFFFFF" w:themeFill="background1"/>
            <w:vAlign w:val="center"/>
          </w:tcPr>
          <w:p w:rsidR="00CF45CF" w:rsidRPr="00EC71DB" w:rsidRDefault="00CF45CF">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5237</w:t>
            </w:r>
          </w:p>
        </w:tc>
        <w:tc>
          <w:tcPr>
            <w:tcW w:w="828" w:type="dxa"/>
            <w:shd w:val="clear" w:color="auto" w:fill="FFFFFF" w:themeFill="background1"/>
            <w:vAlign w:val="center"/>
          </w:tcPr>
          <w:p w:rsidR="00CF45CF" w:rsidRPr="00EC71DB" w:rsidRDefault="00CF45CF">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10%</w:t>
            </w:r>
          </w:p>
        </w:tc>
        <w:tc>
          <w:tcPr>
            <w:tcW w:w="990" w:type="dxa"/>
            <w:shd w:val="clear" w:color="auto" w:fill="FFFFFF" w:themeFill="background1"/>
            <w:vAlign w:val="center"/>
          </w:tcPr>
          <w:p w:rsidR="00CF45CF" w:rsidRPr="00EC71DB" w:rsidRDefault="00CF45CF">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20081106</w:t>
            </w:r>
          </w:p>
        </w:tc>
      </w:tr>
      <w:tr w:rsidR="00CF45CF" w:rsidRPr="00EC71DB" w:rsidTr="00273222">
        <w:trPr>
          <w:trHeight w:val="97"/>
          <w:jc w:val="center"/>
        </w:trPr>
        <w:tc>
          <w:tcPr>
            <w:tcW w:w="4158" w:type="dxa"/>
            <w:gridSpan w:val="3"/>
            <w:vMerge/>
            <w:tcBorders>
              <w:right w:val="thinThickThinSmallGap" w:sz="2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CF45CF" w:rsidRPr="00EC71DB" w:rsidRDefault="00CF45CF" w:rsidP="009B15B0">
            <w:pPr>
              <w:spacing w:line="180" w:lineRule="exact"/>
              <w:contextualSpacing/>
              <w:jc w:val="left"/>
              <w:rPr>
                <w:rFonts w:ascii="Calibri" w:eastAsia="Times New Roman" w:hAnsi="Calibri" w:cs="Calibri"/>
                <w:color w:val="auto"/>
                <w:sz w:val="18"/>
                <w:szCs w:val="18"/>
              </w:rPr>
            </w:pPr>
            <w:r w:rsidRPr="00EC71DB">
              <w:rPr>
                <w:rFonts w:ascii="Calibri" w:eastAsia="Times New Roman" w:hAnsi="Calibri" w:cs="Calibri"/>
                <w:color w:val="auto"/>
                <w:sz w:val="18"/>
                <w:szCs w:val="18"/>
              </w:rPr>
              <w:t>Major Depression</w:t>
            </w:r>
          </w:p>
        </w:tc>
        <w:tc>
          <w:tcPr>
            <w:tcW w:w="1080" w:type="dxa"/>
            <w:tcBorders>
              <w:left w:val="single" w:sz="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9434</w:t>
            </w:r>
          </w:p>
        </w:tc>
        <w:tc>
          <w:tcPr>
            <w:tcW w:w="828" w:type="dxa"/>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40%</w:t>
            </w:r>
          </w:p>
        </w:tc>
        <w:tc>
          <w:tcPr>
            <w:tcW w:w="990" w:type="dxa"/>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20081027</w:t>
            </w:r>
          </w:p>
        </w:tc>
      </w:tr>
      <w:tr w:rsidR="00CF45CF" w:rsidRPr="00EC71DB" w:rsidTr="00273222">
        <w:trPr>
          <w:trHeight w:val="178"/>
          <w:jc w:val="center"/>
        </w:trPr>
        <w:tc>
          <w:tcPr>
            <w:tcW w:w="4158" w:type="dxa"/>
            <w:gridSpan w:val="3"/>
            <w:vMerge/>
            <w:tcBorders>
              <w:right w:val="thinThickThinSmallGap" w:sz="2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CF45CF" w:rsidRPr="00EC71DB" w:rsidRDefault="00CF45CF" w:rsidP="009B15B0">
            <w:pPr>
              <w:spacing w:line="180" w:lineRule="exact"/>
              <w:contextualSpacing/>
              <w:jc w:val="left"/>
              <w:rPr>
                <w:rFonts w:ascii="Calibri" w:eastAsia="Times New Roman" w:hAnsi="Calibri" w:cs="Calibri"/>
                <w:color w:val="auto"/>
                <w:sz w:val="18"/>
                <w:szCs w:val="18"/>
              </w:rPr>
            </w:pPr>
            <w:r w:rsidRPr="00EC71DB">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6260</w:t>
            </w:r>
          </w:p>
        </w:tc>
        <w:tc>
          <w:tcPr>
            <w:tcW w:w="828" w:type="dxa"/>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10%</w:t>
            </w:r>
          </w:p>
        </w:tc>
        <w:tc>
          <w:tcPr>
            <w:tcW w:w="990" w:type="dxa"/>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20081027</w:t>
            </w:r>
          </w:p>
        </w:tc>
      </w:tr>
      <w:tr w:rsidR="00CF45CF" w:rsidRPr="00EC71DB" w:rsidTr="00273222">
        <w:trPr>
          <w:trHeight w:val="70"/>
          <w:jc w:val="center"/>
        </w:trPr>
        <w:tc>
          <w:tcPr>
            <w:tcW w:w="4158" w:type="dxa"/>
            <w:gridSpan w:val="3"/>
            <w:vMerge/>
            <w:tcBorders>
              <w:right w:val="thinThickThinSmallGap" w:sz="2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CF45CF" w:rsidRPr="00EC71DB" w:rsidRDefault="00CF45CF" w:rsidP="009B15B0">
            <w:pPr>
              <w:spacing w:line="180" w:lineRule="exact"/>
              <w:contextualSpacing/>
              <w:jc w:val="left"/>
              <w:rPr>
                <w:rFonts w:ascii="Calibri" w:eastAsia="Times New Roman" w:hAnsi="Calibri" w:cs="Calibri"/>
                <w:color w:val="auto"/>
                <w:sz w:val="18"/>
                <w:szCs w:val="18"/>
              </w:rPr>
            </w:pPr>
            <w:r w:rsidRPr="00EC71DB">
              <w:rPr>
                <w:rFonts w:ascii="Calibri" w:eastAsia="Times New Roman" w:hAnsi="Calibri" w:cs="Calibri"/>
                <w:color w:val="auto"/>
                <w:sz w:val="18"/>
                <w:szCs w:val="18"/>
              </w:rPr>
              <w:t>Residuals of Traumatic Brain Injury/Chronic Headaches</w:t>
            </w:r>
          </w:p>
        </w:tc>
        <w:tc>
          <w:tcPr>
            <w:tcW w:w="1080" w:type="dxa"/>
            <w:tcBorders>
              <w:left w:val="single" w:sz="4" w:space="0" w:color="auto"/>
              <w:right w:val="single" w:sz="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8045</w:t>
            </w:r>
          </w:p>
        </w:tc>
        <w:tc>
          <w:tcPr>
            <w:tcW w:w="828" w:type="dxa"/>
            <w:tcBorders>
              <w:left w:val="single" w:sz="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10%</w:t>
            </w:r>
          </w:p>
        </w:tc>
        <w:tc>
          <w:tcPr>
            <w:tcW w:w="990" w:type="dxa"/>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20081030</w:t>
            </w:r>
          </w:p>
        </w:tc>
      </w:tr>
      <w:tr w:rsidR="00CF45CF" w:rsidRPr="00EC71DB" w:rsidTr="00273222">
        <w:trPr>
          <w:trHeight w:val="160"/>
          <w:jc w:val="center"/>
        </w:trPr>
        <w:tc>
          <w:tcPr>
            <w:tcW w:w="4158" w:type="dxa"/>
            <w:gridSpan w:val="3"/>
            <w:vMerge/>
            <w:tcBorders>
              <w:right w:val="thinThickThinSmallGap" w:sz="24" w:space="0" w:color="auto"/>
            </w:tcBorders>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CF45CF" w:rsidRPr="00EC71DB" w:rsidRDefault="00901EE7" w:rsidP="009B15B0">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1/Not Service-</w:t>
            </w:r>
            <w:r w:rsidR="00CF45CF" w:rsidRPr="00EC71DB">
              <w:rPr>
                <w:rFonts w:ascii="Calibri" w:hAnsi="Calibri" w:cs="Calibri"/>
                <w:color w:val="auto"/>
                <w:sz w:val="18"/>
                <w:szCs w:val="18"/>
              </w:rPr>
              <w:t>Connected x 3</w:t>
            </w:r>
          </w:p>
        </w:tc>
        <w:tc>
          <w:tcPr>
            <w:tcW w:w="990" w:type="dxa"/>
            <w:shd w:val="clear" w:color="auto" w:fill="FFFFFF" w:themeFill="background1"/>
            <w:vAlign w:val="center"/>
          </w:tcPr>
          <w:p w:rsidR="00CF45CF" w:rsidRPr="00EC71DB" w:rsidRDefault="00CF45CF" w:rsidP="009B15B0">
            <w:pPr>
              <w:spacing w:line="180" w:lineRule="exact"/>
              <w:contextualSpacing/>
              <w:rPr>
                <w:rFonts w:ascii="Calibri" w:eastAsia="Times New Roman" w:hAnsi="Calibri" w:cs="Calibri"/>
                <w:color w:val="auto"/>
                <w:sz w:val="18"/>
                <w:szCs w:val="18"/>
              </w:rPr>
            </w:pPr>
            <w:r w:rsidRPr="00EC71DB">
              <w:rPr>
                <w:rFonts w:ascii="Calibri" w:eastAsia="Times New Roman" w:hAnsi="Calibri" w:cs="Calibri"/>
                <w:color w:val="auto"/>
                <w:sz w:val="18"/>
                <w:szCs w:val="18"/>
              </w:rPr>
              <w:t>20081106</w:t>
            </w:r>
          </w:p>
        </w:tc>
      </w:tr>
      <w:tr w:rsidR="009B15B0" w:rsidRPr="00EC71DB" w:rsidTr="003C53E8">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9B15B0" w:rsidRPr="00EC71DB" w:rsidRDefault="009B15B0" w:rsidP="009B15B0">
            <w:pPr>
              <w:contextualSpacing/>
              <w:rPr>
                <w:rFonts w:ascii="Calibri" w:hAnsi="Calibri" w:cs="Calibri"/>
                <w:b/>
                <w:color w:val="auto"/>
                <w:sz w:val="18"/>
                <w:szCs w:val="18"/>
              </w:rPr>
            </w:pPr>
            <w:r w:rsidRPr="00EC71DB">
              <w:rPr>
                <w:rFonts w:ascii="Calibri" w:hAnsi="Calibri" w:cs="Calibri"/>
                <w:b/>
                <w:color w:val="auto"/>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9B15B0" w:rsidRPr="00EC71DB" w:rsidRDefault="009B15B0" w:rsidP="009B15B0">
            <w:pPr>
              <w:contextualSpacing/>
              <w:rPr>
                <w:rFonts w:ascii="Calibri" w:hAnsi="Calibri" w:cs="Calibri"/>
                <w:b/>
                <w:color w:val="auto"/>
                <w:sz w:val="18"/>
                <w:szCs w:val="18"/>
              </w:rPr>
            </w:pPr>
            <w:r w:rsidRPr="00EC71DB">
              <w:rPr>
                <w:rFonts w:ascii="Calibri" w:hAnsi="Calibri" w:cs="Calibri"/>
                <w:b/>
                <w:color w:val="auto"/>
                <w:sz w:val="18"/>
                <w:szCs w:val="18"/>
              </w:rPr>
              <w:t>Combined:  60%</w:t>
            </w:r>
          </w:p>
        </w:tc>
      </w:tr>
    </w:tbl>
    <w:p w:rsidR="004174F0" w:rsidRPr="00EC71DB" w:rsidRDefault="004174F0" w:rsidP="00BF0E94">
      <w:pPr>
        <w:pBdr>
          <w:bottom w:val="single" w:sz="12" w:space="1" w:color="auto"/>
        </w:pBdr>
        <w:tabs>
          <w:tab w:val="left" w:pos="288"/>
          <w:tab w:val="left" w:pos="4752"/>
        </w:tabs>
        <w:jc w:val="both"/>
        <w:rPr>
          <w:color w:val="auto"/>
        </w:rPr>
      </w:pPr>
    </w:p>
    <w:p w:rsidR="009369A6" w:rsidRPr="00EC71DB" w:rsidRDefault="009369A6" w:rsidP="00CF45CF">
      <w:pPr>
        <w:jc w:val="both"/>
        <w:rPr>
          <w:color w:val="auto"/>
          <w:szCs w:val="24"/>
          <w:u w:val="single"/>
        </w:rPr>
      </w:pPr>
    </w:p>
    <w:p w:rsidR="00B505E9" w:rsidRPr="00EC71DB" w:rsidRDefault="002C6E5B" w:rsidP="00B3694E">
      <w:pPr>
        <w:jc w:val="both"/>
        <w:rPr>
          <w:color w:val="auto"/>
          <w:szCs w:val="24"/>
        </w:rPr>
      </w:pPr>
      <w:r w:rsidRPr="00EC71DB">
        <w:rPr>
          <w:color w:val="auto"/>
          <w:szCs w:val="24"/>
          <w:u w:val="single"/>
        </w:rPr>
        <w:t>ANALYSIS SUMMARY</w:t>
      </w:r>
      <w:r w:rsidRPr="00EC71DB">
        <w:rPr>
          <w:color w:val="auto"/>
          <w:szCs w:val="24"/>
        </w:rPr>
        <w:t>:</w:t>
      </w:r>
      <w:r w:rsidR="00B505E9" w:rsidRPr="00EC71DB">
        <w:rPr>
          <w:color w:val="auto"/>
          <w:szCs w:val="24"/>
        </w:rPr>
        <w:t xml:space="preserve">  </w:t>
      </w:r>
      <w:r w:rsidR="00EB32ED" w:rsidRPr="00EC71DB">
        <w:rPr>
          <w:color w:val="auto"/>
        </w:rPr>
        <w:t xml:space="preserve">In opening, the Board wishes to clarify that the scope of its review as defined in DoDI 6040.44 (4.a) is limited to those conditions which were determined by the PEB to be specifically unfitting for continued military service; or, </w:t>
      </w:r>
      <w:r w:rsidR="00EB32ED" w:rsidRPr="00901EE7">
        <w:rPr>
          <w:color w:val="auto"/>
        </w:rPr>
        <w:t>when requested</w:t>
      </w:r>
      <w:r w:rsidR="00EB32ED" w:rsidRPr="00EC71DB">
        <w:rPr>
          <w:color w:val="auto"/>
        </w:rPr>
        <w:t xml:space="preserve"> by the CI, those conditions “identified but not determined to be unfitting by the PEB</w:t>
      </w:r>
      <w:r w:rsidR="00901EE7">
        <w:rPr>
          <w:color w:val="auto"/>
        </w:rPr>
        <w:t>.</w:t>
      </w:r>
      <w:r w:rsidR="00EB32ED" w:rsidRPr="00EC71DB">
        <w:rPr>
          <w:color w:val="auto"/>
        </w:rPr>
        <w:t xml:space="preserve">”  Any condition which is not requested in this application or otherwise within the Board’s defined scope of review remains eligible for future consideration by the </w:t>
      </w:r>
      <w:r w:rsidR="00FC4D5C">
        <w:rPr>
          <w:color w:val="auto"/>
        </w:rPr>
        <w:t>AF</w:t>
      </w:r>
      <w:r w:rsidR="00EB32ED" w:rsidRPr="00EC71DB">
        <w:rPr>
          <w:color w:val="auto"/>
        </w:rPr>
        <w:t xml:space="preserve">BCMR.  </w:t>
      </w:r>
      <w:r w:rsidR="00AD3FE9" w:rsidRPr="00EC71DB">
        <w:rPr>
          <w:color w:val="auto"/>
          <w:szCs w:val="24"/>
        </w:rPr>
        <w:t>The Board acknowledges the sentiment expressed in the CI’s application regarding the significant impairment with which his service-incurred condition continues to burden her.</w:t>
      </w:r>
      <w:r w:rsidR="00B3694E" w:rsidRPr="00EC71DB">
        <w:rPr>
          <w:color w:val="auto"/>
          <w:szCs w:val="24"/>
        </w:rPr>
        <w:t xml:space="preserve"> </w:t>
      </w:r>
      <w:r w:rsidR="00AD3FE9" w:rsidRPr="00EC71DB">
        <w:rPr>
          <w:color w:val="auto"/>
        </w:rPr>
        <w:t xml:space="preserve"> </w:t>
      </w:r>
      <w:r w:rsidR="00AD3FE9" w:rsidRPr="00EC71DB">
        <w:rPr>
          <w:color w:val="auto"/>
          <w:szCs w:val="24"/>
        </w:rPr>
        <w:t xml:space="preserve">It is a fact, however, that the </w:t>
      </w:r>
      <w:r w:rsidR="00901EE7">
        <w:rPr>
          <w:color w:val="auto"/>
          <w:szCs w:val="24"/>
        </w:rPr>
        <w:t>Disability Evaluation System (</w:t>
      </w:r>
      <w:r w:rsidR="00AD3FE9" w:rsidRPr="00EC71DB">
        <w:rPr>
          <w:color w:val="auto"/>
          <w:szCs w:val="24"/>
        </w:rPr>
        <w:t>DES</w:t>
      </w:r>
      <w:r w:rsidR="00901EE7">
        <w:rPr>
          <w:color w:val="auto"/>
          <w:szCs w:val="24"/>
        </w:rPr>
        <w:t>)</w:t>
      </w:r>
      <w:r w:rsidR="00AD3FE9" w:rsidRPr="00EC71DB">
        <w:rPr>
          <w:color w:val="auto"/>
          <w:szCs w:val="24"/>
        </w:rPr>
        <w:t xml:space="preserve"> has neither the role nor the authority to compensate service members for anticipated future severity or potential complications of conditions resulting in medical separation.</w:t>
      </w:r>
      <w:r w:rsidR="00B3694E" w:rsidRPr="00EC71DB">
        <w:rPr>
          <w:color w:val="auto"/>
          <w:szCs w:val="24"/>
        </w:rPr>
        <w:t xml:space="preserve"> </w:t>
      </w:r>
      <w:r w:rsidR="00AD3FE9" w:rsidRPr="00EC71DB">
        <w:rPr>
          <w:color w:val="auto"/>
          <w:szCs w:val="24"/>
        </w:rPr>
        <w:t xml:space="preserve"> This role and authority is granted by Congress to the </w:t>
      </w:r>
      <w:r w:rsidR="00901EE7">
        <w:rPr>
          <w:color w:val="auto"/>
          <w:szCs w:val="24"/>
        </w:rPr>
        <w:t xml:space="preserve">Department of </w:t>
      </w:r>
      <w:r w:rsidR="00AD3FE9" w:rsidRPr="00EC71DB">
        <w:rPr>
          <w:color w:val="auto"/>
          <w:szCs w:val="24"/>
        </w:rPr>
        <w:t>Veterans</w:t>
      </w:r>
      <w:r w:rsidR="00901EE7">
        <w:rPr>
          <w:color w:val="auto"/>
          <w:szCs w:val="24"/>
        </w:rPr>
        <w:t>’ Affairs (DVA)</w:t>
      </w:r>
      <w:r w:rsidR="00AD3FE9" w:rsidRPr="00EC71DB">
        <w:rPr>
          <w:color w:val="auto"/>
          <w:szCs w:val="24"/>
        </w:rPr>
        <w:t>.</w:t>
      </w:r>
      <w:r w:rsidR="00B3694E" w:rsidRPr="00EC71DB">
        <w:rPr>
          <w:color w:val="auto"/>
        </w:rPr>
        <w:t xml:space="preserve">  </w:t>
      </w:r>
      <w:r w:rsidR="00B3694E" w:rsidRPr="00EC71DB">
        <w:rPr>
          <w:color w:val="auto"/>
          <w:szCs w:val="24"/>
        </w:rPr>
        <w:t xml:space="preserve">The Board utilizes </w:t>
      </w:r>
      <w:r w:rsidR="00901EE7">
        <w:rPr>
          <w:color w:val="auto"/>
          <w:szCs w:val="24"/>
        </w:rPr>
        <w:t>D</w:t>
      </w:r>
      <w:r w:rsidR="00B3694E" w:rsidRPr="00EC71DB">
        <w:rPr>
          <w:color w:val="auto"/>
          <w:szCs w:val="24"/>
        </w:rPr>
        <w:t>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CF45CF" w:rsidRPr="00EC71DB">
        <w:rPr>
          <w:color w:val="auto"/>
          <w:szCs w:val="24"/>
        </w:rPr>
        <w:t xml:space="preserve">  </w:t>
      </w:r>
    </w:p>
    <w:p w:rsidR="004C60A3" w:rsidRPr="00EC71DB" w:rsidRDefault="004C60A3" w:rsidP="00BF0E94">
      <w:pPr>
        <w:jc w:val="left"/>
        <w:rPr>
          <w:color w:val="auto"/>
          <w:szCs w:val="24"/>
        </w:rPr>
      </w:pPr>
    </w:p>
    <w:p w:rsidR="003C53E8" w:rsidRPr="00EC71DB" w:rsidRDefault="00312A04" w:rsidP="00C9771F">
      <w:pPr>
        <w:jc w:val="both"/>
        <w:rPr>
          <w:color w:val="auto"/>
          <w:szCs w:val="24"/>
        </w:rPr>
      </w:pPr>
      <w:proofErr w:type="gramStart"/>
      <w:r w:rsidRPr="00EC71DB">
        <w:rPr>
          <w:color w:val="auto"/>
          <w:szCs w:val="24"/>
          <w:u w:val="single"/>
        </w:rPr>
        <w:t>Chronic Thoracic Back Pain C</w:t>
      </w:r>
      <w:r w:rsidR="003F2EEE" w:rsidRPr="00EC71DB">
        <w:rPr>
          <w:color w:val="auto"/>
          <w:szCs w:val="24"/>
          <w:u w:val="single"/>
        </w:rPr>
        <w:t>ondition</w:t>
      </w:r>
      <w:r w:rsidR="003F2EEE" w:rsidRPr="00EC71DB">
        <w:rPr>
          <w:color w:val="auto"/>
          <w:szCs w:val="24"/>
        </w:rPr>
        <w:t>.</w:t>
      </w:r>
      <w:proofErr w:type="gramEnd"/>
      <w:r w:rsidR="003F2EEE" w:rsidRPr="00EC71DB">
        <w:rPr>
          <w:color w:val="auto"/>
          <w:szCs w:val="24"/>
        </w:rPr>
        <w:t xml:space="preserve">  </w:t>
      </w:r>
      <w:r w:rsidR="00273222" w:rsidRPr="00EC71DB">
        <w:rPr>
          <w:color w:val="auto"/>
          <w:szCs w:val="24"/>
        </w:rPr>
        <w:t>The CI traumatically injured her back while deployed to Iraq.  Initial back spasms were treated with non-narcotic pain medication</w:t>
      </w:r>
      <w:r w:rsidR="00C9771F" w:rsidRPr="00EC71DB">
        <w:rPr>
          <w:color w:val="auto"/>
          <w:szCs w:val="24"/>
        </w:rPr>
        <w:t xml:space="preserve"> (NSAIDs)</w:t>
      </w:r>
      <w:r w:rsidR="00273222" w:rsidRPr="00EC71DB">
        <w:rPr>
          <w:color w:val="auto"/>
          <w:szCs w:val="24"/>
        </w:rPr>
        <w:t xml:space="preserve">, muscle relaxants, physical therapy, electrical stimulation and manipulation.  </w:t>
      </w:r>
      <w:r w:rsidR="00AA466B" w:rsidRPr="00EC71DB">
        <w:rPr>
          <w:color w:val="auto"/>
          <w:szCs w:val="24"/>
        </w:rPr>
        <w:t>MRI of the thoracic spine and s</w:t>
      </w:r>
      <w:r w:rsidR="00C9771F" w:rsidRPr="00EC71DB">
        <w:rPr>
          <w:color w:val="auto"/>
          <w:szCs w:val="24"/>
        </w:rPr>
        <w:t xml:space="preserve">pine radiographs </w:t>
      </w:r>
      <w:r w:rsidR="00AA466B" w:rsidRPr="00EC71DB">
        <w:rPr>
          <w:color w:val="auto"/>
          <w:szCs w:val="24"/>
        </w:rPr>
        <w:t xml:space="preserve">showed normal alignment and </w:t>
      </w:r>
      <w:r w:rsidR="00C9771F" w:rsidRPr="00EC71DB">
        <w:rPr>
          <w:color w:val="auto"/>
          <w:szCs w:val="24"/>
        </w:rPr>
        <w:t xml:space="preserve">indicated a bulging cervical disk at C5-6 with some impingement on the </w:t>
      </w:r>
      <w:proofErr w:type="spellStart"/>
      <w:r w:rsidR="00C9771F" w:rsidRPr="00EC71DB">
        <w:rPr>
          <w:color w:val="auto"/>
          <w:szCs w:val="24"/>
        </w:rPr>
        <w:t>dural</w:t>
      </w:r>
      <w:proofErr w:type="spellEnd"/>
      <w:r w:rsidR="00C9771F" w:rsidRPr="00EC71DB">
        <w:rPr>
          <w:color w:val="auto"/>
          <w:szCs w:val="24"/>
        </w:rPr>
        <w:t xml:space="preserve"> sac which did not correspond to the location of her pain.  The CI was profile restricted from running, lifting in excess of 5 pounds, push-ups, sit-ups, bending, squatting, and impact exercises.  She was unable to perform tasks to maintain her aircraft, but was fully working at administrative tasks.  Pain control was considered good with “NSAIDs, physical therapy and a fairly restrictive profile.”  There was no complaint of radicular symptoms.  </w:t>
      </w:r>
      <w:r w:rsidR="00A57C35" w:rsidRPr="00EC71DB">
        <w:rPr>
          <w:color w:val="auto"/>
          <w:szCs w:val="24"/>
        </w:rPr>
        <w:t xml:space="preserve">There were </w:t>
      </w:r>
      <w:r w:rsidR="00273222" w:rsidRPr="00EC71DB">
        <w:rPr>
          <w:color w:val="auto"/>
          <w:szCs w:val="24"/>
        </w:rPr>
        <w:t xml:space="preserve">three back exams with one complete </w:t>
      </w:r>
      <w:r w:rsidR="00A57C35" w:rsidRPr="00EC71DB">
        <w:rPr>
          <w:color w:val="auto"/>
          <w:szCs w:val="24"/>
        </w:rPr>
        <w:t>goniometric range</w:t>
      </w:r>
      <w:r w:rsidR="00901EE7">
        <w:rPr>
          <w:color w:val="auto"/>
          <w:szCs w:val="24"/>
        </w:rPr>
        <w:t>-</w:t>
      </w:r>
      <w:r w:rsidR="00A57C35" w:rsidRPr="00EC71DB">
        <w:rPr>
          <w:color w:val="auto"/>
          <w:szCs w:val="24"/>
        </w:rPr>
        <w:t>of</w:t>
      </w:r>
      <w:r w:rsidR="00901EE7">
        <w:rPr>
          <w:color w:val="auto"/>
          <w:szCs w:val="24"/>
        </w:rPr>
        <w:t>-</w:t>
      </w:r>
      <w:r w:rsidR="00A57C35" w:rsidRPr="00EC71DB">
        <w:rPr>
          <w:color w:val="auto"/>
          <w:szCs w:val="24"/>
        </w:rPr>
        <w:t>motion (ROM) evaluation in evidence, with documentation of additional ratable criteria, which the Board weighed in arriving at its rating recommendation</w:t>
      </w:r>
      <w:r w:rsidR="00273222" w:rsidRPr="00EC71DB">
        <w:rPr>
          <w:color w:val="auto"/>
          <w:szCs w:val="24"/>
        </w:rPr>
        <w:t>; as summarized in the chart below.</w:t>
      </w:r>
      <w:r w:rsidR="00483C9D" w:rsidRPr="00EC71DB">
        <w:rPr>
          <w:color w:val="auto"/>
          <w:szCs w:val="24"/>
        </w:rPr>
        <w:t xml:space="preserve">  </w:t>
      </w:r>
    </w:p>
    <w:p w:rsidR="004F6DB6" w:rsidRPr="00EC71DB" w:rsidRDefault="00AA466B" w:rsidP="00901EE7">
      <w:pPr>
        <w:rPr>
          <w:rFonts w:asciiTheme="minorHAnsi" w:hAnsiTheme="minorHAnsi" w:cs="Times New Roman"/>
          <w:color w:val="auto"/>
          <w:szCs w:val="24"/>
        </w:rPr>
      </w:pPr>
      <w:r w:rsidRPr="00EC71DB">
        <w:rPr>
          <w:rFonts w:asciiTheme="minorHAnsi" w:hAnsiTheme="minorHAnsi" w:cs="Times New Roman"/>
          <w:color w:val="auto"/>
          <w:szCs w:val="24"/>
        </w:rPr>
        <w:br w:type="page"/>
      </w:r>
    </w:p>
    <w:tbl>
      <w:tblPr>
        <w:tblW w:w="8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6"/>
        <w:gridCol w:w="1922"/>
        <w:gridCol w:w="1922"/>
        <w:gridCol w:w="2430"/>
      </w:tblGrid>
      <w:tr w:rsidR="00AD56D4" w:rsidRPr="00EC71DB" w:rsidTr="00AD56D4">
        <w:trPr>
          <w:jc w:val="center"/>
        </w:trPr>
        <w:tc>
          <w:tcPr>
            <w:tcW w:w="1966" w:type="dxa"/>
            <w:shd w:val="clear" w:color="auto" w:fill="D9D9D9"/>
            <w:vAlign w:val="center"/>
          </w:tcPr>
          <w:p w:rsidR="00AD56D4" w:rsidRPr="00EC71DB" w:rsidRDefault="00AD56D4" w:rsidP="007976BE">
            <w:pPr>
              <w:spacing w:line="200" w:lineRule="exact"/>
              <w:contextualSpacing/>
              <w:rPr>
                <w:rFonts w:cs="Times New Roman"/>
                <w:color w:val="auto"/>
                <w:sz w:val="20"/>
              </w:rPr>
            </w:pPr>
            <w:r w:rsidRPr="00EC71DB">
              <w:rPr>
                <w:rFonts w:cs="Times New Roman"/>
                <w:color w:val="auto"/>
                <w:sz w:val="20"/>
              </w:rPr>
              <w:lastRenderedPageBreak/>
              <w:t>Thoracolumbar ROM</w:t>
            </w:r>
          </w:p>
        </w:tc>
        <w:tc>
          <w:tcPr>
            <w:tcW w:w="1922" w:type="dxa"/>
            <w:shd w:val="clear" w:color="auto" w:fill="D9D9D9"/>
          </w:tcPr>
          <w:p w:rsidR="00AD56D4" w:rsidRPr="00EC71DB" w:rsidRDefault="00AD56D4" w:rsidP="004F6DB6">
            <w:pPr>
              <w:spacing w:line="200" w:lineRule="exact"/>
              <w:contextualSpacing/>
              <w:rPr>
                <w:color w:val="auto"/>
                <w:sz w:val="20"/>
              </w:rPr>
            </w:pPr>
            <w:r w:rsidRPr="00EC71DB">
              <w:rPr>
                <w:color w:val="auto"/>
                <w:sz w:val="20"/>
              </w:rPr>
              <w:t>MEB ~6 Mo. Pre-Sep</w:t>
            </w:r>
          </w:p>
        </w:tc>
        <w:tc>
          <w:tcPr>
            <w:tcW w:w="1922" w:type="dxa"/>
            <w:shd w:val="clear" w:color="auto" w:fill="D9D9D9"/>
            <w:vAlign w:val="center"/>
          </w:tcPr>
          <w:p w:rsidR="00AD56D4" w:rsidRPr="00EC71DB" w:rsidRDefault="00AD56D4" w:rsidP="004F6DB6">
            <w:pPr>
              <w:spacing w:line="200" w:lineRule="exact"/>
              <w:contextualSpacing/>
              <w:rPr>
                <w:color w:val="auto"/>
                <w:sz w:val="20"/>
              </w:rPr>
            </w:pPr>
            <w:r w:rsidRPr="00EC71DB">
              <w:rPr>
                <w:color w:val="auto"/>
                <w:sz w:val="20"/>
              </w:rPr>
              <w:t>PT ~4 Mo. Pre-Sep</w:t>
            </w:r>
          </w:p>
        </w:tc>
        <w:tc>
          <w:tcPr>
            <w:tcW w:w="2430" w:type="dxa"/>
            <w:shd w:val="clear" w:color="auto" w:fill="D9D9D9"/>
            <w:vAlign w:val="center"/>
          </w:tcPr>
          <w:p w:rsidR="00AD56D4" w:rsidRPr="00EC71DB" w:rsidRDefault="00AD56D4" w:rsidP="004F6DB6">
            <w:pPr>
              <w:spacing w:line="200" w:lineRule="exact"/>
              <w:contextualSpacing/>
              <w:rPr>
                <w:color w:val="auto"/>
                <w:sz w:val="20"/>
              </w:rPr>
            </w:pPr>
            <w:r w:rsidRPr="00EC71DB">
              <w:rPr>
                <w:rFonts w:asciiTheme="minorHAnsi" w:eastAsia="Calibri" w:hAnsiTheme="minorHAnsi"/>
                <w:color w:val="auto"/>
                <w:sz w:val="18"/>
                <w:szCs w:val="18"/>
              </w:rPr>
              <w:t>VA</w:t>
            </w:r>
            <w:r w:rsidRPr="00EC71DB">
              <w:rPr>
                <w:rFonts w:asciiTheme="minorHAnsi" w:eastAsiaTheme="minorHAnsi" w:hAnsiTheme="minorHAnsi"/>
                <w:color w:val="auto"/>
                <w:sz w:val="18"/>
                <w:szCs w:val="18"/>
              </w:rPr>
              <w:t xml:space="preserve"> C&amp;P </w:t>
            </w:r>
            <w:r w:rsidRPr="00EC71DB">
              <w:rPr>
                <w:rFonts w:asciiTheme="minorHAnsi" w:eastAsia="Calibri" w:hAnsiTheme="minorHAnsi"/>
                <w:color w:val="auto"/>
                <w:sz w:val="18"/>
                <w:szCs w:val="18"/>
              </w:rPr>
              <w:t>~3</w:t>
            </w:r>
            <w:r w:rsidRPr="00EC71DB">
              <w:rPr>
                <w:color w:val="auto"/>
                <w:sz w:val="20"/>
              </w:rPr>
              <w:t xml:space="preserve"> Mo. After-Sep</w:t>
            </w:r>
          </w:p>
        </w:tc>
      </w:tr>
      <w:tr w:rsidR="00AD56D4" w:rsidRPr="00EC71DB" w:rsidTr="00AD56D4">
        <w:trPr>
          <w:jc w:val="center"/>
        </w:trPr>
        <w:tc>
          <w:tcPr>
            <w:tcW w:w="1966" w:type="dxa"/>
            <w:vAlign w:val="center"/>
          </w:tcPr>
          <w:p w:rsidR="00AD56D4" w:rsidRPr="00EC71DB" w:rsidRDefault="00AD56D4" w:rsidP="007976BE">
            <w:pPr>
              <w:spacing w:line="200" w:lineRule="exact"/>
              <w:contextualSpacing/>
              <w:rPr>
                <w:rFonts w:cs="Times New Roman"/>
                <w:color w:val="auto"/>
                <w:sz w:val="20"/>
              </w:rPr>
            </w:pPr>
            <w:r w:rsidRPr="00EC71DB">
              <w:rPr>
                <w:rFonts w:cs="Times New Roman"/>
                <w:color w:val="auto"/>
                <w:sz w:val="20"/>
              </w:rPr>
              <w:t>Flexion (90⁰ Normal)</w:t>
            </w:r>
          </w:p>
        </w:tc>
        <w:tc>
          <w:tcPr>
            <w:tcW w:w="1922" w:type="dxa"/>
            <w:vMerge w:val="restart"/>
          </w:tcPr>
          <w:p w:rsidR="00AD56D4" w:rsidRPr="00EC71DB" w:rsidRDefault="00AD56D4" w:rsidP="007976BE">
            <w:pPr>
              <w:spacing w:line="200" w:lineRule="exact"/>
              <w:contextualSpacing/>
              <w:rPr>
                <w:color w:val="auto"/>
                <w:sz w:val="20"/>
              </w:rPr>
            </w:pPr>
            <w:r w:rsidRPr="00EC71DB">
              <w:rPr>
                <w:rFonts w:asciiTheme="minorHAnsi" w:eastAsiaTheme="minorHAnsi" w:hAnsiTheme="minorHAnsi"/>
                <w:color w:val="auto"/>
                <w:sz w:val="18"/>
                <w:szCs w:val="18"/>
              </w:rPr>
              <w:t>Full ROM w/flexion, ext, rotation in both directions</w:t>
            </w:r>
          </w:p>
        </w:tc>
        <w:tc>
          <w:tcPr>
            <w:tcW w:w="1922" w:type="dxa"/>
            <w:vAlign w:val="center"/>
          </w:tcPr>
          <w:p w:rsidR="00AD56D4" w:rsidRPr="00EC71DB" w:rsidRDefault="00AD56D4" w:rsidP="007976BE">
            <w:pPr>
              <w:spacing w:line="200" w:lineRule="exact"/>
              <w:contextualSpacing/>
              <w:rPr>
                <w:color w:val="auto"/>
                <w:sz w:val="20"/>
              </w:rPr>
            </w:pPr>
            <w:r w:rsidRPr="00EC71DB">
              <w:rPr>
                <w:color w:val="auto"/>
                <w:sz w:val="20"/>
              </w:rPr>
              <w:t>80⁰</w:t>
            </w:r>
            <w:r w:rsidR="00273222" w:rsidRPr="00EC71DB">
              <w:rPr>
                <w:color w:val="auto"/>
                <w:sz w:val="20"/>
              </w:rPr>
              <w:t>-</w:t>
            </w:r>
            <w:r w:rsidR="00C9771F" w:rsidRPr="00EC71DB">
              <w:rPr>
                <w:color w:val="auto"/>
                <w:sz w:val="20"/>
              </w:rPr>
              <w:t>90⁰</w:t>
            </w:r>
          </w:p>
        </w:tc>
        <w:tc>
          <w:tcPr>
            <w:tcW w:w="2430" w:type="dxa"/>
            <w:vAlign w:val="center"/>
          </w:tcPr>
          <w:p w:rsidR="00AD56D4" w:rsidRPr="00EC71DB" w:rsidRDefault="00AD56D4" w:rsidP="007976BE">
            <w:pPr>
              <w:spacing w:line="200" w:lineRule="exact"/>
              <w:contextualSpacing/>
              <w:rPr>
                <w:color w:val="auto"/>
                <w:sz w:val="20"/>
              </w:rPr>
            </w:pPr>
            <w:r w:rsidRPr="00EC71DB">
              <w:rPr>
                <w:color w:val="auto"/>
                <w:sz w:val="20"/>
              </w:rPr>
              <w:t>70⁰</w:t>
            </w:r>
          </w:p>
        </w:tc>
      </w:tr>
      <w:tr w:rsidR="00AD56D4" w:rsidRPr="00EC71DB" w:rsidTr="00AD56D4">
        <w:trPr>
          <w:jc w:val="center"/>
        </w:trPr>
        <w:tc>
          <w:tcPr>
            <w:tcW w:w="1966" w:type="dxa"/>
            <w:tcBorders>
              <w:bottom w:val="single" w:sz="4" w:space="0" w:color="auto"/>
            </w:tcBorders>
            <w:vAlign w:val="center"/>
          </w:tcPr>
          <w:p w:rsidR="00AD56D4" w:rsidRPr="00EC71DB" w:rsidRDefault="00AD56D4" w:rsidP="007976BE">
            <w:pPr>
              <w:spacing w:line="200" w:lineRule="exact"/>
              <w:contextualSpacing/>
              <w:rPr>
                <w:rFonts w:cs="Times New Roman"/>
                <w:color w:val="auto"/>
                <w:sz w:val="20"/>
              </w:rPr>
            </w:pPr>
            <w:r w:rsidRPr="00EC71DB">
              <w:rPr>
                <w:rFonts w:cs="Times New Roman"/>
                <w:color w:val="auto"/>
                <w:sz w:val="20"/>
              </w:rPr>
              <w:t>Combined (240⁰)</w:t>
            </w:r>
          </w:p>
        </w:tc>
        <w:tc>
          <w:tcPr>
            <w:tcW w:w="1922" w:type="dxa"/>
            <w:vMerge/>
            <w:tcBorders>
              <w:bottom w:val="single" w:sz="4" w:space="0" w:color="auto"/>
            </w:tcBorders>
          </w:tcPr>
          <w:p w:rsidR="00AD56D4" w:rsidRPr="00EC71DB" w:rsidRDefault="00AD56D4" w:rsidP="007976BE">
            <w:pPr>
              <w:spacing w:line="200" w:lineRule="exact"/>
              <w:contextualSpacing/>
              <w:rPr>
                <w:color w:val="auto"/>
                <w:sz w:val="20"/>
              </w:rPr>
            </w:pPr>
          </w:p>
        </w:tc>
        <w:tc>
          <w:tcPr>
            <w:tcW w:w="1922" w:type="dxa"/>
            <w:tcBorders>
              <w:bottom w:val="single" w:sz="4" w:space="0" w:color="auto"/>
            </w:tcBorders>
            <w:vAlign w:val="center"/>
          </w:tcPr>
          <w:p w:rsidR="00AD56D4" w:rsidRPr="00EC71DB" w:rsidRDefault="00AD56D4" w:rsidP="00483C9D">
            <w:pPr>
              <w:spacing w:line="200" w:lineRule="exact"/>
              <w:contextualSpacing/>
              <w:rPr>
                <w:color w:val="auto"/>
                <w:sz w:val="20"/>
              </w:rPr>
            </w:pPr>
            <w:r w:rsidRPr="00EC71DB">
              <w:rPr>
                <w:color w:val="auto"/>
                <w:sz w:val="20"/>
              </w:rPr>
              <w:t>Incomplete, but &gt;1</w:t>
            </w:r>
            <w:r w:rsidR="00483C9D" w:rsidRPr="00EC71DB">
              <w:rPr>
                <w:color w:val="auto"/>
                <w:sz w:val="20"/>
              </w:rPr>
              <w:t>45</w:t>
            </w:r>
            <w:r w:rsidRPr="00EC71DB">
              <w:rPr>
                <w:color w:val="auto"/>
                <w:sz w:val="20"/>
              </w:rPr>
              <w:t>⁰ and &lt;2</w:t>
            </w:r>
            <w:r w:rsidR="00483C9D" w:rsidRPr="00EC71DB">
              <w:rPr>
                <w:color w:val="auto"/>
                <w:sz w:val="20"/>
              </w:rPr>
              <w:t>25</w:t>
            </w:r>
            <w:r w:rsidRPr="00EC71DB">
              <w:rPr>
                <w:rFonts w:cs="Times New Roman"/>
                <w:color w:val="auto"/>
                <w:sz w:val="20"/>
              </w:rPr>
              <w:t>⁰</w:t>
            </w:r>
            <w:r w:rsidR="00483C9D" w:rsidRPr="00EC71DB">
              <w:rPr>
                <w:rFonts w:cs="Times New Roman"/>
                <w:color w:val="auto"/>
                <w:sz w:val="20"/>
              </w:rPr>
              <w:t>*</w:t>
            </w:r>
          </w:p>
        </w:tc>
        <w:tc>
          <w:tcPr>
            <w:tcW w:w="2430" w:type="dxa"/>
            <w:tcBorders>
              <w:bottom w:val="single" w:sz="4" w:space="0" w:color="auto"/>
            </w:tcBorders>
            <w:vAlign w:val="center"/>
          </w:tcPr>
          <w:p w:rsidR="00AD56D4" w:rsidRPr="00EC71DB" w:rsidRDefault="00AD56D4" w:rsidP="007976BE">
            <w:pPr>
              <w:spacing w:line="200" w:lineRule="exact"/>
              <w:contextualSpacing/>
              <w:rPr>
                <w:color w:val="auto"/>
                <w:sz w:val="20"/>
              </w:rPr>
            </w:pPr>
            <w:r w:rsidRPr="00EC71DB">
              <w:rPr>
                <w:color w:val="auto"/>
                <w:sz w:val="20"/>
              </w:rPr>
              <w:t>200⁰</w:t>
            </w:r>
          </w:p>
        </w:tc>
      </w:tr>
      <w:tr w:rsidR="00AD56D4" w:rsidRPr="00EC71DB" w:rsidTr="00AD56D4">
        <w:trPr>
          <w:jc w:val="center"/>
        </w:trPr>
        <w:tc>
          <w:tcPr>
            <w:tcW w:w="1966" w:type="dxa"/>
            <w:tcBorders>
              <w:top w:val="single" w:sz="4" w:space="0" w:color="auto"/>
              <w:left w:val="single" w:sz="4" w:space="0" w:color="auto"/>
              <w:bottom w:val="single" w:sz="4" w:space="0" w:color="auto"/>
              <w:right w:val="single" w:sz="4" w:space="0" w:color="auto"/>
            </w:tcBorders>
            <w:vAlign w:val="center"/>
          </w:tcPr>
          <w:p w:rsidR="00AD56D4" w:rsidRPr="00EC71DB" w:rsidRDefault="00AD56D4" w:rsidP="007976BE">
            <w:pPr>
              <w:tabs>
                <w:tab w:val="left" w:pos="288"/>
                <w:tab w:val="left" w:pos="4752"/>
              </w:tabs>
              <w:spacing w:line="200" w:lineRule="exact"/>
              <w:rPr>
                <w:color w:val="auto"/>
                <w:sz w:val="20"/>
              </w:rPr>
            </w:pPr>
            <w:r w:rsidRPr="00EC71DB">
              <w:rPr>
                <w:color w:val="auto"/>
                <w:sz w:val="20"/>
              </w:rPr>
              <w:t>Comment</w:t>
            </w:r>
          </w:p>
        </w:tc>
        <w:tc>
          <w:tcPr>
            <w:tcW w:w="1922" w:type="dxa"/>
            <w:tcBorders>
              <w:top w:val="single" w:sz="4" w:space="0" w:color="auto"/>
              <w:left w:val="single" w:sz="4" w:space="0" w:color="auto"/>
              <w:bottom w:val="single" w:sz="4" w:space="0" w:color="auto"/>
              <w:right w:val="single" w:sz="4" w:space="0" w:color="auto"/>
            </w:tcBorders>
          </w:tcPr>
          <w:p w:rsidR="00AD56D4" w:rsidRPr="00EC71DB" w:rsidRDefault="00AD56D4" w:rsidP="007976BE">
            <w:pPr>
              <w:tabs>
                <w:tab w:val="left" w:pos="288"/>
                <w:tab w:val="left" w:pos="4752"/>
              </w:tabs>
              <w:spacing w:line="200" w:lineRule="exact"/>
              <w:jc w:val="left"/>
              <w:rPr>
                <w:rFonts w:asciiTheme="minorHAnsi" w:eastAsiaTheme="minorHAnsi" w:hAnsiTheme="minorHAnsi"/>
                <w:color w:val="auto"/>
                <w:sz w:val="18"/>
                <w:szCs w:val="18"/>
              </w:rPr>
            </w:pPr>
            <w:r w:rsidRPr="00EC71DB">
              <w:rPr>
                <w:rFonts w:asciiTheme="minorHAnsi" w:eastAsiaTheme="minorHAnsi" w:hAnsiTheme="minorHAnsi"/>
                <w:color w:val="auto"/>
                <w:sz w:val="18"/>
                <w:szCs w:val="18"/>
              </w:rPr>
              <w:t>Non-tender; no deformity, scoliosis or muscular swelling; normal strength and reflexes</w:t>
            </w:r>
          </w:p>
        </w:tc>
        <w:tc>
          <w:tcPr>
            <w:tcW w:w="1922" w:type="dxa"/>
            <w:tcBorders>
              <w:top w:val="single" w:sz="4" w:space="0" w:color="auto"/>
              <w:left w:val="single" w:sz="4" w:space="0" w:color="auto"/>
              <w:bottom w:val="single" w:sz="4" w:space="0" w:color="auto"/>
              <w:right w:val="single" w:sz="4" w:space="0" w:color="auto"/>
            </w:tcBorders>
            <w:vAlign w:val="center"/>
          </w:tcPr>
          <w:p w:rsidR="004F6DB6" w:rsidRPr="00EC71DB" w:rsidRDefault="00483C9D" w:rsidP="004F6DB6">
            <w:pPr>
              <w:tabs>
                <w:tab w:val="left" w:pos="288"/>
                <w:tab w:val="left" w:pos="4752"/>
              </w:tabs>
              <w:spacing w:line="200" w:lineRule="exact"/>
              <w:jc w:val="left"/>
              <w:rPr>
                <w:rFonts w:asciiTheme="minorHAnsi" w:eastAsiaTheme="minorHAnsi" w:hAnsiTheme="minorHAnsi"/>
                <w:color w:val="auto"/>
                <w:sz w:val="18"/>
                <w:szCs w:val="18"/>
              </w:rPr>
            </w:pPr>
            <w:r w:rsidRPr="00EC71DB">
              <w:rPr>
                <w:rFonts w:asciiTheme="minorHAnsi" w:eastAsiaTheme="minorHAnsi" w:hAnsiTheme="minorHAnsi"/>
                <w:color w:val="auto"/>
                <w:sz w:val="18"/>
                <w:szCs w:val="18"/>
              </w:rPr>
              <w:t>(* missing rotation measurements)</w:t>
            </w:r>
            <w:r w:rsidR="004F6DB6" w:rsidRPr="00EC71DB">
              <w:rPr>
                <w:rFonts w:asciiTheme="minorHAnsi" w:eastAsiaTheme="minorHAnsi" w:hAnsiTheme="minorHAnsi"/>
                <w:color w:val="auto"/>
                <w:sz w:val="18"/>
                <w:szCs w:val="18"/>
              </w:rPr>
              <w:t>;</w:t>
            </w:r>
            <w:r w:rsidRPr="00EC71DB">
              <w:rPr>
                <w:rFonts w:asciiTheme="minorHAnsi" w:eastAsiaTheme="minorHAnsi" w:hAnsiTheme="minorHAnsi"/>
                <w:color w:val="auto"/>
                <w:sz w:val="18"/>
                <w:szCs w:val="18"/>
              </w:rPr>
              <w:t xml:space="preserve"> </w:t>
            </w:r>
          </w:p>
          <w:p w:rsidR="00AD56D4" w:rsidRPr="00EC71DB" w:rsidRDefault="00AD56D4" w:rsidP="004F6DB6">
            <w:pPr>
              <w:tabs>
                <w:tab w:val="left" w:pos="288"/>
                <w:tab w:val="left" w:pos="4752"/>
              </w:tabs>
              <w:spacing w:line="200" w:lineRule="exact"/>
              <w:jc w:val="left"/>
              <w:rPr>
                <w:rFonts w:asciiTheme="minorHAnsi" w:eastAsiaTheme="minorHAnsi" w:hAnsiTheme="minorHAnsi"/>
                <w:color w:val="auto"/>
                <w:sz w:val="18"/>
                <w:szCs w:val="18"/>
              </w:rPr>
            </w:pPr>
            <w:r w:rsidRPr="00EC71DB">
              <w:rPr>
                <w:rFonts w:asciiTheme="minorHAnsi" w:eastAsiaTheme="minorHAnsi" w:hAnsiTheme="minorHAnsi"/>
                <w:color w:val="auto"/>
                <w:sz w:val="18"/>
                <w:szCs w:val="18"/>
              </w:rPr>
              <w:t>Pain on palpation; normal motor, reflexes and straight leg test</w:t>
            </w:r>
          </w:p>
        </w:tc>
        <w:tc>
          <w:tcPr>
            <w:tcW w:w="2430" w:type="dxa"/>
            <w:tcBorders>
              <w:top w:val="single" w:sz="4" w:space="0" w:color="auto"/>
              <w:left w:val="single" w:sz="4" w:space="0" w:color="auto"/>
              <w:bottom w:val="single" w:sz="4" w:space="0" w:color="auto"/>
              <w:right w:val="single" w:sz="4" w:space="0" w:color="auto"/>
            </w:tcBorders>
            <w:vAlign w:val="center"/>
          </w:tcPr>
          <w:p w:rsidR="00AD56D4" w:rsidRPr="00EC71DB" w:rsidRDefault="007976BE" w:rsidP="00273222">
            <w:pPr>
              <w:tabs>
                <w:tab w:val="left" w:pos="288"/>
                <w:tab w:val="left" w:pos="4752"/>
              </w:tabs>
              <w:spacing w:line="200" w:lineRule="exact"/>
              <w:jc w:val="left"/>
              <w:rPr>
                <w:color w:val="auto"/>
                <w:sz w:val="20"/>
              </w:rPr>
            </w:pPr>
            <w:r w:rsidRPr="00EC71DB">
              <w:rPr>
                <w:rFonts w:asciiTheme="minorHAnsi" w:eastAsiaTheme="minorHAnsi" w:hAnsiTheme="minorHAnsi"/>
                <w:color w:val="auto"/>
                <w:sz w:val="18"/>
                <w:szCs w:val="18"/>
              </w:rPr>
              <w:t xml:space="preserve">Pain on extension; </w:t>
            </w:r>
            <w:r w:rsidR="00273222" w:rsidRPr="00EC71DB">
              <w:rPr>
                <w:rFonts w:asciiTheme="minorHAnsi" w:eastAsiaTheme="minorHAnsi" w:hAnsiTheme="minorHAnsi"/>
                <w:color w:val="auto"/>
                <w:sz w:val="18"/>
                <w:szCs w:val="18"/>
              </w:rPr>
              <w:t xml:space="preserve">tender; </w:t>
            </w:r>
            <w:r w:rsidRPr="00EC71DB">
              <w:rPr>
                <w:rFonts w:asciiTheme="minorHAnsi" w:eastAsiaTheme="minorHAnsi" w:hAnsiTheme="minorHAnsi"/>
                <w:color w:val="auto"/>
                <w:sz w:val="18"/>
                <w:szCs w:val="18"/>
              </w:rPr>
              <w:t xml:space="preserve">posture and gait normal; no deformity or muscle spasm; </w:t>
            </w:r>
            <w:r w:rsidR="00273222" w:rsidRPr="00EC71DB">
              <w:rPr>
                <w:rFonts w:asciiTheme="minorHAnsi" w:eastAsiaTheme="minorHAnsi" w:hAnsiTheme="minorHAnsi"/>
                <w:color w:val="auto"/>
                <w:sz w:val="18"/>
                <w:szCs w:val="18"/>
              </w:rPr>
              <w:t xml:space="preserve">motor and sensory normal; </w:t>
            </w:r>
            <w:r w:rsidR="00AD56D4" w:rsidRPr="00EC71DB">
              <w:rPr>
                <w:rFonts w:asciiTheme="minorHAnsi" w:eastAsiaTheme="minorHAnsi" w:hAnsiTheme="minorHAnsi"/>
                <w:color w:val="auto"/>
                <w:sz w:val="18"/>
                <w:szCs w:val="18"/>
              </w:rPr>
              <w:t>negative DeLuca</w:t>
            </w:r>
            <w:r w:rsidR="00273222" w:rsidRPr="00EC71DB">
              <w:rPr>
                <w:rFonts w:asciiTheme="minorHAnsi" w:eastAsiaTheme="minorHAnsi" w:hAnsiTheme="minorHAnsi"/>
                <w:color w:val="auto"/>
                <w:sz w:val="18"/>
                <w:szCs w:val="18"/>
              </w:rPr>
              <w:t>; audible/palpable click in left SI region with sit-ups on exam</w:t>
            </w:r>
          </w:p>
        </w:tc>
      </w:tr>
      <w:tr w:rsidR="00AD56D4" w:rsidRPr="00EC71DB" w:rsidTr="00AD56D4">
        <w:trPr>
          <w:jc w:val="center"/>
        </w:trPr>
        <w:tc>
          <w:tcPr>
            <w:tcW w:w="1966" w:type="dxa"/>
            <w:tcBorders>
              <w:top w:val="single" w:sz="4" w:space="0" w:color="auto"/>
              <w:left w:val="single" w:sz="4" w:space="0" w:color="auto"/>
              <w:bottom w:val="single" w:sz="4" w:space="0" w:color="auto"/>
              <w:right w:val="single" w:sz="4" w:space="0" w:color="auto"/>
            </w:tcBorders>
            <w:vAlign w:val="center"/>
          </w:tcPr>
          <w:p w:rsidR="00AD56D4" w:rsidRPr="00EC71DB" w:rsidRDefault="00AD56D4" w:rsidP="007976BE">
            <w:pPr>
              <w:tabs>
                <w:tab w:val="left" w:pos="288"/>
                <w:tab w:val="left" w:pos="4752"/>
              </w:tabs>
              <w:spacing w:line="200" w:lineRule="exact"/>
              <w:rPr>
                <w:color w:val="auto"/>
                <w:sz w:val="20"/>
              </w:rPr>
            </w:pPr>
            <w:r w:rsidRPr="00EC71DB">
              <w:rPr>
                <w:color w:val="auto"/>
                <w:sz w:val="20"/>
              </w:rPr>
              <w:t>§4.71a Rating</w:t>
            </w:r>
          </w:p>
        </w:tc>
        <w:tc>
          <w:tcPr>
            <w:tcW w:w="1922" w:type="dxa"/>
            <w:tcBorders>
              <w:top w:val="single" w:sz="4" w:space="0" w:color="auto"/>
              <w:left w:val="single" w:sz="4" w:space="0" w:color="auto"/>
              <w:bottom w:val="single" w:sz="4" w:space="0" w:color="auto"/>
              <w:right w:val="single" w:sz="4" w:space="0" w:color="auto"/>
            </w:tcBorders>
          </w:tcPr>
          <w:p w:rsidR="00AD56D4" w:rsidRPr="00EC71DB" w:rsidRDefault="00AD56D4" w:rsidP="007976BE">
            <w:pPr>
              <w:tabs>
                <w:tab w:val="left" w:pos="288"/>
                <w:tab w:val="left" w:pos="4752"/>
              </w:tabs>
              <w:spacing w:line="200" w:lineRule="exact"/>
              <w:rPr>
                <w:color w:val="auto"/>
                <w:sz w:val="20"/>
              </w:rPr>
            </w:pPr>
            <w:r w:rsidRPr="00EC71DB">
              <w:rPr>
                <w:color w:val="auto"/>
                <w:sz w:val="20"/>
              </w:rPr>
              <w:t>0%</w:t>
            </w:r>
          </w:p>
        </w:tc>
        <w:tc>
          <w:tcPr>
            <w:tcW w:w="1922" w:type="dxa"/>
            <w:tcBorders>
              <w:top w:val="single" w:sz="4" w:space="0" w:color="auto"/>
              <w:left w:val="single" w:sz="4" w:space="0" w:color="auto"/>
              <w:bottom w:val="single" w:sz="4" w:space="0" w:color="auto"/>
              <w:right w:val="single" w:sz="4" w:space="0" w:color="auto"/>
            </w:tcBorders>
            <w:vAlign w:val="center"/>
          </w:tcPr>
          <w:p w:rsidR="00AD56D4" w:rsidRPr="00EC71DB" w:rsidRDefault="00AD56D4" w:rsidP="007976BE">
            <w:pPr>
              <w:tabs>
                <w:tab w:val="left" w:pos="288"/>
                <w:tab w:val="left" w:pos="4752"/>
              </w:tabs>
              <w:spacing w:line="200" w:lineRule="exact"/>
              <w:rPr>
                <w:color w:val="auto"/>
                <w:sz w:val="20"/>
              </w:rPr>
            </w:pPr>
            <w:r w:rsidRPr="00EC71DB">
              <w:rPr>
                <w:color w:val="auto"/>
                <w:sz w:val="20"/>
              </w:rPr>
              <w:t>10%</w:t>
            </w:r>
          </w:p>
        </w:tc>
        <w:tc>
          <w:tcPr>
            <w:tcW w:w="2430" w:type="dxa"/>
            <w:tcBorders>
              <w:top w:val="single" w:sz="4" w:space="0" w:color="auto"/>
              <w:left w:val="single" w:sz="4" w:space="0" w:color="auto"/>
              <w:bottom w:val="single" w:sz="4" w:space="0" w:color="auto"/>
              <w:right w:val="single" w:sz="4" w:space="0" w:color="auto"/>
            </w:tcBorders>
            <w:vAlign w:val="center"/>
          </w:tcPr>
          <w:p w:rsidR="00AD56D4" w:rsidRPr="00EC71DB" w:rsidRDefault="00AD56D4" w:rsidP="007976BE">
            <w:pPr>
              <w:tabs>
                <w:tab w:val="left" w:pos="288"/>
                <w:tab w:val="left" w:pos="4752"/>
              </w:tabs>
              <w:spacing w:line="200" w:lineRule="exact"/>
              <w:rPr>
                <w:color w:val="auto"/>
                <w:sz w:val="20"/>
              </w:rPr>
            </w:pPr>
            <w:r w:rsidRPr="00EC71DB">
              <w:rPr>
                <w:color w:val="auto"/>
                <w:sz w:val="20"/>
              </w:rPr>
              <w:t>10%</w:t>
            </w:r>
          </w:p>
        </w:tc>
      </w:tr>
    </w:tbl>
    <w:p w:rsidR="00EB32ED" w:rsidRPr="00EC71DB" w:rsidRDefault="00EB32ED" w:rsidP="00CF45CF">
      <w:pPr>
        <w:jc w:val="both"/>
        <w:rPr>
          <w:rFonts w:eastAsiaTheme="minorHAnsi" w:cs="Calibri"/>
          <w:color w:val="auto"/>
          <w:szCs w:val="24"/>
        </w:rPr>
      </w:pPr>
    </w:p>
    <w:p w:rsidR="00483C9D" w:rsidRPr="00EC71DB" w:rsidRDefault="00273222" w:rsidP="00273222">
      <w:pPr>
        <w:jc w:val="both"/>
        <w:rPr>
          <w:color w:val="auto"/>
          <w:szCs w:val="24"/>
        </w:rPr>
      </w:pPr>
      <w:r w:rsidRPr="00EC71DB">
        <w:rPr>
          <w:color w:val="auto"/>
          <w:szCs w:val="24"/>
        </w:rPr>
        <w:t xml:space="preserve">The </w:t>
      </w:r>
      <w:r w:rsidR="00901EE7">
        <w:rPr>
          <w:color w:val="auto"/>
          <w:szCs w:val="24"/>
        </w:rPr>
        <w:t>narrative summary (</w:t>
      </w:r>
      <w:r w:rsidRPr="00EC71DB">
        <w:rPr>
          <w:color w:val="auto"/>
          <w:szCs w:val="24"/>
        </w:rPr>
        <w:t>NARSUM</w:t>
      </w:r>
      <w:r w:rsidR="00901EE7">
        <w:rPr>
          <w:color w:val="auto"/>
          <w:szCs w:val="24"/>
        </w:rPr>
        <w:t>)</w:t>
      </w:r>
      <w:r w:rsidR="00483C9D" w:rsidRPr="00EC71DB">
        <w:rPr>
          <w:color w:val="auto"/>
          <w:szCs w:val="24"/>
        </w:rPr>
        <w:t xml:space="preserve">, </w:t>
      </w:r>
      <w:r w:rsidR="00FC4D5C">
        <w:rPr>
          <w:color w:val="auto"/>
          <w:szCs w:val="24"/>
        </w:rPr>
        <w:t xml:space="preserve">completed </w:t>
      </w:r>
      <w:r w:rsidR="00901EE7">
        <w:rPr>
          <w:color w:val="auto"/>
          <w:szCs w:val="24"/>
        </w:rPr>
        <w:t xml:space="preserve">6 months prior to </w:t>
      </w:r>
      <w:r w:rsidR="00483C9D" w:rsidRPr="00EC71DB">
        <w:rPr>
          <w:color w:val="auto"/>
          <w:szCs w:val="24"/>
        </w:rPr>
        <w:t>separation</w:t>
      </w:r>
      <w:r w:rsidR="00FC4D5C">
        <w:rPr>
          <w:color w:val="auto"/>
          <w:szCs w:val="24"/>
        </w:rPr>
        <w:t>,</w:t>
      </w:r>
      <w:r w:rsidR="00483C9D" w:rsidRPr="00EC71DB">
        <w:rPr>
          <w:color w:val="auto"/>
          <w:szCs w:val="24"/>
        </w:rPr>
        <w:t xml:space="preserve"> indicated good pain control when restricted as profiled and an unmeasured full ROM with no pain, tenderness, spasm, or sensory or motor abnormality.  Formal ROM testing requested by the PEB indicated limited thoracolumbar ROM with pain on rotation, tenderness</w:t>
      </w:r>
      <w:r w:rsidR="00A032A2" w:rsidRPr="00EC71DB">
        <w:rPr>
          <w:color w:val="auto"/>
          <w:szCs w:val="24"/>
        </w:rPr>
        <w:t>,</w:t>
      </w:r>
      <w:r w:rsidR="00483C9D" w:rsidRPr="00EC71DB">
        <w:rPr>
          <w:color w:val="auto"/>
          <w:szCs w:val="24"/>
        </w:rPr>
        <w:t xml:space="preserve"> and as specific rotation measurements were absent</w:t>
      </w:r>
      <w:r w:rsidR="00A032A2" w:rsidRPr="00EC71DB">
        <w:rPr>
          <w:color w:val="auto"/>
          <w:szCs w:val="24"/>
        </w:rPr>
        <w:t>,</w:t>
      </w:r>
      <w:r w:rsidR="00483C9D" w:rsidRPr="00EC71DB">
        <w:rPr>
          <w:color w:val="auto"/>
          <w:szCs w:val="24"/>
        </w:rPr>
        <w:t xml:space="preserve"> a range of combined thoracolumbar ROM between 150-230⁰ calculated with 0⁰ </w:t>
      </w:r>
      <w:r w:rsidR="00A032A2" w:rsidRPr="00EC71DB">
        <w:rPr>
          <w:color w:val="auto"/>
          <w:szCs w:val="24"/>
        </w:rPr>
        <w:t>rotations</w:t>
      </w:r>
      <w:r w:rsidR="00483C9D" w:rsidRPr="00EC71DB">
        <w:rPr>
          <w:color w:val="auto"/>
          <w:szCs w:val="24"/>
        </w:rPr>
        <w:t xml:space="preserve"> or </w:t>
      </w:r>
      <w:r w:rsidR="00F82A14" w:rsidRPr="00EC71DB">
        <w:rPr>
          <w:color w:val="auto"/>
          <w:szCs w:val="24"/>
        </w:rPr>
        <w:t>30⁰ rotation</w:t>
      </w:r>
      <w:r w:rsidR="00A032A2" w:rsidRPr="00EC71DB">
        <w:rPr>
          <w:color w:val="auto"/>
          <w:szCs w:val="24"/>
        </w:rPr>
        <w:t>s</w:t>
      </w:r>
      <w:r w:rsidR="00F82A14" w:rsidRPr="00EC71DB">
        <w:rPr>
          <w:color w:val="auto"/>
          <w:szCs w:val="24"/>
        </w:rPr>
        <w:t xml:space="preserve"> for each side (</w:t>
      </w:r>
      <w:r w:rsidR="00483C9D" w:rsidRPr="00EC71DB">
        <w:rPr>
          <w:color w:val="auto"/>
          <w:szCs w:val="24"/>
        </w:rPr>
        <w:t>normal 240⁰)</w:t>
      </w:r>
      <w:r w:rsidR="00F82A14" w:rsidRPr="00EC71DB">
        <w:rPr>
          <w:color w:val="auto"/>
          <w:szCs w:val="24"/>
        </w:rPr>
        <w:t xml:space="preserve">.  The VA exam </w:t>
      </w:r>
      <w:r w:rsidR="00FC4D5C">
        <w:rPr>
          <w:color w:val="auto"/>
          <w:szCs w:val="24"/>
        </w:rPr>
        <w:t xml:space="preserve">performed </w:t>
      </w:r>
      <w:r w:rsidR="00901EE7">
        <w:rPr>
          <w:color w:val="auto"/>
          <w:szCs w:val="24"/>
        </w:rPr>
        <w:t>3</w:t>
      </w:r>
      <w:r w:rsidR="00F82A14" w:rsidRPr="00EC71DB">
        <w:rPr>
          <w:color w:val="auto"/>
          <w:szCs w:val="24"/>
        </w:rPr>
        <w:t xml:space="preserve"> months after separation documented comparable findings of tenderness, painful motion and limited ROM as charted above.  </w:t>
      </w:r>
    </w:p>
    <w:p w:rsidR="00273222" w:rsidRPr="00EC71DB" w:rsidRDefault="00273222" w:rsidP="00273222">
      <w:pPr>
        <w:jc w:val="both"/>
        <w:rPr>
          <w:color w:val="auto"/>
          <w:szCs w:val="24"/>
        </w:rPr>
      </w:pPr>
    </w:p>
    <w:p w:rsidR="00F82A14" w:rsidRPr="00EC71DB" w:rsidRDefault="00273222" w:rsidP="00F82A14">
      <w:pPr>
        <w:jc w:val="both"/>
        <w:rPr>
          <w:rFonts w:eastAsia="Calibri" w:cs="Times New Roman"/>
          <w:color w:val="auto"/>
          <w:szCs w:val="24"/>
        </w:rPr>
      </w:pPr>
      <w:r w:rsidRPr="00EC71DB">
        <w:rPr>
          <w:color w:val="auto"/>
          <w:szCs w:val="24"/>
        </w:rPr>
        <w:t>The Board directs attention to its rating recommendation based on the above evidence.  The PEB’s 10% rating was consistent with the VASRD §4.71a general rating formula fo</w:t>
      </w:r>
      <w:r w:rsidR="00F82A14" w:rsidRPr="00EC71DB">
        <w:rPr>
          <w:color w:val="auto"/>
          <w:szCs w:val="24"/>
        </w:rPr>
        <w:t xml:space="preserve">r the spine.  </w:t>
      </w:r>
      <w:r w:rsidR="00A032A2" w:rsidRPr="00EC71DB">
        <w:rPr>
          <w:rFonts w:eastAsia="Calibri" w:cs="Times New Roman"/>
          <w:color w:val="auto"/>
          <w:szCs w:val="24"/>
        </w:rPr>
        <w:t xml:space="preserve">The spine is rated “with or without symptoms such as pain (whether or not it radiates), stiffness, or aching in the area of the spine affected by residuals of injury or disease” and the thoracic and lumbar spine are considered as one spine segment thoracolumbar IAW Note (6).  </w:t>
      </w:r>
      <w:r w:rsidR="00F82A14" w:rsidRPr="00EC71DB">
        <w:rPr>
          <w:color w:val="auto"/>
          <w:szCs w:val="24"/>
        </w:rPr>
        <w:t>All evidence is</w:t>
      </w:r>
      <w:r w:rsidRPr="00EC71DB">
        <w:rPr>
          <w:color w:val="auto"/>
          <w:szCs w:val="24"/>
        </w:rPr>
        <w:t xml:space="preserve"> consistent with </w:t>
      </w:r>
      <w:r w:rsidR="00F82A14" w:rsidRPr="00EC71DB">
        <w:rPr>
          <w:color w:val="auto"/>
          <w:szCs w:val="24"/>
        </w:rPr>
        <w:t xml:space="preserve">no greater than </w:t>
      </w:r>
      <w:r w:rsidRPr="00EC71DB">
        <w:rPr>
          <w:color w:val="auto"/>
          <w:szCs w:val="24"/>
        </w:rPr>
        <w:t xml:space="preserve">a </w:t>
      </w:r>
      <w:r w:rsidR="00F82A14" w:rsidRPr="00EC71DB">
        <w:rPr>
          <w:color w:val="auto"/>
          <w:szCs w:val="24"/>
        </w:rPr>
        <w:t>1</w:t>
      </w:r>
      <w:r w:rsidRPr="00EC71DB">
        <w:rPr>
          <w:color w:val="auto"/>
          <w:szCs w:val="24"/>
        </w:rPr>
        <w:t>0% rating IAW §4.71a.</w:t>
      </w:r>
      <w:r w:rsidR="00A032A2" w:rsidRPr="00EC71DB">
        <w:rPr>
          <w:color w:val="auto"/>
          <w:szCs w:val="24"/>
        </w:rPr>
        <w:t>,</w:t>
      </w:r>
      <w:r w:rsidRPr="00EC71DB">
        <w:rPr>
          <w:color w:val="auto"/>
          <w:szCs w:val="24"/>
        </w:rPr>
        <w:t xml:space="preserve"> </w:t>
      </w:r>
      <w:r w:rsidR="00F82A14" w:rsidRPr="00EC71DB">
        <w:rPr>
          <w:color w:val="auto"/>
          <w:szCs w:val="24"/>
        </w:rPr>
        <w:t xml:space="preserve">for either </w:t>
      </w:r>
      <w:r w:rsidR="005939C4" w:rsidRPr="00EC71DB">
        <w:rPr>
          <w:color w:val="auto"/>
          <w:szCs w:val="24"/>
        </w:rPr>
        <w:t xml:space="preserve">tenderness, </w:t>
      </w:r>
      <w:r w:rsidR="00F82A14" w:rsidRPr="00EC71DB">
        <w:rPr>
          <w:color w:val="auto"/>
          <w:szCs w:val="24"/>
        </w:rPr>
        <w:t>forward flexion of the thoracolumbar spine greater than 60</w:t>
      </w:r>
      <w:r w:rsidR="00A032A2" w:rsidRPr="00EC71DB">
        <w:rPr>
          <w:color w:val="auto"/>
          <w:szCs w:val="24"/>
        </w:rPr>
        <w:t xml:space="preserve">⁰ </w:t>
      </w:r>
      <w:r w:rsidR="00F82A14" w:rsidRPr="00EC71DB">
        <w:rPr>
          <w:color w:val="auto"/>
          <w:szCs w:val="24"/>
        </w:rPr>
        <w:t>but not greater than 85</w:t>
      </w:r>
      <w:r w:rsidR="00A032A2" w:rsidRPr="00EC71DB">
        <w:rPr>
          <w:color w:val="auto"/>
          <w:szCs w:val="24"/>
        </w:rPr>
        <w:t>⁰</w:t>
      </w:r>
      <w:r w:rsidR="00F82A14" w:rsidRPr="00EC71DB">
        <w:rPr>
          <w:color w:val="auto"/>
          <w:szCs w:val="24"/>
        </w:rPr>
        <w:t xml:space="preserve">; or, combined range of </w:t>
      </w:r>
      <w:r w:rsidR="00F82A14" w:rsidRPr="00EC71DB">
        <w:rPr>
          <w:rFonts w:eastAsia="Calibri" w:cs="Times New Roman"/>
          <w:color w:val="auto"/>
          <w:szCs w:val="24"/>
        </w:rPr>
        <w:t>motion of the thoracolumbar spine greater than 120</w:t>
      </w:r>
      <w:r w:rsidR="00A032A2" w:rsidRPr="00EC71DB">
        <w:rPr>
          <w:rFonts w:eastAsia="Calibri" w:cs="Times New Roman"/>
          <w:color w:val="auto"/>
          <w:szCs w:val="24"/>
        </w:rPr>
        <w:t xml:space="preserve">⁰ </w:t>
      </w:r>
      <w:r w:rsidR="00F82A14" w:rsidRPr="00EC71DB">
        <w:rPr>
          <w:rFonts w:eastAsia="Calibri" w:cs="Times New Roman"/>
          <w:color w:val="auto"/>
          <w:szCs w:val="24"/>
        </w:rPr>
        <w:t>but not greater than 235</w:t>
      </w:r>
      <w:r w:rsidR="00A032A2" w:rsidRPr="00EC71DB">
        <w:rPr>
          <w:rFonts w:eastAsia="Calibri" w:cs="Times New Roman"/>
          <w:color w:val="auto"/>
          <w:szCs w:val="24"/>
        </w:rPr>
        <w:t>⁰</w:t>
      </w:r>
      <w:r w:rsidR="00F82A14" w:rsidRPr="00EC71DB">
        <w:rPr>
          <w:rFonts w:eastAsia="Calibri" w:cs="Times New Roman"/>
          <w:color w:val="auto"/>
          <w:szCs w:val="24"/>
        </w:rPr>
        <w:t xml:space="preserve">.  </w:t>
      </w:r>
      <w:r w:rsidRPr="00EC71DB">
        <w:rPr>
          <w:color w:val="auto"/>
          <w:szCs w:val="24"/>
        </w:rPr>
        <w:t xml:space="preserve">There was no evidence of ratable peripheral nerve impairment or documentation of incapacitating episodes </w:t>
      </w:r>
      <w:r w:rsidR="00F82A14" w:rsidRPr="00EC71DB">
        <w:rPr>
          <w:color w:val="auto"/>
          <w:szCs w:val="24"/>
        </w:rPr>
        <w:t xml:space="preserve">in this case (aside from the initial injury timeframe) </w:t>
      </w:r>
      <w:r w:rsidRPr="00EC71DB">
        <w:rPr>
          <w:color w:val="auto"/>
          <w:szCs w:val="24"/>
        </w:rPr>
        <w:t xml:space="preserve">which would provide for additional or higher rating.  </w:t>
      </w:r>
      <w:r w:rsidR="00F82A14" w:rsidRPr="00EC71DB">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 back condition.</w:t>
      </w:r>
      <w:r w:rsidR="004F6DB6" w:rsidRPr="00EC71DB">
        <w:rPr>
          <w:rFonts w:eastAsia="Calibri" w:cs="Times New Roman"/>
          <w:color w:val="auto"/>
          <w:szCs w:val="24"/>
        </w:rPr>
        <w:t xml:space="preserve">  </w:t>
      </w:r>
    </w:p>
    <w:p w:rsidR="001031F4" w:rsidRPr="00EC71DB" w:rsidRDefault="001031F4" w:rsidP="00BF0E94">
      <w:pPr>
        <w:pBdr>
          <w:bottom w:val="single" w:sz="12" w:space="1" w:color="auto"/>
        </w:pBdr>
        <w:tabs>
          <w:tab w:val="left" w:pos="288"/>
          <w:tab w:val="left" w:pos="4752"/>
        </w:tabs>
        <w:jc w:val="both"/>
        <w:rPr>
          <w:color w:val="auto"/>
        </w:rPr>
      </w:pPr>
    </w:p>
    <w:p w:rsidR="00F1737C" w:rsidRPr="00EC71DB" w:rsidRDefault="00F1737C" w:rsidP="006364ED">
      <w:pPr>
        <w:jc w:val="left"/>
        <w:rPr>
          <w:color w:val="auto"/>
          <w:szCs w:val="24"/>
        </w:rPr>
      </w:pPr>
    </w:p>
    <w:p w:rsidR="00F82A14" w:rsidRPr="00EC71DB" w:rsidRDefault="00C56FC8" w:rsidP="003C53E8">
      <w:pPr>
        <w:jc w:val="both"/>
        <w:rPr>
          <w:rFonts w:asciiTheme="minorHAnsi" w:eastAsiaTheme="minorHAnsi" w:hAnsiTheme="minorHAnsi" w:cs="Times New Roman"/>
          <w:color w:val="auto"/>
          <w:szCs w:val="24"/>
        </w:rPr>
      </w:pPr>
      <w:r w:rsidRPr="00EC71DB">
        <w:rPr>
          <w:color w:val="auto"/>
          <w:szCs w:val="24"/>
          <w:u w:val="single"/>
        </w:rPr>
        <w:t>BOARD FINDINGS</w:t>
      </w:r>
      <w:r w:rsidRPr="00EC71DB">
        <w:rPr>
          <w:color w:val="auto"/>
          <w:szCs w:val="24"/>
        </w:rPr>
        <w:t>:</w:t>
      </w:r>
      <w:r w:rsidRPr="00EC71DB">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EC71DB">
        <w:rPr>
          <w:rFonts w:asciiTheme="minorHAnsi" w:eastAsiaTheme="minorHAnsi" w:hAnsiTheme="minorHAnsi" w:cs="Times New Roman"/>
          <w:color w:val="auto"/>
          <w:szCs w:val="24"/>
        </w:rPr>
        <w:t xml:space="preserve">. </w:t>
      </w:r>
      <w:r w:rsidR="00CF45CF" w:rsidRPr="00EC71DB">
        <w:rPr>
          <w:rFonts w:asciiTheme="minorHAnsi" w:eastAsiaTheme="minorHAnsi" w:hAnsiTheme="minorHAnsi" w:cs="Times New Roman"/>
          <w:color w:val="auto"/>
          <w:szCs w:val="24"/>
        </w:rPr>
        <w:t xml:space="preserve"> </w:t>
      </w:r>
      <w:r w:rsidR="00F82A14" w:rsidRPr="00EC71DB">
        <w:rPr>
          <w:rFonts w:asciiTheme="minorHAnsi" w:eastAsiaTheme="minorHAnsi" w:hAnsiTheme="minorHAnsi" w:cs="Times New Roman"/>
          <w:color w:val="auto"/>
          <w:szCs w:val="24"/>
        </w:rPr>
        <w:t xml:space="preserve">The Board did not surmise from the record or PEB ruling in this case that any prerogatives outside the VASRD were exercised.  </w:t>
      </w:r>
      <w:r w:rsidR="00F82A14" w:rsidRPr="00EC71DB">
        <w:rPr>
          <w:rFonts w:eastAsia="Calibri" w:cs="Times New Roman"/>
          <w:color w:val="auto"/>
          <w:szCs w:val="24"/>
        </w:rPr>
        <w:t xml:space="preserve">In the matter of the thoracic back condition, the Board unanimously recommends no change from the PEB determinations as not unfitting.  </w:t>
      </w:r>
      <w:r w:rsidR="00F82A14" w:rsidRPr="00EC71DB">
        <w:rPr>
          <w:rFonts w:asciiTheme="minorHAnsi" w:eastAsiaTheme="minorHAnsi" w:hAnsiTheme="minorHAnsi" w:cs="Times New Roman"/>
          <w:color w:val="auto"/>
          <w:szCs w:val="24"/>
        </w:rPr>
        <w:t xml:space="preserve">The Board unanimously agrees that there were no other conditions eligible for Board consideration which could be recommended as unfitting for additional disability rating.  </w:t>
      </w:r>
    </w:p>
    <w:p w:rsidR="00F1737C" w:rsidRPr="00EC71DB" w:rsidRDefault="00F1737C" w:rsidP="00BF0E94">
      <w:pPr>
        <w:pBdr>
          <w:bottom w:val="single" w:sz="12" w:space="1" w:color="auto"/>
        </w:pBdr>
        <w:tabs>
          <w:tab w:val="left" w:pos="288"/>
          <w:tab w:val="left" w:pos="4752"/>
        </w:tabs>
        <w:jc w:val="both"/>
        <w:rPr>
          <w:color w:val="auto"/>
        </w:rPr>
      </w:pPr>
    </w:p>
    <w:p w:rsidR="00F1737C" w:rsidRPr="00EC71DB" w:rsidRDefault="00F1737C" w:rsidP="006364ED">
      <w:pPr>
        <w:jc w:val="left"/>
        <w:rPr>
          <w:color w:val="auto"/>
          <w:szCs w:val="24"/>
        </w:rPr>
      </w:pPr>
    </w:p>
    <w:p w:rsidR="00EC71DB" w:rsidRDefault="00EC71DB">
      <w:pPr>
        <w:rPr>
          <w:color w:val="auto"/>
          <w:szCs w:val="24"/>
          <w:u w:val="single"/>
        </w:rPr>
      </w:pPr>
      <w:r>
        <w:rPr>
          <w:color w:val="auto"/>
          <w:szCs w:val="24"/>
          <w:u w:val="single"/>
        </w:rPr>
        <w:br w:type="page"/>
      </w:r>
    </w:p>
    <w:p w:rsidR="006B4AA2" w:rsidRPr="00EC71DB" w:rsidRDefault="00C56FC8" w:rsidP="00D848C8">
      <w:pPr>
        <w:jc w:val="left"/>
        <w:rPr>
          <w:color w:val="auto"/>
        </w:rPr>
      </w:pPr>
      <w:r w:rsidRPr="00EC71DB">
        <w:rPr>
          <w:color w:val="auto"/>
          <w:szCs w:val="24"/>
          <w:u w:val="single"/>
        </w:rPr>
        <w:lastRenderedPageBreak/>
        <w:t>RECOMMENDATION</w:t>
      </w:r>
      <w:r w:rsidRPr="00EC71DB">
        <w:rPr>
          <w:color w:val="auto"/>
          <w:szCs w:val="24"/>
        </w:rPr>
        <w:t>:</w:t>
      </w:r>
      <w:r w:rsidR="00CF45CF" w:rsidRPr="00EC71DB">
        <w:rPr>
          <w:color w:val="auto"/>
          <w:szCs w:val="24"/>
        </w:rPr>
        <w:t xml:space="preserve">  </w:t>
      </w:r>
      <w:r w:rsidRPr="00EC71DB">
        <w:rPr>
          <w:color w:val="auto"/>
          <w:szCs w:val="24"/>
        </w:rPr>
        <w:t>The Board</w:t>
      </w:r>
      <w:r w:rsidR="006A543A" w:rsidRPr="00EC71DB">
        <w:rPr>
          <w:color w:val="auto"/>
          <w:szCs w:val="24"/>
        </w:rPr>
        <w:t>,</w:t>
      </w:r>
      <w:r w:rsidRPr="00EC71DB">
        <w:rPr>
          <w:color w:val="auto"/>
          <w:szCs w:val="24"/>
        </w:rPr>
        <w:t xml:space="preserve"> therefore</w:t>
      </w:r>
      <w:r w:rsidR="006A543A" w:rsidRPr="00EC71DB">
        <w:rPr>
          <w:color w:val="auto"/>
          <w:szCs w:val="24"/>
        </w:rPr>
        <w:t>,</w:t>
      </w:r>
      <w:r w:rsidRPr="00EC71DB">
        <w:rPr>
          <w:color w:val="auto"/>
          <w:szCs w:val="24"/>
        </w:rPr>
        <w:t xml:space="preserve"> recommends that there be no </w:t>
      </w:r>
      <w:proofErr w:type="spellStart"/>
      <w:r w:rsidRPr="00EC71DB">
        <w:rPr>
          <w:color w:val="auto"/>
          <w:szCs w:val="24"/>
        </w:rPr>
        <w:t>recharacterization</w:t>
      </w:r>
      <w:proofErr w:type="spellEnd"/>
      <w:r w:rsidRPr="00EC71DB">
        <w:rPr>
          <w:color w:val="auto"/>
          <w:szCs w:val="24"/>
        </w:rPr>
        <w:t xml:space="preserve"> of the CI’s disability and separation determination</w:t>
      </w:r>
      <w:r w:rsidR="008C3FD0" w:rsidRPr="00EC71DB">
        <w:rPr>
          <w:color w:val="auto"/>
          <w:szCs w:val="24"/>
        </w:rPr>
        <w:t>,</w:t>
      </w:r>
      <w:r w:rsidR="00BD2A49" w:rsidRPr="00EC71DB">
        <w:rPr>
          <w:color w:val="auto"/>
          <w:szCs w:val="24"/>
        </w:rPr>
        <w:t xml:space="preserve"> as follows:</w:t>
      </w:r>
      <w:r w:rsidR="003604A5" w:rsidRPr="00EC71DB">
        <w:rPr>
          <w:color w:val="auto"/>
          <w:szCs w:val="24"/>
        </w:rPr>
        <w:t xml:space="preserve"> </w:t>
      </w:r>
      <w:r w:rsidR="00D848C8" w:rsidRPr="00EC71DB">
        <w:rPr>
          <w:color w:val="auto"/>
          <w:szCs w:val="24"/>
        </w:rPr>
        <w:t xml:space="preserve"> </w:t>
      </w:r>
    </w:p>
    <w:p w:rsidR="00BA6A9C" w:rsidRPr="00EC71DB"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EC71DB" w:rsidTr="0080588E">
        <w:trPr>
          <w:trHeight w:val="233"/>
          <w:jc w:val="center"/>
        </w:trPr>
        <w:tc>
          <w:tcPr>
            <w:tcW w:w="6282" w:type="dxa"/>
            <w:shd w:val="clear" w:color="auto" w:fill="D9D9D9"/>
            <w:vAlign w:val="center"/>
          </w:tcPr>
          <w:p w:rsidR="00A95BBA" w:rsidRPr="00EC71DB" w:rsidRDefault="00A95BBA" w:rsidP="00BF0E94">
            <w:pPr>
              <w:tabs>
                <w:tab w:val="left" w:pos="288"/>
                <w:tab w:val="left" w:pos="4752"/>
              </w:tabs>
              <w:rPr>
                <w:b/>
                <w:color w:val="auto"/>
                <w:szCs w:val="24"/>
              </w:rPr>
            </w:pPr>
            <w:r w:rsidRPr="00EC71DB">
              <w:rPr>
                <w:b/>
                <w:color w:val="auto"/>
                <w:szCs w:val="24"/>
              </w:rPr>
              <w:t>UNFITTING CONDITION</w:t>
            </w:r>
          </w:p>
        </w:tc>
        <w:tc>
          <w:tcPr>
            <w:tcW w:w="1710" w:type="dxa"/>
            <w:shd w:val="clear" w:color="auto" w:fill="D9D9D9"/>
            <w:vAlign w:val="center"/>
          </w:tcPr>
          <w:p w:rsidR="00A95BBA" w:rsidRPr="00EC71DB" w:rsidRDefault="00A95BBA" w:rsidP="00BF0E94">
            <w:pPr>
              <w:tabs>
                <w:tab w:val="left" w:pos="288"/>
                <w:tab w:val="left" w:pos="4752"/>
              </w:tabs>
              <w:rPr>
                <w:b/>
                <w:color w:val="auto"/>
                <w:szCs w:val="24"/>
              </w:rPr>
            </w:pPr>
            <w:r w:rsidRPr="00EC71DB">
              <w:rPr>
                <w:b/>
                <w:color w:val="auto"/>
                <w:szCs w:val="24"/>
              </w:rPr>
              <w:t>VASRD CODE</w:t>
            </w:r>
          </w:p>
        </w:tc>
        <w:tc>
          <w:tcPr>
            <w:tcW w:w="1170" w:type="dxa"/>
            <w:shd w:val="clear" w:color="auto" w:fill="D9D9D9"/>
            <w:vAlign w:val="center"/>
          </w:tcPr>
          <w:p w:rsidR="00A95BBA" w:rsidRPr="00EC71DB" w:rsidRDefault="00A95BBA" w:rsidP="00BF0E94">
            <w:pPr>
              <w:tabs>
                <w:tab w:val="left" w:pos="288"/>
                <w:tab w:val="left" w:pos="4752"/>
              </w:tabs>
              <w:rPr>
                <w:b/>
                <w:color w:val="auto"/>
                <w:szCs w:val="24"/>
              </w:rPr>
            </w:pPr>
            <w:r w:rsidRPr="00EC71DB">
              <w:rPr>
                <w:b/>
                <w:color w:val="auto"/>
                <w:szCs w:val="24"/>
              </w:rPr>
              <w:t>RATING</w:t>
            </w:r>
          </w:p>
        </w:tc>
      </w:tr>
      <w:tr w:rsidR="00D848C8" w:rsidRPr="00EC71DB" w:rsidTr="0080588E">
        <w:trPr>
          <w:jc w:val="center"/>
        </w:trPr>
        <w:tc>
          <w:tcPr>
            <w:tcW w:w="6282" w:type="dxa"/>
            <w:vAlign w:val="center"/>
          </w:tcPr>
          <w:p w:rsidR="00D848C8" w:rsidRPr="00EC71DB" w:rsidRDefault="00D848C8" w:rsidP="00D848C8">
            <w:pPr>
              <w:contextualSpacing/>
              <w:jc w:val="left"/>
              <w:rPr>
                <w:rFonts w:cs="Calibri"/>
                <w:color w:val="auto"/>
                <w:szCs w:val="18"/>
              </w:rPr>
            </w:pPr>
            <w:r w:rsidRPr="00EC71DB">
              <w:rPr>
                <w:rFonts w:cs="Calibri"/>
                <w:color w:val="auto"/>
                <w:szCs w:val="18"/>
              </w:rPr>
              <w:t>Chronic Thoracic Back Pain</w:t>
            </w:r>
          </w:p>
        </w:tc>
        <w:tc>
          <w:tcPr>
            <w:tcW w:w="1710" w:type="dxa"/>
            <w:vAlign w:val="center"/>
          </w:tcPr>
          <w:p w:rsidR="00D848C8" w:rsidRPr="00EC71DB" w:rsidRDefault="00D848C8" w:rsidP="00D848C8">
            <w:pPr>
              <w:contextualSpacing/>
              <w:rPr>
                <w:rFonts w:cs="Calibri"/>
                <w:color w:val="auto"/>
                <w:szCs w:val="18"/>
              </w:rPr>
            </w:pPr>
            <w:r w:rsidRPr="00EC71DB">
              <w:rPr>
                <w:rFonts w:cs="Calibri"/>
                <w:color w:val="auto"/>
                <w:szCs w:val="18"/>
              </w:rPr>
              <w:t>5237</w:t>
            </w:r>
          </w:p>
        </w:tc>
        <w:tc>
          <w:tcPr>
            <w:tcW w:w="1170" w:type="dxa"/>
            <w:vAlign w:val="center"/>
          </w:tcPr>
          <w:p w:rsidR="00D848C8" w:rsidRPr="00EC71DB" w:rsidRDefault="00D848C8" w:rsidP="00D848C8">
            <w:pPr>
              <w:rPr>
                <w:rFonts w:cs="Calibri"/>
                <w:color w:val="auto"/>
                <w:szCs w:val="18"/>
              </w:rPr>
            </w:pPr>
            <w:r w:rsidRPr="00EC71DB">
              <w:rPr>
                <w:rFonts w:cs="Calibri"/>
                <w:color w:val="auto"/>
                <w:szCs w:val="18"/>
              </w:rPr>
              <w:t>10%</w:t>
            </w:r>
          </w:p>
        </w:tc>
      </w:tr>
      <w:tr w:rsidR="00A95BBA" w:rsidRPr="00EC71DB"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C71DB" w:rsidRDefault="00A95BBA" w:rsidP="00BF0E94">
            <w:pPr>
              <w:tabs>
                <w:tab w:val="left" w:pos="288"/>
                <w:tab w:val="left" w:pos="4752"/>
              </w:tabs>
              <w:rPr>
                <w:b/>
                <w:color w:val="auto"/>
                <w:szCs w:val="24"/>
              </w:rPr>
            </w:pPr>
            <w:r w:rsidRPr="00EC71DB">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C71DB" w:rsidRDefault="00D848C8" w:rsidP="00BF0E94">
            <w:pPr>
              <w:tabs>
                <w:tab w:val="left" w:pos="288"/>
                <w:tab w:val="left" w:pos="4752"/>
              </w:tabs>
              <w:rPr>
                <w:b/>
                <w:color w:val="auto"/>
                <w:szCs w:val="24"/>
              </w:rPr>
            </w:pPr>
            <w:r w:rsidRPr="00EC71DB">
              <w:rPr>
                <w:b/>
                <w:color w:val="auto"/>
                <w:szCs w:val="24"/>
              </w:rPr>
              <w:t>1</w:t>
            </w:r>
            <w:r w:rsidR="00A95BBA" w:rsidRPr="00EC71DB">
              <w:rPr>
                <w:b/>
                <w:color w:val="auto"/>
                <w:szCs w:val="24"/>
              </w:rPr>
              <w:t>0%</w:t>
            </w:r>
          </w:p>
        </w:tc>
      </w:tr>
    </w:tbl>
    <w:p w:rsidR="005B1D09" w:rsidRPr="00EC71DB" w:rsidRDefault="005B1D09" w:rsidP="00CF45CF">
      <w:pPr>
        <w:pBdr>
          <w:bottom w:val="single" w:sz="12" w:space="1" w:color="auto"/>
        </w:pBdr>
        <w:tabs>
          <w:tab w:val="left" w:pos="288"/>
          <w:tab w:val="left" w:pos="4752"/>
        </w:tabs>
        <w:jc w:val="both"/>
        <w:rPr>
          <w:color w:val="auto"/>
        </w:rPr>
      </w:pPr>
    </w:p>
    <w:p w:rsidR="005B1D09" w:rsidRPr="00EC71DB" w:rsidRDefault="005B1D09" w:rsidP="00CF45CF">
      <w:pPr>
        <w:jc w:val="both"/>
        <w:rPr>
          <w:color w:val="auto"/>
          <w:szCs w:val="24"/>
        </w:rPr>
      </w:pPr>
    </w:p>
    <w:p w:rsidR="00D91DA6" w:rsidRPr="00EC71DB" w:rsidRDefault="00FB1725" w:rsidP="00CF45CF">
      <w:pPr>
        <w:tabs>
          <w:tab w:val="left" w:pos="288"/>
          <w:tab w:val="left" w:pos="4752"/>
        </w:tabs>
        <w:jc w:val="both"/>
        <w:rPr>
          <w:color w:val="auto"/>
        </w:rPr>
      </w:pPr>
      <w:r w:rsidRPr="00EC71DB">
        <w:rPr>
          <w:color w:val="auto"/>
        </w:rPr>
        <w:t>The following documentary evidence was considered:</w:t>
      </w:r>
    </w:p>
    <w:p w:rsidR="00EB5EFD" w:rsidRPr="00EC71DB" w:rsidRDefault="00EB5EFD" w:rsidP="00CF45CF">
      <w:pPr>
        <w:tabs>
          <w:tab w:val="left" w:pos="288"/>
          <w:tab w:val="left" w:pos="4752"/>
        </w:tabs>
        <w:jc w:val="both"/>
        <w:rPr>
          <w:color w:val="auto"/>
        </w:rPr>
      </w:pPr>
    </w:p>
    <w:p w:rsidR="00114F20" w:rsidRPr="00EC71DB" w:rsidRDefault="00FB1725" w:rsidP="00CF45CF">
      <w:pPr>
        <w:tabs>
          <w:tab w:val="left" w:pos="288"/>
          <w:tab w:val="left" w:pos="4752"/>
        </w:tabs>
        <w:jc w:val="both"/>
        <w:rPr>
          <w:color w:val="auto"/>
        </w:rPr>
      </w:pPr>
      <w:r w:rsidRPr="00EC71DB">
        <w:rPr>
          <w:color w:val="auto"/>
        </w:rPr>
        <w:t xml:space="preserve">Exhibit A.  DD Form 294, </w:t>
      </w:r>
      <w:r w:rsidRPr="00EC71DB">
        <w:rPr>
          <w:color w:val="auto"/>
          <w:szCs w:val="24"/>
        </w:rPr>
        <w:t>dated 20</w:t>
      </w:r>
      <w:r w:rsidR="001215DF" w:rsidRPr="00EC71DB">
        <w:rPr>
          <w:color w:val="auto"/>
          <w:szCs w:val="24"/>
        </w:rPr>
        <w:t>1</w:t>
      </w:r>
      <w:r w:rsidR="00416939" w:rsidRPr="00EC71DB">
        <w:rPr>
          <w:color w:val="auto"/>
          <w:szCs w:val="24"/>
        </w:rPr>
        <w:t>10729</w:t>
      </w:r>
      <w:r w:rsidR="00901EE7">
        <w:rPr>
          <w:color w:val="auto"/>
        </w:rPr>
        <w:t>, w/atchs</w:t>
      </w:r>
    </w:p>
    <w:p w:rsidR="00114F20" w:rsidRPr="00EC71DB" w:rsidRDefault="00FB1725" w:rsidP="00CF45CF">
      <w:pPr>
        <w:tabs>
          <w:tab w:val="left" w:pos="288"/>
          <w:tab w:val="left" w:pos="4752"/>
        </w:tabs>
        <w:jc w:val="both"/>
        <w:rPr>
          <w:color w:val="auto"/>
        </w:rPr>
      </w:pPr>
      <w:r w:rsidRPr="00EC71DB">
        <w:rPr>
          <w:color w:val="auto"/>
        </w:rPr>
        <w:t>Exhib</w:t>
      </w:r>
      <w:r w:rsidR="00901EE7">
        <w:rPr>
          <w:color w:val="auto"/>
        </w:rPr>
        <w:t>it B.  Service Treatment Record</w:t>
      </w:r>
    </w:p>
    <w:p w:rsidR="00114F20" w:rsidRPr="00EC71DB" w:rsidRDefault="00FB1725" w:rsidP="00CF45CF">
      <w:pPr>
        <w:tabs>
          <w:tab w:val="left" w:pos="288"/>
          <w:tab w:val="left" w:pos="4752"/>
        </w:tabs>
        <w:jc w:val="both"/>
        <w:rPr>
          <w:color w:val="auto"/>
        </w:rPr>
      </w:pPr>
      <w:r w:rsidRPr="00EC71DB">
        <w:rPr>
          <w:color w:val="auto"/>
        </w:rPr>
        <w:t>Exhibit C.  Department of Veterans</w:t>
      </w:r>
      <w:r w:rsidR="00901EE7">
        <w:rPr>
          <w:color w:val="auto"/>
        </w:rPr>
        <w:t>’ Affairs Treatment Record</w:t>
      </w:r>
    </w:p>
    <w:p w:rsidR="00D91DA6" w:rsidRPr="00EC71DB" w:rsidRDefault="00D91DA6" w:rsidP="00CF45CF">
      <w:pPr>
        <w:tabs>
          <w:tab w:val="left" w:pos="288"/>
          <w:tab w:val="left" w:pos="4752"/>
        </w:tabs>
        <w:jc w:val="both"/>
        <w:rPr>
          <w:color w:val="auto"/>
        </w:rPr>
      </w:pPr>
    </w:p>
    <w:p w:rsidR="00114F20" w:rsidRPr="00EC71DB" w:rsidRDefault="00114F20" w:rsidP="00CF45CF">
      <w:pPr>
        <w:tabs>
          <w:tab w:val="left" w:pos="288"/>
          <w:tab w:val="left" w:pos="4752"/>
        </w:tabs>
        <w:jc w:val="both"/>
        <w:rPr>
          <w:color w:val="auto"/>
        </w:rPr>
      </w:pPr>
    </w:p>
    <w:p w:rsidR="00114F20" w:rsidRPr="00EC71DB" w:rsidRDefault="00114F20" w:rsidP="00BF0E94">
      <w:pPr>
        <w:tabs>
          <w:tab w:val="left" w:pos="288"/>
          <w:tab w:val="left" w:pos="4752"/>
        </w:tabs>
        <w:jc w:val="both"/>
        <w:rPr>
          <w:color w:val="auto"/>
        </w:rPr>
      </w:pPr>
    </w:p>
    <w:p w:rsidR="00114F20" w:rsidRPr="00EC71DB" w:rsidRDefault="00114F20" w:rsidP="00BF0E94">
      <w:pPr>
        <w:tabs>
          <w:tab w:val="left" w:pos="288"/>
          <w:tab w:val="left" w:pos="4752"/>
        </w:tabs>
        <w:jc w:val="both"/>
        <w:rPr>
          <w:color w:val="auto"/>
        </w:rPr>
      </w:pPr>
    </w:p>
    <w:p w:rsidR="00E3077F" w:rsidRPr="00EC71DB" w:rsidRDefault="00220FA9" w:rsidP="00BF0E94">
      <w:pPr>
        <w:tabs>
          <w:tab w:val="left" w:pos="0"/>
          <w:tab w:val="left" w:pos="4320"/>
        </w:tabs>
        <w:jc w:val="both"/>
        <w:rPr>
          <w:color w:val="auto"/>
          <w:szCs w:val="24"/>
        </w:rPr>
      </w:pPr>
      <w:r w:rsidRPr="00EC71DB">
        <w:rPr>
          <w:color w:val="auto"/>
          <w:szCs w:val="24"/>
        </w:rPr>
        <w:tab/>
      </w:r>
      <w:r w:rsidR="004477EA">
        <w:rPr>
          <w:color w:val="auto"/>
          <w:szCs w:val="24"/>
        </w:rPr>
        <w:t>X</w:t>
      </w:r>
    </w:p>
    <w:p w:rsidR="002F195B" w:rsidRPr="00EC71DB" w:rsidRDefault="00220FA9" w:rsidP="00BF0E94">
      <w:pPr>
        <w:tabs>
          <w:tab w:val="left" w:pos="0"/>
          <w:tab w:val="left" w:pos="4320"/>
        </w:tabs>
        <w:jc w:val="both"/>
        <w:rPr>
          <w:color w:val="auto"/>
          <w:szCs w:val="24"/>
        </w:rPr>
      </w:pPr>
      <w:r w:rsidRPr="00EC71DB">
        <w:rPr>
          <w:color w:val="auto"/>
          <w:szCs w:val="24"/>
        </w:rPr>
        <w:tab/>
      </w:r>
      <w:r w:rsidR="008E3C90" w:rsidRPr="00EC71DB">
        <w:rPr>
          <w:color w:val="auto"/>
          <w:szCs w:val="24"/>
        </w:rPr>
        <w:t xml:space="preserve">           </w:t>
      </w:r>
      <w:r w:rsidR="005F73CA" w:rsidRPr="00EC71DB">
        <w:rPr>
          <w:color w:val="auto"/>
          <w:szCs w:val="24"/>
        </w:rPr>
        <w:t>President</w:t>
      </w:r>
    </w:p>
    <w:p w:rsidR="004477EA" w:rsidRDefault="002F195B" w:rsidP="00BF0E94">
      <w:pPr>
        <w:tabs>
          <w:tab w:val="left" w:pos="0"/>
          <w:tab w:val="left" w:pos="4320"/>
        </w:tabs>
        <w:jc w:val="both"/>
        <w:rPr>
          <w:color w:val="auto"/>
          <w:szCs w:val="24"/>
        </w:rPr>
      </w:pPr>
      <w:r w:rsidRPr="00EC71DB">
        <w:rPr>
          <w:color w:val="auto"/>
          <w:szCs w:val="24"/>
        </w:rPr>
        <w:tab/>
        <w:t xml:space="preserve">           </w:t>
      </w:r>
      <w:r w:rsidR="00220FA9" w:rsidRPr="00EC71DB">
        <w:rPr>
          <w:color w:val="auto"/>
          <w:szCs w:val="24"/>
        </w:rPr>
        <w:t>P</w:t>
      </w:r>
      <w:r w:rsidR="00E3077F" w:rsidRPr="00EC71DB">
        <w:rPr>
          <w:color w:val="auto"/>
          <w:szCs w:val="24"/>
        </w:rPr>
        <w:t>hysical Disability Board of Review</w:t>
      </w:r>
    </w:p>
    <w:p w:rsidR="004477EA" w:rsidRDefault="004477EA">
      <w:pPr>
        <w:rPr>
          <w:color w:val="auto"/>
          <w:szCs w:val="24"/>
        </w:rPr>
      </w:pPr>
      <w:r>
        <w:rPr>
          <w:color w:val="auto"/>
          <w:szCs w:val="24"/>
        </w:rPr>
        <w:br w:type="page"/>
      </w:r>
    </w:p>
    <w:p w:rsidR="004477EA" w:rsidRPr="004477EA" w:rsidRDefault="004477EA" w:rsidP="004477EA">
      <w:pPr>
        <w:tabs>
          <w:tab w:val="left" w:pos="576"/>
        </w:tabs>
        <w:ind w:right="-1080"/>
        <w:jc w:val="left"/>
        <w:rPr>
          <w:rFonts w:ascii="Times New Roman" w:hAnsi="Times New Roman" w:cs="Times New Roman"/>
          <w:color w:val="auto"/>
        </w:rPr>
      </w:pPr>
      <w:r w:rsidRPr="004477EA">
        <w:rPr>
          <w:rFonts w:ascii="Times New Roman" w:hAnsi="Times New Roman" w:cs="Times New Roman"/>
          <w:color w:val="auto"/>
        </w:rPr>
        <w:lastRenderedPageBreak/>
        <w:t>SAF/MRB</w:t>
      </w:r>
    </w:p>
    <w:p w:rsidR="004477EA" w:rsidRPr="004477EA" w:rsidRDefault="004477EA" w:rsidP="004477EA">
      <w:pPr>
        <w:tabs>
          <w:tab w:val="left" w:pos="576"/>
        </w:tabs>
        <w:ind w:right="-1080"/>
        <w:jc w:val="left"/>
        <w:rPr>
          <w:rFonts w:ascii="Times New Roman" w:hAnsi="Times New Roman" w:cs="Times New Roman"/>
          <w:color w:val="auto"/>
        </w:rPr>
      </w:pPr>
      <w:r w:rsidRPr="004477EA">
        <w:rPr>
          <w:rFonts w:ascii="Times New Roman" w:hAnsi="Times New Roman" w:cs="Times New Roman"/>
          <w:color w:val="auto"/>
        </w:rPr>
        <w:t>1500 West Perimeter Road, Suite 3700</w:t>
      </w:r>
    </w:p>
    <w:p w:rsidR="004477EA" w:rsidRPr="004477EA" w:rsidRDefault="004477EA" w:rsidP="004477EA">
      <w:pPr>
        <w:tabs>
          <w:tab w:val="left" w:pos="576"/>
        </w:tabs>
        <w:ind w:right="-1080"/>
        <w:jc w:val="left"/>
        <w:rPr>
          <w:rFonts w:ascii="Times New Roman" w:hAnsi="Times New Roman" w:cs="Times New Roman"/>
          <w:color w:val="auto"/>
        </w:rPr>
      </w:pPr>
      <w:r w:rsidRPr="004477EA">
        <w:rPr>
          <w:rFonts w:ascii="Times New Roman" w:hAnsi="Times New Roman" w:cs="Times New Roman"/>
          <w:color w:val="auto"/>
        </w:rPr>
        <w:t>Joint Base Andrews MD  20762</w:t>
      </w:r>
    </w:p>
    <w:p w:rsidR="004477EA" w:rsidRPr="004477EA" w:rsidRDefault="004477EA" w:rsidP="004477EA">
      <w:pPr>
        <w:tabs>
          <w:tab w:val="left" w:pos="576"/>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r>
        <w:rPr>
          <w:rFonts w:ascii="Times New Roman" w:hAnsi="Times New Roman" w:cs="Times New Roman"/>
          <w:bCs/>
          <w:color w:val="auto"/>
        </w:rPr>
        <w:t>X</w:t>
      </w: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proofErr w:type="spellStart"/>
      <w:r w:rsidRPr="004477EA">
        <w:rPr>
          <w:rFonts w:ascii="Times New Roman" w:hAnsi="Times New Roman" w:cs="Times New Roman"/>
          <w:color w:val="auto"/>
        </w:rPr>
        <w:t>Dear</w:t>
      </w:r>
      <w:r>
        <w:rPr>
          <w:rFonts w:ascii="Times New Roman" w:hAnsi="Times New Roman" w:cs="Times New Roman"/>
          <w:color w:val="auto"/>
        </w:rPr>
        <w:t>X</w:t>
      </w:r>
      <w:proofErr w:type="spellEnd"/>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360"/>
        <w:jc w:val="left"/>
        <w:rPr>
          <w:rFonts w:ascii="Times New Roman" w:hAnsi="Times New Roman" w:cs="Times New Roman"/>
          <w:color w:val="auto"/>
        </w:rPr>
      </w:pPr>
      <w:r w:rsidRPr="004477EA">
        <w:rPr>
          <w:rFonts w:ascii="Times New Roman" w:hAnsi="Times New Roman" w:cs="Times New Roman"/>
          <w:color w:val="auto"/>
        </w:rPr>
        <w:tab/>
        <w:t xml:space="preserve">Reference your application submitted under the provisions of </w:t>
      </w:r>
      <w:proofErr w:type="spellStart"/>
      <w:r w:rsidRPr="004477EA">
        <w:rPr>
          <w:rFonts w:ascii="Times New Roman" w:hAnsi="Times New Roman" w:cs="Times New Roman"/>
          <w:color w:val="auto"/>
        </w:rPr>
        <w:t>DoDI</w:t>
      </w:r>
      <w:proofErr w:type="spellEnd"/>
      <w:r w:rsidRPr="004477EA">
        <w:rPr>
          <w:rFonts w:ascii="Times New Roman" w:hAnsi="Times New Roman" w:cs="Times New Roman"/>
          <w:color w:val="auto"/>
        </w:rPr>
        <w:t xml:space="preserve"> 6040.44 (Title 10 U.S.C. §</w:t>
      </w:r>
      <w:proofErr w:type="gramStart"/>
      <w:r w:rsidRPr="004477EA">
        <w:rPr>
          <w:rFonts w:ascii="Times New Roman" w:hAnsi="Times New Roman" w:cs="Times New Roman"/>
          <w:color w:val="auto"/>
        </w:rPr>
        <w:t>  1554a</w:t>
      </w:r>
      <w:proofErr w:type="gramEnd"/>
      <w:r w:rsidRPr="004477EA">
        <w:rPr>
          <w:rFonts w:ascii="Times New Roman" w:hAnsi="Times New Roman" w:cs="Times New Roman"/>
          <w:color w:val="auto"/>
        </w:rPr>
        <w:t>), PDBR Case Number PD-2011-00547</w:t>
      </w: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360"/>
        <w:jc w:val="left"/>
        <w:rPr>
          <w:rFonts w:ascii="Times New Roman" w:hAnsi="Times New Roman" w:cs="Times New Roman"/>
          <w:color w:val="auto"/>
        </w:rPr>
      </w:pPr>
      <w:r w:rsidRPr="004477EA">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jc w:val="left"/>
        <w:rPr>
          <w:rFonts w:ascii="Times New Roman" w:hAnsi="Times New Roman" w:cs="Times New Roman"/>
          <w:color w:val="auto"/>
        </w:rPr>
      </w:pPr>
      <w:r w:rsidRPr="004477EA">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477EA" w:rsidRPr="004477EA" w:rsidRDefault="004477EA" w:rsidP="004477EA">
      <w:pPr>
        <w:tabs>
          <w:tab w:val="left" w:pos="720"/>
        </w:tabs>
        <w:ind w:right="-36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r w:rsidRPr="004477EA">
        <w:rPr>
          <w:rFonts w:ascii="Times New Roman" w:hAnsi="Times New Roman" w:cs="Times New Roman"/>
          <w:color w:val="auto"/>
        </w:rPr>
        <w:tab/>
      </w:r>
      <w:r w:rsidRPr="004477EA">
        <w:rPr>
          <w:rFonts w:ascii="Times New Roman" w:hAnsi="Times New Roman" w:cs="Times New Roman"/>
          <w:color w:val="auto"/>
        </w:rPr>
        <w:tab/>
      </w:r>
      <w:r w:rsidRPr="004477EA">
        <w:rPr>
          <w:rFonts w:ascii="Times New Roman" w:hAnsi="Times New Roman" w:cs="Times New Roman"/>
          <w:color w:val="auto"/>
        </w:rPr>
        <w:tab/>
      </w:r>
      <w:r w:rsidRPr="004477EA">
        <w:rPr>
          <w:rFonts w:ascii="Times New Roman" w:hAnsi="Times New Roman" w:cs="Times New Roman"/>
          <w:color w:val="auto"/>
        </w:rPr>
        <w:tab/>
      </w:r>
      <w:r w:rsidRPr="004477EA">
        <w:rPr>
          <w:rFonts w:ascii="Times New Roman" w:hAnsi="Times New Roman" w:cs="Times New Roman"/>
          <w:color w:val="auto"/>
        </w:rPr>
        <w:tab/>
      </w:r>
      <w:r w:rsidRPr="004477EA">
        <w:rPr>
          <w:rFonts w:ascii="Times New Roman" w:hAnsi="Times New Roman" w:cs="Times New Roman"/>
          <w:color w:val="auto"/>
        </w:rPr>
        <w:tab/>
      </w:r>
      <w:r w:rsidRPr="004477EA">
        <w:rPr>
          <w:rFonts w:ascii="Times New Roman" w:hAnsi="Times New Roman" w:cs="Times New Roman"/>
          <w:color w:val="auto"/>
        </w:rPr>
        <w:tab/>
        <w:t>Sincerely,</w:t>
      </w: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X</w:t>
      </w:r>
    </w:p>
    <w:p w:rsidR="004477EA" w:rsidRPr="004477EA" w:rsidRDefault="004477EA" w:rsidP="004477EA">
      <w:pPr>
        <w:tabs>
          <w:tab w:val="left" w:pos="720"/>
        </w:tabs>
        <w:ind w:left="5040" w:right="-1080"/>
        <w:jc w:val="left"/>
        <w:rPr>
          <w:rFonts w:ascii="Times New Roman" w:hAnsi="Times New Roman" w:cs="Times New Roman"/>
          <w:color w:val="auto"/>
        </w:rPr>
      </w:pPr>
      <w:r w:rsidRPr="004477EA">
        <w:rPr>
          <w:rFonts w:ascii="Times New Roman" w:hAnsi="Times New Roman" w:cs="Times New Roman"/>
          <w:color w:val="auto"/>
        </w:rPr>
        <w:t>Director</w:t>
      </w:r>
    </w:p>
    <w:p w:rsidR="004477EA" w:rsidRPr="004477EA" w:rsidRDefault="004477EA" w:rsidP="004477EA">
      <w:pPr>
        <w:tabs>
          <w:tab w:val="left" w:pos="720"/>
        </w:tabs>
        <w:ind w:left="5040" w:right="-1080"/>
        <w:jc w:val="left"/>
        <w:rPr>
          <w:rFonts w:ascii="Times New Roman" w:hAnsi="Times New Roman" w:cs="Times New Roman"/>
          <w:color w:val="auto"/>
        </w:rPr>
      </w:pPr>
      <w:r w:rsidRPr="004477EA">
        <w:rPr>
          <w:rFonts w:ascii="Times New Roman" w:hAnsi="Times New Roman" w:cs="Times New Roman"/>
          <w:color w:val="auto"/>
        </w:rPr>
        <w:t>Air Force Review Boards Agency</w:t>
      </w:r>
    </w:p>
    <w:p w:rsidR="004477EA" w:rsidRPr="004477EA" w:rsidRDefault="004477EA" w:rsidP="004477EA">
      <w:pPr>
        <w:tabs>
          <w:tab w:val="left" w:pos="720"/>
        </w:tabs>
        <w:ind w:right="-1080"/>
        <w:jc w:val="left"/>
        <w:rPr>
          <w:rFonts w:ascii="Times New Roman" w:hAnsi="Times New Roman" w:cs="Times New Roman"/>
          <w:color w:val="auto"/>
        </w:rPr>
      </w:pPr>
    </w:p>
    <w:p w:rsidR="004477EA" w:rsidRPr="004477EA" w:rsidRDefault="004477EA" w:rsidP="004477EA">
      <w:pPr>
        <w:tabs>
          <w:tab w:val="left" w:pos="720"/>
        </w:tabs>
        <w:ind w:right="-1080"/>
        <w:jc w:val="left"/>
        <w:rPr>
          <w:rFonts w:ascii="Times New Roman" w:hAnsi="Times New Roman" w:cs="Times New Roman"/>
          <w:color w:val="auto"/>
        </w:rPr>
      </w:pPr>
      <w:r w:rsidRPr="004477EA">
        <w:rPr>
          <w:rFonts w:ascii="Times New Roman" w:hAnsi="Times New Roman" w:cs="Times New Roman"/>
          <w:color w:val="auto"/>
        </w:rPr>
        <w:t>Attachment:</w:t>
      </w:r>
    </w:p>
    <w:p w:rsidR="004477EA" w:rsidRPr="004477EA" w:rsidRDefault="004477EA" w:rsidP="004477EA">
      <w:pPr>
        <w:tabs>
          <w:tab w:val="left" w:pos="720"/>
        </w:tabs>
        <w:ind w:right="-1080"/>
        <w:jc w:val="left"/>
        <w:rPr>
          <w:rFonts w:ascii="Times New Roman" w:hAnsi="Times New Roman" w:cs="Times New Roman"/>
          <w:color w:val="auto"/>
        </w:rPr>
      </w:pPr>
      <w:r w:rsidRPr="004477EA">
        <w:rPr>
          <w:rFonts w:ascii="Times New Roman" w:hAnsi="Times New Roman" w:cs="Times New Roman"/>
          <w:color w:val="auto"/>
        </w:rPr>
        <w:t>Record of Proceedings</w:t>
      </w:r>
    </w:p>
    <w:p w:rsidR="00E3077F" w:rsidRPr="00EC71DB" w:rsidRDefault="00E3077F" w:rsidP="00BF0E94">
      <w:pPr>
        <w:tabs>
          <w:tab w:val="left" w:pos="0"/>
          <w:tab w:val="left" w:pos="4320"/>
        </w:tabs>
        <w:jc w:val="both"/>
        <w:rPr>
          <w:color w:val="auto"/>
          <w:szCs w:val="24"/>
        </w:rPr>
      </w:pPr>
    </w:p>
    <w:sectPr w:rsidR="00E3077F" w:rsidRPr="00EC71D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1F" w:rsidRDefault="00E5681F">
      <w:r>
        <w:separator/>
      </w:r>
    </w:p>
  </w:endnote>
  <w:endnote w:type="continuationSeparator" w:id="0">
    <w:p w:rsidR="00E5681F" w:rsidRDefault="00E56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83C9D" w:rsidRPr="00374247" w:rsidRDefault="00483C9D" w:rsidP="00374247">
        <w:pPr>
          <w:pStyle w:val="Footer"/>
          <w:ind w:firstLine="4320"/>
          <w:rPr>
            <w:color w:val="auto"/>
            <w:szCs w:val="24"/>
          </w:rPr>
        </w:pPr>
        <w:r w:rsidRPr="00374247">
          <w:rPr>
            <w:color w:val="auto"/>
            <w:szCs w:val="24"/>
          </w:rPr>
          <w:t xml:space="preserve">   </w:t>
        </w:r>
        <w:r w:rsidR="002B4DAC" w:rsidRPr="00374247">
          <w:rPr>
            <w:color w:val="auto"/>
            <w:szCs w:val="24"/>
          </w:rPr>
          <w:fldChar w:fldCharType="begin"/>
        </w:r>
        <w:r w:rsidRPr="00374247">
          <w:rPr>
            <w:color w:val="auto"/>
            <w:szCs w:val="24"/>
          </w:rPr>
          <w:instrText xml:space="preserve"> PAGE   \* MERGEFORMAT </w:instrText>
        </w:r>
        <w:r w:rsidR="002B4DAC" w:rsidRPr="00374247">
          <w:rPr>
            <w:color w:val="auto"/>
            <w:szCs w:val="24"/>
          </w:rPr>
          <w:fldChar w:fldCharType="separate"/>
        </w:r>
        <w:r w:rsidR="004477EA" w:rsidRPr="004477EA">
          <w:rPr>
            <w:noProof/>
            <w:color w:val="auto"/>
          </w:rPr>
          <w:t>5</w:t>
        </w:r>
        <w:r w:rsidR="002B4DAC"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100547</w:t>
        </w:r>
      </w:p>
    </w:sdtContent>
  </w:sdt>
  <w:p w:rsidR="00483C9D" w:rsidRPr="00684CE6" w:rsidRDefault="00483C9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1F" w:rsidRDefault="00E5681F">
      <w:r>
        <w:separator/>
      </w:r>
    </w:p>
  </w:footnote>
  <w:footnote w:type="continuationSeparator" w:id="0">
    <w:p w:rsidR="00E5681F" w:rsidRDefault="00E56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2"/>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2246"/>
    <w:rsid w:val="0006431E"/>
    <w:rsid w:val="000652EA"/>
    <w:rsid w:val="00065E21"/>
    <w:rsid w:val="000673ED"/>
    <w:rsid w:val="00067854"/>
    <w:rsid w:val="000707C1"/>
    <w:rsid w:val="00070DED"/>
    <w:rsid w:val="00072433"/>
    <w:rsid w:val="00072B3E"/>
    <w:rsid w:val="0007488B"/>
    <w:rsid w:val="00075702"/>
    <w:rsid w:val="00075A0C"/>
    <w:rsid w:val="000767E7"/>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8C0"/>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4DC"/>
    <w:rsid w:val="000F0928"/>
    <w:rsid w:val="000F0B3D"/>
    <w:rsid w:val="000F1E65"/>
    <w:rsid w:val="000F427B"/>
    <w:rsid w:val="000F43D0"/>
    <w:rsid w:val="000F4F18"/>
    <w:rsid w:val="000F688E"/>
    <w:rsid w:val="000F707B"/>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2B3"/>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008A"/>
    <w:rsid w:val="00161642"/>
    <w:rsid w:val="00161761"/>
    <w:rsid w:val="00166182"/>
    <w:rsid w:val="0016738D"/>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77F"/>
    <w:rsid w:val="001E3FE1"/>
    <w:rsid w:val="001E41FE"/>
    <w:rsid w:val="001E635C"/>
    <w:rsid w:val="001F0297"/>
    <w:rsid w:val="001F29F9"/>
    <w:rsid w:val="001F6E0B"/>
    <w:rsid w:val="001F7261"/>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5E2"/>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22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DAC"/>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2A04"/>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1FA1"/>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27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8AB"/>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939"/>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7EA"/>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A43"/>
    <w:rsid w:val="00481DA1"/>
    <w:rsid w:val="00483A2B"/>
    <w:rsid w:val="00483C9D"/>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DB6"/>
    <w:rsid w:val="004F77A3"/>
    <w:rsid w:val="005000AB"/>
    <w:rsid w:val="00500EAF"/>
    <w:rsid w:val="00500F3C"/>
    <w:rsid w:val="005025EE"/>
    <w:rsid w:val="00503401"/>
    <w:rsid w:val="00503DDF"/>
    <w:rsid w:val="005047D0"/>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601"/>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9C4"/>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1090"/>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17AC4"/>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282E"/>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65E"/>
    <w:rsid w:val="00763CAE"/>
    <w:rsid w:val="00763F95"/>
    <w:rsid w:val="007651ED"/>
    <w:rsid w:val="00766C87"/>
    <w:rsid w:val="00770EC9"/>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6BE"/>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030"/>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FDC"/>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7F9"/>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7BE"/>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1EE7"/>
    <w:rsid w:val="009020ED"/>
    <w:rsid w:val="009026E8"/>
    <w:rsid w:val="00902FDD"/>
    <w:rsid w:val="00905EEF"/>
    <w:rsid w:val="00906EB7"/>
    <w:rsid w:val="00907FE6"/>
    <w:rsid w:val="009102BF"/>
    <w:rsid w:val="00911490"/>
    <w:rsid w:val="009115F2"/>
    <w:rsid w:val="00911B11"/>
    <w:rsid w:val="00914ADB"/>
    <w:rsid w:val="00917182"/>
    <w:rsid w:val="00917F4B"/>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7CB"/>
    <w:rsid w:val="009A79BA"/>
    <w:rsid w:val="009B10F9"/>
    <w:rsid w:val="009B14D1"/>
    <w:rsid w:val="009B1534"/>
    <w:rsid w:val="009B15B0"/>
    <w:rsid w:val="009B2A5B"/>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2A2"/>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1CCC"/>
    <w:rsid w:val="00A2270B"/>
    <w:rsid w:val="00A22953"/>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8B0"/>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1B8"/>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3B67"/>
    <w:rsid w:val="00AA466B"/>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3FE9"/>
    <w:rsid w:val="00AD426A"/>
    <w:rsid w:val="00AD49A1"/>
    <w:rsid w:val="00AD56D4"/>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94E"/>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17F"/>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165A"/>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9771F"/>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2B20"/>
    <w:rsid w:val="00CF4340"/>
    <w:rsid w:val="00CF4394"/>
    <w:rsid w:val="00CF45CF"/>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901"/>
    <w:rsid w:val="00D40B1F"/>
    <w:rsid w:val="00D40D75"/>
    <w:rsid w:val="00D43978"/>
    <w:rsid w:val="00D43CBD"/>
    <w:rsid w:val="00D449F0"/>
    <w:rsid w:val="00D4500E"/>
    <w:rsid w:val="00D462D7"/>
    <w:rsid w:val="00D46A33"/>
    <w:rsid w:val="00D46B1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8C8"/>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3C01"/>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1C92"/>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681F"/>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3C"/>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2ED"/>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1DB"/>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895"/>
    <w:rsid w:val="00EF2E75"/>
    <w:rsid w:val="00EF43CE"/>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BA1"/>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BD8"/>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35"/>
    <w:rsid w:val="00F7207E"/>
    <w:rsid w:val="00F72183"/>
    <w:rsid w:val="00F73FF8"/>
    <w:rsid w:val="00F75C12"/>
    <w:rsid w:val="00F76D01"/>
    <w:rsid w:val="00F80B43"/>
    <w:rsid w:val="00F80C97"/>
    <w:rsid w:val="00F81C35"/>
    <w:rsid w:val="00F82981"/>
    <w:rsid w:val="00F82A14"/>
    <w:rsid w:val="00F8311F"/>
    <w:rsid w:val="00F83248"/>
    <w:rsid w:val="00F83376"/>
    <w:rsid w:val="00F853AE"/>
    <w:rsid w:val="00F908D5"/>
    <w:rsid w:val="00F913B9"/>
    <w:rsid w:val="00F93C74"/>
    <w:rsid w:val="00F93DCC"/>
    <w:rsid w:val="00F9435D"/>
    <w:rsid w:val="00F966F9"/>
    <w:rsid w:val="00F96F61"/>
    <w:rsid w:val="00F97740"/>
    <w:rsid w:val="00F97743"/>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D5C"/>
    <w:rsid w:val="00FC5FF5"/>
    <w:rsid w:val="00FC6285"/>
    <w:rsid w:val="00FC78FB"/>
    <w:rsid w:val="00FC7DBC"/>
    <w:rsid w:val="00FD076A"/>
    <w:rsid w:val="00FD0AA0"/>
    <w:rsid w:val="00FD1D5A"/>
    <w:rsid w:val="00FD5059"/>
    <w:rsid w:val="00FD554D"/>
    <w:rsid w:val="00FD5BCC"/>
    <w:rsid w:val="00FD744F"/>
    <w:rsid w:val="00FD7B23"/>
    <w:rsid w:val="00FE2A48"/>
    <w:rsid w:val="00FE2DEF"/>
    <w:rsid w:val="00FE323C"/>
    <w:rsid w:val="00FE3A27"/>
    <w:rsid w:val="00FE44BB"/>
    <w:rsid w:val="00FE4948"/>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D8F3-1D78-4F4F-B2E1-59B44BBA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2012-05-14T16:12:00Z</cp:lastPrinted>
  <dcterms:created xsi:type="dcterms:W3CDTF">2012-05-09T14:28:00Z</dcterms:created>
  <dcterms:modified xsi:type="dcterms:W3CDTF">2012-05-17T20:45:00Z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