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1F29F9" w:rsidRDefault="00AD2379" w:rsidP="00BF0E94">
      <w:pPr>
        <w:tabs>
          <w:tab w:val="left" w:pos="288"/>
          <w:tab w:val="left" w:pos="4752"/>
        </w:tabs>
        <w:rPr>
          <w:color w:val="000000"/>
        </w:rPr>
      </w:pPr>
      <w:r w:rsidRPr="001F29F9">
        <w:rPr>
          <w:color w:val="000000"/>
        </w:rPr>
        <w:t>RECORD OF PROCEEDINGS</w:t>
      </w:r>
    </w:p>
    <w:p w:rsidR="00AD2379" w:rsidRPr="001F29F9" w:rsidRDefault="00AD2379" w:rsidP="00BF0E94">
      <w:pPr>
        <w:tabs>
          <w:tab w:val="left" w:pos="288"/>
          <w:tab w:val="left" w:pos="4752"/>
        </w:tabs>
        <w:rPr>
          <w:color w:val="000000"/>
        </w:rPr>
      </w:pPr>
      <w:r w:rsidRPr="001F29F9">
        <w:rPr>
          <w:color w:val="000000"/>
        </w:rPr>
        <w:t>PHYSICAL DISABILITY BOARD OF REVIEW</w:t>
      </w:r>
    </w:p>
    <w:p w:rsidR="00AD2379" w:rsidRPr="001F29F9" w:rsidRDefault="00AD2379" w:rsidP="00BF0E94">
      <w:pPr>
        <w:tabs>
          <w:tab w:val="left" w:pos="288"/>
          <w:tab w:val="left" w:pos="4752"/>
        </w:tabs>
        <w:jc w:val="both"/>
        <w:rPr>
          <w:caps/>
          <w:color w:val="000000"/>
        </w:rPr>
      </w:pPr>
    </w:p>
    <w:p w:rsidR="004B1AE7" w:rsidRPr="00F64312" w:rsidRDefault="004B1AE7" w:rsidP="004B1AE7">
      <w:pPr>
        <w:tabs>
          <w:tab w:val="right" w:pos="9360"/>
        </w:tabs>
        <w:jc w:val="both"/>
        <w:rPr>
          <w:caps/>
          <w:color w:val="auto"/>
        </w:rPr>
      </w:pPr>
      <w:r w:rsidRPr="00F64312">
        <w:rPr>
          <w:caps/>
          <w:color w:val="auto"/>
        </w:rPr>
        <w:t xml:space="preserve">NAME:  </w:t>
      </w:r>
      <w:r w:rsidR="009E4CDE">
        <w:rPr>
          <w:caps/>
          <w:color w:val="auto"/>
        </w:rPr>
        <w:t>XXXXXXXXXXX</w:t>
      </w:r>
      <w:r w:rsidR="00BE1CDE">
        <w:rPr>
          <w:caps/>
          <w:color w:val="auto"/>
        </w:rPr>
        <w:t xml:space="preserve">                                                              </w:t>
      </w:r>
      <w:r w:rsidR="00DF6716">
        <w:rPr>
          <w:caps/>
          <w:color w:val="auto"/>
        </w:rPr>
        <w:tab/>
      </w:r>
      <w:r w:rsidR="00BE1CDE">
        <w:rPr>
          <w:caps/>
          <w:color w:val="auto"/>
        </w:rPr>
        <w:t xml:space="preserve">  </w:t>
      </w:r>
      <w:r w:rsidRPr="00F64312">
        <w:rPr>
          <w:caps/>
          <w:color w:val="auto"/>
        </w:rPr>
        <w:t>BRANC</w:t>
      </w:r>
      <w:r w:rsidR="00D44501">
        <w:rPr>
          <w:caps/>
          <w:color w:val="auto"/>
        </w:rPr>
        <w:t xml:space="preserve">H OF SERVICE:  </w:t>
      </w:r>
      <w:r w:rsidRPr="00BD2BAA">
        <w:rPr>
          <w:caps/>
          <w:color w:val="auto"/>
        </w:rPr>
        <w:t>Army</w:t>
      </w:r>
    </w:p>
    <w:p w:rsidR="0095270D" w:rsidRPr="004B1AE7" w:rsidRDefault="004B1AE7" w:rsidP="004B1AE7">
      <w:pPr>
        <w:tabs>
          <w:tab w:val="right" w:pos="9360"/>
        </w:tabs>
        <w:jc w:val="both"/>
        <w:rPr>
          <w:color w:val="auto"/>
        </w:rPr>
      </w:pPr>
      <w:r w:rsidRPr="00F64312">
        <w:rPr>
          <w:caps/>
          <w:color w:val="auto"/>
        </w:rPr>
        <w:t xml:space="preserve">CASE NUMBER:  </w:t>
      </w:r>
      <w:r w:rsidR="00BE1CDE">
        <w:rPr>
          <w:caps/>
          <w:color w:val="auto"/>
        </w:rPr>
        <w:t>PD11</w:t>
      </w:r>
      <w:r w:rsidRPr="00BD2BAA">
        <w:rPr>
          <w:caps/>
          <w:color w:val="auto"/>
        </w:rPr>
        <w:t>00544</w:t>
      </w:r>
      <w:r>
        <w:rPr>
          <w:color w:val="auto"/>
        </w:rPr>
        <w:tab/>
      </w:r>
      <w:r w:rsidRPr="00F64312">
        <w:rPr>
          <w:color w:val="auto"/>
        </w:rPr>
        <w:t>SEPARATION DATE:  200</w:t>
      </w:r>
      <w:r>
        <w:rPr>
          <w:color w:val="auto"/>
        </w:rPr>
        <w:t>41221</w:t>
      </w:r>
    </w:p>
    <w:p w:rsidR="00AD2379" w:rsidRDefault="0095270D" w:rsidP="0095270D">
      <w:pPr>
        <w:pBdr>
          <w:bottom w:val="single" w:sz="12" w:space="1" w:color="auto"/>
        </w:pBdr>
        <w:tabs>
          <w:tab w:val="left" w:pos="288"/>
          <w:tab w:val="left" w:pos="4752"/>
        </w:tabs>
        <w:jc w:val="both"/>
        <w:rPr>
          <w:rFonts w:cs="Times New Roman"/>
          <w:caps/>
          <w:color w:val="000000"/>
        </w:rPr>
      </w:pPr>
      <w:r>
        <w:rPr>
          <w:caps/>
          <w:color w:val="000000"/>
        </w:rPr>
        <w:t>BOARD DATE:  2012</w:t>
      </w:r>
      <w:r w:rsidR="001E6774">
        <w:rPr>
          <w:caps/>
          <w:color w:val="000000"/>
        </w:rPr>
        <w:t>0712</w:t>
      </w:r>
    </w:p>
    <w:p w:rsidR="0095270D" w:rsidRPr="001F29F9" w:rsidRDefault="0095270D" w:rsidP="0095270D">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Default="00AD2379" w:rsidP="00BF0E94">
      <w:pPr>
        <w:tabs>
          <w:tab w:val="left" w:pos="288"/>
          <w:tab w:val="left" w:pos="4752"/>
        </w:tabs>
        <w:jc w:val="both"/>
        <w:rPr>
          <w:color w:val="000000"/>
        </w:rPr>
      </w:pPr>
      <w:r w:rsidRPr="001F29F9">
        <w:rPr>
          <w:color w:val="000000"/>
          <w:u w:val="single"/>
        </w:rPr>
        <w:t>SUMMARY OF CASE</w:t>
      </w:r>
      <w:r w:rsidRPr="001F29F9">
        <w:rPr>
          <w:color w:val="000000"/>
        </w:rPr>
        <w:t xml:space="preserve">: </w:t>
      </w:r>
      <w:r w:rsidR="004B1AE7" w:rsidRPr="00F64312">
        <w:rPr>
          <w:color w:val="auto"/>
        </w:rPr>
        <w:t xml:space="preserve">Data extracted from the available evidence of record reflects that this covered individual (CI) was </w:t>
      </w:r>
      <w:r w:rsidR="004B1AE7">
        <w:rPr>
          <w:color w:val="auto"/>
        </w:rPr>
        <w:t>a</w:t>
      </w:r>
      <w:r w:rsidR="000C2B5E">
        <w:rPr>
          <w:color w:val="auto"/>
        </w:rPr>
        <w:t>n active duty</w:t>
      </w:r>
      <w:r w:rsidR="004B1AE7" w:rsidRPr="00F64312">
        <w:rPr>
          <w:color w:val="auto"/>
        </w:rPr>
        <w:t xml:space="preserve"> </w:t>
      </w:r>
      <w:r w:rsidR="004B1AE7" w:rsidRPr="00C15CEF">
        <w:rPr>
          <w:color w:val="auto"/>
        </w:rPr>
        <w:t>SGT/E-5 (91J20</w:t>
      </w:r>
      <w:r w:rsidR="004B1AE7">
        <w:rPr>
          <w:color w:val="auto"/>
        </w:rPr>
        <w:t>, Medical Supply</w:t>
      </w:r>
      <w:r w:rsidR="004B1AE7" w:rsidRPr="00F64312">
        <w:rPr>
          <w:color w:val="auto"/>
        </w:rPr>
        <w:t xml:space="preserve">) medically separated for </w:t>
      </w:r>
      <w:r w:rsidR="004B1AE7">
        <w:rPr>
          <w:color w:val="auto"/>
        </w:rPr>
        <w:t>a bilateral knee condition</w:t>
      </w:r>
      <w:r w:rsidR="004B1AE7" w:rsidRPr="00F64312">
        <w:rPr>
          <w:color w:val="auto"/>
          <w:szCs w:val="24"/>
        </w:rPr>
        <w:t>.</w:t>
      </w:r>
      <w:r w:rsidRPr="001F29F9">
        <w:rPr>
          <w:color w:val="000000"/>
        </w:rPr>
        <w:t xml:space="preserve"> </w:t>
      </w:r>
      <w:r w:rsidR="00261B7E">
        <w:rPr>
          <w:color w:val="000000"/>
        </w:rPr>
        <w:t xml:space="preserve"> </w:t>
      </w:r>
      <w:r w:rsidR="00386C09">
        <w:rPr>
          <w:color w:val="000000"/>
        </w:rPr>
        <w:t xml:space="preserve">He experienced an onset of bilateral knee pain with running in 2000; and experienced progressive pain and physical limitations.  He was diagnosed with retropatellar pain syndrome (RPS); and, did not improve </w:t>
      </w:r>
      <w:r w:rsidR="00F566B7" w:rsidRPr="00F566B7">
        <w:rPr>
          <w:color w:val="000000"/>
        </w:rPr>
        <w:t xml:space="preserve">adequately </w:t>
      </w:r>
      <w:r w:rsidR="00386C09" w:rsidRPr="001E6774">
        <w:rPr>
          <w:color w:val="000000"/>
        </w:rPr>
        <w:t>with conservative measures</w:t>
      </w:r>
      <w:r w:rsidR="00F566B7" w:rsidRPr="001E6774">
        <w:rPr>
          <w:color w:val="000000"/>
        </w:rPr>
        <w:t xml:space="preserve"> to meet the physical requirements of his Military Occupational Specialty (MOS) or satis</w:t>
      </w:r>
      <w:r w:rsidR="009C12A1" w:rsidRPr="001E6774">
        <w:rPr>
          <w:color w:val="000000"/>
        </w:rPr>
        <w:t>fy physical fitness standards.</w:t>
      </w:r>
      <w:r w:rsidR="00F566B7" w:rsidRPr="001E6774">
        <w:rPr>
          <w:color w:val="000000"/>
        </w:rPr>
        <w:t xml:space="preserve"> </w:t>
      </w:r>
      <w:r w:rsidR="009C12A1" w:rsidRPr="001E6774">
        <w:rPr>
          <w:color w:val="000000"/>
        </w:rPr>
        <w:t xml:space="preserve"> He </w:t>
      </w:r>
      <w:r w:rsidR="00F566B7" w:rsidRPr="001E6774">
        <w:rPr>
          <w:color w:val="000000"/>
        </w:rPr>
        <w:t xml:space="preserve">was </w:t>
      </w:r>
      <w:r w:rsidR="00271871" w:rsidRPr="001E6774">
        <w:rPr>
          <w:color w:val="000000"/>
        </w:rPr>
        <w:t>consequently</w:t>
      </w:r>
      <w:r w:rsidR="009C12A1" w:rsidRPr="001E6774">
        <w:rPr>
          <w:color w:val="000000"/>
        </w:rPr>
        <w:t xml:space="preserve"> </w:t>
      </w:r>
      <w:r w:rsidR="00F566B7" w:rsidRPr="001E6774">
        <w:rPr>
          <w:color w:val="000000"/>
        </w:rPr>
        <w:t>issued a permanent L3 profile and</w:t>
      </w:r>
      <w:r w:rsidR="009C12A1" w:rsidRPr="001E6774">
        <w:rPr>
          <w:color w:val="000000"/>
        </w:rPr>
        <w:t xml:space="preserve"> </w:t>
      </w:r>
      <w:r w:rsidR="00F566B7" w:rsidRPr="001E6774">
        <w:rPr>
          <w:color w:val="000000"/>
        </w:rPr>
        <w:t xml:space="preserve">referred for a Medical Evaluation Board (MEB).  </w:t>
      </w:r>
      <w:r w:rsidR="00386C09" w:rsidRPr="001E6774">
        <w:rPr>
          <w:color w:val="000000"/>
        </w:rPr>
        <w:t>B</w:t>
      </w:r>
      <w:r w:rsidR="00386C09" w:rsidRPr="001E6774">
        <w:rPr>
          <w:color w:val="auto"/>
        </w:rPr>
        <w:t>ilateral RPS</w:t>
      </w:r>
      <w:r w:rsidR="00386C09" w:rsidRPr="001E6774">
        <w:rPr>
          <w:color w:val="000000"/>
        </w:rPr>
        <w:t xml:space="preserve"> </w:t>
      </w:r>
      <w:r w:rsidR="00F566B7" w:rsidRPr="001E6774">
        <w:rPr>
          <w:color w:val="000000"/>
        </w:rPr>
        <w:t>was forwarded to the Physical Evaluation Board (PEB) as medically unacceptable IAW AR 40-501.  No other condi</w:t>
      </w:r>
      <w:r w:rsidR="00B63EAE" w:rsidRPr="001E6774">
        <w:rPr>
          <w:color w:val="000000"/>
        </w:rPr>
        <w:t>tions were submitted by the MEB</w:t>
      </w:r>
      <w:r w:rsidR="00F566B7" w:rsidRPr="001E6774">
        <w:rPr>
          <w:color w:val="000000"/>
        </w:rPr>
        <w:t xml:space="preserve">.  </w:t>
      </w:r>
      <w:r w:rsidRPr="001E6774">
        <w:rPr>
          <w:color w:val="000000"/>
        </w:rPr>
        <w:t xml:space="preserve">The PEB adjudicated the </w:t>
      </w:r>
      <w:r w:rsidR="00386C09" w:rsidRPr="001E6774">
        <w:rPr>
          <w:color w:val="000000"/>
        </w:rPr>
        <w:t xml:space="preserve">knees </w:t>
      </w:r>
      <w:r w:rsidR="008530E3" w:rsidRPr="001E6774">
        <w:rPr>
          <w:color w:val="000000"/>
        </w:rPr>
        <w:t xml:space="preserve">as </w:t>
      </w:r>
      <w:r w:rsidR="00386C09" w:rsidRPr="001E6774">
        <w:rPr>
          <w:color w:val="000000"/>
        </w:rPr>
        <w:t>a single</w:t>
      </w:r>
      <w:r w:rsidR="00386C09">
        <w:rPr>
          <w:color w:val="000000"/>
        </w:rPr>
        <w:t xml:space="preserve"> </w:t>
      </w:r>
      <w:r w:rsidR="008530E3">
        <w:rPr>
          <w:color w:val="000000"/>
        </w:rPr>
        <w:t>unfitting</w:t>
      </w:r>
      <w:r w:rsidR="00386C09" w:rsidRPr="00386C09">
        <w:rPr>
          <w:color w:val="000000"/>
        </w:rPr>
        <w:t xml:space="preserve"> </w:t>
      </w:r>
      <w:r w:rsidR="00386C09">
        <w:rPr>
          <w:color w:val="000000"/>
        </w:rPr>
        <w:t>condition</w:t>
      </w:r>
      <w:r w:rsidR="008530E3">
        <w:rPr>
          <w:color w:val="000000"/>
        </w:rPr>
        <w:t xml:space="preserve">, rated </w:t>
      </w:r>
      <w:r w:rsidRPr="00726F84">
        <w:rPr>
          <w:color w:val="000000"/>
        </w:rPr>
        <w:t xml:space="preserve">0%, </w:t>
      </w:r>
      <w:r w:rsidR="00261B7E">
        <w:rPr>
          <w:color w:val="000000"/>
        </w:rPr>
        <w:t xml:space="preserve">citing criteria </w:t>
      </w:r>
      <w:r w:rsidR="00386C09">
        <w:rPr>
          <w:color w:val="000000"/>
        </w:rPr>
        <w:t>for code 5003 (degenerative arthritis) from</w:t>
      </w:r>
      <w:r w:rsidR="00FA24F2">
        <w:rPr>
          <w:color w:val="000000"/>
        </w:rPr>
        <w:t xml:space="preserve"> </w:t>
      </w:r>
      <w:r w:rsidRPr="00726F84">
        <w:rPr>
          <w:color w:val="000000"/>
        </w:rPr>
        <w:t xml:space="preserve">the </w:t>
      </w:r>
      <w:r w:rsidRPr="009A7578">
        <w:rPr>
          <w:color w:val="000000"/>
        </w:rPr>
        <w:t>Veterans Administration Schedule for Rating Disabilities (VASRD)</w:t>
      </w:r>
      <w:r w:rsidRPr="00726F84">
        <w:rPr>
          <w:color w:val="000000"/>
        </w:rPr>
        <w:t>.</w:t>
      </w:r>
      <w:r w:rsidRPr="001F29F9">
        <w:rPr>
          <w:color w:val="000000"/>
        </w:rPr>
        <w:t xml:space="preserve"> </w:t>
      </w:r>
      <w:r w:rsidR="00261B7E">
        <w:rPr>
          <w:color w:val="000000"/>
        </w:rPr>
        <w:t xml:space="preserve"> </w:t>
      </w:r>
      <w:r w:rsidRPr="001F29F9">
        <w:rPr>
          <w:color w:val="000000"/>
        </w:rPr>
        <w:t xml:space="preserve">The CI </w:t>
      </w:r>
      <w:r w:rsidR="00386C09">
        <w:rPr>
          <w:color w:val="000000"/>
        </w:rPr>
        <w:t xml:space="preserve">did not appeal </w:t>
      </w:r>
      <w:r w:rsidR="00937113">
        <w:rPr>
          <w:color w:val="000000"/>
        </w:rPr>
        <w:t>the PEB’s knee rating</w:t>
      </w:r>
      <w:r w:rsidRPr="001F29F9">
        <w:rPr>
          <w:color w:val="000000"/>
        </w:rPr>
        <w:t xml:space="preserve">, and was medically </w:t>
      </w:r>
      <w:r w:rsidRPr="00726F84">
        <w:rPr>
          <w:color w:val="000000"/>
        </w:rPr>
        <w:t xml:space="preserve">separated with </w:t>
      </w:r>
      <w:r w:rsidR="00937113">
        <w:rPr>
          <w:color w:val="000000"/>
        </w:rPr>
        <w:t>a</w:t>
      </w:r>
      <w:r w:rsidR="00386C09">
        <w:rPr>
          <w:color w:val="000000"/>
        </w:rPr>
        <w:t xml:space="preserve"> 0%</w:t>
      </w:r>
      <w:r w:rsidRPr="001F29F9">
        <w:rPr>
          <w:color w:val="000000"/>
        </w:rPr>
        <w:t xml:space="preserve"> disability rating.</w:t>
      </w:r>
    </w:p>
    <w:p w:rsidR="00CD2165" w:rsidRPr="001F29F9" w:rsidRDefault="00CD2165"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C494C" w:rsidRPr="004A2728" w:rsidRDefault="00AD2379" w:rsidP="00BF0E94">
      <w:pPr>
        <w:tabs>
          <w:tab w:val="left" w:pos="288"/>
          <w:tab w:val="left" w:pos="4752"/>
        </w:tabs>
        <w:jc w:val="both"/>
        <w:rPr>
          <w:color w:val="000000" w:themeColor="text1"/>
        </w:rPr>
      </w:pPr>
      <w:r w:rsidRPr="001F29F9">
        <w:rPr>
          <w:color w:val="000000"/>
          <w:u w:val="single"/>
        </w:rPr>
        <w:t>CI CONTENTION</w:t>
      </w:r>
      <w:r w:rsidRPr="001F29F9">
        <w:rPr>
          <w:color w:val="000000"/>
        </w:rPr>
        <w:t>:</w:t>
      </w:r>
      <w:r w:rsidRPr="00726F84">
        <w:rPr>
          <w:color w:val="000000"/>
        </w:rPr>
        <w:t xml:space="preserve"> </w:t>
      </w:r>
      <w:r w:rsidR="00B0097D">
        <w:rPr>
          <w:color w:val="auto"/>
        </w:rPr>
        <w:t>“Bilateral retropatellar pain syndrome, and obstructive sleep apnea.   My sleep apnea was not consider</w:t>
      </w:r>
      <w:r w:rsidR="00D44501">
        <w:rPr>
          <w:color w:val="auto"/>
        </w:rPr>
        <w:t>ed</w:t>
      </w:r>
      <w:r w:rsidR="00B0097D">
        <w:rPr>
          <w:color w:val="auto"/>
        </w:rPr>
        <w:t xml:space="preserve"> in my rating for my final disability rating.”</w:t>
      </w:r>
      <w:r w:rsidR="004A2728">
        <w:rPr>
          <w:color w:val="000000"/>
        </w:rPr>
        <w:t xml:space="preserve"> </w:t>
      </w:r>
      <w:r w:rsidR="004A2728" w:rsidRPr="00F72DEB">
        <w:rPr>
          <w:rFonts w:eastAsiaTheme="minorHAnsi"/>
          <w:color w:val="000000" w:themeColor="text1"/>
          <w:szCs w:val="24"/>
        </w:rPr>
        <w:t xml:space="preserve">He does not elaborate further or </w:t>
      </w:r>
      <w:r w:rsidR="00A358BA" w:rsidRPr="00F72DEB">
        <w:rPr>
          <w:rFonts w:eastAsiaTheme="minorHAnsi"/>
          <w:color w:val="000000" w:themeColor="text1"/>
          <w:szCs w:val="24"/>
        </w:rPr>
        <w:t>specify a request for Board consideration of any additional</w:t>
      </w:r>
      <w:r w:rsidR="004A2728" w:rsidRPr="00F72DEB">
        <w:rPr>
          <w:rFonts w:eastAsiaTheme="minorHAnsi"/>
          <w:color w:val="000000" w:themeColor="text1"/>
          <w:szCs w:val="24"/>
        </w:rPr>
        <w:t xml:space="preserve"> conditions</w:t>
      </w:r>
      <w:r w:rsidR="00B0097D">
        <w:rPr>
          <w:rFonts w:eastAsiaTheme="minorHAnsi"/>
          <w:color w:val="000000" w:themeColor="text1"/>
          <w:szCs w:val="24"/>
        </w:rPr>
        <w:t>.</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5C6CF2" w:rsidRPr="005C6CF2" w:rsidRDefault="00F14638" w:rsidP="005C6CF2">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Pr>
          <w:color w:val="auto"/>
        </w:rPr>
        <w:t xml:space="preserve">view as defined in </w:t>
      </w:r>
      <w:r w:rsidR="001E6774">
        <w:rPr>
          <w:color w:val="auto"/>
        </w:rPr>
        <w:t>Department of Defense Instruction (</w:t>
      </w:r>
      <w:r>
        <w:rPr>
          <w:color w:val="auto"/>
        </w:rPr>
        <w:t>DoDI</w:t>
      </w:r>
      <w:r w:rsidR="001E6774">
        <w:rPr>
          <w:color w:val="auto"/>
        </w:rPr>
        <w:t>)</w:t>
      </w:r>
      <w:r>
        <w:rPr>
          <w:color w:val="auto"/>
        </w:rPr>
        <w:t xml:space="preserve"> 6040.44 </w:t>
      </w:r>
      <w:r w:rsidR="003A6FCD">
        <w:rPr>
          <w:color w:val="auto"/>
        </w:rPr>
        <w:t>(Enclosure 3, paragraph 5.e.2)</w:t>
      </w:r>
      <w:r w:rsidR="003A6FCD" w:rsidRPr="00C566C9">
        <w:rPr>
          <w:color w:val="auto"/>
        </w:rPr>
        <w:t xml:space="preserve"> </w:t>
      </w:r>
      <w:r w:rsidRPr="00C566C9">
        <w:rPr>
          <w:color w:val="auto"/>
        </w:rPr>
        <w:t>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96797E">
        <w:rPr>
          <w:color w:val="auto"/>
        </w:rPr>
        <w:t>.</w:t>
      </w:r>
      <w:r w:rsidRPr="00C566C9">
        <w:rPr>
          <w:color w:val="auto"/>
        </w:rPr>
        <w:t>”</w:t>
      </w:r>
      <w:r>
        <w:rPr>
          <w:color w:val="auto"/>
        </w:rPr>
        <w:t xml:space="preserve">  </w:t>
      </w:r>
      <w:r w:rsidR="00B0097D">
        <w:rPr>
          <w:color w:val="auto"/>
        </w:rPr>
        <w:t>The rating</w:t>
      </w:r>
      <w:r w:rsidRPr="009239C0">
        <w:rPr>
          <w:color w:val="auto"/>
        </w:rPr>
        <w:t xml:space="preserve"> for </w:t>
      </w:r>
      <w:r w:rsidR="00B0097D">
        <w:rPr>
          <w:color w:val="auto"/>
        </w:rPr>
        <w:t xml:space="preserve">the </w:t>
      </w:r>
      <w:r w:rsidRPr="009239C0">
        <w:rPr>
          <w:color w:val="auto"/>
        </w:rPr>
        <w:t xml:space="preserve">unfitting </w:t>
      </w:r>
      <w:r w:rsidR="00B0097D">
        <w:rPr>
          <w:color w:val="auto"/>
        </w:rPr>
        <w:t xml:space="preserve">knee </w:t>
      </w:r>
      <w:r w:rsidRPr="009239C0">
        <w:rPr>
          <w:color w:val="auto"/>
        </w:rPr>
        <w:t xml:space="preserve">condition </w:t>
      </w:r>
      <w:r w:rsidR="00B0097D">
        <w:rPr>
          <w:color w:val="auto"/>
        </w:rPr>
        <w:t xml:space="preserve">is </w:t>
      </w:r>
      <w:r w:rsidR="00AC25DD">
        <w:rPr>
          <w:color w:val="auto"/>
        </w:rPr>
        <w:t>addressed below</w:t>
      </w:r>
      <w:r w:rsidRPr="009239C0">
        <w:rPr>
          <w:color w:val="auto"/>
        </w:rPr>
        <w:t xml:space="preserve">.  </w:t>
      </w:r>
      <w:r w:rsidR="0096797E">
        <w:rPr>
          <w:color w:val="auto"/>
        </w:rPr>
        <w:t xml:space="preserve">An </w:t>
      </w:r>
      <w:r w:rsidR="00F9751B">
        <w:rPr>
          <w:color w:val="auto"/>
        </w:rPr>
        <w:t>appeal for rating of the</w:t>
      </w:r>
      <w:r w:rsidR="00F9751B" w:rsidRPr="00F9751B">
        <w:rPr>
          <w:color w:val="auto"/>
        </w:rPr>
        <w:t xml:space="preserve"> </w:t>
      </w:r>
      <w:r w:rsidR="00F9751B">
        <w:rPr>
          <w:color w:val="auto"/>
        </w:rPr>
        <w:t xml:space="preserve">contended obstructive sleep apnea (OSA) condition was denied by the USAPDA; and, </w:t>
      </w:r>
      <w:r w:rsidR="000066C0">
        <w:rPr>
          <w:color w:val="auto"/>
        </w:rPr>
        <w:t>no PEB adjudication of the condition was underta</w:t>
      </w:r>
      <w:r w:rsidR="005C6CF2">
        <w:rPr>
          <w:color w:val="auto"/>
        </w:rPr>
        <w:t xml:space="preserve">ken; thus, it </w:t>
      </w:r>
      <w:r w:rsidR="005C6CF2" w:rsidRPr="005C6CF2">
        <w:rPr>
          <w:color w:val="auto"/>
        </w:rPr>
        <w:t xml:space="preserve">does not meet the criteria prescribed in DoDI 6040.44 for Board purview.  </w:t>
      </w:r>
      <w:r w:rsidR="005C6CF2" w:rsidRPr="00CC7C3A">
        <w:rPr>
          <w:color w:val="auto"/>
        </w:rPr>
        <w:t>The OSA condition</w:t>
      </w:r>
      <w:r w:rsidR="005C6CF2" w:rsidRPr="005C6CF2">
        <w:rPr>
          <w:color w:val="auto"/>
        </w:rPr>
        <w:t xml:space="preserve">, or any </w:t>
      </w:r>
      <w:r w:rsidR="005C6CF2">
        <w:rPr>
          <w:color w:val="auto"/>
        </w:rPr>
        <w:t xml:space="preserve">condition or </w:t>
      </w:r>
      <w:r w:rsidR="005C6CF2" w:rsidRPr="005C6CF2">
        <w:rPr>
          <w:color w:val="auto"/>
        </w:rPr>
        <w:t>contention not requested in this application, remain eligible for future consideration by the Army Board for Correction of Military Records (ABCMR).</w:t>
      </w:r>
    </w:p>
    <w:p w:rsidR="004F61A0" w:rsidRPr="001F29F9" w:rsidRDefault="004F61A0" w:rsidP="004F61A0">
      <w:pPr>
        <w:pBdr>
          <w:bottom w:val="single" w:sz="12" w:space="1" w:color="auto"/>
        </w:pBdr>
        <w:tabs>
          <w:tab w:val="left" w:pos="288"/>
          <w:tab w:val="left" w:pos="4752"/>
        </w:tabs>
        <w:jc w:val="both"/>
        <w:rPr>
          <w:color w:val="000000"/>
        </w:rPr>
      </w:pPr>
    </w:p>
    <w:p w:rsidR="004F61A0" w:rsidRPr="001F29F9" w:rsidRDefault="004F61A0" w:rsidP="004F61A0">
      <w:pPr>
        <w:tabs>
          <w:tab w:val="left" w:pos="288"/>
          <w:tab w:val="left" w:pos="4752"/>
        </w:tabs>
        <w:jc w:val="both"/>
        <w:rPr>
          <w:color w:val="000000"/>
        </w:rPr>
      </w:pPr>
    </w:p>
    <w:p w:rsidR="00AD2379" w:rsidRPr="001F29F9" w:rsidRDefault="00AD2379" w:rsidP="00D44501">
      <w:pPr>
        <w:tabs>
          <w:tab w:val="left" w:pos="2887"/>
        </w:tabs>
        <w:jc w:val="left"/>
        <w:rPr>
          <w:color w:val="000000"/>
        </w:rPr>
      </w:pPr>
      <w:r w:rsidRPr="001F29F9">
        <w:rPr>
          <w:color w:val="000000"/>
          <w:u w:val="single"/>
        </w:rPr>
        <w:t>RATING COMPARISON</w:t>
      </w:r>
      <w:r w:rsidRPr="001F29F9">
        <w:rPr>
          <w:color w:val="000000"/>
        </w:rPr>
        <w:t>:</w:t>
      </w:r>
    </w:p>
    <w:p w:rsidR="00AD2379" w:rsidRDefault="00AD2379" w:rsidP="00FE7C22">
      <w:pPr>
        <w:jc w:val="both"/>
        <w:rPr>
          <w:color w:val="000000"/>
        </w:rPr>
      </w:pPr>
    </w:p>
    <w:tbl>
      <w:tblPr>
        <w:tblStyle w:val="TableGrid"/>
        <w:tblW w:w="9369" w:type="dxa"/>
        <w:jc w:val="center"/>
        <w:tblInd w:w="9" w:type="dxa"/>
        <w:tblLayout w:type="fixed"/>
        <w:tblLook w:val="00A0"/>
      </w:tblPr>
      <w:tblGrid>
        <w:gridCol w:w="2168"/>
        <w:gridCol w:w="1080"/>
        <w:gridCol w:w="720"/>
        <w:gridCol w:w="2611"/>
        <w:gridCol w:w="1080"/>
        <w:gridCol w:w="720"/>
        <w:gridCol w:w="990"/>
      </w:tblGrid>
      <w:tr w:rsidR="00B0097D" w:rsidRPr="00F64312" w:rsidTr="00DC4897">
        <w:trPr>
          <w:trHeight w:val="170"/>
          <w:jc w:val="center"/>
        </w:trPr>
        <w:tc>
          <w:tcPr>
            <w:tcW w:w="3968" w:type="dxa"/>
            <w:gridSpan w:val="3"/>
            <w:tcBorders>
              <w:right w:val="thinThickThinSmallGap" w:sz="24" w:space="0" w:color="auto"/>
            </w:tcBorders>
            <w:shd w:val="clear" w:color="auto" w:fill="D9D9D9"/>
            <w:vAlign w:val="center"/>
          </w:tcPr>
          <w:p w:rsidR="00B0097D" w:rsidRPr="00F64312" w:rsidRDefault="00B0097D" w:rsidP="00DC4897">
            <w:pPr>
              <w:contextualSpacing/>
              <w:rPr>
                <w:rFonts w:cs="Calibri"/>
                <w:b/>
                <w:color w:val="auto"/>
                <w:sz w:val="18"/>
              </w:rPr>
            </w:pPr>
            <w:r w:rsidRPr="00F64312">
              <w:rPr>
                <w:b/>
                <w:color w:val="auto"/>
                <w:sz w:val="18"/>
              </w:rPr>
              <w:t xml:space="preserve">Service PEB – Dated </w:t>
            </w:r>
            <w:r>
              <w:rPr>
                <w:b/>
                <w:color w:val="auto"/>
                <w:sz w:val="18"/>
              </w:rPr>
              <w:t>20041020</w:t>
            </w:r>
          </w:p>
        </w:tc>
        <w:tc>
          <w:tcPr>
            <w:tcW w:w="5401" w:type="dxa"/>
            <w:gridSpan w:val="4"/>
            <w:tcBorders>
              <w:left w:val="thinThickThinSmallGap" w:sz="24" w:space="0" w:color="auto"/>
            </w:tcBorders>
            <w:shd w:val="clear" w:color="auto" w:fill="D9D9D9"/>
            <w:vAlign w:val="center"/>
          </w:tcPr>
          <w:p w:rsidR="00B0097D" w:rsidRPr="00F64312" w:rsidRDefault="00B0097D" w:rsidP="00DC4897">
            <w:pPr>
              <w:contextualSpacing/>
              <w:rPr>
                <w:rFonts w:cs="Calibri"/>
                <w:b/>
                <w:color w:val="auto"/>
                <w:sz w:val="18"/>
              </w:rPr>
            </w:pPr>
            <w:r w:rsidRPr="00F64312">
              <w:rPr>
                <w:b/>
                <w:color w:val="auto"/>
                <w:sz w:val="18"/>
              </w:rPr>
              <w:t>VA (</w:t>
            </w:r>
            <w:r>
              <w:rPr>
                <w:b/>
                <w:color w:val="auto"/>
                <w:sz w:val="18"/>
              </w:rPr>
              <w:t>~4</w:t>
            </w:r>
            <w:r w:rsidRPr="00F64312">
              <w:rPr>
                <w:b/>
                <w:color w:val="auto"/>
                <w:sz w:val="18"/>
              </w:rPr>
              <w:t xml:space="preserve"> Mos. </w:t>
            </w:r>
            <w:r w:rsidRPr="007C652A">
              <w:rPr>
                <w:b/>
                <w:color w:val="auto"/>
                <w:sz w:val="18"/>
              </w:rPr>
              <w:t>Post-</w:t>
            </w:r>
            <w:r w:rsidRPr="00F64312">
              <w:rPr>
                <w:b/>
                <w:color w:val="auto"/>
                <w:sz w:val="18"/>
              </w:rPr>
              <w:t xml:space="preserve">Separation) – All Effective </w:t>
            </w:r>
            <w:r w:rsidRPr="00864AF1">
              <w:rPr>
                <w:b/>
                <w:color w:val="auto"/>
                <w:sz w:val="18"/>
              </w:rPr>
              <w:t>Date 200</w:t>
            </w:r>
            <w:r>
              <w:rPr>
                <w:b/>
                <w:color w:val="auto"/>
                <w:sz w:val="18"/>
              </w:rPr>
              <w:t>412</w:t>
            </w:r>
            <w:r w:rsidRPr="00864AF1">
              <w:rPr>
                <w:b/>
                <w:color w:val="auto"/>
                <w:sz w:val="18"/>
              </w:rPr>
              <w:t>2</w:t>
            </w:r>
            <w:r>
              <w:rPr>
                <w:b/>
                <w:color w:val="auto"/>
                <w:sz w:val="18"/>
              </w:rPr>
              <w:t>2</w:t>
            </w:r>
          </w:p>
        </w:tc>
      </w:tr>
      <w:tr w:rsidR="00B0097D" w:rsidRPr="00F64312" w:rsidTr="00DC4897">
        <w:trPr>
          <w:trHeight w:val="97"/>
          <w:jc w:val="center"/>
        </w:trPr>
        <w:tc>
          <w:tcPr>
            <w:tcW w:w="2168" w:type="dxa"/>
            <w:tcBorders>
              <w:bottom w:val="single" w:sz="4" w:space="0" w:color="000000"/>
              <w:right w:val="single" w:sz="4" w:space="0" w:color="auto"/>
            </w:tcBorders>
            <w:shd w:val="clear" w:color="auto" w:fill="D9D9D9"/>
            <w:vAlign w:val="center"/>
          </w:tcPr>
          <w:p w:rsidR="00B0097D" w:rsidRPr="00F64312" w:rsidRDefault="00B0097D" w:rsidP="00DC4897">
            <w:pPr>
              <w:contextualSpacing/>
              <w:rPr>
                <w:rFonts w:cs="Calibri"/>
                <w:b/>
                <w:color w:val="auto"/>
                <w:sz w:val="18"/>
              </w:rPr>
            </w:pPr>
            <w:r w:rsidRPr="00F64312">
              <w:rPr>
                <w:b/>
                <w:color w:val="auto"/>
                <w:sz w:val="18"/>
              </w:rPr>
              <w:t>Condition</w:t>
            </w:r>
          </w:p>
        </w:tc>
        <w:tc>
          <w:tcPr>
            <w:tcW w:w="1080" w:type="dxa"/>
            <w:tcBorders>
              <w:left w:val="single" w:sz="4" w:space="0" w:color="auto"/>
              <w:bottom w:val="single" w:sz="4" w:space="0" w:color="000000"/>
            </w:tcBorders>
            <w:shd w:val="clear" w:color="auto" w:fill="D9D9D9"/>
            <w:vAlign w:val="center"/>
          </w:tcPr>
          <w:p w:rsidR="00B0097D" w:rsidRPr="00F64312" w:rsidRDefault="00B0097D" w:rsidP="00DC4897">
            <w:pPr>
              <w:contextualSpacing/>
              <w:rPr>
                <w:rFonts w:cs="Calibri"/>
                <w:b/>
                <w:color w:val="auto"/>
                <w:sz w:val="18"/>
              </w:rPr>
            </w:pPr>
            <w:r w:rsidRPr="00F64312">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B0097D" w:rsidRPr="00F64312" w:rsidRDefault="00B0097D" w:rsidP="00DC4897">
            <w:pPr>
              <w:contextualSpacing/>
              <w:rPr>
                <w:rFonts w:cs="Calibri"/>
                <w:b/>
                <w:color w:val="auto"/>
                <w:sz w:val="18"/>
              </w:rPr>
            </w:pPr>
            <w:r w:rsidRPr="00F64312">
              <w:rPr>
                <w:b/>
                <w:color w:val="auto"/>
                <w:sz w:val="18"/>
              </w:rPr>
              <w:t>Rating</w:t>
            </w:r>
          </w:p>
        </w:tc>
        <w:tc>
          <w:tcPr>
            <w:tcW w:w="2611" w:type="dxa"/>
            <w:tcBorders>
              <w:left w:val="thinThickThinSmallGap" w:sz="24" w:space="0" w:color="auto"/>
              <w:bottom w:val="single" w:sz="4" w:space="0" w:color="000000"/>
            </w:tcBorders>
            <w:shd w:val="clear" w:color="auto" w:fill="D9D9D9"/>
            <w:vAlign w:val="center"/>
          </w:tcPr>
          <w:p w:rsidR="00B0097D" w:rsidRPr="00F64312" w:rsidRDefault="00B0097D" w:rsidP="00DC4897">
            <w:pPr>
              <w:contextualSpacing/>
              <w:rPr>
                <w:rFonts w:cs="Calibri"/>
                <w:b/>
                <w:color w:val="auto"/>
                <w:sz w:val="18"/>
              </w:rPr>
            </w:pPr>
            <w:r w:rsidRPr="00F64312">
              <w:rPr>
                <w:b/>
                <w:color w:val="auto"/>
                <w:sz w:val="18"/>
              </w:rPr>
              <w:t>Condition</w:t>
            </w:r>
          </w:p>
        </w:tc>
        <w:tc>
          <w:tcPr>
            <w:tcW w:w="1080" w:type="dxa"/>
            <w:tcBorders>
              <w:bottom w:val="single" w:sz="4" w:space="0" w:color="000000"/>
            </w:tcBorders>
            <w:shd w:val="clear" w:color="auto" w:fill="D9D9D9"/>
            <w:vAlign w:val="center"/>
          </w:tcPr>
          <w:p w:rsidR="00B0097D" w:rsidRPr="00F64312" w:rsidRDefault="00B0097D" w:rsidP="00DC4897">
            <w:pPr>
              <w:contextualSpacing/>
              <w:rPr>
                <w:rFonts w:cs="Calibri"/>
                <w:b/>
                <w:color w:val="auto"/>
                <w:sz w:val="18"/>
              </w:rPr>
            </w:pPr>
            <w:r w:rsidRPr="00F64312">
              <w:rPr>
                <w:b/>
                <w:color w:val="auto"/>
                <w:sz w:val="18"/>
              </w:rPr>
              <w:t>Code</w:t>
            </w:r>
          </w:p>
        </w:tc>
        <w:tc>
          <w:tcPr>
            <w:tcW w:w="720" w:type="dxa"/>
            <w:tcBorders>
              <w:bottom w:val="single" w:sz="4" w:space="0" w:color="000000"/>
            </w:tcBorders>
            <w:shd w:val="clear" w:color="auto" w:fill="D9D9D9"/>
            <w:vAlign w:val="center"/>
          </w:tcPr>
          <w:p w:rsidR="00B0097D" w:rsidRPr="00F64312" w:rsidRDefault="00B0097D" w:rsidP="00DC4897">
            <w:pPr>
              <w:contextualSpacing/>
              <w:rPr>
                <w:rFonts w:cs="Calibri"/>
                <w:b/>
                <w:color w:val="auto"/>
                <w:sz w:val="18"/>
              </w:rPr>
            </w:pPr>
            <w:r w:rsidRPr="00F64312">
              <w:rPr>
                <w:b/>
                <w:color w:val="auto"/>
                <w:sz w:val="18"/>
              </w:rPr>
              <w:t>Rating</w:t>
            </w:r>
          </w:p>
        </w:tc>
        <w:tc>
          <w:tcPr>
            <w:tcW w:w="990" w:type="dxa"/>
            <w:tcBorders>
              <w:bottom w:val="single" w:sz="4" w:space="0" w:color="000000"/>
            </w:tcBorders>
            <w:shd w:val="clear" w:color="auto" w:fill="D9D9D9"/>
            <w:vAlign w:val="center"/>
          </w:tcPr>
          <w:p w:rsidR="00B0097D" w:rsidRPr="00F64312" w:rsidRDefault="00B0097D" w:rsidP="00DC4897">
            <w:pPr>
              <w:contextualSpacing/>
              <w:rPr>
                <w:rFonts w:cs="Calibri"/>
                <w:b/>
                <w:color w:val="auto"/>
                <w:sz w:val="18"/>
              </w:rPr>
            </w:pPr>
            <w:r w:rsidRPr="00F64312">
              <w:rPr>
                <w:b/>
                <w:color w:val="auto"/>
                <w:sz w:val="18"/>
              </w:rPr>
              <w:t>Exam</w:t>
            </w:r>
          </w:p>
        </w:tc>
      </w:tr>
      <w:tr w:rsidR="00B0097D" w:rsidRPr="00F64312" w:rsidTr="00DC4897">
        <w:trPr>
          <w:trHeight w:val="118"/>
          <w:jc w:val="center"/>
        </w:trPr>
        <w:tc>
          <w:tcPr>
            <w:tcW w:w="2168" w:type="dxa"/>
            <w:vMerge w:val="restart"/>
            <w:tcBorders>
              <w:right w:val="single" w:sz="4" w:space="0" w:color="auto"/>
            </w:tcBorders>
            <w:shd w:val="clear" w:color="auto" w:fill="FFFFFF"/>
            <w:vAlign w:val="center"/>
          </w:tcPr>
          <w:p w:rsidR="00B0097D" w:rsidRPr="00F64312" w:rsidRDefault="00B0097D" w:rsidP="00DC4897">
            <w:pPr>
              <w:spacing w:line="220" w:lineRule="exact"/>
              <w:contextualSpacing/>
              <w:jc w:val="left"/>
              <w:rPr>
                <w:rFonts w:cs="Calibri"/>
                <w:color w:val="auto"/>
                <w:sz w:val="18"/>
              </w:rPr>
            </w:pPr>
            <w:r>
              <w:rPr>
                <w:rFonts w:cs="Calibri"/>
                <w:color w:val="auto"/>
                <w:sz w:val="18"/>
              </w:rPr>
              <w:t>Bilateral Knee Pain</w:t>
            </w:r>
          </w:p>
        </w:tc>
        <w:tc>
          <w:tcPr>
            <w:tcW w:w="1080" w:type="dxa"/>
            <w:vMerge w:val="restart"/>
            <w:tcBorders>
              <w:left w:val="single" w:sz="4" w:space="0" w:color="auto"/>
            </w:tcBorders>
            <w:shd w:val="clear" w:color="auto" w:fill="FFFFFF"/>
            <w:vAlign w:val="center"/>
          </w:tcPr>
          <w:p w:rsidR="00B0097D" w:rsidRPr="00F64312" w:rsidRDefault="00B0097D" w:rsidP="00DC4897">
            <w:pPr>
              <w:spacing w:line="220" w:lineRule="exact"/>
              <w:contextualSpacing/>
              <w:rPr>
                <w:rFonts w:cs="Calibri"/>
                <w:color w:val="auto"/>
                <w:sz w:val="18"/>
              </w:rPr>
            </w:pPr>
            <w:r>
              <w:rPr>
                <w:rFonts w:cs="Calibri"/>
                <w:color w:val="auto"/>
                <w:sz w:val="18"/>
              </w:rPr>
              <w:t>5009-5003</w:t>
            </w:r>
          </w:p>
        </w:tc>
        <w:tc>
          <w:tcPr>
            <w:tcW w:w="720" w:type="dxa"/>
            <w:vMerge w:val="restart"/>
            <w:tcBorders>
              <w:right w:val="thinThickThinSmallGap" w:sz="24" w:space="0" w:color="auto"/>
            </w:tcBorders>
            <w:shd w:val="clear" w:color="auto" w:fill="FFFFFF"/>
            <w:vAlign w:val="center"/>
          </w:tcPr>
          <w:p w:rsidR="00B0097D" w:rsidRPr="00F64312" w:rsidRDefault="00B0097D" w:rsidP="00DC4897">
            <w:pPr>
              <w:spacing w:line="220" w:lineRule="exact"/>
              <w:rPr>
                <w:rFonts w:cs="Calibri"/>
                <w:color w:val="auto"/>
                <w:sz w:val="18"/>
              </w:rPr>
            </w:pPr>
            <w:r>
              <w:rPr>
                <w:rFonts w:cs="Calibri"/>
                <w:color w:val="auto"/>
                <w:sz w:val="18"/>
              </w:rPr>
              <w:t>0%</w:t>
            </w:r>
          </w:p>
        </w:tc>
        <w:tc>
          <w:tcPr>
            <w:tcW w:w="2611" w:type="dxa"/>
            <w:tcBorders>
              <w:left w:val="thinThickThinSmallGap" w:sz="24" w:space="0" w:color="auto"/>
            </w:tcBorders>
            <w:shd w:val="clear" w:color="auto" w:fill="FFFFFF"/>
            <w:vAlign w:val="center"/>
          </w:tcPr>
          <w:p w:rsidR="00B0097D" w:rsidRPr="00F64312" w:rsidRDefault="00B0097D" w:rsidP="00DC4897">
            <w:pPr>
              <w:spacing w:line="220" w:lineRule="exact"/>
              <w:contextualSpacing/>
              <w:jc w:val="left"/>
              <w:rPr>
                <w:rFonts w:cs="Calibri"/>
                <w:color w:val="auto"/>
                <w:sz w:val="18"/>
              </w:rPr>
            </w:pPr>
            <w:r>
              <w:rPr>
                <w:rFonts w:cs="Calibri"/>
                <w:color w:val="auto"/>
                <w:sz w:val="18"/>
              </w:rPr>
              <w:t xml:space="preserve">Osteoarthritis R Knee w/ RPS </w:t>
            </w:r>
          </w:p>
        </w:tc>
        <w:tc>
          <w:tcPr>
            <w:tcW w:w="1080" w:type="dxa"/>
            <w:shd w:val="clear" w:color="auto" w:fill="FFFFFF"/>
            <w:vAlign w:val="center"/>
          </w:tcPr>
          <w:p w:rsidR="00B0097D" w:rsidRPr="00F64312" w:rsidRDefault="00B0097D" w:rsidP="00DC4897">
            <w:pPr>
              <w:spacing w:line="220" w:lineRule="exact"/>
              <w:contextualSpacing/>
              <w:rPr>
                <w:rFonts w:cs="Calibri"/>
                <w:color w:val="auto"/>
                <w:sz w:val="18"/>
              </w:rPr>
            </w:pPr>
            <w:r>
              <w:rPr>
                <w:rFonts w:cs="Calibri"/>
                <w:color w:val="auto"/>
                <w:sz w:val="18"/>
              </w:rPr>
              <w:t>5010-5260</w:t>
            </w:r>
          </w:p>
        </w:tc>
        <w:tc>
          <w:tcPr>
            <w:tcW w:w="720" w:type="dxa"/>
            <w:shd w:val="clear" w:color="auto" w:fill="FFFFFF"/>
            <w:vAlign w:val="center"/>
          </w:tcPr>
          <w:p w:rsidR="00B0097D" w:rsidRPr="00F64312" w:rsidRDefault="00B0097D" w:rsidP="00DC4897">
            <w:pPr>
              <w:spacing w:line="220" w:lineRule="exact"/>
              <w:contextualSpacing/>
              <w:rPr>
                <w:rFonts w:cs="Calibri"/>
                <w:color w:val="auto"/>
                <w:sz w:val="18"/>
              </w:rPr>
            </w:pPr>
            <w:r>
              <w:rPr>
                <w:rFonts w:cs="Calibri"/>
                <w:color w:val="auto"/>
                <w:sz w:val="18"/>
              </w:rPr>
              <w:t>10%</w:t>
            </w:r>
          </w:p>
        </w:tc>
        <w:tc>
          <w:tcPr>
            <w:tcW w:w="990" w:type="dxa"/>
            <w:shd w:val="clear" w:color="auto" w:fill="FFFFFF"/>
            <w:vAlign w:val="center"/>
          </w:tcPr>
          <w:p w:rsidR="00B0097D" w:rsidRPr="00F64312" w:rsidRDefault="00B0097D" w:rsidP="00DC4897">
            <w:pPr>
              <w:spacing w:line="220" w:lineRule="exact"/>
              <w:contextualSpacing/>
              <w:rPr>
                <w:rFonts w:cs="Calibri"/>
                <w:color w:val="auto"/>
                <w:sz w:val="18"/>
              </w:rPr>
            </w:pPr>
            <w:r w:rsidRPr="005D0B20">
              <w:rPr>
                <w:color w:val="auto"/>
                <w:sz w:val="18"/>
              </w:rPr>
              <w:t>20050411</w:t>
            </w:r>
          </w:p>
        </w:tc>
      </w:tr>
      <w:tr w:rsidR="00B0097D" w:rsidRPr="00F64312" w:rsidTr="00DC4897">
        <w:trPr>
          <w:trHeight w:val="118"/>
          <w:jc w:val="center"/>
        </w:trPr>
        <w:tc>
          <w:tcPr>
            <w:tcW w:w="2168" w:type="dxa"/>
            <w:vMerge/>
            <w:tcBorders>
              <w:bottom w:val="single" w:sz="4" w:space="0" w:color="auto"/>
              <w:right w:val="single" w:sz="4" w:space="0" w:color="auto"/>
            </w:tcBorders>
            <w:shd w:val="clear" w:color="auto" w:fill="FFFFFF"/>
            <w:vAlign w:val="center"/>
          </w:tcPr>
          <w:p w:rsidR="00B0097D" w:rsidRPr="00F64312" w:rsidRDefault="00B0097D" w:rsidP="00DC4897">
            <w:pPr>
              <w:spacing w:line="220" w:lineRule="exact"/>
              <w:contextualSpacing/>
              <w:rPr>
                <w:color w:val="auto"/>
                <w:sz w:val="18"/>
              </w:rPr>
            </w:pPr>
          </w:p>
        </w:tc>
        <w:tc>
          <w:tcPr>
            <w:tcW w:w="1080" w:type="dxa"/>
            <w:vMerge/>
            <w:tcBorders>
              <w:left w:val="single" w:sz="4" w:space="0" w:color="auto"/>
              <w:bottom w:val="single" w:sz="4" w:space="0" w:color="auto"/>
            </w:tcBorders>
            <w:shd w:val="clear" w:color="auto" w:fill="FFFFFF"/>
            <w:vAlign w:val="center"/>
          </w:tcPr>
          <w:p w:rsidR="00B0097D" w:rsidRPr="00F64312" w:rsidRDefault="00B0097D" w:rsidP="00DC4897">
            <w:pPr>
              <w:spacing w:line="220" w:lineRule="exact"/>
              <w:contextualSpacing/>
              <w:rPr>
                <w:color w:val="auto"/>
                <w:sz w:val="18"/>
              </w:rPr>
            </w:pPr>
          </w:p>
        </w:tc>
        <w:tc>
          <w:tcPr>
            <w:tcW w:w="720" w:type="dxa"/>
            <w:vMerge/>
            <w:tcBorders>
              <w:bottom w:val="single" w:sz="4" w:space="0" w:color="auto"/>
              <w:right w:val="thinThickThinSmallGap" w:sz="24" w:space="0" w:color="auto"/>
            </w:tcBorders>
            <w:shd w:val="clear" w:color="auto" w:fill="FFFFFF"/>
            <w:vAlign w:val="center"/>
          </w:tcPr>
          <w:p w:rsidR="00B0097D" w:rsidRPr="00F64312" w:rsidRDefault="00B0097D" w:rsidP="00DC4897">
            <w:pPr>
              <w:spacing w:line="220" w:lineRule="exact"/>
              <w:contextualSpacing/>
              <w:rPr>
                <w:color w:val="auto"/>
                <w:sz w:val="18"/>
              </w:rPr>
            </w:pPr>
          </w:p>
        </w:tc>
        <w:tc>
          <w:tcPr>
            <w:tcW w:w="2611" w:type="dxa"/>
            <w:tcBorders>
              <w:left w:val="thinThickThinSmallGap" w:sz="24" w:space="0" w:color="auto"/>
            </w:tcBorders>
            <w:shd w:val="clear" w:color="auto" w:fill="FFFFFF"/>
            <w:vAlign w:val="center"/>
          </w:tcPr>
          <w:p w:rsidR="00B0097D" w:rsidRPr="00F64312" w:rsidRDefault="00B0097D" w:rsidP="00DC4897">
            <w:pPr>
              <w:spacing w:line="220" w:lineRule="exact"/>
              <w:contextualSpacing/>
              <w:jc w:val="left"/>
              <w:rPr>
                <w:color w:val="auto"/>
                <w:sz w:val="18"/>
              </w:rPr>
            </w:pPr>
            <w:r>
              <w:rPr>
                <w:rFonts w:cs="Calibri"/>
                <w:color w:val="auto"/>
                <w:sz w:val="18"/>
              </w:rPr>
              <w:t>Osteoarthritis L Knee w/ RPS</w:t>
            </w:r>
          </w:p>
        </w:tc>
        <w:tc>
          <w:tcPr>
            <w:tcW w:w="1080" w:type="dxa"/>
            <w:shd w:val="clear" w:color="auto" w:fill="FFFFFF"/>
            <w:vAlign w:val="center"/>
          </w:tcPr>
          <w:p w:rsidR="00B0097D" w:rsidRPr="00F64312" w:rsidRDefault="00B0097D" w:rsidP="00DC4897">
            <w:pPr>
              <w:spacing w:line="220" w:lineRule="exact"/>
              <w:contextualSpacing/>
              <w:rPr>
                <w:color w:val="auto"/>
                <w:sz w:val="18"/>
              </w:rPr>
            </w:pPr>
            <w:r>
              <w:rPr>
                <w:color w:val="auto"/>
                <w:sz w:val="18"/>
              </w:rPr>
              <w:t>5260</w:t>
            </w:r>
          </w:p>
        </w:tc>
        <w:tc>
          <w:tcPr>
            <w:tcW w:w="720" w:type="dxa"/>
            <w:shd w:val="clear" w:color="auto" w:fill="FFFFFF"/>
            <w:vAlign w:val="center"/>
          </w:tcPr>
          <w:p w:rsidR="00B0097D" w:rsidRPr="00F64312" w:rsidRDefault="00B0097D" w:rsidP="00DC4897">
            <w:pPr>
              <w:spacing w:line="220" w:lineRule="exact"/>
              <w:contextualSpacing/>
              <w:rPr>
                <w:color w:val="auto"/>
                <w:sz w:val="18"/>
              </w:rPr>
            </w:pPr>
            <w:r>
              <w:rPr>
                <w:color w:val="auto"/>
                <w:sz w:val="18"/>
              </w:rPr>
              <w:t>10%</w:t>
            </w:r>
          </w:p>
        </w:tc>
        <w:tc>
          <w:tcPr>
            <w:tcW w:w="990" w:type="dxa"/>
            <w:shd w:val="clear" w:color="auto" w:fill="FFFFFF"/>
            <w:vAlign w:val="center"/>
          </w:tcPr>
          <w:p w:rsidR="00B0097D" w:rsidRPr="00F64312" w:rsidRDefault="00B0097D" w:rsidP="00DC4897">
            <w:pPr>
              <w:spacing w:line="220" w:lineRule="exact"/>
              <w:contextualSpacing/>
              <w:rPr>
                <w:color w:val="auto"/>
                <w:sz w:val="18"/>
                <w:highlight w:val="yellow"/>
              </w:rPr>
            </w:pPr>
            <w:r w:rsidRPr="005D0B20">
              <w:rPr>
                <w:color w:val="auto"/>
                <w:sz w:val="18"/>
              </w:rPr>
              <w:t>20050411</w:t>
            </w:r>
          </w:p>
        </w:tc>
      </w:tr>
      <w:tr w:rsidR="00B0097D" w:rsidRPr="00F64312" w:rsidTr="00DC4897">
        <w:trPr>
          <w:trHeight w:val="118"/>
          <w:jc w:val="center"/>
        </w:trPr>
        <w:tc>
          <w:tcPr>
            <w:tcW w:w="3968" w:type="dxa"/>
            <w:gridSpan w:val="3"/>
            <w:vMerge w:val="restart"/>
            <w:tcBorders>
              <w:top w:val="single" w:sz="4" w:space="0" w:color="auto"/>
              <w:right w:val="thinThickThinSmallGap" w:sz="24" w:space="0" w:color="auto"/>
            </w:tcBorders>
            <w:shd w:val="clear" w:color="auto" w:fill="FFFFFF"/>
            <w:vAlign w:val="center"/>
          </w:tcPr>
          <w:p w:rsidR="00B0097D" w:rsidRPr="00F64312" w:rsidRDefault="00B0097D" w:rsidP="00DC4897">
            <w:pPr>
              <w:spacing w:line="220" w:lineRule="exact"/>
              <w:contextualSpacing/>
              <w:rPr>
                <w:color w:val="auto"/>
                <w:sz w:val="18"/>
              </w:rPr>
            </w:pPr>
            <w:r w:rsidRPr="00F64312">
              <w:rPr>
                <w:rFonts w:cs="Calibri"/>
                <w:color w:val="auto"/>
                <w:sz w:val="18"/>
                <w:szCs w:val="18"/>
              </w:rPr>
              <w:t>No Additional MEB/PEB Entries</w:t>
            </w:r>
          </w:p>
        </w:tc>
        <w:tc>
          <w:tcPr>
            <w:tcW w:w="2611" w:type="dxa"/>
            <w:tcBorders>
              <w:left w:val="thinThickThinSmallGap" w:sz="24" w:space="0" w:color="auto"/>
            </w:tcBorders>
            <w:shd w:val="clear" w:color="auto" w:fill="FFFFFF"/>
            <w:vAlign w:val="center"/>
          </w:tcPr>
          <w:p w:rsidR="00B0097D" w:rsidRPr="00F64312" w:rsidRDefault="00B0097D" w:rsidP="00DC4897">
            <w:pPr>
              <w:spacing w:line="220" w:lineRule="exact"/>
              <w:contextualSpacing/>
              <w:jc w:val="left"/>
              <w:rPr>
                <w:color w:val="auto"/>
                <w:sz w:val="18"/>
              </w:rPr>
            </w:pPr>
            <w:r>
              <w:rPr>
                <w:color w:val="auto"/>
                <w:sz w:val="18"/>
              </w:rPr>
              <w:t>Sleep Apnea Syndrome</w:t>
            </w:r>
          </w:p>
        </w:tc>
        <w:tc>
          <w:tcPr>
            <w:tcW w:w="1080" w:type="dxa"/>
            <w:shd w:val="clear" w:color="auto" w:fill="FFFFFF"/>
            <w:vAlign w:val="center"/>
          </w:tcPr>
          <w:p w:rsidR="00B0097D" w:rsidRPr="00F64312" w:rsidRDefault="00B0097D" w:rsidP="00DC4897">
            <w:pPr>
              <w:spacing w:line="220" w:lineRule="exact"/>
              <w:contextualSpacing/>
              <w:rPr>
                <w:color w:val="auto"/>
                <w:sz w:val="18"/>
              </w:rPr>
            </w:pPr>
            <w:r>
              <w:rPr>
                <w:color w:val="auto"/>
                <w:sz w:val="18"/>
              </w:rPr>
              <w:t>6847</w:t>
            </w:r>
          </w:p>
        </w:tc>
        <w:tc>
          <w:tcPr>
            <w:tcW w:w="720" w:type="dxa"/>
            <w:shd w:val="clear" w:color="auto" w:fill="FFFFFF"/>
            <w:vAlign w:val="center"/>
          </w:tcPr>
          <w:p w:rsidR="00B0097D" w:rsidRPr="00F64312" w:rsidRDefault="00B0097D" w:rsidP="00DC4897">
            <w:pPr>
              <w:spacing w:line="220" w:lineRule="exact"/>
              <w:contextualSpacing/>
              <w:rPr>
                <w:color w:val="auto"/>
                <w:sz w:val="18"/>
              </w:rPr>
            </w:pPr>
            <w:r>
              <w:rPr>
                <w:color w:val="auto"/>
                <w:sz w:val="18"/>
              </w:rPr>
              <w:t>50%</w:t>
            </w:r>
          </w:p>
        </w:tc>
        <w:tc>
          <w:tcPr>
            <w:tcW w:w="990" w:type="dxa"/>
            <w:shd w:val="clear" w:color="auto" w:fill="FFFFFF"/>
            <w:vAlign w:val="center"/>
          </w:tcPr>
          <w:p w:rsidR="00B0097D" w:rsidRPr="005D0B20" w:rsidRDefault="00B0097D" w:rsidP="00DC4897">
            <w:pPr>
              <w:spacing w:line="220" w:lineRule="exact"/>
              <w:contextualSpacing/>
              <w:rPr>
                <w:color w:val="auto"/>
                <w:sz w:val="18"/>
              </w:rPr>
            </w:pPr>
            <w:r w:rsidRPr="005D0B20">
              <w:rPr>
                <w:color w:val="auto"/>
                <w:sz w:val="18"/>
              </w:rPr>
              <w:t>20050411</w:t>
            </w:r>
          </w:p>
        </w:tc>
      </w:tr>
      <w:tr w:rsidR="00B0097D" w:rsidRPr="00F64312" w:rsidTr="00DC4897">
        <w:trPr>
          <w:trHeight w:val="118"/>
          <w:jc w:val="center"/>
        </w:trPr>
        <w:tc>
          <w:tcPr>
            <w:tcW w:w="3968" w:type="dxa"/>
            <w:gridSpan w:val="3"/>
            <w:vMerge/>
            <w:tcBorders>
              <w:right w:val="thinThickThinSmallGap" w:sz="24" w:space="0" w:color="auto"/>
            </w:tcBorders>
            <w:shd w:val="clear" w:color="auto" w:fill="FFFFFF"/>
            <w:vAlign w:val="center"/>
          </w:tcPr>
          <w:p w:rsidR="00B0097D" w:rsidRPr="00F64312" w:rsidRDefault="00B0097D" w:rsidP="00DC4897">
            <w:pPr>
              <w:spacing w:line="220" w:lineRule="exact"/>
              <w:contextualSpacing/>
              <w:rPr>
                <w:color w:val="auto"/>
                <w:sz w:val="18"/>
              </w:rPr>
            </w:pPr>
          </w:p>
        </w:tc>
        <w:tc>
          <w:tcPr>
            <w:tcW w:w="2611" w:type="dxa"/>
            <w:tcBorders>
              <w:left w:val="thinThickThinSmallGap" w:sz="24" w:space="0" w:color="auto"/>
            </w:tcBorders>
            <w:shd w:val="clear" w:color="auto" w:fill="FFFFFF"/>
            <w:vAlign w:val="center"/>
          </w:tcPr>
          <w:p w:rsidR="00B0097D" w:rsidRPr="00F64312" w:rsidRDefault="00B0097D" w:rsidP="00DC4897">
            <w:pPr>
              <w:spacing w:line="220" w:lineRule="exact"/>
              <w:contextualSpacing/>
              <w:jc w:val="left"/>
              <w:rPr>
                <w:color w:val="auto"/>
                <w:sz w:val="18"/>
              </w:rPr>
            </w:pPr>
            <w:r>
              <w:rPr>
                <w:color w:val="auto"/>
                <w:sz w:val="18"/>
              </w:rPr>
              <w:t>Cold Injury Residuals, Right Foot</w:t>
            </w:r>
          </w:p>
        </w:tc>
        <w:tc>
          <w:tcPr>
            <w:tcW w:w="1080" w:type="dxa"/>
            <w:shd w:val="clear" w:color="auto" w:fill="FFFFFF"/>
            <w:vAlign w:val="center"/>
          </w:tcPr>
          <w:p w:rsidR="00B0097D" w:rsidRPr="00F64312" w:rsidRDefault="00B0097D" w:rsidP="00DC4897">
            <w:pPr>
              <w:spacing w:line="220" w:lineRule="exact"/>
              <w:contextualSpacing/>
              <w:rPr>
                <w:color w:val="auto"/>
                <w:sz w:val="18"/>
              </w:rPr>
            </w:pPr>
            <w:r>
              <w:rPr>
                <w:color w:val="auto"/>
                <w:sz w:val="18"/>
              </w:rPr>
              <w:t>7122</w:t>
            </w:r>
          </w:p>
        </w:tc>
        <w:tc>
          <w:tcPr>
            <w:tcW w:w="720" w:type="dxa"/>
            <w:tcBorders>
              <w:bottom w:val="single" w:sz="4" w:space="0" w:color="auto"/>
            </w:tcBorders>
            <w:shd w:val="clear" w:color="auto" w:fill="FFFFFF"/>
            <w:vAlign w:val="center"/>
          </w:tcPr>
          <w:p w:rsidR="00B0097D" w:rsidRPr="00F64312" w:rsidRDefault="00B0097D" w:rsidP="00DC4897">
            <w:pPr>
              <w:spacing w:line="220" w:lineRule="exact"/>
              <w:contextualSpacing/>
              <w:rPr>
                <w:color w:val="auto"/>
                <w:sz w:val="18"/>
              </w:rPr>
            </w:pPr>
            <w:r>
              <w:rPr>
                <w:color w:val="auto"/>
                <w:sz w:val="18"/>
              </w:rPr>
              <w:t>10%</w:t>
            </w:r>
          </w:p>
        </w:tc>
        <w:tc>
          <w:tcPr>
            <w:tcW w:w="990" w:type="dxa"/>
            <w:shd w:val="clear" w:color="auto" w:fill="FFFFFF"/>
            <w:vAlign w:val="center"/>
          </w:tcPr>
          <w:p w:rsidR="00B0097D" w:rsidRPr="005D0B20" w:rsidRDefault="00B0097D" w:rsidP="00DC4897">
            <w:pPr>
              <w:spacing w:line="220" w:lineRule="exact"/>
              <w:contextualSpacing/>
              <w:rPr>
                <w:color w:val="auto"/>
                <w:sz w:val="18"/>
              </w:rPr>
            </w:pPr>
            <w:r w:rsidRPr="005D0B20">
              <w:rPr>
                <w:color w:val="auto"/>
                <w:sz w:val="18"/>
              </w:rPr>
              <w:t>20050411</w:t>
            </w:r>
          </w:p>
        </w:tc>
      </w:tr>
      <w:tr w:rsidR="00B0097D" w:rsidRPr="00F64312" w:rsidTr="00DC4897">
        <w:trPr>
          <w:trHeight w:val="97"/>
          <w:jc w:val="center"/>
        </w:trPr>
        <w:tc>
          <w:tcPr>
            <w:tcW w:w="3968" w:type="dxa"/>
            <w:gridSpan w:val="3"/>
            <w:vMerge/>
            <w:tcBorders>
              <w:right w:val="thinThickThinSmallGap" w:sz="24" w:space="0" w:color="auto"/>
            </w:tcBorders>
            <w:shd w:val="clear" w:color="auto" w:fill="FFFFFF"/>
            <w:vAlign w:val="center"/>
          </w:tcPr>
          <w:p w:rsidR="00B0097D" w:rsidRPr="00F64312" w:rsidRDefault="00B0097D" w:rsidP="00DC4897">
            <w:pPr>
              <w:spacing w:line="220" w:lineRule="exact"/>
              <w:contextualSpacing/>
              <w:rPr>
                <w:rFonts w:cs="Calibri"/>
                <w:color w:val="auto"/>
                <w:sz w:val="18"/>
              </w:rPr>
            </w:pPr>
          </w:p>
        </w:tc>
        <w:tc>
          <w:tcPr>
            <w:tcW w:w="2611" w:type="dxa"/>
            <w:tcBorders>
              <w:left w:val="thinThickThinSmallGap" w:sz="24" w:space="0" w:color="auto"/>
              <w:bottom w:val="single" w:sz="4" w:space="0" w:color="auto"/>
              <w:right w:val="single" w:sz="4" w:space="0" w:color="auto"/>
            </w:tcBorders>
            <w:shd w:val="clear" w:color="auto" w:fill="FFFFFF"/>
            <w:vAlign w:val="center"/>
          </w:tcPr>
          <w:p w:rsidR="00B0097D" w:rsidRPr="00F64312" w:rsidRDefault="00B0097D" w:rsidP="00DC4897">
            <w:pPr>
              <w:spacing w:line="220" w:lineRule="exact"/>
              <w:contextualSpacing/>
              <w:jc w:val="left"/>
              <w:rPr>
                <w:color w:val="auto"/>
                <w:sz w:val="18"/>
              </w:rPr>
            </w:pPr>
            <w:r>
              <w:rPr>
                <w:color w:val="auto"/>
                <w:sz w:val="18"/>
              </w:rPr>
              <w:t>Cold Injury Residuals, Left Foot</w:t>
            </w:r>
          </w:p>
        </w:tc>
        <w:tc>
          <w:tcPr>
            <w:tcW w:w="1080" w:type="dxa"/>
            <w:tcBorders>
              <w:left w:val="single" w:sz="4" w:space="0" w:color="auto"/>
              <w:right w:val="single" w:sz="4" w:space="0" w:color="auto"/>
            </w:tcBorders>
            <w:shd w:val="clear" w:color="auto" w:fill="FFFFFF"/>
            <w:vAlign w:val="center"/>
          </w:tcPr>
          <w:p w:rsidR="00B0097D" w:rsidRPr="00F64312" w:rsidRDefault="00B0097D" w:rsidP="00DC4897">
            <w:pPr>
              <w:spacing w:line="220" w:lineRule="exact"/>
              <w:contextualSpacing/>
              <w:rPr>
                <w:color w:val="auto"/>
                <w:sz w:val="18"/>
              </w:rPr>
            </w:pPr>
            <w:r>
              <w:rPr>
                <w:color w:val="auto"/>
                <w:sz w:val="18"/>
              </w:rPr>
              <w:t>7122</w:t>
            </w:r>
          </w:p>
        </w:tc>
        <w:tc>
          <w:tcPr>
            <w:tcW w:w="720" w:type="dxa"/>
            <w:tcBorders>
              <w:left w:val="single" w:sz="4" w:space="0" w:color="auto"/>
            </w:tcBorders>
            <w:shd w:val="clear" w:color="auto" w:fill="FFFFFF"/>
            <w:vAlign w:val="center"/>
          </w:tcPr>
          <w:p w:rsidR="00B0097D" w:rsidRPr="00F64312" w:rsidRDefault="00B0097D" w:rsidP="00DC4897">
            <w:pPr>
              <w:spacing w:line="220" w:lineRule="exact"/>
              <w:contextualSpacing/>
              <w:rPr>
                <w:color w:val="auto"/>
                <w:sz w:val="18"/>
              </w:rPr>
            </w:pPr>
            <w:r>
              <w:rPr>
                <w:color w:val="auto"/>
                <w:sz w:val="18"/>
              </w:rPr>
              <w:t>10%</w:t>
            </w:r>
          </w:p>
        </w:tc>
        <w:tc>
          <w:tcPr>
            <w:tcW w:w="990" w:type="dxa"/>
            <w:shd w:val="clear" w:color="auto" w:fill="FFFFFF"/>
            <w:vAlign w:val="center"/>
          </w:tcPr>
          <w:p w:rsidR="00B0097D" w:rsidRPr="005D0B20" w:rsidRDefault="00B0097D" w:rsidP="00DC4897">
            <w:pPr>
              <w:spacing w:line="220" w:lineRule="exact"/>
              <w:contextualSpacing/>
              <w:rPr>
                <w:rFonts w:cs="Calibri"/>
                <w:color w:val="auto"/>
                <w:sz w:val="18"/>
              </w:rPr>
            </w:pPr>
            <w:r w:rsidRPr="005D0B20">
              <w:rPr>
                <w:color w:val="auto"/>
                <w:sz w:val="18"/>
              </w:rPr>
              <w:t>20050411</w:t>
            </w:r>
          </w:p>
        </w:tc>
      </w:tr>
      <w:tr w:rsidR="00B0097D" w:rsidRPr="00F64312" w:rsidTr="00DC4897">
        <w:trPr>
          <w:trHeight w:val="134"/>
          <w:jc w:val="center"/>
        </w:trPr>
        <w:tc>
          <w:tcPr>
            <w:tcW w:w="3968" w:type="dxa"/>
            <w:gridSpan w:val="3"/>
            <w:vMerge/>
            <w:tcBorders>
              <w:right w:val="thinThickThinSmallGap" w:sz="24" w:space="0" w:color="auto"/>
            </w:tcBorders>
            <w:shd w:val="clear" w:color="auto" w:fill="FFFFFF"/>
            <w:vAlign w:val="center"/>
          </w:tcPr>
          <w:p w:rsidR="00B0097D" w:rsidRPr="00F64312" w:rsidRDefault="00B0097D" w:rsidP="00DC4897">
            <w:pPr>
              <w:spacing w:line="220" w:lineRule="exact"/>
              <w:contextualSpacing/>
              <w:rPr>
                <w:color w:val="auto"/>
                <w:sz w:val="18"/>
              </w:rPr>
            </w:pPr>
          </w:p>
        </w:tc>
        <w:tc>
          <w:tcPr>
            <w:tcW w:w="4411" w:type="dxa"/>
            <w:gridSpan w:val="3"/>
            <w:tcBorders>
              <w:top w:val="single" w:sz="4" w:space="0" w:color="auto"/>
              <w:left w:val="thinThickThinSmallGap" w:sz="24" w:space="0" w:color="auto"/>
            </w:tcBorders>
            <w:shd w:val="clear" w:color="auto" w:fill="FFFFFF"/>
            <w:vAlign w:val="center"/>
          </w:tcPr>
          <w:p w:rsidR="00B0097D" w:rsidRPr="00F64312" w:rsidRDefault="00B0097D" w:rsidP="00DC4897">
            <w:pPr>
              <w:spacing w:line="220" w:lineRule="exact"/>
              <w:contextualSpacing/>
              <w:rPr>
                <w:color w:val="auto"/>
                <w:sz w:val="18"/>
              </w:rPr>
            </w:pPr>
            <w:r>
              <w:rPr>
                <w:color w:val="auto"/>
                <w:sz w:val="18"/>
              </w:rPr>
              <w:t>0% X 3</w:t>
            </w:r>
            <w:r w:rsidRPr="00F64312">
              <w:rPr>
                <w:color w:val="auto"/>
                <w:sz w:val="18"/>
              </w:rPr>
              <w:t xml:space="preserve"> </w:t>
            </w:r>
            <w:r w:rsidR="0096797E">
              <w:rPr>
                <w:color w:val="auto"/>
                <w:sz w:val="18"/>
              </w:rPr>
              <w:t>/ Not Service-</w:t>
            </w:r>
            <w:r w:rsidRPr="00F64312">
              <w:rPr>
                <w:color w:val="auto"/>
                <w:sz w:val="18"/>
              </w:rPr>
              <w:t xml:space="preserve">Connected x </w:t>
            </w:r>
            <w:r>
              <w:rPr>
                <w:color w:val="auto"/>
                <w:sz w:val="18"/>
              </w:rPr>
              <w:t>5</w:t>
            </w:r>
          </w:p>
        </w:tc>
        <w:tc>
          <w:tcPr>
            <w:tcW w:w="990" w:type="dxa"/>
            <w:shd w:val="clear" w:color="auto" w:fill="FFFFFF"/>
            <w:vAlign w:val="center"/>
          </w:tcPr>
          <w:p w:rsidR="00B0097D" w:rsidRPr="005D0B20" w:rsidRDefault="00B0097D" w:rsidP="00DC4897">
            <w:pPr>
              <w:spacing w:line="220" w:lineRule="exact"/>
              <w:contextualSpacing/>
              <w:rPr>
                <w:color w:val="auto"/>
                <w:sz w:val="18"/>
              </w:rPr>
            </w:pPr>
            <w:r w:rsidRPr="005D0B20">
              <w:rPr>
                <w:color w:val="auto"/>
                <w:sz w:val="18"/>
              </w:rPr>
              <w:t>20050411</w:t>
            </w:r>
          </w:p>
        </w:tc>
      </w:tr>
      <w:tr w:rsidR="00B0097D" w:rsidRPr="00F64312" w:rsidTr="00DC4897">
        <w:trPr>
          <w:trHeight w:val="124"/>
          <w:jc w:val="center"/>
        </w:trPr>
        <w:tc>
          <w:tcPr>
            <w:tcW w:w="3968" w:type="dxa"/>
            <w:gridSpan w:val="3"/>
            <w:tcBorders>
              <w:right w:val="thinThickThinSmallGap" w:sz="24" w:space="0" w:color="auto"/>
            </w:tcBorders>
            <w:shd w:val="clear" w:color="auto" w:fill="D9D9D9"/>
          </w:tcPr>
          <w:p w:rsidR="00B0097D" w:rsidRPr="00F64312" w:rsidRDefault="00B0097D" w:rsidP="00DC4897">
            <w:pPr>
              <w:contextualSpacing/>
              <w:rPr>
                <w:rFonts w:cs="Calibri"/>
                <w:b/>
                <w:color w:val="auto"/>
                <w:sz w:val="18"/>
              </w:rPr>
            </w:pPr>
            <w:r w:rsidRPr="00F64312">
              <w:rPr>
                <w:b/>
                <w:color w:val="auto"/>
                <w:sz w:val="18"/>
              </w:rPr>
              <w:lastRenderedPageBreak/>
              <w:t xml:space="preserve">Combined:  </w:t>
            </w:r>
            <w:r>
              <w:rPr>
                <w:b/>
                <w:color w:val="auto"/>
                <w:sz w:val="18"/>
              </w:rPr>
              <w:t>0</w:t>
            </w:r>
            <w:r w:rsidRPr="00F64312">
              <w:rPr>
                <w:b/>
                <w:color w:val="auto"/>
                <w:sz w:val="18"/>
              </w:rPr>
              <w:t>%</w:t>
            </w:r>
          </w:p>
        </w:tc>
        <w:tc>
          <w:tcPr>
            <w:tcW w:w="5401" w:type="dxa"/>
            <w:gridSpan w:val="4"/>
            <w:tcBorders>
              <w:left w:val="thinThickThinSmallGap" w:sz="24" w:space="0" w:color="auto"/>
            </w:tcBorders>
            <w:shd w:val="clear" w:color="auto" w:fill="D9D9D9"/>
          </w:tcPr>
          <w:p w:rsidR="00B0097D" w:rsidRPr="00F64312" w:rsidRDefault="00B0097D" w:rsidP="00DC4897">
            <w:pPr>
              <w:contextualSpacing/>
              <w:rPr>
                <w:rFonts w:cs="Calibri"/>
                <w:b/>
                <w:color w:val="auto"/>
                <w:sz w:val="18"/>
              </w:rPr>
            </w:pPr>
            <w:r w:rsidRPr="00F64312">
              <w:rPr>
                <w:b/>
                <w:color w:val="auto"/>
                <w:sz w:val="18"/>
              </w:rPr>
              <w:t xml:space="preserve">Combined:  </w:t>
            </w:r>
            <w:r>
              <w:rPr>
                <w:b/>
                <w:color w:val="auto"/>
                <w:sz w:val="18"/>
              </w:rPr>
              <w:t>70</w:t>
            </w:r>
            <w:r w:rsidRPr="00F64312">
              <w:rPr>
                <w:b/>
                <w:color w:val="auto"/>
                <w:sz w:val="18"/>
              </w:rPr>
              <w:t>%</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EB37E8">
      <w:pPr>
        <w:jc w:val="left"/>
        <w:rPr>
          <w:color w:val="000000"/>
        </w:rPr>
      </w:pPr>
    </w:p>
    <w:p w:rsidR="00937113" w:rsidRDefault="00AD2379" w:rsidP="00937113">
      <w:pPr>
        <w:jc w:val="both"/>
        <w:rPr>
          <w:color w:val="000000"/>
        </w:rPr>
      </w:pPr>
      <w:r w:rsidRPr="001F29F9">
        <w:rPr>
          <w:color w:val="000000"/>
          <w:u w:val="single"/>
        </w:rPr>
        <w:t>ANALYSIS SUMMARY</w:t>
      </w:r>
      <w:r w:rsidRPr="001F29F9">
        <w:rPr>
          <w:color w:val="000000"/>
        </w:rPr>
        <w:t>:</w:t>
      </w:r>
    </w:p>
    <w:p w:rsidR="00CC7C3A" w:rsidRDefault="00CC7C3A" w:rsidP="00937113">
      <w:pPr>
        <w:jc w:val="both"/>
        <w:rPr>
          <w:color w:val="000000"/>
        </w:rPr>
      </w:pPr>
    </w:p>
    <w:p w:rsidR="00DA4269" w:rsidRPr="00DA4269" w:rsidRDefault="00937113" w:rsidP="00DA4269">
      <w:pPr>
        <w:jc w:val="both"/>
        <w:rPr>
          <w:color w:val="000000"/>
        </w:rPr>
      </w:pPr>
      <w:proofErr w:type="gramStart"/>
      <w:r w:rsidRPr="00937113">
        <w:rPr>
          <w:color w:val="000000"/>
          <w:u w:val="single"/>
        </w:rPr>
        <w:t>Bilateral Knee Condition</w:t>
      </w:r>
      <w:r>
        <w:rPr>
          <w:color w:val="000000"/>
        </w:rPr>
        <w:t>.</w:t>
      </w:r>
      <w:proofErr w:type="gramEnd"/>
      <w:r>
        <w:rPr>
          <w:color w:val="000000"/>
        </w:rPr>
        <w:t xml:space="preserve">  Per </w:t>
      </w:r>
      <w:r w:rsidR="009225A9">
        <w:rPr>
          <w:color w:val="000000"/>
        </w:rPr>
        <w:t xml:space="preserve">the </w:t>
      </w:r>
      <w:r w:rsidR="0096797E">
        <w:rPr>
          <w:color w:val="000000"/>
        </w:rPr>
        <w:t>s</w:t>
      </w:r>
      <w:r>
        <w:rPr>
          <w:color w:val="000000"/>
        </w:rPr>
        <w:t xml:space="preserve">ervice </w:t>
      </w:r>
      <w:r w:rsidR="009225A9">
        <w:rPr>
          <w:color w:val="000000"/>
        </w:rPr>
        <w:t>treatment record</w:t>
      </w:r>
      <w:r w:rsidR="0096797E">
        <w:rPr>
          <w:color w:val="000000"/>
        </w:rPr>
        <w:t xml:space="preserve"> (STR)</w:t>
      </w:r>
      <w:r>
        <w:rPr>
          <w:color w:val="000000"/>
        </w:rPr>
        <w:t xml:space="preserve">, the clinical course and features for each knee were identical; and, all relevant evidence reflects a symmetric bilateral condition.  In addition to the MEB and PEB nomenclature, both the profile and commander’s statement refer to bilateral knee pain.  After the onset of symptoms in 2000, the CI </w:t>
      </w:r>
      <w:r w:rsidR="00DB7AE3">
        <w:rPr>
          <w:color w:val="000000"/>
        </w:rPr>
        <w:t>responded sufficiently to anti-inflammatories, physical therapy, and orthotics</w:t>
      </w:r>
      <w:r>
        <w:rPr>
          <w:color w:val="000000"/>
        </w:rPr>
        <w:t xml:space="preserve"> to perform satisfactorily in his MOS </w:t>
      </w:r>
      <w:r w:rsidR="001E6774">
        <w:rPr>
          <w:color w:val="000000"/>
        </w:rPr>
        <w:t xml:space="preserve">until 2004.  By then </w:t>
      </w:r>
      <w:r w:rsidR="00DB7AE3">
        <w:rPr>
          <w:color w:val="000000"/>
        </w:rPr>
        <w:t>he was no longer able to meet operational and field requirements (ruck marching, load bearing, etc.), and a permanent profile was issued.  Imaging revealed mild bilateral osteoarthritis, but</w:t>
      </w:r>
      <w:r w:rsidR="000921DC">
        <w:rPr>
          <w:color w:val="000000"/>
        </w:rPr>
        <w:t xml:space="preserve"> no structural abnormalities.  </w:t>
      </w:r>
      <w:r w:rsidR="00DB7AE3">
        <w:rPr>
          <w:color w:val="000000"/>
        </w:rPr>
        <w:t>The narrative summary (NARSUM)</w:t>
      </w:r>
      <w:r w:rsidR="00DA4269">
        <w:rPr>
          <w:color w:val="000000"/>
        </w:rPr>
        <w:t xml:space="preserve"> reported that the CI was “symptom-free” at “baseline</w:t>
      </w:r>
      <w:r w:rsidR="0096797E">
        <w:rPr>
          <w:color w:val="000000"/>
        </w:rPr>
        <w:t>,</w:t>
      </w:r>
      <w:r w:rsidR="00DA4269">
        <w:rPr>
          <w:color w:val="000000"/>
        </w:rPr>
        <w:t xml:space="preserve">” </w:t>
      </w:r>
      <w:r w:rsidR="009225A9">
        <w:rPr>
          <w:color w:val="000000"/>
        </w:rPr>
        <w:t xml:space="preserve">with </w:t>
      </w:r>
      <w:r w:rsidR="00DA4269">
        <w:rPr>
          <w:color w:val="000000"/>
        </w:rPr>
        <w:t>e</w:t>
      </w:r>
      <w:r w:rsidR="009225A9">
        <w:rPr>
          <w:color w:val="000000"/>
        </w:rPr>
        <w:t>xacerbations</w:t>
      </w:r>
      <w:r w:rsidR="00DA4269">
        <w:rPr>
          <w:color w:val="000000"/>
        </w:rPr>
        <w:t xml:space="preserve"> to 8/10 with “vigorous physical activity</w:t>
      </w:r>
      <w:r w:rsidR="00117F42">
        <w:rPr>
          <w:color w:val="000000"/>
        </w:rPr>
        <w:t>.</w:t>
      </w:r>
      <w:r w:rsidR="00DA4269">
        <w:rPr>
          <w:color w:val="000000"/>
        </w:rPr>
        <w:t>”  The MEB physical exam documented a normal gait, bilateral patellar tenderness, no effusion,</w:t>
      </w:r>
      <w:r w:rsidR="00DA4269" w:rsidRPr="00DA4269">
        <w:rPr>
          <w:color w:val="000000"/>
        </w:rPr>
        <w:t xml:space="preserve"> no</w:t>
      </w:r>
      <w:r w:rsidR="00DA4269">
        <w:rPr>
          <w:color w:val="000000"/>
        </w:rPr>
        <w:t xml:space="preserve"> signs of cartilage impingement, and</w:t>
      </w:r>
      <w:r w:rsidR="00DA4269" w:rsidRPr="00DA4269">
        <w:rPr>
          <w:color w:val="000000"/>
        </w:rPr>
        <w:t xml:space="preserve"> no varus/valgus or anterior/posterior ligamental laxity to stress maneuvers.  </w:t>
      </w:r>
      <w:r w:rsidR="00DA4269">
        <w:rPr>
          <w:color w:val="000000"/>
        </w:rPr>
        <w:t>Range-of-motion (ROM) measurements were flexion of 115⁰ (normal 140⁰) for the left knee and 120⁰ for the right (minimal compensable is 45⁰).  Extension was normal (0⁰) bilaterally.</w:t>
      </w:r>
      <w:r w:rsidR="00DA4269" w:rsidRPr="00DA4269">
        <w:rPr>
          <w:color w:val="000000"/>
          <w:szCs w:val="24"/>
        </w:rPr>
        <w:t xml:space="preserve"> </w:t>
      </w:r>
      <w:r w:rsidR="00DA4269">
        <w:rPr>
          <w:color w:val="000000"/>
          <w:szCs w:val="24"/>
        </w:rPr>
        <w:t xml:space="preserve"> </w:t>
      </w:r>
      <w:r w:rsidR="00BF5EE2">
        <w:rPr>
          <w:color w:val="000000"/>
          <w:szCs w:val="24"/>
        </w:rPr>
        <w:t>The MEB</w:t>
      </w:r>
      <w:r w:rsidR="0096797E">
        <w:rPr>
          <w:color w:val="000000"/>
          <w:szCs w:val="24"/>
        </w:rPr>
        <w:t xml:space="preserve"> examiner specifically stated “m</w:t>
      </w:r>
      <w:r w:rsidR="00BF5EE2">
        <w:rPr>
          <w:color w:val="000000"/>
          <w:szCs w:val="24"/>
        </w:rPr>
        <w:t xml:space="preserve">ild pain with full flexion.”  </w:t>
      </w:r>
      <w:r w:rsidR="00DA4269">
        <w:rPr>
          <w:color w:val="000000"/>
          <w:szCs w:val="24"/>
        </w:rPr>
        <w:t xml:space="preserve">At the </w:t>
      </w:r>
      <w:r w:rsidR="00DF6716">
        <w:rPr>
          <w:color w:val="000000"/>
          <w:szCs w:val="24"/>
        </w:rPr>
        <w:t>VA</w:t>
      </w:r>
      <w:r w:rsidR="00DA4269">
        <w:rPr>
          <w:color w:val="000000"/>
          <w:szCs w:val="24"/>
        </w:rPr>
        <w:t xml:space="preserve"> </w:t>
      </w:r>
      <w:r w:rsidR="00DA4269" w:rsidRPr="00CF0280">
        <w:rPr>
          <w:color w:val="000000"/>
          <w:szCs w:val="24"/>
        </w:rPr>
        <w:t>Compensation and Pension (C&amp;P)</w:t>
      </w:r>
      <w:r w:rsidR="00DA4269">
        <w:rPr>
          <w:color w:val="000000"/>
          <w:szCs w:val="24"/>
        </w:rPr>
        <w:t xml:space="preserve"> </w:t>
      </w:r>
      <w:r w:rsidR="009225A9">
        <w:rPr>
          <w:color w:val="000000"/>
          <w:szCs w:val="24"/>
        </w:rPr>
        <w:t>evaluation</w:t>
      </w:r>
      <w:r w:rsidR="0096797E">
        <w:rPr>
          <w:color w:val="000000"/>
          <w:szCs w:val="24"/>
        </w:rPr>
        <w:t xml:space="preserve">, </w:t>
      </w:r>
      <w:r w:rsidR="00DA4269">
        <w:rPr>
          <w:color w:val="000000"/>
          <w:szCs w:val="24"/>
        </w:rPr>
        <w:t xml:space="preserve">4 </w:t>
      </w:r>
      <w:r w:rsidR="00DA4269" w:rsidRPr="00DA4269">
        <w:rPr>
          <w:color w:val="000000"/>
          <w:szCs w:val="24"/>
        </w:rPr>
        <w:t xml:space="preserve">months </w:t>
      </w:r>
      <w:r w:rsidR="0096797E">
        <w:rPr>
          <w:color w:val="000000"/>
          <w:szCs w:val="24"/>
        </w:rPr>
        <w:t xml:space="preserve">after </w:t>
      </w:r>
      <w:r w:rsidR="00DA4269" w:rsidRPr="00DA4269">
        <w:rPr>
          <w:color w:val="000000"/>
          <w:szCs w:val="24"/>
        </w:rPr>
        <w:t>separat</w:t>
      </w:r>
      <w:r w:rsidR="0096797E">
        <w:rPr>
          <w:color w:val="000000"/>
          <w:szCs w:val="24"/>
        </w:rPr>
        <w:t>ion</w:t>
      </w:r>
      <w:r w:rsidR="009225A9">
        <w:rPr>
          <w:color w:val="000000"/>
          <w:szCs w:val="24"/>
        </w:rPr>
        <w:t>,</w:t>
      </w:r>
      <w:r w:rsidR="00DA4269">
        <w:rPr>
          <w:color w:val="000000"/>
          <w:szCs w:val="24"/>
        </w:rPr>
        <w:t xml:space="preserve"> the CI reported </w:t>
      </w:r>
      <w:r w:rsidR="00BF5EE2">
        <w:rPr>
          <w:color w:val="000000"/>
          <w:szCs w:val="24"/>
        </w:rPr>
        <w:t>“baseline pain” of 4/10 increased to 7/10 “after walking approximately half a block</w:t>
      </w:r>
      <w:r w:rsidR="0096797E">
        <w:rPr>
          <w:color w:val="000000"/>
          <w:szCs w:val="24"/>
        </w:rPr>
        <w:t>.</w:t>
      </w:r>
      <w:r w:rsidR="00BF5EE2">
        <w:rPr>
          <w:color w:val="000000"/>
          <w:szCs w:val="24"/>
        </w:rPr>
        <w:t xml:space="preserve">”  </w:t>
      </w:r>
      <w:r w:rsidR="001E6774">
        <w:rPr>
          <w:color w:val="000000"/>
          <w:szCs w:val="24"/>
        </w:rPr>
        <w:t>The examiner also recorded</w:t>
      </w:r>
      <w:r w:rsidR="00BF5EE2">
        <w:rPr>
          <w:color w:val="000000"/>
          <w:szCs w:val="24"/>
        </w:rPr>
        <w:t xml:space="preserve"> “</w:t>
      </w:r>
      <w:r w:rsidR="00BF5EE2" w:rsidRPr="00BF5EE2">
        <w:rPr>
          <w:color w:val="000000"/>
        </w:rPr>
        <w:t>He states he has instability and giving way of both</w:t>
      </w:r>
      <w:r w:rsidR="00BF5EE2">
        <w:rPr>
          <w:color w:val="000000"/>
        </w:rPr>
        <w:t xml:space="preserve"> </w:t>
      </w:r>
      <w:r w:rsidR="00BF5EE2" w:rsidRPr="00BF5EE2">
        <w:rPr>
          <w:color w:val="000000"/>
        </w:rPr>
        <w:t xml:space="preserve">knees. </w:t>
      </w:r>
      <w:r w:rsidR="00BF5EE2">
        <w:rPr>
          <w:color w:val="000000"/>
        </w:rPr>
        <w:t xml:space="preserve"> </w:t>
      </w:r>
      <w:r w:rsidR="00BF5EE2" w:rsidRPr="00BF5EE2">
        <w:rPr>
          <w:color w:val="000000"/>
        </w:rPr>
        <w:t xml:space="preserve">He states he has locking of both knees but none noted today. </w:t>
      </w:r>
      <w:r w:rsidR="00BF5EE2">
        <w:rPr>
          <w:color w:val="000000"/>
        </w:rPr>
        <w:t xml:space="preserve"> </w:t>
      </w:r>
      <w:r w:rsidR="00BF5EE2" w:rsidRPr="00BF5EE2">
        <w:rPr>
          <w:color w:val="000000"/>
        </w:rPr>
        <w:t>He</w:t>
      </w:r>
      <w:r w:rsidR="00BF5EE2">
        <w:rPr>
          <w:color w:val="000000"/>
        </w:rPr>
        <w:t xml:space="preserve"> </w:t>
      </w:r>
      <w:r w:rsidR="00BF5EE2" w:rsidRPr="00BF5EE2">
        <w:rPr>
          <w:color w:val="000000"/>
        </w:rPr>
        <w:t>states he has easy fatigability and lack of endurance of both knees.</w:t>
      </w:r>
      <w:r w:rsidR="00BF5EE2">
        <w:rPr>
          <w:color w:val="000000"/>
          <w:szCs w:val="24"/>
        </w:rPr>
        <w:t xml:space="preserve">”  </w:t>
      </w:r>
      <w:r w:rsidR="009225A9">
        <w:rPr>
          <w:color w:val="000000"/>
          <w:szCs w:val="24"/>
        </w:rPr>
        <w:t>The CI</w:t>
      </w:r>
      <w:r w:rsidR="00BF5EE2">
        <w:rPr>
          <w:color w:val="000000"/>
          <w:szCs w:val="24"/>
        </w:rPr>
        <w:t xml:space="preserve"> displayed a “mild limp</w:t>
      </w:r>
      <w:r w:rsidR="00117F42">
        <w:rPr>
          <w:color w:val="000000"/>
          <w:szCs w:val="24"/>
        </w:rPr>
        <w:t>;</w:t>
      </w:r>
      <w:r w:rsidR="00BF5EE2">
        <w:rPr>
          <w:color w:val="000000"/>
          <w:szCs w:val="24"/>
        </w:rPr>
        <w:t xml:space="preserve">” but, the VA examiner did not note any joint tenderness or other positive physical findings for either knee.  Specifically there was no effusion, </w:t>
      </w:r>
      <w:r w:rsidR="00F81B13">
        <w:rPr>
          <w:color w:val="000000"/>
          <w:szCs w:val="24"/>
        </w:rPr>
        <w:t xml:space="preserve">cartilage impingement </w:t>
      </w:r>
      <w:r w:rsidR="00BF5EE2">
        <w:rPr>
          <w:color w:val="000000"/>
          <w:szCs w:val="24"/>
        </w:rPr>
        <w:t>(</w:t>
      </w:r>
      <w:r w:rsidR="00F81B13">
        <w:rPr>
          <w:color w:val="000000"/>
          <w:szCs w:val="24"/>
        </w:rPr>
        <w:t>locking</w:t>
      </w:r>
      <w:r w:rsidR="00BF5EE2">
        <w:rPr>
          <w:color w:val="000000"/>
          <w:szCs w:val="24"/>
        </w:rPr>
        <w:t>)</w:t>
      </w:r>
      <w:r w:rsidR="00F81B13">
        <w:rPr>
          <w:color w:val="000000"/>
          <w:szCs w:val="24"/>
        </w:rPr>
        <w:t xml:space="preserve">, or anterior/posterior/varus/valgus laxity (instability).  The recorded ROM measurements were 110⁰ flexion and 0⁰ extension for each knee.  The </w:t>
      </w:r>
      <w:bookmarkStart w:id="0" w:name="_GoBack"/>
      <w:bookmarkEnd w:id="0"/>
      <w:r w:rsidR="00F81B13">
        <w:rPr>
          <w:color w:val="000000"/>
          <w:szCs w:val="24"/>
        </w:rPr>
        <w:t>VA examiner specifically stated “</w:t>
      </w:r>
      <w:r w:rsidR="00117F42">
        <w:rPr>
          <w:color w:val="000000"/>
          <w:szCs w:val="24"/>
        </w:rPr>
        <w:t>t</w:t>
      </w:r>
      <w:r w:rsidR="00F81B13" w:rsidRPr="00F81B13">
        <w:rPr>
          <w:color w:val="000000"/>
          <w:szCs w:val="24"/>
        </w:rPr>
        <w:t>here is no pain at limitations of motion of either</w:t>
      </w:r>
      <w:r w:rsidR="00F81B13">
        <w:rPr>
          <w:color w:val="000000"/>
          <w:szCs w:val="24"/>
        </w:rPr>
        <w:t xml:space="preserve"> </w:t>
      </w:r>
      <w:r w:rsidR="00F81B13" w:rsidRPr="00F81B13">
        <w:rPr>
          <w:color w:val="000000"/>
          <w:szCs w:val="24"/>
        </w:rPr>
        <w:t>knee.</w:t>
      </w:r>
      <w:r w:rsidR="000921DC">
        <w:rPr>
          <w:color w:val="000000"/>
          <w:szCs w:val="24"/>
        </w:rPr>
        <w:t>”</w:t>
      </w:r>
    </w:p>
    <w:p w:rsidR="00937113" w:rsidRDefault="00937113" w:rsidP="00937113">
      <w:pPr>
        <w:jc w:val="both"/>
        <w:rPr>
          <w:color w:val="000000"/>
        </w:rPr>
      </w:pPr>
    </w:p>
    <w:p w:rsidR="00FC2228" w:rsidRPr="00492B59" w:rsidRDefault="00F81B13" w:rsidP="00FC2228">
      <w:pPr>
        <w:jc w:val="both"/>
        <w:rPr>
          <w:rFonts w:eastAsia="Calibri" w:cs="Times New Roman"/>
          <w:color w:val="auto"/>
          <w:szCs w:val="24"/>
        </w:rPr>
      </w:pPr>
      <w:r w:rsidRPr="009225A9">
        <w:rPr>
          <w:rFonts w:cs="Times New Roman"/>
          <w:color w:val="auto"/>
        </w:rPr>
        <w:t>The Board directs attention to its rating recommendation based on the above evidence.</w:t>
      </w:r>
      <w:r w:rsidRPr="009A7578">
        <w:rPr>
          <w:rFonts w:cs="Times New Roman"/>
          <w:color w:val="auto"/>
        </w:rPr>
        <w:t xml:space="preserve"> </w:t>
      </w:r>
      <w:r>
        <w:rPr>
          <w:rFonts w:cs="Times New Roman"/>
          <w:color w:val="auto"/>
        </w:rPr>
        <w:t xml:space="preserve"> </w:t>
      </w:r>
      <w:r w:rsidR="009225A9" w:rsidRPr="00937113">
        <w:rPr>
          <w:color w:val="000000"/>
        </w:rPr>
        <w:t xml:space="preserve">The PEB combined the </w:t>
      </w:r>
      <w:r w:rsidR="009225A9">
        <w:rPr>
          <w:color w:val="000000"/>
        </w:rPr>
        <w:t>separate knee</w:t>
      </w:r>
      <w:r w:rsidR="009225A9" w:rsidRPr="00937113">
        <w:rPr>
          <w:color w:val="000000"/>
        </w:rPr>
        <w:t xml:space="preserve"> conditions under a single rating, coded analogously to 5003.  This coding approach is </w:t>
      </w:r>
      <w:r w:rsidR="009225A9" w:rsidRPr="00CC7C3A">
        <w:rPr>
          <w:color w:val="000000"/>
        </w:rPr>
        <w:t>countenanced by</w:t>
      </w:r>
      <w:r w:rsidR="009225A9" w:rsidRPr="00937113">
        <w:rPr>
          <w:color w:val="000000"/>
        </w:rPr>
        <w:t xml:space="preserve"> AR 635-40; but, IAW DoDI 6040.44, the Board must apply separate codes and ratings in its recommendations if compensable ratings for each joint are achieved IAW VASRD §4.71a.  When the Board judges that two or more separate ratings are warranted in such cases</w:t>
      </w:r>
      <w:r w:rsidR="00BE23AB">
        <w:rPr>
          <w:color w:val="000000"/>
        </w:rPr>
        <w:t>;</w:t>
      </w:r>
      <w:r w:rsidR="009225A9" w:rsidRPr="00937113">
        <w:rPr>
          <w:color w:val="000000"/>
        </w:rPr>
        <w:t xml:space="preserve"> however, it must satisfy the requirement that each ‘unbundled’ condition was unfitting in and of itself.  </w:t>
      </w:r>
      <w:r w:rsidR="009225A9">
        <w:rPr>
          <w:color w:val="000000"/>
        </w:rPr>
        <w:t>All members agreed that no distinctions between the two joints could be made regarding functional limitations, and that it was reasonable to concede that either knee alone would have resulted in the same fitness consequences.  A</w:t>
      </w:r>
      <w:r w:rsidR="00AD1CCE">
        <w:rPr>
          <w:color w:val="000000"/>
        </w:rPr>
        <w:t>lthough the PEB’s DA Form 199 stated that the knee condition was “rated analogous to degenerative joint disease with full motion</w:t>
      </w:r>
      <w:r w:rsidR="00117F42">
        <w:rPr>
          <w:color w:val="000000"/>
        </w:rPr>
        <w:t>.</w:t>
      </w:r>
      <w:r w:rsidR="00AD1CCE">
        <w:rPr>
          <w:color w:val="000000"/>
        </w:rPr>
        <w:t xml:space="preserve">” </w:t>
      </w:r>
      <w:proofErr w:type="gramStart"/>
      <w:r w:rsidR="00AD1CCE">
        <w:rPr>
          <w:color w:val="000000"/>
        </w:rPr>
        <w:t>which could justify a single rating for both joints, it failed to assign the specified rating of 10% for two or more major joints.</w:t>
      </w:r>
      <w:proofErr w:type="gramEnd"/>
      <w:r w:rsidR="00AD1CCE">
        <w:rPr>
          <w:color w:val="000000"/>
        </w:rPr>
        <w:t xml:space="preserve">  The VA achieved separate 10% ratings with presumptive application of </w:t>
      </w:r>
      <w:r w:rsidR="00AD1CCE" w:rsidRPr="00AD1CCE">
        <w:rPr>
          <w:color w:val="000000"/>
        </w:rPr>
        <w:t>VASRD §4.59 (painful motion)</w:t>
      </w:r>
      <w:r w:rsidR="00AD1CCE">
        <w:rPr>
          <w:color w:val="000000"/>
        </w:rPr>
        <w:t xml:space="preserve">; although the VA examiner specified the absence of painful motion.  The rating decision invoked “subjective pain” in its rationale.  The MEB examiner did </w:t>
      </w:r>
      <w:r w:rsidR="00EF63E2">
        <w:rPr>
          <w:color w:val="000000"/>
        </w:rPr>
        <w:t xml:space="preserve">document painful motion at the extreme of flexion; and, the Board deliberated between two options for its recommendation: </w:t>
      </w:r>
      <w:r w:rsidR="001E6774">
        <w:rPr>
          <w:color w:val="000000"/>
        </w:rPr>
        <w:t>coding</w:t>
      </w:r>
      <w:r w:rsidR="00EF63E2">
        <w:rPr>
          <w:color w:val="000000"/>
        </w:rPr>
        <w:t xml:space="preserve"> strictly under 5003 with “</w:t>
      </w:r>
      <w:r w:rsidR="00117F42">
        <w:rPr>
          <w:color w:val="000000"/>
        </w:rPr>
        <w:t>X</w:t>
      </w:r>
      <w:r w:rsidR="00EF63E2">
        <w:rPr>
          <w:color w:val="000000"/>
        </w:rPr>
        <w:t xml:space="preserve">-ray </w:t>
      </w:r>
      <w:r w:rsidR="00EF63E2" w:rsidRPr="00492B59">
        <w:rPr>
          <w:color w:val="000000"/>
        </w:rPr>
        <w:t xml:space="preserve">evidence of involvement of </w:t>
      </w:r>
      <w:r w:rsidR="00117F42">
        <w:rPr>
          <w:color w:val="000000"/>
        </w:rPr>
        <w:t xml:space="preserve">two </w:t>
      </w:r>
      <w:r w:rsidR="00EF63E2" w:rsidRPr="00492B59">
        <w:rPr>
          <w:color w:val="000000"/>
        </w:rPr>
        <w:t>or more major joints</w:t>
      </w:r>
      <w:r w:rsidR="00117F42">
        <w:rPr>
          <w:color w:val="000000"/>
        </w:rPr>
        <w:t>,</w:t>
      </w:r>
      <w:r w:rsidR="00EF63E2" w:rsidRPr="00492B59">
        <w:rPr>
          <w:color w:val="000000"/>
        </w:rPr>
        <w:t xml:space="preserve">” which would yield a </w:t>
      </w:r>
      <w:r w:rsidR="001E6774" w:rsidRPr="00492B59">
        <w:rPr>
          <w:color w:val="000000"/>
        </w:rPr>
        <w:t>single</w:t>
      </w:r>
      <w:r w:rsidR="00EF63E2" w:rsidRPr="00492B59">
        <w:rPr>
          <w:color w:val="000000"/>
        </w:rPr>
        <w:t xml:space="preserve"> rating of 10%</w:t>
      </w:r>
      <w:r w:rsidR="001E6774" w:rsidRPr="00492B59">
        <w:rPr>
          <w:color w:val="000000"/>
        </w:rPr>
        <w:t xml:space="preserve"> for both knees</w:t>
      </w:r>
      <w:r w:rsidR="00FC2228" w:rsidRPr="00492B59">
        <w:rPr>
          <w:color w:val="000000"/>
        </w:rPr>
        <w:t xml:space="preserve">; or, </w:t>
      </w:r>
      <w:r w:rsidR="001E6774" w:rsidRPr="00492B59">
        <w:rPr>
          <w:color w:val="000000"/>
        </w:rPr>
        <w:t>conceding</w:t>
      </w:r>
      <w:r w:rsidR="00EF63E2" w:rsidRPr="00492B59">
        <w:rPr>
          <w:color w:val="000000"/>
        </w:rPr>
        <w:t xml:space="preserve"> §4.59 or §4.40 (functional loss) to achieve the minimal compensable rating (10%) for each joint.  </w:t>
      </w:r>
      <w:r w:rsidR="00FC2228" w:rsidRPr="00492B59">
        <w:rPr>
          <w:rFonts w:eastAsia="Calibri" w:cs="Times New Roman"/>
          <w:color w:val="auto"/>
          <w:szCs w:val="24"/>
        </w:rPr>
        <w:t xml:space="preserve">After due deliberation and mindful of VASRD §4.3 (reasonable doubt), </w:t>
      </w:r>
      <w:r w:rsidR="00492B59" w:rsidRPr="00492B59">
        <w:rPr>
          <w:rFonts w:eastAsia="Calibri" w:cs="Times New Roman"/>
          <w:color w:val="auto"/>
          <w:szCs w:val="24"/>
        </w:rPr>
        <w:t>Board consensus was</w:t>
      </w:r>
      <w:r w:rsidR="00FC2228" w:rsidRPr="00492B59">
        <w:rPr>
          <w:rFonts w:eastAsia="Calibri" w:cs="Times New Roman"/>
          <w:color w:val="auto"/>
          <w:szCs w:val="24"/>
        </w:rPr>
        <w:t xml:space="preserve"> that separate </w:t>
      </w:r>
      <w:r w:rsidR="00FC2228" w:rsidRPr="00492B59">
        <w:rPr>
          <w:rFonts w:eastAsia="Calibri" w:cs="Times New Roman"/>
          <w:color w:val="auto"/>
          <w:szCs w:val="24"/>
        </w:rPr>
        <w:lastRenderedPageBreak/>
        <w:t xml:space="preserve">ratings were supported; and, the Board recommends a disability rating of 10% each for the left and right knees.  </w:t>
      </w:r>
      <w:r w:rsidR="00FC2228" w:rsidRPr="00492B59">
        <w:rPr>
          <w:color w:val="000000"/>
          <w:szCs w:val="24"/>
        </w:rPr>
        <w:t xml:space="preserve">The </w:t>
      </w:r>
      <w:r w:rsidR="00117F42">
        <w:rPr>
          <w:color w:val="000000"/>
          <w:szCs w:val="24"/>
        </w:rPr>
        <w:t>a</w:t>
      </w:r>
      <w:r w:rsidR="00FC2228" w:rsidRPr="00492B59">
        <w:rPr>
          <w:color w:val="000000"/>
          <w:szCs w:val="24"/>
        </w:rPr>
        <w:t xml:space="preserve">ction </w:t>
      </w:r>
      <w:r w:rsidR="00117F42">
        <w:rPr>
          <w:color w:val="000000"/>
          <w:szCs w:val="24"/>
        </w:rPr>
        <w:t>o</w:t>
      </w:r>
      <w:r w:rsidR="00FC2228" w:rsidRPr="00492B59">
        <w:rPr>
          <w:color w:val="000000"/>
          <w:szCs w:val="24"/>
        </w:rPr>
        <w:t xml:space="preserve">fficer recommended, and the Board concurred with, the code </w:t>
      </w:r>
      <w:r w:rsidR="00C2530D" w:rsidRPr="00492B59">
        <w:rPr>
          <w:color w:val="000000"/>
          <w:szCs w:val="24"/>
        </w:rPr>
        <w:t>5099-</w:t>
      </w:r>
      <w:r w:rsidR="00FC2228" w:rsidRPr="00492B59">
        <w:rPr>
          <w:rFonts w:eastAsia="Calibri" w:cs="Times New Roman"/>
          <w:color w:val="auto"/>
          <w:szCs w:val="24"/>
        </w:rPr>
        <w:t xml:space="preserve">5024 (tenosynovitis) </w:t>
      </w:r>
      <w:r w:rsidR="00FC2228" w:rsidRPr="00492B59">
        <w:rPr>
          <w:color w:val="000000"/>
          <w:szCs w:val="24"/>
        </w:rPr>
        <w:t>for its</w:t>
      </w:r>
      <w:r w:rsidR="00BE23AB">
        <w:rPr>
          <w:color w:val="000000"/>
          <w:szCs w:val="24"/>
        </w:rPr>
        <w:t xml:space="preserve"> clinical compatibility </w:t>
      </w:r>
      <w:r w:rsidR="00BE23AB" w:rsidRPr="00CC7C3A">
        <w:rPr>
          <w:color w:val="000000"/>
          <w:szCs w:val="24"/>
        </w:rPr>
        <w:t xml:space="preserve">with </w:t>
      </w:r>
      <w:r w:rsidR="00CE2414" w:rsidRPr="00CC7C3A">
        <w:rPr>
          <w:color w:val="000000"/>
          <w:szCs w:val="24"/>
        </w:rPr>
        <w:t>PFS</w:t>
      </w:r>
      <w:r w:rsidR="00CC7C3A">
        <w:rPr>
          <w:color w:val="000000"/>
          <w:szCs w:val="24"/>
        </w:rPr>
        <w:t>.</w:t>
      </w:r>
    </w:p>
    <w:p w:rsidR="00AD2379" w:rsidRDefault="00AD2379" w:rsidP="006364ED">
      <w:pPr>
        <w:jc w:val="left"/>
        <w:rPr>
          <w:color w:val="000000"/>
        </w:rPr>
      </w:pPr>
    </w:p>
    <w:p w:rsidR="00117F42" w:rsidRPr="00492B59" w:rsidRDefault="00117F42" w:rsidP="006364ED">
      <w:pPr>
        <w:jc w:val="left"/>
        <w:rPr>
          <w:color w:val="000000"/>
        </w:rPr>
      </w:pPr>
    </w:p>
    <w:p w:rsidR="00560F12" w:rsidRPr="00560F12" w:rsidRDefault="00AD2379" w:rsidP="00560F12">
      <w:pPr>
        <w:jc w:val="both"/>
        <w:rPr>
          <w:rFonts w:eastAsia="Calibri" w:cs="Times New Roman"/>
          <w:color w:val="auto"/>
          <w:szCs w:val="24"/>
        </w:rPr>
      </w:pPr>
      <w:r w:rsidRPr="00492B59">
        <w:rPr>
          <w:color w:val="000000"/>
          <w:u w:val="single"/>
        </w:rPr>
        <w:t>BOARD FINDINGS</w:t>
      </w:r>
      <w:r w:rsidRPr="00492B59">
        <w:rPr>
          <w:color w:val="000000"/>
        </w:rPr>
        <w:t>:  IAW DoDI 6040.44, provisions of DoD or Military Department regulations or guidelines relied upon by the PEB will not be considered by the Board to the extent they were inconsistent with the VASRD in effect at the time of the adjudication</w:t>
      </w:r>
      <w:r w:rsidRPr="00492B59">
        <w:rPr>
          <w:rFonts w:cs="Times New Roman"/>
          <w:color w:val="auto"/>
        </w:rPr>
        <w:t xml:space="preserve">. </w:t>
      </w:r>
      <w:r w:rsidR="008734E7" w:rsidRPr="00492B59">
        <w:rPr>
          <w:rFonts w:cs="Times New Roman"/>
          <w:color w:val="auto"/>
        </w:rPr>
        <w:t xml:space="preserve"> </w:t>
      </w:r>
      <w:r w:rsidRPr="00492B59">
        <w:rPr>
          <w:rFonts w:cs="Times New Roman"/>
          <w:color w:val="auto"/>
        </w:rPr>
        <w:t>The Board did not surmise from the record or PEB ruling in this case that any prerogatives outside the VASRD were exercised.</w:t>
      </w:r>
      <w:r w:rsidR="008734E7" w:rsidRPr="00492B59">
        <w:rPr>
          <w:rFonts w:cs="Times New Roman"/>
          <w:color w:val="auto"/>
        </w:rPr>
        <w:t xml:space="preserve"> </w:t>
      </w:r>
      <w:r w:rsidRPr="00492B59">
        <w:rPr>
          <w:rFonts w:cs="Times New Roman"/>
          <w:color w:val="auto"/>
        </w:rPr>
        <w:t xml:space="preserve"> </w:t>
      </w:r>
      <w:r w:rsidR="00DE2E44" w:rsidRPr="00492B59">
        <w:rPr>
          <w:rFonts w:eastAsia="Calibri" w:cs="Times New Roman"/>
          <w:color w:val="auto"/>
          <w:szCs w:val="24"/>
        </w:rPr>
        <w:t xml:space="preserve">In the matter of the bilateral knee condition, the Board </w:t>
      </w:r>
      <w:r w:rsidR="00492B59" w:rsidRPr="006C3C98">
        <w:rPr>
          <w:rFonts w:eastAsia="Calibri" w:cs="Times New Roman"/>
          <w:color w:val="auto"/>
          <w:szCs w:val="24"/>
        </w:rPr>
        <w:t>by a vote of 2:1</w:t>
      </w:r>
      <w:r w:rsidR="00492B59" w:rsidRPr="00492B59">
        <w:rPr>
          <w:rFonts w:eastAsia="Calibri" w:cs="Times New Roman"/>
          <w:color w:val="auto"/>
          <w:szCs w:val="24"/>
        </w:rPr>
        <w:t xml:space="preserve"> </w:t>
      </w:r>
      <w:r w:rsidR="00DE2E44" w:rsidRPr="00492B59">
        <w:rPr>
          <w:rFonts w:eastAsia="Calibri" w:cs="Times New Roman"/>
          <w:color w:val="auto"/>
          <w:szCs w:val="24"/>
        </w:rPr>
        <w:t xml:space="preserve">recommends that each joint be separately adjudicated as follows: an unfitting left knee condition coded </w:t>
      </w:r>
      <w:r w:rsidR="00DE2E44" w:rsidRPr="00492B59">
        <w:rPr>
          <w:color w:val="000000"/>
          <w:szCs w:val="24"/>
        </w:rPr>
        <w:t>5099-</w:t>
      </w:r>
      <w:r w:rsidR="00DE2E44" w:rsidRPr="00492B59">
        <w:rPr>
          <w:rFonts w:eastAsia="Calibri" w:cs="Times New Roman"/>
          <w:color w:val="auto"/>
          <w:szCs w:val="24"/>
        </w:rPr>
        <w:t xml:space="preserve">5024 and rated 10%, and an unfitting right knee condition coded </w:t>
      </w:r>
      <w:r w:rsidR="00DE2E44" w:rsidRPr="00492B59">
        <w:rPr>
          <w:color w:val="000000"/>
          <w:szCs w:val="24"/>
        </w:rPr>
        <w:t>5099-</w:t>
      </w:r>
      <w:r w:rsidR="00DE2E44" w:rsidRPr="00492B59">
        <w:rPr>
          <w:rFonts w:eastAsia="Calibri" w:cs="Times New Roman"/>
          <w:color w:val="auto"/>
          <w:szCs w:val="24"/>
        </w:rPr>
        <w:t xml:space="preserve">5024 and rated 10%; both IAW VASRD §4.71a.  </w:t>
      </w:r>
      <w:r w:rsidR="00492B59" w:rsidRPr="006C3C98">
        <w:rPr>
          <w:rFonts w:eastAsia="Calibri" w:cs="Times New Roman"/>
          <w:color w:val="auto"/>
          <w:szCs w:val="24"/>
        </w:rPr>
        <w:t xml:space="preserve">The single voter for dissent (who recommended </w:t>
      </w:r>
      <w:r w:rsidR="00492B59" w:rsidRPr="00492B59">
        <w:rPr>
          <w:rFonts w:eastAsia="Calibri" w:cs="Times New Roman"/>
          <w:color w:val="auto"/>
          <w:szCs w:val="24"/>
        </w:rPr>
        <w:t>a combined 10% rating under 5024-5003</w:t>
      </w:r>
      <w:r w:rsidR="00492B59" w:rsidRPr="006C3C98">
        <w:rPr>
          <w:rFonts w:eastAsia="Calibri" w:cs="Times New Roman"/>
          <w:color w:val="auto"/>
          <w:szCs w:val="24"/>
        </w:rPr>
        <w:t xml:space="preserve">) did not elect to submit a minority opinion. </w:t>
      </w:r>
      <w:r w:rsidR="00492B59">
        <w:rPr>
          <w:rFonts w:eastAsia="Calibri" w:cs="Times New Roman"/>
          <w:color w:val="auto"/>
          <w:szCs w:val="24"/>
        </w:rPr>
        <w:t xml:space="preserve"> </w:t>
      </w:r>
      <w:r w:rsidR="00B55FB5" w:rsidRPr="003471C5">
        <w:rPr>
          <w:rFonts w:eastAsia="Calibri" w:cs="Times New Roman"/>
          <w:color w:val="auto"/>
          <w:szCs w:val="24"/>
        </w:rPr>
        <w:t>There were no other conditions within the Board’s scope of review for consideration.</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565636" w:rsidRPr="00565636" w:rsidRDefault="00AD2379" w:rsidP="00DE2E44">
      <w:pPr>
        <w:jc w:val="left"/>
        <w:rPr>
          <w:rFonts w:eastAsia="Calibri" w:cs="Times New Roman"/>
          <w:color w:val="000080"/>
          <w:szCs w:val="24"/>
        </w:rPr>
      </w:pPr>
      <w:r w:rsidRPr="009A7578">
        <w:rPr>
          <w:color w:val="000000"/>
          <w:u w:val="single"/>
        </w:rPr>
        <w:t>RECOMMENDATION</w:t>
      </w:r>
      <w:r w:rsidRPr="009A7578">
        <w:rPr>
          <w:color w:val="000000"/>
        </w:rPr>
        <w:t xml:space="preserve">: </w:t>
      </w:r>
      <w:r w:rsidR="00DE2E44">
        <w:rPr>
          <w:color w:val="000000"/>
        </w:rPr>
        <w:t xml:space="preserve"> </w:t>
      </w:r>
      <w:r w:rsidR="00565636" w:rsidRPr="00565636">
        <w:rPr>
          <w:rFonts w:eastAsia="Calibri" w:cs="Times New Roman"/>
          <w:color w:val="auto"/>
          <w:szCs w:val="24"/>
        </w:rPr>
        <w:t>The Board recommends that the CI’s prior determination be modified as follows, effective as of the date of his prior medical separation</w:t>
      </w:r>
      <w:r w:rsidR="00287122">
        <w:rPr>
          <w:rFonts w:eastAsia="Calibri" w:cs="Times New Roman"/>
          <w:color w:val="auto"/>
          <w:szCs w:val="24"/>
        </w:rPr>
        <w:t>:</w:t>
      </w:r>
    </w:p>
    <w:p w:rsidR="00B8351E" w:rsidRPr="00B8351E" w:rsidRDefault="00B8351E" w:rsidP="00B8351E">
      <w:pPr>
        <w:jc w:val="left"/>
        <w:rPr>
          <w:color w:val="000000"/>
        </w:rPr>
      </w:pPr>
    </w:p>
    <w:tbl>
      <w:tblPr>
        <w:tblpPr w:leftFromText="187" w:rightFromText="187"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Look w:val="00A0"/>
      </w:tblPr>
      <w:tblGrid>
        <w:gridCol w:w="6048"/>
        <w:gridCol w:w="720"/>
        <w:gridCol w:w="1530"/>
        <w:gridCol w:w="1026"/>
      </w:tblGrid>
      <w:tr w:rsidR="00071071" w:rsidRPr="00B8351E" w:rsidTr="00B8351E">
        <w:trPr>
          <w:trHeight w:val="233"/>
        </w:trPr>
        <w:tc>
          <w:tcPr>
            <w:tcW w:w="6768" w:type="dxa"/>
            <w:gridSpan w:val="2"/>
            <w:tcBorders>
              <w:right w:val="single" w:sz="4" w:space="0" w:color="auto"/>
            </w:tcBorders>
            <w:shd w:val="clear" w:color="auto" w:fill="D9D9D9" w:themeFill="background1" w:themeFillShade="D9"/>
            <w:vAlign w:val="center"/>
          </w:tcPr>
          <w:p w:rsidR="00071071" w:rsidRPr="00B8351E" w:rsidRDefault="00071071" w:rsidP="00071071">
            <w:pPr>
              <w:tabs>
                <w:tab w:val="left" w:pos="288"/>
                <w:tab w:val="left" w:pos="4752"/>
              </w:tabs>
              <w:rPr>
                <w:b/>
                <w:color w:val="000000"/>
              </w:rPr>
            </w:pPr>
            <w:r w:rsidRPr="00B8351E">
              <w:rPr>
                <w:b/>
                <w:color w:val="000000"/>
              </w:rPr>
              <w:t>UNFITTING CONDITION</w:t>
            </w:r>
          </w:p>
        </w:tc>
        <w:tc>
          <w:tcPr>
            <w:tcW w:w="1530" w:type="dxa"/>
            <w:tcBorders>
              <w:left w:val="single" w:sz="4" w:space="0" w:color="auto"/>
            </w:tcBorders>
            <w:shd w:val="clear" w:color="auto" w:fill="D9D9D9" w:themeFill="background1" w:themeFillShade="D9"/>
            <w:vAlign w:val="center"/>
          </w:tcPr>
          <w:p w:rsidR="00071071" w:rsidRPr="00B8351E" w:rsidRDefault="00071071" w:rsidP="00071071">
            <w:pPr>
              <w:tabs>
                <w:tab w:val="left" w:pos="288"/>
                <w:tab w:val="left" w:pos="4752"/>
              </w:tabs>
              <w:rPr>
                <w:b/>
                <w:color w:val="000000"/>
              </w:rPr>
            </w:pPr>
            <w:r w:rsidRPr="00B8351E">
              <w:rPr>
                <w:b/>
                <w:color w:val="000000"/>
              </w:rPr>
              <w:t>VASRD CODE</w:t>
            </w:r>
          </w:p>
        </w:tc>
        <w:tc>
          <w:tcPr>
            <w:tcW w:w="1026" w:type="dxa"/>
            <w:shd w:val="clear" w:color="auto" w:fill="D9D9D9" w:themeFill="background1" w:themeFillShade="D9"/>
            <w:vAlign w:val="center"/>
          </w:tcPr>
          <w:p w:rsidR="00071071" w:rsidRPr="00B8351E" w:rsidRDefault="00071071" w:rsidP="00071071">
            <w:pPr>
              <w:tabs>
                <w:tab w:val="left" w:pos="288"/>
                <w:tab w:val="left" w:pos="4752"/>
              </w:tabs>
              <w:rPr>
                <w:b/>
                <w:color w:val="000000"/>
              </w:rPr>
            </w:pPr>
            <w:r w:rsidRPr="00B8351E">
              <w:rPr>
                <w:b/>
                <w:color w:val="000000"/>
              </w:rPr>
              <w:t>RATING</w:t>
            </w:r>
          </w:p>
        </w:tc>
      </w:tr>
      <w:tr w:rsidR="00071071" w:rsidRPr="00B8351E" w:rsidTr="00B8351E">
        <w:tc>
          <w:tcPr>
            <w:tcW w:w="6768" w:type="dxa"/>
            <w:gridSpan w:val="2"/>
            <w:tcBorders>
              <w:right w:val="single" w:sz="4" w:space="0" w:color="auto"/>
            </w:tcBorders>
            <w:shd w:val="clear" w:color="auto" w:fill="FFFFFF" w:themeFill="background1"/>
            <w:vAlign w:val="center"/>
          </w:tcPr>
          <w:p w:rsidR="00071071" w:rsidRPr="00B8351E" w:rsidRDefault="00B8351E" w:rsidP="00071071">
            <w:pPr>
              <w:tabs>
                <w:tab w:val="left" w:pos="288"/>
                <w:tab w:val="left" w:pos="4752"/>
              </w:tabs>
              <w:jc w:val="left"/>
              <w:rPr>
                <w:color w:val="000000"/>
              </w:rPr>
            </w:pPr>
            <w:r w:rsidRPr="00B8351E">
              <w:rPr>
                <w:color w:val="000000"/>
              </w:rPr>
              <w:t>Patellofemoral Pain Syndrome, Left Knee</w:t>
            </w:r>
          </w:p>
        </w:tc>
        <w:tc>
          <w:tcPr>
            <w:tcW w:w="1530" w:type="dxa"/>
            <w:tcBorders>
              <w:left w:val="single" w:sz="4" w:space="0" w:color="auto"/>
            </w:tcBorders>
            <w:shd w:val="clear" w:color="auto" w:fill="FFFFFF" w:themeFill="background1"/>
            <w:vAlign w:val="center"/>
          </w:tcPr>
          <w:p w:rsidR="00071071" w:rsidRPr="00B8351E" w:rsidRDefault="00B8351E" w:rsidP="00071071">
            <w:pPr>
              <w:tabs>
                <w:tab w:val="left" w:pos="288"/>
                <w:tab w:val="left" w:pos="4752"/>
              </w:tabs>
              <w:rPr>
                <w:color w:val="000000"/>
              </w:rPr>
            </w:pPr>
            <w:r w:rsidRPr="00B8351E">
              <w:rPr>
                <w:color w:val="000000"/>
                <w:szCs w:val="24"/>
              </w:rPr>
              <w:t>5099-</w:t>
            </w:r>
            <w:r w:rsidRPr="00B8351E">
              <w:rPr>
                <w:rFonts w:eastAsia="Calibri" w:cs="Times New Roman"/>
                <w:color w:val="auto"/>
                <w:szCs w:val="24"/>
              </w:rPr>
              <w:t>5024</w:t>
            </w:r>
          </w:p>
        </w:tc>
        <w:tc>
          <w:tcPr>
            <w:tcW w:w="1026" w:type="dxa"/>
            <w:shd w:val="clear" w:color="auto" w:fill="FFFFFF" w:themeFill="background1"/>
            <w:vAlign w:val="center"/>
          </w:tcPr>
          <w:p w:rsidR="00071071" w:rsidRPr="00B8351E" w:rsidRDefault="00B8351E" w:rsidP="00071071">
            <w:pPr>
              <w:tabs>
                <w:tab w:val="left" w:pos="288"/>
                <w:tab w:val="left" w:pos="4752"/>
              </w:tabs>
              <w:rPr>
                <w:color w:val="000000"/>
              </w:rPr>
            </w:pPr>
            <w:r w:rsidRPr="00B8351E">
              <w:rPr>
                <w:color w:val="000000"/>
              </w:rPr>
              <w:t>1</w:t>
            </w:r>
            <w:r w:rsidR="00071071" w:rsidRPr="00B8351E">
              <w:rPr>
                <w:color w:val="000000"/>
              </w:rPr>
              <w:t>0%</w:t>
            </w:r>
          </w:p>
        </w:tc>
      </w:tr>
      <w:tr w:rsidR="00B8351E" w:rsidRPr="00B8351E" w:rsidTr="00B8351E">
        <w:tc>
          <w:tcPr>
            <w:tcW w:w="6768" w:type="dxa"/>
            <w:gridSpan w:val="2"/>
            <w:tcBorders>
              <w:right w:val="single" w:sz="4" w:space="0" w:color="auto"/>
            </w:tcBorders>
            <w:shd w:val="clear" w:color="auto" w:fill="FFFFFF" w:themeFill="background1"/>
            <w:vAlign w:val="center"/>
          </w:tcPr>
          <w:p w:rsidR="00B8351E" w:rsidRPr="00B8351E" w:rsidRDefault="00B8351E" w:rsidP="00B8351E">
            <w:pPr>
              <w:tabs>
                <w:tab w:val="left" w:pos="288"/>
                <w:tab w:val="left" w:pos="4752"/>
              </w:tabs>
              <w:jc w:val="left"/>
              <w:rPr>
                <w:color w:val="000000"/>
              </w:rPr>
            </w:pPr>
            <w:r w:rsidRPr="00B8351E">
              <w:rPr>
                <w:color w:val="000000"/>
              </w:rPr>
              <w:t>Patellofemoral Pain Syndrome, Right Knee</w:t>
            </w:r>
          </w:p>
        </w:tc>
        <w:tc>
          <w:tcPr>
            <w:tcW w:w="1530" w:type="dxa"/>
            <w:tcBorders>
              <w:left w:val="single" w:sz="4" w:space="0" w:color="auto"/>
            </w:tcBorders>
            <w:shd w:val="clear" w:color="auto" w:fill="FFFFFF" w:themeFill="background1"/>
            <w:vAlign w:val="center"/>
          </w:tcPr>
          <w:p w:rsidR="00B8351E" w:rsidRPr="00B8351E" w:rsidRDefault="00B8351E" w:rsidP="00071071">
            <w:pPr>
              <w:tabs>
                <w:tab w:val="left" w:pos="288"/>
                <w:tab w:val="left" w:pos="4752"/>
              </w:tabs>
              <w:rPr>
                <w:color w:val="000000"/>
              </w:rPr>
            </w:pPr>
            <w:r w:rsidRPr="00B8351E">
              <w:rPr>
                <w:color w:val="000000"/>
                <w:szCs w:val="24"/>
              </w:rPr>
              <w:t>5099-</w:t>
            </w:r>
            <w:r w:rsidRPr="00B8351E">
              <w:rPr>
                <w:rFonts w:eastAsia="Calibri" w:cs="Times New Roman"/>
                <w:color w:val="auto"/>
                <w:szCs w:val="24"/>
              </w:rPr>
              <w:t>5024</w:t>
            </w:r>
          </w:p>
        </w:tc>
        <w:tc>
          <w:tcPr>
            <w:tcW w:w="1026" w:type="dxa"/>
            <w:shd w:val="clear" w:color="auto" w:fill="FFFFFF" w:themeFill="background1"/>
            <w:vAlign w:val="center"/>
          </w:tcPr>
          <w:p w:rsidR="00B8351E" w:rsidRPr="00B8351E" w:rsidRDefault="00B8351E" w:rsidP="00071071">
            <w:pPr>
              <w:tabs>
                <w:tab w:val="left" w:pos="288"/>
                <w:tab w:val="left" w:pos="4752"/>
              </w:tabs>
              <w:rPr>
                <w:color w:val="000000"/>
              </w:rPr>
            </w:pPr>
            <w:r w:rsidRPr="00B8351E">
              <w:rPr>
                <w:color w:val="000000"/>
              </w:rPr>
              <w:t>10%</w:t>
            </w:r>
          </w:p>
        </w:tc>
      </w:tr>
      <w:tr w:rsidR="00071071" w:rsidRPr="000D5DBE" w:rsidTr="00B8351E">
        <w:tblPrEx>
          <w:tblLook w:val="0000"/>
        </w:tblPrEx>
        <w:trPr>
          <w:gridBefore w:val="1"/>
          <w:wBefore w:w="6048" w:type="dxa"/>
          <w:trHeight w:val="152"/>
        </w:trPr>
        <w:tc>
          <w:tcPr>
            <w:tcW w:w="2250" w:type="dxa"/>
            <w:gridSpan w:val="2"/>
            <w:tcBorders>
              <w:left w:val="single" w:sz="4" w:space="0" w:color="auto"/>
            </w:tcBorders>
            <w:shd w:val="clear" w:color="auto" w:fill="D9D9D9" w:themeFill="background1" w:themeFillShade="D9"/>
            <w:vAlign w:val="center"/>
          </w:tcPr>
          <w:p w:rsidR="00071071" w:rsidRPr="00B8351E" w:rsidRDefault="00071071" w:rsidP="00071071">
            <w:pPr>
              <w:tabs>
                <w:tab w:val="left" w:pos="288"/>
                <w:tab w:val="left" w:pos="4752"/>
              </w:tabs>
              <w:rPr>
                <w:b/>
                <w:color w:val="000000"/>
              </w:rPr>
            </w:pPr>
            <w:r w:rsidRPr="00B8351E">
              <w:rPr>
                <w:b/>
                <w:color w:val="000000"/>
              </w:rPr>
              <w:t>COMBINED (w/ BLF)</w:t>
            </w:r>
          </w:p>
        </w:tc>
        <w:tc>
          <w:tcPr>
            <w:tcW w:w="1026" w:type="dxa"/>
            <w:shd w:val="clear" w:color="auto" w:fill="D9D9D9" w:themeFill="background1" w:themeFillShade="D9"/>
            <w:vAlign w:val="center"/>
          </w:tcPr>
          <w:p w:rsidR="00071071" w:rsidRPr="000D5DBE" w:rsidRDefault="00B8351E" w:rsidP="00071071">
            <w:pPr>
              <w:tabs>
                <w:tab w:val="left" w:pos="288"/>
                <w:tab w:val="left" w:pos="4752"/>
              </w:tabs>
              <w:rPr>
                <w:b/>
                <w:color w:val="000000"/>
              </w:rPr>
            </w:pPr>
            <w:r w:rsidRPr="00B8351E">
              <w:rPr>
                <w:b/>
                <w:color w:val="000000"/>
              </w:rPr>
              <w:t>2</w:t>
            </w:r>
            <w:r w:rsidR="00071071" w:rsidRPr="00B8351E">
              <w:rPr>
                <w:b/>
                <w:color w:val="000000"/>
              </w:rPr>
              <w:t>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rPr>
          <w:color w:val="000000"/>
        </w:rPr>
      </w:pPr>
    </w:p>
    <w:p w:rsidR="00AD2379" w:rsidRDefault="00AD2379" w:rsidP="00BF0E94">
      <w:pPr>
        <w:tabs>
          <w:tab w:val="left" w:pos="288"/>
          <w:tab w:val="left" w:pos="4752"/>
        </w:tabs>
        <w:jc w:val="both"/>
        <w:rPr>
          <w:color w:val="000000"/>
        </w:rPr>
      </w:pPr>
      <w:r w:rsidRPr="001F29F9">
        <w:rPr>
          <w:color w:val="000000"/>
        </w:rPr>
        <w:t>The following documentary evidence was considered:</w:t>
      </w:r>
    </w:p>
    <w:p w:rsidR="005144A7" w:rsidRPr="001F29F9" w:rsidRDefault="005144A7" w:rsidP="00BF0E94">
      <w:pPr>
        <w:tabs>
          <w:tab w:val="left" w:pos="288"/>
          <w:tab w:val="left" w:pos="4752"/>
        </w:tabs>
        <w:jc w:val="both"/>
        <w:rPr>
          <w:color w:val="000000"/>
        </w:rPr>
      </w:pPr>
    </w:p>
    <w:p w:rsidR="00AD2379" w:rsidRPr="001F29F9" w:rsidRDefault="00AD2379" w:rsidP="005144A7">
      <w:pPr>
        <w:tabs>
          <w:tab w:val="left" w:pos="288"/>
          <w:tab w:val="left" w:pos="4752"/>
        </w:tabs>
        <w:jc w:val="both"/>
        <w:rPr>
          <w:color w:val="000000"/>
        </w:rPr>
      </w:pPr>
      <w:r w:rsidRPr="001F29F9">
        <w:rPr>
          <w:color w:val="000000"/>
        </w:rPr>
        <w:t xml:space="preserve">Exhibit A.  DD Form 294, dated </w:t>
      </w:r>
      <w:r w:rsidR="004B1AE7">
        <w:rPr>
          <w:color w:val="auto"/>
        </w:rPr>
        <w:t>20110720</w:t>
      </w:r>
      <w:r w:rsidR="00117F42">
        <w:rPr>
          <w:color w:val="000000"/>
        </w:rPr>
        <w:t>, w/atchs</w:t>
      </w:r>
    </w:p>
    <w:p w:rsidR="00AD2379" w:rsidRPr="001F29F9" w:rsidRDefault="00AD2379" w:rsidP="005144A7">
      <w:pPr>
        <w:tabs>
          <w:tab w:val="left" w:pos="288"/>
          <w:tab w:val="left" w:pos="4752"/>
        </w:tabs>
        <w:jc w:val="both"/>
        <w:rPr>
          <w:color w:val="000000"/>
        </w:rPr>
      </w:pPr>
      <w:r w:rsidRPr="001F29F9">
        <w:rPr>
          <w:color w:val="000000"/>
        </w:rPr>
        <w:t>Exhib</w:t>
      </w:r>
      <w:r w:rsidR="00117F42">
        <w:rPr>
          <w:color w:val="000000"/>
        </w:rPr>
        <w:t>it B.  Service Treatment Record</w:t>
      </w:r>
    </w:p>
    <w:p w:rsidR="00AD2379" w:rsidRPr="001F29F9" w:rsidRDefault="00AD2379" w:rsidP="005144A7">
      <w:pPr>
        <w:tabs>
          <w:tab w:val="left" w:pos="288"/>
          <w:tab w:val="left" w:pos="4752"/>
        </w:tabs>
        <w:jc w:val="both"/>
        <w:rPr>
          <w:color w:val="000000"/>
        </w:rPr>
      </w:pPr>
      <w:r w:rsidRPr="001F29F9">
        <w:rPr>
          <w:color w:val="000000"/>
        </w:rPr>
        <w:t>Exhibit C.  Department of Ve</w:t>
      </w:r>
      <w:r w:rsidR="00117F42">
        <w:rPr>
          <w:color w:val="000000"/>
        </w:rPr>
        <w:t>terans’ Affairs Treatment Record</w:t>
      </w: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0"/>
          <w:tab w:val="left" w:pos="4320"/>
        </w:tabs>
        <w:jc w:val="both"/>
        <w:rPr>
          <w:color w:val="000000"/>
        </w:rPr>
      </w:pPr>
      <w:r w:rsidRPr="001F29F9">
        <w:rPr>
          <w:color w:val="000000"/>
        </w:rPr>
        <w:tab/>
        <w:t xml:space="preserve">           </w:t>
      </w:r>
      <w:r w:rsidR="009E4CDE">
        <w:rPr>
          <w:color w:val="000000"/>
        </w:rPr>
        <w:t>XXXXXXXXXXXXXXXXXXXX</w:t>
      </w:r>
    </w:p>
    <w:p w:rsidR="00AD2379" w:rsidRPr="001F29F9" w:rsidRDefault="00AD2379" w:rsidP="00BF0E94">
      <w:pPr>
        <w:tabs>
          <w:tab w:val="left" w:pos="0"/>
          <w:tab w:val="left" w:pos="4320"/>
        </w:tabs>
        <w:jc w:val="both"/>
        <w:rPr>
          <w:color w:val="000000"/>
        </w:rPr>
      </w:pPr>
      <w:r w:rsidRPr="001F29F9">
        <w:rPr>
          <w:color w:val="000000"/>
        </w:rPr>
        <w:tab/>
        <w:t xml:space="preserve">           President</w:t>
      </w:r>
    </w:p>
    <w:p w:rsidR="009E4CDE" w:rsidRDefault="00AD2379" w:rsidP="001B556E">
      <w:pPr>
        <w:tabs>
          <w:tab w:val="left" w:pos="0"/>
          <w:tab w:val="left" w:pos="4320"/>
        </w:tabs>
        <w:jc w:val="both"/>
        <w:rPr>
          <w:color w:val="000000"/>
        </w:rPr>
      </w:pPr>
      <w:r w:rsidRPr="001F29F9">
        <w:rPr>
          <w:color w:val="000000"/>
        </w:rPr>
        <w:tab/>
        <w:t xml:space="preserve">           Physical Disability Board of Review</w:t>
      </w:r>
    </w:p>
    <w:p w:rsidR="009E4CDE" w:rsidRDefault="009E4CDE">
      <w:pPr>
        <w:spacing w:line="240" w:lineRule="auto"/>
        <w:jc w:val="left"/>
        <w:rPr>
          <w:color w:val="000000"/>
        </w:rPr>
      </w:pPr>
      <w:r>
        <w:rPr>
          <w:color w:val="000000"/>
        </w:rPr>
        <w:br w:type="page"/>
      </w:r>
    </w:p>
    <w:p w:rsidR="009E4CDE" w:rsidRDefault="009E4CDE" w:rsidP="009E4CDE">
      <w:pPr>
        <w:sectPr w:rsidR="009E4CDE">
          <w:pgSz w:w="12240" w:h="15840"/>
          <w:pgMar w:top="2160" w:right="1440" w:bottom="1440" w:left="1440" w:header="720" w:footer="720" w:gutter="0"/>
          <w:cols w:space="720"/>
        </w:sectPr>
      </w:pPr>
    </w:p>
    <w:p w:rsidR="009E4CDE" w:rsidRDefault="009E4CDE" w:rsidP="009E4CDE">
      <w:pPr>
        <w:pStyle w:val="Header"/>
        <w:tabs>
          <w:tab w:val="left" w:pos="720"/>
        </w:tabs>
        <w:jc w:val="left"/>
      </w:pPr>
      <w:r>
        <w:lastRenderedPageBreak/>
        <w:t>SFMR-RB</w:t>
      </w:r>
      <w:r>
        <w:tab/>
      </w:r>
      <w:r>
        <w:tab/>
      </w:r>
      <w:r>
        <w:tab/>
      </w:r>
      <w:r>
        <w:tab/>
      </w:r>
      <w:r>
        <w:tab/>
      </w:r>
      <w:r>
        <w:tab/>
      </w:r>
      <w:r>
        <w:tab/>
      </w:r>
      <w:r>
        <w:tab/>
      </w:r>
      <w:r>
        <w:tab/>
      </w:r>
    </w:p>
    <w:p w:rsidR="009E4CDE" w:rsidRDefault="009E4CDE" w:rsidP="009E4CDE">
      <w:pPr>
        <w:pStyle w:val="Header"/>
        <w:tabs>
          <w:tab w:val="left" w:pos="720"/>
        </w:tabs>
        <w:jc w:val="left"/>
      </w:pPr>
    </w:p>
    <w:p w:rsidR="009E4CDE" w:rsidRDefault="009E4CDE" w:rsidP="009E4CDE">
      <w:pPr>
        <w:jc w:val="left"/>
      </w:pPr>
    </w:p>
    <w:p w:rsidR="009E4CDE" w:rsidRDefault="009E4CDE" w:rsidP="009E4CDE">
      <w:pPr>
        <w:jc w:val="left"/>
      </w:pPr>
      <w:r>
        <w:t xml:space="preserve">MEMORANDUM FOR Commander, US Army Physical Disability Agency </w:t>
      </w:r>
    </w:p>
    <w:p w:rsidR="009E4CDE" w:rsidRDefault="009E4CDE" w:rsidP="009E4CDE">
      <w:pPr>
        <w:jc w:val="left"/>
      </w:pPr>
      <w:r>
        <w:t xml:space="preserve">(TAPD-ZB </w:t>
      </w:r>
      <w:proofErr w:type="gramStart"/>
      <w:r>
        <w:t>/  )</w:t>
      </w:r>
      <w:proofErr w:type="gramEnd"/>
      <w:r>
        <w:t>, 2900 Crystal Drive, Suite 300, Arlington, VA  22202</w:t>
      </w:r>
    </w:p>
    <w:p w:rsidR="009E4CDE" w:rsidRDefault="009E4CDE" w:rsidP="009E4CDE">
      <w:pPr>
        <w:jc w:val="left"/>
      </w:pPr>
    </w:p>
    <w:p w:rsidR="009E4CDE" w:rsidRDefault="009E4CDE" w:rsidP="009E4CDE">
      <w:pPr>
        <w:ind w:right="-180"/>
        <w:jc w:val="left"/>
      </w:pPr>
      <w:r>
        <w:t xml:space="preserve">SUBJECT:  Department of Defense Physical Disability Board of Review Recommendation </w:t>
      </w:r>
    </w:p>
    <w:p w:rsidR="009E4CDE" w:rsidRDefault="009E4CDE" w:rsidP="009E4CDE">
      <w:pPr>
        <w:pStyle w:val="Header"/>
        <w:tabs>
          <w:tab w:val="left" w:pos="720"/>
        </w:tabs>
        <w:jc w:val="left"/>
      </w:pPr>
      <w:proofErr w:type="gramStart"/>
      <w:r>
        <w:t>for</w:t>
      </w:r>
      <w:proofErr w:type="gramEnd"/>
      <w:r>
        <w:t xml:space="preserve"> XXXXXXXXXXXXXXX, AR20120012965 (PD201100544)</w:t>
      </w:r>
    </w:p>
    <w:p w:rsidR="009E4CDE" w:rsidRDefault="009E4CDE" w:rsidP="009E4CDE">
      <w:pPr>
        <w:pStyle w:val="Header"/>
        <w:tabs>
          <w:tab w:val="left" w:pos="720"/>
        </w:tabs>
        <w:jc w:val="left"/>
      </w:pPr>
    </w:p>
    <w:p w:rsidR="009E4CDE" w:rsidRDefault="009E4CDE" w:rsidP="009E4CDE">
      <w:pPr>
        <w:jc w:val="left"/>
      </w:pPr>
    </w:p>
    <w:p w:rsidR="009E4CDE" w:rsidRDefault="009E4CDE" w:rsidP="009E4CDE">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9E4CDE" w:rsidRDefault="009E4CDE" w:rsidP="009E4CDE">
      <w:pPr>
        <w:jc w:val="left"/>
      </w:pPr>
    </w:p>
    <w:p w:rsidR="009E4CDE" w:rsidRDefault="009E4CDE" w:rsidP="009E4CDE">
      <w:pPr>
        <w:jc w:val="left"/>
      </w:pPr>
      <w:r>
        <w:t xml:space="preserve">2.  I direct that all the Department of the Army records of the individual concerned be corrected accordingly no later than 120 days from the date of this memorandum.   </w:t>
      </w:r>
    </w:p>
    <w:p w:rsidR="009E4CDE" w:rsidRDefault="009E4CDE" w:rsidP="009E4CDE">
      <w:pPr>
        <w:jc w:val="left"/>
      </w:pPr>
    </w:p>
    <w:p w:rsidR="009E4CDE" w:rsidRDefault="009E4CDE" w:rsidP="009E4CDE">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9E4CDE" w:rsidRDefault="009E4CDE" w:rsidP="009E4CDE">
      <w:pPr>
        <w:jc w:val="left"/>
      </w:pPr>
    </w:p>
    <w:p w:rsidR="009E4CDE" w:rsidRDefault="009E4CDE" w:rsidP="009E4CDE">
      <w:pPr>
        <w:jc w:val="left"/>
      </w:pPr>
      <w:r>
        <w:t xml:space="preserve"> BY ORDER OF THE SECRETARY OF THE ARMY:</w:t>
      </w:r>
    </w:p>
    <w:p w:rsidR="009E4CDE" w:rsidRDefault="009E4CDE" w:rsidP="009E4CDE">
      <w:pPr>
        <w:jc w:val="left"/>
      </w:pPr>
    </w:p>
    <w:p w:rsidR="009E4CDE" w:rsidRDefault="009E4CDE" w:rsidP="009E4CDE">
      <w:pPr>
        <w:jc w:val="left"/>
      </w:pPr>
    </w:p>
    <w:p w:rsidR="009E4CDE" w:rsidRDefault="009E4CDE" w:rsidP="009E4CDE">
      <w:pPr>
        <w:pStyle w:val="Header"/>
        <w:tabs>
          <w:tab w:val="left" w:pos="720"/>
        </w:tabs>
        <w:jc w:val="left"/>
      </w:pPr>
    </w:p>
    <w:p w:rsidR="009E4CDE" w:rsidRDefault="009E4CDE" w:rsidP="009E4CDE">
      <w:pPr>
        <w:jc w:val="left"/>
      </w:pPr>
    </w:p>
    <w:p w:rsidR="009E4CDE" w:rsidRDefault="009E4CDE" w:rsidP="009E4CDE">
      <w:pPr>
        <w:jc w:val="left"/>
      </w:pPr>
      <w:bookmarkStart w:id="1" w:name="OLE_LINK4"/>
      <w:bookmarkStart w:id="2" w:name="OLE_LINK3"/>
      <w:r>
        <w:t>Encl</w:t>
      </w:r>
      <w:r>
        <w:tab/>
      </w:r>
      <w:r>
        <w:tab/>
      </w:r>
      <w:r>
        <w:tab/>
      </w:r>
      <w:r>
        <w:tab/>
      </w:r>
      <w:r>
        <w:tab/>
      </w:r>
      <w:r>
        <w:tab/>
        <w:t xml:space="preserve">     XXXXXXXXXXXXXXXXXXXXXXX</w:t>
      </w:r>
    </w:p>
    <w:p w:rsidR="009E4CDE" w:rsidRDefault="009E4CDE" w:rsidP="009E4CDE">
      <w:pPr>
        <w:jc w:val="left"/>
      </w:pPr>
      <w:r>
        <w:tab/>
      </w:r>
      <w:r>
        <w:tab/>
      </w:r>
      <w:r>
        <w:tab/>
      </w:r>
      <w:r>
        <w:tab/>
      </w:r>
      <w:r>
        <w:tab/>
      </w:r>
      <w:r>
        <w:tab/>
        <w:t xml:space="preserve">     Deputy Assistant Secretary</w:t>
      </w:r>
    </w:p>
    <w:p w:rsidR="009E4CDE" w:rsidRDefault="009E4CDE" w:rsidP="009E4CDE">
      <w:pPr>
        <w:jc w:val="left"/>
      </w:pPr>
      <w:r>
        <w:tab/>
      </w:r>
      <w:r>
        <w:tab/>
      </w:r>
      <w:r>
        <w:tab/>
      </w:r>
      <w:r>
        <w:tab/>
      </w:r>
      <w:r>
        <w:tab/>
      </w:r>
      <w:r>
        <w:tab/>
        <w:t xml:space="preserve">         (Army Review Boards)</w:t>
      </w:r>
      <w:bookmarkEnd w:id="1"/>
      <w:bookmarkEnd w:id="2"/>
    </w:p>
    <w:p w:rsidR="009E4CDE" w:rsidRDefault="009E4CDE" w:rsidP="009E4CDE">
      <w:pPr>
        <w:jc w:val="left"/>
      </w:pPr>
    </w:p>
    <w:p w:rsidR="009E4CDE" w:rsidRDefault="009E4CDE" w:rsidP="009E4CDE">
      <w:pPr>
        <w:jc w:val="left"/>
      </w:pPr>
      <w:r>
        <w:t xml:space="preserve">CF: </w:t>
      </w:r>
    </w:p>
    <w:p w:rsidR="009E4CDE" w:rsidRDefault="009E4CDE" w:rsidP="009E4CDE">
      <w:pPr>
        <w:jc w:val="left"/>
      </w:pPr>
      <w:r>
        <w:t xml:space="preserve">(  ) </w:t>
      </w:r>
      <w:proofErr w:type="spellStart"/>
      <w:proofErr w:type="gramStart"/>
      <w:r>
        <w:t>DoD</w:t>
      </w:r>
      <w:proofErr w:type="spellEnd"/>
      <w:proofErr w:type="gramEnd"/>
      <w:r>
        <w:t xml:space="preserve"> PDBR</w:t>
      </w:r>
    </w:p>
    <w:p w:rsidR="009E4CDE" w:rsidRDefault="009E4CDE" w:rsidP="009E4CDE">
      <w:pPr>
        <w:jc w:val="left"/>
      </w:pPr>
      <w:r>
        <w:t>(  ) DVA</w:t>
      </w:r>
    </w:p>
    <w:p w:rsidR="00482B19" w:rsidRDefault="00482B19" w:rsidP="009E4CDE">
      <w:pPr>
        <w:tabs>
          <w:tab w:val="left" w:pos="0"/>
          <w:tab w:val="left" w:pos="4320"/>
        </w:tabs>
        <w:jc w:val="left"/>
        <w:rPr>
          <w:b/>
          <w:color w:val="000000"/>
          <w:highlight w:val="yellow"/>
        </w:rPr>
      </w:pPr>
    </w:p>
    <w:sectPr w:rsidR="00482B19"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915" w:rsidRDefault="00C22915">
      <w:r>
        <w:separator/>
      </w:r>
    </w:p>
  </w:endnote>
  <w:endnote w:type="continuationSeparator" w:id="0">
    <w:p w:rsidR="00C22915" w:rsidRDefault="00C229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79" w:rsidRPr="00374247" w:rsidRDefault="00AD2379" w:rsidP="00726F84">
    <w:pPr>
      <w:pStyle w:val="Footer"/>
      <w:ind w:firstLine="4320"/>
      <w:rPr>
        <w:color w:val="auto"/>
      </w:rPr>
    </w:pPr>
    <w:r w:rsidRPr="00374247">
      <w:rPr>
        <w:color w:val="auto"/>
      </w:rPr>
      <w:t xml:space="preserve">   </w:t>
    </w:r>
    <w:r w:rsidR="003E23A0" w:rsidRPr="003E23A0">
      <w:fldChar w:fldCharType="begin"/>
    </w:r>
    <w:r w:rsidR="00A311EA">
      <w:instrText xml:space="preserve"> PAGE   \* MERGEFORMAT </w:instrText>
    </w:r>
    <w:r w:rsidR="003E23A0" w:rsidRPr="003E23A0">
      <w:fldChar w:fldCharType="separate"/>
    </w:r>
    <w:r w:rsidR="009E4CDE" w:rsidRPr="009E4CDE">
      <w:rPr>
        <w:noProof/>
        <w:color w:val="auto"/>
      </w:rPr>
      <w:t>4</w:t>
    </w:r>
    <w:r w:rsidR="003E23A0">
      <w:rPr>
        <w:noProof/>
        <w:color w:val="auto"/>
      </w:rPr>
      <w:fldChar w:fldCharType="end"/>
    </w:r>
    <w:r w:rsidRPr="00374247">
      <w:rPr>
        <w:color w:val="auto"/>
      </w:rPr>
      <w:t xml:space="preserve">                                                           </w:t>
    </w:r>
    <w:r w:rsidRPr="001D64F3">
      <w:rPr>
        <w:color w:val="auto"/>
      </w:rPr>
      <w:t>PD</w:t>
    </w:r>
    <w:r w:rsidR="00E556A5">
      <w:rPr>
        <w:caps/>
        <w:color w:val="auto"/>
      </w:rPr>
      <w:t>11</w:t>
    </w:r>
    <w:r w:rsidR="00E556A5" w:rsidRPr="00BD2BAA">
      <w:rPr>
        <w:caps/>
        <w:color w:val="auto"/>
      </w:rPr>
      <w:t>00544</w:t>
    </w:r>
  </w:p>
  <w:p w:rsidR="00AD2379" w:rsidRPr="00684CE6" w:rsidRDefault="00AD2379">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915" w:rsidRDefault="00C22915">
      <w:r>
        <w:separator/>
      </w:r>
    </w:p>
  </w:footnote>
  <w:footnote w:type="continuationSeparator" w:id="0">
    <w:p w:rsidR="00C22915" w:rsidRDefault="00C229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24F5"/>
    <w:rsid w:val="000059FA"/>
    <w:rsid w:val="00006186"/>
    <w:rsid w:val="000066C0"/>
    <w:rsid w:val="00006F87"/>
    <w:rsid w:val="00007107"/>
    <w:rsid w:val="00007BCC"/>
    <w:rsid w:val="00010ABA"/>
    <w:rsid w:val="00010AF0"/>
    <w:rsid w:val="00010B0F"/>
    <w:rsid w:val="00012428"/>
    <w:rsid w:val="00012733"/>
    <w:rsid w:val="00013417"/>
    <w:rsid w:val="000145C2"/>
    <w:rsid w:val="0001473F"/>
    <w:rsid w:val="00014A47"/>
    <w:rsid w:val="00014A9E"/>
    <w:rsid w:val="00017778"/>
    <w:rsid w:val="00020941"/>
    <w:rsid w:val="00021361"/>
    <w:rsid w:val="00022CF3"/>
    <w:rsid w:val="00023913"/>
    <w:rsid w:val="00023D43"/>
    <w:rsid w:val="00024002"/>
    <w:rsid w:val="00024DE7"/>
    <w:rsid w:val="000253A9"/>
    <w:rsid w:val="00026092"/>
    <w:rsid w:val="0002667F"/>
    <w:rsid w:val="00026C06"/>
    <w:rsid w:val="00030776"/>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1F89"/>
    <w:rsid w:val="00052234"/>
    <w:rsid w:val="00053D7C"/>
    <w:rsid w:val="000575C5"/>
    <w:rsid w:val="000577C9"/>
    <w:rsid w:val="00060C18"/>
    <w:rsid w:val="00060FFD"/>
    <w:rsid w:val="00061D69"/>
    <w:rsid w:val="0006431E"/>
    <w:rsid w:val="000652EA"/>
    <w:rsid w:val="00065E21"/>
    <w:rsid w:val="000673ED"/>
    <w:rsid w:val="00067854"/>
    <w:rsid w:val="00070DED"/>
    <w:rsid w:val="00071071"/>
    <w:rsid w:val="00072433"/>
    <w:rsid w:val="00072B3E"/>
    <w:rsid w:val="0007488B"/>
    <w:rsid w:val="00075702"/>
    <w:rsid w:val="00075A0C"/>
    <w:rsid w:val="000775C2"/>
    <w:rsid w:val="00077835"/>
    <w:rsid w:val="000801EF"/>
    <w:rsid w:val="000806AD"/>
    <w:rsid w:val="00080BDF"/>
    <w:rsid w:val="00080C57"/>
    <w:rsid w:val="00082482"/>
    <w:rsid w:val="00082CA0"/>
    <w:rsid w:val="00083F73"/>
    <w:rsid w:val="00084CF2"/>
    <w:rsid w:val="00085D7B"/>
    <w:rsid w:val="0008708B"/>
    <w:rsid w:val="000921DC"/>
    <w:rsid w:val="00092619"/>
    <w:rsid w:val="00092C66"/>
    <w:rsid w:val="00092CC9"/>
    <w:rsid w:val="000949DD"/>
    <w:rsid w:val="00094E4F"/>
    <w:rsid w:val="00097B9B"/>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B5E"/>
    <w:rsid w:val="000C2FA8"/>
    <w:rsid w:val="000C3AA1"/>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8E3"/>
    <w:rsid w:val="000D2CFD"/>
    <w:rsid w:val="000D35D8"/>
    <w:rsid w:val="000D43F9"/>
    <w:rsid w:val="000D4717"/>
    <w:rsid w:val="000D5DBE"/>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2F2B"/>
    <w:rsid w:val="000F427B"/>
    <w:rsid w:val="000F43D0"/>
    <w:rsid w:val="000F4F18"/>
    <w:rsid w:val="000F688E"/>
    <w:rsid w:val="000F7181"/>
    <w:rsid w:val="000F7581"/>
    <w:rsid w:val="000F7C8B"/>
    <w:rsid w:val="001007CE"/>
    <w:rsid w:val="001008C1"/>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EC5"/>
    <w:rsid w:val="001103CD"/>
    <w:rsid w:val="00111D3F"/>
    <w:rsid w:val="00113D2A"/>
    <w:rsid w:val="00114F20"/>
    <w:rsid w:val="0011590B"/>
    <w:rsid w:val="0011733D"/>
    <w:rsid w:val="00117F42"/>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AC7"/>
    <w:rsid w:val="00143B79"/>
    <w:rsid w:val="00145965"/>
    <w:rsid w:val="00150B8A"/>
    <w:rsid w:val="00150DCB"/>
    <w:rsid w:val="00151912"/>
    <w:rsid w:val="00152466"/>
    <w:rsid w:val="00153740"/>
    <w:rsid w:val="001537D8"/>
    <w:rsid w:val="00153D88"/>
    <w:rsid w:val="001541C5"/>
    <w:rsid w:val="001554E4"/>
    <w:rsid w:val="0015623F"/>
    <w:rsid w:val="00156585"/>
    <w:rsid w:val="00156BA9"/>
    <w:rsid w:val="00161642"/>
    <w:rsid w:val="00161761"/>
    <w:rsid w:val="00164413"/>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978A3"/>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56E"/>
    <w:rsid w:val="001B5B59"/>
    <w:rsid w:val="001B60E0"/>
    <w:rsid w:val="001B6235"/>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4989"/>
    <w:rsid w:val="001E635C"/>
    <w:rsid w:val="001E6774"/>
    <w:rsid w:val="001E6A77"/>
    <w:rsid w:val="001F0297"/>
    <w:rsid w:val="001F29F9"/>
    <w:rsid w:val="001F6E0B"/>
    <w:rsid w:val="00200AA0"/>
    <w:rsid w:val="00202325"/>
    <w:rsid w:val="00202459"/>
    <w:rsid w:val="00202736"/>
    <w:rsid w:val="00202D1C"/>
    <w:rsid w:val="00203652"/>
    <w:rsid w:val="00204562"/>
    <w:rsid w:val="00205B4F"/>
    <w:rsid w:val="002060B6"/>
    <w:rsid w:val="002066B5"/>
    <w:rsid w:val="00210EAC"/>
    <w:rsid w:val="00211612"/>
    <w:rsid w:val="002119B6"/>
    <w:rsid w:val="00212389"/>
    <w:rsid w:val="002129C1"/>
    <w:rsid w:val="00212B40"/>
    <w:rsid w:val="00213BD0"/>
    <w:rsid w:val="00214DBA"/>
    <w:rsid w:val="002151AB"/>
    <w:rsid w:val="0021548C"/>
    <w:rsid w:val="00215C4C"/>
    <w:rsid w:val="00215ED6"/>
    <w:rsid w:val="00216049"/>
    <w:rsid w:val="002163FA"/>
    <w:rsid w:val="00216C14"/>
    <w:rsid w:val="00217606"/>
    <w:rsid w:val="002178AE"/>
    <w:rsid w:val="00217C09"/>
    <w:rsid w:val="00220F5C"/>
    <w:rsid w:val="00220FA9"/>
    <w:rsid w:val="002216BF"/>
    <w:rsid w:val="00221B9B"/>
    <w:rsid w:val="00222268"/>
    <w:rsid w:val="00222F03"/>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1871"/>
    <w:rsid w:val="002722F2"/>
    <w:rsid w:val="00274549"/>
    <w:rsid w:val="00274E46"/>
    <w:rsid w:val="002752AE"/>
    <w:rsid w:val="00275AFD"/>
    <w:rsid w:val="002769AF"/>
    <w:rsid w:val="00276C86"/>
    <w:rsid w:val="00276FD0"/>
    <w:rsid w:val="00277217"/>
    <w:rsid w:val="002810A4"/>
    <w:rsid w:val="0028261C"/>
    <w:rsid w:val="00282DB6"/>
    <w:rsid w:val="002833E3"/>
    <w:rsid w:val="00284A26"/>
    <w:rsid w:val="00285095"/>
    <w:rsid w:val="00287006"/>
    <w:rsid w:val="00287122"/>
    <w:rsid w:val="0029030A"/>
    <w:rsid w:val="00292397"/>
    <w:rsid w:val="00292AB2"/>
    <w:rsid w:val="00292B82"/>
    <w:rsid w:val="00293DB6"/>
    <w:rsid w:val="00293FE8"/>
    <w:rsid w:val="00294437"/>
    <w:rsid w:val="00295929"/>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D7DF2"/>
    <w:rsid w:val="002E058C"/>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287E"/>
    <w:rsid w:val="002F2981"/>
    <w:rsid w:val="002F2D63"/>
    <w:rsid w:val="002F6AD8"/>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1C5"/>
    <w:rsid w:val="00347D0D"/>
    <w:rsid w:val="00351498"/>
    <w:rsid w:val="00352B22"/>
    <w:rsid w:val="00352CBF"/>
    <w:rsid w:val="00354547"/>
    <w:rsid w:val="003549F5"/>
    <w:rsid w:val="003554B7"/>
    <w:rsid w:val="00355ACB"/>
    <w:rsid w:val="003567DE"/>
    <w:rsid w:val="003574F3"/>
    <w:rsid w:val="00357831"/>
    <w:rsid w:val="003604A5"/>
    <w:rsid w:val="0036114B"/>
    <w:rsid w:val="003618B6"/>
    <w:rsid w:val="0036199A"/>
    <w:rsid w:val="00361FA5"/>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C0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589"/>
    <w:rsid w:val="003A6A99"/>
    <w:rsid w:val="003A6E60"/>
    <w:rsid w:val="003A6FCD"/>
    <w:rsid w:val="003A76AB"/>
    <w:rsid w:val="003A7FF8"/>
    <w:rsid w:val="003B17AC"/>
    <w:rsid w:val="003B2143"/>
    <w:rsid w:val="003B227A"/>
    <w:rsid w:val="003B2284"/>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71E"/>
    <w:rsid w:val="003D3C22"/>
    <w:rsid w:val="003D56A0"/>
    <w:rsid w:val="003D609F"/>
    <w:rsid w:val="003D69F5"/>
    <w:rsid w:val="003D7089"/>
    <w:rsid w:val="003D7DDB"/>
    <w:rsid w:val="003E024F"/>
    <w:rsid w:val="003E02C7"/>
    <w:rsid w:val="003E0543"/>
    <w:rsid w:val="003E061D"/>
    <w:rsid w:val="003E0B5A"/>
    <w:rsid w:val="003E1682"/>
    <w:rsid w:val="003E23A0"/>
    <w:rsid w:val="003E31E3"/>
    <w:rsid w:val="003E3E93"/>
    <w:rsid w:val="003E46D1"/>
    <w:rsid w:val="003E4FD7"/>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17F"/>
    <w:rsid w:val="004074A4"/>
    <w:rsid w:val="004101B2"/>
    <w:rsid w:val="004123D7"/>
    <w:rsid w:val="00412658"/>
    <w:rsid w:val="004129DA"/>
    <w:rsid w:val="00415EA4"/>
    <w:rsid w:val="0041604B"/>
    <w:rsid w:val="004172DB"/>
    <w:rsid w:val="004174F0"/>
    <w:rsid w:val="00417999"/>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694"/>
    <w:rsid w:val="00434860"/>
    <w:rsid w:val="00434BBD"/>
    <w:rsid w:val="0043503A"/>
    <w:rsid w:val="00435901"/>
    <w:rsid w:val="00437B8A"/>
    <w:rsid w:val="00437D18"/>
    <w:rsid w:val="00437D77"/>
    <w:rsid w:val="00440698"/>
    <w:rsid w:val="00441D99"/>
    <w:rsid w:val="004429D9"/>
    <w:rsid w:val="004435BE"/>
    <w:rsid w:val="0044384F"/>
    <w:rsid w:val="0044411E"/>
    <w:rsid w:val="00444472"/>
    <w:rsid w:val="00444B1A"/>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13A3"/>
    <w:rsid w:val="00462F68"/>
    <w:rsid w:val="00463478"/>
    <w:rsid w:val="0046369B"/>
    <w:rsid w:val="004640E9"/>
    <w:rsid w:val="004647EB"/>
    <w:rsid w:val="00466CED"/>
    <w:rsid w:val="00466EB5"/>
    <w:rsid w:val="00467592"/>
    <w:rsid w:val="00467690"/>
    <w:rsid w:val="00467A14"/>
    <w:rsid w:val="004718E7"/>
    <w:rsid w:val="00472289"/>
    <w:rsid w:val="00472535"/>
    <w:rsid w:val="004761CC"/>
    <w:rsid w:val="00476229"/>
    <w:rsid w:val="004766C9"/>
    <w:rsid w:val="00480D4A"/>
    <w:rsid w:val="00481DA1"/>
    <w:rsid w:val="00482B19"/>
    <w:rsid w:val="00483A2B"/>
    <w:rsid w:val="00484212"/>
    <w:rsid w:val="004848C3"/>
    <w:rsid w:val="00484BA9"/>
    <w:rsid w:val="0048599A"/>
    <w:rsid w:val="00486818"/>
    <w:rsid w:val="0049255F"/>
    <w:rsid w:val="00492B59"/>
    <w:rsid w:val="0049386F"/>
    <w:rsid w:val="0049445D"/>
    <w:rsid w:val="00494D39"/>
    <w:rsid w:val="00495350"/>
    <w:rsid w:val="00495AD7"/>
    <w:rsid w:val="00495E3C"/>
    <w:rsid w:val="00496041"/>
    <w:rsid w:val="00497156"/>
    <w:rsid w:val="004A0BFF"/>
    <w:rsid w:val="004A0C79"/>
    <w:rsid w:val="004A24D2"/>
    <w:rsid w:val="004A2728"/>
    <w:rsid w:val="004A3214"/>
    <w:rsid w:val="004A4136"/>
    <w:rsid w:val="004A417B"/>
    <w:rsid w:val="004A4378"/>
    <w:rsid w:val="004A712D"/>
    <w:rsid w:val="004A7C03"/>
    <w:rsid w:val="004B03F3"/>
    <w:rsid w:val="004B0CC9"/>
    <w:rsid w:val="004B1AE7"/>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55D3"/>
    <w:rsid w:val="004D5D82"/>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1A0"/>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220B"/>
    <w:rsid w:val="00512253"/>
    <w:rsid w:val="00512484"/>
    <w:rsid w:val="00514449"/>
    <w:rsid w:val="005144A7"/>
    <w:rsid w:val="00515419"/>
    <w:rsid w:val="005157BD"/>
    <w:rsid w:val="005214A3"/>
    <w:rsid w:val="005222E7"/>
    <w:rsid w:val="00523488"/>
    <w:rsid w:val="00523A8B"/>
    <w:rsid w:val="00523E04"/>
    <w:rsid w:val="00524D3A"/>
    <w:rsid w:val="00525003"/>
    <w:rsid w:val="0052590B"/>
    <w:rsid w:val="0052592B"/>
    <w:rsid w:val="0052650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0F12"/>
    <w:rsid w:val="0056170B"/>
    <w:rsid w:val="00562A94"/>
    <w:rsid w:val="00563FAD"/>
    <w:rsid w:val="00564509"/>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25C5"/>
    <w:rsid w:val="005B5B3D"/>
    <w:rsid w:val="005B5E8F"/>
    <w:rsid w:val="005B64CF"/>
    <w:rsid w:val="005B72DA"/>
    <w:rsid w:val="005C0E87"/>
    <w:rsid w:val="005C1398"/>
    <w:rsid w:val="005C16F3"/>
    <w:rsid w:val="005C3758"/>
    <w:rsid w:val="005C4D72"/>
    <w:rsid w:val="005C50C1"/>
    <w:rsid w:val="005C62C2"/>
    <w:rsid w:val="005C6CF2"/>
    <w:rsid w:val="005C7E8C"/>
    <w:rsid w:val="005D0ABC"/>
    <w:rsid w:val="005D2306"/>
    <w:rsid w:val="005D2562"/>
    <w:rsid w:val="005D2666"/>
    <w:rsid w:val="005D4548"/>
    <w:rsid w:val="005D4A74"/>
    <w:rsid w:val="005D519F"/>
    <w:rsid w:val="005D5E91"/>
    <w:rsid w:val="005D67EF"/>
    <w:rsid w:val="005E1416"/>
    <w:rsid w:val="005E224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4F57"/>
    <w:rsid w:val="005F5342"/>
    <w:rsid w:val="005F55F5"/>
    <w:rsid w:val="005F5EC1"/>
    <w:rsid w:val="005F67A9"/>
    <w:rsid w:val="005F6B6D"/>
    <w:rsid w:val="005F73CA"/>
    <w:rsid w:val="006002FE"/>
    <w:rsid w:val="006008F8"/>
    <w:rsid w:val="006030D3"/>
    <w:rsid w:val="006036C2"/>
    <w:rsid w:val="00605AAB"/>
    <w:rsid w:val="00606BEB"/>
    <w:rsid w:val="00607AC8"/>
    <w:rsid w:val="0061010C"/>
    <w:rsid w:val="0061014A"/>
    <w:rsid w:val="0061054B"/>
    <w:rsid w:val="006110FB"/>
    <w:rsid w:val="006114BB"/>
    <w:rsid w:val="00612FB0"/>
    <w:rsid w:val="0061356D"/>
    <w:rsid w:val="00613E26"/>
    <w:rsid w:val="00615641"/>
    <w:rsid w:val="00615A66"/>
    <w:rsid w:val="00616959"/>
    <w:rsid w:val="0062036E"/>
    <w:rsid w:val="006211D0"/>
    <w:rsid w:val="00621595"/>
    <w:rsid w:val="0062359D"/>
    <w:rsid w:val="006235F5"/>
    <w:rsid w:val="00623634"/>
    <w:rsid w:val="00624740"/>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708E3"/>
    <w:rsid w:val="00670DDC"/>
    <w:rsid w:val="00671389"/>
    <w:rsid w:val="00671EB4"/>
    <w:rsid w:val="00673CDC"/>
    <w:rsid w:val="0067443B"/>
    <w:rsid w:val="006770AA"/>
    <w:rsid w:val="00680450"/>
    <w:rsid w:val="0068098E"/>
    <w:rsid w:val="006810BD"/>
    <w:rsid w:val="00682486"/>
    <w:rsid w:val="006833A7"/>
    <w:rsid w:val="00684CE6"/>
    <w:rsid w:val="00684E2B"/>
    <w:rsid w:val="006857A0"/>
    <w:rsid w:val="006870CE"/>
    <w:rsid w:val="00687C7E"/>
    <w:rsid w:val="00687D3D"/>
    <w:rsid w:val="00690569"/>
    <w:rsid w:val="00690FDA"/>
    <w:rsid w:val="00691E61"/>
    <w:rsid w:val="00692180"/>
    <w:rsid w:val="006937C6"/>
    <w:rsid w:val="00693C1B"/>
    <w:rsid w:val="00693C5E"/>
    <w:rsid w:val="00693CEE"/>
    <w:rsid w:val="00694EEA"/>
    <w:rsid w:val="006955B4"/>
    <w:rsid w:val="00695DEF"/>
    <w:rsid w:val="00696476"/>
    <w:rsid w:val="006965DA"/>
    <w:rsid w:val="0069687C"/>
    <w:rsid w:val="00696C74"/>
    <w:rsid w:val="00697C9B"/>
    <w:rsid w:val="006A10FA"/>
    <w:rsid w:val="006A12E0"/>
    <w:rsid w:val="006A3D6C"/>
    <w:rsid w:val="006A40E6"/>
    <w:rsid w:val="006A516B"/>
    <w:rsid w:val="006A5362"/>
    <w:rsid w:val="006A543A"/>
    <w:rsid w:val="006A5C07"/>
    <w:rsid w:val="006A714F"/>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CE3"/>
    <w:rsid w:val="006D7854"/>
    <w:rsid w:val="006E06D1"/>
    <w:rsid w:val="006E122E"/>
    <w:rsid w:val="006E1313"/>
    <w:rsid w:val="006E154E"/>
    <w:rsid w:val="006E2DC8"/>
    <w:rsid w:val="006E58CB"/>
    <w:rsid w:val="006E6B68"/>
    <w:rsid w:val="006E7356"/>
    <w:rsid w:val="006E77C8"/>
    <w:rsid w:val="006F0F9C"/>
    <w:rsid w:val="006F149D"/>
    <w:rsid w:val="006F1A46"/>
    <w:rsid w:val="006F407D"/>
    <w:rsid w:val="006F45A0"/>
    <w:rsid w:val="006F4F06"/>
    <w:rsid w:val="006F5A4E"/>
    <w:rsid w:val="006F5D37"/>
    <w:rsid w:val="006F6005"/>
    <w:rsid w:val="007005EA"/>
    <w:rsid w:val="00701B19"/>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90"/>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3271"/>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7BD"/>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0DCC"/>
    <w:rsid w:val="00841243"/>
    <w:rsid w:val="00841457"/>
    <w:rsid w:val="0084297D"/>
    <w:rsid w:val="00842BAA"/>
    <w:rsid w:val="00842D8F"/>
    <w:rsid w:val="0084374E"/>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6428"/>
    <w:rsid w:val="00856AC7"/>
    <w:rsid w:val="00856FA4"/>
    <w:rsid w:val="00857B4F"/>
    <w:rsid w:val="00860869"/>
    <w:rsid w:val="00860E60"/>
    <w:rsid w:val="0086102A"/>
    <w:rsid w:val="0086162B"/>
    <w:rsid w:val="00861710"/>
    <w:rsid w:val="00861D5C"/>
    <w:rsid w:val="00861E7C"/>
    <w:rsid w:val="008626C2"/>
    <w:rsid w:val="0086429C"/>
    <w:rsid w:val="00865207"/>
    <w:rsid w:val="008656A7"/>
    <w:rsid w:val="00865FA3"/>
    <w:rsid w:val="008660EA"/>
    <w:rsid w:val="00866231"/>
    <w:rsid w:val="00871262"/>
    <w:rsid w:val="0087170E"/>
    <w:rsid w:val="00871D4E"/>
    <w:rsid w:val="00871E7B"/>
    <w:rsid w:val="008721BB"/>
    <w:rsid w:val="008734E7"/>
    <w:rsid w:val="0087566D"/>
    <w:rsid w:val="00875B50"/>
    <w:rsid w:val="00875B51"/>
    <w:rsid w:val="00875F2D"/>
    <w:rsid w:val="008762E7"/>
    <w:rsid w:val="008764DC"/>
    <w:rsid w:val="00880476"/>
    <w:rsid w:val="00881C17"/>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83D"/>
    <w:rsid w:val="00905EEF"/>
    <w:rsid w:val="00906EB7"/>
    <w:rsid w:val="0090720E"/>
    <w:rsid w:val="00907FE6"/>
    <w:rsid w:val="009102BF"/>
    <w:rsid w:val="00911490"/>
    <w:rsid w:val="009115F2"/>
    <w:rsid w:val="00911B11"/>
    <w:rsid w:val="00914ADB"/>
    <w:rsid w:val="00915196"/>
    <w:rsid w:val="00917182"/>
    <w:rsid w:val="00920251"/>
    <w:rsid w:val="00920259"/>
    <w:rsid w:val="00921CFD"/>
    <w:rsid w:val="009225A9"/>
    <w:rsid w:val="009228D1"/>
    <w:rsid w:val="00923B25"/>
    <w:rsid w:val="0092402E"/>
    <w:rsid w:val="009254C3"/>
    <w:rsid w:val="009259BA"/>
    <w:rsid w:val="00926C0A"/>
    <w:rsid w:val="00926FCB"/>
    <w:rsid w:val="009303BB"/>
    <w:rsid w:val="0093108A"/>
    <w:rsid w:val="009319EF"/>
    <w:rsid w:val="00931B6D"/>
    <w:rsid w:val="0093311A"/>
    <w:rsid w:val="00933D71"/>
    <w:rsid w:val="009346D0"/>
    <w:rsid w:val="009369A6"/>
    <w:rsid w:val="00936E38"/>
    <w:rsid w:val="0093711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0F"/>
    <w:rsid w:val="00955E45"/>
    <w:rsid w:val="009576BC"/>
    <w:rsid w:val="00957899"/>
    <w:rsid w:val="00957927"/>
    <w:rsid w:val="00960357"/>
    <w:rsid w:val="0096091B"/>
    <w:rsid w:val="0096168C"/>
    <w:rsid w:val="00961840"/>
    <w:rsid w:val="009625E3"/>
    <w:rsid w:val="00962F2D"/>
    <w:rsid w:val="00963A7A"/>
    <w:rsid w:val="009672CD"/>
    <w:rsid w:val="0096797E"/>
    <w:rsid w:val="00971810"/>
    <w:rsid w:val="00972996"/>
    <w:rsid w:val="009730B4"/>
    <w:rsid w:val="0097320E"/>
    <w:rsid w:val="009732B8"/>
    <w:rsid w:val="0097438A"/>
    <w:rsid w:val="00974647"/>
    <w:rsid w:val="0097514A"/>
    <w:rsid w:val="00975746"/>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8733B"/>
    <w:rsid w:val="00990FD6"/>
    <w:rsid w:val="009935C3"/>
    <w:rsid w:val="0099421F"/>
    <w:rsid w:val="00994D33"/>
    <w:rsid w:val="00994FC8"/>
    <w:rsid w:val="009A0346"/>
    <w:rsid w:val="009A0DE3"/>
    <w:rsid w:val="009A1643"/>
    <w:rsid w:val="009A215A"/>
    <w:rsid w:val="009A26B9"/>
    <w:rsid w:val="009A49D3"/>
    <w:rsid w:val="009A4F1B"/>
    <w:rsid w:val="009A55E4"/>
    <w:rsid w:val="009A66C5"/>
    <w:rsid w:val="009A66E7"/>
    <w:rsid w:val="009A7578"/>
    <w:rsid w:val="009A79BA"/>
    <w:rsid w:val="009B10F9"/>
    <w:rsid w:val="009B14D1"/>
    <w:rsid w:val="009B1534"/>
    <w:rsid w:val="009B4963"/>
    <w:rsid w:val="009B4A3B"/>
    <w:rsid w:val="009B557B"/>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97C"/>
    <w:rsid w:val="009D3652"/>
    <w:rsid w:val="009D37CA"/>
    <w:rsid w:val="009D4229"/>
    <w:rsid w:val="009D4268"/>
    <w:rsid w:val="009D5DE9"/>
    <w:rsid w:val="009E09D0"/>
    <w:rsid w:val="009E1181"/>
    <w:rsid w:val="009E1283"/>
    <w:rsid w:val="009E3A7F"/>
    <w:rsid w:val="009E4C9B"/>
    <w:rsid w:val="009E4CDE"/>
    <w:rsid w:val="009E4DFC"/>
    <w:rsid w:val="009E5789"/>
    <w:rsid w:val="009E57B1"/>
    <w:rsid w:val="009E6379"/>
    <w:rsid w:val="009F020F"/>
    <w:rsid w:val="009F3B63"/>
    <w:rsid w:val="009F43E2"/>
    <w:rsid w:val="009F491F"/>
    <w:rsid w:val="009F57A7"/>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1EA"/>
    <w:rsid w:val="00A31FE2"/>
    <w:rsid w:val="00A32743"/>
    <w:rsid w:val="00A358BA"/>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25DD"/>
    <w:rsid w:val="00AC37BE"/>
    <w:rsid w:val="00AC439D"/>
    <w:rsid w:val="00AC4BA1"/>
    <w:rsid w:val="00AC62CC"/>
    <w:rsid w:val="00AC64D6"/>
    <w:rsid w:val="00AC712C"/>
    <w:rsid w:val="00AC713F"/>
    <w:rsid w:val="00AC7329"/>
    <w:rsid w:val="00AC7D96"/>
    <w:rsid w:val="00AD00E4"/>
    <w:rsid w:val="00AD067E"/>
    <w:rsid w:val="00AD168B"/>
    <w:rsid w:val="00AD1B4E"/>
    <w:rsid w:val="00AD1CCE"/>
    <w:rsid w:val="00AD2379"/>
    <w:rsid w:val="00AD2801"/>
    <w:rsid w:val="00AD3496"/>
    <w:rsid w:val="00AD426A"/>
    <w:rsid w:val="00AD49A1"/>
    <w:rsid w:val="00AD5771"/>
    <w:rsid w:val="00AD6870"/>
    <w:rsid w:val="00AD68C5"/>
    <w:rsid w:val="00AD6CA3"/>
    <w:rsid w:val="00AD7F8F"/>
    <w:rsid w:val="00AE0BF9"/>
    <w:rsid w:val="00AE1273"/>
    <w:rsid w:val="00AE18C5"/>
    <w:rsid w:val="00AE2540"/>
    <w:rsid w:val="00AE2CF4"/>
    <w:rsid w:val="00AE2D29"/>
    <w:rsid w:val="00AE2F15"/>
    <w:rsid w:val="00AE4624"/>
    <w:rsid w:val="00AE4B1D"/>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097D"/>
    <w:rsid w:val="00B02145"/>
    <w:rsid w:val="00B022DC"/>
    <w:rsid w:val="00B04562"/>
    <w:rsid w:val="00B0472F"/>
    <w:rsid w:val="00B06930"/>
    <w:rsid w:val="00B0773A"/>
    <w:rsid w:val="00B07955"/>
    <w:rsid w:val="00B1176B"/>
    <w:rsid w:val="00B11858"/>
    <w:rsid w:val="00B13A39"/>
    <w:rsid w:val="00B13A51"/>
    <w:rsid w:val="00B140B8"/>
    <w:rsid w:val="00B144AE"/>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1F5"/>
    <w:rsid w:val="00B50227"/>
    <w:rsid w:val="00B50510"/>
    <w:rsid w:val="00B505E9"/>
    <w:rsid w:val="00B506ED"/>
    <w:rsid w:val="00B522CD"/>
    <w:rsid w:val="00B55143"/>
    <w:rsid w:val="00B553B2"/>
    <w:rsid w:val="00B555C8"/>
    <w:rsid w:val="00B55917"/>
    <w:rsid w:val="00B55D87"/>
    <w:rsid w:val="00B55FB5"/>
    <w:rsid w:val="00B5646A"/>
    <w:rsid w:val="00B56F3D"/>
    <w:rsid w:val="00B57921"/>
    <w:rsid w:val="00B57E78"/>
    <w:rsid w:val="00B57EB8"/>
    <w:rsid w:val="00B609F6"/>
    <w:rsid w:val="00B60E75"/>
    <w:rsid w:val="00B63EAE"/>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51E"/>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5F68"/>
    <w:rsid w:val="00BB6064"/>
    <w:rsid w:val="00BB65CE"/>
    <w:rsid w:val="00BB7012"/>
    <w:rsid w:val="00BC09D1"/>
    <w:rsid w:val="00BC10C6"/>
    <w:rsid w:val="00BC1CF3"/>
    <w:rsid w:val="00BC2BE0"/>
    <w:rsid w:val="00BC3573"/>
    <w:rsid w:val="00BC3797"/>
    <w:rsid w:val="00BC5860"/>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1CDE"/>
    <w:rsid w:val="00BE229C"/>
    <w:rsid w:val="00BE23AB"/>
    <w:rsid w:val="00BE2AB8"/>
    <w:rsid w:val="00BE2FC1"/>
    <w:rsid w:val="00BE3142"/>
    <w:rsid w:val="00BE37AA"/>
    <w:rsid w:val="00BE4039"/>
    <w:rsid w:val="00BE6365"/>
    <w:rsid w:val="00BF01B7"/>
    <w:rsid w:val="00BF0B7F"/>
    <w:rsid w:val="00BF0E94"/>
    <w:rsid w:val="00BF2988"/>
    <w:rsid w:val="00BF3FB9"/>
    <w:rsid w:val="00BF4012"/>
    <w:rsid w:val="00BF4225"/>
    <w:rsid w:val="00BF4720"/>
    <w:rsid w:val="00BF4F49"/>
    <w:rsid w:val="00BF5EE2"/>
    <w:rsid w:val="00BF6759"/>
    <w:rsid w:val="00BF70A6"/>
    <w:rsid w:val="00BF7B4F"/>
    <w:rsid w:val="00BF7B63"/>
    <w:rsid w:val="00BF7F3C"/>
    <w:rsid w:val="00C005D4"/>
    <w:rsid w:val="00C00671"/>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35"/>
    <w:rsid w:val="00C157AA"/>
    <w:rsid w:val="00C162E1"/>
    <w:rsid w:val="00C16BE4"/>
    <w:rsid w:val="00C16E9F"/>
    <w:rsid w:val="00C1713D"/>
    <w:rsid w:val="00C17523"/>
    <w:rsid w:val="00C177F1"/>
    <w:rsid w:val="00C17EE6"/>
    <w:rsid w:val="00C217F7"/>
    <w:rsid w:val="00C2272E"/>
    <w:rsid w:val="00C22915"/>
    <w:rsid w:val="00C22F3A"/>
    <w:rsid w:val="00C23311"/>
    <w:rsid w:val="00C24AD9"/>
    <w:rsid w:val="00C2530D"/>
    <w:rsid w:val="00C25978"/>
    <w:rsid w:val="00C261C6"/>
    <w:rsid w:val="00C26621"/>
    <w:rsid w:val="00C26B27"/>
    <w:rsid w:val="00C26E7C"/>
    <w:rsid w:val="00C276CD"/>
    <w:rsid w:val="00C27827"/>
    <w:rsid w:val="00C30A97"/>
    <w:rsid w:val="00C31DDC"/>
    <w:rsid w:val="00C31E80"/>
    <w:rsid w:val="00C321AE"/>
    <w:rsid w:val="00C3223A"/>
    <w:rsid w:val="00C34168"/>
    <w:rsid w:val="00C34247"/>
    <w:rsid w:val="00C34326"/>
    <w:rsid w:val="00C34CEB"/>
    <w:rsid w:val="00C35823"/>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4474"/>
    <w:rsid w:val="00CC4CB7"/>
    <w:rsid w:val="00CC55D6"/>
    <w:rsid w:val="00CC59B4"/>
    <w:rsid w:val="00CC69EC"/>
    <w:rsid w:val="00CC78A2"/>
    <w:rsid w:val="00CC7C3A"/>
    <w:rsid w:val="00CC7DF8"/>
    <w:rsid w:val="00CD15BE"/>
    <w:rsid w:val="00CD1EF2"/>
    <w:rsid w:val="00CD2165"/>
    <w:rsid w:val="00CD32BD"/>
    <w:rsid w:val="00CD34C7"/>
    <w:rsid w:val="00CD5653"/>
    <w:rsid w:val="00CD5E6D"/>
    <w:rsid w:val="00CD63C8"/>
    <w:rsid w:val="00CD76F8"/>
    <w:rsid w:val="00CD78A5"/>
    <w:rsid w:val="00CE02E8"/>
    <w:rsid w:val="00CE069E"/>
    <w:rsid w:val="00CE0DE0"/>
    <w:rsid w:val="00CE2414"/>
    <w:rsid w:val="00CE2B1F"/>
    <w:rsid w:val="00CE2CC2"/>
    <w:rsid w:val="00CE3722"/>
    <w:rsid w:val="00CF0280"/>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1A0"/>
    <w:rsid w:val="00D14BAE"/>
    <w:rsid w:val="00D15107"/>
    <w:rsid w:val="00D1648B"/>
    <w:rsid w:val="00D16819"/>
    <w:rsid w:val="00D17DD9"/>
    <w:rsid w:val="00D20AC0"/>
    <w:rsid w:val="00D229E7"/>
    <w:rsid w:val="00D2321B"/>
    <w:rsid w:val="00D23350"/>
    <w:rsid w:val="00D237E7"/>
    <w:rsid w:val="00D23DE4"/>
    <w:rsid w:val="00D25A5C"/>
    <w:rsid w:val="00D2615F"/>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501"/>
    <w:rsid w:val="00D449F0"/>
    <w:rsid w:val="00D45319"/>
    <w:rsid w:val="00D462D7"/>
    <w:rsid w:val="00D46A33"/>
    <w:rsid w:val="00D5062C"/>
    <w:rsid w:val="00D50C8C"/>
    <w:rsid w:val="00D52097"/>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7D2"/>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2FF"/>
    <w:rsid w:val="00D8545C"/>
    <w:rsid w:val="00D86AB5"/>
    <w:rsid w:val="00D86E57"/>
    <w:rsid w:val="00D876AD"/>
    <w:rsid w:val="00D87788"/>
    <w:rsid w:val="00D877C8"/>
    <w:rsid w:val="00D91040"/>
    <w:rsid w:val="00D910C2"/>
    <w:rsid w:val="00D9168C"/>
    <w:rsid w:val="00D9189B"/>
    <w:rsid w:val="00D91D6B"/>
    <w:rsid w:val="00D91DA6"/>
    <w:rsid w:val="00D921A0"/>
    <w:rsid w:val="00D93A41"/>
    <w:rsid w:val="00D93B9A"/>
    <w:rsid w:val="00D94F76"/>
    <w:rsid w:val="00D95984"/>
    <w:rsid w:val="00D95C64"/>
    <w:rsid w:val="00D9706F"/>
    <w:rsid w:val="00D972D4"/>
    <w:rsid w:val="00DA0EE2"/>
    <w:rsid w:val="00DA0FE3"/>
    <w:rsid w:val="00DA195B"/>
    <w:rsid w:val="00DA27F3"/>
    <w:rsid w:val="00DA2D1E"/>
    <w:rsid w:val="00DA3EC8"/>
    <w:rsid w:val="00DA40C1"/>
    <w:rsid w:val="00DA4269"/>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B7AE3"/>
    <w:rsid w:val="00DC07B7"/>
    <w:rsid w:val="00DC0BF1"/>
    <w:rsid w:val="00DC11B7"/>
    <w:rsid w:val="00DC11CE"/>
    <w:rsid w:val="00DC1607"/>
    <w:rsid w:val="00DC17F2"/>
    <w:rsid w:val="00DC4001"/>
    <w:rsid w:val="00DC41C3"/>
    <w:rsid w:val="00DC4A3C"/>
    <w:rsid w:val="00DC4FA4"/>
    <w:rsid w:val="00DC5028"/>
    <w:rsid w:val="00DC5B37"/>
    <w:rsid w:val="00DD286D"/>
    <w:rsid w:val="00DD2CAF"/>
    <w:rsid w:val="00DD3593"/>
    <w:rsid w:val="00DD462A"/>
    <w:rsid w:val="00DD64E0"/>
    <w:rsid w:val="00DD775C"/>
    <w:rsid w:val="00DD7BE0"/>
    <w:rsid w:val="00DE0C67"/>
    <w:rsid w:val="00DE24C0"/>
    <w:rsid w:val="00DE2E44"/>
    <w:rsid w:val="00DE3555"/>
    <w:rsid w:val="00DE3AAD"/>
    <w:rsid w:val="00DE598A"/>
    <w:rsid w:val="00DE5A80"/>
    <w:rsid w:val="00DE6952"/>
    <w:rsid w:val="00DE6FBE"/>
    <w:rsid w:val="00DE7A7D"/>
    <w:rsid w:val="00DE7E74"/>
    <w:rsid w:val="00DF071B"/>
    <w:rsid w:val="00DF50BF"/>
    <w:rsid w:val="00DF5C84"/>
    <w:rsid w:val="00DF5D3A"/>
    <w:rsid w:val="00DF5EC0"/>
    <w:rsid w:val="00DF6716"/>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64F0"/>
    <w:rsid w:val="00E46EF3"/>
    <w:rsid w:val="00E47370"/>
    <w:rsid w:val="00E473E9"/>
    <w:rsid w:val="00E47B47"/>
    <w:rsid w:val="00E50BEB"/>
    <w:rsid w:val="00E523FB"/>
    <w:rsid w:val="00E53460"/>
    <w:rsid w:val="00E54846"/>
    <w:rsid w:val="00E548FA"/>
    <w:rsid w:val="00E556A5"/>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049"/>
    <w:rsid w:val="00E74437"/>
    <w:rsid w:val="00E7443D"/>
    <w:rsid w:val="00E75ACE"/>
    <w:rsid w:val="00E771AF"/>
    <w:rsid w:val="00E80386"/>
    <w:rsid w:val="00E809C3"/>
    <w:rsid w:val="00E814D4"/>
    <w:rsid w:val="00E814DB"/>
    <w:rsid w:val="00E81A1A"/>
    <w:rsid w:val="00E81C3E"/>
    <w:rsid w:val="00E82359"/>
    <w:rsid w:val="00E82B6D"/>
    <w:rsid w:val="00E83187"/>
    <w:rsid w:val="00E831E9"/>
    <w:rsid w:val="00E84DDA"/>
    <w:rsid w:val="00E8608F"/>
    <w:rsid w:val="00E86C1D"/>
    <w:rsid w:val="00E90703"/>
    <w:rsid w:val="00E90A62"/>
    <w:rsid w:val="00E91CB8"/>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7E8"/>
    <w:rsid w:val="00EB3823"/>
    <w:rsid w:val="00EB3CBB"/>
    <w:rsid w:val="00EB47D8"/>
    <w:rsid w:val="00EB57D3"/>
    <w:rsid w:val="00EB5B19"/>
    <w:rsid w:val="00EB5EFD"/>
    <w:rsid w:val="00EB679F"/>
    <w:rsid w:val="00EB76E4"/>
    <w:rsid w:val="00EC0E65"/>
    <w:rsid w:val="00EC1251"/>
    <w:rsid w:val="00EC2938"/>
    <w:rsid w:val="00EC337D"/>
    <w:rsid w:val="00EC38EF"/>
    <w:rsid w:val="00EC50C9"/>
    <w:rsid w:val="00EC58B4"/>
    <w:rsid w:val="00EC5BB2"/>
    <w:rsid w:val="00EC75AF"/>
    <w:rsid w:val="00ED05B1"/>
    <w:rsid w:val="00ED0BCD"/>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3E2"/>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638"/>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2DEB"/>
    <w:rsid w:val="00F75C12"/>
    <w:rsid w:val="00F764AF"/>
    <w:rsid w:val="00F76D01"/>
    <w:rsid w:val="00F80B43"/>
    <w:rsid w:val="00F80C97"/>
    <w:rsid w:val="00F81B13"/>
    <w:rsid w:val="00F81C35"/>
    <w:rsid w:val="00F82981"/>
    <w:rsid w:val="00F8311F"/>
    <w:rsid w:val="00F83248"/>
    <w:rsid w:val="00F83376"/>
    <w:rsid w:val="00F853AE"/>
    <w:rsid w:val="00F908D5"/>
    <w:rsid w:val="00F912A0"/>
    <w:rsid w:val="00F913B9"/>
    <w:rsid w:val="00F93C74"/>
    <w:rsid w:val="00F93DCC"/>
    <w:rsid w:val="00F9435D"/>
    <w:rsid w:val="00F966F9"/>
    <w:rsid w:val="00F96F61"/>
    <w:rsid w:val="00F9751B"/>
    <w:rsid w:val="00F97740"/>
    <w:rsid w:val="00FA0C8F"/>
    <w:rsid w:val="00FA24F2"/>
    <w:rsid w:val="00FA2B96"/>
    <w:rsid w:val="00FA2DEF"/>
    <w:rsid w:val="00FA2F7B"/>
    <w:rsid w:val="00FA36CC"/>
    <w:rsid w:val="00FA3C90"/>
    <w:rsid w:val="00FA3C97"/>
    <w:rsid w:val="00FA3D30"/>
    <w:rsid w:val="00FA4B49"/>
    <w:rsid w:val="00FA54F8"/>
    <w:rsid w:val="00FA63AB"/>
    <w:rsid w:val="00FA6CA9"/>
    <w:rsid w:val="00FA78C8"/>
    <w:rsid w:val="00FA7A2F"/>
    <w:rsid w:val="00FB00AD"/>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228"/>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8"/>
    <w:rsid w:val="00FD6C2D"/>
    <w:rsid w:val="00FD7B23"/>
    <w:rsid w:val="00FE1A5F"/>
    <w:rsid w:val="00FE2A48"/>
    <w:rsid w:val="00FE2DEF"/>
    <w:rsid w:val="00FE323C"/>
    <w:rsid w:val="00FE3A27"/>
    <w:rsid w:val="00FE48A6"/>
    <w:rsid w:val="00FE5D0A"/>
    <w:rsid w:val="00FE6469"/>
    <w:rsid w:val="00FE7C22"/>
    <w:rsid w:val="00FE7C6D"/>
    <w:rsid w:val="00FE7EB9"/>
    <w:rsid w:val="00FF05D0"/>
    <w:rsid w:val="00FF06CE"/>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152075">
      <w:bodyDiv w:val="1"/>
      <w:marLeft w:val="0"/>
      <w:marRight w:val="0"/>
      <w:marTop w:val="0"/>
      <w:marBottom w:val="0"/>
      <w:divBdr>
        <w:top w:val="none" w:sz="0" w:space="0" w:color="auto"/>
        <w:left w:val="none" w:sz="0" w:space="0" w:color="auto"/>
        <w:bottom w:val="none" w:sz="0" w:space="0" w:color="auto"/>
        <w:right w:val="none" w:sz="0" w:space="0" w:color="auto"/>
      </w:divBdr>
    </w:div>
    <w:div w:id="95860881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2012-07-24T14:54:00Z</cp:lastPrinted>
  <dcterms:created xsi:type="dcterms:W3CDTF">2012-08-06T15:00:00Z</dcterms:created>
  <dcterms:modified xsi:type="dcterms:W3CDTF">2012-08-06T15:00:00Z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