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34" w:rsidRPr="001F29F9" w:rsidRDefault="00304134" w:rsidP="00BF0E94">
      <w:pPr>
        <w:tabs>
          <w:tab w:val="left" w:pos="288"/>
          <w:tab w:val="left" w:pos="4752"/>
        </w:tabs>
        <w:rPr>
          <w:color w:val="000000"/>
        </w:rPr>
      </w:pPr>
      <w:r w:rsidRPr="001F29F9">
        <w:rPr>
          <w:color w:val="000000"/>
        </w:rPr>
        <w:t>RECORD OF PROCEEDINGS</w:t>
      </w:r>
    </w:p>
    <w:p w:rsidR="00304134" w:rsidRPr="001F29F9" w:rsidRDefault="00304134" w:rsidP="00BF0E94">
      <w:pPr>
        <w:tabs>
          <w:tab w:val="left" w:pos="288"/>
          <w:tab w:val="left" w:pos="4752"/>
        </w:tabs>
        <w:rPr>
          <w:color w:val="000000"/>
        </w:rPr>
      </w:pPr>
      <w:r w:rsidRPr="001F29F9">
        <w:rPr>
          <w:color w:val="000000"/>
        </w:rPr>
        <w:t>PHYSICAL DISABILITY BOARD OF REVIEW</w:t>
      </w:r>
    </w:p>
    <w:p w:rsidR="00304134" w:rsidRPr="001F29F9" w:rsidRDefault="00304134" w:rsidP="00BF0E94">
      <w:pPr>
        <w:tabs>
          <w:tab w:val="left" w:pos="288"/>
          <w:tab w:val="left" w:pos="4752"/>
        </w:tabs>
        <w:jc w:val="both"/>
        <w:rPr>
          <w:caps/>
          <w:color w:val="000000"/>
        </w:rPr>
      </w:pPr>
    </w:p>
    <w:p w:rsidR="00304134" w:rsidRPr="001F29F9" w:rsidRDefault="00304134" w:rsidP="00C01210">
      <w:pPr>
        <w:tabs>
          <w:tab w:val="left" w:pos="288"/>
          <w:tab w:val="left" w:pos="6300"/>
          <w:tab w:val="left" w:pos="9270"/>
        </w:tabs>
        <w:jc w:val="both"/>
        <w:rPr>
          <w:caps/>
          <w:color w:val="000000"/>
        </w:rPr>
      </w:pPr>
      <w:r w:rsidRPr="001F29F9">
        <w:rPr>
          <w:caps/>
          <w:color w:val="000000"/>
        </w:rPr>
        <w:t xml:space="preserve">NAME:  </w:t>
      </w:r>
      <w:r w:rsidR="00B3548F">
        <w:rPr>
          <w:caps/>
          <w:color w:val="000000"/>
        </w:rPr>
        <w:t xml:space="preserve"> </w:t>
      </w:r>
      <w:r w:rsidR="00C01210">
        <w:rPr>
          <w:caps/>
          <w:color w:val="000000"/>
        </w:rPr>
        <w:tab/>
      </w:r>
      <w:r w:rsidRPr="001F29F9">
        <w:rPr>
          <w:caps/>
          <w:color w:val="000000"/>
        </w:rPr>
        <w:t xml:space="preserve">BRANCH OF SERVICE: </w:t>
      </w:r>
      <w:r w:rsidRPr="00726F84">
        <w:rPr>
          <w:caps/>
          <w:color w:val="000000"/>
        </w:rPr>
        <w:t xml:space="preserve">Army </w:t>
      </w:r>
    </w:p>
    <w:p w:rsidR="00304134" w:rsidRPr="001F29F9" w:rsidRDefault="00304134" w:rsidP="00C01210">
      <w:pPr>
        <w:tabs>
          <w:tab w:val="left" w:pos="288"/>
          <w:tab w:val="left" w:pos="6300"/>
          <w:tab w:val="left" w:pos="9270"/>
        </w:tabs>
        <w:jc w:val="both"/>
        <w:rPr>
          <w:caps/>
          <w:color w:val="000000"/>
        </w:rPr>
      </w:pPr>
      <w:r w:rsidRPr="001F29F9">
        <w:rPr>
          <w:caps/>
          <w:color w:val="000000"/>
        </w:rPr>
        <w:t>CASE NUMBER:  PD1100542</w:t>
      </w:r>
      <w:r w:rsidRPr="001F29F9">
        <w:rPr>
          <w:color w:val="000000"/>
        </w:rPr>
        <w:t xml:space="preserve"> </w:t>
      </w:r>
      <w:r w:rsidR="00C01210">
        <w:rPr>
          <w:color w:val="000000"/>
        </w:rPr>
        <w:tab/>
      </w:r>
      <w:r w:rsidRPr="001F29F9">
        <w:rPr>
          <w:color w:val="000000"/>
        </w:rPr>
        <w:t>SEPARATION DATE:  20060112</w:t>
      </w:r>
    </w:p>
    <w:p w:rsidR="00304134" w:rsidRPr="001F29F9" w:rsidRDefault="001E7DBD" w:rsidP="00642C98">
      <w:pPr>
        <w:tabs>
          <w:tab w:val="left" w:pos="288"/>
          <w:tab w:val="left" w:pos="5130"/>
        </w:tabs>
        <w:jc w:val="left"/>
        <w:rPr>
          <w:color w:val="000000"/>
        </w:rPr>
      </w:pPr>
      <w:r>
        <w:rPr>
          <w:caps/>
          <w:color w:val="000000"/>
        </w:rPr>
        <w:t>BOARD DATE:  2012</w:t>
      </w:r>
      <w:r w:rsidR="00245969">
        <w:rPr>
          <w:caps/>
          <w:color w:val="000000"/>
        </w:rPr>
        <w:t>0221</w:t>
      </w:r>
      <w:r w:rsidR="00304134" w:rsidRPr="001F29F9">
        <w:rPr>
          <w:caps/>
          <w:color w:val="000000"/>
        </w:rPr>
        <w:t xml:space="preserve">         </w:t>
      </w:r>
    </w:p>
    <w:p w:rsidR="00304134" w:rsidRPr="001F29F9" w:rsidRDefault="00304134" w:rsidP="003C53E8">
      <w:pPr>
        <w:pBdr>
          <w:bottom w:val="single" w:sz="12" w:space="1" w:color="auto"/>
        </w:pBdr>
        <w:tabs>
          <w:tab w:val="left" w:pos="288"/>
          <w:tab w:val="left" w:pos="4752"/>
        </w:tabs>
        <w:jc w:val="both"/>
        <w:rPr>
          <w:color w:val="000000"/>
        </w:rPr>
      </w:pPr>
    </w:p>
    <w:p w:rsidR="00304134" w:rsidRPr="001F29F9" w:rsidRDefault="00304134" w:rsidP="00BF0E94">
      <w:pPr>
        <w:tabs>
          <w:tab w:val="left" w:pos="288"/>
          <w:tab w:val="left" w:pos="4752"/>
        </w:tabs>
        <w:jc w:val="both"/>
        <w:rPr>
          <w:color w:val="000000"/>
        </w:rPr>
      </w:pPr>
    </w:p>
    <w:p w:rsidR="00304134" w:rsidRPr="001F29F9" w:rsidRDefault="00304134"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an active duty, SGT/E-5 (92Y, Supply), medically separated for chronic left knee pain </w:t>
      </w:r>
      <w:r w:rsidR="00C01210">
        <w:rPr>
          <w:color w:val="000000"/>
        </w:rPr>
        <w:t>following an</w:t>
      </w:r>
      <w:r w:rsidRPr="001F29F9">
        <w:rPr>
          <w:color w:val="000000"/>
        </w:rPr>
        <w:t xml:space="preserve"> anterior cruciate ligament (ACL) repair. The CI </w:t>
      </w:r>
      <w:r w:rsidR="009517C5">
        <w:rPr>
          <w:color w:val="000000"/>
        </w:rPr>
        <w:t>suffered an</w:t>
      </w:r>
      <w:r w:rsidRPr="001F29F9">
        <w:rPr>
          <w:color w:val="000000"/>
        </w:rPr>
        <w:t xml:space="preserve"> ACL </w:t>
      </w:r>
      <w:r w:rsidR="009517C5">
        <w:rPr>
          <w:color w:val="000000"/>
        </w:rPr>
        <w:t>tear from a fall in</w:t>
      </w:r>
      <w:r w:rsidRPr="001F29F9">
        <w:rPr>
          <w:color w:val="000000"/>
        </w:rPr>
        <w:t xml:space="preserve"> </w:t>
      </w:r>
      <w:r w:rsidR="009517C5">
        <w:rPr>
          <w:color w:val="000000"/>
        </w:rPr>
        <w:t>2001; underwent initial surgical repair in 2002; and, required another arthroscopic surgical intervention in</w:t>
      </w:r>
      <w:r w:rsidRPr="001F29F9">
        <w:rPr>
          <w:color w:val="000000"/>
        </w:rPr>
        <w:t xml:space="preserve"> 2005. </w:t>
      </w:r>
      <w:r w:rsidR="009517C5">
        <w:rPr>
          <w:color w:val="000000"/>
        </w:rPr>
        <w:t xml:space="preserve">A subsequent trial of conservative measures and attempts at rehabilitation were unsuccessful in allowing him </w:t>
      </w:r>
      <w:r w:rsidRPr="00726F84">
        <w:rPr>
          <w:color w:val="000000"/>
        </w:rPr>
        <w:t xml:space="preserve">to </w:t>
      </w:r>
      <w:r w:rsidR="00C01210">
        <w:rPr>
          <w:color w:val="000000"/>
        </w:rPr>
        <w:t xml:space="preserve">fully </w:t>
      </w:r>
      <w:r w:rsidRPr="00726F84">
        <w:rPr>
          <w:color w:val="000000"/>
        </w:rPr>
        <w:t>perform within his Military Occupational Specialty (MOS) or meet physical fitness standards.</w:t>
      </w:r>
      <w:r w:rsidR="009517C5">
        <w:rPr>
          <w:color w:val="000000"/>
        </w:rPr>
        <w:t xml:space="preserve"> </w:t>
      </w:r>
      <w:r w:rsidRPr="00726F84">
        <w:rPr>
          <w:color w:val="000000"/>
        </w:rPr>
        <w:t xml:space="preserve"> He was </w:t>
      </w:r>
      <w:r w:rsidR="009517C5">
        <w:rPr>
          <w:color w:val="000000"/>
        </w:rPr>
        <w:t>consequently placed on a</w:t>
      </w:r>
      <w:r w:rsidRPr="00726F84">
        <w:rPr>
          <w:color w:val="000000"/>
        </w:rPr>
        <w:t xml:space="preserve"> permanent L3 profile and </w:t>
      </w:r>
      <w:r w:rsidR="009517C5">
        <w:rPr>
          <w:color w:val="000000"/>
        </w:rPr>
        <w:t>referred for</w:t>
      </w:r>
      <w:r w:rsidRPr="00726F84">
        <w:rPr>
          <w:color w:val="000000"/>
        </w:rPr>
        <w:t xml:space="preserve"> a Medical Evaluation Board (MEB).</w:t>
      </w:r>
      <w:r w:rsidR="009517C5">
        <w:rPr>
          <w:color w:val="000000"/>
        </w:rPr>
        <w:t xml:space="preserve"> </w:t>
      </w:r>
      <w:r w:rsidRPr="001F29F9">
        <w:rPr>
          <w:color w:val="000000"/>
        </w:rPr>
        <w:t xml:space="preserve"> Chronic left </w:t>
      </w:r>
      <w:r w:rsidRPr="00726F84">
        <w:rPr>
          <w:color w:val="000000"/>
        </w:rPr>
        <w:t>knee pain was forwarded to the Physical Evaluation Board (PEB) as medically unacceptable IAW AR 40-501.</w:t>
      </w:r>
      <w:r w:rsidRPr="001F29F9">
        <w:rPr>
          <w:color w:val="000000"/>
        </w:rPr>
        <w:t xml:space="preserve"> No other conditions appeared on the MEB’s submission. Other conditions included in the Disability Evaluation System (DES) </w:t>
      </w:r>
      <w:r w:rsidR="00C01210">
        <w:rPr>
          <w:color w:val="000000"/>
        </w:rPr>
        <w:t>file</w:t>
      </w:r>
      <w:r w:rsidRPr="001F29F9">
        <w:rPr>
          <w:color w:val="000000"/>
        </w:rPr>
        <w:t xml:space="preserve"> will be discussed below. The </w:t>
      </w:r>
      <w:r w:rsidR="001C647A">
        <w:rPr>
          <w:color w:val="000000"/>
        </w:rPr>
        <w:t xml:space="preserve">PEB </w:t>
      </w:r>
      <w:r w:rsidRPr="00726F84">
        <w:rPr>
          <w:color w:val="000000"/>
        </w:rPr>
        <w:t xml:space="preserve">adjudicated the left knee condition as unfitting, rated 20%, </w:t>
      </w:r>
      <w:r w:rsidR="008E6B87">
        <w:rPr>
          <w:color w:val="000000"/>
        </w:rPr>
        <w:t>with application of</w:t>
      </w:r>
      <w:r w:rsidRPr="00726F84">
        <w:rPr>
          <w:color w:val="000000"/>
        </w:rPr>
        <w:t xml:space="preserve"> the US Army Physical Disability Agency (USAPDA) pain policy.</w:t>
      </w:r>
      <w:r w:rsidRPr="001F29F9">
        <w:rPr>
          <w:color w:val="000000"/>
        </w:rPr>
        <w:t xml:space="preserve"> </w:t>
      </w:r>
      <w:r w:rsidR="009517C5">
        <w:rPr>
          <w:color w:val="000000"/>
        </w:rPr>
        <w:t xml:space="preserve"> </w:t>
      </w:r>
      <w:r w:rsidRPr="001F29F9">
        <w:rPr>
          <w:color w:val="000000"/>
        </w:rPr>
        <w:t xml:space="preserve">The CI made no appeals, and was medically </w:t>
      </w:r>
      <w:r w:rsidRPr="00726F84">
        <w:rPr>
          <w:color w:val="000000"/>
        </w:rPr>
        <w:t>separated with a 20% combined</w:t>
      </w:r>
      <w:r w:rsidRPr="001F29F9">
        <w:rPr>
          <w:color w:val="000000"/>
        </w:rPr>
        <w:t xml:space="preserve"> disability rating.</w:t>
      </w:r>
    </w:p>
    <w:p w:rsidR="00304134" w:rsidRPr="001F29F9" w:rsidRDefault="00304134" w:rsidP="00BF0E94">
      <w:pPr>
        <w:pBdr>
          <w:bottom w:val="single" w:sz="12" w:space="1" w:color="auto"/>
        </w:pBdr>
        <w:tabs>
          <w:tab w:val="left" w:pos="288"/>
          <w:tab w:val="left" w:pos="4752"/>
        </w:tabs>
        <w:jc w:val="both"/>
        <w:rPr>
          <w:color w:val="000000"/>
        </w:rPr>
      </w:pPr>
    </w:p>
    <w:p w:rsidR="00304134" w:rsidRPr="001F29F9" w:rsidRDefault="00304134" w:rsidP="00BF0E94">
      <w:pPr>
        <w:tabs>
          <w:tab w:val="left" w:pos="288"/>
          <w:tab w:val="left" w:pos="4752"/>
        </w:tabs>
        <w:jc w:val="both"/>
        <w:rPr>
          <w:color w:val="000000"/>
        </w:rPr>
      </w:pPr>
    </w:p>
    <w:p w:rsidR="00304134" w:rsidRPr="001F29F9" w:rsidRDefault="00304134" w:rsidP="00BF0E94">
      <w:pPr>
        <w:tabs>
          <w:tab w:val="left" w:pos="288"/>
          <w:tab w:val="left" w:pos="4752"/>
        </w:tabs>
        <w:jc w:val="both"/>
        <w:rPr>
          <w:color w:val="000000"/>
        </w:rPr>
      </w:pPr>
      <w:r w:rsidRPr="001F29F9">
        <w:rPr>
          <w:color w:val="000000"/>
          <w:u w:val="single"/>
        </w:rPr>
        <w:t>CI CONTENTION</w:t>
      </w:r>
      <w:r w:rsidRPr="001F29F9">
        <w:rPr>
          <w:color w:val="000000"/>
        </w:rPr>
        <w:t>:</w:t>
      </w:r>
      <w:r w:rsidRPr="00726F84">
        <w:rPr>
          <w:color w:val="000000"/>
        </w:rPr>
        <w:t xml:space="preserve"> </w:t>
      </w:r>
      <w:r>
        <w:rPr>
          <w:color w:val="000000"/>
        </w:rPr>
        <w:t>“</w:t>
      </w:r>
      <w:r w:rsidR="009473CF">
        <w:rPr>
          <w:color w:val="000000"/>
        </w:rPr>
        <w:t>…</w:t>
      </w:r>
      <w:r w:rsidRPr="00143AC7">
        <w:rPr>
          <w:rFonts w:cs="Arial"/>
          <w:color w:val="000000"/>
        </w:rPr>
        <w:t xml:space="preserve"> At the time I was permanently separated from my military service by reason of</w:t>
      </w:r>
      <w:r>
        <w:rPr>
          <w:rFonts w:cs="Arial"/>
          <w:color w:val="000000"/>
        </w:rPr>
        <w:t xml:space="preserve"> </w:t>
      </w:r>
      <w:r w:rsidRPr="00143AC7">
        <w:rPr>
          <w:rFonts w:cs="Arial"/>
          <w:color w:val="000000"/>
        </w:rPr>
        <w:t>disability.</w:t>
      </w:r>
      <w:r>
        <w:rPr>
          <w:rFonts w:cs="Arial"/>
          <w:color w:val="000000"/>
        </w:rPr>
        <w:t xml:space="preserve"> </w:t>
      </w:r>
      <w:r>
        <w:rPr>
          <w:rFonts w:cs="Times New Roman"/>
          <w:color w:val="000000"/>
        </w:rPr>
        <w:t>I also was receiving a</w:t>
      </w:r>
      <w:r w:rsidRPr="00CC59B4">
        <w:rPr>
          <w:rFonts w:cs="Times New Roman"/>
          <w:color w:val="000000"/>
        </w:rPr>
        <w:t>tenolol</w:t>
      </w:r>
      <w:r>
        <w:rPr>
          <w:rFonts w:cs="Times New Roman"/>
          <w:color w:val="000000"/>
        </w:rPr>
        <w:t xml:space="preserve"> </w:t>
      </w:r>
      <w:r w:rsidRPr="00CC59B4">
        <w:rPr>
          <w:rFonts w:cs="Times New Roman"/>
          <w:color w:val="000000"/>
        </w:rPr>
        <w:t>for high</w:t>
      </w:r>
      <w:r>
        <w:rPr>
          <w:rFonts w:cs="Times New Roman"/>
          <w:color w:val="000000"/>
        </w:rPr>
        <w:t xml:space="preserve"> blood pressure and this was not</w:t>
      </w:r>
      <w:r w:rsidRPr="00CC59B4">
        <w:rPr>
          <w:rFonts w:cs="Times New Roman"/>
          <w:color w:val="000000"/>
        </w:rPr>
        <w:t xml:space="preserve"> rated by the Army but was later rated by the Department of Veterans Affairs</w:t>
      </w:r>
      <w:r>
        <w:rPr>
          <w:rFonts w:cs="Times New Roman"/>
          <w:color w:val="000000"/>
        </w:rPr>
        <w:t xml:space="preserve"> </w:t>
      </w:r>
      <w:r w:rsidRPr="00CC59B4">
        <w:rPr>
          <w:rFonts w:cs="Times New Roman"/>
          <w:color w:val="000000"/>
        </w:rPr>
        <w:t>at 10%. All of these items made me unfit for duty but was</w:t>
      </w:r>
      <w:r w:rsidR="00C01210">
        <w:rPr>
          <w:rFonts w:cs="Times New Roman"/>
          <w:color w:val="000000"/>
        </w:rPr>
        <w:t xml:space="preserve"> [sic]</w:t>
      </w:r>
      <w:r w:rsidRPr="00CC59B4">
        <w:rPr>
          <w:rFonts w:cs="Times New Roman"/>
          <w:color w:val="000000"/>
        </w:rPr>
        <w:t xml:space="preserve"> not rated by the Army.</w:t>
      </w:r>
      <w:r>
        <w:rPr>
          <w:rFonts w:cs="Times New Roman"/>
          <w:color w:val="000000"/>
        </w:rPr>
        <w:t xml:space="preserve"> </w:t>
      </w:r>
      <w:r w:rsidRPr="00CC59B4">
        <w:rPr>
          <w:rFonts w:cs="Times New Roman"/>
          <w:color w:val="000000"/>
        </w:rPr>
        <w:t>Because the injury to my knee had a pain rating of moderate</w:t>
      </w:r>
      <w:r>
        <w:rPr>
          <w:rFonts w:cs="Times New Roman"/>
          <w:color w:val="000000"/>
        </w:rPr>
        <w:t xml:space="preserve"> </w:t>
      </w:r>
      <w:r w:rsidRPr="00CC59B4">
        <w:rPr>
          <w:rFonts w:cs="Times New Roman"/>
          <w:color w:val="000000"/>
        </w:rPr>
        <w:t>constant and the se</w:t>
      </w:r>
      <w:r>
        <w:rPr>
          <w:rFonts w:cs="Times New Roman"/>
          <w:color w:val="000000"/>
        </w:rPr>
        <w:t xml:space="preserve">rvice </w:t>
      </w:r>
      <w:r w:rsidRPr="00CC59B4">
        <w:rPr>
          <w:rFonts w:cs="Times New Roman"/>
          <w:color w:val="000000"/>
        </w:rPr>
        <w:t>member was found unfit for duty due to the fact</w:t>
      </w:r>
      <w:r>
        <w:rPr>
          <w:rFonts w:cs="Times New Roman"/>
          <w:color w:val="000000"/>
        </w:rPr>
        <w:t xml:space="preserve"> t</w:t>
      </w:r>
      <w:r w:rsidRPr="00CC59B4">
        <w:rPr>
          <w:rFonts w:cs="Times New Roman"/>
          <w:color w:val="000000"/>
        </w:rPr>
        <w:t xml:space="preserve">hat he cannot pass a PT Test or perform his job as a 92Y20. </w:t>
      </w:r>
      <w:r w:rsidRPr="00CC59B4">
        <w:rPr>
          <w:rFonts w:cs="Arial"/>
          <w:color w:val="000000"/>
        </w:rPr>
        <w:t xml:space="preserve">I </w:t>
      </w:r>
      <w:r w:rsidRPr="00CC59B4">
        <w:rPr>
          <w:rFonts w:cs="Times New Roman"/>
          <w:color w:val="000000"/>
        </w:rPr>
        <w:t>only</w:t>
      </w:r>
      <w:r>
        <w:rPr>
          <w:rFonts w:cs="Times New Roman"/>
          <w:color w:val="000000"/>
        </w:rPr>
        <w:t xml:space="preserve"> </w:t>
      </w:r>
      <w:r w:rsidRPr="00CC59B4">
        <w:rPr>
          <w:rFonts w:cs="Times New Roman"/>
          <w:color w:val="000000"/>
        </w:rPr>
        <w:t>received a rating of 10%</w:t>
      </w:r>
      <w:r w:rsidR="009473CF">
        <w:rPr>
          <w:rFonts w:cs="Times New Roman"/>
          <w:color w:val="000000"/>
        </w:rPr>
        <w:t xml:space="preserve"> [sic]</w:t>
      </w:r>
      <w:r w:rsidRPr="00CC59B4">
        <w:rPr>
          <w:rFonts w:cs="Times New Roman"/>
          <w:color w:val="000000"/>
        </w:rPr>
        <w:t xml:space="preserve"> from the Army but received a rating of</w:t>
      </w:r>
      <w:r>
        <w:rPr>
          <w:rFonts w:cs="Times New Roman"/>
          <w:color w:val="000000"/>
        </w:rPr>
        <w:t xml:space="preserve"> </w:t>
      </w:r>
      <w:r w:rsidRPr="00CC59B4">
        <w:rPr>
          <w:rFonts w:cs="Times New Roman"/>
          <w:color w:val="000000"/>
        </w:rPr>
        <w:t>50% from the Department of Veterans Affairs. PTSD was not included in my</w:t>
      </w:r>
      <w:r>
        <w:rPr>
          <w:rFonts w:cs="Times New Roman"/>
          <w:color w:val="000000"/>
        </w:rPr>
        <w:t xml:space="preserve"> </w:t>
      </w:r>
      <w:r w:rsidRPr="00CC59B4">
        <w:rPr>
          <w:rFonts w:cs="Times New Roman"/>
          <w:color w:val="000000"/>
        </w:rPr>
        <w:t xml:space="preserve">Army rating but rated at 30% from the VA and </w:t>
      </w:r>
      <w:r w:rsidRPr="00CC59B4">
        <w:rPr>
          <w:rFonts w:cs="Arial"/>
          <w:color w:val="000000"/>
        </w:rPr>
        <w:t xml:space="preserve">I </w:t>
      </w:r>
      <w:r w:rsidRPr="00CC59B4">
        <w:rPr>
          <w:rFonts w:cs="Times New Roman"/>
          <w:color w:val="000000"/>
        </w:rPr>
        <w:t>was placed on anti-depressants upon returning from the combat theatr</w:t>
      </w:r>
      <w:r>
        <w:rPr>
          <w:rFonts w:cs="Times New Roman"/>
          <w:color w:val="000000"/>
        </w:rPr>
        <w:t>e.”</w:t>
      </w:r>
      <w:r w:rsidRPr="001F29F9">
        <w:rPr>
          <w:color w:val="000000"/>
        </w:rPr>
        <w:t xml:space="preserve"> He elaborates no specific contentions regarding rating or coding and mentions no additionally contended conditions.</w:t>
      </w:r>
    </w:p>
    <w:p w:rsidR="00304134" w:rsidRPr="001F29F9" w:rsidRDefault="00304134" w:rsidP="00BF0E94">
      <w:pPr>
        <w:pBdr>
          <w:bottom w:val="single" w:sz="12" w:space="1" w:color="auto"/>
        </w:pBdr>
        <w:tabs>
          <w:tab w:val="left" w:pos="288"/>
          <w:tab w:val="left" w:pos="4752"/>
        </w:tabs>
        <w:jc w:val="both"/>
        <w:rPr>
          <w:color w:val="000000"/>
        </w:rPr>
      </w:pPr>
    </w:p>
    <w:p w:rsidR="00304134" w:rsidRPr="001F29F9" w:rsidRDefault="00304134" w:rsidP="00BF0E94">
      <w:pPr>
        <w:tabs>
          <w:tab w:val="left" w:pos="288"/>
          <w:tab w:val="left" w:pos="4752"/>
        </w:tabs>
        <w:jc w:val="both"/>
        <w:rPr>
          <w:color w:val="000000"/>
        </w:rPr>
      </w:pPr>
    </w:p>
    <w:p w:rsidR="00304134" w:rsidRPr="001F29F9" w:rsidRDefault="00304134"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304134" w:rsidRDefault="00304134" w:rsidP="00FE7C22">
      <w:pPr>
        <w:jc w:val="both"/>
        <w:rPr>
          <w:color w:val="000000"/>
        </w:rPr>
      </w:pPr>
    </w:p>
    <w:tbl>
      <w:tblPr>
        <w:tblStyle w:val="TableGrid"/>
        <w:tblpPr w:leftFromText="187" w:rightFromText="187" w:vertAnchor="text" w:tblpXSpec="center" w:tblpY="1"/>
        <w:tblOverlap w:val="never"/>
        <w:tblW w:w="9378" w:type="dxa"/>
        <w:jc w:val="center"/>
        <w:tblLayout w:type="fixed"/>
        <w:tblLook w:val="00A0"/>
      </w:tblPr>
      <w:tblGrid>
        <w:gridCol w:w="1998"/>
        <w:gridCol w:w="1080"/>
        <w:gridCol w:w="720"/>
        <w:gridCol w:w="3150"/>
        <w:gridCol w:w="720"/>
        <w:gridCol w:w="720"/>
        <w:gridCol w:w="990"/>
      </w:tblGrid>
      <w:tr w:rsidR="00304134" w:rsidRPr="00AC4BA1" w:rsidTr="00C01210">
        <w:trPr>
          <w:trHeight w:val="233"/>
          <w:jc w:val="center"/>
        </w:trPr>
        <w:tc>
          <w:tcPr>
            <w:tcW w:w="3798" w:type="dxa"/>
            <w:gridSpan w:val="3"/>
            <w:tcBorders>
              <w:right w:val="thinThickThinSmallGap" w:sz="24" w:space="0" w:color="auto"/>
            </w:tcBorders>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Service IPEB – Dated 20051115</w:t>
            </w:r>
          </w:p>
        </w:tc>
        <w:tc>
          <w:tcPr>
            <w:tcW w:w="5580" w:type="dxa"/>
            <w:gridSpan w:val="4"/>
            <w:tcBorders>
              <w:left w:val="thinThickThinSmallGap" w:sz="24" w:space="0" w:color="auto"/>
            </w:tcBorders>
            <w:shd w:val="clear" w:color="auto" w:fill="D9D9D9"/>
            <w:vAlign w:val="center"/>
          </w:tcPr>
          <w:p w:rsidR="00304134" w:rsidRPr="00AC4BA1" w:rsidRDefault="00C01210" w:rsidP="001E7DBD">
            <w:pPr>
              <w:contextualSpacing/>
              <w:rPr>
                <w:rFonts w:cs="Calibri"/>
                <w:b/>
                <w:color w:val="000000"/>
                <w:sz w:val="18"/>
              </w:rPr>
            </w:pPr>
            <w:r>
              <w:rPr>
                <w:b/>
                <w:color w:val="000000"/>
                <w:sz w:val="18"/>
              </w:rPr>
              <w:t>VA (7</w:t>
            </w:r>
            <w:r w:rsidR="00304134" w:rsidRPr="00AC4BA1">
              <w:rPr>
                <w:b/>
                <w:color w:val="000000"/>
                <w:sz w:val="18"/>
              </w:rPr>
              <w:t xml:space="preserve"> Mo. Post-Separation) – All Effective 20060113</w:t>
            </w:r>
          </w:p>
        </w:tc>
      </w:tr>
      <w:tr w:rsidR="00304134" w:rsidRPr="00AC4BA1" w:rsidTr="001E7DBD">
        <w:trPr>
          <w:trHeight w:val="91"/>
          <w:jc w:val="center"/>
        </w:trPr>
        <w:tc>
          <w:tcPr>
            <w:tcW w:w="1998" w:type="dxa"/>
            <w:tcBorders>
              <w:right w:val="single" w:sz="4" w:space="0" w:color="auto"/>
            </w:tcBorders>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Condition</w:t>
            </w:r>
          </w:p>
        </w:tc>
        <w:tc>
          <w:tcPr>
            <w:tcW w:w="1080" w:type="dxa"/>
            <w:tcBorders>
              <w:left w:val="single" w:sz="4" w:space="0" w:color="auto"/>
            </w:tcBorders>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Code</w:t>
            </w:r>
          </w:p>
        </w:tc>
        <w:tc>
          <w:tcPr>
            <w:tcW w:w="720" w:type="dxa"/>
            <w:tcBorders>
              <w:right w:val="thinThickThinSmallGap" w:sz="24" w:space="0" w:color="auto"/>
            </w:tcBorders>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Rating</w:t>
            </w:r>
          </w:p>
        </w:tc>
        <w:tc>
          <w:tcPr>
            <w:tcW w:w="3150" w:type="dxa"/>
            <w:tcBorders>
              <w:left w:val="thinThickThinSmallGap" w:sz="24" w:space="0" w:color="auto"/>
            </w:tcBorders>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Condition</w:t>
            </w:r>
          </w:p>
        </w:tc>
        <w:tc>
          <w:tcPr>
            <w:tcW w:w="720" w:type="dxa"/>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Code</w:t>
            </w:r>
          </w:p>
        </w:tc>
        <w:tc>
          <w:tcPr>
            <w:tcW w:w="720" w:type="dxa"/>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Rating</w:t>
            </w:r>
          </w:p>
        </w:tc>
        <w:tc>
          <w:tcPr>
            <w:tcW w:w="990" w:type="dxa"/>
            <w:shd w:val="clear" w:color="auto" w:fill="D9D9D9"/>
            <w:vAlign w:val="center"/>
          </w:tcPr>
          <w:p w:rsidR="00304134" w:rsidRPr="00AC4BA1" w:rsidRDefault="00304134" w:rsidP="001E7DBD">
            <w:pPr>
              <w:contextualSpacing/>
              <w:rPr>
                <w:rFonts w:cs="Calibri"/>
                <w:b/>
                <w:color w:val="000000"/>
                <w:sz w:val="18"/>
              </w:rPr>
            </w:pPr>
            <w:r w:rsidRPr="00AC4BA1">
              <w:rPr>
                <w:b/>
                <w:color w:val="000000"/>
                <w:sz w:val="18"/>
              </w:rPr>
              <w:t>Exam</w:t>
            </w:r>
          </w:p>
        </w:tc>
      </w:tr>
      <w:tr w:rsidR="00304134" w:rsidRPr="00AC4BA1" w:rsidTr="001E7DBD">
        <w:trPr>
          <w:trHeight w:val="82"/>
          <w:jc w:val="center"/>
        </w:trPr>
        <w:tc>
          <w:tcPr>
            <w:tcW w:w="1998" w:type="dxa"/>
            <w:vMerge w:val="restart"/>
            <w:tcBorders>
              <w:right w:val="single" w:sz="4" w:space="0" w:color="auto"/>
            </w:tcBorders>
            <w:shd w:val="clear" w:color="auto" w:fill="FFFFFF"/>
            <w:vAlign w:val="center"/>
          </w:tcPr>
          <w:p w:rsidR="00304134" w:rsidRPr="001F29F9" w:rsidRDefault="00304134" w:rsidP="00DE1423">
            <w:pPr>
              <w:spacing w:line="220" w:lineRule="exact"/>
              <w:contextualSpacing/>
              <w:jc w:val="left"/>
              <w:rPr>
                <w:rFonts w:cs="Calibri"/>
                <w:color w:val="000000"/>
                <w:sz w:val="18"/>
              </w:rPr>
            </w:pPr>
            <w:r w:rsidRPr="00AC4BA1">
              <w:rPr>
                <w:color w:val="000000"/>
                <w:sz w:val="18"/>
              </w:rPr>
              <w:t>Chronic Left Knee Pain</w:t>
            </w:r>
          </w:p>
        </w:tc>
        <w:tc>
          <w:tcPr>
            <w:tcW w:w="1080" w:type="dxa"/>
            <w:vMerge w:val="restart"/>
            <w:tcBorders>
              <w:left w:val="single" w:sz="4" w:space="0" w:color="auto"/>
            </w:tcBorders>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5099-5003</w:t>
            </w:r>
          </w:p>
        </w:tc>
        <w:tc>
          <w:tcPr>
            <w:tcW w:w="720" w:type="dxa"/>
            <w:vMerge w:val="restart"/>
            <w:tcBorders>
              <w:right w:val="thinThickThinSmallGap" w:sz="24" w:space="0" w:color="auto"/>
            </w:tcBorders>
            <w:shd w:val="clear" w:color="auto" w:fill="FFFFFF"/>
            <w:vAlign w:val="center"/>
          </w:tcPr>
          <w:p w:rsidR="00304134" w:rsidRPr="001F29F9" w:rsidRDefault="00304134" w:rsidP="00DE1423">
            <w:pPr>
              <w:spacing w:line="220" w:lineRule="exact"/>
              <w:rPr>
                <w:rFonts w:cs="Calibri"/>
                <w:color w:val="000000"/>
                <w:sz w:val="18"/>
              </w:rPr>
            </w:pPr>
            <w:r w:rsidRPr="00AC4BA1">
              <w:rPr>
                <w:color w:val="000000"/>
                <w:sz w:val="18"/>
              </w:rPr>
              <w:t>20%</w:t>
            </w:r>
          </w:p>
        </w:tc>
        <w:tc>
          <w:tcPr>
            <w:tcW w:w="3150" w:type="dxa"/>
            <w:tcBorders>
              <w:left w:val="thinThickThinSmallGap" w:sz="24" w:space="0" w:color="auto"/>
            </w:tcBorders>
            <w:shd w:val="clear" w:color="auto" w:fill="FFFFFF"/>
            <w:vAlign w:val="center"/>
          </w:tcPr>
          <w:p w:rsidR="00304134" w:rsidRPr="001F29F9" w:rsidRDefault="00C01210" w:rsidP="00DE1423">
            <w:pPr>
              <w:spacing w:line="220" w:lineRule="exact"/>
              <w:contextualSpacing/>
              <w:jc w:val="left"/>
              <w:rPr>
                <w:rFonts w:cs="Calibri"/>
                <w:color w:val="000000"/>
                <w:sz w:val="18"/>
              </w:rPr>
            </w:pPr>
            <w:r w:rsidRPr="00AC4BA1">
              <w:rPr>
                <w:color w:val="000000"/>
                <w:sz w:val="18"/>
              </w:rPr>
              <w:t xml:space="preserve">Left Knee </w:t>
            </w:r>
            <w:r w:rsidR="00304134" w:rsidRPr="00AC4BA1">
              <w:rPr>
                <w:color w:val="000000"/>
                <w:sz w:val="18"/>
              </w:rPr>
              <w:t xml:space="preserve">Internal Derangement </w:t>
            </w:r>
          </w:p>
        </w:tc>
        <w:tc>
          <w:tcPr>
            <w:tcW w:w="720" w:type="dxa"/>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5260</w:t>
            </w:r>
          </w:p>
        </w:tc>
        <w:tc>
          <w:tcPr>
            <w:tcW w:w="720" w:type="dxa"/>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10%</w:t>
            </w:r>
            <w:r w:rsidR="00510D32">
              <w:rPr>
                <w:color w:val="000000"/>
                <w:sz w:val="18"/>
              </w:rPr>
              <w:t>*</w:t>
            </w:r>
          </w:p>
        </w:tc>
        <w:tc>
          <w:tcPr>
            <w:tcW w:w="990" w:type="dxa"/>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20060802</w:t>
            </w:r>
          </w:p>
        </w:tc>
      </w:tr>
      <w:tr w:rsidR="00510D32" w:rsidRPr="00AC4BA1" w:rsidTr="001E7DBD">
        <w:trPr>
          <w:trHeight w:val="64"/>
          <w:jc w:val="center"/>
        </w:trPr>
        <w:tc>
          <w:tcPr>
            <w:tcW w:w="1998" w:type="dxa"/>
            <w:vMerge/>
            <w:tcBorders>
              <w:right w:val="single" w:sz="4" w:space="0" w:color="auto"/>
            </w:tcBorders>
            <w:shd w:val="clear" w:color="auto" w:fill="FFFFFF"/>
            <w:vAlign w:val="center"/>
          </w:tcPr>
          <w:p w:rsidR="00510D32" w:rsidRPr="00AC4BA1" w:rsidRDefault="00510D32" w:rsidP="00DE1423">
            <w:pPr>
              <w:spacing w:line="220" w:lineRule="exact"/>
              <w:contextualSpacing/>
              <w:jc w:val="left"/>
              <w:rPr>
                <w:rFonts w:cs="Calibri"/>
                <w:color w:val="000000"/>
                <w:sz w:val="18"/>
              </w:rPr>
            </w:pPr>
          </w:p>
        </w:tc>
        <w:tc>
          <w:tcPr>
            <w:tcW w:w="1080" w:type="dxa"/>
            <w:vMerge/>
            <w:tcBorders>
              <w:left w:val="single" w:sz="4" w:space="0" w:color="auto"/>
            </w:tcBorders>
            <w:shd w:val="clear" w:color="auto" w:fill="FFFFFF"/>
            <w:vAlign w:val="center"/>
          </w:tcPr>
          <w:p w:rsidR="00510D32" w:rsidRPr="00AC4BA1" w:rsidRDefault="00510D32" w:rsidP="00DE1423">
            <w:pPr>
              <w:spacing w:line="220" w:lineRule="exact"/>
              <w:contextualSpacing/>
              <w:rPr>
                <w:rFonts w:cs="Calibri"/>
                <w:color w:val="000000"/>
                <w:sz w:val="18"/>
              </w:rPr>
            </w:pPr>
          </w:p>
        </w:tc>
        <w:tc>
          <w:tcPr>
            <w:tcW w:w="720" w:type="dxa"/>
            <w:vMerge/>
            <w:tcBorders>
              <w:right w:val="thinThickThinSmallGap" w:sz="24" w:space="0" w:color="auto"/>
            </w:tcBorders>
            <w:shd w:val="clear" w:color="auto" w:fill="FFFFFF"/>
            <w:vAlign w:val="center"/>
          </w:tcPr>
          <w:p w:rsidR="00510D32" w:rsidRPr="00AC4BA1" w:rsidRDefault="00510D32" w:rsidP="00DE1423">
            <w:pPr>
              <w:spacing w:line="220" w:lineRule="exact"/>
              <w:rPr>
                <w:rFonts w:cs="Calibri"/>
                <w:color w:val="000000"/>
                <w:sz w:val="18"/>
              </w:rPr>
            </w:pPr>
          </w:p>
        </w:tc>
        <w:tc>
          <w:tcPr>
            <w:tcW w:w="3150" w:type="dxa"/>
            <w:tcBorders>
              <w:left w:val="thinThickThinSmallGap" w:sz="24" w:space="0" w:color="auto"/>
            </w:tcBorders>
            <w:shd w:val="clear" w:color="auto" w:fill="FFFFFF"/>
            <w:vAlign w:val="center"/>
          </w:tcPr>
          <w:p w:rsidR="00510D32" w:rsidRPr="001F29F9" w:rsidRDefault="00510D32" w:rsidP="00DE1423">
            <w:pPr>
              <w:spacing w:line="220" w:lineRule="exact"/>
              <w:contextualSpacing/>
              <w:jc w:val="left"/>
              <w:rPr>
                <w:rFonts w:cs="Calibri"/>
                <w:color w:val="000000"/>
                <w:sz w:val="18"/>
              </w:rPr>
            </w:pPr>
            <w:r w:rsidRPr="00AC4BA1">
              <w:rPr>
                <w:color w:val="000000"/>
                <w:sz w:val="18"/>
              </w:rPr>
              <w:t xml:space="preserve">Left Knee Internal Derangement </w:t>
            </w:r>
          </w:p>
        </w:tc>
        <w:tc>
          <w:tcPr>
            <w:tcW w:w="720" w:type="dxa"/>
            <w:shd w:val="clear" w:color="auto" w:fill="FFFFFF"/>
            <w:vAlign w:val="center"/>
          </w:tcPr>
          <w:p w:rsidR="00510D32" w:rsidRPr="001F29F9" w:rsidRDefault="00510D32" w:rsidP="00DE1423">
            <w:pPr>
              <w:spacing w:line="220" w:lineRule="exact"/>
              <w:contextualSpacing/>
              <w:rPr>
                <w:rFonts w:cs="Calibri"/>
                <w:color w:val="000000"/>
                <w:sz w:val="18"/>
              </w:rPr>
            </w:pPr>
            <w:r w:rsidRPr="00AC4BA1">
              <w:rPr>
                <w:color w:val="000000"/>
                <w:sz w:val="18"/>
              </w:rPr>
              <w:t>5260</w:t>
            </w:r>
          </w:p>
        </w:tc>
        <w:tc>
          <w:tcPr>
            <w:tcW w:w="720" w:type="dxa"/>
            <w:shd w:val="clear" w:color="auto" w:fill="FFFFFF"/>
            <w:vAlign w:val="center"/>
          </w:tcPr>
          <w:p w:rsidR="00510D32" w:rsidRPr="00AC4BA1" w:rsidRDefault="00510D32" w:rsidP="00DE1423">
            <w:pPr>
              <w:spacing w:line="220" w:lineRule="exact"/>
              <w:contextualSpacing/>
              <w:rPr>
                <w:rFonts w:cs="Calibri"/>
                <w:color w:val="000000"/>
                <w:sz w:val="18"/>
              </w:rPr>
            </w:pPr>
            <w:r w:rsidRPr="00AC4BA1">
              <w:rPr>
                <w:color w:val="000000"/>
                <w:sz w:val="18"/>
              </w:rPr>
              <w:t>10%*</w:t>
            </w:r>
          </w:p>
        </w:tc>
        <w:tc>
          <w:tcPr>
            <w:tcW w:w="990" w:type="dxa"/>
            <w:shd w:val="clear" w:color="auto" w:fill="FFFFFF"/>
            <w:vAlign w:val="center"/>
          </w:tcPr>
          <w:p w:rsidR="00510D32" w:rsidRPr="00AC4BA1" w:rsidRDefault="00510D32" w:rsidP="00DE1423">
            <w:pPr>
              <w:spacing w:line="220" w:lineRule="exact"/>
              <w:contextualSpacing/>
              <w:rPr>
                <w:rFonts w:cs="Calibri"/>
                <w:color w:val="000000"/>
                <w:sz w:val="18"/>
              </w:rPr>
            </w:pPr>
            <w:r w:rsidRPr="00AC4BA1">
              <w:rPr>
                <w:color w:val="000000"/>
                <w:sz w:val="18"/>
              </w:rPr>
              <w:t>20060802</w:t>
            </w:r>
          </w:p>
        </w:tc>
      </w:tr>
      <w:tr w:rsidR="00304134" w:rsidRPr="00AC4BA1" w:rsidTr="00DE1423">
        <w:trPr>
          <w:trHeight w:val="64"/>
          <w:jc w:val="center"/>
        </w:trPr>
        <w:tc>
          <w:tcPr>
            <w:tcW w:w="3798" w:type="dxa"/>
            <w:gridSpan w:val="3"/>
            <w:vMerge w:val="restart"/>
            <w:tcBorders>
              <w:right w:val="thinThickThinSmallGap" w:sz="24" w:space="0" w:color="auto"/>
            </w:tcBorders>
            <w:shd w:val="clear" w:color="auto" w:fill="FFFFFF"/>
          </w:tcPr>
          <w:p w:rsidR="00304134" w:rsidRPr="001F29F9" w:rsidRDefault="00304134" w:rsidP="00DE1423">
            <w:pPr>
              <w:spacing w:line="220" w:lineRule="exact"/>
              <w:rPr>
                <w:rFonts w:cs="Calibri"/>
                <w:color w:val="000000"/>
                <w:sz w:val="18"/>
              </w:rPr>
            </w:pPr>
            <w:r w:rsidRPr="00AC4BA1">
              <w:rPr>
                <w:color w:val="000000"/>
                <w:sz w:val="18"/>
              </w:rPr>
              <w:t>↓No Additional MEB/PEB Entries↓</w:t>
            </w:r>
          </w:p>
        </w:tc>
        <w:tc>
          <w:tcPr>
            <w:tcW w:w="3150" w:type="dxa"/>
            <w:tcBorders>
              <w:left w:val="thinThickThinSmallGap" w:sz="24" w:space="0" w:color="auto"/>
              <w:right w:val="single" w:sz="4" w:space="0" w:color="auto"/>
            </w:tcBorders>
            <w:shd w:val="clear" w:color="auto" w:fill="FFFFFF"/>
            <w:vAlign w:val="center"/>
          </w:tcPr>
          <w:p w:rsidR="00304134" w:rsidRPr="001F29F9" w:rsidRDefault="00304134" w:rsidP="00DE1423">
            <w:pPr>
              <w:spacing w:line="220" w:lineRule="exact"/>
              <w:contextualSpacing/>
              <w:jc w:val="left"/>
              <w:rPr>
                <w:rFonts w:cs="Calibri"/>
                <w:color w:val="000000"/>
                <w:sz w:val="18"/>
              </w:rPr>
            </w:pPr>
            <w:r w:rsidRPr="00AC4BA1">
              <w:rPr>
                <w:color w:val="000000"/>
                <w:sz w:val="18"/>
              </w:rPr>
              <w:t>Hypertension</w:t>
            </w:r>
          </w:p>
        </w:tc>
        <w:tc>
          <w:tcPr>
            <w:tcW w:w="720" w:type="dxa"/>
            <w:tcBorders>
              <w:left w:val="single" w:sz="4" w:space="0" w:color="auto"/>
            </w:tcBorders>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7101</w:t>
            </w:r>
          </w:p>
        </w:tc>
        <w:tc>
          <w:tcPr>
            <w:tcW w:w="720" w:type="dxa"/>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10%</w:t>
            </w:r>
          </w:p>
        </w:tc>
        <w:tc>
          <w:tcPr>
            <w:tcW w:w="990" w:type="dxa"/>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20060802</w:t>
            </w:r>
          </w:p>
        </w:tc>
      </w:tr>
      <w:tr w:rsidR="00304134" w:rsidRPr="00AC4BA1" w:rsidTr="001E7DBD">
        <w:trPr>
          <w:trHeight w:val="181"/>
          <w:jc w:val="center"/>
        </w:trPr>
        <w:tc>
          <w:tcPr>
            <w:tcW w:w="3798" w:type="dxa"/>
            <w:gridSpan w:val="3"/>
            <w:vMerge/>
            <w:tcBorders>
              <w:right w:val="thinThickThinSmallGap" w:sz="24" w:space="0" w:color="auto"/>
            </w:tcBorders>
            <w:shd w:val="clear" w:color="auto" w:fill="FFFFFF"/>
            <w:vAlign w:val="center"/>
          </w:tcPr>
          <w:p w:rsidR="00304134" w:rsidRPr="001F29F9" w:rsidRDefault="00304134" w:rsidP="00DE1423">
            <w:pPr>
              <w:spacing w:line="220" w:lineRule="exact"/>
              <w:contextualSpacing/>
              <w:rPr>
                <w:rFonts w:cs="Calibri"/>
                <w:color w:val="000000"/>
                <w:sz w:val="18"/>
                <w:highlight w:val="yellow"/>
              </w:rPr>
            </w:pPr>
          </w:p>
        </w:tc>
        <w:tc>
          <w:tcPr>
            <w:tcW w:w="3150" w:type="dxa"/>
            <w:tcBorders>
              <w:left w:val="thinThickThinSmallGap" w:sz="24" w:space="0" w:color="auto"/>
              <w:right w:val="single" w:sz="4" w:space="0" w:color="auto"/>
            </w:tcBorders>
            <w:shd w:val="clear" w:color="auto" w:fill="FFFFFF"/>
            <w:vAlign w:val="center"/>
          </w:tcPr>
          <w:p w:rsidR="00304134" w:rsidRPr="001F29F9" w:rsidRDefault="00304134" w:rsidP="00DE1423">
            <w:pPr>
              <w:spacing w:line="220" w:lineRule="exact"/>
              <w:contextualSpacing/>
              <w:jc w:val="left"/>
              <w:rPr>
                <w:rFonts w:cs="Calibri"/>
                <w:color w:val="000000"/>
                <w:sz w:val="18"/>
              </w:rPr>
            </w:pPr>
            <w:r>
              <w:rPr>
                <w:color w:val="000000"/>
                <w:sz w:val="18"/>
              </w:rPr>
              <w:t>PTSD</w:t>
            </w:r>
          </w:p>
        </w:tc>
        <w:tc>
          <w:tcPr>
            <w:tcW w:w="720" w:type="dxa"/>
            <w:tcBorders>
              <w:left w:val="single" w:sz="4" w:space="0" w:color="auto"/>
            </w:tcBorders>
            <w:shd w:val="clear" w:color="auto" w:fill="FFFFFF"/>
            <w:vAlign w:val="center"/>
          </w:tcPr>
          <w:p w:rsidR="00304134" w:rsidRPr="001F29F9" w:rsidRDefault="00304134" w:rsidP="00DE1423">
            <w:pPr>
              <w:spacing w:line="220" w:lineRule="exact"/>
              <w:contextualSpacing/>
              <w:rPr>
                <w:rFonts w:cs="Calibri"/>
                <w:color w:val="000000"/>
                <w:sz w:val="18"/>
              </w:rPr>
            </w:pPr>
            <w:r>
              <w:rPr>
                <w:color w:val="000000"/>
                <w:sz w:val="18"/>
              </w:rPr>
              <w:t>9411</w:t>
            </w:r>
          </w:p>
        </w:tc>
        <w:tc>
          <w:tcPr>
            <w:tcW w:w="720" w:type="dxa"/>
            <w:shd w:val="clear" w:color="auto" w:fill="FFFFFF"/>
            <w:vAlign w:val="center"/>
          </w:tcPr>
          <w:p w:rsidR="00304134" w:rsidRPr="001F29F9" w:rsidRDefault="00304134" w:rsidP="00DE1423">
            <w:pPr>
              <w:spacing w:line="220" w:lineRule="exact"/>
              <w:contextualSpacing/>
              <w:rPr>
                <w:rFonts w:cs="Calibri"/>
                <w:color w:val="000000"/>
                <w:sz w:val="18"/>
              </w:rPr>
            </w:pPr>
            <w:r>
              <w:rPr>
                <w:color w:val="000000"/>
                <w:sz w:val="18"/>
              </w:rPr>
              <w:t>30%</w:t>
            </w:r>
          </w:p>
        </w:tc>
        <w:tc>
          <w:tcPr>
            <w:tcW w:w="990" w:type="dxa"/>
            <w:shd w:val="clear" w:color="auto" w:fill="FFFFFF"/>
            <w:vAlign w:val="center"/>
          </w:tcPr>
          <w:p w:rsidR="00304134" w:rsidRPr="004F10EB" w:rsidRDefault="00304134" w:rsidP="00DE1423">
            <w:pPr>
              <w:spacing w:line="220" w:lineRule="exact"/>
              <w:contextualSpacing/>
              <w:rPr>
                <w:rFonts w:cs="Calibri"/>
                <w:color w:val="000000"/>
                <w:sz w:val="18"/>
              </w:rPr>
            </w:pPr>
            <w:r w:rsidRPr="004F10EB">
              <w:rPr>
                <w:color w:val="000000"/>
                <w:sz w:val="18"/>
              </w:rPr>
              <w:t>20060802</w:t>
            </w:r>
          </w:p>
        </w:tc>
      </w:tr>
      <w:tr w:rsidR="00304134" w:rsidRPr="00AC4BA1" w:rsidTr="00357D3A">
        <w:trPr>
          <w:trHeight w:val="56"/>
          <w:jc w:val="center"/>
        </w:trPr>
        <w:tc>
          <w:tcPr>
            <w:tcW w:w="3798" w:type="dxa"/>
            <w:gridSpan w:val="3"/>
            <w:vMerge/>
            <w:tcBorders>
              <w:right w:val="thinThickThinSmallGap" w:sz="24" w:space="0" w:color="auto"/>
            </w:tcBorders>
            <w:shd w:val="clear" w:color="auto" w:fill="FFFFFF"/>
          </w:tcPr>
          <w:p w:rsidR="00304134" w:rsidRPr="001F29F9" w:rsidRDefault="00304134" w:rsidP="00DE1423">
            <w:pPr>
              <w:spacing w:line="220" w:lineRule="exact"/>
              <w:contextualSpacing/>
              <w:rPr>
                <w:rFonts w:cs="Calibri"/>
                <w:color w:val="000000"/>
                <w:sz w:val="18"/>
              </w:rPr>
            </w:pPr>
          </w:p>
        </w:tc>
        <w:tc>
          <w:tcPr>
            <w:tcW w:w="4590" w:type="dxa"/>
            <w:gridSpan w:val="3"/>
            <w:tcBorders>
              <w:left w:val="thinThickThinSmallGap" w:sz="24" w:space="0" w:color="auto"/>
            </w:tcBorders>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0% x 1</w:t>
            </w:r>
          </w:p>
        </w:tc>
        <w:tc>
          <w:tcPr>
            <w:tcW w:w="990" w:type="dxa"/>
            <w:shd w:val="clear" w:color="auto" w:fill="FFFFFF"/>
            <w:vAlign w:val="center"/>
          </w:tcPr>
          <w:p w:rsidR="00304134" w:rsidRPr="001F29F9" w:rsidRDefault="00304134" w:rsidP="00DE1423">
            <w:pPr>
              <w:spacing w:line="220" w:lineRule="exact"/>
              <w:contextualSpacing/>
              <w:rPr>
                <w:rFonts w:cs="Calibri"/>
                <w:color w:val="000000"/>
                <w:sz w:val="18"/>
              </w:rPr>
            </w:pPr>
            <w:r w:rsidRPr="00AC4BA1">
              <w:rPr>
                <w:color w:val="000000"/>
                <w:sz w:val="18"/>
              </w:rPr>
              <w:t>20060802</w:t>
            </w:r>
          </w:p>
        </w:tc>
      </w:tr>
      <w:tr w:rsidR="00304134" w:rsidRPr="00AC4BA1" w:rsidTr="00DE1423">
        <w:trPr>
          <w:trHeight w:val="56"/>
          <w:jc w:val="center"/>
        </w:trPr>
        <w:tc>
          <w:tcPr>
            <w:tcW w:w="3798" w:type="dxa"/>
            <w:gridSpan w:val="3"/>
            <w:tcBorders>
              <w:right w:val="thinThickThinSmallGap" w:sz="24" w:space="0" w:color="auto"/>
            </w:tcBorders>
            <w:shd w:val="clear" w:color="auto" w:fill="D9D9D9"/>
          </w:tcPr>
          <w:p w:rsidR="00304134" w:rsidRPr="00AC4BA1" w:rsidRDefault="00304134" w:rsidP="00DE1423">
            <w:pPr>
              <w:contextualSpacing/>
              <w:rPr>
                <w:rFonts w:cs="Calibri"/>
                <w:b/>
                <w:color w:val="000000"/>
                <w:sz w:val="18"/>
              </w:rPr>
            </w:pPr>
            <w:r w:rsidRPr="00AC4BA1">
              <w:rPr>
                <w:b/>
                <w:color w:val="000000"/>
                <w:sz w:val="18"/>
              </w:rPr>
              <w:t>Combined:  20%</w:t>
            </w:r>
          </w:p>
        </w:tc>
        <w:tc>
          <w:tcPr>
            <w:tcW w:w="5580" w:type="dxa"/>
            <w:gridSpan w:val="4"/>
            <w:tcBorders>
              <w:left w:val="thinThickThinSmallGap" w:sz="24" w:space="0" w:color="auto"/>
            </w:tcBorders>
            <w:shd w:val="clear" w:color="auto" w:fill="D9D9D9"/>
          </w:tcPr>
          <w:p w:rsidR="00304134" w:rsidRPr="00AC4BA1" w:rsidRDefault="00304134" w:rsidP="00DE1423">
            <w:pPr>
              <w:contextualSpacing/>
              <w:rPr>
                <w:rFonts w:cs="Calibri"/>
                <w:b/>
                <w:color w:val="000000"/>
                <w:sz w:val="18"/>
              </w:rPr>
            </w:pPr>
            <w:r w:rsidRPr="00AC4BA1">
              <w:rPr>
                <w:b/>
                <w:color w:val="000000"/>
                <w:sz w:val="18"/>
              </w:rPr>
              <w:t>Combined:  50%</w:t>
            </w:r>
          </w:p>
        </w:tc>
      </w:tr>
    </w:tbl>
    <w:p w:rsidR="001E7DBD" w:rsidRDefault="00304134" w:rsidP="001E7DBD">
      <w:pPr>
        <w:pBdr>
          <w:bottom w:val="single" w:sz="12" w:space="1" w:color="auto"/>
        </w:pBdr>
        <w:tabs>
          <w:tab w:val="left" w:pos="288"/>
          <w:tab w:val="left" w:pos="4752"/>
        </w:tabs>
        <w:spacing w:line="180" w:lineRule="exact"/>
        <w:jc w:val="both"/>
        <w:rPr>
          <w:color w:val="000000"/>
          <w:sz w:val="18"/>
        </w:rPr>
      </w:pPr>
      <w:r w:rsidRPr="0084297D">
        <w:rPr>
          <w:color w:val="000000"/>
          <w:sz w:val="18"/>
        </w:rPr>
        <w:t>*</w:t>
      </w:r>
      <w:r w:rsidR="009354A4">
        <w:rPr>
          <w:color w:val="000000"/>
          <w:sz w:val="18"/>
        </w:rPr>
        <w:t xml:space="preserve"> </w:t>
      </w:r>
      <w:r w:rsidR="00DE1423">
        <w:rPr>
          <w:color w:val="000000"/>
          <w:sz w:val="18"/>
        </w:rPr>
        <w:t>A</w:t>
      </w:r>
      <w:r w:rsidR="009354A4">
        <w:rPr>
          <w:color w:val="000000"/>
          <w:sz w:val="18"/>
        </w:rPr>
        <w:t xml:space="preserve"> </w:t>
      </w:r>
      <w:r w:rsidR="001E7DBD">
        <w:rPr>
          <w:color w:val="000000"/>
          <w:sz w:val="18"/>
        </w:rPr>
        <w:t>‘</w:t>
      </w:r>
      <w:r w:rsidR="009354A4">
        <w:rPr>
          <w:color w:val="000000"/>
          <w:sz w:val="18"/>
        </w:rPr>
        <w:t>clear and unmistakable error</w:t>
      </w:r>
      <w:r w:rsidR="001E7DBD">
        <w:rPr>
          <w:color w:val="000000"/>
          <w:sz w:val="18"/>
        </w:rPr>
        <w:t>’</w:t>
      </w:r>
      <w:r w:rsidR="009354A4">
        <w:rPr>
          <w:color w:val="000000"/>
          <w:sz w:val="18"/>
        </w:rPr>
        <w:t xml:space="preserve"> in assigning two identical ratings </w:t>
      </w:r>
      <w:r w:rsidR="00510D32">
        <w:rPr>
          <w:color w:val="000000"/>
          <w:sz w:val="18"/>
        </w:rPr>
        <w:t>under code 5260 was corrected by consolidating both</w:t>
      </w:r>
    </w:p>
    <w:p w:rsidR="00304134" w:rsidRPr="003C53E8" w:rsidRDefault="001E7DBD" w:rsidP="001E7DBD">
      <w:pPr>
        <w:pBdr>
          <w:bottom w:val="single" w:sz="12" w:space="1" w:color="auto"/>
        </w:pBdr>
        <w:tabs>
          <w:tab w:val="left" w:pos="288"/>
          <w:tab w:val="left" w:pos="4752"/>
        </w:tabs>
        <w:spacing w:line="180" w:lineRule="exact"/>
        <w:jc w:val="both"/>
        <w:rPr>
          <w:color w:val="000000"/>
          <w:sz w:val="18"/>
        </w:rPr>
      </w:pPr>
      <w:r>
        <w:rPr>
          <w:color w:val="000000"/>
          <w:sz w:val="18"/>
        </w:rPr>
        <w:t xml:space="preserve">  </w:t>
      </w:r>
      <w:r w:rsidR="00510D32">
        <w:rPr>
          <w:color w:val="000000"/>
          <w:sz w:val="18"/>
        </w:rPr>
        <w:t xml:space="preserve"> </w:t>
      </w:r>
      <w:proofErr w:type="gramStart"/>
      <w:r w:rsidR="00510D32">
        <w:rPr>
          <w:color w:val="000000"/>
          <w:sz w:val="18"/>
        </w:rPr>
        <w:t>ratings</w:t>
      </w:r>
      <w:proofErr w:type="gramEnd"/>
      <w:r w:rsidR="00510D32">
        <w:rPr>
          <w:color w:val="000000"/>
          <w:sz w:val="18"/>
        </w:rPr>
        <w:t xml:space="preserve"> into a single rating of 10%, coded 5003-5259</w:t>
      </w:r>
      <w:r w:rsidR="00DE1423">
        <w:rPr>
          <w:color w:val="000000"/>
          <w:sz w:val="18"/>
        </w:rPr>
        <w:t>,</w:t>
      </w:r>
      <w:r w:rsidR="00510D32">
        <w:rPr>
          <w:color w:val="000000"/>
          <w:sz w:val="18"/>
        </w:rPr>
        <w:t xml:space="preserve"> effective 20090301.</w:t>
      </w:r>
      <w:r w:rsidR="00304134" w:rsidRPr="0084297D">
        <w:rPr>
          <w:color w:val="000000"/>
          <w:sz w:val="18"/>
        </w:rPr>
        <w:t xml:space="preserve"> </w:t>
      </w:r>
    </w:p>
    <w:p w:rsidR="00304134" w:rsidRPr="001F29F9" w:rsidRDefault="00304134" w:rsidP="00A97CD9">
      <w:pPr>
        <w:pBdr>
          <w:bottom w:val="single" w:sz="12" w:space="1" w:color="auto"/>
        </w:pBdr>
        <w:tabs>
          <w:tab w:val="left" w:pos="288"/>
          <w:tab w:val="left" w:pos="4752"/>
        </w:tabs>
        <w:jc w:val="both"/>
        <w:rPr>
          <w:color w:val="000000"/>
        </w:rPr>
      </w:pPr>
    </w:p>
    <w:p w:rsidR="00304134" w:rsidRPr="001F29F9" w:rsidRDefault="00304134">
      <w:pPr>
        <w:rPr>
          <w:color w:val="000000"/>
        </w:rPr>
      </w:pPr>
    </w:p>
    <w:p w:rsidR="001C647A" w:rsidRDefault="001C647A" w:rsidP="00AF1DBB">
      <w:pPr>
        <w:jc w:val="both"/>
        <w:rPr>
          <w:color w:val="000000"/>
          <w:u w:val="single"/>
        </w:rPr>
      </w:pPr>
    </w:p>
    <w:p w:rsidR="00304134" w:rsidRPr="00726F84" w:rsidRDefault="00304134" w:rsidP="00AF1DBB">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Pr="00726F84">
        <w:rPr>
          <w:color w:val="000000"/>
        </w:rPr>
        <w:t xml:space="preserve">The Board acknowledges the CI’s contention that suggests service ratings should have been conferred for other conditions documented at the time of separation. The Board wishes to clarify that it is subject to the same laws for service disability entitlements as those under which the </w:t>
      </w:r>
      <w:r w:rsidR="001C647A">
        <w:rPr>
          <w:color w:val="000000"/>
        </w:rPr>
        <w:t>DES</w:t>
      </w:r>
      <w:r w:rsidRPr="00726F84">
        <w:rPr>
          <w:color w:val="000000"/>
        </w:rPr>
        <w:t xml:space="preserve">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1C647A">
        <w:rPr>
          <w:color w:val="000000"/>
        </w:rPr>
        <w:t>s’</w:t>
      </w:r>
      <w:r w:rsidRPr="00726F84">
        <w:rPr>
          <w:color w:val="000000"/>
        </w:rPr>
        <w:t xml:space="preserve"> Affairs (DVA), operating under a different set of laws (Title 38, United States Code), is empowered to compensate all service connected conditions and to periodically reevaluate said conditions fo</w:t>
      </w:r>
      <w:r w:rsidR="001C647A">
        <w:rPr>
          <w:color w:val="000000"/>
        </w:rPr>
        <w:t>r the purpose of adjusting the V</w:t>
      </w:r>
      <w:r w:rsidRPr="00726F84">
        <w:rPr>
          <w:color w:val="000000"/>
        </w:rPr>
        <w:t xml:space="preserve">eteran’s disability rating should </w:t>
      </w:r>
      <w:r w:rsidR="001C647A">
        <w:rPr>
          <w:color w:val="000000"/>
        </w:rPr>
        <w:t>the</w:t>
      </w:r>
      <w:r w:rsidRPr="00726F84">
        <w:rPr>
          <w:color w:val="000000"/>
        </w:rPr>
        <w:t xml:space="preserve"> degree of impairment vary over time.</w:t>
      </w:r>
    </w:p>
    <w:p w:rsidR="00304134" w:rsidRPr="00B505E9" w:rsidRDefault="00304134" w:rsidP="00AF1DBB">
      <w:pPr>
        <w:jc w:val="both"/>
        <w:rPr>
          <w:color w:val="000000"/>
        </w:rPr>
      </w:pPr>
    </w:p>
    <w:p w:rsidR="00304134" w:rsidRPr="00726F84" w:rsidRDefault="00304134" w:rsidP="00726F84">
      <w:pPr>
        <w:jc w:val="both"/>
        <w:rPr>
          <w:color w:val="000000"/>
        </w:rPr>
      </w:pPr>
      <w:r w:rsidRPr="00726F84">
        <w:rPr>
          <w:color w:val="000000"/>
        </w:rPr>
        <w:t xml:space="preserve">The Board makes note that one of the CI’s contended conditions </w:t>
      </w:r>
      <w:r w:rsidR="001C647A">
        <w:rPr>
          <w:color w:val="000000"/>
        </w:rPr>
        <w:t xml:space="preserve">posttraumatic stress disorder </w:t>
      </w:r>
      <w:r w:rsidR="00784964">
        <w:rPr>
          <w:color w:val="000000"/>
        </w:rPr>
        <w:t xml:space="preserve">(PTSD) </w:t>
      </w:r>
      <w:r w:rsidRPr="00726F84">
        <w:rPr>
          <w:color w:val="000000"/>
        </w:rPr>
        <w:t xml:space="preserve">is derived from VA evaluations performed after separation, diagnosing a condition which was not addressed by the PEB. By policy and precedent the Board has limited its jurisdiction for recommending unadjudicated conditions as unfitting and subject to additional separation rating to those conditions which are evidenced in the core DES file. The core DES file consists of the DA Form 3947, the DA Form 199, the </w:t>
      </w:r>
      <w:r w:rsidR="001C647A">
        <w:rPr>
          <w:color w:val="000000"/>
        </w:rPr>
        <w:t>narrative summary (</w:t>
      </w:r>
      <w:r w:rsidRPr="00726F84">
        <w:rPr>
          <w:color w:val="000000"/>
        </w:rPr>
        <w:t>NARSUM</w:t>
      </w:r>
      <w:r w:rsidR="001C647A">
        <w:rPr>
          <w:color w:val="000000"/>
        </w:rPr>
        <w:t>)</w:t>
      </w:r>
      <w:r w:rsidRPr="00726F84">
        <w:rPr>
          <w:color w:val="000000"/>
        </w:rPr>
        <w:t xml:space="preserve"> (including any addendums or referenced examinations), the MEB physical exam, the </w:t>
      </w:r>
      <w:r w:rsidR="001C647A">
        <w:rPr>
          <w:color w:val="000000"/>
        </w:rPr>
        <w:t>c</w:t>
      </w:r>
      <w:r w:rsidRPr="00726F84">
        <w:rPr>
          <w:color w:val="000000"/>
        </w:rPr>
        <w:t>ommander’s statement, the physical profile(s), and any written appeals or internal DES correspondence. Contended conditions which are not eligible for Board recommendations on this basis remain eligible for submission to the Army Board for Corrections of Military Records (ABCMR).</w:t>
      </w:r>
    </w:p>
    <w:p w:rsidR="00304134" w:rsidRPr="001F29F9" w:rsidRDefault="00304134" w:rsidP="00B22D42">
      <w:pPr>
        <w:jc w:val="both"/>
        <w:rPr>
          <w:color w:val="000000"/>
          <w:highlight w:val="yellow"/>
        </w:rPr>
      </w:pPr>
    </w:p>
    <w:p w:rsidR="00304134" w:rsidRPr="003C53E8" w:rsidRDefault="00304134" w:rsidP="00B22D42">
      <w:pPr>
        <w:jc w:val="both"/>
        <w:rPr>
          <w:rFonts w:cs="Times New Roman"/>
          <w:color w:val="auto"/>
        </w:rPr>
      </w:pPr>
      <w:proofErr w:type="gramStart"/>
      <w:r w:rsidRPr="00726F84">
        <w:rPr>
          <w:color w:val="000000"/>
          <w:u w:val="single"/>
        </w:rPr>
        <w:t>Left Knee Condition</w:t>
      </w:r>
      <w:r w:rsidRPr="00B22D42">
        <w:rPr>
          <w:color w:val="000000"/>
        </w:rPr>
        <w:t>.</w:t>
      </w:r>
      <w:proofErr w:type="gramEnd"/>
      <w:r w:rsidR="003D40AD">
        <w:rPr>
          <w:color w:val="000000"/>
        </w:rPr>
        <w:t xml:space="preserve"> </w:t>
      </w:r>
      <w:r w:rsidR="00731C5E">
        <w:rPr>
          <w:color w:val="000000"/>
        </w:rPr>
        <w:t xml:space="preserve"> Magnetic resonance imaging (MRI) following the 2001 injury</w:t>
      </w:r>
      <w:r w:rsidRPr="00B22D42">
        <w:rPr>
          <w:color w:val="000000"/>
        </w:rPr>
        <w:t xml:space="preserve"> </w:t>
      </w:r>
      <w:r w:rsidR="00731C5E">
        <w:rPr>
          <w:color w:val="000000"/>
        </w:rPr>
        <w:t>demonstrated</w:t>
      </w:r>
      <w:r w:rsidRPr="00B22D42">
        <w:rPr>
          <w:color w:val="000000"/>
        </w:rPr>
        <w:t xml:space="preserve"> a popliteal cyst and a lateral femoral condyle bone bruise</w:t>
      </w:r>
      <w:r w:rsidR="00731C5E">
        <w:rPr>
          <w:color w:val="000000"/>
        </w:rPr>
        <w:t>,</w:t>
      </w:r>
      <w:r w:rsidRPr="00B22D42">
        <w:rPr>
          <w:color w:val="000000"/>
        </w:rPr>
        <w:t xml:space="preserve"> in addition to the torn ACL. </w:t>
      </w:r>
      <w:r w:rsidR="003D40AD">
        <w:rPr>
          <w:color w:val="000000"/>
        </w:rPr>
        <w:t xml:space="preserve"> </w:t>
      </w:r>
      <w:r w:rsidRPr="00B22D42">
        <w:rPr>
          <w:color w:val="000000"/>
        </w:rPr>
        <w:t xml:space="preserve">A successful ACL repair was performed in April 2002, and the CI was able to return to work with physical therapy </w:t>
      </w:r>
      <w:r w:rsidR="00731C5E">
        <w:rPr>
          <w:color w:val="000000"/>
        </w:rPr>
        <w:t>and analgesics</w:t>
      </w:r>
      <w:r w:rsidRPr="00B22D42">
        <w:rPr>
          <w:color w:val="000000"/>
        </w:rPr>
        <w:t>.</w:t>
      </w:r>
      <w:r w:rsidR="003D40AD">
        <w:rPr>
          <w:color w:val="000000"/>
        </w:rPr>
        <w:t xml:space="preserve"> </w:t>
      </w:r>
      <w:r w:rsidRPr="00B22D42">
        <w:rPr>
          <w:color w:val="000000"/>
        </w:rPr>
        <w:t xml:space="preserve"> He reinjured his knee in 2003, and an MRI done in November showed a probable impingement of the </w:t>
      </w:r>
      <w:r w:rsidR="00334EE0">
        <w:rPr>
          <w:color w:val="000000"/>
        </w:rPr>
        <w:t>ACL</w:t>
      </w:r>
      <w:r w:rsidRPr="00B22D42">
        <w:rPr>
          <w:color w:val="000000"/>
        </w:rPr>
        <w:t xml:space="preserve"> and a significant tear in the posterior horn of the medial meniscus. </w:t>
      </w:r>
      <w:r w:rsidR="00731C5E">
        <w:rPr>
          <w:color w:val="000000"/>
        </w:rPr>
        <w:t xml:space="preserve"> </w:t>
      </w:r>
      <w:r w:rsidRPr="00B22D42">
        <w:rPr>
          <w:color w:val="000000"/>
        </w:rPr>
        <w:t xml:space="preserve">The CI chose not to undergo another surgery, and was then deployed to Iraq in January 2005. </w:t>
      </w:r>
      <w:r w:rsidR="003D40AD">
        <w:rPr>
          <w:color w:val="000000"/>
        </w:rPr>
        <w:t xml:space="preserve"> </w:t>
      </w:r>
      <w:r w:rsidRPr="00B22D42">
        <w:rPr>
          <w:color w:val="000000"/>
        </w:rPr>
        <w:t>While in theatre, h</w:t>
      </w:r>
      <w:r>
        <w:rPr>
          <w:color w:val="000000"/>
        </w:rPr>
        <w:t xml:space="preserve">is knee pain worsened and </w:t>
      </w:r>
      <w:r w:rsidR="00731C5E">
        <w:rPr>
          <w:color w:val="000000"/>
        </w:rPr>
        <w:t>resulted in medical evacuation</w:t>
      </w:r>
      <w:r w:rsidRPr="00B22D42">
        <w:rPr>
          <w:color w:val="000000"/>
        </w:rPr>
        <w:t xml:space="preserve"> in April 2005. </w:t>
      </w:r>
      <w:r w:rsidR="00731C5E">
        <w:rPr>
          <w:color w:val="000000"/>
        </w:rPr>
        <w:t xml:space="preserve"> </w:t>
      </w:r>
      <w:r w:rsidRPr="00B22D42">
        <w:rPr>
          <w:color w:val="000000"/>
        </w:rPr>
        <w:t>A second surgery was performed in May 2005</w:t>
      </w:r>
      <w:r w:rsidR="006F7968">
        <w:rPr>
          <w:color w:val="000000"/>
        </w:rPr>
        <w:t xml:space="preserve"> which included an ACL revision and a partial medial </w:t>
      </w:r>
      <w:r w:rsidR="00731C5E">
        <w:rPr>
          <w:color w:val="000000"/>
        </w:rPr>
        <w:t>menisectomy</w:t>
      </w:r>
      <w:r w:rsidRPr="00B22D42">
        <w:rPr>
          <w:color w:val="000000"/>
        </w:rPr>
        <w:t xml:space="preserve">. </w:t>
      </w:r>
      <w:r w:rsidR="003D40AD">
        <w:rPr>
          <w:color w:val="000000"/>
        </w:rPr>
        <w:t xml:space="preserve"> </w:t>
      </w:r>
      <w:r w:rsidR="00731C5E">
        <w:rPr>
          <w:color w:val="000000"/>
        </w:rPr>
        <w:t>Post-</w:t>
      </w:r>
      <w:r w:rsidR="009354A4">
        <w:rPr>
          <w:color w:val="000000"/>
        </w:rPr>
        <w:t xml:space="preserve">operative exams consistently </w:t>
      </w:r>
      <w:r w:rsidR="00731C5E">
        <w:rPr>
          <w:color w:val="000000"/>
        </w:rPr>
        <w:t>documented</w:t>
      </w:r>
      <w:r w:rsidR="009354A4">
        <w:rPr>
          <w:color w:val="000000"/>
        </w:rPr>
        <w:t xml:space="preserve"> </w:t>
      </w:r>
      <w:r w:rsidR="00731C5E">
        <w:rPr>
          <w:color w:val="000000"/>
        </w:rPr>
        <w:t xml:space="preserve">joint </w:t>
      </w:r>
      <w:r w:rsidR="009354A4">
        <w:rPr>
          <w:color w:val="000000"/>
        </w:rPr>
        <w:t>stability</w:t>
      </w:r>
      <w:r w:rsidR="00731C5E">
        <w:rPr>
          <w:color w:val="000000"/>
        </w:rPr>
        <w:t>, and the</w:t>
      </w:r>
      <w:r w:rsidRPr="00B22D42">
        <w:rPr>
          <w:color w:val="000000"/>
        </w:rPr>
        <w:t xml:space="preserve"> condition</w:t>
      </w:r>
      <w:r w:rsidR="00731C5E">
        <w:rPr>
          <w:color w:val="000000"/>
        </w:rPr>
        <w:t xml:space="preserve"> improved with physical therapy;</w:t>
      </w:r>
      <w:r w:rsidRPr="00B22D42">
        <w:rPr>
          <w:color w:val="000000"/>
        </w:rPr>
        <w:t xml:space="preserve"> but</w:t>
      </w:r>
      <w:r w:rsidR="00731C5E">
        <w:rPr>
          <w:color w:val="000000"/>
        </w:rPr>
        <w:t>,</w:t>
      </w:r>
      <w:r w:rsidRPr="00B22D42">
        <w:rPr>
          <w:color w:val="000000"/>
        </w:rPr>
        <w:t xml:space="preserve"> </w:t>
      </w:r>
      <w:r w:rsidR="00731C5E">
        <w:rPr>
          <w:color w:val="000000"/>
        </w:rPr>
        <w:t>t</w:t>
      </w:r>
      <w:r w:rsidRPr="00B22D42">
        <w:rPr>
          <w:color w:val="000000"/>
        </w:rPr>
        <w:t xml:space="preserve">he </w:t>
      </w:r>
      <w:r w:rsidR="00731C5E">
        <w:rPr>
          <w:color w:val="000000"/>
        </w:rPr>
        <w:t>continuing</w:t>
      </w:r>
      <w:r w:rsidRPr="00B22D42">
        <w:rPr>
          <w:color w:val="000000"/>
        </w:rPr>
        <w:t xml:space="preserve"> pain </w:t>
      </w:r>
      <w:r w:rsidR="00DA36A5">
        <w:rPr>
          <w:color w:val="000000"/>
        </w:rPr>
        <w:t>was</w:t>
      </w:r>
      <w:r w:rsidRPr="00B22D42">
        <w:rPr>
          <w:color w:val="000000"/>
        </w:rPr>
        <w:t xml:space="preserve"> treated with </w:t>
      </w:r>
      <w:r>
        <w:rPr>
          <w:color w:val="000000"/>
        </w:rPr>
        <w:t>escalating doses of narcotics</w:t>
      </w:r>
      <w:r w:rsidR="00DA36A5">
        <w:rPr>
          <w:color w:val="000000"/>
        </w:rPr>
        <w:t xml:space="preserve"> which </w:t>
      </w:r>
      <w:r>
        <w:rPr>
          <w:color w:val="000000"/>
        </w:rPr>
        <w:t xml:space="preserve">eventually </w:t>
      </w:r>
      <w:r w:rsidR="00DA36A5">
        <w:rPr>
          <w:color w:val="000000"/>
        </w:rPr>
        <w:t>led</w:t>
      </w:r>
      <w:r>
        <w:rPr>
          <w:color w:val="000000"/>
        </w:rPr>
        <w:t xml:space="preserve"> to opioid dependence</w:t>
      </w:r>
      <w:r w:rsidRPr="00B22D42">
        <w:rPr>
          <w:color w:val="000000"/>
        </w:rPr>
        <w:t xml:space="preserve">. </w:t>
      </w:r>
      <w:r w:rsidR="003D40AD">
        <w:rPr>
          <w:color w:val="000000"/>
        </w:rPr>
        <w:t xml:space="preserve"> </w:t>
      </w:r>
      <w:r w:rsidR="006F7968">
        <w:rPr>
          <w:color w:val="000000"/>
        </w:rPr>
        <w:t xml:space="preserve">There is no evidence of incapacitating episodes.  </w:t>
      </w:r>
      <w:r w:rsidRPr="00B22D42">
        <w:rPr>
          <w:color w:val="000000"/>
        </w:rPr>
        <w:t xml:space="preserve">There were </w:t>
      </w:r>
      <w:r w:rsidR="00DA36A5">
        <w:rPr>
          <w:color w:val="000000"/>
        </w:rPr>
        <w:t>two</w:t>
      </w:r>
      <w:r w:rsidR="001C647A">
        <w:rPr>
          <w:color w:val="000000"/>
        </w:rPr>
        <w:t xml:space="preserve"> goniometric range-of-</w:t>
      </w:r>
      <w:r w:rsidRPr="00B22D42">
        <w:rPr>
          <w:color w:val="000000"/>
        </w:rPr>
        <w:t>motion (ROM) evaluations in evidence, with documentation of additional ratable criteria, which the Board weighed in arriving at its rating recommendation</w:t>
      </w:r>
      <w:r w:rsidRPr="00B22D42">
        <w:rPr>
          <w:rFonts w:cs="Times New Roman"/>
          <w:color w:val="auto"/>
        </w:rPr>
        <w:t>.</w:t>
      </w:r>
      <w:r w:rsidR="00DA36A5">
        <w:rPr>
          <w:rFonts w:cs="Times New Roman"/>
          <w:color w:val="auto"/>
        </w:rPr>
        <w:t xml:space="preserve">  These are summarized in the chart below.</w:t>
      </w:r>
    </w:p>
    <w:tbl>
      <w:tblPr>
        <w:tblpPr w:leftFromText="180" w:rightFromText="180" w:vertAnchor="text" w:horzAnchor="margin" w:tblpXSpec="center" w:tblpY="153"/>
        <w:tblOverlap w:val="never"/>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1890"/>
        <w:gridCol w:w="2250"/>
      </w:tblGrid>
      <w:tr w:rsidR="00DE1423" w:rsidRPr="000D5DBE" w:rsidTr="00DE1423">
        <w:tc>
          <w:tcPr>
            <w:tcW w:w="2088" w:type="dxa"/>
            <w:shd w:val="clear" w:color="auto" w:fill="D9D9D9"/>
            <w:vAlign w:val="center"/>
          </w:tcPr>
          <w:p w:rsidR="00DE1423" w:rsidRPr="00DE1423" w:rsidRDefault="00DE1423" w:rsidP="00DE1423">
            <w:pPr>
              <w:contextualSpacing/>
              <w:rPr>
                <w:color w:val="000000"/>
                <w:sz w:val="20"/>
              </w:rPr>
            </w:pPr>
            <w:r w:rsidRPr="00DE1423">
              <w:rPr>
                <w:color w:val="000000"/>
                <w:sz w:val="20"/>
              </w:rPr>
              <w:t>Left Knee ROM</w:t>
            </w:r>
          </w:p>
        </w:tc>
        <w:tc>
          <w:tcPr>
            <w:tcW w:w="1890" w:type="dxa"/>
            <w:shd w:val="clear" w:color="auto" w:fill="D9D9D9"/>
            <w:vAlign w:val="center"/>
          </w:tcPr>
          <w:p w:rsidR="00DE1423" w:rsidRPr="00DE1423" w:rsidRDefault="00DE1423" w:rsidP="00DE1423">
            <w:pPr>
              <w:contextualSpacing/>
              <w:rPr>
                <w:color w:val="000000"/>
                <w:sz w:val="20"/>
              </w:rPr>
            </w:pPr>
            <w:r>
              <w:rPr>
                <w:color w:val="000000"/>
                <w:sz w:val="20"/>
              </w:rPr>
              <w:t>MEB ~</w:t>
            </w:r>
            <w:r w:rsidRPr="00DE1423">
              <w:rPr>
                <w:color w:val="000000"/>
                <w:sz w:val="20"/>
              </w:rPr>
              <w:t>3 Mo. Pre-Sep</w:t>
            </w:r>
          </w:p>
        </w:tc>
        <w:tc>
          <w:tcPr>
            <w:tcW w:w="2250" w:type="dxa"/>
            <w:shd w:val="clear" w:color="auto" w:fill="D9D9D9"/>
            <w:vAlign w:val="center"/>
          </w:tcPr>
          <w:p w:rsidR="00DE1423" w:rsidRPr="00DE1423" w:rsidRDefault="00DE1423" w:rsidP="00DE1423">
            <w:pPr>
              <w:contextualSpacing/>
              <w:rPr>
                <w:color w:val="000000"/>
                <w:sz w:val="20"/>
              </w:rPr>
            </w:pPr>
            <w:r>
              <w:rPr>
                <w:color w:val="000000"/>
                <w:sz w:val="20"/>
              </w:rPr>
              <w:t>VA C&amp;P ~</w:t>
            </w:r>
            <w:r w:rsidRPr="00DE1423">
              <w:rPr>
                <w:color w:val="000000"/>
                <w:sz w:val="20"/>
              </w:rPr>
              <w:t>7 Mo. Post-Sep</w:t>
            </w:r>
          </w:p>
        </w:tc>
      </w:tr>
      <w:tr w:rsidR="00DE1423" w:rsidRPr="000D5DBE" w:rsidTr="00DE1423">
        <w:tc>
          <w:tcPr>
            <w:tcW w:w="2088" w:type="dxa"/>
            <w:vAlign w:val="center"/>
          </w:tcPr>
          <w:p w:rsidR="00DE1423" w:rsidRPr="00DE1423" w:rsidRDefault="00DE1423" w:rsidP="00DE1423">
            <w:pPr>
              <w:contextualSpacing/>
              <w:rPr>
                <w:color w:val="000000"/>
                <w:sz w:val="20"/>
              </w:rPr>
            </w:pPr>
            <w:r>
              <w:rPr>
                <w:color w:val="000000"/>
                <w:sz w:val="20"/>
              </w:rPr>
              <w:t>Flexion (140⁰ N</w:t>
            </w:r>
            <w:r w:rsidRPr="00DE1423">
              <w:rPr>
                <w:color w:val="000000"/>
                <w:sz w:val="20"/>
              </w:rPr>
              <w:t>ormal)</w:t>
            </w:r>
          </w:p>
        </w:tc>
        <w:tc>
          <w:tcPr>
            <w:tcW w:w="1890" w:type="dxa"/>
            <w:vAlign w:val="center"/>
          </w:tcPr>
          <w:p w:rsidR="00DE1423" w:rsidRPr="00DE1423" w:rsidRDefault="00DE1423" w:rsidP="00DE1423">
            <w:pPr>
              <w:contextualSpacing/>
              <w:rPr>
                <w:color w:val="000000"/>
                <w:sz w:val="20"/>
              </w:rPr>
            </w:pPr>
            <w:r w:rsidRPr="00DE1423">
              <w:rPr>
                <w:color w:val="000000"/>
                <w:sz w:val="20"/>
              </w:rPr>
              <w:t>127⁰</w:t>
            </w:r>
          </w:p>
        </w:tc>
        <w:tc>
          <w:tcPr>
            <w:tcW w:w="2250" w:type="dxa"/>
            <w:vAlign w:val="center"/>
          </w:tcPr>
          <w:p w:rsidR="00DE1423" w:rsidRPr="00DE1423" w:rsidRDefault="00DE1423" w:rsidP="00DE1423">
            <w:pPr>
              <w:contextualSpacing/>
              <w:rPr>
                <w:color w:val="000000"/>
                <w:sz w:val="20"/>
              </w:rPr>
            </w:pPr>
            <w:r w:rsidRPr="00DE1423">
              <w:rPr>
                <w:color w:val="000000"/>
                <w:sz w:val="20"/>
              </w:rPr>
              <w:t>140⁰</w:t>
            </w:r>
          </w:p>
        </w:tc>
      </w:tr>
      <w:tr w:rsidR="00DE1423" w:rsidRPr="000D5DBE" w:rsidTr="00DE1423">
        <w:tc>
          <w:tcPr>
            <w:tcW w:w="2088" w:type="dxa"/>
            <w:tcBorders>
              <w:bottom w:val="single" w:sz="4" w:space="0" w:color="auto"/>
            </w:tcBorders>
            <w:vAlign w:val="center"/>
          </w:tcPr>
          <w:p w:rsidR="00DE1423" w:rsidRPr="00DE1423" w:rsidRDefault="00DE1423" w:rsidP="00DE1423">
            <w:pPr>
              <w:contextualSpacing/>
              <w:rPr>
                <w:color w:val="000000"/>
                <w:sz w:val="20"/>
              </w:rPr>
            </w:pPr>
            <w:r>
              <w:rPr>
                <w:color w:val="000000"/>
                <w:sz w:val="20"/>
              </w:rPr>
              <w:t>Extension (0⁰ N</w:t>
            </w:r>
            <w:r w:rsidRPr="00DE1423">
              <w:rPr>
                <w:color w:val="000000"/>
                <w:sz w:val="20"/>
              </w:rPr>
              <w:t>ormal)</w:t>
            </w:r>
          </w:p>
        </w:tc>
        <w:tc>
          <w:tcPr>
            <w:tcW w:w="1890" w:type="dxa"/>
            <w:tcBorders>
              <w:bottom w:val="single" w:sz="4" w:space="0" w:color="auto"/>
            </w:tcBorders>
            <w:vAlign w:val="center"/>
          </w:tcPr>
          <w:p w:rsidR="00DE1423" w:rsidRPr="00DE1423" w:rsidRDefault="00DE1423" w:rsidP="00DE1423">
            <w:pPr>
              <w:contextualSpacing/>
              <w:rPr>
                <w:color w:val="000000"/>
                <w:sz w:val="20"/>
              </w:rPr>
            </w:pPr>
            <w:r w:rsidRPr="00DE1423">
              <w:rPr>
                <w:color w:val="000000"/>
                <w:sz w:val="20"/>
              </w:rPr>
              <w:t>0⁰</w:t>
            </w:r>
          </w:p>
        </w:tc>
        <w:tc>
          <w:tcPr>
            <w:tcW w:w="2250" w:type="dxa"/>
            <w:tcBorders>
              <w:bottom w:val="single" w:sz="4" w:space="0" w:color="auto"/>
            </w:tcBorders>
            <w:vAlign w:val="center"/>
          </w:tcPr>
          <w:p w:rsidR="00DE1423" w:rsidRPr="00DE1423" w:rsidRDefault="00DE1423" w:rsidP="00DE1423">
            <w:pPr>
              <w:contextualSpacing/>
              <w:rPr>
                <w:color w:val="000000"/>
                <w:sz w:val="20"/>
              </w:rPr>
            </w:pPr>
            <w:r w:rsidRPr="00DE1423">
              <w:rPr>
                <w:color w:val="000000"/>
                <w:sz w:val="20"/>
              </w:rPr>
              <w:t>0⁰</w:t>
            </w:r>
          </w:p>
        </w:tc>
      </w:tr>
      <w:tr w:rsidR="00DE1423" w:rsidRPr="000D5DBE" w:rsidTr="00DE1423">
        <w:tc>
          <w:tcPr>
            <w:tcW w:w="2088" w:type="dxa"/>
            <w:tcBorders>
              <w:top w:val="single" w:sz="4" w:space="0" w:color="auto"/>
              <w:left w:val="single" w:sz="4" w:space="0" w:color="auto"/>
              <w:bottom w:val="single" w:sz="4" w:space="0" w:color="auto"/>
              <w:right w:val="single" w:sz="4" w:space="0" w:color="auto"/>
            </w:tcBorders>
            <w:vAlign w:val="center"/>
          </w:tcPr>
          <w:p w:rsidR="00DE1423" w:rsidRPr="00DE1423" w:rsidRDefault="00DE1423" w:rsidP="00DE1423">
            <w:pPr>
              <w:tabs>
                <w:tab w:val="left" w:pos="288"/>
                <w:tab w:val="left" w:pos="4752"/>
              </w:tabs>
              <w:rPr>
                <w:color w:val="000000"/>
                <w:sz w:val="20"/>
              </w:rPr>
            </w:pPr>
            <w:r w:rsidRPr="00DE1423">
              <w:rPr>
                <w:color w:val="000000"/>
                <w:sz w:val="20"/>
              </w:rPr>
              <w:t>§4.71a Rating</w:t>
            </w:r>
          </w:p>
        </w:tc>
        <w:tc>
          <w:tcPr>
            <w:tcW w:w="1890" w:type="dxa"/>
            <w:tcBorders>
              <w:top w:val="single" w:sz="4" w:space="0" w:color="auto"/>
              <w:left w:val="single" w:sz="4" w:space="0" w:color="auto"/>
              <w:bottom w:val="single" w:sz="4" w:space="0" w:color="auto"/>
              <w:right w:val="single" w:sz="4" w:space="0" w:color="auto"/>
            </w:tcBorders>
            <w:vAlign w:val="center"/>
          </w:tcPr>
          <w:p w:rsidR="00DE1423" w:rsidRPr="00DE1423" w:rsidRDefault="00DE1423" w:rsidP="00DE1423">
            <w:pPr>
              <w:tabs>
                <w:tab w:val="left" w:pos="288"/>
                <w:tab w:val="left" w:pos="4752"/>
              </w:tabs>
              <w:rPr>
                <w:color w:val="000000"/>
                <w:sz w:val="20"/>
              </w:rPr>
            </w:pPr>
            <w:r w:rsidRPr="00DE1423">
              <w:rPr>
                <w:color w:val="000000"/>
                <w:sz w:val="20"/>
              </w:rPr>
              <w:t>10%*</w:t>
            </w:r>
          </w:p>
        </w:tc>
        <w:tc>
          <w:tcPr>
            <w:tcW w:w="2250" w:type="dxa"/>
            <w:tcBorders>
              <w:top w:val="single" w:sz="4" w:space="0" w:color="auto"/>
              <w:left w:val="single" w:sz="4" w:space="0" w:color="auto"/>
              <w:bottom w:val="single" w:sz="4" w:space="0" w:color="auto"/>
              <w:right w:val="single" w:sz="4" w:space="0" w:color="auto"/>
            </w:tcBorders>
            <w:vAlign w:val="center"/>
          </w:tcPr>
          <w:p w:rsidR="00DE1423" w:rsidRPr="00DE1423" w:rsidRDefault="00DE1423" w:rsidP="00DE1423">
            <w:pPr>
              <w:tabs>
                <w:tab w:val="left" w:pos="288"/>
                <w:tab w:val="left" w:pos="4752"/>
              </w:tabs>
              <w:rPr>
                <w:color w:val="000000"/>
                <w:sz w:val="20"/>
              </w:rPr>
            </w:pPr>
            <w:r w:rsidRPr="00DE1423">
              <w:rPr>
                <w:color w:val="000000"/>
                <w:sz w:val="20"/>
              </w:rPr>
              <w:t>10% (under 5259)</w:t>
            </w:r>
          </w:p>
        </w:tc>
      </w:tr>
    </w:tbl>
    <w:p w:rsidR="00304134" w:rsidRPr="001F29F9" w:rsidRDefault="00304134" w:rsidP="00B22D42">
      <w:pPr>
        <w:jc w:val="both"/>
        <w:rPr>
          <w:color w:val="000000"/>
        </w:rPr>
      </w:pPr>
    </w:p>
    <w:p w:rsidR="003D40AD" w:rsidRDefault="003D40AD" w:rsidP="003C53E8">
      <w:pPr>
        <w:tabs>
          <w:tab w:val="left" w:pos="288"/>
          <w:tab w:val="left" w:pos="4752"/>
        </w:tabs>
        <w:jc w:val="left"/>
        <w:rPr>
          <w:rFonts w:cs="Times New Roman"/>
          <w:color w:val="auto"/>
          <w:sz w:val="18"/>
        </w:rPr>
      </w:pPr>
    </w:p>
    <w:p w:rsidR="003D40AD" w:rsidRDefault="003D40AD" w:rsidP="003C53E8">
      <w:pPr>
        <w:tabs>
          <w:tab w:val="left" w:pos="288"/>
          <w:tab w:val="left" w:pos="4752"/>
        </w:tabs>
        <w:jc w:val="left"/>
        <w:rPr>
          <w:rFonts w:cs="Times New Roman"/>
          <w:color w:val="auto"/>
          <w:sz w:val="18"/>
        </w:rPr>
      </w:pPr>
    </w:p>
    <w:p w:rsidR="003D40AD" w:rsidRDefault="003D40AD" w:rsidP="003C53E8">
      <w:pPr>
        <w:tabs>
          <w:tab w:val="left" w:pos="288"/>
          <w:tab w:val="left" w:pos="4752"/>
        </w:tabs>
        <w:jc w:val="left"/>
        <w:rPr>
          <w:rFonts w:cs="Times New Roman"/>
          <w:color w:val="auto"/>
          <w:sz w:val="18"/>
        </w:rPr>
      </w:pPr>
    </w:p>
    <w:p w:rsidR="003D40AD" w:rsidRDefault="003D40AD" w:rsidP="003C53E8">
      <w:pPr>
        <w:tabs>
          <w:tab w:val="left" w:pos="288"/>
          <w:tab w:val="left" w:pos="4752"/>
        </w:tabs>
        <w:jc w:val="left"/>
        <w:rPr>
          <w:rFonts w:cs="Times New Roman"/>
          <w:color w:val="auto"/>
          <w:sz w:val="18"/>
        </w:rPr>
      </w:pPr>
    </w:p>
    <w:p w:rsidR="00304134" w:rsidRPr="003D40AD" w:rsidRDefault="00DE1423" w:rsidP="00DE1423">
      <w:pPr>
        <w:tabs>
          <w:tab w:val="left" w:pos="288"/>
          <w:tab w:val="left" w:pos="4410"/>
        </w:tabs>
        <w:spacing w:after="120" w:line="240" w:lineRule="auto"/>
        <w:jc w:val="left"/>
        <w:rPr>
          <w:rFonts w:cs="Times New Roman"/>
          <w:color w:val="auto"/>
          <w:sz w:val="20"/>
        </w:rPr>
      </w:pPr>
      <w:r>
        <w:rPr>
          <w:rFonts w:cs="Times New Roman"/>
          <w:color w:val="auto"/>
          <w:sz w:val="18"/>
        </w:rPr>
        <w:t xml:space="preserve">                                                                    </w:t>
      </w:r>
      <w:r w:rsidR="00304134" w:rsidRPr="003D40AD">
        <w:rPr>
          <w:rFonts w:cs="Times New Roman"/>
          <w:color w:val="auto"/>
          <w:sz w:val="20"/>
        </w:rPr>
        <w:t>* Conceding §4.59 (painful motion) as below.</w:t>
      </w:r>
    </w:p>
    <w:p w:rsidR="00304134" w:rsidRPr="003C53E8" w:rsidRDefault="00DA36A5" w:rsidP="003D40AD">
      <w:pPr>
        <w:tabs>
          <w:tab w:val="left" w:pos="288"/>
          <w:tab w:val="left" w:pos="4752"/>
        </w:tabs>
        <w:jc w:val="both"/>
        <w:rPr>
          <w:rFonts w:cs="Times New Roman"/>
          <w:color w:val="auto"/>
        </w:rPr>
      </w:pPr>
      <w:r>
        <w:rPr>
          <w:rFonts w:cs="Times New Roman"/>
          <w:color w:val="auto"/>
        </w:rPr>
        <w:t>At</w:t>
      </w:r>
      <w:r w:rsidR="00304134" w:rsidRPr="003C53E8">
        <w:rPr>
          <w:rFonts w:cs="Times New Roman"/>
          <w:color w:val="auto"/>
        </w:rPr>
        <w:t xml:space="preserve"> the MEB exam, the CI reported that his pain was well controlled with medication and only rated 1 of 10. </w:t>
      </w:r>
      <w:r>
        <w:rPr>
          <w:rFonts w:cs="Times New Roman"/>
          <w:color w:val="auto"/>
        </w:rPr>
        <w:t xml:space="preserve"> He</w:t>
      </w:r>
      <w:r w:rsidR="00245969">
        <w:rPr>
          <w:rFonts w:cs="Times New Roman"/>
          <w:color w:val="auto"/>
        </w:rPr>
        <w:t xml:space="preserve"> could not</w:t>
      </w:r>
      <w:r w:rsidR="00304134" w:rsidRPr="003C53E8">
        <w:rPr>
          <w:rFonts w:cs="Times New Roman"/>
          <w:color w:val="auto"/>
        </w:rPr>
        <w:t xml:space="preserve"> lift over 20 pounds, kneel, squat, run, jump, or </w:t>
      </w:r>
      <w:proofErr w:type="gramStart"/>
      <w:r w:rsidR="00304134" w:rsidRPr="003C53E8">
        <w:rPr>
          <w:rFonts w:cs="Times New Roman"/>
          <w:color w:val="auto"/>
        </w:rPr>
        <w:t>march</w:t>
      </w:r>
      <w:proofErr w:type="gramEnd"/>
      <w:r w:rsidR="00304134" w:rsidRPr="003C53E8">
        <w:rPr>
          <w:rFonts w:cs="Times New Roman"/>
          <w:color w:val="auto"/>
        </w:rPr>
        <w:t xml:space="preserve"> </w:t>
      </w:r>
      <w:r w:rsidR="00510D32">
        <w:rPr>
          <w:rFonts w:cs="Times New Roman"/>
          <w:color w:val="auto"/>
        </w:rPr>
        <w:t xml:space="preserve">for </w:t>
      </w:r>
      <w:r w:rsidR="00304134" w:rsidRPr="003C53E8">
        <w:rPr>
          <w:rFonts w:cs="Times New Roman"/>
          <w:color w:val="auto"/>
        </w:rPr>
        <w:t xml:space="preserve">long distances. </w:t>
      </w:r>
      <w:r>
        <w:rPr>
          <w:rFonts w:cs="Times New Roman"/>
          <w:color w:val="auto"/>
        </w:rPr>
        <w:t xml:space="preserve"> On physical exam</w:t>
      </w:r>
      <w:r w:rsidR="00304134" w:rsidRPr="003C53E8">
        <w:rPr>
          <w:rFonts w:cs="Times New Roman"/>
          <w:color w:val="auto"/>
        </w:rPr>
        <w:t xml:space="preserve">, </w:t>
      </w:r>
      <w:r>
        <w:rPr>
          <w:rFonts w:cs="Times New Roman"/>
          <w:color w:val="auto"/>
        </w:rPr>
        <w:t>there was</w:t>
      </w:r>
      <w:r w:rsidR="00304134" w:rsidRPr="003C53E8">
        <w:rPr>
          <w:rFonts w:cs="Times New Roman"/>
          <w:color w:val="auto"/>
        </w:rPr>
        <w:t xml:space="preserve"> a </w:t>
      </w:r>
      <w:r>
        <w:rPr>
          <w:rFonts w:cs="Times New Roman"/>
          <w:color w:val="auto"/>
        </w:rPr>
        <w:t>modest limitation of ROM</w:t>
      </w:r>
      <w:r w:rsidR="00304134" w:rsidRPr="003C53E8">
        <w:rPr>
          <w:rFonts w:cs="Times New Roman"/>
          <w:color w:val="auto"/>
        </w:rPr>
        <w:t xml:space="preserve"> with only slight discomfort at the limit.</w:t>
      </w:r>
      <w:r>
        <w:rPr>
          <w:rFonts w:cs="Times New Roman"/>
          <w:color w:val="auto"/>
        </w:rPr>
        <w:t xml:space="preserve">  There</w:t>
      </w:r>
      <w:r w:rsidR="00304134" w:rsidRPr="003C53E8">
        <w:rPr>
          <w:rFonts w:cs="Times New Roman"/>
          <w:color w:val="auto"/>
        </w:rPr>
        <w:t xml:space="preserve"> </w:t>
      </w:r>
      <w:r>
        <w:rPr>
          <w:rFonts w:cs="Times New Roman"/>
          <w:color w:val="auto"/>
        </w:rPr>
        <w:t>was m</w:t>
      </w:r>
      <w:r w:rsidR="00304134" w:rsidRPr="003C53E8">
        <w:rPr>
          <w:rFonts w:cs="Times New Roman"/>
          <w:color w:val="auto"/>
        </w:rPr>
        <w:t xml:space="preserve">ild </w:t>
      </w:r>
      <w:r w:rsidRPr="003C53E8">
        <w:rPr>
          <w:rFonts w:cs="Times New Roman"/>
          <w:color w:val="auto"/>
        </w:rPr>
        <w:t xml:space="preserve">popliteal </w:t>
      </w:r>
      <w:r w:rsidR="00304134" w:rsidRPr="003C53E8">
        <w:rPr>
          <w:rFonts w:cs="Times New Roman"/>
          <w:color w:val="auto"/>
        </w:rPr>
        <w:t>tenderness</w:t>
      </w:r>
      <w:r>
        <w:rPr>
          <w:rFonts w:cs="Times New Roman"/>
          <w:color w:val="auto"/>
        </w:rPr>
        <w:t>; no effusion; no positive meniscal signs; and,</w:t>
      </w:r>
      <w:r w:rsidR="00304134" w:rsidRPr="003C53E8">
        <w:rPr>
          <w:rFonts w:cs="Times New Roman"/>
          <w:color w:val="auto"/>
        </w:rPr>
        <w:t xml:space="preserve"> </w:t>
      </w:r>
      <w:r>
        <w:rPr>
          <w:rFonts w:cs="Times New Roman"/>
          <w:color w:val="auto"/>
        </w:rPr>
        <w:t>and no</w:t>
      </w:r>
      <w:r w:rsidR="00304134">
        <w:rPr>
          <w:rFonts w:cs="Times New Roman"/>
          <w:color w:val="auto"/>
        </w:rPr>
        <w:t xml:space="preserve"> instability</w:t>
      </w:r>
      <w:r>
        <w:rPr>
          <w:rFonts w:cs="Times New Roman"/>
          <w:color w:val="auto"/>
        </w:rPr>
        <w:t xml:space="preserve"> to stress maneuvers</w:t>
      </w:r>
      <w:r w:rsidR="00304134" w:rsidRPr="003C53E8">
        <w:rPr>
          <w:rFonts w:cs="Times New Roman"/>
          <w:color w:val="auto"/>
        </w:rPr>
        <w:t xml:space="preserve">. The </w:t>
      </w:r>
      <w:r>
        <w:rPr>
          <w:rFonts w:cs="Times New Roman"/>
          <w:color w:val="auto"/>
        </w:rPr>
        <w:t>examiner opined that the</w:t>
      </w:r>
      <w:r w:rsidR="00304134" w:rsidRPr="003C53E8">
        <w:rPr>
          <w:rFonts w:cs="Times New Roman"/>
          <w:color w:val="auto"/>
        </w:rPr>
        <w:t xml:space="preserve"> condition </w:t>
      </w:r>
      <w:r>
        <w:rPr>
          <w:rFonts w:cs="Times New Roman"/>
          <w:color w:val="auto"/>
        </w:rPr>
        <w:t>w</w:t>
      </w:r>
      <w:r w:rsidR="00304134" w:rsidRPr="003C53E8">
        <w:rPr>
          <w:rFonts w:cs="Times New Roman"/>
          <w:color w:val="auto"/>
        </w:rPr>
        <w:t>as stable</w:t>
      </w:r>
      <w:r>
        <w:rPr>
          <w:rFonts w:cs="Times New Roman"/>
          <w:color w:val="auto"/>
        </w:rPr>
        <w:t>,</w:t>
      </w:r>
      <w:r w:rsidR="00304134" w:rsidRPr="003C53E8">
        <w:rPr>
          <w:rFonts w:cs="Times New Roman"/>
          <w:color w:val="auto"/>
        </w:rPr>
        <w:t xml:space="preserve"> with a good prognosis for </w:t>
      </w:r>
      <w:r w:rsidR="00245969">
        <w:rPr>
          <w:rFonts w:cs="Times New Roman"/>
          <w:color w:val="auto"/>
        </w:rPr>
        <w:t>a</w:t>
      </w:r>
      <w:r w:rsidR="00304134" w:rsidRPr="003C53E8">
        <w:rPr>
          <w:rFonts w:cs="Times New Roman"/>
          <w:color w:val="auto"/>
        </w:rPr>
        <w:t xml:space="preserve"> less physically demanding occupation.</w:t>
      </w:r>
      <w:r w:rsidR="00304134">
        <w:rPr>
          <w:rFonts w:cs="Times New Roman"/>
          <w:color w:val="auto"/>
        </w:rPr>
        <w:t xml:space="preserve"> </w:t>
      </w:r>
      <w:r w:rsidR="00304134" w:rsidRPr="003C53E8">
        <w:rPr>
          <w:rFonts w:cs="Times New Roman"/>
          <w:color w:val="auto"/>
        </w:rPr>
        <w:t xml:space="preserve"> </w:t>
      </w:r>
      <w:r>
        <w:rPr>
          <w:rFonts w:cs="Times New Roman"/>
          <w:color w:val="auto"/>
        </w:rPr>
        <w:t>A</w:t>
      </w:r>
      <w:r w:rsidR="00304134" w:rsidRPr="003C53E8">
        <w:rPr>
          <w:rFonts w:cs="Times New Roman"/>
          <w:color w:val="auto"/>
        </w:rPr>
        <w:t xml:space="preserve"> VA </w:t>
      </w:r>
      <w:r w:rsidR="006F7968">
        <w:rPr>
          <w:rFonts w:cs="Times New Roman"/>
          <w:color w:val="auto"/>
        </w:rPr>
        <w:t xml:space="preserve">clinical </w:t>
      </w:r>
      <w:r>
        <w:rPr>
          <w:rFonts w:cs="Times New Roman"/>
          <w:color w:val="auto"/>
        </w:rPr>
        <w:t>note</w:t>
      </w:r>
      <w:r w:rsidR="008E6B87">
        <w:rPr>
          <w:rFonts w:cs="Times New Roman"/>
          <w:color w:val="auto"/>
        </w:rPr>
        <w:t xml:space="preserve"> two</w:t>
      </w:r>
      <w:r w:rsidR="00304134" w:rsidRPr="003C53E8">
        <w:rPr>
          <w:rFonts w:cs="Times New Roman"/>
          <w:color w:val="auto"/>
        </w:rPr>
        <w:t xml:space="preserve"> weeks </w:t>
      </w:r>
      <w:r w:rsidR="008E6B87">
        <w:rPr>
          <w:rFonts w:cs="Times New Roman"/>
          <w:color w:val="auto"/>
        </w:rPr>
        <w:t>after separation documented</w:t>
      </w:r>
      <w:r w:rsidR="00304134" w:rsidRPr="003C53E8">
        <w:rPr>
          <w:rFonts w:cs="Times New Roman"/>
          <w:color w:val="auto"/>
        </w:rPr>
        <w:t xml:space="preserve"> a full passive and active ROM</w:t>
      </w:r>
      <w:r w:rsidR="008E6B87">
        <w:rPr>
          <w:rFonts w:cs="Times New Roman"/>
          <w:color w:val="auto"/>
        </w:rPr>
        <w:t>,</w:t>
      </w:r>
      <w:r w:rsidR="00304134" w:rsidRPr="003C53E8">
        <w:rPr>
          <w:rFonts w:cs="Times New Roman"/>
          <w:color w:val="auto"/>
        </w:rPr>
        <w:t xml:space="preserve"> </w:t>
      </w:r>
      <w:r w:rsidR="008E6B87">
        <w:rPr>
          <w:rFonts w:cs="Times New Roman"/>
          <w:color w:val="auto"/>
        </w:rPr>
        <w:t>but</w:t>
      </w:r>
      <w:r w:rsidR="00304134" w:rsidRPr="003C53E8">
        <w:rPr>
          <w:rFonts w:cs="Times New Roman"/>
          <w:color w:val="auto"/>
        </w:rPr>
        <w:t xml:space="preserve"> pain </w:t>
      </w:r>
      <w:r w:rsidR="008E6B87">
        <w:rPr>
          <w:rFonts w:cs="Times New Roman"/>
          <w:color w:val="auto"/>
        </w:rPr>
        <w:t>with</w:t>
      </w:r>
      <w:r w:rsidR="00304134" w:rsidRPr="003C53E8">
        <w:rPr>
          <w:rFonts w:cs="Times New Roman"/>
          <w:color w:val="auto"/>
        </w:rPr>
        <w:t xml:space="preserve"> weight bearing. </w:t>
      </w:r>
      <w:r w:rsidR="00D70176">
        <w:rPr>
          <w:rFonts w:cs="Times New Roman"/>
          <w:color w:val="auto"/>
        </w:rPr>
        <w:t xml:space="preserve"> </w:t>
      </w:r>
      <w:r w:rsidR="00304134" w:rsidRPr="003C53E8">
        <w:rPr>
          <w:rFonts w:cs="Times New Roman"/>
          <w:color w:val="auto"/>
        </w:rPr>
        <w:t xml:space="preserve">At the </w:t>
      </w:r>
      <w:r w:rsidR="008E6B87" w:rsidRPr="003C53E8">
        <w:rPr>
          <w:rFonts w:cs="Times New Roman"/>
          <w:color w:val="auto"/>
        </w:rPr>
        <w:t xml:space="preserve">post-separation </w:t>
      </w:r>
      <w:r w:rsidR="00304134" w:rsidRPr="003C53E8">
        <w:rPr>
          <w:rFonts w:cs="Times New Roman"/>
          <w:color w:val="auto"/>
        </w:rPr>
        <w:t xml:space="preserve">VA Compensation &amp; Pension (C&amp;P) exam, the CI reported constant pain </w:t>
      </w:r>
      <w:r w:rsidR="001C647A">
        <w:rPr>
          <w:rFonts w:cs="Times New Roman"/>
          <w:color w:val="auto"/>
        </w:rPr>
        <w:t>(2/</w:t>
      </w:r>
      <w:r w:rsidR="00304134" w:rsidRPr="003C53E8">
        <w:rPr>
          <w:rFonts w:cs="Times New Roman"/>
          <w:color w:val="auto"/>
        </w:rPr>
        <w:t>10</w:t>
      </w:r>
      <w:r w:rsidR="008E6B87">
        <w:rPr>
          <w:rFonts w:cs="Times New Roman"/>
          <w:color w:val="auto"/>
        </w:rPr>
        <w:t>)</w:t>
      </w:r>
      <w:r w:rsidR="00304134" w:rsidRPr="003C53E8">
        <w:rPr>
          <w:rFonts w:cs="Times New Roman"/>
          <w:color w:val="auto"/>
        </w:rPr>
        <w:t xml:space="preserve"> with daily flares </w:t>
      </w:r>
      <w:r w:rsidR="001C647A">
        <w:rPr>
          <w:rFonts w:cs="Times New Roman"/>
          <w:color w:val="auto"/>
        </w:rPr>
        <w:t>(6/</w:t>
      </w:r>
      <w:r w:rsidR="00304134" w:rsidRPr="003C53E8">
        <w:rPr>
          <w:rFonts w:cs="Times New Roman"/>
          <w:color w:val="auto"/>
        </w:rPr>
        <w:t>10</w:t>
      </w:r>
      <w:r w:rsidR="008E6B87">
        <w:rPr>
          <w:rFonts w:cs="Times New Roman"/>
          <w:color w:val="auto"/>
        </w:rPr>
        <w:t>)</w:t>
      </w:r>
      <w:r w:rsidR="00304134" w:rsidRPr="003C53E8">
        <w:rPr>
          <w:rFonts w:cs="Times New Roman"/>
          <w:color w:val="auto"/>
        </w:rPr>
        <w:t xml:space="preserve">. </w:t>
      </w:r>
      <w:r w:rsidR="008E6B87">
        <w:rPr>
          <w:rFonts w:cs="Times New Roman"/>
          <w:color w:val="auto"/>
        </w:rPr>
        <w:t xml:space="preserve"> </w:t>
      </w:r>
      <w:r w:rsidR="00304134" w:rsidRPr="003C53E8">
        <w:rPr>
          <w:rFonts w:cs="Times New Roman"/>
          <w:color w:val="auto"/>
        </w:rPr>
        <w:t xml:space="preserve">The flares were controlled by narcotics. </w:t>
      </w:r>
      <w:r w:rsidR="00304134">
        <w:rPr>
          <w:rFonts w:cs="Times New Roman"/>
          <w:color w:val="auto"/>
        </w:rPr>
        <w:t xml:space="preserve"> </w:t>
      </w:r>
      <w:r w:rsidR="008E6B87">
        <w:rPr>
          <w:rFonts w:cs="Times New Roman"/>
          <w:color w:val="auto"/>
        </w:rPr>
        <w:t xml:space="preserve">On physical exam, gait was normal; and, there were no positive joint findings or laxity with stress testing.  </w:t>
      </w:r>
      <w:r w:rsidR="00304134" w:rsidRPr="003C53E8">
        <w:rPr>
          <w:rFonts w:cs="Times New Roman"/>
          <w:color w:val="auto"/>
        </w:rPr>
        <w:t xml:space="preserve">A full ROM </w:t>
      </w:r>
      <w:r w:rsidR="00304134" w:rsidRPr="003C53E8">
        <w:rPr>
          <w:rFonts w:cs="Times New Roman"/>
          <w:color w:val="auto"/>
        </w:rPr>
        <w:lastRenderedPageBreak/>
        <w:t xml:space="preserve">was also noted on this exam with pain only at the far limit. </w:t>
      </w:r>
      <w:r w:rsidR="008E6B87">
        <w:rPr>
          <w:rFonts w:cs="Times New Roman"/>
          <w:color w:val="auto"/>
        </w:rPr>
        <w:t xml:space="preserve"> </w:t>
      </w:r>
      <w:r w:rsidR="00304134" w:rsidRPr="003C53E8">
        <w:rPr>
          <w:rFonts w:cs="Times New Roman"/>
          <w:color w:val="auto"/>
        </w:rPr>
        <w:t xml:space="preserve">The diagnosis was internal derangement of the left knee with chronic pain. </w:t>
      </w:r>
    </w:p>
    <w:p w:rsidR="00304134" w:rsidRPr="003C53E8" w:rsidRDefault="00304134" w:rsidP="003C53E8">
      <w:pPr>
        <w:tabs>
          <w:tab w:val="left" w:pos="288"/>
          <w:tab w:val="left" w:pos="4752"/>
        </w:tabs>
        <w:jc w:val="left"/>
        <w:rPr>
          <w:rFonts w:cs="Times New Roman"/>
          <w:color w:val="auto"/>
        </w:rPr>
      </w:pPr>
    </w:p>
    <w:p w:rsidR="00F018E4" w:rsidRPr="00F95111" w:rsidRDefault="00304134" w:rsidP="007413B4">
      <w:pPr>
        <w:jc w:val="both"/>
        <w:rPr>
          <w:rFonts w:eastAsia="HiddenHorzOCR"/>
          <w:color w:val="000000"/>
        </w:rPr>
      </w:pPr>
      <w:r w:rsidRPr="003C53E8">
        <w:rPr>
          <w:rFonts w:cs="Times New Roman"/>
          <w:color w:val="auto"/>
        </w:rPr>
        <w:t>The Board directs its attenti</w:t>
      </w:r>
      <w:r w:rsidR="008E6B87">
        <w:rPr>
          <w:rFonts w:cs="Times New Roman"/>
          <w:color w:val="auto"/>
        </w:rPr>
        <w:t>on to its rating recommendation</w:t>
      </w:r>
      <w:r w:rsidRPr="003C53E8">
        <w:rPr>
          <w:rFonts w:cs="Times New Roman"/>
          <w:color w:val="auto"/>
        </w:rPr>
        <w:t xml:space="preserve"> </w:t>
      </w:r>
      <w:r w:rsidR="008E6B87">
        <w:rPr>
          <w:rFonts w:cs="Times New Roman"/>
          <w:color w:val="auto"/>
        </w:rPr>
        <w:t>based on the above evidence</w:t>
      </w:r>
      <w:r w:rsidRPr="003C53E8">
        <w:rPr>
          <w:rFonts w:cs="Times New Roman"/>
          <w:color w:val="auto"/>
        </w:rPr>
        <w:t xml:space="preserve">. </w:t>
      </w:r>
      <w:r w:rsidR="008E6B87">
        <w:rPr>
          <w:rFonts w:cs="Times New Roman"/>
          <w:color w:val="auto"/>
        </w:rPr>
        <w:t xml:space="preserve"> </w:t>
      </w:r>
      <w:r w:rsidRPr="00952C0C">
        <w:rPr>
          <w:color w:val="auto"/>
        </w:rPr>
        <w:t xml:space="preserve">The Board first considered the </w:t>
      </w:r>
      <w:r w:rsidR="00F95111">
        <w:rPr>
          <w:color w:val="auto"/>
        </w:rPr>
        <w:t>P</w:t>
      </w:r>
      <w:r w:rsidRPr="00952C0C">
        <w:rPr>
          <w:color w:val="auto"/>
        </w:rPr>
        <w:t>EB’s rating of 20% under</w:t>
      </w:r>
      <w:r w:rsidR="009354A4">
        <w:rPr>
          <w:color w:val="auto"/>
        </w:rPr>
        <w:t xml:space="preserve"> the</w:t>
      </w:r>
      <w:r w:rsidRPr="00952C0C">
        <w:rPr>
          <w:color w:val="auto"/>
        </w:rPr>
        <w:t xml:space="preserve"> </w:t>
      </w:r>
      <w:r w:rsidR="006F7968">
        <w:rPr>
          <w:color w:val="auto"/>
        </w:rPr>
        <w:t xml:space="preserve">analogous </w:t>
      </w:r>
      <w:r w:rsidRPr="00952C0C">
        <w:rPr>
          <w:color w:val="auto"/>
        </w:rPr>
        <w:t xml:space="preserve">5003 </w:t>
      </w:r>
      <w:r w:rsidR="006F7968" w:rsidRPr="00952C0C">
        <w:rPr>
          <w:color w:val="auto"/>
        </w:rPr>
        <w:t xml:space="preserve">code </w:t>
      </w:r>
      <w:r w:rsidRPr="00952C0C">
        <w:rPr>
          <w:color w:val="auto"/>
        </w:rPr>
        <w:t xml:space="preserve">(degenerative arthritis). </w:t>
      </w:r>
      <w:r w:rsidR="00F95111">
        <w:rPr>
          <w:color w:val="auto"/>
        </w:rPr>
        <w:t xml:space="preserve"> </w:t>
      </w:r>
      <w:r w:rsidR="00F95111" w:rsidRPr="00F95111">
        <w:rPr>
          <w:color w:val="auto"/>
        </w:rPr>
        <w:t xml:space="preserve">The PEB’s DA Form 199 </w:t>
      </w:r>
      <w:r w:rsidR="008E6B87">
        <w:rPr>
          <w:color w:val="auto"/>
        </w:rPr>
        <w:t>cited</w:t>
      </w:r>
      <w:r w:rsidR="00F95111">
        <w:rPr>
          <w:color w:val="auto"/>
        </w:rPr>
        <w:t xml:space="preserve"> “moderate/constant” pain in support of </w:t>
      </w:r>
      <w:r w:rsidR="008E6B87">
        <w:rPr>
          <w:color w:val="auto"/>
        </w:rPr>
        <w:t>a</w:t>
      </w:r>
      <w:r w:rsidR="00F95111">
        <w:rPr>
          <w:color w:val="auto"/>
        </w:rPr>
        <w:t xml:space="preserve"> 20% rating</w:t>
      </w:r>
      <w:r w:rsidR="008E6B87">
        <w:rPr>
          <w:color w:val="auto"/>
        </w:rPr>
        <w:t xml:space="preserve"> with reference to the USAPDA pain policy</w:t>
      </w:r>
      <w:r w:rsidR="00F95111" w:rsidRPr="00F95111">
        <w:rPr>
          <w:color w:val="auto"/>
        </w:rPr>
        <w:t>.</w:t>
      </w:r>
      <w:r w:rsidR="006F7968">
        <w:rPr>
          <w:color w:val="auto"/>
        </w:rPr>
        <w:t xml:space="preserve">  </w:t>
      </w:r>
      <w:r w:rsidR="00D71DA7">
        <w:rPr>
          <w:color w:val="auto"/>
        </w:rPr>
        <w:t>However, given that a single major joint was involved with a noncompensable loss of</w:t>
      </w:r>
      <w:r w:rsidR="009354A4">
        <w:rPr>
          <w:color w:val="auto"/>
        </w:rPr>
        <w:t xml:space="preserve"> ROM and no incapacitating episodes, no rating higher than 10% can be achieved under this code</w:t>
      </w:r>
      <w:r w:rsidR="00CD216A">
        <w:rPr>
          <w:color w:val="auto"/>
        </w:rPr>
        <w:t xml:space="preserve"> IAW VASRD §4.71a</w:t>
      </w:r>
      <w:r w:rsidR="009354A4">
        <w:rPr>
          <w:color w:val="auto"/>
        </w:rPr>
        <w:t xml:space="preserve">.  </w:t>
      </w:r>
      <w:r w:rsidRPr="00952C0C">
        <w:rPr>
          <w:color w:val="auto"/>
        </w:rPr>
        <w:t>The Board next considered the VA’s rating of 10% under code</w:t>
      </w:r>
      <w:r w:rsidR="009354A4">
        <w:rPr>
          <w:color w:val="auto"/>
        </w:rPr>
        <w:t xml:space="preserve"> 5260 </w:t>
      </w:r>
      <w:r w:rsidR="009354A4" w:rsidRPr="00952C0C">
        <w:rPr>
          <w:color w:val="auto"/>
        </w:rPr>
        <w:t>(limitation of flexion of the leg)</w:t>
      </w:r>
      <w:r w:rsidR="00510D32">
        <w:rPr>
          <w:color w:val="auto"/>
        </w:rPr>
        <w:t xml:space="preserve">. </w:t>
      </w:r>
      <w:r w:rsidRPr="00952C0C">
        <w:rPr>
          <w:color w:val="auto"/>
        </w:rPr>
        <w:t xml:space="preserve"> </w:t>
      </w:r>
      <w:r w:rsidR="009354A4">
        <w:rPr>
          <w:color w:val="auto"/>
        </w:rPr>
        <w:t xml:space="preserve">The VA originally conferred two identical ratings for the left knee under code 5260, citing painful motion in support of a minimal compensable rating.  </w:t>
      </w:r>
      <w:r w:rsidR="009026B2">
        <w:rPr>
          <w:color w:val="auto"/>
        </w:rPr>
        <w:t xml:space="preserve">Review of the </w:t>
      </w:r>
      <w:r w:rsidR="008A3A2C">
        <w:rPr>
          <w:color w:val="auto"/>
        </w:rPr>
        <w:t>VA</w:t>
      </w:r>
      <w:r w:rsidR="009026B2">
        <w:rPr>
          <w:color w:val="auto"/>
        </w:rPr>
        <w:t xml:space="preserve"> rating decision </w:t>
      </w:r>
      <w:r w:rsidR="008A3A2C">
        <w:rPr>
          <w:color w:val="auto"/>
        </w:rPr>
        <w:t xml:space="preserve">(VARD) </w:t>
      </w:r>
      <w:r w:rsidR="009026B2">
        <w:rPr>
          <w:color w:val="auto"/>
        </w:rPr>
        <w:t xml:space="preserve">suggests that this was most likely an </w:t>
      </w:r>
      <w:r w:rsidR="008A3A2C">
        <w:rPr>
          <w:color w:val="auto"/>
        </w:rPr>
        <w:t xml:space="preserve">inadvertent </w:t>
      </w:r>
      <w:r w:rsidR="009026B2">
        <w:rPr>
          <w:color w:val="auto"/>
        </w:rPr>
        <w:t xml:space="preserve">administrative </w:t>
      </w:r>
      <w:r w:rsidR="008A3A2C">
        <w:rPr>
          <w:color w:val="auto"/>
        </w:rPr>
        <w:t xml:space="preserve">duplication in the list of compensable ratings.  The error was corrected in a subsequent VARD which stated, </w:t>
      </w:r>
      <w:r w:rsidR="00510D32">
        <w:rPr>
          <w:color w:val="auto"/>
        </w:rPr>
        <w:t>“</w:t>
      </w:r>
      <w:proofErr w:type="gramStart"/>
      <w:r w:rsidR="001C647A">
        <w:rPr>
          <w:color w:val="auto"/>
        </w:rPr>
        <w:t>o</w:t>
      </w:r>
      <w:r w:rsidR="00510D32" w:rsidRPr="00510D32">
        <w:rPr>
          <w:color w:val="auto"/>
        </w:rPr>
        <w:t>nly</w:t>
      </w:r>
      <w:proofErr w:type="gramEnd"/>
      <w:r w:rsidR="00510D32" w:rsidRPr="00510D32">
        <w:rPr>
          <w:color w:val="auto"/>
        </w:rPr>
        <w:t xml:space="preserve"> a</w:t>
      </w:r>
      <w:r w:rsidR="00510D32">
        <w:rPr>
          <w:color w:val="auto"/>
        </w:rPr>
        <w:t xml:space="preserve"> </w:t>
      </w:r>
      <w:r w:rsidR="00510D32" w:rsidRPr="00510D32">
        <w:rPr>
          <w:color w:val="auto"/>
        </w:rPr>
        <w:t>single disability is warranted, and is</w:t>
      </w:r>
      <w:r w:rsidR="00510D32">
        <w:rPr>
          <w:color w:val="auto"/>
        </w:rPr>
        <w:t xml:space="preserve"> implemented under dia</w:t>
      </w:r>
      <w:r w:rsidR="00510D32" w:rsidRPr="00510D32">
        <w:rPr>
          <w:color w:val="auto"/>
        </w:rPr>
        <w:t>gnostic code 5003-5259</w:t>
      </w:r>
      <w:r w:rsidR="00CA1FF4">
        <w:rPr>
          <w:color w:val="auto"/>
        </w:rPr>
        <w:t xml:space="preserve"> [cartilage removal, sy</w:t>
      </w:r>
      <w:r w:rsidR="001C647A">
        <w:rPr>
          <w:color w:val="auto"/>
        </w:rPr>
        <w:t xml:space="preserve">mptomatic, </w:t>
      </w:r>
      <w:r w:rsidR="00CA1FF4">
        <w:rPr>
          <w:color w:val="auto"/>
        </w:rPr>
        <w:t>solely rated</w:t>
      </w:r>
      <w:r w:rsidR="00F018E4">
        <w:rPr>
          <w:color w:val="auto"/>
        </w:rPr>
        <w:t xml:space="preserve"> </w:t>
      </w:r>
      <w:r w:rsidR="00F018E4" w:rsidRPr="007413B4">
        <w:rPr>
          <w:color w:val="auto"/>
        </w:rPr>
        <w:t>10%</w:t>
      </w:r>
      <w:r w:rsidR="00CA1FF4">
        <w:rPr>
          <w:color w:val="auto"/>
        </w:rPr>
        <w:t>]</w:t>
      </w:r>
      <w:r w:rsidR="001C647A">
        <w:rPr>
          <w:color w:val="auto"/>
        </w:rPr>
        <w:t>.</w:t>
      </w:r>
      <w:r w:rsidR="00CA1FF4">
        <w:rPr>
          <w:color w:val="auto"/>
        </w:rPr>
        <w:t>”</w:t>
      </w:r>
      <w:r w:rsidR="00510D32" w:rsidRPr="007413B4">
        <w:rPr>
          <w:color w:val="auto"/>
        </w:rPr>
        <w:t xml:space="preserve">  </w:t>
      </w:r>
      <w:r w:rsidR="00F018E4" w:rsidRPr="007413B4">
        <w:rPr>
          <w:color w:val="auto"/>
        </w:rPr>
        <w:t>The clinical evidence supports</w:t>
      </w:r>
      <w:r w:rsidRPr="007413B4">
        <w:rPr>
          <w:color w:val="auto"/>
        </w:rPr>
        <w:t xml:space="preserve"> a rating </w:t>
      </w:r>
      <w:r w:rsidR="00F018E4" w:rsidRPr="007413B4">
        <w:rPr>
          <w:color w:val="auto"/>
        </w:rPr>
        <w:t xml:space="preserve">of 10% </w:t>
      </w:r>
      <w:r w:rsidRPr="007413B4">
        <w:rPr>
          <w:color w:val="auto"/>
        </w:rPr>
        <w:t xml:space="preserve">under either </w:t>
      </w:r>
      <w:r w:rsidR="00CA1FF4">
        <w:rPr>
          <w:color w:val="auto"/>
        </w:rPr>
        <w:t xml:space="preserve">the 5003 or 5259 </w:t>
      </w:r>
      <w:r w:rsidR="00F018E4" w:rsidRPr="007413B4">
        <w:rPr>
          <w:color w:val="auto"/>
        </w:rPr>
        <w:t>code</w:t>
      </w:r>
      <w:r w:rsidR="00CA1FF4">
        <w:rPr>
          <w:color w:val="auto"/>
        </w:rPr>
        <w:t>s</w:t>
      </w:r>
      <w:r w:rsidR="00F018E4" w:rsidRPr="007413B4">
        <w:rPr>
          <w:color w:val="auto"/>
        </w:rPr>
        <w:t>;</w:t>
      </w:r>
      <w:r w:rsidRPr="007413B4">
        <w:rPr>
          <w:color w:val="auto"/>
        </w:rPr>
        <w:t xml:space="preserve"> </w:t>
      </w:r>
      <w:r w:rsidR="00CA1FF4">
        <w:rPr>
          <w:color w:val="auto"/>
        </w:rPr>
        <w:t>but</w:t>
      </w:r>
      <w:r w:rsidRPr="007413B4">
        <w:rPr>
          <w:color w:val="auto"/>
        </w:rPr>
        <w:t xml:space="preserve">, the two cannot be combined. </w:t>
      </w:r>
      <w:r w:rsidR="00F018E4" w:rsidRPr="007413B4">
        <w:rPr>
          <w:color w:val="auto"/>
        </w:rPr>
        <w:t xml:space="preserve"> </w:t>
      </w:r>
      <w:r w:rsidR="00F018E4" w:rsidRPr="007413B4">
        <w:rPr>
          <w:rFonts w:eastAsia="HiddenHorzOCR"/>
          <w:color w:val="000000"/>
        </w:rPr>
        <w:t xml:space="preserve">There is no route to a rating higher than 10% under any applicable code and no coexistent pathology which would merit additional rating for the </w:t>
      </w:r>
      <w:r w:rsidR="00245969">
        <w:rPr>
          <w:rFonts w:eastAsia="HiddenHorzOCR"/>
          <w:color w:val="000000"/>
        </w:rPr>
        <w:t>joint under a separate code. Thus</w:t>
      </w:r>
      <w:r w:rsidR="00F018E4" w:rsidRPr="007413B4">
        <w:rPr>
          <w:rFonts w:eastAsia="HiddenHorzOCR"/>
          <w:color w:val="000000"/>
        </w:rPr>
        <w:t xml:space="preserve"> the PEB</w:t>
      </w:r>
      <w:r w:rsidR="001C647A">
        <w:rPr>
          <w:rFonts w:eastAsia="HiddenHorzOCR"/>
          <w:color w:val="000000"/>
        </w:rPr>
        <w:t xml:space="preserve"> </w:t>
      </w:r>
      <w:r w:rsidR="00CA1FF4">
        <w:rPr>
          <w:rFonts w:eastAsia="HiddenHorzOCR"/>
          <w:color w:val="000000"/>
        </w:rPr>
        <w:t>applied</w:t>
      </w:r>
      <w:r w:rsidR="00F018E4" w:rsidRPr="007413B4">
        <w:rPr>
          <w:rFonts w:eastAsia="HiddenHorzOCR"/>
          <w:color w:val="000000"/>
        </w:rPr>
        <w:t xml:space="preserve"> code </w:t>
      </w:r>
      <w:r w:rsidR="00CA1FF4">
        <w:rPr>
          <w:rFonts w:eastAsia="HiddenHorzOCR"/>
          <w:color w:val="000000"/>
        </w:rPr>
        <w:t xml:space="preserve">would have achieved </w:t>
      </w:r>
      <w:r w:rsidR="00B94BB8">
        <w:rPr>
          <w:rFonts w:eastAsia="HiddenHorzOCR"/>
          <w:color w:val="000000"/>
        </w:rPr>
        <w:t xml:space="preserve">a </w:t>
      </w:r>
      <w:r w:rsidR="00CA1FF4">
        <w:rPr>
          <w:rFonts w:eastAsia="HiddenHorzOCR"/>
          <w:color w:val="000000"/>
        </w:rPr>
        <w:t xml:space="preserve">maximal rating </w:t>
      </w:r>
      <w:r w:rsidR="00B94BB8">
        <w:rPr>
          <w:rFonts w:eastAsia="HiddenHorzOCR"/>
          <w:color w:val="000000"/>
        </w:rPr>
        <w:t xml:space="preserve">of 10% </w:t>
      </w:r>
      <w:r w:rsidR="00CA1FF4">
        <w:rPr>
          <w:rFonts w:eastAsia="HiddenHorzOCR"/>
          <w:color w:val="000000"/>
        </w:rPr>
        <w:t xml:space="preserve">under the VASRD; </w:t>
      </w:r>
      <w:r w:rsidR="00B94BB8">
        <w:rPr>
          <w:rFonts w:eastAsia="HiddenHorzOCR"/>
          <w:color w:val="000000"/>
        </w:rPr>
        <w:t>but</w:t>
      </w:r>
      <w:r w:rsidR="00CA1FF4">
        <w:rPr>
          <w:rFonts w:eastAsia="HiddenHorzOCR"/>
          <w:color w:val="000000"/>
        </w:rPr>
        <w:t xml:space="preserve">, </w:t>
      </w:r>
      <w:r w:rsidR="001A6994">
        <w:rPr>
          <w:rFonts w:eastAsia="HiddenHorzOCR"/>
          <w:color w:val="000000"/>
        </w:rPr>
        <w:t xml:space="preserve">PEB </w:t>
      </w:r>
      <w:r w:rsidR="00F018E4" w:rsidRPr="007413B4">
        <w:rPr>
          <w:rFonts w:eastAsia="HiddenHorzOCR"/>
          <w:color w:val="000000"/>
        </w:rPr>
        <w:t xml:space="preserve">application of the USAPDA pain policy </w:t>
      </w:r>
      <w:r w:rsidR="001A6994">
        <w:rPr>
          <w:rFonts w:eastAsia="HiddenHorzOCR"/>
          <w:color w:val="000000"/>
        </w:rPr>
        <w:t>achieved a more favorable rating than that supported solely by VASRD criteria</w:t>
      </w:r>
      <w:r w:rsidR="00F018E4" w:rsidRPr="007413B4">
        <w:rPr>
          <w:rFonts w:eastAsia="HiddenHorzOCR"/>
          <w:color w:val="000000"/>
        </w:rPr>
        <w:t xml:space="preserve">.  </w:t>
      </w:r>
      <w:r w:rsidR="007413B4" w:rsidRPr="007413B4">
        <w:rPr>
          <w:color w:val="auto"/>
        </w:rPr>
        <w:t xml:space="preserve">DoDI 6040.44 </w:t>
      </w:r>
      <w:r w:rsidR="00CD216A">
        <w:rPr>
          <w:color w:val="auto"/>
        </w:rPr>
        <w:t xml:space="preserve">directs that </w:t>
      </w:r>
      <w:r w:rsidR="007413B4" w:rsidRPr="007413B4">
        <w:rPr>
          <w:color w:val="auto"/>
        </w:rPr>
        <w:t xml:space="preserve">the Board </w:t>
      </w:r>
      <w:r w:rsidR="00BC0E92">
        <w:rPr>
          <w:color w:val="auto"/>
        </w:rPr>
        <w:t xml:space="preserve">will apply </w:t>
      </w:r>
      <w:r w:rsidR="001C647A">
        <w:rPr>
          <w:color w:val="auto"/>
        </w:rPr>
        <w:t>s</w:t>
      </w:r>
      <w:r w:rsidR="00BC0E92">
        <w:rPr>
          <w:color w:val="auto"/>
        </w:rPr>
        <w:t xml:space="preserve">ervice and </w:t>
      </w:r>
      <w:proofErr w:type="gramStart"/>
      <w:r w:rsidR="00BC0E92">
        <w:rPr>
          <w:color w:val="auto"/>
        </w:rPr>
        <w:t>DoD</w:t>
      </w:r>
      <w:proofErr w:type="gramEnd"/>
      <w:r w:rsidR="00BC0E92">
        <w:rPr>
          <w:color w:val="auto"/>
        </w:rPr>
        <w:t xml:space="preserve"> regulations in effect if they achieve a more favorable rating than permitted by the VASRD; and, furthermore directs that the Board </w:t>
      </w:r>
      <w:r w:rsidR="007413B4" w:rsidRPr="007413B4">
        <w:rPr>
          <w:color w:val="auto"/>
        </w:rPr>
        <w:t xml:space="preserve">may not recommend a lower </w:t>
      </w:r>
      <w:r w:rsidR="00BC0E92">
        <w:rPr>
          <w:color w:val="auto"/>
        </w:rPr>
        <w:t xml:space="preserve">combined </w:t>
      </w:r>
      <w:r w:rsidR="00BC0E92" w:rsidRPr="007413B4">
        <w:rPr>
          <w:color w:val="auto"/>
        </w:rPr>
        <w:t xml:space="preserve">rating </w:t>
      </w:r>
      <w:r w:rsidR="007413B4" w:rsidRPr="007413B4">
        <w:rPr>
          <w:color w:val="auto"/>
        </w:rPr>
        <w:t xml:space="preserve">than </w:t>
      </w:r>
      <w:r w:rsidR="00BC0E92">
        <w:rPr>
          <w:color w:val="auto"/>
        </w:rPr>
        <w:t xml:space="preserve">that conferred by the </w:t>
      </w:r>
      <w:r w:rsidR="001C647A">
        <w:rPr>
          <w:color w:val="auto"/>
        </w:rPr>
        <w:t>s</w:t>
      </w:r>
      <w:r w:rsidR="00BC0E92">
        <w:rPr>
          <w:color w:val="auto"/>
        </w:rPr>
        <w:t>ervice.  T</w:t>
      </w:r>
      <w:r w:rsidR="007413B4" w:rsidRPr="007413B4">
        <w:rPr>
          <w:color w:val="auto"/>
        </w:rPr>
        <w:t xml:space="preserve">he Board </w:t>
      </w:r>
      <w:r w:rsidR="00BC0E92">
        <w:rPr>
          <w:color w:val="auto"/>
        </w:rPr>
        <w:t>therefore, although concluding that the left knee condition is appropriately rated 10% under the VASRD, recommend</w:t>
      </w:r>
      <w:r w:rsidR="004A4567">
        <w:rPr>
          <w:color w:val="auto"/>
        </w:rPr>
        <w:t>s</w:t>
      </w:r>
      <w:r w:rsidR="00BC0E92">
        <w:rPr>
          <w:color w:val="auto"/>
        </w:rPr>
        <w:t xml:space="preserve"> no change from the PEB’s 20% adjudication.  </w:t>
      </w:r>
    </w:p>
    <w:p w:rsidR="00F95111" w:rsidRPr="001F29F9" w:rsidRDefault="00F95111" w:rsidP="00BF0E94">
      <w:pPr>
        <w:jc w:val="left"/>
        <w:rPr>
          <w:rFonts w:eastAsia="HiddenHorzOCR"/>
          <w:color w:val="000000"/>
          <w:u w:val="single"/>
        </w:rPr>
      </w:pPr>
    </w:p>
    <w:p w:rsidR="00304134" w:rsidRPr="001F29F9" w:rsidRDefault="00304134" w:rsidP="00726F84">
      <w:pPr>
        <w:jc w:val="both"/>
        <w:rPr>
          <w:color w:val="000000"/>
        </w:rPr>
      </w:pPr>
      <w:proofErr w:type="gramStart"/>
      <w:r w:rsidRPr="001F29F9">
        <w:rPr>
          <w:rFonts w:eastAsia="HiddenHorzOCR"/>
          <w:color w:val="000000"/>
          <w:u w:val="single"/>
        </w:rPr>
        <w:t>Other Contended Conditions</w:t>
      </w:r>
      <w:r w:rsidRPr="001F29F9">
        <w:rPr>
          <w:rFonts w:eastAsia="HiddenHorzOCR"/>
          <w:color w:val="000000"/>
        </w:rPr>
        <w:t>.</w:t>
      </w:r>
      <w:proofErr w:type="gramEnd"/>
      <w:r w:rsidRPr="001F29F9">
        <w:rPr>
          <w:rFonts w:eastAsia="HiddenHorzOCR"/>
          <w:color w:val="000000"/>
        </w:rPr>
        <w:t xml:space="preserve"> The CI’s application asserts that compensable ratings should be considered for high blood pressure and </w:t>
      </w:r>
      <w:r w:rsidR="001C647A">
        <w:rPr>
          <w:rFonts w:eastAsia="HiddenHorzOCR"/>
          <w:color w:val="000000"/>
        </w:rPr>
        <w:t>PTSD</w:t>
      </w:r>
      <w:r w:rsidRPr="001F29F9">
        <w:rPr>
          <w:rFonts w:eastAsia="HiddenHorzOCR"/>
          <w:color w:val="000000"/>
        </w:rPr>
        <w:t xml:space="preserve">. </w:t>
      </w:r>
      <w:r w:rsidR="007413B4">
        <w:rPr>
          <w:rFonts w:eastAsia="HiddenHorzOCR"/>
          <w:color w:val="000000"/>
        </w:rPr>
        <w:t xml:space="preserve">The service treatment record (STR) indicates that hypertension was well controlled with a single first-line medication.  </w:t>
      </w:r>
      <w:r w:rsidR="00F86763">
        <w:rPr>
          <w:rFonts w:eastAsia="HiddenHorzOCR"/>
          <w:color w:val="000000"/>
        </w:rPr>
        <w:t xml:space="preserve">The STR contains a number of behavioral health clinic entries, mostly pertaining to opioid abuse, in which the CI specifically denied symptoms consistent with PTSD.  There is no diagnosis of PTSD in evidence in the DES file.  </w:t>
      </w:r>
      <w:r w:rsidR="004A4567">
        <w:rPr>
          <w:rFonts w:eastAsia="HiddenHorzOCR"/>
          <w:color w:val="000000"/>
        </w:rPr>
        <w:t>There is furthermore no evidence of unfitting psychiatric impairment.  The</w:t>
      </w:r>
      <w:r w:rsidR="009026B2">
        <w:rPr>
          <w:rFonts w:eastAsia="HiddenHorzOCR"/>
          <w:color w:val="000000"/>
        </w:rPr>
        <w:t>re was no psychiatric</w:t>
      </w:r>
      <w:r w:rsidR="004A4567">
        <w:rPr>
          <w:rFonts w:eastAsia="HiddenHorzOCR"/>
          <w:color w:val="000000"/>
        </w:rPr>
        <w:t xml:space="preserve"> profile, and the commander’s statement was </w:t>
      </w:r>
      <w:r w:rsidR="009026B2">
        <w:rPr>
          <w:rFonts w:eastAsia="HiddenHorzOCR"/>
          <w:color w:val="000000"/>
        </w:rPr>
        <w:t xml:space="preserve">laudatory regarding the CI’s administrative performance within his physical profile restrictions.  </w:t>
      </w:r>
      <w:r w:rsidRPr="001F29F9">
        <w:rPr>
          <w:rFonts w:eastAsia="HiddenHorzOCR"/>
          <w:color w:val="000000"/>
        </w:rPr>
        <w:t>Both</w:t>
      </w:r>
      <w:r w:rsidRPr="001F29F9">
        <w:rPr>
          <w:color w:val="000000"/>
        </w:rPr>
        <w:t xml:space="preserve"> of these conditions were reviewed by the </w:t>
      </w:r>
      <w:r w:rsidR="001C647A">
        <w:rPr>
          <w:color w:val="000000"/>
        </w:rPr>
        <w:t>action o</w:t>
      </w:r>
      <w:r w:rsidR="00784964" w:rsidRPr="001F29F9">
        <w:rPr>
          <w:color w:val="000000"/>
        </w:rPr>
        <w:t xml:space="preserve">fficer </w:t>
      </w:r>
      <w:r w:rsidRPr="001F29F9">
        <w:rPr>
          <w:color w:val="000000"/>
        </w:rPr>
        <w:t xml:space="preserve">and considered by the Board. </w:t>
      </w:r>
      <w:r w:rsidR="00784964">
        <w:rPr>
          <w:color w:val="000000"/>
        </w:rPr>
        <w:t xml:space="preserve"> </w:t>
      </w:r>
      <w:r w:rsidRPr="001F29F9">
        <w:rPr>
          <w:color w:val="000000"/>
        </w:rPr>
        <w:t>There was no evidence for concluding that the high blood pressure condition interfered with duty performance to a degree that could be argued as unfitting.</w:t>
      </w:r>
      <w:r w:rsidR="00784964">
        <w:rPr>
          <w:color w:val="000000"/>
        </w:rPr>
        <w:t xml:space="preserve"> </w:t>
      </w:r>
      <w:r w:rsidRPr="001F29F9">
        <w:rPr>
          <w:color w:val="000000"/>
        </w:rPr>
        <w:t xml:space="preserve"> </w:t>
      </w:r>
      <w:r w:rsidR="007413B4">
        <w:rPr>
          <w:color w:val="000000"/>
        </w:rPr>
        <w:t xml:space="preserve">As noted above, the PTSD condition is not </w:t>
      </w:r>
      <w:r w:rsidR="007413B4" w:rsidRPr="00726F84">
        <w:rPr>
          <w:color w:val="000000"/>
        </w:rPr>
        <w:t xml:space="preserve">eligible for Board </w:t>
      </w:r>
      <w:r w:rsidR="00784964">
        <w:rPr>
          <w:color w:val="000000"/>
        </w:rPr>
        <w:t>consideration;</w:t>
      </w:r>
      <w:r w:rsidR="007413B4" w:rsidRPr="00726F84">
        <w:rPr>
          <w:color w:val="000000"/>
        </w:rPr>
        <w:t xml:space="preserve"> </w:t>
      </w:r>
      <w:r w:rsidR="007413B4">
        <w:rPr>
          <w:color w:val="000000"/>
        </w:rPr>
        <w:t>but</w:t>
      </w:r>
      <w:r w:rsidR="00784964">
        <w:rPr>
          <w:color w:val="000000"/>
        </w:rPr>
        <w:t>,</w:t>
      </w:r>
      <w:r w:rsidR="007413B4" w:rsidRPr="00726F84">
        <w:rPr>
          <w:color w:val="000000"/>
        </w:rPr>
        <w:t xml:space="preserve"> remain</w:t>
      </w:r>
      <w:r w:rsidR="007413B4">
        <w:rPr>
          <w:color w:val="000000"/>
        </w:rPr>
        <w:t>s</w:t>
      </w:r>
      <w:r w:rsidR="007413B4" w:rsidRPr="00726F84">
        <w:rPr>
          <w:color w:val="000000"/>
        </w:rPr>
        <w:t xml:space="preserve"> eligible for submission to the </w:t>
      </w:r>
      <w:r w:rsidR="00784964">
        <w:rPr>
          <w:color w:val="000000"/>
        </w:rPr>
        <w:t>ABCMR</w:t>
      </w:r>
      <w:r w:rsidR="007413B4" w:rsidRPr="00726F84">
        <w:rPr>
          <w:color w:val="000000"/>
        </w:rPr>
        <w:t>.</w:t>
      </w:r>
      <w:r w:rsidR="007413B4">
        <w:rPr>
          <w:color w:val="000000"/>
        </w:rPr>
        <w:t xml:space="preserve"> </w:t>
      </w:r>
      <w:r w:rsidRPr="001F29F9">
        <w:rPr>
          <w:color w:val="000000"/>
        </w:rPr>
        <w:t xml:space="preserve"> </w:t>
      </w:r>
    </w:p>
    <w:p w:rsidR="00304134" w:rsidRPr="001F29F9" w:rsidRDefault="00304134" w:rsidP="00BF0E94">
      <w:pPr>
        <w:jc w:val="both"/>
        <w:rPr>
          <w:color w:val="000000"/>
        </w:rPr>
      </w:pPr>
    </w:p>
    <w:p w:rsidR="00304134" w:rsidRPr="001F29F9" w:rsidRDefault="00304134" w:rsidP="00A02AA8">
      <w:pPr>
        <w:jc w:val="both"/>
        <w:rPr>
          <w:color w:val="000000"/>
        </w:rPr>
      </w:pPr>
      <w:proofErr w:type="gramStart"/>
      <w:r w:rsidRPr="00B22D42">
        <w:rPr>
          <w:color w:val="000000"/>
          <w:u w:val="single"/>
        </w:rPr>
        <w:t>Remaining Conditions</w:t>
      </w:r>
      <w:r w:rsidRPr="00F86763">
        <w:rPr>
          <w:color w:val="000000"/>
        </w:rPr>
        <w:t>.</w:t>
      </w:r>
      <w:proofErr w:type="gramEnd"/>
      <w:r w:rsidRPr="00B22D42">
        <w:rPr>
          <w:color w:val="000000"/>
        </w:rPr>
        <w:t xml:space="preserve"> </w:t>
      </w:r>
      <w:r w:rsidR="00F86763">
        <w:rPr>
          <w:color w:val="000000"/>
        </w:rPr>
        <w:t xml:space="preserve"> </w:t>
      </w:r>
      <w:r w:rsidRPr="00B22D42">
        <w:rPr>
          <w:color w:val="000000"/>
        </w:rPr>
        <w:t xml:space="preserve">Several additional non-acute conditions or medical complaints were </w:t>
      </w:r>
      <w:r w:rsidR="00F86763" w:rsidRPr="00F86763">
        <w:rPr>
          <w:color w:val="000000"/>
        </w:rPr>
        <w:t>identified in the DES file</w:t>
      </w:r>
      <w:r w:rsidRPr="00B22D42">
        <w:rPr>
          <w:color w:val="000000"/>
        </w:rPr>
        <w:t xml:space="preserve">. </w:t>
      </w:r>
      <w:r w:rsidR="00F86763">
        <w:rPr>
          <w:color w:val="000000"/>
        </w:rPr>
        <w:t xml:space="preserve"> </w:t>
      </w:r>
      <w:r w:rsidRPr="00B22D42">
        <w:rPr>
          <w:color w:val="000000"/>
        </w:rPr>
        <w:t>None of these conditions were significantly clinically or occupational</w:t>
      </w:r>
      <w:r w:rsidR="001A6994">
        <w:rPr>
          <w:color w:val="000000"/>
        </w:rPr>
        <w:t>ly active during the MEB period; none carried attached profiles;</w:t>
      </w:r>
      <w:r w:rsidRPr="00B22D42">
        <w:rPr>
          <w:color w:val="000000"/>
        </w:rPr>
        <w:t xml:space="preserve"> and</w:t>
      </w:r>
      <w:r w:rsidR="001A6994">
        <w:rPr>
          <w:color w:val="000000"/>
        </w:rPr>
        <w:t>,</w:t>
      </w:r>
      <w:r w:rsidRPr="00B22D42">
        <w:rPr>
          <w:color w:val="000000"/>
        </w:rPr>
        <w:t xml:space="preserve"> none were implicated in the commander’s statement. </w:t>
      </w:r>
      <w:r w:rsidR="001A6994">
        <w:rPr>
          <w:color w:val="000000"/>
        </w:rPr>
        <w:t xml:space="preserve"> </w:t>
      </w:r>
      <w:r w:rsidRPr="00B22D42">
        <w:rPr>
          <w:color w:val="000000"/>
        </w:rPr>
        <w:t xml:space="preserve">These conditions were reviewed by the </w:t>
      </w:r>
      <w:r w:rsidR="001C647A">
        <w:rPr>
          <w:color w:val="000000"/>
        </w:rPr>
        <w:t>a</w:t>
      </w:r>
      <w:r w:rsidR="001A6994" w:rsidRPr="00B22D42">
        <w:rPr>
          <w:color w:val="000000"/>
        </w:rPr>
        <w:t xml:space="preserve">ction </w:t>
      </w:r>
      <w:r w:rsidR="001C647A">
        <w:rPr>
          <w:color w:val="000000"/>
        </w:rPr>
        <w:t>o</w:t>
      </w:r>
      <w:r w:rsidR="001A6994" w:rsidRPr="00B22D42">
        <w:rPr>
          <w:color w:val="000000"/>
        </w:rPr>
        <w:t xml:space="preserve">fficer </w:t>
      </w:r>
      <w:r w:rsidRPr="00B22D42">
        <w:rPr>
          <w:color w:val="000000"/>
        </w:rPr>
        <w:t xml:space="preserve">and considered by the Board. It was determined that none could be argued as unfitting and subject to separation rating. </w:t>
      </w:r>
      <w:r w:rsidR="00F86763" w:rsidRPr="00F86763">
        <w:rPr>
          <w:color w:val="000000"/>
        </w:rPr>
        <w:t>No other conditions were service connected with a compensable rating by the VA within 12 months of separation.  The Board therefore has no reasonable basis for recommending any additional unfitting conditions for separation rating.</w:t>
      </w:r>
    </w:p>
    <w:p w:rsidR="00304134" w:rsidRPr="001F29F9" w:rsidRDefault="00304134" w:rsidP="00BF0E94">
      <w:pPr>
        <w:pBdr>
          <w:bottom w:val="single" w:sz="12" w:space="1" w:color="auto"/>
        </w:pBdr>
        <w:tabs>
          <w:tab w:val="left" w:pos="288"/>
          <w:tab w:val="left" w:pos="4752"/>
        </w:tabs>
        <w:jc w:val="both"/>
        <w:rPr>
          <w:color w:val="000000"/>
        </w:rPr>
      </w:pPr>
    </w:p>
    <w:p w:rsidR="00304134" w:rsidRPr="001F29F9" w:rsidRDefault="00304134" w:rsidP="006364ED">
      <w:pPr>
        <w:jc w:val="left"/>
        <w:rPr>
          <w:color w:val="000000"/>
        </w:rPr>
      </w:pPr>
    </w:p>
    <w:p w:rsidR="001A6994" w:rsidRDefault="001A6994">
      <w:pPr>
        <w:spacing w:line="240" w:lineRule="auto"/>
        <w:jc w:val="left"/>
        <w:rPr>
          <w:color w:val="000000"/>
          <w:u w:val="single"/>
        </w:rPr>
      </w:pPr>
      <w:r>
        <w:rPr>
          <w:color w:val="000000"/>
          <w:u w:val="single"/>
        </w:rPr>
        <w:br w:type="page"/>
      </w:r>
    </w:p>
    <w:p w:rsidR="00304134" w:rsidRPr="00832140" w:rsidRDefault="00304134" w:rsidP="00B22D42">
      <w:pPr>
        <w:jc w:val="both"/>
        <w:rPr>
          <w:rFonts w:cs="Times New Roman"/>
          <w:b/>
          <w:color w:val="auto"/>
        </w:rPr>
      </w:pPr>
      <w:r w:rsidRPr="00B22D42">
        <w:rPr>
          <w:color w:val="000000"/>
          <w:u w:val="single"/>
        </w:rPr>
        <w:lastRenderedPageBreak/>
        <w:t>BOARD FINDINGS</w:t>
      </w:r>
      <w:r w:rsidRPr="00B22D42">
        <w:rPr>
          <w:color w:val="000000"/>
        </w:rPr>
        <w:t xml:space="preserve">:  IAW DoDI 6040.44, provisions of DoD or Military Department </w:t>
      </w:r>
      <w:r w:rsidR="00017E22">
        <w:rPr>
          <w:color w:val="000000"/>
        </w:rPr>
        <w:t>directives</w:t>
      </w:r>
      <w:r w:rsidRPr="00B22D42">
        <w:rPr>
          <w:color w:val="000000"/>
        </w:rPr>
        <w:t xml:space="preserve"> </w:t>
      </w:r>
      <w:r w:rsidR="00017E22">
        <w:rPr>
          <w:color w:val="000000"/>
        </w:rPr>
        <w:t>which are</w:t>
      </w:r>
      <w:r w:rsidRPr="00B22D42">
        <w:rPr>
          <w:color w:val="000000"/>
        </w:rPr>
        <w:t xml:space="preserve"> inconsistent with the VASRD in effect at the time of </w:t>
      </w:r>
      <w:r w:rsidR="00017E22">
        <w:rPr>
          <w:color w:val="000000"/>
        </w:rPr>
        <w:t>separation are not applied to Board recommendations; unless, they result in a more favorable rating than permitted by the VASRD</w:t>
      </w:r>
      <w:r w:rsidRPr="00B22D42">
        <w:rPr>
          <w:rFonts w:cs="Times New Roman"/>
          <w:color w:val="auto"/>
        </w:rPr>
        <w:t xml:space="preserve">. </w:t>
      </w:r>
      <w:r w:rsidR="00F86763">
        <w:rPr>
          <w:rFonts w:cs="Times New Roman"/>
          <w:color w:val="auto"/>
        </w:rPr>
        <w:t xml:space="preserve"> </w:t>
      </w:r>
      <w:r w:rsidRPr="00B22D42">
        <w:rPr>
          <w:rFonts w:cs="Times New Roman"/>
          <w:color w:val="auto"/>
        </w:rPr>
        <w:t>PEB reliance on the USAPDA pain policy for rating the left knee con</w:t>
      </w:r>
      <w:r w:rsidR="001A6994">
        <w:rPr>
          <w:rFonts w:cs="Times New Roman"/>
          <w:color w:val="auto"/>
        </w:rPr>
        <w:t>dition was operant in this case, and</w:t>
      </w:r>
      <w:r w:rsidRPr="00B22D42">
        <w:rPr>
          <w:rFonts w:cs="Times New Roman"/>
          <w:color w:val="auto"/>
        </w:rPr>
        <w:t xml:space="preserve"> </w:t>
      </w:r>
      <w:r w:rsidR="001A6994">
        <w:rPr>
          <w:rFonts w:cs="Times New Roman"/>
          <w:color w:val="auto"/>
        </w:rPr>
        <w:t xml:space="preserve">the </w:t>
      </w:r>
      <w:r w:rsidR="001C647A">
        <w:rPr>
          <w:rFonts w:cs="Times New Roman"/>
          <w:color w:val="auto"/>
        </w:rPr>
        <w:t>s</w:t>
      </w:r>
      <w:r w:rsidR="00017E22">
        <w:rPr>
          <w:rFonts w:cs="Times New Roman"/>
          <w:color w:val="auto"/>
        </w:rPr>
        <w:t>ervice directive was</w:t>
      </w:r>
      <w:r w:rsidR="001A6994">
        <w:rPr>
          <w:rFonts w:cs="Times New Roman"/>
          <w:color w:val="auto"/>
        </w:rPr>
        <w:t xml:space="preserve"> </w:t>
      </w:r>
      <w:r w:rsidR="00017E22">
        <w:rPr>
          <w:rFonts w:cs="Times New Roman"/>
          <w:color w:val="auto"/>
        </w:rPr>
        <w:t>advantageous</w:t>
      </w:r>
      <w:r w:rsidR="001A6994">
        <w:rPr>
          <w:rFonts w:cs="Times New Roman"/>
          <w:color w:val="auto"/>
        </w:rPr>
        <w:t xml:space="preserve"> to rating; </w:t>
      </w:r>
      <w:r w:rsidR="00017E22">
        <w:rPr>
          <w:rFonts w:cs="Times New Roman"/>
          <w:color w:val="auto"/>
        </w:rPr>
        <w:t>thus</w:t>
      </w:r>
      <w:r w:rsidR="001A6994">
        <w:rPr>
          <w:rFonts w:cs="Times New Roman"/>
          <w:color w:val="auto"/>
        </w:rPr>
        <w:t xml:space="preserve">, </w:t>
      </w:r>
      <w:r w:rsidR="00832140">
        <w:rPr>
          <w:rFonts w:cs="Times New Roman"/>
          <w:color w:val="auto"/>
        </w:rPr>
        <w:t>provisions of the USAPDA pain policy do attach to the Board’s recommendation</w:t>
      </w:r>
      <w:r w:rsidRPr="00B22D42">
        <w:rPr>
          <w:rFonts w:cs="Times New Roman"/>
          <w:color w:val="auto"/>
        </w:rPr>
        <w:t xml:space="preserve">. </w:t>
      </w:r>
      <w:r w:rsidR="00F86763">
        <w:rPr>
          <w:rFonts w:cs="Times New Roman"/>
          <w:color w:val="auto"/>
        </w:rPr>
        <w:t xml:space="preserve"> </w:t>
      </w:r>
      <w:r w:rsidRPr="00B22D42">
        <w:rPr>
          <w:rFonts w:cs="Times New Roman"/>
          <w:color w:val="auto"/>
        </w:rPr>
        <w:t xml:space="preserve">In the matter of the left knee condition, the Board unanimously recommends </w:t>
      </w:r>
      <w:r w:rsidR="00F86763" w:rsidRPr="00F86763">
        <w:rPr>
          <w:rFonts w:cs="Times New Roman"/>
          <w:color w:val="auto"/>
        </w:rPr>
        <w:t>no change in the PEB adjudication</w:t>
      </w:r>
      <w:r w:rsidRPr="00B22D42">
        <w:rPr>
          <w:rFonts w:cs="Times New Roman"/>
          <w:color w:val="auto"/>
        </w:rPr>
        <w:t xml:space="preserve">. In the matter of the </w:t>
      </w:r>
      <w:r w:rsidR="00832140">
        <w:rPr>
          <w:rFonts w:cs="Times New Roman"/>
          <w:color w:val="auto"/>
        </w:rPr>
        <w:t xml:space="preserve">contended </w:t>
      </w:r>
      <w:r w:rsidRPr="00B22D42">
        <w:rPr>
          <w:rFonts w:cs="Times New Roman"/>
          <w:color w:val="auto"/>
        </w:rPr>
        <w:t>high blood pressure condition, the Board unanimously agrees that it cannot</w:t>
      </w:r>
      <w:r w:rsidRPr="00B22D42">
        <w:rPr>
          <w:rFonts w:cs="Times New Roman"/>
          <w:color w:val="000080"/>
        </w:rPr>
        <w:t xml:space="preserve"> </w:t>
      </w:r>
      <w:r w:rsidRPr="00B22D42">
        <w:rPr>
          <w:rFonts w:cs="Times New Roman"/>
          <w:color w:val="auto"/>
        </w:rPr>
        <w:t xml:space="preserve">recommend a finding of unfit for additional rating at separation. </w:t>
      </w:r>
      <w:r w:rsidR="00832140" w:rsidRPr="00832140">
        <w:rPr>
          <w:rFonts w:cs="Times New Roman"/>
          <w:color w:val="auto"/>
        </w:rPr>
        <w:t xml:space="preserve">In the matter of the contended </w:t>
      </w:r>
      <w:r w:rsidR="00832140">
        <w:rPr>
          <w:rFonts w:eastAsia="HiddenHorzOCR"/>
          <w:color w:val="000000"/>
        </w:rPr>
        <w:t xml:space="preserve">post-traumatic stress disorder </w:t>
      </w:r>
      <w:r w:rsidR="00832140" w:rsidRPr="00832140">
        <w:rPr>
          <w:rFonts w:cs="Times New Roman"/>
          <w:color w:val="auto"/>
        </w:rPr>
        <w:t>condition, the Board unanimously agrees that it is ineligible for a recommendation regarding Service disability rating.</w:t>
      </w:r>
      <w:r w:rsidR="00832140">
        <w:rPr>
          <w:rFonts w:cs="Times New Roman"/>
          <w:b/>
          <w:color w:val="auto"/>
        </w:rPr>
        <w:t xml:space="preserve">  </w:t>
      </w:r>
      <w:r w:rsidRPr="00B22D42">
        <w:rPr>
          <w:rFonts w:cs="Times New Roman"/>
          <w:color w:val="auto"/>
        </w:rPr>
        <w:t>The Board unanimously agrees that there were no other conditions eligible for Board consideration which could be recommended as additionally unfitting for rating at separation.</w:t>
      </w:r>
    </w:p>
    <w:p w:rsidR="00304134" w:rsidRPr="001F29F9" w:rsidRDefault="00304134" w:rsidP="00BF0E94">
      <w:pPr>
        <w:pBdr>
          <w:bottom w:val="single" w:sz="12" w:space="1" w:color="auto"/>
        </w:pBdr>
        <w:tabs>
          <w:tab w:val="left" w:pos="288"/>
          <w:tab w:val="left" w:pos="4752"/>
        </w:tabs>
        <w:jc w:val="both"/>
        <w:rPr>
          <w:color w:val="000000"/>
        </w:rPr>
      </w:pPr>
    </w:p>
    <w:p w:rsidR="00304134" w:rsidRPr="001F29F9" w:rsidRDefault="00304134" w:rsidP="006364ED">
      <w:pPr>
        <w:jc w:val="left"/>
        <w:rPr>
          <w:color w:val="000000"/>
        </w:rPr>
      </w:pPr>
    </w:p>
    <w:p w:rsidR="00304134" w:rsidRPr="001F29F9" w:rsidRDefault="00304134" w:rsidP="00B22D42">
      <w:pPr>
        <w:jc w:val="left"/>
        <w:rPr>
          <w:color w:val="000000"/>
        </w:rPr>
      </w:pPr>
      <w:r w:rsidRPr="001F29F9">
        <w:rPr>
          <w:color w:val="000000"/>
          <w:u w:val="single"/>
        </w:rPr>
        <w:t>RECOMMENDATION</w:t>
      </w:r>
      <w:r w:rsidRPr="001F29F9">
        <w:rPr>
          <w:color w:val="000000"/>
        </w:rPr>
        <w:t xml:space="preserve">: </w:t>
      </w:r>
      <w:r w:rsidR="00F86763">
        <w:rPr>
          <w:color w:val="000000"/>
        </w:rPr>
        <w:t xml:space="preserve"> </w:t>
      </w:r>
      <w:r w:rsidRPr="001F29F9">
        <w:rPr>
          <w:color w:val="000000"/>
        </w:rPr>
        <w:t xml:space="preserve">The Board recommends that the CI’s prior determination be modified as follows, effective as of the </w:t>
      </w:r>
      <w:r w:rsidRPr="00B22D42">
        <w:rPr>
          <w:color w:val="000000"/>
        </w:rPr>
        <w:t>date of his prior</w:t>
      </w:r>
      <w:r w:rsidRPr="001F29F9">
        <w:rPr>
          <w:color w:val="000000"/>
        </w:rPr>
        <w:t xml:space="preserve"> medical separation:</w:t>
      </w:r>
    </w:p>
    <w:p w:rsidR="00304134" w:rsidRPr="001F29F9" w:rsidRDefault="00304134"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82"/>
        <w:gridCol w:w="1710"/>
        <w:gridCol w:w="1170"/>
      </w:tblGrid>
      <w:tr w:rsidR="00304134" w:rsidRPr="000D5DBE">
        <w:trPr>
          <w:trHeight w:val="233"/>
          <w:jc w:val="center"/>
        </w:trPr>
        <w:tc>
          <w:tcPr>
            <w:tcW w:w="6282" w:type="dxa"/>
            <w:shd w:val="clear" w:color="auto" w:fill="D9D9D9"/>
            <w:vAlign w:val="center"/>
          </w:tcPr>
          <w:p w:rsidR="00304134" w:rsidRPr="000D5DBE" w:rsidRDefault="00304134" w:rsidP="00BF0E94">
            <w:pPr>
              <w:tabs>
                <w:tab w:val="left" w:pos="288"/>
                <w:tab w:val="left" w:pos="4752"/>
              </w:tabs>
              <w:rPr>
                <w:b/>
                <w:color w:val="000000"/>
              </w:rPr>
            </w:pPr>
            <w:r w:rsidRPr="000D5DBE">
              <w:rPr>
                <w:b/>
                <w:color w:val="000000"/>
              </w:rPr>
              <w:t>UNFITTING CONDITION</w:t>
            </w:r>
          </w:p>
        </w:tc>
        <w:tc>
          <w:tcPr>
            <w:tcW w:w="1710" w:type="dxa"/>
            <w:shd w:val="clear" w:color="auto" w:fill="D9D9D9"/>
            <w:vAlign w:val="center"/>
          </w:tcPr>
          <w:p w:rsidR="00304134" w:rsidRPr="000D5DBE" w:rsidRDefault="00304134" w:rsidP="00BF0E94">
            <w:pPr>
              <w:tabs>
                <w:tab w:val="left" w:pos="288"/>
                <w:tab w:val="left" w:pos="4752"/>
              </w:tabs>
              <w:rPr>
                <w:b/>
                <w:color w:val="000000"/>
              </w:rPr>
            </w:pPr>
            <w:r w:rsidRPr="000D5DBE">
              <w:rPr>
                <w:b/>
                <w:color w:val="000000"/>
              </w:rPr>
              <w:t>VASRD CODE</w:t>
            </w:r>
          </w:p>
        </w:tc>
        <w:tc>
          <w:tcPr>
            <w:tcW w:w="1170" w:type="dxa"/>
            <w:shd w:val="clear" w:color="auto" w:fill="D9D9D9"/>
            <w:vAlign w:val="center"/>
          </w:tcPr>
          <w:p w:rsidR="00304134" w:rsidRPr="000D5DBE" w:rsidRDefault="00304134" w:rsidP="00BF0E94">
            <w:pPr>
              <w:tabs>
                <w:tab w:val="left" w:pos="288"/>
                <w:tab w:val="left" w:pos="4752"/>
              </w:tabs>
              <w:rPr>
                <w:b/>
                <w:color w:val="000000"/>
              </w:rPr>
            </w:pPr>
            <w:r w:rsidRPr="000D5DBE">
              <w:rPr>
                <w:b/>
                <w:color w:val="000000"/>
              </w:rPr>
              <w:t>RATING</w:t>
            </w:r>
          </w:p>
        </w:tc>
      </w:tr>
      <w:tr w:rsidR="00304134" w:rsidRPr="000D5DBE">
        <w:trPr>
          <w:jc w:val="center"/>
        </w:trPr>
        <w:tc>
          <w:tcPr>
            <w:tcW w:w="6282" w:type="dxa"/>
            <w:vAlign w:val="center"/>
          </w:tcPr>
          <w:p w:rsidR="00304134" w:rsidRPr="000D5DBE" w:rsidRDefault="00304134" w:rsidP="00BF0E94">
            <w:pPr>
              <w:tabs>
                <w:tab w:val="left" w:pos="288"/>
                <w:tab w:val="left" w:pos="4752"/>
              </w:tabs>
              <w:jc w:val="left"/>
              <w:rPr>
                <w:color w:val="000000"/>
              </w:rPr>
            </w:pPr>
            <w:r w:rsidRPr="000D5DBE">
              <w:rPr>
                <w:color w:val="000000"/>
              </w:rPr>
              <w:t>Chronic Left Knee Pain</w:t>
            </w:r>
          </w:p>
        </w:tc>
        <w:tc>
          <w:tcPr>
            <w:tcW w:w="1710" w:type="dxa"/>
            <w:vAlign w:val="center"/>
          </w:tcPr>
          <w:p w:rsidR="00304134" w:rsidRPr="000D5DBE" w:rsidRDefault="00F86763" w:rsidP="00BF0E94">
            <w:pPr>
              <w:tabs>
                <w:tab w:val="left" w:pos="288"/>
                <w:tab w:val="left" w:pos="4752"/>
              </w:tabs>
              <w:rPr>
                <w:color w:val="000000"/>
              </w:rPr>
            </w:pPr>
            <w:r>
              <w:rPr>
                <w:color w:val="000000"/>
              </w:rPr>
              <w:t>5099-5003</w:t>
            </w:r>
          </w:p>
        </w:tc>
        <w:tc>
          <w:tcPr>
            <w:tcW w:w="1170" w:type="dxa"/>
            <w:vAlign w:val="center"/>
          </w:tcPr>
          <w:p w:rsidR="00304134" w:rsidRPr="000D5DBE" w:rsidRDefault="00304134" w:rsidP="00BF0E94">
            <w:pPr>
              <w:tabs>
                <w:tab w:val="left" w:pos="288"/>
                <w:tab w:val="left" w:pos="4752"/>
              </w:tabs>
              <w:rPr>
                <w:color w:val="000000"/>
              </w:rPr>
            </w:pPr>
            <w:r>
              <w:rPr>
                <w:color w:val="000000"/>
              </w:rPr>
              <w:t>2</w:t>
            </w:r>
            <w:r w:rsidRPr="000D5DBE">
              <w:rPr>
                <w:color w:val="000000"/>
              </w:rPr>
              <w:t>0%</w:t>
            </w:r>
          </w:p>
        </w:tc>
      </w:tr>
      <w:tr w:rsidR="00304134" w:rsidRPr="000D5DBE">
        <w:tblPrEx>
          <w:tblLook w:val="0000"/>
        </w:tblPrEx>
        <w:trPr>
          <w:gridBefore w:val="1"/>
          <w:wBefore w:w="6282" w:type="dxa"/>
          <w:trHeight w:val="152"/>
          <w:jc w:val="center"/>
        </w:trPr>
        <w:tc>
          <w:tcPr>
            <w:tcW w:w="1710" w:type="dxa"/>
            <w:tcBorders>
              <w:left w:val="single" w:sz="4" w:space="0" w:color="auto"/>
            </w:tcBorders>
            <w:shd w:val="clear" w:color="auto" w:fill="D9D9D9"/>
            <w:vAlign w:val="center"/>
          </w:tcPr>
          <w:p w:rsidR="00304134" w:rsidRPr="000D5DBE" w:rsidRDefault="00304134" w:rsidP="00BF0E94">
            <w:pPr>
              <w:tabs>
                <w:tab w:val="left" w:pos="288"/>
                <w:tab w:val="left" w:pos="4752"/>
              </w:tabs>
              <w:rPr>
                <w:b/>
                <w:color w:val="000000"/>
              </w:rPr>
            </w:pPr>
            <w:r w:rsidRPr="000D5DBE">
              <w:rPr>
                <w:b/>
                <w:color w:val="000000"/>
              </w:rPr>
              <w:t>COMBINED</w:t>
            </w:r>
          </w:p>
        </w:tc>
        <w:tc>
          <w:tcPr>
            <w:tcW w:w="1170" w:type="dxa"/>
            <w:shd w:val="clear" w:color="auto" w:fill="D9D9D9"/>
            <w:vAlign w:val="center"/>
          </w:tcPr>
          <w:p w:rsidR="00304134" w:rsidRPr="000D5DBE" w:rsidRDefault="00304134" w:rsidP="00BF0E94">
            <w:pPr>
              <w:tabs>
                <w:tab w:val="left" w:pos="288"/>
                <w:tab w:val="left" w:pos="4752"/>
              </w:tabs>
              <w:rPr>
                <w:b/>
                <w:color w:val="000000"/>
              </w:rPr>
            </w:pPr>
            <w:r>
              <w:rPr>
                <w:b/>
                <w:color w:val="000000"/>
              </w:rPr>
              <w:t>2</w:t>
            </w:r>
            <w:r w:rsidRPr="000D5DBE">
              <w:rPr>
                <w:b/>
                <w:color w:val="000000"/>
              </w:rPr>
              <w:t>0%</w:t>
            </w:r>
          </w:p>
        </w:tc>
      </w:tr>
    </w:tbl>
    <w:p w:rsidR="00304134" w:rsidRPr="001F29F9" w:rsidRDefault="00304134" w:rsidP="00BF0E94">
      <w:pPr>
        <w:pBdr>
          <w:bottom w:val="single" w:sz="12" w:space="1" w:color="auto"/>
        </w:pBdr>
        <w:tabs>
          <w:tab w:val="left" w:pos="288"/>
          <w:tab w:val="left" w:pos="4752"/>
        </w:tabs>
        <w:jc w:val="both"/>
        <w:rPr>
          <w:color w:val="000000"/>
        </w:rPr>
      </w:pPr>
    </w:p>
    <w:p w:rsidR="00304134" w:rsidRPr="001F29F9" w:rsidRDefault="00304134" w:rsidP="00BF0E94">
      <w:pPr>
        <w:rPr>
          <w:color w:val="000000"/>
        </w:rPr>
      </w:pPr>
    </w:p>
    <w:p w:rsidR="00304134" w:rsidRPr="001F29F9" w:rsidRDefault="00304134" w:rsidP="00BF0E94">
      <w:pPr>
        <w:tabs>
          <w:tab w:val="left" w:pos="288"/>
          <w:tab w:val="left" w:pos="4752"/>
        </w:tabs>
        <w:jc w:val="both"/>
        <w:rPr>
          <w:color w:val="000000"/>
        </w:rPr>
      </w:pPr>
      <w:r w:rsidRPr="001F29F9">
        <w:rPr>
          <w:color w:val="000000"/>
        </w:rPr>
        <w:t>The following documentary evidence was considered:</w:t>
      </w:r>
    </w:p>
    <w:p w:rsidR="00304134" w:rsidRPr="001F29F9" w:rsidRDefault="00304134" w:rsidP="00BF0E94">
      <w:pPr>
        <w:tabs>
          <w:tab w:val="left" w:pos="288"/>
          <w:tab w:val="left" w:pos="4752"/>
        </w:tabs>
        <w:jc w:val="both"/>
        <w:rPr>
          <w:color w:val="000000"/>
        </w:rPr>
      </w:pPr>
    </w:p>
    <w:p w:rsidR="00304134" w:rsidRPr="001F29F9" w:rsidRDefault="00304134" w:rsidP="00B3575C">
      <w:pPr>
        <w:tabs>
          <w:tab w:val="left" w:pos="288"/>
          <w:tab w:val="left" w:pos="4752"/>
        </w:tabs>
        <w:spacing w:line="440" w:lineRule="exact"/>
        <w:jc w:val="both"/>
        <w:rPr>
          <w:color w:val="000000"/>
        </w:rPr>
      </w:pPr>
      <w:r w:rsidRPr="001F29F9">
        <w:rPr>
          <w:color w:val="000000"/>
        </w:rPr>
        <w:t>Exhibit A.  DD Fo</w:t>
      </w:r>
      <w:r w:rsidR="001C647A">
        <w:rPr>
          <w:color w:val="000000"/>
        </w:rPr>
        <w:t>rm 294, dated 20110719, w/</w:t>
      </w:r>
      <w:proofErr w:type="spellStart"/>
      <w:r w:rsidR="001C647A">
        <w:rPr>
          <w:color w:val="000000"/>
        </w:rPr>
        <w:t>atchs</w:t>
      </w:r>
      <w:proofErr w:type="spellEnd"/>
    </w:p>
    <w:p w:rsidR="00304134" w:rsidRPr="001F29F9" w:rsidRDefault="00304134" w:rsidP="00BF0E94">
      <w:pPr>
        <w:tabs>
          <w:tab w:val="left" w:pos="288"/>
          <w:tab w:val="left" w:pos="4752"/>
        </w:tabs>
        <w:jc w:val="both"/>
        <w:rPr>
          <w:color w:val="000000"/>
        </w:rPr>
      </w:pPr>
      <w:r w:rsidRPr="001F29F9">
        <w:rPr>
          <w:color w:val="000000"/>
        </w:rPr>
        <w:t xml:space="preserve">Exhibit B.  Service Treatment </w:t>
      </w:r>
      <w:r w:rsidR="001C647A">
        <w:rPr>
          <w:color w:val="000000"/>
        </w:rPr>
        <w:t>Record</w:t>
      </w:r>
    </w:p>
    <w:p w:rsidR="00304134" w:rsidRPr="001F29F9" w:rsidRDefault="00304134" w:rsidP="00BF0E94">
      <w:pPr>
        <w:tabs>
          <w:tab w:val="left" w:pos="288"/>
          <w:tab w:val="left" w:pos="4752"/>
        </w:tabs>
        <w:jc w:val="both"/>
        <w:rPr>
          <w:color w:val="000000"/>
        </w:rPr>
      </w:pPr>
      <w:r w:rsidRPr="001F29F9">
        <w:rPr>
          <w:color w:val="000000"/>
        </w:rPr>
        <w:t>Exhibit C.  Department of Ve</w:t>
      </w:r>
      <w:r w:rsidR="001C647A">
        <w:rPr>
          <w:color w:val="000000"/>
        </w:rPr>
        <w:t>terans Affairs Treatment Record</w:t>
      </w:r>
    </w:p>
    <w:p w:rsidR="00304134" w:rsidRPr="001F29F9" w:rsidRDefault="00304134" w:rsidP="00BF0E94">
      <w:pPr>
        <w:tabs>
          <w:tab w:val="left" w:pos="288"/>
          <w:tab w:val="left" w:pos="4752"/>
        </w:tabs>
        <w:jc w:val="both"/>
        <w:rPr>
          <w:color w:val="000000"/>
        </w:rPr>
      </w:pPr>
    </w:p>
    <w:p w:rsidR="00304134" w:rsidRPr="001F29F9" w:rsidRDefault="00304134" w:rsidP="00BF0E94">
      <w:pPr>
        <w:tabs>
          <w:tab w:val="left" w:pos="288"/>
          <w:tab w:val="left" w:pos="4752"/>
        </w:tabs>
        <w:jc w:val="both"/>
        <w:rPr>
          <w:color w:val="000000"/>
        </w:rPr>
      </w:pPr>
    </w:p>
    <w:p w:rsidR="00304134" w:rsidRPr="001F29F9" w:rsidRDefault="00304134" w:rsidP="00BF0E94">
      <w:pPr>
        <w:tabs>
          <w:tab w:val="left" w:pos="288"/>
          <w:tab w:val="left" w:pos="4752"/>
        </w:tabs>
        <w:jc w:val="both"/>
        <w:rPr>
          <w:color w:val="000000"/>
        </w:rPr>
      </w:pPr>
    </w:p>
    <w:p w:rsidR="00304134" w:rsidRPr="001F29F9" w:rsidRDefault="00304134" w:rsidP="00BF0E94">
      <w:pPr>
        <w:tabs>
          <w:tab w:val="left" w:pos="0"/>
          <w:tab w:val="left" w:pos="4320"/>
        </w:tabs>
        <w:jc w:val="both"/>
        <w:rPr>
          <w:color w:val="000000"/>
        </w:rPr>
      </w:pPr>
      <w:r w:rsidRPr="001F29F9">
        <w:rPr>
          <w:color w:val="000000"/>
        </w:rPr>
        <w:tab/>
        <w:t xml:space="preserve">           President</w:t>
      </w:r>
    </w:p>
    <w:p w:rsidR="00B3548F" w:rsidRDefault="00304134" w:rsidP="00642C98">
      <w:pPr>
        <w:tabs>
          <w:tab w:val="left" w:pos="0"/>
          <w:tab w:val="left" w:pos="4320"/>
        </w:tabs>
        <w:jc w:val="both"/>
        <w:rPr>
          <w:color w:val="000000"/>
        </w:rPr>
      </w:pPr>
      <w:r w:rsidRPr="001F29F9">
        <w:rPr>
          <w:color w:val="000000"/>
        </w:rPr>
        <w:tab/>
        <w:t xml:space="preserve">           Physical Disability Board of Review</w:t>
      </w:r>
    </w:p>
    <w:p w:rsidR="00B3548F" w:rsidRDefault="00B3548F">
      <w:pPr>
        <w:spacing w:line="240" w:lineRule="auto"/>
        <w:jc w:val="left"/>
        <w:rPr>
          <w:color w:val="000000"/>
        </w:rPr>
      </w:pPr>
      <w:r>
        <w:rPr>
          <w:color w:val="000000"/>
        </w:rPr>
        <w:br w:type="page"/>
      </w:r>
    </w:p>
    <w:p w:rsidR="00B3548F" w:rsidRP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lastRenderedPageBreak/>
        <w:t>SFMR-RB</w:t>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r w:rsidRPr="00B3548F">
        <w:rPr>
          <w:rFonts w:asciiTheme="majorHAnsi" w:hAnsiTheme="majorHAnsi" w:cstheme="majorHAnsi"/>
          <w:color w:val="auto"/>
          <w:szCs w:val="24"/>
        </w:rPr>
        <w:tab/>
      </w: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t xml:space="preserve">MEMORANDUM FOR Commander, US Army Physical Disability Agency </w:t>
      </w: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t xml:space="preserve">SUBJECT:  Department of Defense Physical Disability Board of Review Recommendation </w:t>
      </w: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t>I have reviewed the enclosed Department of Defense Physical Disability Board of Review (</w:t>
      </w:r>
      <w:proofErr w:type="spellStart"/>
      <w:r w:rsidRPr="00B3548F">
        <w:rPr>
          <w:rFonts w:asciiTheme="majorHAnsi" w:hAnsiTheme="majorHAnsi" w:cstheme="majorHAnsi"/>
          <w:color w:val="auto"/>
          <w:szCs w:val="24"/>
        </w:rPr>
        <w:t>DoD</w:t>
      </w:r>
      <w:proofErr w:type="spellEnd"/>
      <w:r w:rsidRPr="00B3548F">
        <w:rPr>
          <w:rFonts w:asciiTheme="majorHAnsi" w:hAnsiTheme="majorHAnsi" w:cstheme="majorHAnsi"/>
          <w:color w:val="auto"/>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t>This decision is final.  The individual concerned, counsel (if any), and any Members of Congress who have shown interest in this application have been notified of this decision by mail.</w:t>
      </w: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t xml:space="preserve"> BY ORDER OF THE SECRETARY OF THE ARMY:</w:t>
      </w: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p>
    <w:p w:rsidR="00B3548F" w:rsidRPr="00B3548F" w:rsidRDefault="00B3548F" w:rsidP="00B3548F">
      <w:pPr>
        <w:tabs>
          <w:tab w:val="left" w:pos="0"/>
          <w:tab w:val="left" w:pos="4320"/>
        </w:tabs>
        <w:jc w:val="both"/>
        <w:rPr>
          <w:rFonts w:asciiTheme="majorHAnsi" w:hAnsiTheme="majorHAnsi" w:cstheme="majorHAnsi"/>
          <w:color w:val="auto"/>
          <w:szCs w:val="24"/>
        </w:rPr>
      </w:pPr>
      <w:bookmarkStart w:id="0" w:name="OLE_LINK3"/>
      <w:bookmarkStart w:id="1" w:name="OLE_LINK4"/>
      <w:r w:rsidRPr="00B3548F">
        <w:rPr>
          <w:rFonts w:asciiTheme="majorHAnsi" w:hAnsiTheme="majorHAnsi" w:cstheme="majorHAnsi"/>
          <w:color w:val="auto"/>
          <w:szCs w:val="24"/>
        </w:rPr>
        <w:t>Encl</w:t>
      </w:r>
      <w:r w:rsidRPr="00B3548F">
        <w:rPr>
          <w:rFonts w:asciiTheme="majorHAnsi" w:hAnsiTheme="majorHAnsi" w:cstheme="majorHAnsi"/>
          <w:color w:val="auto"/>
          <w:szCs w:val="24"/>
        </w:rPr>
        <w:tab/>
        <w:t xml:space="preserve"> </w:t>
      </w:r>
    </w:p>
    <w:p w:rsidR="00B3548F" w:rsidRP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tab/>
        <w:t>Deputy Assistant Secretary</w:t>
      </w:r>
    </w:p>
    <w:p w:rsidR="00B3548F" w:rsidRPr="00B3548F" w:rsidRDefault="00B3548F" w:rsidP="00B3548F">
      <w:pPr>
        <w:tabs>
          <w:tab w:val="left" w:pos="0"/>
          <w:tab w:val="left" w:pos="4320"/>
        </w:tabs>
        <w:jc w:val="both"/>
        <w:rPr>
          <w:rFonts w:asciiTheme="majorHAnsi" w:hAnsiTheme="majorHAnsi" w:cstheme="majorHAnsi"/>
          <w:color w:val="auto"/>
          <w:szCs w:val="24"/>
        </w:rPr>
      </w:pPr>
      <w:r w:rsidRPr="00B3548F">
        <w:rPr>
          <w:rFonts w:asciiTheme="majorHAnsi" w:hAnsiTheme="majorHAnsi" w:cstheme="majorHAnsi"/>
          <w:color w:val="auto"/>
          <w:szCs w:val="24"/>
        </w:rPr>
        <w:tab/>
        <w:t xml:space="preserve"> (Army Review Boards)</w:t>
      </w:r>
      <w:bookmarkEnd w:id="0"/>
      <w:bookmarkEnd w:id="1"/>
    </w:p>
    <w:p w:rsidR="00832140" w:rsidRPr="00B3548F" w:rsidRDefault="00832140" w:rsidP="00642C98">
      <w:pPr>
        <w:tabs>
          <w:tab w:val="left" w:pos="0"/>
          <w:tab w:val="left" w:pos="4320"/>
        </w:tabs>
        <w:jc w:val="both"/>
        <w:rPr>
          <w:rFonts w:asciiTheme="majorHAnsi" w:hAnsiTheme="majorHAnsi" w:cstheme="majorHAnsi"/>
          <w:color w:val="auto"/>
          <w:szCs w:val="24"/>
        </w:rPr>
      </w:pPr>
    </w:p>
    <w:p w:rsidR="00304134" w:rsidRPr="00B3548F" w:rsidRDefault="00304134" w:rsidP="00832140">
      <w:pPr>
        <w:tabs>
          <w:tab w:val="left" w:pos="720"/>
          <w:tab w:val="left" w:pos="1080"/>
          <w:tab w:val="left" w:pos="1340"/>
          <w:tab w:val="left" w:pos="1620"/>
          <w:tab w:val="right" w:leader="dot" w:pos="9180"/>
        </w:tabs>
        <w:ind w:right="-720"/>
        <w:jc w:val="both"/>
        <w:rPr>
          <w:rFonts w:asciiTheme="majorHAnsi" w:hAnsiTheme="majorHAnsi" w:cstheme="majorHAnsi"/>
          <w:color w:val="000000"/>
        </w:rPr>
      </w:pPr>
    </w:p>
    <w:sectPr w:rsidR="00304134" w:rsidRPr="00B3548F"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6B" w:rsidRDefault="00BD1D6B">
      <w:r>
        <w:separator/>
      </w:r>
    </w:p>
  </w:endnote>
  <w:endnote w:type="continuationSeparator" w:id="0">
    <w:p w:rsidR="00BD1D6B" w:rsidRDefault="00BD1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34" w:rsidRPr="00374247" w:rsidRDefault="00304134" w:rsidP="00726F84">
    <w:pPr>
      <w:pStyle w:val="Footer"/>
      <w:ind w:firstLine="4320"/>
      <w:rPr>
        <w:color w:val="auto"/>
      </w:rPr>
    </w:pPr>
    <w:r w:rsidRPr="00374247">
      <w:rPr>
        <w:color w:val="auto"/>
      </w:rPr>
      <w:t xml:space="preserve">   </w:t>
    </w:r>
    <w:fldSimple w:instr=" PAGE   \* MERGEFORMAT ">
      <w:r w:rsidR="00B3548F" w:rsidRPr="00B3548F">
        <w:rPr>
          <w:noProof/>
          <w:color w:val="auto"/>
        </w:rPr>
        <w:t>4</w:t>
      </w:r>
    </w:fldSimple>
    <w:r w:rsidRPr="00374247">
      <w:rPr>
        <w:color w:val="auto"/>
      </w:rPr>
      <w:t xml:space="preserve">                                                           </w:t>
    </w:r>
    <w:r w:rsidRPr="001D64F3">
      <w:rPr>
        <w:color w:val="auto"/>
      </w:rPr>
      <w:t>PD1</w:t>
    </w:r>
    <w:r w:rsidRPr="009369A6">
      <w:rPr>
        <w:color w:val="auto"/>
      </w:rPr>
      <w:t>100542</w:t>
    </w:r>
  </w:p>
  <w:p w:rsidR="00304134" w:rsidRPr="00684CE6" w:rsidRDefault="0030413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6B" w:rsidRDefault="00BD1D6B">
      <w:r>
        <w:separator/>
      </w:r>
    </w:p>
  </w:footnote>
  <w:footnote w:type="continuationSeparator" w:id="0">
    <w:p w:rsidR="00BD1D6B" w:rsidRDefault="00BD1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17E22"/>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A15"/>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3E7"/>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1F9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1F9"/>
    <w:rsid w:val="001A6848"/>
    <w:rsid w:val="001A6994"/>
    <w:rsid w:val="001A7538"/>
    <w:rsid w:val="001A7922"/>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2B6"/>
    <w:rsid w:val="001C5BDA"/>
    <w:rsid w:val="001C5CFC"/>
    <w:rsid w:val="001C647A"/>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7DBD"/>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969"/>
    <w:rsid w:val="00246860"/>
    <w:rsid w:val="002468D9"/>
    <w:rsid w:val="00246995"/>
    <w:rsid w:val="00246DFF"/>
    <w:rsid w:val="00246E89"/>
    <w:rsid w:val="0024784A"/>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B25"/>
    <w:rsid w:val="002B4E22"/>
    <w:rsid w:val="002B6FA0"/>
    <w:rsid w:val="002B7710"/>
    <w:rsid w:val="002C07CC"/>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134"/>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EE0"/>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57D3A"/>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40AD"/>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7DF"/>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4567"/>
    <w:rsid w:val="004A712D"/>
    <w:rsid w:val="004A7C03"/>
    <w:rsid w:val="004B03F3"/>
    <w:rsid w:val="004B0AD8"/>
    <w:rsid w:val="004B0CC9"/>
    <w:rsid w:val="004B1C61"/>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77A3"/>
    <w:rsid w:val="005000AB"/>
    <w:rsid w:val="00500EAF"/>
    <w:rsid w:val="00500F3C"/>
    <w:rsid w:val="005025EE"/>
    <w:rsid w:val="00502D1D"/>
    <w:rsid w:val="00503401"/>
    <w:rsid w:val="00503DDF"/>
    <w:rsid w:val="00505524"/>
    <w:rsid w:val="005058D5"/>
    <w:rsid w:val="00506688"/>
    <w:rsid w:val="00510588"/>
    <w:rsid w:val="00510D32"/>
    <w:rsid w:val="00510F9C"/>
    <w:rsid w:val="0051146C"/>
    <w:rsid w:val="0051220B"/>
    <w:rsid w:val="00512253"/>
    <w:rsid w:val="00512484"/>
    <w:rsid w:val="00514449"/>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A32"/>
    <w:rsid w:val="005C4D72"/>
    <w:rsid w:val="005C50C1"/>
    <w:rsid w:val="005C62C2"/>
    <w:rsid w:val="005D2306"/>
    <w:rsid w:val="005D2562"/>
    <w:rsid w:val="005D2666"/>
    <w:rsid w:val="005D4548"/>
    <w:rsid w:val="005D4A74"/>
    <w:rsid w:val="005D5E91"/>
    <w:rsid w:val="005D67EF"/>
    <w:rsid w:val="005E3064"/>
    <w:rsid w:val="005E4C43"/>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0953"/>
    <w:rsid w:val="006211D0"/>
    <w:rsid w:val="00621595"/>
    <w:rsid w:val="0062359D"/>
    <w:rsid w:val="00623634"/>
    <w:rsid w:val="00624D0C"/>
    <w:rsid w:val="00626A0F"/>
    <w:rsid w:val="006274B4"/>
    <w:rsid w:val="006307BA"/>
    <w:rsid w:val="006315BA"/>
    <w:rsid w:val="006326E4"/>
    <w:rsid w:val="00634C4A"/>
    <w:rsid w:val="0063532E"/>
    <w:rsid w:val="0063579F"/>
    <w:rsid w:val="006364ED"/>
    <w:rsid w:val="00637063"/>
    <w:rsid w:val="0063737C"/>
    <w:rsid w:val="00637BDC"/>
    <w:rsid w:val="00640363"/>
    <w:rsid w:val="00640622"/>
    <w:rsid w:val="006418C9"/>
    <w:rsid w:val="00642BD6"/>
    <w:rsid w:val="00642C98"/>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965"/>
    <w:rsid w:val="00694EEA"/>
    <w:rsid w:val="006955B4"/>
    <w:rsid w:val="00695DEF"/>
    <w:rsid w:val="00696476"/>
    <w:rsid w:val="00696C74"/>
    <w:rsid w:val="00697C9B"/>
    <w:rsid w:val="006A0A37"/>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668"/>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968"/>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1C5E"/>
    <w:rsid w:val="0073254D"/>
    <w:rsid w:val="007340F3"/>
    <w:rsid w:val="007347BB"/>
    <w:rsid w:val="00735704"/>
    <w:rsid w:val="00736A49"/>
    <w:rsid w:val="007413B4"/>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964"/>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7EA"/>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0E"/>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1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3A2C"/>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B87"/>
    <w:rsid w:val="008E744D"/>
    <w:rsid w:val="008F1E08"/>
    <w:rsid w:val="008F30F4"/>
    <w:rsid w:val="008F58E1"/>
    <w:rsid w:val="008F6E05"/>
    <w:rsid w:val="008F6FC8"/>
    <w:rsid w:val="0090045D"/>
    <w:rsid w:val="00900906"/>
    <w:rsid w:val="00900D8F"/>
    <w:rsid w:val="00901229"/>
    <w:rsid w:val="009014E3"/>
    <w:rsid w:val="009020ED"/>
    <w:rsid w:val="009026B2"/>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4C47"/>
    <w:rsid w:val="009354A4"/>
    <w:rsid w:val="009369A6"/>
    <w:rsid w:val="00937F57"/>
    <w:rsid w:val="0094031E"/>
    <w:rsid w:val="009419B4"/>
    <w:rsid w:val="00941A4C"/>
    <w:rsid w:val="00942645"/>
    <w:rsid w:val="009461E6"/>
    <w:rsid w:val="009473CF"/>
    <w:rsid w:val="00950A3A"/>
    <w:rsid w:val="009517C5"/>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3C4"/>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18A"/>
    <w:rsid w:val="00A41468"/>
    <w:rsid w:val="00A414A9"/>
    <w:rsid w:val="00A43676"/>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4F11"/>
    <w:rsid w:val="00AB592E"/>
    <w:rsid w:val="00AC0C1C"/>
    <w:rsid w:val="00AC1305"/>
    <w:rsid w:val="00AC37BE"/>
    <w:rsid w:val="00AC439D"/>
    <w:rsid w:val="00AC4BA1"/>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0D23"/>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40B8"/>
    <w:rsid w:val="00B14FAA"/>
    <w:rsid w:val="00B15812"/>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48F"/>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4BB8"/>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E92"/>
    <w:rsid w:val="00BC1CF3"/>
    <w:rsid w:val="00BC2BE0"/>
    <w:rsid w:val="00BC3573"/>
    <w:rsid w:val="00BC5860"/>
    <w:rsid w:val="00BC7F82"/>
    <w:rsid w:val="00BD1844"/>
    <w:rsid w:val="00BD1D6B"/>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1210"/>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1FF4"/>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3AE"/>
    <w:rsid w:val="00CC0D0E"/>
    <w:rsid w:val="00CC1253"/>
    <w:rsid w:val="00CC19B3"/>
    <w:rsid w:val="00CC2044"/>
    <w:rsid w:val="00CC39D2"/>
    <w:rsid w:val="00CC59B4"/>
    <w:rsid w:val="00CC69EC"/>
    <w:rsid w:val="00CC78A2"/>
    <w:rsid w:val="00CC7DF8"/>
    <w:rsid w:val="00CD15BE"/>
    <w:rsid w:val="00CD1EF2"/>
    <w:rsid w:val="00CD216A"/>
    <w:rsid w:val="00CD32BD"/>
    <w:rsid w:val="00CD34C7"/>
    <w:rsid w:val="00CD39AC"/>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5319"/>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176"/>
    <w:rsid w:val="00D704E4"/>
    <w:rsid w:val="00D71DA7"/>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6A5"/>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1423"/>
    <w:rsid w:val="00DE3555"/>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35A"/>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053"/>
    <w:rsid w:val="00EF5268"/>
    <w:rsid w:val="00EF608E"/>
    <w:rsid w:val="00EF6C4A"/>
    <w:rsid w:val="00F0044B"/>
    <w:rsid w:val="00F00E60"/>
    <w:rsid w:val="00F018E4"/>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08B7"/>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6763"/>
    <w:rsid w:val="00F908D5"/>
    <w:rsid w:val="00F912A0"/>
    <w:rsid w:val="00F913B9"/>
    <w:rsid w:val="00F93C74"/>
    <w:rsid w:val="00F93DCC"/>
    <w:rsid w:val="00F9435D"/>
    <w:rsid w:val="00F95111"/>
    <w:rsid w:val="00F966F9"/>
    <w:rsid w:val="00F96F61"/>
    <w:rsid w:val="00F97740"/>
    <w:rsid w:val="00FA0C8F"/>
    <w:rsid w:val="00FA2DEF"/>
    <w:rsid w:val="00FA2F7B"/>
    <w:rsid w:val="00FA3C42"/>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B8B"/>
    <w:rsid w:val="00FD1D5A"/>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dcterms:created xsi:type="dcterms:W3CDTF">2012-02-21T13:20:00Z</dcterms:created>
  <dcterms:modified xsi:type="dcterms:W3CDTF">2012-03-19T22:33:00Z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