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4538F" w:rsidRDefault="00F629C0" w:rsidP="004D7E82">
      <w:pPr>
        <w:tabs>
          <w:tab w:val="left" w:pos="288"/>
          <w:tab w:val="left" w:pos="6120"/>
          <w:tab w:val="left" w:pos="9270"/>
        </w:tabs>
        <w:jc w:val="both"/>
        <w:rPr>
          <w:caps/>
          <w:color w:val="000000" w:themeColor="text1"/>
        </w:rPr>
      </w:pPr>
      <w:r w:rsidRPr="00F4538F">
        <w:rPr>
          <w:caps/>
          <w:color w:val="000000" w:themeColor="text1"/>
        </w:rPr>
        <w:t xml:space="preserve">NAME:  </w:t>
      </w:r>
      <w:r w:rsidR="00FF1F2B">
        <w:rPr>
          <w:caps/>
          <w:color w:val="000000" w:themeColor="text1"/>
        </w:rPr>
        <w:t>XXXXXXXXXXXXXX</w:t>
      </w:r>
      <w:r w:rsidR="00F1766A" w:rsidRPr="00F4538F">
        <w:rPr>
          <w:caps/>
          <w:color w:val="000000" w:themeColor="text1"/>
        </w:rPr>
        <w:tab/>
      </w:r>
      <w:r w:rsidRPr="00F4538F">
        <w:rPr>
          <w:caps/>
          <w:color w:val="000000" w:themeColor="text1"/>
        </w:rPr>
        <w:t xml:space="preserve">BRANCH OF SERVICE: </w:t>
      </w:r>
      <w:r w:rsidR="004C24C5" w:rsidRPr="00F4538F">
        <w:rPr>
          <w:caps/>
          <w:color w:val="000000" w:themeColor="text1"/>
        </w:rPr>
        <w:t xml:space="preserve"> </w:t>
      </w:r>
      <w:r w:rsidR="004D7E82" w:rsidRPr="00F4538F">
        <w:rPr>
          <w:caps/>
          <w:color w:val="000000" w:themeColor="text1"/>
        </w:rPr>
        <w:t>Air force</w:t>
      </w:r>
    </w:p>
    <w:p w:rsidR="00DE3AAD" w:rsidRPr="001F29F9" w:rsidRDefault="00012733" w:rsidP="004D7E82">
      <w:pPr>
        <w:tabs>
          <w:tab w:val="left" w:pos="288"/>
          <w:tab w:val="left" w:pos="6120"/>
          <w:tab w:val="left" w:pos="9270"/>
        </w:tabs>
        <w:jc w:val="both"/>
        <w:rPr>
          <w:caps/>
          <w:color w:val="000000" w:themeColor="text1"/>
        </w:rPr>
      </w:pPr>
      <w:r w:rsidRPr="00F4538F">
        <w:rPr>
          <w:caps/>
          <w:color w:val="000000" w:themeColor="text1"/>
        </w:rPr>
        <w:t>C</w:t>
      </w:r>
      <w:r w:rsidR="00DE3AAD" w:rsidRPr="00F4538F">
        <w:rPr>
          <w:caps/>
          <w:color w:val="000000" w:themeColor="text1"/>
        </w:rPr>
        <w:t>ASE NUMBER:  PD</w:t>
      </w:r>
      <w:r w:rsidR="004D7E82" w:rsidRPr="00F4538F">
        <w:rPr>
          <w:caps/>
          <w:color w:val="000000" w:themeColor="text1"/>
        </w:rPr>
        <w:t>1100526</w:t>
      </w:r>
      <w:r w:rsidR="00DE3AAD" w:rsidRPr="00F4538F">
        <w:rPr>
          <w:color w:val="000000" w:themeColor="text1"/>
        </w:rPr>
        <w:t xml:space="preserve"> </w:t>
      </w:r>
      <w:r w:rsidR="00F1766A" w:rsidRPr="00F4538F">
        <w:rPr>
          <w:color w:val="000000" w:themeColor="text1"/>
        </w:rPr>
        <w:tab/>
      </w:r>
      <w:r w:rsidR="00DE3AAD" w:rsidRPr="00F4538F">
        <w:rPr>
          <w:color w:val="000000" w:themeColor="text1"/>
        </w:rPr>
        <w:t xml:space="preserve">SEPARATION DATE:  </w:t>
      </w:r>
      <w:r w:rsidR="004D7E82" w:rsidRPr="00F4538F">
        <w:rPr>
          <w:color w:val="000000" w:themeColor="text1"/>
        </w:rPr>
        <w:t>20070924</w:t>
      </w:r>
    </w:p>
    <w:p w:rsidR="003B2143" w:rsidRPr="001F29F9" w:rsidRDefault="004F3639" w:rsidP="004D7E82">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8D62C2">
        <w:rPr>
          <w:caps/>
          <w:color w:val="000000" w:themeColor="text1"/>
        </w:rPr>
        <w:t>012</w:t>
      </w:r>
      <w:r w:rsidR="009E35D1">
        <w:rPr>
          <w:caps/>
          <w:color w:val="000000" w:themeColor="text1"/>
        </w:rPr>
        <w:t>7</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7367CE" w:rsidRPr="007367CE">
        <w:rPr>
          <w:color w:val="000000" w:themeColor="text1"/>
        </w:rPr>
        <w:t>Data extracted from the available evidence of record reflects that this covered individual (CI) was an Air N</w:t>
      </w:r>
      <w:r w:rsidR="00CF564F">
        <w:rPr>
          <w:color w:val="000000" w:themeColor="text1"/>
        </w:rPr>
        <w:t>ational Guard SSgt/E-5 (13P051,</w:t>
      </w:r>
      <w:r w:rsidR="00511B43">
        <w:rPr>
          <w:color w:val="000000" w:themeColor="text1"/>
        </w:rPr>
        <w:t xml:space="preserve"> Security Forces Craftsman)</w:t>
      </w:r>
      <w:r w:rsidR="007367CE" w:rsidRPr="007367CE">
        <w:rPr>
          <w:color w:val="000000" w:themeColor="text1"/>
        </w:rPr>
        <w:t xml:space="preserve"> medically separated for </w:t>
      </w:r>
      <w:r w:rsidR="00511B43">
        <w:rPr>
          <w:color w:val="000000" w:themeColor="text1"/>
        </w:rPr>
        <w:t xml:space="preserve">a </w:t>
      </w:r>
      <w:r w:rsidR="007367CE" w:rsidRPr="007367CE">
        <w:rPr>
          <w:color w:val="000000" w:themeColor="text1"/>
        </w:rPr>
        <w:t xml:space="preserve">left wrist </w:t>
      </w:r>
      <w:r w:rsidR="00511B43">
        <w:rPr>
          <w:color w:val="000000" w:themeColor="text1"/>
        </w:rPr>
        <w:t>condition</w:t>
      </w:r>
      <w:r w:rsidR="007367CE" w:rsidRPr="007367CE">
        <w:rPr>
          <w:color w:val="000000" w:themeColor="text1"/>
        </w:rPr>
        <w:t xml:space="preserve">.  </w:t>
      </w:r>
      <w:r w:rsidR="00CF564F">
        <w:rPr>
          <w:color w:val="000000" w:themeColor="text1"/>
        </w:rPr>
        <w:t xml:space="preserve">He injured his </w:t>
      </w:r>
      <w:r w:rsidR="007367CE" w:rsidRPr="007367CE">
        <w:rPr>
          <w:color w:val="000000" w:themeColor="text1"/>
        </w:rPr>
        <w:t xml:space="preserve">left wrist during a training excise, and </w:t>
      </w:r>
      <w:r w:rsidR="00E648F3">
        <w:rPr>
          <w:color w:val="000000" w:themeColor="text1"/>
        </w:rPr>
        <w:t xml:space="preserve">later </w:t>
      </w:r>
      <w:r w:rsidR="00C41FF5">
        <w:rPr>
          <w:color w:val="000000" w:themeColor="text1"/>
        </w:rPr>
        <w:t xml:space="preserve">underwent </w:t>
      </w:r>
      <w:r w:rsidR="007367CE" w:rsidRPr="007367CE">
        <w:rPr>
          <w:color w:val="000000" w:themeColor="text1"/>
        </w:rPr>
        <w:t xml:space="preserve">surgical </w:t>
      </w:r>
      <w:r w:rsidR="00C41FF5">
        <w:rPr>
          <w:color w:val="000000" w:themeColor="text1"/>
        </w:rPr>
        <w:t>repair of</w:t>
      </w:r>
      <w:r w:rsidR="007367CE" w:rsidRPr="007367CE">
        <w:rPr>
          <w:color w:val="000000" w:themeColor="text1"/>
        </w:rPr>
        <w:t xml:space="preserve"> a torn </w:t>
      </w:r>
      <w:r w:rsidR="00511B43" w:rsidRPr="00C41FF5">
        <w:rPr>
          <w:color w:val="000000" w:themeColor="text1"/>
        </w:rPr>
        <w:t xml:space="preserve">ligament </w:t>
      </w:r>
      <w:r w:rsidR="00511B43">
        <w:rPr>
          <w:color w:val="000000" w:themeColor="text1"/>
        </w:rPr>
        <w:t>(</w:t>
      </w:r>
      <w:r w:rsidR="00C41FF5" w:rsidRPr="00C41FF5">
        <w:rPr>
          <w:color w:val="000000" w:themeColor="text1"/>
        </w:rPr>
        <w:t>scapholunate</w:t>
      </w:r>
      <w:r w:rsidR="00511B43">
        <w:rPr>
          <w:color w:val="000000" w:themeColor="text1"/>
        </w:rPr>
        <w:t>)</w:t>
      </w:r>
      <w:r w:rsidR="007367CE" w:rsidRPr="007367CE">
        <w:rPr>
          <w:color w:val="000000" w:themeColor="text1"/>
        </w:rPr>
        <w:t xml:space="preserve">.   </w:t>
      </w:r>
      <w:r w:rsidR="00511B43">
        <w:rPr>
          <w:color w:val="000000" w:themeColor="text1"/>
        </w:rPr>
        <w:t>R</w:t>
      </w:r>
      <w:r w:rsidR="007367CE" w:rsidRPr="007367CE">
        <w:rPr>
          <w:color w:val="000000" w:themeColor="text1"/>
        </w:rPr>
        <w:t xml:space="preserve">ehabilitation </w:t>
      </w:r>
      <w:r w:rsidR="00511B43">
        <w:rPr>
          <w:color w:val="000000" w:themeColor="text1"/>
        </w:rPr>
        <w:t>measures were fairly successful; but, the</w:t>
      </w:r>
      <w:r w:rsidR="007367CE" w:rsidRPr="007367CE">
        <w:rPr>
          <w:color w:val="000000" w:themeColor="text1"/>
        </w:rPr>
        <w:t xml:space="preserve"> orthopedic surgeon </w:t>
      </w:r>
      <w:r w:rsidR="00511B43">
        <w:rPr>
          <w:color w:val="000000" w:themeColor="text1"/>
        </w:rPr>
        <w:t>advised</w:t>
      </w:r>
      <w:r w:rsidR="007367CE" w:rsidRPr="007367CE">
        <w:rPr>
          <w:color w:val="000000" w:themeColor="text1"/>
        </w:rPr>
        <w:t xml:space="preserve"> that the CI would not progress to </w:t>
      </w:r>
      <w:r w:rsidR="00203806">
        <w:rPr>
          <w:color w:val="000000" w:themeColor="text1"/>
        </w:rPr>
        <w:t xml:space="preserve">a </w:t>
      </w:r>
      <w:r w:rsidR="00511B43">
        <w:rPr>
          <w:color w:val="000000" w:themeColor="text1"/>
        </w:rPr>
        <w:t>level of function commiserate with</w:t>
      </w:r>
      <w:r w:rsidR="007367CE" w:rsidRPr="007367CE">
        <w:rPr>
          <w:color w:val="000000" w:themeColor="text1"/>
        </w:rPr>
        <w:t xml:space="preserve"> </w:t>
      </w:r>
      <w:r w:rsidR="00511B43">
        <w:rPr>
          <w:color w:val="000000" w:themeColor="text1"/>
        </w:rPr>
        <w:t xml:space="preserve">the physical demands of </w:t>
      </w:r>
      <w:r w:rsidR="007367CE" w:rsidRPr="007367CE">
        <w:rPr>
          <w:color w:val="000000" w:themeColor="text1"/>
        </w:rPr>
        <w:t xml:space="preserve">his Air Force Specialty </w:t>
      </w:r>
      <w:r w:rsidR="00CF564F">
        <w:rPr>
          <w:color w:val="000000" w:themeColor="text1"/>
        </w:rPr>
        <w:t xml:space="preserve">(AFS) </w:t>
      </w:r>
      <w:r w:rsidR="007367CE" w:rsidRPr="007367CE">
        <w:rPr>
          <w:color w:val="000000" w:themeColor="text1"/>
        </w:rPr>
        <w:t xml:space="preserve">or </w:t>
      </w:r>
      <w:r w:rsidR="009E35D1">
        <w:rPr>
          <w:color w:val="000000" w:themeColor="text1"/>
        </w:rPr>
        <w:t xml:space="preserve">AF </w:t>
      </w:r>
      <w:r w:rsidR="007367CE" w:rsidRPr="007367CE">
        <w:rPr>
          <w:color w:val="000000" w:themeColor="text1"/>
        </w:rPr>
        <w:t>physical fitness standards.  He was issue</w:t>
      </w:r>
      <w:r w:rsidR="00511B43">
        <w:rPr>
          <w:color w:val="000000" w:themeColor="text1"/>
        </w:rPr>
        <w:t>d</w:t>
      </w:r>
      <w:r w:rsidR="007367CE" w:rsidRPr="007367CE">
        <w:rPr>
          <w:color w:val="000000" w:themeColor="text1"/>
        </w:rPr>
        <w:t xml:space="preserve"> </w:t>
      </w:r>
      <w:r w:rsidR="00511B43">
        <w:rPr>
          <w:color w:val="000000" w:themeColor="text1"/>
        </w:rPr>
        <w:t>P2 and U4</w:t>
      </w:r>
      <w:r w:rsidR="007367CE" w:rsidRPr="007367CE">
        <w:rPr>
          <w:color w:val="000000" w:themeColor="text1"/>
        </w:rPr>
        <w:t xml:space="preserve"> profile</w:t>
      </w:r>
      <w:r w:rsidR="00511B43">
        <w:rPr>
          <w:color w:val="000000" w:themeColor="text1"/>
        </w:rPr>
        <w:t>s</w:t>
      </w:r>
      <w:r w:rsidR="007367CE" w:rsidRPr="007367CE">
        <w:rPr>
          <w:color w:val="000000" w:themeColor="text1"/>
        </w:rPr>
        <w:t xml:space="preserve"> and </w:t>
      </w:r>
      <w:r w:rsidR="00511B43">
        <w:rPr>
          <w:color w:val="000000" w:themeColor="text1"/>
        </w:rPr>
        <w:t>referred for</w:t>
      </w:r>
      <w:r w:rsidR="007367CE" w:rsidRPr="007367CE">
        <w:rPr>
          <w:color w:val="000000" w:themeColor="text1"/>
        </w:rPr>
        <w:t xml:space="preserve"> a Medical Evaluation Board (MEB).  Left wrist pain was forward to the Physical Evaluation Board (PEB) as medically unacceptable IAW AFI 48-123.  No other conditions appeared on the MEB’s submission.  Other conditions included in the Disability Evaluation System (DES) </w:t>
      </w:r>
      <w:r w:rsidR="00CF564F">
        <w:rPr>
          <w:color w:val="000000" w:themeColor="text1"/>
        </w:rPr>
        <w:t>file</w:t>
      </w:r>
      <w:r w:rsidR="007367CE" w:rsidRPr="007367CE">
        <w:rPr>
          <w:color w:val="000000" w:themeColor="text1"/>
        </w:rPr>
        <w:t xml:space="preserve"> will be discuss</w:t>
      </w:r>
      <w:r w:rsidR="007A7485">
        <w:rPr>
          <w:color w:val="000000" w:themeColor="text1"/>
        </w:rPr>
        <w:t xml:space="preserve">ed below. The </w:t>
      </w:r>
      <w:r w:rsidR="00511B43">
        <w:rPr>
          <w:color w:val="000000" w:themeColor="text1"/>
        </w:rPr>
        <w:t>PEB</w:t>
      </w:r>
      <w:r w:rsidR="007367CE" w:rsidRPr="007367CE">
        <w:rPr>
          <w:color w:val="000000" w:themeColor="text1"/>
        </w:rPr>
        <w:t xml:space="preserve"> adjudicated the left wrist condition as unfitting, rated 10% </w:t>
      </w:r>
      <w:r w:rsidR="00FB59A3">
        <w:rPr>
          <w:color w:val="000000" w:themeColor="text1"/>
        </w:rPr>
        <w:t>referencing the</w:t>
      </w:r>
      <w:r w:rsidR="007367CE" w:rsidRPr="007367CE">
        <w:rPr>
          <w:color w:val="000000" w:themeColor="text1"/>
        </w:rPr>
        <w:t xml:space="preserve"> Veterans Administration Schedule </w:t>
      </w:r>
      <w:r w:rsidR="00CF564F">
        <w:rPr>
          <w:color w:val="000000" w:themeColor="text1"/>
        </w:rPr>
        <w:t>for Rating Disabilities (VASRD)</w:t>
      </w:r>
      <w:r w:rsidR="00C41FF5">
        <w:rPr>
          <w:color w:val="000000" w:themeColor="text1"/>
        </w:rPr>
        <w:t>; and</w:t>
      </w:r>
      <w:r w:rsidR="009E35D1">
        <w:rPr>
          <w:color w:val="000000" w:themeColor="text1"/>
        </w:rPr>
        <w:t>,</w:t>
      </w:r>
      <w:r w:rsidR="00C41FF5">
        <w:rPr>
          <w:color w:val="000000" w:themeColor="text1"/>
        </w:rPr>
        <w:t xml:space="preserve"> adjudicated obesity as </w:t>
      </w:r>
      <w:r w:rsidR="007A7485">
        <w:rPr>
          <w:color w:val="000000" w:themeColor="text1"/>
        </w:rPr>
        <w:t>c</w:t>
      </w:r>
      <w:r w:rsidR="00C41FF5">
        <w:rPr>
          <w:color w:val="000000" w:themeColor="text1"/>
        </w:rPr>
        <w:t xml:space="preserve">ategory III – a condition that is not separately unfitting and not compensable or </w:t>
      </w:r>
      <w:r w:rsidR="00C41FF5" w:rsidRPr="00C41FF5">
        <w:rPr>
          <w:color w:val="000000" w:themeColor="text1"/>
        </w:rPr>
        <w:t>ratable</w:t>
      </w:r>
      <w:r w:rsidR="007367CE" w:rsidRPr="00C41FF5">
        <w:rPr>
          <w:color w:val="000000" w:themeColor="text1"/>
        </w:rPr>
        <w:t>.</w:t>
      </w:r>
      <w:r w:rsidR="00C41FF5" w:rsidRPr="00C41FF5">
        <w:rPr>
          <w:color w:val="000000" w:themeColor="text1"/>
        </w:rPr>
        <w:t xml:space="preserve">  </w:t>
      </w:r>
      <w:r w:rsidR="00203806">
        <w:rPr>
          <w:rFonts w:asciiTheme="minorHAnsi" w:hAnsiTheme="minorHAnsi"/>
          <w:color w:val="auto"/>
          <w:szCs w:val="24"/>
        </w:rPr>
        <w:t>Since t</w:t>
      </w:r>
      <w:r w:rsidR="00C41FF5" w:rsidRPr="00C41FF5">
        <w:rPr>
          <w:rFonts w:asciiTheme="minorHAnsi" w:hAnsiTheme="minorHAnsi"/>
          <w:color w:val="auto"/>
          <w:szCs w:val="24"/>
        </w:rPr>
        <w:t xml:space="preserve">his condition is not ratable IAW DoD </w:t>
      </w:r>
      <w:r w:rsidR="009E35D1">
        <w:rPr>
          <w:rFonts w:asciiTheme="minorHAnsi" w:hAnsiTheme="minorHAnsi"/>
          <w:color w:val="auto"/>
          <w:szCs w:val="24"/>
        </w:rPr>
        <w:t>or</w:t>
      </w:r>
      <w:r w:rsidR="00C41FF5" w:rsidRPr="00C41FF5">
        <w:rPr>
          <w:rFonts w:asciiTheme="minorHAnsi" w:hAnsiTheme="minorHAnsi"/>
          <w:color w:val="auto"/>
          <w:szCs w:val="24"/>
        </w:rPr>
        <w:t xml:space="preserve"> VA regulations</w:t>
      </w:r>
      <w:r w:rsidR="009E35D1">
        <w:rPr>
          <w:rFonts w:asciiTheme="minorHAnsi" w:hAnsiTheme="minorHAnsi"/>
          <w:color w:val="auto"/>
          <w:szCs w:val="24"/>
        </w:rPr>
        <w:t>,</w:t>
      </w:r>
      <w:r w:rsidR="00C41FF5" w:rsidRPr="00C41FF5">
        <w:rPr>
          <w:rFonts w:asciiTheme="minorHAnsi" w:hAnsiTheme="minorHAnsi"/>
          <w:color w:val="auto"/>
          <w:szCs w:val="24"/>
        </w:rPr>
        <w:t xml:space="preserve"> </w:t>
      </w:r>
      <w:r w:rsidR="00203806">
        <w:rPr>
          <w:rFonts w:asciiTheme="minorHAnsi" w:hAnsiTheme="minorHAnsi"/>
          <w:color w:val="auto"/>
          <w:szCs w:val="24"/>
        </w:rPr>
        <w:t>it</w:t>
      </w:r>
      <w:r w:rsidR="00C41FF5" w:rsidRPr="00C41FF5">
        <w:rPr>
          <w:rFonts w:asciiTheme="minorHAnsi" w:hAnsiTheme="minorHAnsi"/>
          <w:color w:val="auto"/>
          <w:szCs w:val="24"/>
        </w:rPr>
        <w:t xml:space="preserve"> will not be discussed further.  </w:t>
      </w:r>
      <w:r w:rsidR="007367CE" w:rsidRPr="00C41FF5">
        <w:rPr>
          <w:color w:val="000000" w:themeColor="text1"/>
        </w:rPr>
        <w:t>The CI made no appeals and was medical</w:t>
      </w:r>
      <w:r w:rsidR="00CF564F" w:rsidRPr="00C41FF5">
        <w:rPr>
          <w:color w:val="000000" w:themeColor="text1"/>
        </w:rPr>
        <w:t>ly</w:t>
      </w:r>
      <w:r w:rsidR="007367CE" w:rsidRPr="00C41FF5">
        <w:rPr>
          <w:color w:val="000000" w:themeColor="text1"/>
        </w:rPr>
        <w:t xml:space="preserve">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7367CE">
        <w:rPr>
          <w:color w:val="000000" w:themeColor="text1"/>
        </w:rPr>
        <w:t xml:space="preserve">  </w:t>
      </w:r>
      <w:r w:rsidR="007367CE" w:rsidRPr="007367CE">
        <w:rPr>
          <w:color w:val="000000" w:themeColor="text1"/>
        </w:rPr>
        <w:t xml:space="preserve">“I was deemed unfit because the injury to my wrist was determined to be severe enough that I could no longer perform my duties as a security forces member (3P071). I </w:t>
      </w:r>
      <w:r w:rsidR="007367CE" w:rsidRPr="007367CE">
        <w:rPr>
          <w:i/>
          <w:iCs/>
          <w:color w:val="000000" w:themeColor="text1"/>
        </w:rPr>
        <w:t xml:space="preserve">was </w:t>
      </w:r>
      <w:r w:rsidR="007367CE" w:rsidRPr="007367CE">
        <w:rPr>
          <w:color w:val="000000" w:themeColor="text1"/>
        </w:rPr>
        <w:t xml:space="preserve">also deemed permanently unqualified for world-wide deployment, which meant that I could not be cross-trained into another career field. I had almost 13 years of total service when I was discharged, and was 7 years short of retirement eligibility. Due to the injury of the wrist, I was not able to get any type of civilian job that required me to carry a weapon. I was a criminal justice major in college, and have worked my entire professional career in the criminal justice field. </w:t>
      </w:r>
      <w:r w:rsidR="00FB59A3">
        <w:rPr>
          <w:color w:val="000000" w:themeColor="text1"/>
        </w:rPr>
        <w:t>…</w:t>
      </w:r>
      <w:r w:rsidR="007367CE" w:rsidRPr="007367CE">
        <w:rPr>
          <w:color w:val="000000" w:themeColor="text1"/>
        </w:rPr>
        <w:t xml:space="preserve"> I feel that due to the fact that I lost my military career as well as having the choices in my chosen career field limited because of my injury, my rating should have been higher than 10 percent. </w:t>
      </w:r>
      <w:r w:rsidR="00FB59A3">
        <w:rPr>
          <w:color w:val="000000" w:themeColor="text1"/>
        </w:rPr>
        <w:t>…</w:t>
      </w:r>
      <w:r w:rsidR="007367CE" w:rsidRPr="007367CE">
        <w:rPr>
          <w:color w:val="000000" w:themeColor="text1"/>
        </w:rPr>
        <w:t xml:space="preserve"> In my current job, I do a large amount of typing, which is a major part of my work, and the wrist is in pain from beginning to end. </w:t>
      </w:r>
      <w:r w:rsidR="00FB59A3">
        <w:rPr>
          <w:color w:val="000000" w:themeColor="text1"/>
        </w:rPr>
        <w:t>…</w:t>
      </w:r>
      <w:r w:rsidR="00C41FF5">
        <w:rPr>
          <w:color w:val="000000" w:themeColor="text1"/>
        </w:rPr>
        <w:t xml:space="preserve"> I also received a 0 perc</w:t>
      </w:r>
      <w:r w:rsidR="007367CE" w:rsidRPr="007367CE">
        <w:rPr>
          <w:color w:val="000000" w:themeColor="text1"/>
        </w:rPr>
        <w:t>ent rating for hypertension, which I was not diagnosed with until I was sent home early form</w:t>
      </w:r>
      <w:r w:rsidR="00C41FF5">
        <w:rPr>
          <w:color w:val="000000" w:themeColor="text1"/>
        </w:rPr>
        <w:t xml:space="preserve"> </w:t>
      </w:r>
      <w:r w:rsidR="007367CE" w:rsidRPr="007367CE">
        <w:rPr>
          <w:color w:val="000000" w:themeColor="text1"/>
        </w:rPr>
        <w:t>[</w:t>
      </w:r>
      <w:r w:rsidR="00C41FF5">
        <w:rPr>
          <w:color w:val="000000" w:themeColor="text1"/>
        </w:rPr>
        <w:t>sic</w:t>
      </w:r>
      <w:r w:rsidR="007367CE" w:rsidRPr="007367CE">
        <w:rPr>
          <w:color w:val="000000" w:themeColor="text1"/>
        </w:rPr>
        <w:t xml:space="preserve">] my deployment due to my hand injury. I was placed on high blood pressure medication, and still continue to take it today to help keep it under control. Without the medication, my readings are very high, and </w:t>
      </w:r>
      <w:proofErr w:type="gramStart"/>
      <w:r w:rsidR="007367CE" w:rsidRPr="007367CE">
        <w:rPr>
          <w:color w:val="000000" w:themeColor="text1"/>
        </w:rPr>
        <w:t>the my</w:t>
      </w:r>
      <w:proofErr w:type="gramEnd"/>
      <w:r w:rsidR="00C41FF5">
        <w:rPr>
          <w:color w:val="000000" w:themeColor="text1"/>
        </w:rPr>
        <w:t xml:space="preserve"> [sic]</w:t>
      </w:r>
      <w:r w:rsidR="007367CE" w:rsidRPr="007367CE">
        <w:rPr>
          <w:color w:val="000000" w:themeColor="text1"/>
        </w:rPr>
        <w:t xml:space="preserve"> risk for heart problems increases.”</w:t>
      </w:r>
      <w:r w:rsidR="00C41FF5">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7367CE"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7367CE" w:rsidRPr="003B5F80" w:rsidRDefault="007367CE" w:rsidP="00BB1112">
            <w:pPr>
              <w:contextualSpacing/>
              <w:rPr>
                <w:rFonts w:eastAsia="Calibri" w:cs="Calibri"/>
                <w:b/>
                <w:color w:val="000000"/>
                <w:sz w:val="18"/>
                <w:szCs w:val="18"/>
              </w:rPr>
            </w:pPr>
            <w:r w:rsidRPr="003B5F80">
              <w:rPr>
                <w:rFonts w:eastAsia="Calibri" w:cs="Calibri"/>
                <w:b/>
                <w:color w:val="000000"/>
                <w:sz w:val="18"/>
                <w:szCs w:val="18"/>
              </w:rPr>
              <w:t>Service PEB – Dated 200</w:t>
            </w:r>
            <w:r>
              <w:rPr>
                <w:rFonts w:eastAsia="Calibri" w:cs="Calibri"/>
                <w:b/>
                <w:color w:val="000000"/>
                <w:sz w:val="18"/>
                <w:szCs w:val="18"/>
              </w:rPr>
              <w:t>70710</w:t>
            </w:r>
          </w:p>
        </w:tc>
        <w:tc>
          <w:tcPr>
            <w:tcW w:w="5220" w:type="dxa"/>
            <w:gridSpan w:val="4"/>
            <w:tcBorders>
              <w:left w:val="thinThickThinSmallGap" w:sz="24" w:space="0" w:color="auto"/>
            </w:tcBorders>
            <w:shd w:val="clear" w:color="auto" w:fill="D9D9D9" w:themeFill="background1" w:themeFillShade="D9"/>
            <w:vAlign w:val="center"/>
          </w:tcPr>
          <w:p w:rsidR="007367CE" w:rsidRPr="003B5F80" w:rsidRDefault="007367CE" w:rsidP="00BB1112">
            <w:pPr>
              <w:contextualSpacing/>
              <w:rPr>
                <w:rFonts w:eastAsia="Calibri" w:cs="Calibri"/>
                <w:b/>
                <w:color w:val="000000"/>
                <w:sz w:val="18"/>
                <w:szCs w:val="18"/>
              </w:rPr>
            </w:pPr>
            <w:r w:rsidRPr="003B5F80">
              <w:rPr>
                <w:rFonts w:eastAsia="Calibri" w:cs="Calibri"/>
                <w:b/>
                <w:color w:val="000000"/>
                <w:sz w:val="18"/>
                <w:szCs w:val="18"/>
              </w:rPr>
              <w:t>VA (</w:t>
            </w:r>
            <w:r>
              <w:rPr>
                <w:rFonts w:eastAsia="Calibri" w:cs="Calibri"/>
                <w:b/>
                <w:color w:val="000000"/>
                <w:sz w:val="18"/>
                <w:szCs w:val="18"/>
              </w:rPr>
              <w:t>~1</w:t>
            </w:r>
            <w:r w:rsidRPr="003B5F80">
              <w:rPr>
                <w:rFonts w:eastAsia="Calibri" w:cs="Calibri"/>
                <w:b/>
                <w:color w:val="000000"/>
                <w:sz w:val="18"/>
                <w:szCs w:val="18"/>
              </w:rPr>
              <w:t xml:space="preserve"> Mo</w:t>
            </w:r>
            <w:r w:rsidRPr="00AE29AB">
              <w:rPr>
                <w:rFonts w:eastAsia="Calibri" w:cs="Calibri"/>
                <w:b/>
                <w:color w:val="000000"/>
                <w:sz w:val="18"/>
                <w:szCs w:val="18"/>
              </w:rPr>
              <w:t>. After Separation</w:t>
            </w:r>
            <w:r w:rsidRPr="003B5F80">
              <w:rPr>
                <w:rFonts w:eastAsia="Calibri" w:cs="Calibri"/>
                <w:b/>
                <w:color w:val="000000"/>
                <w:sz w:val="18"/>
                <w:szCs w:val="18"/>
              </w:rPr>
              <w:t>) – All Effective 200</w:t>
            </w:r>
            <w:r>
              <w:rPr>
                <w:rFonts w:eastAsia="Calibri" w:cs="Calibri"/>
                <w:b/>
                <w:color w:val="000000"/>
                <w:sz w:val="18"/>
                <w:szCs w:val="18"/>
              </w:rPr>
              <w:t>70925</w:t>
            </w:r>
          </w:p>
        </w:tc>
      </w:tr>
      <w:tr w:rsidR="002B4E22" w:rsidRPr="001F29F9" w:rsidTr="00BB1112">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7367CE" w:rsidRPr="001F29F9" w:rsidTr="00BB1112">
        <w:trPr>
          <w:trHeight w:val="115"/>
          <w:jc w:val="center"/>
        </w:trPr>
        <w:tc>
          <w:tcPr>
            <w:tcW w:w="2178" w:type="dxa"/>
            <w:tcBorders>
              <w:right w:val="single" w:sz="4" w:space="0" w:color="auto"/>
            </w:tcBorders>
            <w:shd w:val="clear" w:color="auto" w:fill="FFFFFF" w:themeFill="background1"/>
            <w:vAlign w:val="center"/>
          </w:tcPr>
          <w:p w:rsidR="007367CE" w:rsidRPr="001F29F9" w:rsidRDefault="007367CE" w:rsidP="00BB1112">
            <w:pPr>
              <w:spacing w:line="220" w:lineRule="exact"/>
              <w:contextualSpacing/>
              <w:jc w:val="left"/>
              <w:rPr>
                <w:rFonts w:ascii="Calibri" w:eastAsia="Times New Roman" w:hAnsi="Calibri" w:cs="Calibri"/>
                <w:color w:val="000000" w:themeColor="text1"/>
                <w:sz w:val="18"/>
                <w:szCs w:val="18"/>
              </w:rPr>
            </w:pPr>
            <w:r w:rsidRPr="007367CE">
              <w:rPr>
                <w:rFonts w:ascii="Calibri" w:eastAsia="Times New Roman" w:hAnsi="Calibri" w:cs="Calibri"/>
                <w:color w:val="000000" w:themeColor="text1"/>
                <w:sz w:val="18"/>
                <w:szCs w:val="18"/>
              </w:rPr>
              <w:t>Left Wrist</w:t>
            </w:r>
            <w:r>
              <w:rPr>
                <w:rFonts w:ascii="Calibri" w:eastAsia="Times New Roman" w:hAnsi="Calibri" w:cs="Calibri"/>
                <w:color w:val="000000" w:themeColor="text1"/>
                <w:sz w:val="18"/>
                <w:szCs w:val="18"/>
              </w:rPr>
              <w:t xml:space="preserve"> Pain</w:t>
            </w:r>
          </w:p>
        </w:tc>
        <w:tc>
          <w:tcPr>
            <w:tcW w:w="1080" w:type="dxa"/>
            <w:tcBorders>
              <w:left w:val="single" w:sz="4" w:space="0" w:color="auto"/>
            </w:tcBorders>
            <w:shd w:val="clear" w:color="auto" w:fill="FFFFFF" w:themeFill="background1"/>
            <w:vAlign w:val="center"/>
          </w:tcPr>
          <w:p w:rsidR="007367CE" w:rsidRPr="003B5F80" w:rsidRDefault="007367CE" w:rsidP="00BB1112">
            <w:pPr>
              <w:spacing w:line="220" w:lineRule="exact"/>
              <w:contextualSpacing/>
              <w:rPr>
                <w:rFonts w:cs="Calibri"/>
                <w:color w:val="000000"/>
                <w:sz w:val="18"/>
                <w:szCs w:val="18"/>
              </w:rPr>
            </w:pPr>
            <w:r w:rsidRPr="00AE29AB">
              <w:rPr>
                <w:rFonts w:eastAsia="Calibri" w:cs="Calibri"/>
                <w:color w:val="000000"/>
                <w:sz w:val="18"/>
                <w:szCs w:val="18"/>
              </w:rPr>
              <w:t>5099-5003</w:t>
            </w:r>
          </w:p>
        </w:tc>
        <w:tc>
          <w:tcPr>
            <w:tcW w:w="900" w:type="dxa"/>
            <w:tcBorders>
              <w:right w:val="thinThickThinSmallGap" w:sz="24" w:space="0" w:color="auto"/>
            </w:tcBorders>
            <w:shd w:val="clear" w:color="auto" w:fill="FFFFFF" w:themeFill="background1"/>
            <w:vAlign w:val="center"/>
          </w:tcPr>
          <w:p w:rsidR="007367CE" w:rsidRPr="003B5F80" w:rsidRDefault="007367CE" w:rsidP="00BB1112">
            <w:pPr>
              <w:spacing w:line="220" w:lineRule="exact"/>
              <w:rPr>
                <w:rFonts w:cs="Calibri"/>
                <w:color w:val="000000"/>
                <w:sz w:val="18"/>
                <w:szCs w:val="18"/>
              </w:rPr>
            </w:pPr>
            <w:r>
              <w:rPr>
                <w:rFonts w:eastAsia="Calibri" w:cs="Calibri"/>
                <w:color w:val="000000"/>
                <w:sz w:val="18"/>
                <w:szCs w:val="18"/>
              </w:rPr>
              <w:t>10</w:t>
            </w:r>
            <w:r w:rsidRPr="003B5F80">
              <w:rPr>
                <w:rFonts w:eastAsia="Calibri" w:cs="Calibri"/>
                <w:color w:val="000000"/>
                <w:sz w:val="18"/>
                <w:szCs w:val="18"/>
              </w:rPr>
              <w:t>%</w:t>
            </w:r>
          </w:p>
        </w:tc>
        <w:tc>
          <w:tcPr>
            <w:tcW w:w="2322" w:type="dxa"/>
            <w:tcBorders>
              <w:left w:val="thinThickThinSmallGap" w:sz="24" w:space="0" w:color="auto"/>
            </w:tcBorders>
            <w:shd w:val="clear" w:color="auto" w:fill="FFFFFF" w:themeFill="background1"/>
            <w:vAlign w:val="center"/>
          </w:tcPr>
          <w:p w:rsidR="007367CE" w:rsidRPr="001F29F9" w:rsidRDefault="007367CE" w:rsidP="00BB1112">
            <w:pPr>
              <w:spacing w:line="220" w:lineRule="exact"/>
              <w:contextualSpacing/>
              <w:jc w:val="left"/>
              <w:rPr>
                <w:rFonts w:ascii="Calibri" w:eastAsia="Times New Roman" w:hAnsi="Calibri" w:cs="Calibri"/>
                <w:color w:val="000000" w:themeColor="text1"/>
                <w:sz w:val="18"/>
                <w:szCs w:val="18"/>
              </w:rPr>
            </w:pPr>
            <w:r w:rsidRPr="007367CE">
              <w:rPr>
                <w:rFonts w:ascii="Calibri" w:eastAsia="Times New Roman" w:hAnsi="Calibri" w:cs="Calibri"/>
                <w:color w:val="000000" w:themeColor="text1"/>
                <w:sz w:val="18"/>
                <w:szCs w:val="18"/>
              </w:rPr>
              <w:t>Residuals</w:t>
            </w:r>
            <w:r>
              <w:rPr>
                <w:rFonts w:ascii="Calibri" w:eastAsia="Times New Roman" w:hAnsi="Calibri" w:cs="Calibri"/>
                <w:color w:val="000000" w:themeColor="text1"/>
                <w:sz w:val="18"/>
                <w:szCs w:val="18"/>
              </w:rPr>
              <w:t xml:space="preserve">, </w:t>
            </w:r>
            <w:r w:rsidRPr="007367CE">
              <w:rPr>
                <w:rFonts w:ascii="Calibri" w:eastAsia="Calibri" w:hAnsi="Calibri" w:cs="Calibri"/>
                <w:color w:val="000000"/>
                <w:sz w:val="18"/>
                <w:szCs w:val="18"/>
              </w:rPr>
              <w:t xml:space="preserve"> </w:t>
            </w:r>
            <w:r w:rsidRPr="007367CE">
              <w:rPr>
                <w:rFonts w:ascii="Calibri" w:eastAsia="Times New Roman" w:hAnsi="Calibri" w:cs="Calibri"/>
                <w:color w:val="000000" w:themeColor="text1"/>
                <w:sz w:val="18"/>
                <w:szCs w:val="18"/>
              </w:rPr>
              <w:t>Left Wrist</w:t>
            </w:r>
          </w:p>
        </w:tc>
        <w:tc>
          <w:tcPr>
            <w:tcW w:w="1080" w:type="dxa"/>
            <w:shd w:val="clear" w:color="auto" w:fill="FFFFFF" w:themeFill="background1"/>
            <w:vAlign w:val="center"/>
          </w:tcPr>
          <w:p w:rsidR="007367CE" w:rsidRPr="003B5F80" w:rsidRDefault="007367CE" w:rsidP="00BB1112">
            <w:pPr>
              <w:spacing w:line="220" w:lineRule="exact"/>
              <w:contextualSpacing/>
              <w:rPr>
                <w:rFonts w:cs="Calibri"/>
                <w:color w:val="000000"/>
                <w:sz w:val="18"/>
                <w:szCs w:val="18"/>
              </w:rPr>
            </w:pPr>
            <w:r w:rsidRPr="00AE29AB">
              <w:rPr>
                <w:rFonts w:eastAsia="Calibri" w:cs="Calibri"/>
                <w:color w:val="000000"/>
                <w:sz w:val="18"/>
                <w:szCs w:val="18"/>
              </w:rPr>
              <w:t>5215</w:t>
            </w:r>
          </w:p>
        </w:tc>
        <w:tc>
          <w:tcPr>
            <w:tcW w:w="828" w:type="dxa"/>
            <w:shd w:val="clear" w:color="auto" w:fill="FFFFFF" w:themeFill="background1"/>
            <w:vAlign w:val="center"/>
          </w:tcPr>
          <w:p w:rsidR="007367CE" w:rsidRPr="003B5F80" w:rsidRDefault="007367CE" w:rsidP="00BB1112">
            <w:pPr>
              <w:spacing w:line="220" w:lineRule="exact"/>
              <w:contextualSpacing/>
              <w:rPr>
                <w:rFonts w:cs="Calibri"/>
                <w:color w:val="000000"/>
                <w:sz w:val="18"/>
                <w:szCs w:val="18"/>
              </w:rPr>
            </w:pPr>
            <w:r>
              <w:rPr>
                <w:rFonts w:eastAsia="Calibri" w:cs="Calibri"/>
                <w:color w:val="000000"/>
                <w:sz w:val="18"/>
                <w:szCs w:val="18"/>
              </w:rPr>
              <w:t>10</w:t>
            </w:r>
            <w:r w:rsidRPr="003B5F80">
              <w:rPr>
                <w:rFonts w:eastAsia="Calibri" w:cs="Calibri"/>
                <w:color w:val="000000"/>
                <w:sz w:val="18"/>
                <w:szCs w:val="18"/>
              </w:rPr>
              <w:t>%</w:t>
            </w:r>
          </w:p>
        </w:tc>
        <w:tc>
          <w:tcPr>
            <w:tcW w:w="990" w:type="dxa"/>
            <w:shd w:val="clear" w:color="auto" w:fill="FFFFFF" w:themeFill="background1"/>
            <w:vAlign w:val="center"/>
          </w:tcPr>
          <w:p w:rsidR="007367CE" w:rsidRPr="003B5F80" w:rsidRDefault="007367CE" w:rsidP="00BB1112">
            <w:pPr>
              <w:spacing w:line="220" w:lineRule="exact"/>
              <w:contextualSpacing/>
              <w:rPr>
                <w:rFonts w:cs="Calibri"/>
                <w:color w:val="000000"/>
                <w:sz w:val="18"/>
                <w:szCs w:val="18"/>
              </w:rPr>
            </w:pPr>
            <w:r w:rsidRPr="003B5F80">
              <w:rPr>
                <w:rFonts w:eastAsia="Calibri" w:cs="Calibri"/>
                <w:color w:val="000000"/>
                <w:sz w:val="18"/>
                <w:szCs w:val="18"/>
              </w:rPr>
              <w:t>200</w:t>
            </w:r>
            <w:r>
              <w:rPr>
                <w:rFonts w:eastAsia="Calibri" w:cs="Calibri"/>
                <w:color w:val="000000"/>
                <w:sz w:val="18"/>
                <w:szCs w:val="18"/>
              </w:rPr>
              <w:t>80107</w:t>
            </w:r>
          </w:p>
        </w:tc>
      </w:tr>
      <w:tr w:rsidR="007367CE" w:rsidRPr="001F29F9" w:rsidTr="00BB1112">
        <w:trPr>
          <w:trHeight w:val="70"/>
          <w:jc w:val="center"/>
        </w:trPr>
        <w:tc>
          <w:tcPr>
            <w:tcW w:w="2178" w:type="dxa"/>
            <w:tcBorders>
              <w:right w:val="single" w:sz="4" w:space="0" w:color="auto"/>
            </w:tcBorders>
            <w:shd w:val="clear" w:color="auto" w:fill="FFFFFF" w:themeFill="background1"/>
            <w:vAlign w:val="center"/>
          </w:tcPr>
          <w:p w:rsidR="007367CE" w:rsidRPr="003B5F80" w:rsidRDefault="007367CE" w:rsidP="00BB1112">
            <w:pPr>
              <w:spacing w:line="220" w:lineRule="exact"/>
              <w:contextualSpacing/>
              <w:jc w:val="left"/>
              <w:rPr>
                <w:rFonts w:cs="Calibri"/>
                <w:color w:val="000000"/>
                <w:sz w:val="18"/>
                <w:szCs w:val="18"/>
              </w:rPr>
            </w:pPr>
            <w:r w:rsidRPr="00AE29AB">
              <w:rPr>
                <w:rFonts w:eastAsia="Calibri" w:cs="Calibri"/>
                <w:color w:val="000000"/>
                <w:sz w:val="18"/>
                <w:szCs w:val="18"/>
              </w:rPr>
              <w:t>Obesity</w:t>
            </w:r>
          </w:p>
        </w:tc>
        <w:tc>
          <w:tcPr>
            <w:tcW w:w="1980" w:type="dxa"/>
            <w:gridSpan w:val="2"/>
            <w:tcBorders>
              <w:left w:val="single" w:sz="4" w:space="0" w:color="auto"/>
              <w:right w:val="thinThickThinSmallGap" w:sz="24" w:space="0" w:color="auto"/>
            </w:tcBorders>
            <w:shd w:val="clear" w:color="auto" w:fill="FFFFFF" w:themeFill="background1"/>
            <w:vAlign w:val="center"/>
          </w:tcPr>
          <w:p w:rsidR="007367CE" w:rsidRPr="003B5F80" w:rsidRDefault="007367CE" w:rsidP="00BB1112">
            <w:pPr>
              <w:spacing w:line="220" w:lineRule="exact"/>
              <w:rPr>
                <w:rFonts w:cs="Calibri"/>
                <w:color w:val="000000"/>
                <w:sz w:val="18"/>
                <w:szCs w:val="18"/>
              </w:rPr>
            </w:pPr>
            <w:r>
              <w:rPr>
                <w:rFonts w:eastAsia="Calibri" w:cs="Calibri"/>
                <w:color w:val="000000"/>
                <w:sz w:val="18"/>
                <w:szCs w:val="18"/>
              </w:rPr>
              <w:t>CAT III</w:t>
            </w:r>
          </w:p>
        </w:tc>
        <w:tc>
          <w:tcPr>
            <w:tcW w:w="4230" w:type="dxa"/>
            <w:gridSpan w:val="3"/>
            <w:tcBorders>
              <w:left w:val="thinThickThinSmallGap" w:sz="24" w:space="0" w:color="auto"/>
            </w:tcBorders>
            <w:shd w:val="clear" w:color="auto" w:fill="FFFFFF" w:themeFill="background1"/>
            <w:vAlign w:val="center"/>
          </w:tcPr>
          <w:p w:rsidR="007367CE" w:rsidRPr="001F29F9" w:rsidRDefault="007367CE" w:rsidP="00BB1112">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 VA Entry</w:t>
            </w:r>
          </w:p>
        </w:tc>
        <w:tc>
          <w:tcPr>
            <w:tcW w:w="990" w:type="dxa"/>
            <w:shd w:val="clear" w:color="auto" w:fill="FFFFFF" w:themeFill="background1"/>
            <w:vAlign w:val="center"/>
          </w:tcPr>
          <w:p w:rsidR="007367CE" w:rsidRPr="001F29F9" w:rsidRDefault="008F41D0" w:rsidP="00BB1112">
            <w:pPr>
              <w:spacing w:line="220" w:lineRule="exact"/>
              <w:contextualSpacing/>
              <w:rPr>
                <w:rFonts w:ascii="Calibri" w:eastAsia="Times New Roman" w:hAnsi="Calibri" w:cs="Calibri"/>
                <w:color w:val="000000" w:themeColor="text1"/>
                <w:sz w:val="18"/>
                <w:szCs w:val="18"/>
                <w:highlight w:val="yellow"/>
              </w:rPr>
            </w:pPr>
            <w:r w:rsidRPr="003B5F80">
              <w:rPr>
                <w:rFonts w:eastAsia="Calibri" w:cs="Calibri"/>
                <w:color w:val="000000"/>
                <w:sz w:val="18"/>
                <w:szCs w:val="18"/>
              </w:rPr>
              <w:t>200</w:t>
            </w:r>
            <w:r>
              <w:rPr>
                <w:rFonts w:eastAsia="Calibri" w:cs="Calibri"/>
                <w:color w:val="000000"/>
                <w:sz w:val="18"/>
                <w:szCs w:val="18"/>
              </w:rPr>
              <w:t>80107</w:t>
            </w:r>
          </w:p>
        </w:tc>
      </w:tr>
      <w:tr w:rsidR="007367CE" w:rsidRPr="001F29F9" w:rsidTr="007367CE">
        <w:trPr>
          <w:trHeight w:val="160"/>
          <w:jc w:val="center"/>
        </w:trPr>
        <w:tc>
          <w:tcPr>
            <w:tcW w:w="4158" w:type="dxa"/>
            <w:gridSpan w:val="3"/>
            <w:tcBorders>
              <w:right w:val="thinThickThinSmallGap" w:sz="24" w:space="0" w:color="auto"/>
            </w:tcBorders>
            <w:shd w:val="clear" w:color="auto" w:fill="FFFFFF" w:themeFill="background1"/>
            <w:vAlign w:val="center"/>
          </w:tcPr>
          <w:p w:rsidR="007367CE" w:rsidRPr="001F29F9" w:rsidRDefault="007367CE" w:rsidP="00BB1112">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7367CE" w:rsidRPr="001F29F9" w:rsidRDefault="007367CE" w:rsidP="00BB1112">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2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w:t>
            </w:r>
          </w:p>
        </w:tc>
        <w:tc>
          <w:tcPr>
            <w:tcW w:w="990" w:type="dxa"/>
            <w:shd w:val="clear" w:color="auto" w:fill="FFFFFF" w:themeFill="background1"/>
            <w:vAlign w:val="center"/>
          </w:tcPr>
          <w:p w:rsidR="007367CE" w:rsidRPr="001F29F9" w:rsidRDefault="007367CE" w:rsidP="00BB1112">
            <w:pPr>
              <w:spacing w:line="220" w:lineRule="exact"/>
              <w:contextualSpacing/>
              <w:rPr>
                <w:rFonts w:ascii="Calibri" w:eastAsia="Times New Roman" w:hAnsi="Calibri" w:cs="Calibri"/>
                <w:color w:val="000000" w:themeColor="text1"/>
                <w:sz w:val="18"/>
                <w:szCs w:val="18"/>
              </w:rPr>
            </w:pPr>
            <w:r w:rsidRPr="003B5F80">
              <w:rPr>
                <w:rFonts w:eastAsia="Calibri" w:cs="Calibri"/>
                <w:color w:val="000000"/>
                <w:sz w:val="18"/>
                <w:szCs w:val="18"/>
              </w:rPr>
              <w:t>200</w:t>
            </w:r>
            <w:r>
              <w:rPr>
                <w:rFonts w:eastAsia="Calibri" w:cs="Calibri"/>
                <w:color w:val="000000"/>
                <w:sz w:val="18"/>
                <w:szCs w:val="18"/>
              </w:rPr>
              <w:t>80107</w:t>
            </w:r>
          </w:p>
        </w:tc>
      </w:tr>
      <w:tr w:rsidR="007367CE" w:rsidRPr="001F29F9" w:rsidTr="00BB1112">
        <w:trPr>
          <w:trHeight w:val="124"/>
          <w:jc w:val="center"/>
        </w:trPr>
        <w:tc>
          <w:tcPr>
            <w:tcW w:w="4158" w:type="dxa"/>
            <w:gridSpan w:val="3"/>
            <w:tcBorders>
              <w:right w:val="thinThickThinSmallGap" w:sz="24" w:space="0" w:color="auto"/>
            </w:tcBorders>
            <w:shd w:val="clear" w:color="auto" w:fill="D9D9D9" w:themeFill="background1" w:themeFillShade="D9"/>
          </w:tcPr>
          <w:p w:rsidR="007367CE" w:rsidRPr="001F29F9" w:rsidRDefault="007367CE"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367CE" w:rsidRPr="001F29F9" w:rsidRDefault="007367CE" w:rsidP="00BB111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F328BE" w:rsidRDefault="002C6E5B" w:rsidP="007367CE">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0E1839" w:rsidRPr="000E1839">
        <w:rPr>
          <w:color w:val="000000" w:themeColor="text1"/>
          <w:szCs w:val="24"/>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7A7485">
        <w:rPr>
          <w:color w:val="000000" w:themeColor="text1"/>
          <w:szCs w:val="24"/>
        </w:rPr>
        <w:t>DES</w:t>
      </w:r>
      <w:r w:rsidR="000E1839" w:rsidRPr="000E1839">
        <w:rPr>
          <w:color w:val="000000" w:themeColor="text1"/>
          <w:szCs w:val="24"/>
        </w:rPr>
        <w:t xml:space="preserve">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7A7485">
        <w:rPr>
          <w:color w:val="000000" w:themeColor="text1"/>
          <w:szCs w:val="24"/>
        </w:rPr>
        <w:t>s’</w:t>
      </w:r>
      <w:r w:rsidR="000E1839" w:rsidRPr="000E1839">
        <w:rPr>
          <w:color w:val="000000" w:themeColor="text1"/>
          <w:szCs w:val="24"/>
        </w:rPr>
        <w:t xml:space="preserve"> Affairs (DVA),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w:t>
      </w:r>
      <w:r w:rsidR="00507E4F" w:rsidRPr="00507E4F">
        <w:rPr>
          <w:color w:val="000000" w:themeColor="text1"/>
          <w:szCs w:val="24"/>
        </w:rPr>
        <w:t xml:space="preserve">The Board further acknowledges the CI’s contention for </w:t>
      </w:r>
      <w:r w:rsidR="007A7485">
        <w:rPr>
          <w:color w:val="000000" w:themeColor="text1"/>
          <w:szCs w:val="24"/>
        </w:rPr>
        <w:t>s</w:t>
      </w:r>
      <w:r w:rsidR="00507E4F" w:rsidRPr="00507E4F">
        <w:rPr>
          <w:color w:val="000000" w:themeColor="text1"/>
          <w:szCs w:val="24"/>
        </w:rPr>
        <w:t>ervice ratings for other conditions documented at the time of separation, and notes that its recommendations in that regard must co</w:t>
      </w:r>
      <w:r w:rsidR="00507E4F">
        <w:rPr>
          <w:color w:val="000000" w:themeColor="text1"/>
          <w:szCs w:val="24"/>
        </w:rPr>
        <w:t xml:space="preserve">mply with the same governance. </w:t>
      </w:r>
      <w:r w:rsidR="000E1839">
        <w:rPr>
          <w:color w:val="000000" w:themeColor="text1"/>
          <w:szCs w:val="24"/>
        </w:rPr>
        <w:t xml:space="preserve"> </w:t>
      </w:r>
      <w:r w:rsidR="000E1839" w:rsidRPr="000E1839">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0E1839">
        <w:rPr>
          <w:color w:val="000000" w:themeColor="text1"/>
          <w:szCs w:val="24"/>
        </w:rPr>
        <w:t xml:space="preserve"> </w:t>
      </w:r>
      <w:r w:rsidR="000E1839" w:rsidRPr="000E1839">
        <w:rPr>
          <w:color w:val="000000" w:themeColor="text1"/>
          <w:szCs w:val="24"/>
        </w:rPr>
        <w:t xml:space="preserve">The DVA, however, is </w:t>
      </w:r>
      <w:r w:rsidR="007A7485">
        <w:rPr>
          <w:color w:val="000000" w:themeColor="text1"/>
          <w:szCs w:val="24"/>
        </w:rPr>
        <w:t>empowered to compensate service-</w:t>
      </w:r>
      <w:r w:rsidR="000E1839" w:rsidRPr="000E1839">
        <w:rPr>
          <w:color w:val="000000" w:themeColor="text1"/>
          <w:szCs w:val="24"/>
        </w:rPr>
        <w:t xml:space="preserve">connected conditions and to periodically re-evaluate said conditions for the purpose of adjusting the </w:t>
      </w:r>
      <w:r w:rsidR="007A7485">
        <w:rPr>
          <w:color w:val="000000" w:themeColor="text1"/>
          <w:szCs w:val="24"/>
        </w:rPr>
        <w:t>V</w:t>
      </w:r>
      <w:r w:rsidR="000E1839" w:rsidRPr="000E1839">
        <w:rPr>
          <w:color w:val="000000" w:themeColor="text1"/>
          <w:szCs w:val="24"/>
        </w:rPr>
        <w:t xml:space="preserve">eteran’s disability rating should </w:t>
      </w:r>
      <w:r w:rsidR="007A7485">
        <w:rPr>
          <w:color w:val="000000" w:themeColor="text1"/>
          <w:szCs w:val="24"/>
        </w:rPr>
        <w:t>the</w:t>
      </w:r>
      <w:r w:rsidR="000E1839" w:rsidRPr="000E1839">
        <w:rPr>
          <w:color w:val="000000" w:themeColor="text1"/>
          <w:szCs w:val="24"/>
        </w:rPr>
        <w:t xml:space="preserve"> degree of impairment vary over time.</w:t>
      </w:r>
    </w:p>
    <w:p w:rsidR="007367CE" w:rsidRPr="00F328BE" w:rsidRDefault="007367CE" w:rsidP="00F328BE">
      <w:pPr>
        <w:jc w:val="left"/>
        <w:rPr>
          <w:color w:val="000000" w:themeColor="text1"/>
          <w:szCs w:val="24"/>
        </w:rPr>
      </w:pPr>
    </w:p>
    <w:p w:rsidR="003C53E8" w:rsidRPr="003C53E8" w:rsidRDefault="00856C4E" w:rsidP="00293967">
      <w:pPr>
        <w:jc w:val="both"/>
        <w:rPr>
          <w:rFonts w:asciiTheme="minorHAnsi" w:hAnsiTheme="minorHAnsi" w:cs="Times New Roman"/>
          <w:color w:val="auto"/>
          <w:szCs w:val="24"/>
        </w:rPr>
      </w:pPr>
      <w:proofErr w:type="gramStart"/>
      <w:r>
        <w:rPr>
          <w:color w:val="000000" w:themeColor="text1"/>
          <w:szCs w:val="24"/>
          <w:u w:val="single"/>
        </w:rPr>
        <w:t>Left Wrist</w:t>
      </w:r>
      <w:r w:rsidRPr="001F29F9">
        <w:rPr>
          <w:color w:val="000000" w:themeColor="text1"/>
          <w:szCs w:val="24"/>
          <w:u w:val="single"/>
        </w:rPr>
        <w:t xml:space="preserve"> Condition</w:t>
      </w:r>
      <w:r w:rsidRPr="00F83528">
        <w:rPr>
          <w:color w:val="000000" w:themeColor="text1"/>
          <w:szCs w:val="24"/>
        </w:rPr>
        <w:t>.</w:t>
      </w:r>
      <w:proofErr w:type="gramEnd"/>
      <w:r>
        <w:rPr>
          <w:color w:val="000000" w:themeColor="text1"/>
          <w:szCs w:val="24"/>
        </w:rPr>
        <w:t xml:space="preserve"> </w:t>
      </w:r>
      <w:r w:rsidR="00E648F3">
        <w:rPr>
          <w:color w:val="000000" w:themeColor="text1"/>
          <w:szCs w:val="24"/>
        </w:rPr>
        <w:t xml:space="preserve"> The CI initially injured his wrist in a fall from atop a tactical vehicle onto his outstretched left hand.  </w:t>
      </w:r>
      <w:r w:rsidR="00CE5AAC">
        <w:rPr>
          <w:rFonts w:asciiTheme="minorHAnsi" w:hAnsiTheme="minorHAnsi" w:cs="Times New Roman"/>
          <w:color w:val="auto"/>
          <w:szCs w:val="24"/>
        </w:rPr>
        <w:t>Subsequent radiographs showed evidence of scapho</w:t>
      </w:r>
      <w:r w:rsidR="009E35D1">
        <w:rPr>
          <w:rFonts w:asciiTheme="minorHAnsi" w:hAnsiTheme="minorHAnsi" w:cs="Times New Roman"/>
          <w:color w:val="auto"/>
          <w:szCs w:val="24"/>
        </w:rPr>
        <w:t>id-</w:t>
      </w:r>
      <w:r w:rsidR="00CE5AAC">
        <w:rPr>
          <w:rFonts w:asciiTheme="minorHAnsi" w:hAnsiTheme="minorHAnsi" w:cs="Times New Roman"/>
          <w:color w:val="auto"/>
          <w:szCs w:val="24"/>
        </w:rPr>
        <w:t xml:space="preserve">lunate instability; and, </w:t>
      </w:r>
      <w:r w:rsidR="00E648F3">
        <w:rPr>
          <w:color w:val="000000" w:themeColor="text1"/>
          <w:szCs w:val="24"/>
        </w:rPr>
        <w:t xml:space="preserve">he underwent surgical repair of a torn </w:t>
      </w:r>
      <w:r w:rsidR="00E648F3" w:rsidRPr="00C41FF5">
        <w:rPr>
          <w:color w:val="000000" w:themeColor="text1"/>
        </w:rPr>
        <w:t xml:space="preserve">scapholunate </w:t>
      </w:r>
      <w:r w:rsidR="000E1FCC">
        <w:rPr>
          <w:color w:val="000000" w:themeColor="text1"/>
        </w:rPr>
        <w:t xml:space="preserve">interosseous </w:t>
      </w:r>
      <w:r w:rsidR="00E648F3" w:rsidRPr="00C41FF5">
        <w:rPr>
          <w:color w:val="000000" w:themeColor="text1"/>
        </w:rPr>
        <w:t>ligament</w:t>
      </w:r>
      <w:r w:rsidR="00C9322D">
        <w:rPr>
          <w:color w:val="000000" w:themeColor="text1"/>
        </w:rPr>
        <w:t xml:space="preserve"> with good results.  </w:t>
      </w:r>
      <w:r w:rsidR="00CE5AAC">
        <w:rPr>
          <w:color w:val="000000" w:themeColor="text1"/>
        </w:rPr>
        <w:t>A</w:t>
      </w:r>
      <w:r w:rsidR="00C9322D">
        <w:rPr>
          <w:color w:val="000000" w:themeColor="text1"/>
        </w:rPr>
        <w:t>fter 10 months of rehabilitation</w:t>
      </w:r>
      <w:r w:rsidR="00CE5AAC">
        <w:rPr>
          <w:color w:val="000000" w:themeColor="text1"/>
        </w:rPr>
        <w:t>,</w:t>
      </w:r>
      <w:r w:rsidR="00C9322D">
        <w:rPr>
          <w:color w:val="000000" w:themeColor="text1"/>
        </w:rPr>
        <w:t xml:space="preserve"> </w:t>
      </w:r>
      <w:r w:rsidR="00CE5AAC">
        <w:rPr>
          <w:color w:val="000000" w:themeColor="text1"/>
        </w:rPr>
        <w:t xml:space="preserve">however, </w:t>
      </w:r>
      <w:r w:rsidR="00C9322D">
        <w:rPr>
          <w:color w:val="000000" w:themeColor="text1"/>
        </w:rPr>
        <w:t xml:space="preserve">he did not achieve sufficient </w:t>
      </w:r>
      <w:r w:rsidR="00293967">
        <w:rPr>
          <w:color w:val="000000" w:themeColor="text1"/>
        </w:rPr>
        <w:t xml:space="preserve">restoration of left wrist function to perform critical duties associated with his AFS.  </w:t>
      </w:r>
      <w:r w:rsidR="00A57C35" w:rsidRPr="00293967">
        <w:rPr>
          <w:color w:val="000000" w:themeColor="text1"/>
          <w:szCs w:val="24"/>
        </w:rPr>
        <w:t xml:space="preserve">There were </w:t>
      </w:r>
      <w:r w:rsidR="00CE5AAC">
        <w:rPr>
          <w:color w:val="000000" w:themeColor="text1"/>
          <w:szCs w:val="24"/>
        </w:rPr>
        <w:t>two</w:t>
      </w:r>
      <w:r w:rsidR="00A57C35" w:rsidRPr="00293967">
        <w:rPr>
          <w:color w:val="000000" w:themeColor="text1"/>
          <w:szCs w:val="24"/>
        </w:rPr>
        <w:t xml:space="preserve"> goniometric range</w:t>
      </w:r>
      <w:r w:rsidR="007A7485">
        <w:rPr>
          <w:color w:val="000000" w:themeColor="text1"/>
          <w:szCs w:val="24"/>
        </w:rPr>
        <w:t>-</w:t>
      </w:r>
      <w:r w:rsidR="00A57C35" w:rsidRPr="00293967">
        <w:rPr>
          <w:color w:val="000000" w:themeColor="text1"/>
          <w:szCs w:val="24"/>
        </w:rPr>
        <w:t>of</w:t>
      </w:r>
      <w:r w:rsidR="007A7485">
        <w:rPr>
          <w:color w:val="000000" w:themeColor="text1"/>
          <w:szCs w:val="24"/>
        </w:rPr>
        <w:t>-</w:t>
      </w:r>
      <w:r w:rsidR="00A57C35" w:rsidRPr="00293967">
        <w:rPr>
          <w:color w:val="000000" w:themeColor="text1"/>
          <w:szCs w:val="24"/>
        </w:rPr>
        <w:t>motion (ROM) evaluations in evidence, with documentation of additional ratable criteria, which the Board weighed in arriving at its rating recommendation</w:t>
      </w:r>
      <w:r w:rsidR="003C53E8" w:rsidRPr="00293967">
        <w:rPr>
          <w:rFonts w:asciiTheme="minorHAnsi" w:hAnsiTheme="minorHAnsi" w:cs="Times New Roman"/>
          <w:color w:val="auto"/>
          <w:szCs w:val="24"/>
        </w:rPr>
        <w:t>.</w:t>
      </w:r>
      <w:r w:rsidR="00BB1112">
        <w:rPr>
          <w:rFonts w:asciiTheme="minorHAnsi" w:hAnsiTheme="minorHAnsi" w:cs="Times New Roman"/>
          <w:color w:val="auto"/>
          <w:szCs w:val="24"/>
        </w:rPr>
        <w:t xml:space="preserve">  The contralateral measurements </w:t>
      </w:r>
      <w:r w:rsidR="00511B43">
        <w:rPr>
          <w:rFonts w:asciiTheme="minorHAnsi" w:hAnsiTheme="minorHAnsi" w:cs="Times New Roman"/>
          <w:color w:val="auto"/>
          <w:szCs w:val="24"/>
        </w:rPr>
        <w:t>are included in the summary chart below for comparison purposes.</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7300" w:type="dxa"/>
        <w:jc w:val="center"/>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9"/>
        <w:gridCol w:w="1041"/>
        <w:gridCol w:w="860"/>
        <w:gridCol w:w="1300"/>
        <w:gridCol w:w="1180"/>
      </w:tblGrid>
      <w:tr w:rsidR="00203806" w:rsidRPr="00BB1112" w:rsidTr="00CE5AAC">
        <w:trPr>
          <w:jc w:val="center"/>
        </w:trPr>
        <w:tc>
          <w:tcPr>
            <w:tcW w:w="2919" w:type="dxa"/>
            <w:vMerge w:val="restart"/>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Wrist ROM</w:t>
            </w:r>
          </w:p>
        </w:tc>
        <w:tc>
          <w:tcPr>
            <w:tcW w:w="1901" w:type="dxa"/>
            <w:gridSpan w:val="2"/>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PT</w:t>
            </w:r>
            <w:r w:rsidR="00BB1112">
              <w:rPr>
                <w:rFonts w:eastAsia="Calibri" w:cs="Times New Roman"/>
                <w:color w:val="auto"/>
                <w:sz w:val="22"/>
                <w:szCs w:val="22"/>
              </w:rPr>
              <w:t xml:space="preserve"> ~</w:t>
            </w:r>
            <w:r w:rsidRPr="00BB1112">
              <w:rPr>
                <w:rFonts w:eastAsia="Calibri" w:cs="Times New Roman"/>
                <w:color w:val="auto"/>
                <w:sz w:val="22"/>
                <w:szCs w:val="22"/>
              </w:rPr>
              <w:t>3 Mo.</w:t>
            </w:r>
            <w:r w:rsidR="00BB1112">
              <w:rPr>
                <w:rFonts w:eastAsia="Calibri" w:cs="Times New Roman"/>
                <w:color w:val="auto"/>
                <w:sz w:val="22"/>
                <w:szCs w:val="22"/>
              </w:rPr>
              <w:t xml:space="preserve"> Pre-</w:t>
            </w:r>
            <w:r w:rsidRPr="00BB1112">
              <w:rPr>
                <w:rFonts w:eastAsia="Calibri" w:cs="Times New Roman"/>
                <w:color w:val="auto"/>
                <w:sz w:val="22"/>
                <w:szCs w:val="22"/>
              </w:rPr>
              <w:t>Sep</w:t>
            </w:r>
          </w:p>
        </w:tc>
        <w:tc>
          <w:tcPr>
            <w:tcW w:w="2480" w:type="dxa"/>
            <w:gridSpan w:val="2"/>
            <w:shd w:val="clear" w:color="auto" w:fill="D9D9D9" w:themeFill="background1" w:themeFillShade="D9"/>
            <w:vAlign w:val="center"/>
          </w:tcPr>
          <w:p w:rsidR="00203806" w:rsidRPr="00BB1112" w:rsidRDefault="00203806" w:rsidP="00BB1112">
            <w:pPr>
              <w:contextualSpacing/>
              <w:rPr>
                <w:rFonts w:eastAsiaTheme="minorHAnsi" w:cstheme="minorBidi"/>
                <w:color w:val="auto"/>
                <w:sz w:val="22"/>
                <w:szCs w:val="22"/>
              </w:rPr>
            </w:pPr>
            <w:r w:rsidRPr="00BB1112">
              <w:rPr>
                <w:rFonts w:eastAsia="Calibri" w:cs="Times New Roman"/>
                <w:color w:val="auto"/>
                <w:sz w:val="22"/>
                <w:szCs w:val="22"/>
              </w:rPr>
              <w:t>VA</w:t>
            </w:r>
            <w:r w:rsidR="00BB1112">
              <w:rPr>
                <w:rFonts w:eastAsiaTheme="minorHAnsi" w:cstheme="minorBidi"/>
                <w:color w:val="auto"/>
                <w:sz w:val="22"/>
                <w:szCs w:val="22"/>
              </w:rPr>
              <w:t xml:space="preserve"> C&amp;P ~</w:t>
            </w:r>
            <w:r w:rsidRPr="00BB1112">
              <w:rPr>
                <w:rFonts w:eastAsiaTheme="minorHAnsi" w:cstheme="minorBidi"/>
                <w:color w:val="auto"/>
                <w:sz w:val="22"/>
                <w:szCs w:val="22"/>
              </w:rPr>
              <w:t>3 Mo.</w:t>
            </w:r>
            <w:r w:rsidR="00BB1112">
              <w:rPr>
                <w:rFonts w:eastAsiaTheme="minorHAnsi" w:cstheme="minorBidi"/>
                <w:color w:val="auto"/>
                <w:sz w:val="22"/>
                <w:szCs w:val="22"/>
              </w:rPr>
              <w:t xml:space="preserve"> Post-</w:t>
            </w:r>
            <w:r w:rsidRPr="00BB1112">
              <w:rPr>
                <w:rFonts w:eastAsiaTheme="minorHAnsi" w:cstheme="minorBidi"/>
                <w:color w:val="auto"/>
                <w:sz w:val="22"/>
                <w:szCs w:val="22"/>
              </w:rPr>
              <w:t>Sep</w:t>
            </w:r>
          </w:p>
        </w:tc>
      </w:tr>
      <w:tr w:rsidR="00203806" w:rsidRPr="00BB1112" w:rsidTr="00CE5AAC">
        <w:trPr>
          <w:jc w:val="center"/>
        </w:trPr>
        <w:tc>
          <w:tcPr>
            <w:tcW w:w="2919" w:type="dxa"/>
            <w:vMerge/>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p>
        </w:tc>
        <w:tc>
          <w:tcPr>
            <w:tcW w:w="1041" w:type="dxa"/>
            <w:tcBorders>
              <w:right w:val="single" w:sz="4" w:space="0" w:color="auto"/>
            </w:tcBorders>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Left</w:t>
            </w:r>
          </w:p>
        </w:tc>
        <w:tc>
          <w:tcPr>
            <w:tcW w:w="860" w:type="dxa"/>
            <w:tcBorders>
              <w:left w:val="single" w:sz="4" w:space="0" w:color="auto"/>
            </w:tcBorders>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Right</w:t>
            </w:r>
          </w:p>
        </w:tc>
        <w:tc>
          <w:tcPr>
            <w:tcW w:w="1300" w:type="dxa"/>
            <w:tcBorders>
              <w:right w:val="single" w:sz="4" w:space="0" w:color="auto"/>
            </w:tcBorders>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Left</w:t>
            </w:r>
          </w:p>
        </w:tc>
        <w:tc>
          <w:tcPr>
            <w:tcW w:w="1180" w:type="dxa"/>
            <w:tcBorders>
              <w:left w:val="single" w:sz="4" w:space="0" w:color="auto"/>
            </w:tcBorders>
            <w:shd w:val="clear" w:color="auto" w:fill="D9D9D9" w:themeFill="background1" w:themeFillShade="D9"/>
            <w:vAlign w:val="center"/>
          </w:tcPr>
          <w:p w:rsidR="00203806" w:rsidRPr="00BB1112" w:rsidRDefault="00203806" w:rsidP="00BB1112">
            <w:pPr>
              <w:contextualSpacing/>
              <w:rPr>
                <w:rFonts w:eastAsia="Calibri" w:cs="Times New Roman"/>
                <w:color w:val="auto"/>
                <w:sz w:val="22"/>
                <w:szCs w:val="22"/>
              </w:rPr>
            </w:pPr>
            <w:r w:rsidRPr="00BB1112">
              <w:rPr>
                <w:rFonts w:eastAsia="Calibri" w:cs="Times New Roman"/>
                <w:color w:val="auto"/>
                <w:sz w:val="22"/>
                <w:szCs w:val="22"/>
              </w:rPr>
              <w:t>Right</w:t>
            </w:r>
          </w:p>
        </w:tc>
      </w:tr>
      <w:tr w:rsidR="005C722E" w:rsidRPr="00BB1112" w:rsidTr="00CE5AAC">
        <w:trPr>
          <w:jc w:val="center"/>
        </w:trPr>
        <w:tc>
          <w:tcPr>
            <w:tcW w:w="2919" w:type="dxa"/>
            <w:vAlign w:val="center"/>
          </w:tcPr>
          <w:p w:rsidR="005C722E" w:rsidRPr="00BB1112" w:rsidRDefault="00BB1112" w:rsidP="00BB1112">
            <w:pPr>
              <w:contextualSpacing/>
              <w:rPr>
                <w:rFonts w:eastAsia="Calibri"/>
                <w:color w:val="000000" w:themeColor="text1"/>
                <w:sz w:val="22"/>
                <w:szCs w:val="22"/>
              </w:rPr>
            </w:pPr>
            <w:r w:rsidRPr="00BB1112">
              <w:rPr>
                <w:rFonts w:eastAsia="Calibri"/>
                <w:color w:val="000000" w:themeColor="text1"/>
                <w:sz w:val="22"/>
                <w:szCs w:val="22"/>
              </w:rPr>
              <w:t>Dorsiflexion/</w:t>
            </w:r>
            <w:r w:rsidR="00CE5AAC">
              <w:rPr>
                <w:rFonts w:eastAsia="Calibri"/>
                <w:color w:val="000000" w:themeColor="text1"/>
                <w:sz w:val="22"/>
                <w:szCs w:val="22"/>
              </w:rPr>
              <w:t>Extension</w:t>
            </w:r>
            <w:r w:rsidR="005C722E" w:rsidRPr="00BB1112">
              <w:rPr>
                <w:rFonts w:eastAsia="Calibri"/>
                <w:color w:val="000000" w:themeColor="text1"/>
                <w:sz w:val="22"/>
                <w:szCs w:val="22"/>
              </w:rPr>
              <w:t xml:space="preserve"> (0-70</w:t>
            </w:r>
            <w:r w:rsidRPr="00BB1112">
              <w:rPr>
                <w:rFonts w:eastAsia="Calibri" w:cs="Calibri"/>
                <w:color w:val="000000" w:themeColor="text1"/>
                <w:sz w:val="22"/>
                <w:szCs w:val="22"/>
              </w:rPr>
              <w:t>⁰</w:t>
            </w:r>
            <w:r w:rsidR="005C722E" w:rsidRPr="00BB1112">
              <w:rPr>
                <w:rFonts w:eastAsia="Calibri"/>
                <w:color w:val="000000" w:themeColor="text1"/>
                <w:sz w:val="22"/>
                <w:szCs w:val="22"/>
              </w:rPr>
              <w:t>)</w:t>
            </w:r>
          </w:p>
        </w:tc>
        <w:tc>
          <w:tcPr>
            <w:tcW w:w="1041"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34⁰</w:t>
            </w:r>
          </w:p>
        </w:tc>
        <w:tc>
          <w:tcPr>
            <w:tcW w:w="86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85⁰</w:t>
            </w:r>
          </w:p>
        </w:tc>
        <w:tc>
          <w:tcPr>
            <w:tcW w:w="1300"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40⁰</w:t>
            </w:r>
          </w:p>
        </w:tc>
        <w:tc>
          <w:tcPr>
            <w:tcW w:w="118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45⁰</w:t>
            </w:r>
          </w:p>
        </w:tc>
      </w:tr>
      <w:tr w:rsidR="005C722E" w:rsidRPr="00BB1112" w:rsidTr="00CE5AAC">
        <w:trPr>
          <w:jc w:val="center"/>
        </w:trPr>
        <w:tc>
          <w:tcPr>
            <w:tcW w:w="2919" w:type="dxa"/>
            <w:vAlign w:val="center"/>
          </w:tcPr>
          <w:p w:rsidR="005C722E" w:rsidRPr="00BB1112" w:rsidRDefault="005C722E" w:rsidP="00BB1112">
            <w:pPr>
              <w:contextualSpacing/>
              <w:rPr>
                <w:rFonts w:eastAsia="Calibri"/>
                <w:color w:val="000000" w:themeColor="text1"/>
                <w:sz w:val="22"/>
                <w:szCs w:val="22"/>
              </w:rPr>
            </w:pPr>
            <w:r w:rsidRPr="00BB1112">
              <w:rPr>
                <w:rFonts w:eastAsia="Calibri"/>
                <w:color w:val="000000" w:themeColor="text1"/>
                <w:sz w:val="22"/>
                <w:szCs w:val="22"/>
              </w:rPr>
              <w:t>Palmar Flexion (0-80</w:t>
            </w:r>
            <w:r w:rsidR="00BB1112" w:rsidRPr="00BB1112">
              <w:rPr>
                <w:rFonts w:eastAsia="Calibri" w:cs="Calibri"/>
                <w:color w:val="000000" w:themeColor="text1"/>
                <w:sz w:val="22"/>
                <w:szCs w:val="22"/>
              </w:rPr>
              <w:t>⁰</w:t>
            </w:r>
            <w:r w:rsidRPr="00BB1112">
              <w:rPr>
                <w:rFonts w:eastAsia="Calibri"/>
                <w:color w:val="000000" w:themeColor="text1"/>
                <w:sz w:val="22"/>
                <w:szCs w:val="22"/>
              </w:rPr>
              <w:t>)</w:t>
            </w:r>
          </w:p>
        </w:tc>
        <w:tc>
          <w:tcPr>
            <w:tcW w:w="1041"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50⁰</w:t>
            </w:r>
          </w:p>
        </w:tc>
        <w:tc>
          <w:tcPr>
            <w:tcW w:w="86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88⁰</w:t>
            </w:r>
          </w:p>
        </w:tc>
        <w:tc>
          <w:tcPr>
            <w:tcW w:w="1300"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30⁰</w:t>
            </w:r>
          </w:p>
        </w:tc>
        <w:tc>
          <w:tcPr>
            <w:tcW w:w="118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45⁰</w:t>
            </w:r>
          </w:p>
        </w:tc>
      </w:tr>
      <w:tr w:rsidR="005C722E" w:rsidRPr="00BB1112" w:rsidTr="00CE5AAC">
        <w:trPr>
          <w:jc w:val="center"/>
        </w:trPr>
        <w:tc>
          <w:tcPr>
            <w:tcW w:w="2919" w:type="dxa"/>
            <w:vAlign w:val="center"/>
          </w:tcPr>
          <w:p w:rsidR="005C722E" w:rsidRPr="00BB1112" w:rsidRDefault="005C722E" w:rsidP="00BB1112">
            <w:pPr>
              <w:contextualSpacing/>
              <w:rPr>
                <w:rFonts w:eastAsia="Calibri"/>
                <w:color w:val="000000" w:themeColor="text1"/>
                <w:sz w:val="22"/>
                <w:szCs w:val="22"/>
              </w:rPr>
            </w:pPr>
            <w:r w:rsidRPr="00BB1112">
              <w:rPr>
                <w:rFonts w:eastAsia="Calibri"/>
                <w:color w:val="000000" w:themeColor="text1"/>
                <w:sz w:val="22"/>
                <w:szCs w:val="22"/>
              </w:rPr>
              <w:t>Ulnar Deviation (0-45</w:t>
            </w:r>
            <w:r w:rsidR="00BB1112" w:rsidRPr="00BB1112">
              <w:rPr>
                <w:rFonts w:eastAsia="Calibri" w:cs="Calibri"/>
                <w:color w:val="000000" w:themeColor="text1"/>
                <w:sz w:val="22"/>
                <w:szCs w:val="22"/>
              </w:rPr>
              <w:t>⁰</w:t>
            </w:r>
            <w:r w:rsidRPr="00BB1112">
              <w:rPr>
                <w:rFonts w:eastAsia="Calibri"/>
                <w:color w:val="000000" w:themeColor="text1"/>
                <w:sz w:val="22"/>
                <w:szCs w:val="22"/>
              </w:rPr>
              <w:t>)</w:t>
            </w:r>
          </w:p>
        </w:tc>
        <w:tc>
          <w:tcPr>
            <w:tcW w:w="1041"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30⁰</w:t>
            </w:r>
          </w:p>
        </w:tc>
        <w:tc>
          <w:tcPr>
            <w:tcW w:w="86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45⁰</w:t>
            </w:r>
          </w:p>
        </w:tc>
        <w:tc>
          <w:tcPr>
            <w:tcW w:w="1300"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10⁰</w:t>
            </w:r>
          </w:p>
        </w:tc>
        <w:tc>
          <w:tcPr>
            <w:tcW w:w="118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10⁰</w:t>
            </w:r>
          </w:p>
        </w:tc>
      </w:tr>
      <w:tr w:rsidR="005C722E" w:rsidRPr="00BB1112" w:rsidTr="00CE5AAC">
        <w:trPr>
          <w:jc w:val="center"/>
        </w:trPr>
        <w:tc>
          <w:tcPr>
            <w:tcW w:w="2919" w:type="dxa"/>
            <w:vAlign w:val="center"/>
          </w:tcPr>
          <w:p w:rsidR="005C722E" w:rsidRPr="00BB1112" w:rsidRDefault="005C722E" w:rsidP="00BB1112">
            <w:pPr>
              <w:contextualSpacing/>
              <w:rPr>
                <w:rFonts w:eastAsia="Calibri"/>
                <w:color w:val="000000" w:themeColor="text1"/>
                <w:sz w:val="22"/>
                <w:szCs w:val="22"/>
              </w:rPr>
            </w:pPr>
            <w:r w:rsidRPr="00BB1112">
              <w:rPr>
                <w:rFonts w:eastAsia="Calibri"/>
                <w:color w:val="000000" w:themeColor="text1"/>
                <w:sz w:val="22"/>
                <w:szCs w:val="22"/>
              </w:rPr>
              <w:t>Radial Deviation (0-20</w:t>
            </w:r>
            <w:r w:rsidR="00BB1112" w:rsidRPr="00BB1112">
              <w:rPr>
                <w:rFonts w:eastAsia="Calibri" w:cs="Calibri"/>
                <w:color w:val="000000" w:themeColor="text1"/>
                <w:sz w:val="22"/>
                <w:szCs w:val="22"/>
              </w:rPr>
              <w:t>⁰</w:t>
            </w:r>
            <w:r w:rsidRPr="00BB1112">
              <w:rPr>
                <w:rFonts w:eastAsia="Calibri"/>
                <w:color w:val="000000" w:themeColor="text1"/>
                <w:sz w:val="22"/>
                <w:szCs w:val="22"/>
              </w:rPr>
              <w:t>)</w:t>
            </w:r>
          </w:p>
        </w:tc>
        <w:tc>
          <w:tcPr>
            <w:tcW w:w="1041"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20⁰</w:t>
            </w:r>
          </w:p>
        </w:tc>
        <w:tc>
          <w:tcPr>
            <w:tcW w:w="86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27⁰</w:t>
            </w:r>
          </w:p>
        </w:tc>
        <w:tc>
          <w:tcPr>
            <w:tcW w:w="1300" w:type="dxa"/>
            <w:tcBorders>
              <w:righ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5⁰</w:t>
            </w:r>
          </w:p>
        </w:tc>
        <w:tc>
          <w:tcPr>
            <w:tcW w:w="1180" w:type="dxa"/>
            <w:tcBorders>
              <w:left w:val="single" w:sz="4" w:space="0" w:color="auto"/>
            </w:tcBorders>
            <w:vAlign w:val="center"/>
          </w:tcPr>
          <w:p w:rsidR="005C722E" w:rsidRPr="00BB1112" w:rsidRDefault="005C722E" w:rsidP="00BB1112">
            <w:pPr>
              <w:rPr>
                <w:sz w:val="22"/>
                <w:szCs w:val="22"/>
              </w:rPr>
            </w:pPr>
            <w:r w:rsidRPr="00BB1112">
              <w:rPr>
                <w:rFonts w:eastAsia="Calibri" w:cs="Times New Roman"/>
                <w:color w:val="auto"/>
                <w:sz w:val="22"/>
                <w:szCs w:val="22"/>
              </w:rPr>
              <w:t>10⁰</w:t>
            </w:r>
          </w:p>
        </w:tc>
      </w:tr>
      <w:tr w:rsidR="005C722E" w:rsidRPr="00BB1112" w:rsidTr="00CE5AAC">
        <w:trPr>
          <w:trHeight w:val="70"/>
          <w:jc w:val="center"/>
        </w:trPr>
        <w:tc>
          <w:tcPr>
            <w:tcW w:w="2919" w:type="dxa"/>
            <w:vAlign w:val="center"/>
          </w:tcPr>
          <w:p w:rsidR="005C722E" w:rsidRPr="00BB1112" w:rsidRDefault="005C722E" w:rsidP="00BB1112">
            <w:pPr>
              <w:tabs>
                <w:tab w:val="left" w:pos="288"/>
                <w:tab w:val="left" w:pos="4752"/>
              </w:tabs>
              <w:rPr>
                <w:rFonts w:asciiTheme="minorHAnsi" w:eastAsiaTheme="minorHAnsi" w:hAnsiTheme="minorHAnsi" w:cs="Times New Roman"/>
                <w:color w:val="auto"/>
                <w:sz w:val="22"/>
                <w:szCs w:val="22"/>
              </w:rPr>
            </w:pPr>
            <w:r w:rsidRPr="00BB1112">
              <w:rPr>
                <w:rFonts w:asciiTheme="minorHAnsi" w:eastAsiaTheme="minorHAnsi" w:hAnsiTheme="minorHAnsi" w:cs="Times New Roman"/>
                <w:color w:val="auto"/>
                <w:sz w:val="22"/>
                <w:szCs w:val="22"/>
              </w:rPr>
              <w:t>§4.71a Rating</w:t>
            </w:r>
            <w:r w:rsidR="00293967" w:rsidRPr="00BB1112">
              <w:rPr>
                <w:rFonts w:asciiTheme="minorHAnsi" w:eastAsiaTheme="minorHAnsi" w:hAnsiTheme="minorHAnsi" w:cs="Times New Roman"/>
                <w:color w:val="auto"/>
                <w:sz w:val="22"/>
                <w:szCs w:val="22"/>
              </w:rPr>
              <w:t>*</w:t>
            </w:r>
          </w:p>
        </w:tc>
        <w:tc>
          <w:tcPr>
            <w:tcW w:w="1041" w:type="dxa"/>
            <w:tcBorders>
              <w:right w:val="single" w:sz="4" w:space="0" w:color="auto"/>
            </w:tcBorders>
            <w:vAlign w:val="center"/>
          </w:tcPr>
          <w:p w:rsidR="005C722E" w:rsidRPr="00BB1112" w:rsidRDefault="00293967" w:rsidP="00BB1112">
            <w:pPr>
              <w:tabs>
                <w:tab w:val="left" w:pos="288"/>
                <w:tab w:val="left" w:pos="4752"/>
              </w:tabs>
              <w:rPr>
                <w:rFonts w:asciiTheme="minorHAnsi" w:eastAsiaTheme="minorHAnsi" w:hAnsiTheme="minorHAnsi" w:cs="Times New Roman"/>
                <w:color w:val="auto"/>
                <w:sz w:val="22"/>
                <w:szCs w:val="22"/>
              </w:rPr>
            </w:pPr>
            <w:r w:rsidRPr="00BB1112">
              <w:rPr>
                <w:rFonts w:asciiTheme="minorHAnsi" w:eastAsiaTheme="minorHAnsi" w:hAnsiTheme="minorHAnsi" w:cs="Times New Roman"/>
                <w:color w:val="auto"/>
                <w:sz w:val="22"/>
                <w:szCs w:val="22"/>
              </w:rPr>
              <w:t>10%</w:t>
            </w:r>
          </w:p>
        </w:tc>
        <w:tc>
          <w:tcPr>
            <w:tcW w:w="860" w:type="dxa"/>
            <w:tcBorders>
              <w:left w:val="single" w:sz="4" w:space="0" w:color="auto"/>
            </w:tcBorders>
            <w:vAlign w:val="center"/>
          </w:tcPr>
          <w:p w:rsidR="005C722E" w:rsidRPr="00BB1112" w:rsidRDefault="00293967" w:rsidP="00BB1112">
            <w:pPr>
              <w:tabs>
                <w:tab w:val="left" w:pos="288"/>
                <w:tab w:val="left" w:pos="4752"/>
              </w:tabs>
              <w:rPr>
                <w:rFonts w:asciiTheme="minorHAnsi" w:eastAsiaTheme="minorHAnsi" w:hAnsiTheme="minorHAnsi" w:cs="Times New Roman"/>
                <w:color w:val="auto"/>
                <w:sz w:val="22"/>
                <w:szCs w:val="22"/>
              </w:rPr>
            </w:pPr>
            <w:r w:rsidRPr="00BB1112">
              <w:rPr>
                <w:rFonts w:asciiTheme="minorHAnsi" w:eastAsiaTheme="minorHAnsi" w:hAnsiTheme="minorHAnsi" w:cs="Times New Roman"/>
                <w:color w:val="auto"/>
                <w:sz w:val="22"/>
                <w:szCs w:val="22"/>
              </w:rPr>
              <w:t>---</w:t>
            </w:r>
          </w:p>
        </w:tc>
        <w:tc>
          <w:tcPr>
            <w:tcW w:w="1300" w:type="dxa"/>
            <w:tcBorders>
              <w:right w:val="single" w:sz="4" w:space="0" w:color="auto"/>
            </w:tcBorders>
            <w:vAlign w:val="center"/>
          </w:tcPr>
          <w:p w:rsidR="005C722E" w:rsidRPr="00BB1112" w:rsidRDefault="00293967" w:rsidP="00BB1112">
            <w:pPr>
              <w:tabs>
                <w:tab w:val="left" w:pos="288"/>
                <w:tab w:val="left" w:pos="4752"/>
              </w:tabs>
              <w:rPr>
                <w:rFonts w:asciiTheme="minorHAnsi" w:eastAsiaTheme="minorHAnsi" w:hAnsiTheme="minorHAnsi" w:cs="Times New Roman"/>
                <w:color w:val="auto"/>
                <w:sz w:val="22"/>
                <w:szCs w:val="22"/>
              </w:rPr>
            </w:pPr>
            <w:r w:rsidRPr="00BB1112">
              <w:rPr>
                <w:rFonts w:asciiTheme="minorHAnsi" w:eastAsiaTheme="minorHAnsi" w:hAnsiTheme="minorHAnsi" w:cs="Times New Roman"/>
                <w:color w:val="auto"/>
                <w:sz w:val="22"/>
                <w:szCs w:val="22"/>
              </w:rPr>
              <w:t>10%</w:t>
            </w:r>
          </w:p>
        </w:tc>
        <w:tc>
          <w:tcPr>
            <w:tcW w:w="1180" w:type="dxa"/>
            <w:tcBorders>
              <w:left w:val="single" w:sz="4" w:space="0" w:color="auto"/>
            </w:tcBorders>
            <w:vAlign w:val="center"/>
          </w:tcPr>
          <w:p w:rsidR="005C722E" w:rsidRPr="00BB1112" w:rsidRDefault="00293967" w:rsidP="00BB1112">
            <w:pPr>
              <w:tabs>
                <w:tab w:val="left" w:pos="288"/>
                <w:tab w:val="left" w:pos="4752"/>
              </w:tabs>
              <w:rPr>
                <w:rFonts w:asciiTheme="minorHAnsi" w:eastAsiaTheme="minorHAnsi" w:hAnsiTheme="minorHAnsi" w:cs="Times New Roman"/>
                <w:color w:val="auto"/>
                <w:sz w:val="22"/>
                <w:szCs w:val="22"/>
              </w:rPr>
            </w:pPr>
            <w:r w:rsidRPr="00BB1112">
              <w:rPr>
                <w:rFonts w:asciiTheme="minorHAnsi" w:eastAsiaTheme="minorHAnsi" w:hAnsiTheme="minorHAnsi" w:cs="Times New Roman"/>
                <w:color w:val="auto"/>
                <w:sz w:val="22"/>
                <w:szCs w:val="22"/>
              </w:rPr>
              <w:t>---</w:t>
            </w:r>
          </w:p>
        </w:tc>
      </w:tr>
    </w:tbl>
    <w:p w:rsidR="003C53E8" w:rsidRPr="00BB1112" w:rsidRDefault="00BB1112" w:rsidP="00293967">
      <w:pPr>
        <w:tabs>
          <w:tab w:val="left" w:pos="1980"/>
          <w:tab w:val="left" w:pos="4752"/>
        </w:tabs>
        <w:jc w:val="left"/>
        <w:rPr>
          <w:rFonts w:asciiTheme="minorHAnsi" w:hAnsiTheme="minorHAnsi" w:cs="Times New Roman"/>
          <w:color w:val="auto"/>
          <w:sz w:val="22"/>
          <w:szCs w:val="22"/>
        </w:rPr>
      </w:pPr>
      <w:r w:rsidRPr="00BB1112">
        <w:rPr>
          <w:rFonts w:cs="Times New Roman"/>
          <w:color w:val="auto"/>
          <w:sz w:val="22"/>
          <w:szCs w:val="22"/>
        </w:rPr>
        <w:t xml:space="preserve">            </w:t>
      </w:r>
      <w:r>
        <w:rPr>
          <w:rFonts w:cs="Times New Roman"/>
          <w:color w:val="auto"/>
          <w:sz w:val="22"/>
          <w:szCs w:val="22"/>
        </w:rPr>
        <w:t xml:space="preserve">     </w:t>
      </w:r>
      <w:r w:rsidR="00CE5AAC">
        <w:rPr>
          <w:rFonts w:cs="Times New Roman"/>
          <w:color w:val="auto"/>
          <w:sz w:val="22"/>
          <w:szCs w:val="22"/>
        </w:rPr>
        <w:t xml:space="preserve"> </w:t>
      </w:r>
      <w:r>
        <w:rPr>
          <w:rFonts w:cs="Times New Roman"/>
          <w:color w:val="auto"/>
          <w:sz w:val="22"/>
          <w:szCs w:val="22"/>
        </w:rPr>
        <w:t xml:space="preserve"> </w:t>
      </w:r>
      <w:r w:rsidRPr="00BB1112">
        <w:rPr>
          <w:rFonts w:cs="Times New Roman"/>
          <w:color w:val="auto"/>
          <w:sz w:val="22"/>
          <w:szCs w:val="22"/>
        </w:rPr>
        <w:t xml:space="preserve"> </w:t>
      </w:r>
      <w:r w:rsidR="003C53E8" w:rsidRPr="00BB1112">
        <w:rPr>
          <w:rFonts w:cs="Times New Roman"/>
          <w:color w:val="auto"/>
          <w:sz w:val="22"/>
          <w:szCs w:val="22"/>
        </w:rPr>
        <w:t xml:space="preserve">* Conceding </w:t>
      </w:r>
      <w:r w:rsidR="003C53E8" w:rsidRPr="00BB1112">
        <w:rPr>
          <w:rFonts w:asciiTheme="minorHAnsi" w:hAnsiTheme="minorHAnsi" w:cs="Times New Roman"/>
          <w:color w:val="auto"/>
          <w:sz w:val="22"/>
          <w:szCs w:val="22"/>
        </w:rPr>
        <w:t>§4.59 (painful motion) as below.</w:t>
      </w:r>
    </w:p>
    <w:p w:rsidR="003C53E8" w:rsidRPr="003C53E8" w:rsidRDefault="003C53E8" w:rsidP="003C53E8">
      <w:pPr>
        <w:tabs>
          <w:tab w:val="left" w:pos="288"/>
          <w:tab w:val="left" w:pos="4752"/>
        </w:tabs>
        <w:jc w:val="left"/>
        <w:rPr>
          <w:rFonts w:asciiTheme="minorHAnsi" w:hAnsiTheme="minorHAnsi" w:cs="Times New Roman"/>
          <w:color w:val="auto"/>
          <w:szCs w:val="24"/>
        </w:rPr>
      </w:pPr>
    </w:p>
    <w:p w:rsidR="003C53E8" w:rsidRPr="003C53E8" w:rsidRDefault="00267D11" w:rsidP="00E56369">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At the MEB exam the CI reported improvement in str</w:t>
      </w:r>
      <w:r w:rsidR="00CE5AAC">
        <w:rPr>
          <w:rFonts w:asciiTheme="minorHAnsi" w:hAnsiTheme="minorHAnsi" w:cs="Times New Roman"/>
          <w:color w:val="auto"/>
          <w:szCs w:val="24"/>
        </w:rPr>
        <w:t>ength and ROM of the left wrist;</w:t>
      </w:r>
      <w:r>
        <w:rPr>
          <w:rFonts w:asciiTheme="minorHAnsi" w:hAnsiTheme="minorHAnsi" w:cs="Times New Roman"/>
          <w:color w:val="auto"/>
          <w:szCs w:val="24"/>
        </w:rPr>
        <w:t xml:space="preserve"> but</w:t>
      </w:r>
      <w:r w:rsidR="00CE5AAC">
        <w:rPr>
          <w:rFonts w:asciiTheme="minorHAnsi" w:hAnsiTheme="minorHAnsi" w:cs="Times New Roman"/>
          <w:color w:val="auto"/>
          <w:szCs w:val="24"/>
        </w:rPr>
        <w:t>,</w:t>
      </w:r>
      <w:r>
        <w:rPr>
          <w:rFonts w:asciiTheme="minorHAnsi" w:hAnsiTheme="minorHAnsi" w:cs="Times New Roman"/>
          <w:color w:val="auto"/>
          <w:szCs w:val="24"/>
        </w:rPr>
        <w:t xml:space="preserve"> continued pain with activity</w:t>
      </w:r>
      <w:r w:rsidR="00CE5AAC">
        <w:rPr>
          <w:rFonts w:asciiTheme="minorHAnsi" w:hAnsiTheme="minorHAnsi" w:cs="Times New Roman"/>
          <w:color w:val="auto"/>
          <w:szCs w:val="24"/>
        </w:rPr>
        <w:t>,</w:t>
      </w:r>
      <w:r>
        <w:rPr>
          <w:rFonts w:asciiTheme="minorHAnsi" w:hAnsiTheme="minorHAnsi" w:cs="Times New Roman"/>
          <w:color w:val="auto"/>
          <w:szCs w:val="24"/>
        </w:rPr>
        <w:t xml:space="preserve"> and </w:t>
      </w:r>
      <w:r w:rsidR="00CE5AAC">
        <w:rPr>
          <w:rFonts w:asciiTheme="minorHAnsi" w:hAnsiTheme="minorHAnsi" w:cs="Times New Roman"/>
          <w:color w:val="auto"/>
          <w:szCs w:val="24"/>
        </w:rPr>
        <w:t>impediment of</w:t>
      </w:r>
      <w:r>
        <w:rPr>
          <w:rFonts w:asciiTheme="minorHAnsi" w:hAnsiTheme="minorHAnsi" w:cs="Times New Roman"/>
          <w:color w:val="auto"/>
          <w:szCs w:val="24"/>
        </w:rPr>
        <w:t xml:space="preserve"> critical </w:t>
      </w:r>
      <w:r w:rsidR="00CE5AAC">
        <w:rPr>
          <w:rFonts w:asciiTheme="minorHAnsi" w:hAnsiTheme="minorHAnsi" w:cs="Times New Roman"/>
          <w:color w:val="auto"/>
          <w:szCs w:val="24"/>
        </w:rPr>
        <w:t xml:space="preserve">AFS </w:t>
      </w:r>
      <w:r>
        <w:rPr>
          <w:rFonts w:asciiTheme="minorHAnsi" w:hAnsiTheme="minorHAnsi" w:cs="Times New Roman"/>
          <w:color w:val="auto"/>
          <w:szCs w:val="24"/>
        </w:rPr>
        <w:t xml:space="preserve">functions such as </w:t>
      </w:r>
      <w:r w:rsidRPr="00267D11">
        <w:rPr>
          <w:rFonts w:asciiTheme="minorHAnsi" w:hAnsiTheme="minorHAnsi" w:cs="Times New Roman"/>
          <w:color w:val="auto"/>
          <w:szCs w:val="24"/>
        </w:rPr>
        <w:t>properly clear</w:t>
      </w:r>
      <w:r>
        <w:rPr>
          <w:rFonts w:asciiTheme="minorHAnsi" w:hAnsiTheme="minorHAnsi" w:cs="Times New Roman"/>
          <w:color w:val="auto"/>
          <w:szCs w:val="24"/>
        </w:rPr>
        <w:t>ing</w:t>
      </w:r>
      <w:r w:rsidRPr="00267D11">
        <w:rPr>
          <w:rFonts w:asciiTheme="minorHAnsi" w:hAnsiTheme="minorHAnsi" w:cs="Times New Roman"/>
          <w:color w:val="auto"/>
          <w:szCs w:val="24"/>
        </w:rPr>
        <w:t xml:space="preserve"> his weapon or </w:t>
      </w:r>
      <w:r>
        <w:rPr>
          <w:rFonts w:asciiTheme="minorHAnsi" w:hAnsiTheme="minorHAnsi" w:cs="Times New Roman"/>
          <w:color w:val="auto"/>
          <w:szCs w:val="24"/>
        </w:rPr>
        <w:t>subduing an assailant</w:t>
      </w:r>
      <w:r w:rsidRPr="00267D11">
        <w:rPr>
          <w:rFonts w:asciiTheme="minorHAnsi" w:hAnsiTheme="minorHAnsi" w:cs="Times New Roman"/>
          <w:color w:val="auto"/>
          <w:szCs w:val="24"/>
        </w:rPr>
        <w:t>.</w:t>
      </w:r>
      <w:r w:rsidR="00071F78">
        <w:rPr>
          <w:rFonts w:asciiTheme="minorHAnsi" w:hAnsiTheme="minorHAnsi" w:cs="Times New Roman"/>
          <w:color w:val="auto"/>
          <w:szCs w:val="24"/>
        </w:rPr>
        <w:t xml:space="preserve">  </w:t>
      </w:r>
      <w:r w:rsidR="00203806">
        <w:rPr>
          <w:rFonts w:asciiTheme="minorHAnsi" w:hAnsiTheme="minorHAnsi" w:cs="Times New Roman"/>
          <w:color w:val="auto"/>
          <w:szCs w:val="24"/>
        </w:rPr>
        <w:t xml:space="preserve">Formal functional testing conducted </w:t>
      </w:r>
      <w:r w:rsidR="007A7485">
        <w:rPr>
          <w:rFonts w:asciiTheme="minorHAnsi" w:hAnsiTheme="minorHAnsi" w:cs="Times New Roman"/>
          <w:color w:val="auto"/>
          <w:szCs w:val="24"/>
        </w:rPr>
        <w:t>seven</w:t>
      </w:r>
      <w:r w:rsidR="00203806">
        <w:rPr>
          <w:rFonts w:asciiTheme="minorHAnsi" w:hAnsiTheme="minorHAnsi" w:cs="Times New Roman"/>
          <w:color w:val="auto"/>
          <w:szCs w:val="24"/>
        </w:rPr>
        <w:t xml:space="preserve"> months prior to separation confirmed diminished functional capacity of the left wrist, but also described significant inconsistencies in both effort and function during an</w:t>
      </w:r>
      <w:r w:rsidR="00AE07C9">
        <w:rPr>
          <w:rFonts w:asciiTheme="minorHAnsi" w:hAnsiTheme="minorHAnsi" w:cs="Times New Roman"/>
          <w:color w:val="auto"/>
          <w:szCs w:val="24"/>
        </w:rPr>
        <w:t xml:space="preserve">d after testing.  </w:t>
      </w:r>
      <w:r w:rsidR="00071F78">
        <w:rPr>
          <w:rFonts w:asciiTheme="minorHAnsi" w:hAnsiTheme="minorHAnsi" w:cs="Times New Roman"/>
          <w:color w:val="auto"/>
          <w:szCs w:val="24"/>
        </w:rPr>
        <w:t xml:space="preserve">The </w:t>
      </w:r>
      <w:r w:rsidR="00AE07C9">
        <w:rPr>
          <w:rFonts w:asciiTheme="minorHAnsi" w:hAnsiTheme="minorHAnsi" w:cs="Times New Roman"/>
          <w:color w:val="auto"/>
          <w:szCs w:val="24"/>
        </w:rPr>
        <w:t xml:space="preserve">MEB </w:t>
      </w:r>
      <w:r w:rsidR="00071F78">
        <w:rPr>
          <w:rFonts w:asciiTheme="minorHAnsi" w:hAnsiTheme="minorHAnsi" w:cs="Times New Roman"/>
          <w:color w:val="auto"/>
          <w:szCs w:val="24"/>
        </w:rPr>
        <w:t xml:space="preserve">examiner noted </w:t>
      </w:r>
      <w:r w:rsidR="00071F78" w:rsidRPr="00071F78">
        <w:rPr>
          <w:rFonts w:asciiTheme="minorHAnsi" w:hAnsiTheme="minorHAnsi" w:cs="Times New Roman"/>
          <w:color w:val="auto"/>
          <w:szCs w:val="24"/>
        </w:rPr>
        <w:t xml:space="preserve">decreased range of motion with extension and flexion, </w:t>
      </w:r>
      <w:r w:rsidR="00CE5AAC">
        <w:rPr>
          <w:rFonts w:asciiTheme="minorHAnsi" w:hAnsiTheme="minorHAnsi" w:cs="Times New Roman"/>
          <w:color w:val="auto"/>
          <w:szCs w:val="24"/>
        </w:rPr>
        <w:t xml:space="preserve">dorsal </w:t>
      </w:r>
      <w:r w:rsidR="00071F78" w:rsidRPr="00071F78">
        <w:rPr>
          <w:rFonts w:asciiTheme="minorHAnsi" w:hAnsiTheme="minorHAnsi" w:cs="Times New Roman"/>
          <w:color w:val="auto"/>
          <w:szCs w:val="24"/>
        </w:rPr>
        <w:t>tender</w:t>
      </w:r>
      <w:r w:rsidR="00071F78">
        <w:rPr>
          <w:rFonts w:asciiTheme="minorHAnsi" w:hAnsiTheme="minorHAnsi" w:cs="Times New Roman"/>
          <w:color w:val="auto"/>
          <w:szCs w:val="24"/>
        </w:rPr>
        <w:t>ness</w:t>
      </w:r>
      <w:r w:rsidR="00071F78" w:rsidRPr="00071F78">
        <w:rPr>
          <w:rFonts w:asciiTheme="minorHAnsi" w:hAnsiTheme="minorHAnsi" w:cs="Times New Roman"/>
          <w:color w:val="auto"/>
          <w:szCs w:val="24"/>
        </w:rPr>
        <w:t xml:space="preserve">, </w:t>
      </w:r>
      <w:r w:rsidR="00071F78">
        <w:rPr>
          <w:rFonts w:asciiTheme="minorHAnsi" w:hAnsiTheme="minorHAnsi" w:cs="Times New Roman"/>
          <w:color w:val="auto"/>
          <w:szCs w:val="24"/>
        </w:rPr>
        <w:t xml:space="preserve">and a </w:t>
      </w:r>
      <w:r w:rsidR="00071F78" w:rsidRPr="00071F78">
        <w:rPr>
          <w:rFonts w:asciiTheme="minorHAnsi" w:hAnsiTheme="minorHAnsi" w:cs="Times New Roman"/>
          <w:color w:val="auto"/>
          <w:szCs w:val="24"/>
        </w:rPr>
        <w:t>well</w:t>
      </w:r>
      <w:r w:rsidR="00507E4F">
        <w:rPr>
          <w:rFonts w:asciiTheme="minorHAnsi" w:hAnsiTheme="minorHAnsi" w:cs="Times New Roman"/>
          <w:color w:val="auto"/>
          <w:szCs w:val="24"/>
        </w:rPr>
        <w:t>-</w:t>
      </w:r>
      <w:r w:rsidR="00071F78" w:rsidRPr="00071F78">
        <w:rPr>
          <w:rFonts w:asciiTheme="minorHAnsi" w:hAnsiTheme="minorHAnsi" w:cs="Times New Roman"/>
          <w:color w:val="auto"/>
          <w:szCs w:val="24"/>
        </w:rPr>
        <w:t>healed</w:t>
      </w:r>
      <w:r w:rsidR="00071F78">
        <w:rPr>
          <w:rFonts w:asciiTheme="minorHAnsi" w:hAnsiTheme="minorHAnsi" w:cs="Times New Roman"/>
          <w:color w:val="auto"/>
          <w:szCs w:val="24"/>
        </w:rPr>
        <w:t xml:space="preserve"> </w:t>
      </w:r>
      <w:r w:rsidR="00071F78" w:rsidRPr="00071F78">
        <w:rPr>
          <w:rFonts w:asciiTheme="minorHAnsi" w:hAnsiTheme="minorHAnsi" w:cs="Times New Roman"/>
          <w:color w:val="auto"/>
          <w:szCs w:val="24"/>
        </w:rPr>
        <w:t>surgical scar</w:t>
      </w:r>
      <w:r w:rsidR="00071F78">
        <w:rPr>
          <w:rFonts w:asciiTheme="minorHAnsi" w:hAnsiTheme="minorHAnsi" w:cs="Times New Roman"/>
          <w:color w:val="auto"/>
          <w:szCs w:val="24"/>
        </w:rPr>
        <w:t xml:space="preserve">.  Formal ROM measurements were performed by physical therapy.  </w:t>
      </w:r>
      <w:r w:rsidR="00AE07C9">
        <w:rPr>
          <w:rFonts w:asciiTheme="minorHAnsi" w:hAnsiTheme="minorHAnsi" w:cs="Times New Roman"/>
          <w:color w:val="auto"/>
          <w:szCs w:val="24"/>
        </w:rPr>
        <w:t xml:space="preserve">At the </w:t>
      </w:r>
      <w:r w:rsidR="009E35D1">
        <w:rPr>
          <w:rFonts w:asciiTheme="minorHAnsi" w:hAnsiTheme="minorHAnsi" w:cs="Times New Roman"/>
          <w:color w:val="auto"/>
          <w:szCs w:val="24"/>
        </w:rPr>
        <w:t xml:space="preserve">post-separation </w:t>
      </w:r>
      <w:r w:rsidR="003C53E8" w:rsidRPr="003C53E8">
        <w:rPr>
          <w:rFonts w:asciiTheme="minorHAnsi" w:hAnsiTheme="minorHAnsi" w:cs="Times New Roman"/>
          <w:color w:val="auto"/>
          <w:szCs w:val="24"/>
        </w:rPr>
        <w:t>VA Compensation &amp; Pension (C&amp;P) exam</w:t>
      </w:r>
      <w:r w:rsidR="00AE07C9">
        <w:rPr>
          <w:rFonts w:asciiTheme="minorHAnsi" w:hAnsiTheme="minorHAnsi" w:cs="Times New Roman"/>
          <w:color w:val="auto"/>
          <w:szCs w:val="24"/>
        </w:rPr>
        <w:t xml:space="preserve"> the CI described daily</w:t>
      </w:r>
      <w:r w:rsidR="009E35D1">
        <w:rPr>
          <w:rFonts w:asciiTheme="minorHAnsi" w:hAnsiTheme="minorHAnsi" w:cs="Times New Roman"/>
          <w:color w:val="auto"/>
          <w:szCs w:val="24"/>
        </w:rPr>
        <w:t xml:space="preserve"> wrist pain with heavy activity;</w:t>
      </w:r>
      <w:r w:rsidR="00AE07C9">
        <w:rPr>
          <w:rFonts w:asciiTheme="minorHAnsi" w:hAnsiTheme="minorHAnsi" w:cs="Times New Roman"/>
          <w:color w:val="auto"/>
          <w:szCs w:val="24"/>
        </w:rPr>
        <w:t xml:space="preserve"> but</w:t>
      </w:r>
      <w:r w:rsidR="009E35D1">
        <w:rPr>
          <w:rFonts w:asciiTheme="minorHAnsi" w:hAnsiTheme="minorHAnsi" w:cs="Times New Roman"/>
          <w:color w:val="auto"/>
          <w:szCs w:val="24"/>
        </w:rPr>
        <w:t>,</w:t>
      </w:r>
      <w:r w:rsidR="00AE07C9">
        <w:rPr>
          <w:rFonts w:asciiTheme="minorHAnsi" w:hAnsiTheme="minorHAnsi" w:cs="Times New Roman"/>
          <w:color w:val="auto"/>
          <w:szCs w:val="24"/>
        </w:rPr>
        <w:t xml:space="preserve"> no interval history of additional injury, trauma, or surgery to the wrist.  He was employed as a probation officer with no lost work time.  </w:t>
      </w:r>
      <w:r w:rsidR="00F4538F">
        <w:rPr>
          <w:rFonts w:asciiTheme="minorHAnsi" w:hAnsiTheme="minorHAnsi" w:cs="Times New Roman"/>
          <w:color w:val="auto"/>
          <w:szCs w:val="24"/>
        </w:rPr>
        <w:t xml:space="preserve">ROM measurements for the injured left </w:t>
      </w:r>
      <w:r w:rsidR="00F4538F" w:rsidRPr="007A7485">
        <w:rPr>
          <w:rFonts w:asciiTheme="minorHAnsi" w:hAnsiTheme="minorHAnsi" w:cs="Times New Roman"/>
          <w:color w:val="auto"/>
          <w:szCs w:val="24"/>
        </w:rPr>
        <w:t>wrist and</w:t>
      </w:r>
      <w:r w:rsidR="00F4538F">
        <w:rPr>
          <w:rFonts w:asciiTheme="minorHAnsi" w:hAnsiTheme="minorHAnsi" w:cs="Times New Roman"/>
          <w:color w:val="auto"/>
          <w:szCs w:val="24"/>
        </w:rPr>
        <w:t xml:space="preserve"> the uninjured right wrist were similar.  Both wrists were stable.  There was no evidence of additional loss of motion with repetitions</w:t>
      </w:r>
      <w:r w:rsidR="00CE5AAC">
        <w:rPr>
          <w:rFonts w:asciiTheme="minorHAnsi" w:hAnsiTheme="minorHAnsi" w:cs="Times New Roman"/>
          <w:color w:val="auto"/>
          <w:szCs w:val="24"/>
        </w:rPr>
        <w:t xml:space="preserve"> (DeLuca deductions).  VA r</w:t>
      </w:r>
      <w:r w:rsidR="00F4538F">
        <w:rPr>
          <w:rFonts w:asciiTheme="minorHAnsi" w:hAnsiTheme="minorHAnsi" w:cs="Times New Roman"/>
          <w:color w:val="auto"/>
          <w:szCs w:val="24"/>
        </w:rPr>
        <w:t xml:space="preserve">adiographs </w:t>
      </w:r>
      <w:r w:rsidR="00CE5AAC">
        <w:rPr>
          <w:rFonts w:asciiTheme="minorHAnsi" w:hAnsiTheme="minorHAnsi" w:cs="Times New Roman"/>
          <w:color w:val="auto"/>
          <w:szCs w:val="24"/>
        </w:rPr>
        <w:t>were normal other than expected post-surgical findings</w:t>
      </w:r>
      <w:r w:rsidR="00F4538F">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chose different coding options for the condition, but this did not bear on rating.  </w:t>
      </w:r>
      <w:r w:rsidR="00532D06">
        <w:rPr>
          <w:rFonts w:asciiTheme="minorHAnsi" w:hAnsiTheme="minorHAnsi" w:cs="Times New Roman"/>
          <w:color w:val="auto"/>
          <w:szCs w:val="24"/>
        </w:rPr>
        <w:t>The Board first considered the PEB’s rating under the analogous 5003 code (degenerative arthritis</w:t>
      </w:r>
      <w:r w:rsidR="002719D2">
        <w:rPr>
          <w:rFonts w:asciiTheme="minorHAnsi" w:hAnsiTheme="minorHAnsi" w:cs="Times New Roman"/>
          <w:color w:val="auto"/>
          <w:szCs w:val="24"/>
        </w:rPr>
        <w:t>)</w:t>
      </w:r>
      <w:r w:rsidR="00532D06">
        <w:rPr>
          <w:rFonts w:asciiTheme="minorHAnsi" w:hAnsiTheme="minorHAnsi" w:cs="Times New Roman"/>
          <w:color w:val="auto"/>
          <w:szCs w:val="24"/>
        </w:rPr>
        <w:t xml:space="preserve">.  </w:t>
      </w:r>
      <w:r w:rsidR="002719D2">
        <w:rPr>
          <w:rFonts w:asciiTheme="minorHAnsi" w:hAnsiTheme="minorHAnsi" w:cs="Times New Roman"/>
          <w:color w:val="auto"/>
          <w:szCs w:val="24"/>
        </w:rPr>
        <w:t xml:space="preserve">Given the </w:t>
      </w:r>
      <w:r w:rsidR="002719D2">
        <w:rPr>
          <w:rFonts w:asciiTheme="minorHAnsi" w:hAnsiTheme="minorHAnsi" w:cs="Times New Roman"/>
          <w:color w:val="auto"/>
          <w:szCs w:val="24"/>
        </w:rPr>
        <w:lastRenderedPageBreak/>
        <w:t>non-compensable loss of ROM of the left wrist, radiographic and intra-operative evidence of damage, and adeq</w:t>
      </w:r>
      <w:r w:rsidR="00CE5AAC">
        <w:rPr>
          <w:rFonts w:asciiTheme="minorHAnsi" w:hAnsiTheme="minorHAnsi" w:cs="Times New Roman"/>
          <w:color w:val="auto"/>
          <w:szCs w:val="24"/>
        </w:rPr>
        <w:t>uate evidence of painful motion;</w:t>
      </w:r>
      <w:r w:rsidR="002719D2">
        <w:rPr>
          <w:rFonts w:asciiTheme="minorHAnsi" w:hAnsiTheme="minorHAnsi" w:cs="Times New Roman"/>
          <w:color w:val="auto"/>
          <w:szCs w:val="24"/>
        </w:rPr>
        <w:t xml:space="preserve"> both the coding and 10% rating are </w:t>
      </w:r>
      <w:r w:rsidR="00842E70">
        <w:rPr>
          <w:rFonts w:asciiTheme="minorHAnsi" w:hAnsiTheme="minorHAnsi" w:cs="Times New Roman"/>
          <w:color w:val="auto"/>
          <w:szCs w:val="24"/>
        </w:rPr>
        <w:t>adequately</w:t>
      </w:r>
      <w:r w:rsidR="002719D2">
        <w:rPr>
          <w:rFonts w:asciiTheme="minorHAnsi" w:hAnsiTheme="minorHAnsi" w:cs="Times New Roman"/>
          <w:color w:val="auto"/>
          <w:szCs w:val="24"/>
        </w:rPr>
        <w:t xml:space="preserve"> justified.  The VA rating decision indicates that the 10% rating was based on a compensable loss of ROM, but that is clearly incorrect.  However, with application of </w:t>
      </w:r>
      <w:r w:rsidR="002719D2" w:rsidRPr="002719D2">
        <w:rPr>
          <w:rFonts w:asciiTheme="minorHAnsi" w:hAnsiTheme="minorHAnsi" w:cs="Times New Roman"/>
          <w:color w:val="auto"/>
          <w:szCs w:val="24"/>
        </w:rPr>
        <w:t>§4.</w:t>
      </w:r>
      <w:r w:rsidR="002719D2">
        <w:rPr>
          <w:rFonts w:asciiTheme="minorHAnsi" w:hAnsiTheme="minorHAnsi" w:cs="Times New Roman"/>
          <w:color w:val="auto"/>
          <w:szCs w:val="24"/>
        </w:rPr>
        <w:t xml:space="preserve">59 (painful motion) a 10% rating under the 5215 code is justified.  There is no alternative coding or rating option </w:t>
      </w:r>
      <w:r w:rsidR="00842E70">
        <w:rPr>
          <w:rFonts w:asciiTheme="minorHAnsi" w:hAnsiTheme="minorHAnsi" w:cs="Times New Roman"/>
          <w:color w:val="auto"/>
          <w:szCs w:val="24"/>
        </w:rPr>
        <w:t xml:space="preserve">available IAW VASRD </w:t>
      </w:r>
      <w:r w:rsidR="00842E70">
        <w:rPr>
          <w:rFonts w:asciiTheme="minorHAnsi" w:hAnsiTheme="minorHAnsi"/>
          <w:color w:val="auto"/>
          <w:szCs w:val="24"/>
        </w:rPr>
        <w:t>§</w:t>
      </w:r>
      <w:r w:rsidR="00842E70">
        <w:rPr>
          <w:rFonts w:asciiTheme="minorHAnsi" w:hAnsiTheme="minorHAnsi" w:cs="Times New Roman"/>
          <w:color w:val="auto"/>
          <w:szCs w:val="24"/>
        </w:rPr>
        <w:t xml:space="preserve">4.71a </w:t>
      </w:r>
      <w:r w:rsidR="002719D2">
        <w:rPr>
          <w:rFonts w:asciiTheme="minorHAnsi" w:hAnsiTheme="minorHAnsi" w:cs="Times New Roman"/>
          <w:color w:val="auto"/>
          <w:szCs w:val="24"/>
        </w:rPr>
        <w:t xml:space="preserve">that would yield a higher rating for the wrist condition.  </w:t>
      </w:r>
      <w:r w:rsidR="003C53E8" w:rsidRPr="003C53E8">
        <w:rPr>
          <w:rFonts w:asciiTheme="minorHAnsi" w:hAnsiTheme="minorHAnsi" w:cs="Times New Roman"/>
          <w:color w:val="auto"/>
          <w:szCs w:val="24"/>
        </w:rPr>
        <w:t>All evidence considered</w:t>
      </w:r>
      <w:proofErr w:type="gramStart"/>
      <w:r w:rsidR="003C53E8" w:rsidRPr="003C53E8">
        <w:rPr>
          <w:rFonts w:asciiTheme="minorHAnsi" w:hAnsiTheme="minorHAnsi" w:cs="Times New Roman"/>
          <w:color w:val="auto"/>
          <w:szCs w:val="24"/>
        </w:rPr>
        <w:t>,</w:t>
      </w:r>
      <w:proofErr w:type="gramEnd"/>
      <w:r w:rsidR="003C53E8" w:rsidRPr="003C53E8">
        <w:rPr>
          <w:rFonts w:asciiTheme="minorHAnsi" w:hAnsiTheme="minorHAnsi" w:cs="Times New Roman"/>
          <w:color w:val="auto"/>
          <w:szCs w:val="24"/>
        </w:rPr>
        <w:t xml:space="preserve"> there is not reasonable doubt in the CI’s favor supporting a change from the PEB’s </w:t>
      </w:r>
      <w:r w:rsidR="008F1EB2">
        <w:rPr>
          <w:rFonts w:asciiTheme="minorHAnsi" w:hAnsiTheme="minorHAnsi" w:cs="Times New Roman"/>
          <w:color w:val="auto"/>
          <w:szCs w:val="24"/>
        </w:rPr>
        <w:t xml:space="preserve">adjudication of </w:t>
      </w:r>
      <w:r w:rsidR="003C53E8" w:rsidRPr="003C53E8">
        <w:rPr>
          <w:rFonts w:asciiTheme="minorHAnsi" w:hAnsiTheme="minorHAnsi" w:cs="Times New Roman"/>
          <w:color w:val="auto"/>
          <w:szCs w:val="24"/>
        </w:rPr>
        <w:t xml:space="preserve">the </w:t>
      </w:r>
      <w:r w:rsidR="002719D2">
        <w:rPr>
          <w:rFonts w:asciiTheme="minorHAnsi" w:hAnsiTheme="minorHAnsi" w:cs="Times New Roman"/>
          <w:color w:val="auto"/>
          <w:szCs w:val="24"/>
        </w:rPr>
        <w:t>left wrist</w:t>
      </w:r>
      <w:r w:rsidR="003C53E8" w:rsidRPr="003C53E8">
        <w:rPr>
          <w:rFonts w:asciiTheme="minorHAnsi" w:hAnsiTheme="minorHAnsi" w:cs="Times New Roman"/>
          <w:color w:val="auto"/>
          <w:szCs w:val="24"/>
        </w:rPr>
        <w:t xml:space="preserve"> condition.</w:t>
      </w:r>
    </w:p>
    <w:p w:rsidR="00990FD6" w:rsidRPr="001F29F9" w:rsidRDefault="00990FD6" w:rsidP="00BF0E94">
      <w:pPr>
        <w:jc w:val="left"/>
        <w:rPr>
          <w:rFonts w:eastAsia="HiddenHorzOCR"/>
          <w:color w:val="000000" w:themeColor="text1"/>
          <w:szCs w:val="24"/>
          <w:u w:val="single"/>
        </w:rPr>
      </w:pPr>
    </w:p>
    <w:p w:rsidR="007367CE" w:rsidRPr="001F29F9" w:rsidRDefault="007367CE" w:rsidP="007367CE">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w:t>
      </w:r>
      <w:r w:rsidR="008F1EB2">
        <w:rPr>
          <w:rFonts w:eastAsia="HiddenHorzOCR"/>
          <w:color w:val="000000" w:themeColor="text1"/>
          <w:szCs w:val="24"/>
        </w:rPr>
        <w:t xml:space="preserve">a </w:t>
      </w:r>
      <w:r w:rsidR="007A7485">
        <w:rPr>
          <w:rFonts w:eastAsia="HiddenHorzOCR"/>
          <w:color w:val="000000" w:themeColor="text1"/>
          <w:szCs w:val="24"/>
        </w:rPr>
        <w:t>s</w:t>
      </w:r>
      <w:r w:rsidR="008F1EB2">
        <w:rPr>
          <w:rFonts w:eastAsia="HiddenHorzOCR"/>
          <w:color w:val="000000" w:themeColor="text1"/>
          <w:szCs w:val="24"/>
        </w:rPr>
        <w:t>ervice</w:t>
      </w:r>
      <w:r w:rsidRPr="001F29F9">
        <w:rPr>
          <w:rFonts w:eastAsia="HiddenHorzOCR"/>
          <w:color w:val="000000" w:themeColor="text1"/>
          <w:szCs w:val="24"/>
        </w:rPr>
        <w:t xml:space="preserve"> rat</w:t>
      </w:r>
      <w:r w:rsidR="008F1EB2">
        <w:rPr>
          <w:rFonts w:eastAsia="HiddenHorzOCR"/>
          <w:color w:val="000000" w:themeColor="text1"/>
          <w:szCs w:val="24"/>
        </w:rPr>
        <w:t>ing</w:t>
      </w:r>
      <w:r w:rsidRPr="001F29F9">
        <w:rPr>
          <w:rFonts w:eastAsia="HiddenHorzOCR"/>
          <w:color w:val="000000" w:themeColor="text1"/>
          <w:szCs w:val="24"/>
        </w:rPr>
        <w:t xml:space="preserve"> should be considered for </w:t>
      </w:r>
      <w:r>
        <w:rPr>
          <w:rFonts w:eastAsia="HiddenHorzOCR"/>
          <w:color w:val="000000" w:themeColor="text1"/>
          <w:szCs w:val="24"/>
        </w:rPr>
        <w:t>hypertension</w:t>
      </w:r>
      <w:r w:rsidRPr="001F29F9">
        <w:rPr>
          <w:rFonts w:eastAsia="HiddenHorzOCR"/>
          <w:color w:val="000000" w:themeColor="text1"/>
          <w:szCs w:val="24"/>
        </w:rPr>
        <w:t xml:space="preserve">.  </w:t>
      </w:r>
      <w:r w:rsidR="00BA52A0">
        <w:rPr>
          <w:rFonts w:eastAsia="HiddenHorzOCR"/>
          <w:color w:val="000000" w:themeColor="text1"/>
          <w:szCs w:val="24"/>
        </w:rPr>
        <w:t xml:space="preserve">The </w:t>
      </w:r>
      <w:r w:rsidR="007A7485">
        <w:rPr>
          <w:rFonts w:eastAsia="HiddenHorzOCR"/>
          <w:color w:val="000000" w:themeColor="text1"/>
          <w:szCs w:val="24"/>
        </w:rPr>
        <w:t>s</w:t>
      </w:r>
      <w:r w:rsidR="00BA52A0">
        <w:rPr>
          <w:rFonts w:eastAsia="HiddenHorzOCR"/>
          <w:color w:val="000000" w:themeColor="text1"/>
          <w:szCs w:val="24"/>
        </w:rPr>
        <w:t xml:space="preserve">ervice medical file at separation reveals that the blood pressure </w:t>
      </w:r>
      <w:r w:rsidR="00842E70">
        <w:rPr>
          <w:rFonts w:eastAsia="HiddenHorzOCR"/>
          <w:color w:val="000000" w:themeColor="text1"/>
          <w:szCs w:val="24"/>
        </w:rPr>
        <w:t>during</w:t>
      </w:r>
      <w:r w:rsidR="00BA52A0">
        <w:rPr>
          <w:rFonts w:eastAsia="HiddenHorzOCR"/>
          <w:color w:val="000000" w:themeColor="text1"/>
          <w:szCs w:val="24"/>
        </w:rPr>
        <w:t xml:space="preserve"> the </w:t>
      </w:r>
      <w:r w:rsidR="00842E70">
        <w:rPr>
          <w:rFonts w:eastAsia="HiddenHorzOCR"/>
          <w:color w:val="000000" w:themeColor="text1"/>
          <w:szCs w:val="24"/>
        </w:rPr>
        <w:t>MEB</w:t>
      </w:r>
      <w:r w:rsidR="00BA52A0">
        <w:rPr>
          <w:rFonts w:eastAsia="HiddenHorzOCR"/>
          <w:color w:val="000000" w:themeColor="text1"/>
          <w:szCs w:val="24"/>
        </w:rPr>
        <w:t xml:space="preserve"> period was sub-optimally controlled, but not dangerously elevated; </w:t>
      </w:r>
      <w:r w:rsidR="00842E70">
        <w:rPr>
          <w:rFonts w:eastAsia="HiddenHorzOCR"/>
          <w:color w:val="000000" w:themeColor="text1"/>
          <w:szCs w:val="24"/>
        </w:rPr>
        <w:t>and</w:t>
      </w:r>
      <w:r w:rsidR="00BA52A0">
        <w:rPr>
          <w:rFonts w:eastAsia="HiddenHorzOCR"/>
          <w:color w:val="000000" w:themeColor="text1"/>
          <w:szCs w:val="24"/>
        </w:rPr>
        <w:t xml:space="preserve">, </w:t>
      </w:r>
      <w:r w:rsidR="00842E70">
        <w:rPr>
          <w:rFonts w:eastAsia="HiddenHorzOCR"/>
          <w:color w:val="000000" w:themeColor="text1"/>
          <w:szCs w:val="24"/>
        </w:rPr>
        <w:t xml:space="preserve">it should be noted that </w:t>
      </w:r>
      <w:r w:rsidR="00BA52A0">
        <w:rPr>
          <w:rFonts w:eastAsia="HiddenHorzOCR"/>
          <w:color w:val="000000" w:themeColor="text1"/>
          <w:szCs w:val="24"/>
        </w:rPr>
        <w:t>the CI had recently been switched to a new medication due to side effect.  The blood pressure recorded on the narrative summary (NARSUM) was 142/92.  There were no medical complications or symptoms related to hypertension at separation; and, the condition was accurately rated 0% by the VA immediately following separation. This</w:t>
      </w:r>
      <w:r w:rsidRPr="001F29F9">
        <w:rPr>
          <w:color w:val="000000" w:themeColor="text1"/>
          <w:szCs w:val="24"/>
        </w:rPr>
        <w:t xml:space="preserve"> condition</w:t>
      </w:r>
      <w:r>
        <w:rPr>
          <w:color w:val="000000" w:themeColor="text1"/>
          <w:szCs w:val="24"/>
        </w:rPr>
        <w:t xml:space="preserve"> was</w:t>
      </w:r>
      <w:r w:rsidRPr="001F29F9">
        <w:rPr>
          <w:color w:val="000000" w:themeColor="text1"/>
          <w:szCs w:val="24"/>
        </w:rPr>
        <w:t xml:space="preserve"> reviewed by the </w:t>
      </w:r>
      <w:r w:rsidR="007A7485">
        <w:rPr>
          <w:color w:val="000000" w:themeColor="text1"/>
          <w:szCs w:val="24"/>
        </w:rPr>
        <w:t>a</w:t>
      </w:r>
      <w:r w:rsidR="008F1EB2" w:rsidRPr="001F29F9">
        <w:rPr>
          <w:color w:val="000000" w:themeColor="text1"/>
          <w:szCs w:val="24"/>
        </w:rPr>
        <w:t xml:space="preserve">ction </w:t>
      </w:r>
      <w:r w:rsidR="007A7485">
        <w:rPr>
          <w:color w:val="000000" w:themeColor="text1"/>
          <w:szCs w:val="24"/>
        </w:rPr>
        <w:t>o</w:t>
      </w:r>
      <w:r w:rsidR="008F1EB2" w:rsidRPr="001F29F9">
        <w:rPr>
          <w:color w:val="000000" w:themeColor="text1"/>
          <w:szCs w:val="24"/>
        </w:rPr>
        <w:t xml:space="preserve">fficer </w:t>
      </w:r>
      <w:r w:rsidRPr="001F29F9">
        <w:rPr>
          <w:color w:val="000000" w:themeColor="text1"/>
          <w:szCs w:val="24"/>
        </w:rPr>
        <w:t xml:space="preserve">and considered by the Board.  There was no evidence for concluding that </w:t>
      </w:r>
      <w:r w:rsidR="00BA52A0">
        <w:rPr>
          <w:color w:val="000000" w:themeColor="text1"/>
          <w:szCs w:val="24"/>
        </w:rPr>
        <w:t>it</w:t>
      </w:r>
      <w:r w:rsidRPr="001F29F9">
        <w:rPr>
          <w:color w:val="000000" w:themeColor="text1"/>
          <w:szCs w:val="24"/>
        </w:rPr>
        <w:t xml:space="preserve"> interfered with duty performance to a degree that could be argued as unfitting.  The Board determined therefore that the </w:t>
      </w:r>
      <w:r w:rsidR="00BA52A0">
        <w:rPr>
          <w:color w:val="000000" w:themeColor="text1"/>
          <w:szCs w:val="24"/>
        </w:rPr>
        <w:t>hypertension</w:t>
      </w:r>
      <w:r w:rsidRPr="001F29F9">
        <w:rPr>
          <w:color w:val="000000" w:themeColor="text1"/>
          <w:szCs w:val="24"/>
        </w:rPr>
        <w:t xml:space="preserve"> condition was</w:t>
      </w:r>
      <w:r>
        <w:rPr>
          <w:color w:val="000000" w:themeColor="text1"/>
          <w:szCs w:val="24"/>
        </w:rPr>
        <w:t xml:space="preserve"> not</w:t>
      </w:r>
      <w:r w:rsidR="007A7485">
        <w:rPr>
          <w:color w:val="000000" w:themeColor="text1"/>
          <w:szCs w:val="24"/>
        </w:rPr>
        <w:t xml:space="preserve"> subject to s</w:t>
      </w:r>
      <w:r w:rsidRPr="001F29F9">
        <w:rPr>
          <w:color w:val="000000" w:themeColor="text1"/>
          <w:szCs w:val="24"/>
        </w:rPr>
        <w:t>ervice disability rating.</w:t>
      </w:r>
    </w:p>
    <w:p w:rsidR="007367CE" w:rsidRDefault="007367CE" w:rsidP="007367CE">
      <w:pPr>
        <w:jc w:val="both"/>
        <w:rPr>
          <w:color w:val="000000" w:themeColor="text1"/>
          <w:szCs w:val="24"/>
          <w:u w:val="single"/>
        </w:rPr>
      </w:pPr>
    </w:p>
    <w:p w:rsidR="00E56369" w:rsidRPr="001F29F9" w:rsidRDefault="007367CE" w:rsidP="00E56369">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No other conditions were noted in the NARSUM, identified by the CI on the MEB physical or found elsewhere in the DES file.  </w:t>
      </w:r>
      <w:r w:rsidR="00E56369" w:rsidRPr="001F29F9">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E56369" w:rsidRDefault="00C56FC8" w:rsidP="00E56369">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w:t>
      </w:r>
      <w:r w:rsidR="00E56369">
        <w:rPr>
          <w:rFonts w:asciiTheme="minorHAnsi" w:eastAsiaTheme="minorHAnsi" w:hAnsiTheme="minorHAnsi" w:cs="Times New Roman"/>
          <w:color w:val="auto"/>
          <w:szCs w:val="24"/>
        </w:rPr>
        <w:t xml:space="preserve">  </w:t>
      </w:r>
      <w:r w:rsidR="00E56369" w:rsidRPr="003C53E8">
        <w:rPr>
          <w:rFonts w:asciiTheme="minorHAnsi" w:eastAsiaTheme="minorHAnsi" w:hAnsiTheme="minorHAnsi" w:cs="Times New Roman"/>
          <w:color w:val="auto"/>
          <w:szCs w:val="24"/>
        </w:rPr>
        <w:t xml:space="preserve">The Board did not surmise from the record or PEB ruling in this case </w:t>
      </w:r>
      <w:r w:rsidR="00E56369" w:rsidRPr="00BA52A0">
        <w:rPr>
          <w:rFonts w:asciiTheme="minorHAnsi" w:eastAsiaTheme="minorHAnsi" w:hAnsiTheme="minorHAnsi" w:cs="Times New Roman"/>
          <w:color w:val="auto"/>
          <w:szCs w:val="24"/>
        </w:rPr>
        <w:t xml:space="preserve">that any prerogatives outside the VASRD were exercised.  </w:t>
      </w:r>
      <w:r w:rsidR="003C53E8" w:rsidRPr="00BA52A0">
        <w:rPr>
          <w:rFonts w:asciiTheme="minorHAnsi" w:eastAsiaTheme="minorHAnsi" w:hAnsiTheme="minorHAnsi" w:cs="Times New Roman"/>
          <w:color w:val="auto"/>
          <w:szCs w:val="24"/>
        </w:rPr>
        <w:t xml:space="preserve">In the matter of the </w:t>
      </w:r>
      <w:r w:rsidR="00E56369" w:rsidRPr="00BA52A0">
        <w:rPr>
          <w:rFonts w:asciiTheme="minorHAnsi" w:eastAsiaTheme="minorHAnsi" w:hAnsiTheme="minorHAnsi" w:cs="Times New Roman"/>
          <w:color w:val="auto"/>
          <w:szCs w:val="24"/>
        </w:rPr>
        <w:t>left wrist</w:t>
      </w:r>
      <w:r w:rsidR="003C53E8" w:rsidRPr="00BA52A0">
        <w:rPr>
          <w:rFonts w:asciiTheme="minorHAnsi" w:eastAsiaTheme="minorHAnsi" w:hAnsiTheme="minorHAnsi" w:cs="Times New Roman"/>
          <w:color w:val="auto"/>
          <w:szCs w:val="24"/>
        </w:rPr>
        <w:t xml:space="preserve"> condition and </w:t>
      </w:r>
      <w:r w:rsidR="003C53E8" w:rsidRPr="00BA52A0">
        <w:rPr>
          <w:rFonts w:asciiTheme="minorHAnsi" w:hAnsiTheme="minorHAnsi" w:cs="Times New Roman"/>
          <w:color w:val="auto"/>
          <w:szCs w:val="24"/>
        </w:rPr>
        <w:t>IAW VASRD §4.71a</w:t>
      </w:r>
      <w:r w:rsidR="003C53E8" w:rsidRPr="00BA52A0">
        <w:rPr>
          <w:rFonts w:asciiTheme="minorHAnsi" w:eastAsiaTheme="minorHAnsi" w:hAnsiTheme="minorHAnsi" w:cs="Times New Roman"/>
          <w:color w:val="auto"/>
          <w:szCs w:val="24"/>
        </w:rPr>
        <w:t>, the Board unanimously recommends no change in the PEB adjudication</w:t>
      </w:r>
      <w:r w:rsidR="003C53E8" w:rsidRPr="00BA52A0">
        <w:rPr>
          <w:rFonts w:asciiTheme="minorHAnsi" w:hAnsiTheme="minorHAnsi" w:cs="Times New Roman"/>
          <w:color w:val="auto"/>
          <w:szCs w:val="24"/>
        </w:rPr>
        <w:t xml:space="preserve">.  </w:t>
      </w:r>
      <w:r w:rsidR="00E56369" w:rsidRPr="00BA52A0">
        <w:rPr>
          <w:rFonts w:asciiTheme="minorHAnsi" w:hAnsiTheme="minorHAnsi" w:cs="Times New Roman"/>
          <w:color w:val="auto"/>
          <w:szCs w:val="24"/>
        </w:rPr>
        <w:t xml:space="preserve">In the matter of the </w:t>
      </w:r>
      <w:r w:rsidR="00BA52A0">
        <w:rPr>
          <w:rFonts w:asciiTheme="minorHAnsi" w:hAnsiTheme="minorHAnsi" w:cs="Times New Roman"/>
          <w:color w:val="auto"/>
          <w:szCs w:val="24"/>
        </w:rPr>
        <w:t xml:space="preserve">contended </w:t>
      </w:r>
      <w:r w:rsidR="00E56369" w:rsidRPr="00BA52A0">
        <w:rPr>
          <w:rFonts w:asciiTheme="minorHAnsi" w:hAnsiTheme="minorHAnsi" w:cs="Times New Roman"/>
          <w:color w:val="auto"/>
          <w:szCs w:val="24"/>
        </w:rPr>
        <w:t>hypertension condition, the Board unanimously agrees that it cannot</w:t>
      </w:r>
      <w:r w:rsidR="00E56369" w:rsidRPr="00BA52A0">
        <w:rPr>
          <w:rFonts w:asciiTheme="minorHAnsi" w:hAnsiTheme="minorHAnsi" w:cs="Times New Roman"/>
          <w:color w:val="000080"/>
          <w:szCs w:val="24"/>
        </w:rPr>
        <w:t xml:space="preserve"> </w:t>
      </w:r>
      <w:r w:rsidR="00E56369" w:rsidRPr="00BA52A0">
        <w:rPr>
          <w:rFonts w:asciiTheme="minorHAnsi" w:hAnsiTheme="minorHAnsi" w:cs="Times New Roman"/>
          <w:color w:val="auto"/>
          <w:szCs w:val="24"/>
        </w:rPr>
        <w:t xml:space="preserve">recommend a finding of unfit for additional rating at separation.  </w:t>
      </w:r>
      <w:r w:rsidR="003C53E8" w:rsidRPr="00BA52A0">
        <w:rPr>
          <w:rFonts w:asciiTheme="minorHAnsi" w:hAnsiTheme="minorHAnsi" w:cs="Times New Roman"/>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7367CE">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7367CE">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620"/>
        <w:gridCol w:w="1116"/>
      </w:tblGrid>
      <w:tr w:rsidR="00A95BBA" w:rsidRPr="001F29F9" w:rsidTr="00BA52A0">
        <w:trPr>
          <w:trHeight w:val="233"/>
          <w:jc w:val="center"/>
        </w:trPr>
        <w:tc>
          <w:tcPr>
            <w:tcW w:w="6588" w:type="dxa"/>
            <w:shd w:val="clear" w:color="auto" w:fill="D9D9D9"/>
            <w:vAlign w:val="center"/>
          </w:tcPr>
          <w:p w:rsidR="00A95BBA" w:rsidRPr="001F29F9" w:rsidRDefault="00A95BBA" w:rsidP="00BA52A0">
            <w:pPr>
              <w:tabs>
                <w:tab w:val="left" w:pos="288"/>
                <w:tab w:val="left" w:pos="4752"/>
              </w:tabs>
              <w:rPr>
                <w:b/>
                <w:color w:val="000000" w:themeColor="text1"/>
                <w:szCs w:val="24"/>
              </w:rPr>
            </w:pPr>
            <w:r w:rsidRPr="001F29F9">
              <w:rPr>
                <w:b/>
                <w:color w:val="000000" w:themeColor="text1"/>
                <w:szCs w:val="24"/>
              </w:rPr>
              <w:t>UNFITTING CONDITION</w:t>
            </w:r>
          </w:p>
        </w:tc>
        <w:tc>
          <w:tcPr>
            <w:tcW w:w="1620" w:type="dxa"/>
            <w:shd w:val="clear" w:color="auto" w:fill="D9D9D9"/>
            <w:vAlign w:val="center"/>
          </w:tcPr>
          <w:p w:rsidR="00A95BBA" w:rsidRPr="001F29F9" w:rsidRDefault="00A95BBA" w:rsidP="00BA52A0">
            <w:pPr>
              <w:tabs>
                <w:tab w:val="left" w:pos="288"/>
                <w:tab w:val="left" w:pos="4752"/>
              </w:tabs>
              <w:rPr>
                <w:b/>
                <w:color w:val="000000" w:themeColor="text1"/>
                <w:szCs w:val="24"/>
              </w:rPr>
            </w:pPr>
            <w:r w:rsidRPr="001F29F9">
              <w:rPr>
                <w:b/>
                <w:color w:val="000000" w:themeColor="text1"/>
                <w:szCs w:val="24"/>
              </w:rPr>
              <w:t>VASRD CODE</w:t>
            </w:r>
          </w:p>
        </w:tc>
        <w:tc>
          <w:tcPr>
            <w:tcW w:w="1116" w:type="dxa"/>
            <w:shd w:val="clear" w:color="auto" w:fill="D9D9D9"/>
            <w:vAlign w:val="center"/>
          </w:tcPr>
          <w:p w:rsidR="00A95BBA" w:rsidRPr="001F29F9" w:rsidRDefault="00A95BBA" w:rsidP="00BA52A0">
            <w:pPr>
              <w:tabs>
                <w:tab w:val="left" w:pos="288"/>
                <w:tab w:val="left" w:pos="4752"/>
              </w:tabs>
              <w:rPr>
                <w:b/>
                <w:color w:val="000000" w:themeColor="text1"/>
                <w:szCs w:val="24"/>
              </w:rPr>
            </w:pPr>
            <w:r w:rsidRPr="001F29F9">
              <w:rPr>
                <w:b/>
                <w:color w:val="000000" w:themeColor="text1"/>
                <w:szCs w:val="24"/>
              </w:rPr>
              <w:t>RATING</w:t>
            </w:r>
          </w:p>
        </w:tc>
      </w:tr>
      <w:tr w:rsidR="007367CE" w:rsidRPr="001F29F9" w:rsidTr="00BA52A0">
        <w:trPr>
          <w:jc w:val="center"/>
        </w:trPr>
        <w:tc>
          <w:tcPr>
            <w:tcW w:w="6588" w:type="dxa"/>
            <w:vAlign w:val="center"/>
          </w:tcPr>
          <w:p w:rsidR="007367CE" w:rsidRPr="00E56369" w:rsidRDefault="007367CE" w:rsidP="00BA52A0">
            <w:pPr>
              <w:tabs>
                <w:tab w:val="left" w:pos="288"/>
                <w:tab w:val="left" w:pos="4752"/>
              </w:tabs>
              <w:jc w:val="left"/>
              <w:rPr>
                <w:color w:val="000000" w:themeColor="text1"/>
                <w:szCs w:val="24"/>
              </w:rPr>
            </w:pPr>
            <w:r w:rsidRPr="00E56369">
              <w:rPr>
                <w:color w:val="000000" w:themeColor="text1"/>
                <w:szCs w:val="24"/>
              </w:rPr>
              <w:t>Left Wrist Pain</w:t>
            </w:r>
          </w:p>
        </w:tc>
        <w:tc>
          <w:tcPr>
            <w:tcW w:w="1620" w:type="dxa"/>
            <w:vAlign w:val="center"/>
          </w:tcPr>
          <w:p w:rsidR="007367CE" w:rsidRPr="00E56369" w:rsidRDefault="007367CE" w:rsidP="00BA52A0">
            <w:pPr>
              <w:tabs>
                <w:tab w:val="left" w:pos="288"/>
                <w:tab w:val="left" w:pos="4752"/>
              </w:tabs>
              <w:rPr>
                <w:color w:val="000000" w:themeColor="text1"/>
                <w:szCs w:val="24"/>
              </w:rPr>
            </w:pPr>
            <w:r w:rsidRPr="00E56369">
              <w:rPr>
                <w:color w:val="000000" w:themeColor="text1"/>
                <w:szCs w:val="24"/>
              </w:rPr>
              <w:t>5099-5003</w:t>
            </w:r>
          </w:p>
        </w:tc>
        <w:tc>
          <w:tcPr>
            <w:tcW w:w="1116" w:type="dxa"/>
            <w:vAlign w:val="center"/>
          </w:tcPr>
          <w:p w:rsidR="007367CE" w:rsidRPr="00E56369" w:rsidRDefault="007367CE" w:rsidP="00BA52A0">
            <w:pPr>
              <w:tabs>
                <w:tab w:val="left" w:pos="288"/>
                <w:tab w:val="left" w:pos="4752"/>
              </w:tabs>
              <w:rPr>
                <w:color w:val="000000" w:themeColor="text1"/>
                <w:szCs w:val="24"/>
              </w:rPr>
            </w:pPr>
            <w:r w:rsidRPr="00E56369">
              <w:rPr>
                <w:color w:val="000000" w:themeColor="text1"/>
                <w:szCs w:val="24"/>
              </w:rPr>
              <w:t>10%</w:t>
            </w:r>
          </w:p>
        </w:tc>
      </w:tr>
      <w:tr w:rsidR="00A95BBA" w:rsidRPr="001F29F9" w:rsidTr="00BA52A0">
        <w:tblPrEx>
          <w:tblLook w:val="0000"/>
        </w:tblPrEx>
        <w:trPr>
          <w:gridBefore w:val="1"/>
          <w:wBefore w:w="658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E56369" w:rsidRDefault="00A95BBA" w:rsidP="00BA52A0">
            <w:pPr>
              <w:tabs>
                <w:tab w:val="left" w:pos="288"/>
                <w:tab w:val="left" w:pos="4752"/>
              </w:tabs>
              <w:rPr>
                <w:b/>
                <w:color w:val="000000" w:themeColor="text1"/>
                <w:szCs w:val="24"/>
              </w:rPr>
            </w:pPr>
            <w:r w:rsidRPr="00E56369">
              <w:rPr>
                <w:b/>
                <w:color w:val="000000" w:themeColor="text1"/>
                <w:szCs w:val="24"/>
              </w:rPr>
              <w:t>COMBINED</w:t>
            </w:r>
          </w:p>
        </w:tc>
        <w:tc>
          <w:tcPr>
            <w:tcW w:w="1116" w:type="dxa"/>
            <w:tcBorders>
              <w:bottom w:val="single" w:sz="4" w:space="0" w:color="000000"/>
            </w:tcBorders>
            <w:shd w:val="clear" w:color="auto" w:fill="D9D9D9" w:themeFill="background1" w:themeFillShade="D9"/>
            <w:vAlign w:val="center"/>
          </w:tcPr>
          <w:p w:rsidR="00A95BBA" w:rsidRPr="00E56369" w:rsidRDefault="007367CE" w:rsidP="00BA52A0">
            <w:pPr>
              <w:tabs>
                <w:tab w:val="left" w:pos="288"/>
                <w:tab w:val="left" w:pos="4752"/>
              </w:tabs>
              <w:rPr>
                <w:b/>
                <w:color w:val="000000" w:themeColor="text1"/>
                <w:szCs w:val="24"/>
              </w:rPr>
            </w:pPr>
            <w:r w:rsidRPr="00E56369">
              <w:rPr>
                <w:b/>
                <w:color w:val="000000" w:themeColor="text1"/>
                <w:szCs w:val="24"/>
              </w:rPr>
              <w:t>1</w:t>
            </w:r>
            <w:r w:rsidR="00A95BBA" w:rsidRPr="00E56369">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BA52A0" w:rsidRDefault="00BA52A0" w:rsidP="001E5841">
      <w:pPr>
        <w:jc w:val="both"/>
        <w:rPr>
          <w:color w:val="000000" w:themeColor="text1"/>
        </w:rPr>
      </w:pPr>
      <w:r>
        <w:rPr>
          <w:color w:val="000000" w:themeColor="text1"/>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7367CE" w:rsidRPr="007367CE">
        <w:rPr>
          <w:color w:val="000000" w:themeColor="text1"/>
          <w:szCs w:val="24"/>
        </w:rPr>
        <w:t>20110717</w:t>
      </w:r>
      <w:r w:rsidR="007A7485">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7A748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7A748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F1F2B">
        <w:rPr>
          <w:color w:val="000000" w:themeColor="text1"/>
          <w:szCs w:val="24"/>
        </w:rPr>
        <w:t>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C1607" w:rsidRDefault="002F195B" w:rsidP="001E5841">
      <w:pPr>
        <w:tabs>
          <w:tab w:val="left" w:pos="0"/>
          <w:tab w:val="left" w:pos="4320"/>
        </w:tabs>
        <w:jc w:val="both"/>
        <w:rPr>
          <w:rFonts w:asciiTheme="minorHAnsi" w:hAnsiTheme="minorHAnsi" w:cs="Times New Roman"/>
          <w:color w:val="auto"/>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F1F2B" w:rsidRDefault="00FF1F2B">
      <w:pPr>
        <w:rPr>
          <w:color w:val="000000" w:themeColor="text1"/>
          <w:szCs w:val="18"/>
          <w:u w:val="single"/>
        </w:rPr>
      </w:pPr>
      <w:r>
        <w:rPr>
          <w:color w:val="000000" w:themeColor="text1"/>
          <w:szCs w:val="18"/>
          <w:u w:val="single"/>
        </w:rPr>
        <w:br w:type="page"/>
      </w:r>
    </w:p>
    <w:p w:rsidR="00FF1F2B" w:rsidRDefault="00FF1F2B" w:rsidP="00FF1F2B">
      <w:pPr>
        <w:tabs>
          <w:tab w:val="left" w:pos="576"/>
        </w:tabs>
        <w:ind w:right="-1080"/>
        <w:jc w:val="left"/>
        <w:rPr>
          <w:rFonts w:ascii="Times New Roman" w:hAnsi="Times New Roman"/>
          <w:color w:val="auto"/>
        </w:rPr>
      </w:pPr>
    </w:p>
    <w:p w:rsidR="00FF1F2B" w:rsidRDefault="00FF1F2B" w:rsidP="00FF1F2B">
      <w:pPr>
        <w:tabs>
          <w:tab w:val="left" w:pos="576"/>
        </w:tabs>
        <w:ind w:right="-1080"/>
        <w:jc w:val="left"/>
        <w:rPr>
          <w:rFonts w:ascii="Times New Roman" w:hAnsi="Times New Roman"/>
          <w:color w:val="auto"/>
        </w:rPr>
      </w:pPr>
      <w:r>
        <w:rPr>
          <w:rFonts w:ascii="Times New Roman" w:hAnsi="Times New Roman"/>
          <w:color w:val="auto"/>
        </w:rPr>
        <w:t>SAF/MRB</w:t>
      </w:r>
    </w:p>
    <w:p w:rsidR="00FF1F2B" w:rsidRDefault="00FF1F2B" w:rsidP="00FF1F2B">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FF1F2B" w:rsidRDefault="00FF1F2B" w:rsidP="00FF1F2B">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FF1F2B" w:rsidRDefault="00FF1F2B" w:rsidP="00FF1F2B">
      <w:pPr>
        <w:tabs>
          <w:tab w:val="left" w:pos="576"/>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r>
        <w:rPr>
          <w:rFonts w:ascii="Times New Roman" w:hAnsi="Times New Roman"/>
          <w:color w:val="auto"/>
        </w:rPr>
        <w:t>Dear XXXXXXXXXX</w:t>
      </w:r>
    </w:p>
    <w:p w:rsidR="00FF1F2B" w:rsidRDefault="00FF1F2B" w:rsidP="00FF1F2B">
      <w:pPr>
        <w:tabs>
          <w:tab w:val="left" w:pos="720"/>
        </w:tabs>
        <w:ind w:right="-1080"/>
        <w:jc w:val="left"/>
        <w:rPr>
          <w:rFonts w:ascii="Times New Roman" w:hAnsi="Times New Roman"/>
          <w:color w:val="auto"/>
        </w:rPr>
      </w:pPr>
    </w:p>
    <w:p w:rsidR="00FF1F2B" w:rsidRDefault="00FF1F2B" w:rsidP="00FF1F2B">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PD-2011-00526</w:t>
      </w: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F1F2B" w:rsidRDefault="00FF1F2B" w:rsidP="00FF1F2B">
      <w:pPr>
        <w:pStyle w:val="BodyText2"/>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left="5040" w:right="-1080"/>
        <w:jc w:val="left"/>
        <w:rPr>
          <w:rFonts w:ascii="Times New Roman" w:hAnsi="Times New Roman"/>
          <w:color w:val="auto"/>
        </w:rPr>
      </w:pPr>
      <w:r>
        <w:rPr>
          <w:rFonts w:ascii="Times New Roman" w:hAnsi="Times New Roman"/>
          <w:color w:val="auto"/>
        </w:rPr>
        <w:t>XXXXXXXXXXX</w:t>
      </w:r>
    </w:p>
    <w:p w:rsidR="00FF1F2B" w:rsidRDefault="00FF1F2B" w:rsidP="00FF1F2B">
      <w:pPr>
        <w:tabs>
          <w:tab w:val="left" w:pos="720"/>
        </w:tabs>
        <w:ind w:left="5040" w:right="-1080"/>
        <w:jc w:val="left"/>
        <w:rPr>
          <w:rFonts w:ascii="Times New Roman" w:hAnsi="Times New Roman"/>
          <w:color w:val="auto"/>
        </w:rPr>
      </w:pPr>
      <w:r>
        <w:rPr>
          <w:rFonts w:ascii="Times New Roman" w:hAnsi="Times New Roman"/>
          <w:color w:val="auto"/>
        </w:rPr>
        <w:t>Director</w:t>
      </w:r>
    </w:p>
    <w:p w:rsidR="00FF1F2B" w:rsidRDefault="00FF1F2B" w:rsidP="00FF1F2B">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FF1F2B" w:rsidRDefault="00FF1F2B" w:rsidP="00FF1F2B">
      <w:pPr>
        <w:tabs>
          <w:tab w:val="left" w:pos="720"/>
        </w:tabs>
        <w:ind w:right="-1080"/>
        <w:jc w:val="left"/>
        <w:rPr>
          <w:rFonts w:ascii="Times New Roman" w:hAnsi="Times New Roman"/>
          <w:color w:val="auto"/>
        </w:rPr>
      </w:pPr>
    </w:p>
    <w:p w:rsidR="00FF1F2B" w:rsidRDefault="00FF1F2B" w:rsidP="00FF1F2B">
      <w:pPr>
        <w:tabs>
          <w:tab w:val="left" w:pos="720"/>
        </w:tabs>
        <w:ind w:right="-1080"/>
        <w:jc w:val="left"/>
        <w:rPr>
          <w:rFonts w:ascii="Times New Roman" w:hAnsi="Times New Roman"/>
          <w:color w:val="auto"/>
        </w:rPr>
      </w:pPr>
      <w:r>
        <w:rPr>
          <w:rFonts w:ascii="Times New Roman" w:hAnsi="Times New Roman"/>
          <w:color w:val="auto"/>
        </w:rPr>
        <w:t>Attachment:</w:t>
      </w:r>
    </w:p>
    <w:p w:rsidR="00FF1F2B" w:rsidRDefault="00FF1F2B" w:rsidP="00FF1F2B">
      <w:pPr>
        <w:tabs>
          <w:tab w:val="left" w:pos="720"/>
        </w:tabs>
        <w:ind w:right="-1080"/>
        <w:jc w:val="left"/>
        <w:rPr>
          <w:rFonts w:ascii="Times New Roman" w:hAnsi="Times New Roman"/>
          <w:color w:val="auto"/>
        </w:rPr>
      </w:pPr>
      <w:r>
        <w:rPr>
          <w:rFonts w:ascii="Times New Roman" w:hAnsi="Times New Roman"/>
          <w:color w:val="auto"/>
        </w:rPr>
        <w:t>Record of Proceedings</w:t>
      </w:r>
    </w:p>
    <w:p w:rsidR="00214DBA" w:rsidRPr="001F29F9" w:rsidRDefault="00214DBA" w:rsidP="002719D2">
      <w:pPr>
        <w:jc w:val="both"/>
        <w:rPr>
          <w:color w:val="000000" w:themeColor="text1"/>
          <w:szCs w:val="18"/>
          <w:u w:val="single"/>
        </w:rPr>
      </w:pPr>
    </w:p>
    <w:sectPr w:rsidR="00214DBA"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CC" w:rsidRDefault="004A62CC">
      <w:r>
        <w:separator/>
      </w:r>
    </w:p>
  </w:endnote>
  <w:endnote w:type="continuationSeparator" w:id="0">
    <w:p w:rsidR="004A62CC" w:rsidRDefault="004A6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E07C9" w:rsidRPr="00374247" w:rsidRDefault="00AE07C9" w:rsidP="00374247">
        <w:pPr>
          <w:pStyle w:val="Footer"/>
          <w:ind w:firstLine="4320"/>
          <w:rPr>
            <w:color w:val="auto"/>
            <w:szCs w:val="24"/>
          </w:rPr>
        </w:pPr>
        <w:r w:rsidRPr="00374247">
          <w:rPr>
            <w:color w:val="auto"/>
            <w:szCs w:val="24"/>
          </w:rPr>
          <w:t xml:space="preserve">   </w:t>
        </w:r>
        <w:r w:rsidR="00994BE0" w:rsidRPr="00374247">
          <w:rPr>
            <w:color w:val="auto"/>
            <w:szCs w:val="24"/>
          </w:rPr>
          <w:fldChar w:fldCharType="begin"/>
        </w:r>
        <w:r w:rsidRPr="00374247">
          <w:rPr>
            <w:color w:val="auto"/>
            <w:szCs w:val="24"/>
          </w:rPr>
          <w:instrText xml:space="preserve"> PAGE   \* MERGEFORMAT </w:instrText>
        </w:r>
        <w:r w:rsidR="00994BE0" w:rsidRPr="00374247">
          <w:rPr>
            <w:color w:val="auto"/>
            <w:szCs w:val="24"/>
          </w:rPr>
          <w:fldChar w:fldCharType="separate"/>
        </w:r>
        <w:r w:rsidR="00FF1F2B" w:rsidRPr="00FF1F2B">
          <w:rPr>
            <w:noProof/>
            <w:color w:val="auto"/>
          </w:rPr>
          <w:t>5</w:t>
        </w:r>
        <w:r w:rsidR="00994BE0" w:rsidRPr="00374247">
          <w:rPr>
            <w:color w:val="auto"/>
            <w:szCs w:val="24"/>
          </w:rPr>
          <w:fldChar w:fldCharType="end"/>
        </w:r>
        <w:r w:rsidRPr="00374247">
          <w:rPr>
            <w:color w:val="auto"/>
            <w:szCs w:val="24"/>
          </w:rPr>
          <w:t xml:space="preserve">                                                           </w:t>
        </w:r>
        <w:r w:rsidRPr="003375E4">
          <w:rPr>
            <w:color w:val="auto"/>
            <w:szCs w:val="24"/>
          </w:rPr>
          <w:t>PD</w:t>
        </w:r>
        <w:r w:rsidRPr="004D7E82">
          <w:rPr>
            <w:color w:val="auto"/>
            <w:szCs w:val="24"/>
          </w:rPr>
          <w:t>1100526</w:t>
        </w:r>
      </w:p>
    </w:sdtContent>
  </w:sdt>
  <w:p w:rsidR="00AE07C9" w:rsidRPr="00684CE6" w:rsidRDefault="00AE07C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CC" w:rsidRDefault="004A62CC">
      <w:r>
        <w:separator/>
      </w:r>
    </w:p>
  </w:footnote>
  <w:footnote w:type="continuationSeparator" w:id="0">
    <w:p w:rsidR="004A62CC" w:rsidRDefault="004A6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035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F78"/>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839"/>
    <w:rsid w:val="000E1FCC"/>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6270"/>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58A"/>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BF9"/>
    <w:rsid w:val="001E5841"/>
    <w:rsid w:val="001E635C"/>
    <w:rsid w:val="001F0297"/>
    <w:rsid w:val="001F29F9"/>
    <w:rsid w:val="001F6E0B"/>
    <w:rsid w:val="001F7340"/>
    <w:rsid w:val="00200AA0"/>
    <w:rsid w:val="00202325"/>
    <w:rsid w:val="00202736"/>
    <w:rsid w:val="00203652"/>
    <w:rsid w:val="00203806"/>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67D11"/>
    <w:rsid w:val="00270864"/>
    <w:rsid w:val="002712F7"/>
    <w:rsid w:val="0027159C"/>
    <w:rsid w:val="002719D2"/>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967"/>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D7E"/>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056"/>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0E2"/>
    <w:rsid w:val="004574C6"/>
    <w:rsid w:val="00457743"/>
    <w:rsid w:val="00457BCF"/>
    <w:rsid w:val="00457DCE"/>
    <w:rsid w:val="00460E3F"/>
    <w:rsid w:val="0046111A"/>
    <w:rsid w:val="00462F68"/>
    <w:rsid w:val="0046369B"/>
    <w:rsid w:val="004640E9"/>
    <w:rsid w:val="004647EB"/>
    <w:rsid w:val="0046492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62CC"/>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D7E82"/>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E4F"/>
    <w:rsid w:val="00510588"/>
    <w:rsid w:val="00510F9C"/>
    <w:rsid w:val="0051146C"/>
    <w:rsid w:val="00511B43"/>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D06"/>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B62"/>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722E"/>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0BDA"/>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5C3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2BB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7CE"/>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485"/>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15D"/>
    <w:rsid w:val="007E55BF"/>
    <w:rsid w:val="007E59E3"/>
    <w:rsid w:val="007E5E39"/>
    <w:rsid w:val="007E6089"/>
    <w:rsid w:val="007E71B1"/>
    <w:rsid w:val="007E7B4E"/>
    <w:rsid w:val="007E7F02"/>
    <w:rsid w:val="007F0292"/>
    <w:rsid w:val="007F05CC"/>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2E70"/>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C4E"/>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2B5"/>
    <w:rsid w:val="008C710E"/>
    <w:rsid w:val="008D1484"/>
    <w:rsid w:val="008D29E7"/>
    <w:rsid w:val="008D5104"/>
    <w:rsid w:val="008D62C2"/>
    <w:rsid w:val="008D75F4"/>
    <w:rsid w:val="008D795D"/>
    <w:rsid w:val="008D7B07"/>
    <w:rsid w:val="008E0D8F"/>
    <w:rsid w:val="008E0F4E"/>
    <w:rsid w:val="008E1E94"/>
    <w:rsid w:val="008E2D99"/>
    <w:rsid w:val="008E30D4"/>
    <w:rsid w:val="008E38B0"/>
    <w:rsid w:val="008E3C90"/>
    <w:rsid w:val="008E4A60"/>
    <w:rsid w:val="008E6F56"/>
    <w:rsid w:val="008E744D"/>
    <w:rsid w:val="008F1E08"/>
    <w:rsid w:val="008F1EB2"/>
    <w:rsid w:val="008F30F4"/>
    <w:rsid w:val="008F41D0"/>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CB5"/>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BE0"/>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C8D"/>
    <w:rsid w:val="009D1ADE"/>
    <w:rsid w:val="009D297C"/>
    <w:rsid w:val="009D3652"/>
    <w:rsid w:val="009D37CA"/>
    <w:rsid w:val="009D4229"/>
    <w:rsid w:val="009D4268"/>
    <w:rsid w:val="009D5DE9"/>
    <w:rsid w:val="009E09D0"/>
    <w:rsid w:val="009E1181"/>
    <w:rsid w:val="009E1283"/>
    <w:rsid w:val="009E35D1"/>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A3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7C9"/>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55E"/>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151"/>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2A0"/>
    <w:rsid w:val="00BA5BE2"/>
    <w:rsid w:val="00BA6A9C"/>
    <w:rsid w:val="00BA7F46"/>
    <w:rsid w:val="00BB0388"/>
    <w:rsid w:val="00BB0A0A"/>
    <w:rsid w:val="00BB1112"/>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162"/>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FF5"/>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38C"/>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2D"/>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42"/>
    <w:rsid w:val="00CE5AAC"/>
    <w:rsid w:val="00CF158D"/>
    <w:rsid w:val="00CF2166"/>
    <w:rsid w:val="00CF4340"/>
    <w:rsid w:val="00CF4394"/>
    <w:rsid w:val="00CF48B4"/>
    <w:rsid w:val="00CF564F"/>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369"/>
    <w:rsid w:val="00E57703"/>
    <w:rsid w:val="00E57ED4"/>
    <w:rsid w:val="00E57FED"/>
    <w:rsid w:val="00E6092F"/>
    <w:rsid w:val="00E61EE9"/>
    <w:rsid w:val="00E62049"/>
    <w:rsid w:val="00E629DA"/>
    <w:rsid w:val="00E64374"/>
    <w:rsid w:val="00E6451F"/>
    <w:rsid w:val="00E6469F"/>
    <w:rsid w:val="00E648F3"/>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538F"/>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59A3"/>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1F2B"/>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FF1F2B"/>
    <w:pPr>
      <w:spacing w:after="120" w:line="480" w:lineRule="auto"/>
    </w:pPr>
  </w:style>
  <w:style w:type="character" w:customStyle="1" w:styleId="BodyText2Char">
    <w:name w:val="Body Text 2 Char"/>
    <w:basedOn w:val="DefaultParagraphFont"/>
    <w:link w:val="BodyText2"/>
    <w:rsid w:val="00FF1F2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58797548">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C554-9443-48C3-8E05-378CBA51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2012-05-07T13:21:00Z</dcterms:created>
  <dcterms:modified xsi:type="dcterms:W3CDTF">2012-05-07T13:21:00Z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