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34C58" w:rsidRDefault="00540BEF" w:rsidP="00BF0E94">
      <w:pPr>
        <w:tabs>
          <w:tab w:val="left" w:pos="288"/>
          <w:tab w:val="left" w:pos="4752"/>
        </w:tabs>
        <w:rPr>
          <w:rFonts w:asciiTheme="minorHAnsi" w:hAnsiTheme="minorHAnsi"/>
          <w:color w:val="000000" w:themeColor="text1"/>
          <w:szCs w:val="24"/>
        </w:rPr>
      </w:pPr>
      <w:r w:rsidRPr="00134C58">
        <w:rPr>
          <w:rFonts w:asciiTheme="minorHAnsi" w:hAnsiTheme="minorHAnsi"/>
          <w:color w:val="000000" w:themeColor="text1"/>
          <w:szCs w:val="24"/>
        </w:rPr>
        <w:t>RECORD OF PROCEEDINGS</w:t>
      </w:r>
    </w:p>
    <w:p w:rsidR="00540BEF" w:rsidRPr="00134C58" w:rsidRDefault="00540BEF" w:rsidP="00BF0E94">
      <w:pPr>
        <w:tabs>
          <w:tab w:val="left" w:pos="288"/>
          <w:tab w:val="left" w:pos="4752"/>
        </w:tabs>
        <w:rPr>
          <w:rFonts w:asciiTheme="minorHAnsi" w:hAnsiTheme="minorHAnsi"/>
          <w:color w:val="000000" w:themeColor="text1"/>
          <w:szCs w:val="24"/>
        </w:rPr>
      </w:pPr>
      <w:r w:rsidRPr="00134C58">
        <w:rPr>
          <w:rFonts w:asciiTheme="minorHAnsi" w:hAnsiTheme="minorHAnsi"/>
          <w:color w:val="000000" w:themeColor="text1"/>
          <w:szCs w:val="24"/>
        </w:rPr>
        <w:t>PHYSICAL DISABILITY BOARD OF REVIEW</w:t>
      </w:r>
    </w:p>
    <w:p w:rsidR="00540BEF" w:rsidRPr="00134C58" w:rsidRDefault="00540BEF" w:rsidP="00BF0E94">
      <w:pPr>
        <w:tabs>
          <w:tab w:val="left" w:pos="288"/>
          <w:tab w:val="left" w:pos="4752"/>
        </w:tabs>
        <w:jc w:val="both"/>
        <w:rPr>
          <w:rFonts w:asciiTheme="minorHAnsi" w:hAnsiTheme="minorHAnsi"/>
          <w:caps/>
          <w:color w:val="000000" w:themeColor="text1"/>
          <w:szCs w:val="24"/>
        </w:rPr>
      </w:pPr>
    </w:p>
    <w:p w:rsidR="00D1137C" w:rsidRPr="00134C58" w:rsidRDefault="00505803">
      <w:pPr>
        <w:tabs>
          <w:tab w:val="left" w:pos="288"/>
          <w:tab w:val="left" w:pos="4752"/>
          <w:tab w:val="left" w:pos="5130"/>
          <w:tab w:val="left" w:pos="9270"/>
        </w:tabs>
        <w:jc w:val="left"/>
        <w:rPr>
          <w:rFonts w:asciiTheme="minorHAnsi" w:hAnsiTheme="minorHAnsi"/>
          <w:caps/>
          <w:color w:val="000000" w:themeColor="text1"/>
          <w:szCs w:val="24"/>
        </w:rPr>
      </w:pPr>
      <w:r w:rsidRPr="00134C58">
        <w:rPr>
          <w:rFonts w:asciiTheme="minorHAnsi" w:hAnsiTheme="minorHAnsi"/>
          <w:caps/>
          <w:color w:val="000000" w:themeColor="text1"/>
          <w:szCs w:val="24"/>
        </w:rPr>
        <w:t xml:space="preserve">NAme:  </w:t>
      </w:r>
      <w:r w:rsidR="009D72CC">
        <w:rPr>
          <w:rFonts w:asciiTheme="minorHAnsi" w:hAnsiTheme="minorHAnsi"/>
          <w:caps/>
          <w:color w:val="000000" w:themeColor="text1"/>
          <w:szCs w:val="24"/>
        </w:rPr>
        <w:t>XXXXXXXXX</w:t>
      </w:r>
      <w:r w:rsidRPr="00134C58">
        <w:rPr>
          <w:rFonts w:asciiTheme="minorHAnsi" w:hAnsiTheme="minorHAnsi"/>
          <w:caps/>
          <w:color w:val="000000" w:themeColor="text1"/>
          <w:szCs w:val="24"/>
        </w:rPr>
        <w:t xml:space="preserve">                                   </w:t>
      </w:r>
      <w:r w:rsidR="00664A06" w:rsidRPr="00134C58">
        <w:rPr>
          <w:rFonts w:asciiTheme="minorHAnsi" w:hAnsiTheme="minorHAnsi"/>
          <w:caps/>
          <w:color w:val="000000" w:themeColor="text1"/>
          <w:szCs w:val="24"/>
        </w:rPr>
        <w:t xml:space="preserve">      </w:t>
      </w:r>
      <w:r w:rsidRPr="00134C58">
        <w:rPr>
          <w:rFonts w:asciiTheme="minorHAnsi" w:hAnsiTheme="minorHAnsi"/>
          <w:caps/>
          <w:color w:val="000000" w:themeColor="text1"/>
          <w:szCs w:val="24"/>
        </w:rPr>
        <w:t xml:space="preserve"> </w:t>
      </w:r>
      <w:r w:rsidR="00C7255F" w:rsidRPr="00134C58">
        <w:rPr>
          <w:rFonts w:asciiTheme="minorHAnsi" w:hAnsiTheme="minorHAnsi"/>
          <w:caps/>
          <w:color w:val="000000" w:themeColor="text1"/>
          <w:szCs w:val="24"/>
        </w:rPr>
        <w:t xml:space="preserve">                          </w:t>
      </w:r>
      <w:r w:rsidR="00F629C0" w:rsidRPr="00134C58">
        <w:rPr>
          <w:rFonts w:asciiTheme="minorHAnsi" w:hAnsiTheme="minorHAnsi"/>
          <w:caps/>
          <w:color w:val="000000" w:themeColor="text1"/>
          <w:szCs w:val="24"/>
        </w:rPr>
        <w:t xml:space="preserve">BRANCH OF SERVICE: </w:t>
      </w:r>
      <w:r w:rsidR="001F56D1" w:rsidRPr="00134C58">
        <w:rPr>
          <w:rFonts w:asciiTheme="minorHAnsi" w:hAnsiTheme="minorHAnsi"/>
          <w:caps/>
          <w:color w:val="000000" w:themeColor="text1"/>
          <w:szCs w:val="24"/>
        </w:rPr>
        <w:t xml:space="preserve">army </w:t>
      </w:r>
    </w:p>
    <w:p w:rsidR="00DE3AAD" w:rsidRPr="00875036" w:rsidRDefault="00012733" w:rsidP="0068098E">
      <w:pPr>
        <w:tabs>
          <w:tab w:val="left" w:pos="288"/>
          <w:tab w:val="left" w:pos="4166"/>
          <w:tab w:val="left" w:pos="4752"/>
          <w:tab w:val="left" w:pos="5130"/>
          <w:tab w:val="left" w:pos="9270"/>
        </w:tabs>
        <w:jc w:val="both"/>
        <w:rPr>
          <w:rFonts w:asciiTheme="minorHAnsi" w:hAnsiTheme="minorHAnsi"/>
          <w:caps/>
          <w:color w:val="000000" w:themeColor="text1"/>
          <w:szCs w:val="24"/>
        </w:rPr>
      </w:pPr>
      <w:r w:rsidRPr="00134C58">
        <w:rPr>
          <w:rFonts w:asciiTheme="minorHAnsi" w:hAnsiTheme="minorHAnsi"/>
          <w:caps/>
          <w:color w:val="000000" w:themeColor="text1"/>
          <w:szCs w:val="24"/>
        </w:rPr>
        <w:t>C</w:t>
      </w:r>
      <w:r w:rsidR="00DE3AAD" w:rsidRPr="00134C58">
        <w:rPr>
          <w:rFonts w:asciiTheme="minorHAnsi" w:hAnsiTheme="minorHAnsi"/>
          <w:caps/>
          <w:color w:val="000000" w:themeColor="text1"/>
          <w:szCs w:val="24"/>
        </w:rPr>
        <w:t xml:space="preserve">ASE NUMBER:  </w:t>
      </w:r>
      <w:r w:rsidR="00DE3AAD" w:rsidRPr="00875036">
        <w:rPr>
          <w:rFonts w:asciiTheme="minorHAnsi" w:hAnsiTheme="minorHAnsi"/>
          <w:caps/>
          <w:color w:val="000000" w:themeColor="text1"/>
          <w:szCs w:val="24"/>
        </w:rPr>
        <w:t>PD</w:t>
      </w:r>
      <w:r w:rsidR="008F58E1" w:rsidRPr="00875036">
        <w:rPr>
          <w:rFonts w:asciiTheme="minorHAnsi" w:hAnsiTheme="minorHAnsi"/>
          <w:caps/>
          <w:color w:val="000000" w:themeColor="text1"/>
          <w:szCs w:val="24"/>
        </w:rPr>
        <w:t>11</w:t>
      </w:r>
      <w:r w:rsidR="00DE3AAD" w:rsidRPr="00875036">
        <w:rPr>
          <w:rFonts w:asciiTheme="minorHAnsi" w:hAnsiTheme="minorHAnsi"/>
          <w:caps/>
          <w:color w:val="000000" w:themeColor="text1"/>
          <w:szCs w:val="24"/>
        </w:rPr>
        <w:t>00</w:t>
      </w:r>
      <w:r w:rsidR="00505803" w:rsidRPr="00875036">
        <w:rPr>
          <w:rFonts w:asciiTheme="minorHAnsi" w:hAnsiTheme="minorHAnsi"/>
          <w:caps/>
          <w:color w:val="000000" w:themeColor="text1"/>
          <w:szCs w:val="24"/>
        </w:rPr>
        <w:t>513</w:t>
      </w:r>
      <w:r w:rsidR="00664A06" w:rsidRPr="00875036">
        <w:rPr>
          <w:rFonts w:asciiTheme="minorHAnsi" w:hAnsiTheme="minorHAnsi"/>
          <w:color w:val="000000" w:themeColor="text1"/>
          <w:szCs w:val="24"/>
        </w:rPr>
        <w:t xml:space="preserve">                       </w:t>
      </w:r>
      <w:r w:rsidR="00C7255F" w:rsidRPr="00875036">
        <w:rPr>
          <w:rFonts w:asciiTheme="minorHAnsi" w:hAnsiTheme="minorHAnsi"/>
          <w:color w:val="000000" w:themeColor="text1"/>
          <w:szCs w:val="24"/>
        </w:rPr>
        <w:t xml:space="preserve">                  </w:t>
      </w:r>
      <w:r w:rsidR="00F92933">
        <w:rPr>
          <w:rFonts w:asciiTheme="minorHAnsi" w:hAnsiTheme="minorHAnsi"/>
          <w:color w:val="000000" w:themeColor="text1"/>
          <w:szCs w:val="24"/>
        </w:rPr>
        <w:tab/>
        <w:t xml:space="preserve"> </w:t>
      </w:r>
      <w:r w:rsidR="00505803" w:rsidRPr="00875036">
        <w:rPr>
          <w:rFonts w:asciiTheme="minorHAnsi" w:hAnsiTheme="minorHAnsi"/>
          <w:color w:val="000000" w:themeColor="text1"/>
          <w:szCs w:val="24"/>
        </w:rPr>
        <w:t>DATE OF PLACEMENT ON TDRL:  20040309</w:t>
      </w:r>
    </w:p>
    <w:p w:rsidR="003B2143" w:rsidRPr="00134C58" w:rsidRDefault="00792738" w:rsidP="00BF0E94">
      <w:pPr>
        <w:tabs>
          <w:tab w:val="left" w:pos="288"/>
          <w:tab w:val="left" w:pos="5130"/>
        </w:tabs>
        <w:jc w:val="both"/>
        <w:rPr>
          <w:rFonts w:asciiTheme="minorHAnsi" w:hAnsiTheme="minorHAnsi"/>
          <w:color w:val="000000" w:themeColor="text1"/>
          <w:szCs w:val="24"/>
        </w:rPr>
      </w:pPr>
      <w:r w:rsidRPr="00875036">
        <w:rPr>
          <w:rFonts w:asciiTheme="minorHAnsi" w:hAnsiTheme="minorHAnsi"/>
          <w:caps/>
          <w:color w:val="000000" w:themeColor="text1"/>
          <w:szCs w:val="24"/>
        </w:rPr>
        <w:t>BOARD DATE:  2012</w:t>
      </w:r>
      <w:r w:rsidR="00875036">
        <w:rPr>
          <w:rFonts w:asciiTheme="minorHAnsi" w:hAnsiTheme="minorHAnsi"/>
          <w:caps/>
          <w:color w:val="000000" w:themeColor="text1"/>
          <w:szCs w:val="24"/>
        </w:rPr>
        <w:t>0411</w:t>
      </w:r>
      <w:r w:rsidR="00505803" w:rsidRPr="00134C58">
        <w:rPr>
          <w:rFonts w:asciiTheme="minorHAnsi" w:hAnsiTheme="minorHAnsi"/>
          <w:caps/>
          <w:color w:val="000000" w:themeColor="text1"/>
          <w:szCs w:val="24"/>
        </w:rPr>
        <w:t xml:space="preserve">           </w:t>
      </w:r>
      <w:r w:rsidR="00664A06" w:rsidRPr="00134C58">
        <w:rPr>
          <w:rFonts w:asciiTheme="minorHAnsi" w:hAnsiTheme="minorHAnsi"/>
          <w:caps/>
          <w:color w:val="000000" w:themeColor="text1"/>
          <w:szCs w:val="24"/>
        </w:rPr>
        <w:t xml:space="preserve">             </w:t>
      </w:r>
      <w:r w:rsidR="00C7255F" w:rsidRPr="00134C58">
        <w:rPr>
          <w:rFonts w:asciiTheme="minorHAnsi" w:hAnsiTheme="minorHAnsi"/>
          <w:caps/>
          <w:color w:val="000000" w:themeColor="text1"/>
          <w:szCs w:val="24"/>
        </w:rPr>
        <w:t xml:space="preserve">               </w:t>
      </w:r>
      <w:r w:rsidR="00F92933">
        <w:rPr>
          <w:rFonts w:asciiTheme="minorHAnsi" w:hAnsiTheme="minorHAnsi"/>
          <w:caps/>
          <w:color w:val="000000" w:themeColor="text1"/>
          <w:szCs w:val="24"/>
        </w:rPr>
        <w:t xml:space="preserve">   </w:t>
      </w:r>
      <w:r w:rsidR="00505803" w:rsidRPr="00134C58">
        <w:rPr>
          <w:rFonts w:asciiTheme="minorHAnsi" w:hAnsiTheme="minorHAnsi"/>
          <w:caps/>
          <w:color w:val="000000" w:themeColor="text1"/>
          <w:szCs w:val="24"/>
        </w:rPr>
        <w:t xml:space="preserve">Date of Permanent </w:t>
      </w:r>
      <w:r w:rsidR="00505803" w:rsidRPr="00134C58">
        <w:rPr>
          <w:rFonts w:asciiTheme="minorHAnsi" w:hAnsiTheme="minorHAnsi"/>
          <w:color w:val="000000" w:themeColor="text1"/>
          <w:szCs w:val="24"/>
        </w:rPr>
        <w:t>SEPARATION:  20060223</w:t>
      </w:r>
    </w:p>
    <w:p w:rsidR="002243B3" w:rsidRPr="00134C58" w:rsidRDefault="002243B3" w:rsidP="00505803">
      <w:pPr>
        <w:pBdr>
          <w:bottom w:val="single" w:sz="12" w:space="1" w:color="auto"/>
        </w:pBdr>
        <w:tabs>
          <w:tab w:val="left" w:pos="288"/>
          <w:tab w:val="left" w:pos="5130"/>
        </w:tabs>
        <w:jc w:val="both"/>
        <w:rPr>
          <w:rFonts w:asciiTheme="minorHAnsi" w:hAnsiTheme="minorHAnsi"/>
          <w:caps/>
          <w:color w:val="000000" w:themeColor="text1"/>
          <w:szCs w:val="24"/>
        </w:rPr>
      </w:pPr>
    </w:p>
    <w:p w:rsidR="003F1206" w:rsidRPr="00134C58" w:rsidRDefault="003F1206" w:rsidP="00BF0E94">
      <w:pPr>
        <w:tabs>
          <w:tab w:val="left" w:pos="288"/>
          <w:tab w:val="left" w:pos="4752"/>
        </w:tabs>
        <w:jc w:val="both"/>
        <w:rPr>
          <w:rFonts w:asciiTheme="minorHAnsi" w:hAnsiTheme="minorHAnsi"/>
          <w:color w:val="000000" w:themeColor="text1"/>
          <w:szCs w:val="24"/>
        </w:rPr>
      </w:pPr>
    </w:p>
    <w:p w:rsidR="00505803" w:rsidRPr="00134C58" w:rsidRDefault="00FB0E80" w:rsidP="00505803">
      <w:pPr>
        <w:autoSpaceDE w:val="0"/>
        <w:autoSpaceDN w:val="0"/>
        <w:adjustRightInd w:val="0"/>
        <w:jc w:val="both"/>
        <w:rPr>
          <w:rFonts w:asciiTheme="minorHAnsi" w:hAnsiTheme="minorHAnsi"/>
          <w:color w:val="000000" w:themeColor="text1"/>
          <w:szCs w:val="24"/>
        </w:rPr>
      </w:pPr>
      <w:r w:rsidRPr="00134C58">
        <w:rPr>
          <w:rFonts w:asciiTheme="minorHAnsi" w:hAnsiTheme="minorHAnsi"/>
          <w:color w:val="000000" w:themeColor="text1"/>
          <w:szCs w:val="24"/>
          <w:u w:val="single"/>
        </w:rPr>
        <w:t>SUMMARY OF CASE</w:t>
      </w:r>
      <w:r w:rsidRPr="00134C58">
        <w:rPr>
          <w:rFonts w:asciiTheme="minorHAnsi" w:hAnsiTheme="minorHAnsi"/>
          <w:color w:val="000000" w:themeColor="text1"/>
          <w:szCs w:val="24"/>
        </w:rPr>
        <w:t xml:space="preserve">: </w:t>
      </w:r>
      <w:r w:rsidR="00821268" w:rsidRPr="00134C58">
        <w:rPr>
          <w:rFonts w:asciiTheme="minorHAnsi" w:hAnsiTheme="minorHAnsi"/>
          <w:color w:val="000000" w:themeColor="text1"/>
          <w:szCs w:val="24"/>
        </w:rPr>
        <w:t xml:space="preserve"> </w:t>
      </w:r>
      <w:r w:rsidR="00505803" w:rsidRPr="00134C58">
        <w:rPr>
          <w:rFonts w:asciiTheme="minorHAnsi" w:hAnsiTheme="minorHAnsi"/>
          <w:color w:val="000000" w:themeColor="text1"/>
          <w:szCs w:val="24"/>
        </w:rPr>
        <w:t>Data extracted from the available evidence of record reflects that this covered individual (CI) was</w:t>
      </w:r>
      <w:r w:rsidR="00F57E6E" w:rsidRPr="00134C58">
        <w:rPr>
          <w:rFonts w:asciiTheme="minorHAnsi" w:hAnsiTheme="minorHAnsi"/>
          <w:color w:val="000000" w:themeColor="text1"/>
          <w:szCs w:val="24"/>
        </w:rPr>
        <w:t xml:space="preserve"> </w:t>
      </w:r>
      <w:r w:rsidR="00821268" w:rsidRPr="00134C58">
        <w:rPr>
          <w:rFonts w:asciiTheme="minorHAnsi" w:hAnsiTheme="minorHAnsi"/>
          <w:color w:val="000000" w:themeColor="text1"/>
          <w:szCs w:val="24"/>
        </w:rPr>
        <w:t>a</w:t>
      </w:r>
      <w:r w:rsidR="00F57E6E" w:rsidRPr="00134C58">
        <w:rPr>
          <w:rFonts w:asciiTheme="minorHAnsi" w:hAnsiTheme="minorHAnsi"/>
          <w:color w:val="000000" w:themeColor="text1"/>
          <w:szCs w:val="24"/>
        </w:rPr>
        <w:t xml:space="preserve"> National Guard SSG/E-6 (88M/</w:t>
      </w:r>
      <w:r w:rsidR="00505803" w:rsidRPr="00134C58">
        <w:rPr>
          <w:rFonts w:asciiTheme="minorHAnsi" w:hAnsiTheme="minorHAnsi"/>
          <w:color w:val="000000" w:themeColor="text1"/>
          <w:szCs w:val="24"/>
        </w:rPr>
        <w:t xml:space="preserve">Motor Transport Operator), medically separated for pain and limited motion of the left knee.  The CI’s original injury was on 15 November 1971 while playing intramural Army basketball in Germany. </w:t>
      </w:r>
      <w:r w:rsidR="007B1198">
        <w:rPr>
          <w:rFonts w:asciiTheme="minorHAnsi" w:hAnsiTheme="minorHAnsi"/>
          <w:color w:val="000000" w:themeColor="text1"/>
          <w:szCs w:val="24"/>
        </w:rPr>
        <w:t xml:space="preserve"> </w:t>
      </w:r>
      <w:r w:rsidR="00817B56" w:rsidRPr="00134C58">
        <w:rPr>
          <w:rFonts w:asciiTheme="minorHAnsi" w:hAnsiTheme="minorHAnsi"/>
          <w:color w:val="000000" w:themeColor="text1"/>
          <w:szCs w:val="24"/>
        </w:rPr>
        <w:t xml:space="preserve">The CI </w:t>
      </w:r>
      <w:r w:rsidR="00505803" w:rsidRPr="00134C58">
        <w:rPr>
          <w:rFonts w:asciiTheme="minorHAnsi" w:hAnsiTheme="minorHAnsi"/>
          <w:color w:val="000000" w:themeColor="text1"/>
          <w:szCs w:val="24"/>
        </w:rPr>
        <w:t>did not respond adequately to treatment and was unable to perform within his Military Occupational Specialty (MOS) or mee</w:t>
      </w:r>
      <w:r w:rsidR="009638BC">
        <w:rPr>
          <w:rFonts w:asciiTheme="minorHAnsi" w:hAnsiTheme="minorHAnsi"/>
          <w:color w:val="000000" w:themeColor="text1"/>
          <w:szCs w:val="24"/>
        </w:rPr>
        <w:t>t physical fitness standards.</w:t>
      </w:r>
      <w:r w:rsidR="007B1198">
        <w:rPr>
          <w:rFonts w:asciiTheme="minorHAnsi" w:hAnsiTheme="minorHAnsi"/>
          <w:color w:val="000000" w:themeColor="text1"/>
          <w:szCs w:val="24"/>
        </w:rPr>
        <w:t xml:space="preserve"> </w:t>
      </w:r>
      <w:r w:rsidR="00821268" w:rsidRPr="00134C58">
        <w:rPr>
          <w:rFonts w:asciiTheme="minorHAnsi" w:hAnsiTheme="minorHAnsi"/>
          <w:color w:val="000000" w:themeColor="text1"/>
          <w:szCs w:val="24"/>
        </w:rPr>
        <w:t xml:space="preserve"> </w:t>
      </w:r>
      <w:r w:rsidR="00817B56" w:rsidRPr="00134C58">
        <w:rPr>
          <w:rFonts w:asciiTheme="minorHAnsi" w:hAnsiTheme="minorHAnsi"/>
          <w:color w:val="000000" w:themeColor="text1"/>
          <w:szCs w:val="24"/>
        </w:rPr>
        <w:t>Th</w:t>
      </w:r>
      <w:r w:rsidR="00505803" w:rsidRPr="00134C58">
        <w:rPr>
          <w:rFonts w:asciiTheme="minorHAnsi" w:hAnsiTheme="minorHAnsi"/>
          <w:color w:val="000000" w:themeColor="text1"/>
          <w:szCs w:val="24"/>
        </w:rPr>
        <w:t>e</w:t>
      </w:r>
      <w:r w:rsidR="00817B56" w:rsidRPr="00134C58">
        <w:rPr>
          <w:rFonts w:asciiTheme="minorHAnsi" w:hAnsiTheme="minorHAnsi"/>
          <w:color w:val="000000" w:themeColor="text1"/>
          <w:szCs w:val="24"/>
        </w:rPr>
        <w:t xml:space="preserve"> CI</w:t>
      </w:r>
      <w:r w:rsidR="00505803" w:rsidRPr="00134C58">
        <w:rPr>
          <w:rFonts w:asciiTheme="minorHAnsi" w:hAnsiTheme="minorHAnsi"/>
          <w:color w:val="000000" w:themeColor="text1"/>
          <w:szCs w:val="24"/>
        </w:rPr>
        <w:t xml:space="preserve"> was issued a permanent L3 profile and underwent a M</w:t>
      </w:r>
      <w:r w:rsidR="009638BC">
        <w:rPr>
          <w:rFonts w:asciiTheme="minorHAnsi" w:hAnsiTheme="minorHAnsi"/>
          <w:color w:val="000000" w:themeColor="text1"/>
          <w:szCs w:val="24"/>
        </w:rPr>
        <w:t xml:space="preserve">edical Evaluation Board (MEB). </w:t>
      </w:r>
      <w:r w:rsidR="007B1198">
        <w:rPr>
          <w:rFonts w:asciiTheme="minorHAnsi" w:hAnsiTheme="minorHAnsi"/>
          <w:color w:val="000000" w:themeColor="text1"/>
          <w:szCs w:val="24"/>
        </w:rPr>
        <w:t xml:space="preserve"> </w:t>
      </w:r>
      <w:r w:rsidR="00505803" w:rsidRPr="00134C58">
        <w:rPr>
          <w:rFonts w:asciiTheme="minorHAnsi" w:hAnsiTheme="minorHAnsi"/>
          <w:color w:val="000000" w:themeColor="text1"/>
          <w:szCs w:val="24"/>
        </w:rPr>
        <w:t xml:space="preserve">Moderate to severe osteoarthritis of the left knee condition was forwarded to the Physical Evaluation Board (PEB) as medically </w:t>
      </w:r>
      <w:proofErr w:type="gramStart"/>
      <w:r w:rsidR="00505803" w:rsidRPr="00134C58">
        <w:rPr>
          <w:rFonts w:asciiTheme="minorHAnsi" w:hAnsiTheme="minorHAnsi"/>
          <w:color w:val="000000" w:themeColor="text1"/>
          <w:szCs w:val="24"/>
        </w:rPr>
        <w:t>unacceptable</w:t>
      </w:r>
      <w:proofErr w:type="gramEnd"/>
      <w:r w:rsidR="00505803" w:rsidRPr="00134C58">
        <w:rPr>
          <w:rFonts w:asciiTheme="minorHAnsi" w:hAnsiTheme="minorHAnsi"/>
          <w:color w:val="000000" w:themeColor="text1"/>
          <w:szCs w:val="24"/>
        </w:rPr>
        <w:t xml:space="preserve"> IAW AR 40-501.  No other conditions app</w:t>
      </w:r>
      <w:r w:rsidR="009638BC">
        <w:rPr>
          <w:rFonts w:asciiTheme="minorHAnsi" w:hAnsiTheme="minorHAnsi"/>
          <w:color w:val="000000" w:themeColor="text1"/>
          <w:szCs w:val="24"/>
        </w:rPr>
        <w:t xml:space="preserve">eared on the MEB’s submission. </w:t>
      </w:r>
      <w:r w:rsidR="00505803" w:rsidRPr="00134C58">
        <w:rPr>
          <w:rFonts w:asciiTheme="minorHAnsi" w:hAnsiTheme="minorHAnsi"/>
          <w:color w:val="000000" w:themeColor="text1"/>
          <w:szCs w:val="24"/>
        </w:rPr>
        <w:t xml:space="preserve">Other conditions included in the Disability Evaluation System (DES) packet will be discussed </w:t>
      </w:r>
      <w:r w:rsidR="009638BC">
        <w:rPr>
          <w:rFonts w:asciiTheme="minorHAnsi" w:hAnsiTheme="minorHAnsi"/>
          <w:color w:val="000000" w:themeColor="text1"/>
          <w:szCs w:val="24"/>
        </w:rPr>
        <w:t xml:space="preserve">below. </w:t>
      </w:r>
      <w:r w:rsidR="00505803" w:rsidRPr="00134C58">
        <w:rPr>
          <w:rFonts w:asciiTheme="minorHAnsi" w:hAnsiTheme="minorHAnsi"/>
          <w:color w:val="000000" w:themeColor="text1"/>
          <w:szCs w:val="24"/>
        </w:rPr>
        <w:t>The PEB adjudicated the chronic left knee pain and instability condition as unfitting, rated 30% with application of the US Army Physical Disabili</w:t>
      </w:r>
      <w:r w:rsidR="009638BC">
        <w:rPr>
          <w:rFonts w:asciiTheme="minorHAnsi" w:hAnsiTheme="minorHAnsi"/>
          <w:color w:val="000000" w:themeColor="text1"/>
          <w:szCs w:val="24"/>
        </w:rPr>
        <w:t>ty Agency (USAPDA) pain policy.</w:t>
      </w:r>
      <w:r w:rsidR="00505803" w:rsidRPr="00134C58">
        <w:rPr>
          <w:rFonts w:asciiTheme="minorHAnsi" w:hAnsiTheme="minorHAnsi"/>
          <w:color w:val="000000" w:themeColor="text1"/>
          <w:szCs w:val="24"/>
        </w:rPr>
        <w:t xml:space="preserve"> </w:t>
      </w:r>
      <w:r w:rsidR="007B1198">
        <w:rPr>
          <w:rFonts w:asciiTheme="minorHAnsi" w:hAnsiTheme="minorHAnsi"/>
          <w:color w:val="000000" w:themeColor="text1"/>
          <w:szCs w:val="24"/>
        </w:rPr>
        <w:t xml:space="preserve"> </w:t>
      </w:r>
      <w:r w:rsidR="00505803" w:rsidRPr="00134C58">
        <w:rPr>
          <w:rFonts w:asciiTheme="minorHAnsi" w:hAnsiTheme="minorHAnsi"/>
          <w:color w:val="000000" w:themeColor="text1"/>
          <w:szCs w:val="24"/>
        </w:rPr>
        <w:t>The CI was placed on Temporary Disability Retired List (TDRL) with ratings as</w:t>
      </w:r>
      <w:r w:rsidR="0006379B">
        <w:rPr>
          <w:rFonts w:asciiTheme="minorHAnsi" w:hAnsiTheme="minorHAnsi"/>
          <w:color w:val="000000" w:themeColor="text1"/>
          <w:szCs w:val="24"/>
        </w:rPr>
        <w:t xml:space="preserve"> reflected in the chart below.</w:t>
      </w:r>
      <w:r w:rsidR="00F92933">
        <w:rPr>
          <w:rFonts w:asciiTheme="minorHAnsi" w:hAnsiTheme="minorHAnsi"/>
          <w:color w:val="000000" w:themeColor="text1"/>
          <w:szCs w:val="24"/>
        </w:rPr>
        <w:t xml:space="preserve"> Upon TDRL re-evaluation the PEB recommended discharge with severance pay rated at 10%.</w:t>
      </w:r>
      <w:r w:rsidR="007B1198">
        <w:rPr>
          <w:rFonts w:asciiTheme="minorHAnsi" w:hAnsiTheme="minorHAnsi"/>
          <w:color w:val="000000" w:themeColor="text1"/>
          <w:szCs w:val="24"/>
        </w:rPr>
        <w:t xml:space="preserve"> </w:t>
      </w:r>
      <w:r w:rsidR="00505803" w:rsidRPr="00134C58">
        <w:rPr>
          <w:rFonts w:asciiTheme="minorHAnsi" w:hAnsiTheme="minorHAnsi"/>
          <w:color w:val="000000" w:themeColor="text1"/>
          <w:szCs w:val="24"/>
        </w:rPr>
        <w:t xml:space="preserve">The CI made no appeals, and elected </w:t>
      </w:r>
      <w:r w:rsidR="00F92933">
        <w:rPr>
          <w:rFonts w:asciiTheme="minorHAnsi" w:hAnsiTheme="minorHAnsi"/>
          <w:color w:val="000000" w:themeColor="text1"/>
          <w:szCs w:val="24"/>
        </w:rPr>
        <w:t>placement on the Reserve Retired List</w:t>
      </w:r>
      <w:r w:rsidR="00505803" w:rsidRPr="00134C58">
        <w:rPr>
          <w:rFonts w:asciiTheme="minorHAnsi" w:hAnsiTheme="minorHAnsi"/>
          <w:color w:val="000000" w:themeColor="text1"/>
          <w:szCs w:val="24"/>
        </w:rPr>
        <w:t xml:space="preserve"> with entitlement to </w:t>
      </w:r>
      <w:r w:rsidR="00F92933">
        <w:rPr>
          <w:rFonts w:asciiTheme="minorHAnsi" w:hAnsiTheme="minorHAnsi"/>
          <w:color w:val="000000" w:themeColor="text1"/>
          <w:szCs w:val="24"/>
        </w:rPr>
        <w:t>retired pay at age 60</w:t>
      </w:r>
      <w:r w:rsidR="00505803" w:rsidRPr="00134C58">
        <w:rPr>
          <w:rFonts w:asciiTheme="minorHAnsi" w:hAnsiTheme="minorHAnsi"/>
          <w:color w:val="000000" w:themeColor="text1"/>
          <w:szCs w:val="24"/>
        </w:rPr>
        <w:t xml:space="preserve"> in lieu of disability severance pay.  </w:t>
      </w:r>
    </w:p>
    <w:p w:rsidR="004174F0" w:rsidRPr="00134C58" w:rsidRDefault="004174F0" w:rsidP="00BF0E94">
      <w:pPr>
        <w:pBdr>
          <w:bottom w:val="single" w:sz="12" w:space="1" w:color="auto"/>
        </w:pBdr>
        <w:tabs>
          <w:tab w:val="left" w:pos="288"/>
          <w:tab w:val="left" w:pos="4752"/>
        </w:tabs>
        <w:jc w:val="both"/>
        <w:rPr>
          <w:rFonts w:asciiTheme="minorHAnsi" w:hAnsiTheme="minorHAnsi"/>
          <w:color w:val="000000" w:themeColor="text1"/>
          <w:szCs w:val="24"/>
        </w:rPr>
      </w:pPr>
    </w:p>
    <w:p w:rsidR="004174F0" w:rsidRPr="00134C58" w:rsidRDefault="004174F0" w:rsidP="00BF0E94">
      <w:pPr>
        <w:tabs>
          <w:tab w:val="left" w:pos="288"/>
          <w:tab w:val="left" w:pos="4752"/>
        </w:tabs>
        <w:jc w:val="both"/>
        <w:rPr>
          <w:rFonts w:asciiTheme="minorHAnsi" w:hAnsiTheme="minorHAnsi"/>
          <w:color w:val="000000" w:themeColor="text1"/>
          <w:szCs w:val="24"/>
        </w:rPr>
      </w:pPr>
    </w:p>
    <w:p w:rsidR="00505803" w:rsidRPr="00134C58" w:rsidRDefault="002C6E5B" w:rsidP="00505803">
      <w:pPr>
        <w:tabs>
          <w:tab w:val="left" w:pos="288"/>
          <w:tab w:val="left" w:pos="4752"/>
        </w:tabs>
        <w:jc w:val="both"/>
        <w:rPr>
          <w:rFonts w:asciiTheme="minorHAnsi" w:eastAsiaTheme="minorHAnsi" w:hAnsiTheme="minorHAnsi"/>
          <w:color w:val="000000" w:themeColor="text1"/>
          <w:szCs w:val="24"/>
        </w:rPr>
      </w:pPr>
      <w:r w:rsidRPr="00134C58">
        <w:rPr>
          <w:rFonts w:asciiTheme="minorHAnsi" w:hAnsiTheme="minorHAnsi"/>
          <w:color w:val="000000" w:themeColor="text1"/>
          <w:szCs w:val="24"/>
          <w:u w:val="single"/>
        </w:rPr>
        <w:t>CI CONTENTION</w:t>
      </w:r>
      <w:r w:rsidRPr="00134C58">
        <w:rPr>
          <w:rFonts w:asciiTheme="minorHAnsi" w:hAnsiTheme="minorHAnsi"/>
          <w:color w:val="000000" w:themeColor="text1"/>
          <w:szCs w:val="24"/>
        </w:rPr>
        <w:t>:</w:t>
      </w:r>
      <w:r w:rsidR="00505803" w:rsidRPr="00134C58">
        <w:rPr>
          <w:rFonts w:asciiTheme="minorHAnsi" w:hAnsiTheme="minorHAnsi"/>
          <w:color w:val="000000" w:themeColor="text1"/>
          <w:szCs w:val="24"/>
        </w:rPr>
        <w:t xml:space="preserve"> “I was rated at 30% by the PEB.  On follow up visit at Ft. Campbell, KY </w:t>
      </w:r>
      <w:proofErr w:type="gramStart"/>
      <w:r w:rsidR="00505803" w:rsidRPr="00134C58">
        <w:rPr>
          <w:rFonts w:asciiTheme="minorHAnsi" w:hAnsiTheme="minorHAnsi"/>
          <w:color w:val="000000" w:themeColor="text1"/>
          <w:szCs w:val="24"/>
        </w:rPr>
        <w:t>The</w:t>
      </w:r>
      <w:proofErr w:type="gramEnd"/>
      <w:r w:rsidR="00505803" w:rsidRPr="00134C58">
        <w:rPr>
          <w:rFonts w:asciiTheme="minorHAnsi" w:hAnsiTheme="minorHAnsi"/>
          <w:color w:val="000000" w:themeColor="text1"/>
          <w:szCs w:val="24"/>
        </w:rPr>
        <w:t xml:space="preserve"> doctor said see you in a year.  The PED (PEB) in Ft. Lewis, Wash., rated me at 10%, </w:t>
      </w:r>
      <w:proofErr w:type="gramStart"/>
      <w:r w:rsidR="00505803" w:rsidRPr="00134C58">
        <w:rPr>
          <w:rFonts w:asciiTheme="minorHAnsi" w:hAnsiTheme="minorHAnsi"/>
          <w:color w:val="000000" w:themeColor="text1"/>
          <w:szCs w:val="24"/>
        </w:rPr>
        <w:t>then</w:t>
      </w:r>
      <w:proofErr w:type="gramEnd"/>
      <w:r w:rsidR="00505803" w:rsidRPr="00134C58">
        <w:rPr>
          <w:rFonts w:asciiTheme="minorHAnsi" w:hAnsiTheme="minorHAnsi"/>
          <w:color w:val="000000" w:themeColor="text1"/>
          <w:szCs w:val="24"/>
        </w:rPr>
        <w:t xml:space="preserve"> discharged.  The VA had me at a total of 40% at that time.”  </w:t>
      </w:r>
      <w:r w:rsidR="00505803" w:rsidRPr="00134C58">
        <w:rPr>
          <w:rFonts w:asciiTheme="minorHAnsi" w:eastAsiaTheme="minorHAnsi" w:hAnsiTheme="minorHAnsi"/>
          <w:color w:val="000000" w:themeColor="text1"/>
          <w:szCs w:val="24"/>
        </w:rPr>
        <w:t>He elaborates no specific contentions regarding rating or coding and mentions no additionally contended conditions.</w:t>
      </w:r>
    </w:p>
    <w:p w:rsidR="004174F0" w:rsidRPr="00134C58" w:rsidRDefault="004174F0" w:rsidP="00BF0E94">
      <w:pPr>
        <w:pBdr>
          <w:bottom w:val="single" w:sz="12" w:space="1" w:color="auto"/>
        </w:pBdr>
        <w:tabs>
          <w:tab w:val="left" w:pos="288"/>
          <w:tab w:val="left" w:pos="4752"/>
        </w:tabs>
        <w:jc w:val="both"/>
        <w:rPr>
          <w:rFonts w:asciiTheme="minorHAnsi" w:hAnsiTheme="minorHAnsi"/>
          <w:color w:val="000000" w:themeColor="text1"/>
          <w:szCs w:val="24"/>
        </w:rPr>
      </w:pPr>
    </w:p>
    <w:p w:rsidR="004174F0" w:rsidRPr="00134C58" w:rsidRDefault="004174F0" w:rsidP="00BF0E94">
      <w:pPr>
        <w:tabs>
          <w:tab w:val="left" w:pos="288"/>
          <w:tab w:val="left" w:pos="4752"/>
        </w:tabs>
        <w:jc w:val="both"/>
        <w:rPr>
          <w:rFonts w:asciiTheme="minorHAnsi" w:hAnsiTheme="minorHAnsi"/>
          <w:color w:val="000000" w:themeColor="text1"/>
          <w:szCs w:val="24"/>
        </w:rPr>
      </w:pPr>
    </w:p>
    <w:p w:rsidR="001537D8" w:rsidRPr="00134C58" w:rsidRDefault="00505803" w:rsidP="00BF0E94">
      <w:pPr>
        <w:jc w:val="left"/>
        <w:rPr>
          <w:rFonts w:asciiTheme="minorHAnsi" w:hAnsiTheme="minorHAnsi"/>
          <w:color w:val="000000" w:themeColor="text1"/>
          <w:szCs w:val="24"/>
        </w:rPr>
      </w:pPr>
      <w:r w:rsidRPr="00134C58">
        <w:rPr>
          <w:rFonts w:asciiTheme="minorHAnsi" w:hAnsiTheme="minorHAnsi"/>
          <w:color w:val="000000" w:themeColor="text1"/>
          <w:szCs w:val="24"/>
          <w:u w:val="single"/>
        </w:rPr>
        <w:t xml:space="preserve">TDRL </w:t>
      </w:r>
      <w:r w:rsidR="007F0AB7" w:rsidRPr="00134C58">
        <w:rPr>
          <w:rFonts w:asciiTheme="minorHAnsi" w:hAnsiTheme="minorHAnsi"/>
          <w:color w:val="000000" w:themeColor="text1"/>
          <w:szCs w:val="24"/>
          <w:u w:val="single"/>
        </w:rPr>
        <w:t>R</w:t>
      </w:r>
      <w:r w:rsidR="002C6E5B" w:rsidRPr="00134C58">
        <w:rPr>
          <w:rFonts w:asciiTheme="minorHAnsi" w:hAnsiTheme="minorHAnsi"/>
          <w:color w:val="000000" w:themeColor="text1"/>
          <w:szCs w:val="24"/>
          <w:u w:val="single"/>
        </w:rPr>
        <w:t>ATING C</w:t>
      </w:r>
      <w:r w:rsidRPr="00134C58">
        <w:rPr>
          <w:rFonts w:asciiTheme="minorHAnsi" w:hAnsiTheme="minorHAnsi"/>
          <w:color w:val="000000" w:themeColor="text1"/>
          <w:szCs w:val="24"/>
          <w:u w:val="single"/>
        </w:rPr>
        <w:t>HART</w:t>
      </w:r>
      <w:r w:rsidR="002C6E5B" w:rsidRPr="00134C58">
        <w:rPr>
          <w:rFonts w:asciiTheme="minorHAnsi" w:hAnsiTheme="minorHAnsi"/>
          <w:color w:val="000000" w:themeColor="text1"/>
          <w:szCs w:val="24"/>
        </w:rPr>
        <w:t>:</w:t>
      </w:r>
    </w:p>
    <w:p w:rsidR="00505803" w:rsidRPr="00821268" w:rsidRDefault="00821268" w:rsidP="00305D3D">
      <w:pPr>
        <w:jc w:val="left"/>
        <w:rPr>
          <w:rFonts w:asciiTheme="minorHAnsi" w:hAnsiTheme="minorHAnsi"/>
          <w:color w:val="000000" w:themeColor="text1"/>
        </w:rPr>
      </w:pPr>
      <w:r>
        <w:rPr>
          <w:rFonts w:asciiTheme="minorHAnsi" w:hAnsiTheme="minorHAnsi"/>
          <w:color w:val="000000" w:themeColor="text1"/>
        </w:rPr>
        <w:t xml:space="preserve"> </w:t>
      </w:r>
    </w:p>
    <w:tbl>
      <w:tblPr>
        <w:tblStyle w:val="TableGrid"/>
        <w:tblpPr w:leftFromText="187" w:rightFromText="187" w:vertAnchor="text" w:tblpXSpec="center" w:tblpY="1"/>
        <w:tblOverlap w:val="never"/>
        <w:tblW w:w="9594" w:type="dxa"/>
        <w:jc w:val="center"/>
        <w:tblLayout w:type="fixed"/>
        <w:tblLook w:val="04A0"/>
      </w:tblPr>
      <w:tblGrid>
        <w:gridCol w:w="1818"/>
        <w:gridCol w:w="630"/>
        <w:gridCol w:w="900"/>
        <w:gridCol w:w="1080"/>
        <w:gridCol w:w="2196"/>
        <w:gridCol w:w="1080"/>
        <w:gridCol w:w="810"/>
        <w:gridCol w:w="1080"/>
      </w:tblGrid>
      <w:tr w:rsidR="00505803" w:rsidRPr="00664A06" w:rsidTr="00AE5295">
        <w:trPr>
          <w:trHeight w:val="233"/>
          <w:jc w:val="center"/>
        </w:trPr>
        <w:tc>
          <w:tcPr>
            <w:tcW w:w="4428" w:type="dxa"/>
            <w:gridSpan w:val="4"/>
            <w:tcBorders>
              <w:right w:val="thinThickThinSmallGap" w:sz="24" w:space="0" w:color="auto"/>
            </w:tcBorders>
            <w:shd w:val="clear" w:color="auto" w:fill="D9D9D9" w:themeFill="background1" w:themeFillShade="D9"/>
            <w:vAlign w:val="center"/>
          </w:tcPr>
          <w:p w:rsidR="00505803" w:rsidRPr="00664A06" w:rsidRDefault="007B1198" w:rsidP="00505803">
            <w:pPr>
              <w:contextualSpacing/>
              <w:rPr>
                <w:rFonts w:cstheme="minorHAnsi"/>
                <w:b/>
                <w:color w:val="000000" w:themeColor="text1"/>
                <w:sz w:val="18"/>
                <w:szCs w:val="18"/>
              </w:rPr>
            </w:pPr>
            <w:r>
              <w:rPr>
                <w:rFonts w:cstheme="minorHAnsi"/>
                <w:b/>
                <w:color w:val="000000" w:themeColor="text1"/>
                <w:sz w:val="18"/>
                <w:szCs w:val="18"/>
              </w:rPr>
              <w:t xml:space="preserve">Final Service </w:t>
            </w:r>
            <w:r w:rsidR="00505803" w:rsidRPr="00664A06">
              <w:rPr>
                <w:rFonts w:cstheme="minorHAnsi"/>
                <w:b/>
                <w:color w:val="000000" w:themeColor="text1"/>
                <w:sz w:val="18"/>
                <w:szCs w:val="18"/>
              </w:rPr>
              <w:t>PEB – Dated 20051213</w:t>
            </w:r>
          </w:p>
        </w:tc>
        <w:tc>
          <w:tcPr>
            <w:tcW w:w="5166" w:type="dxa"/>
            <w:gridSpan w:val="4"/>
            <w:tcBorders>
              <w:left w:val="thinThickThinSmallGap" w:sz="24" w:space="0" w:color="auto"/>
            </w:tcBorders>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VA* – All Effective Date 20040309</w:t>
            </w:r>
          </w:p>
        </w:tc>
      </w:tr>
      <w:tr w:rsidR="00505803" w:rsidRPr="00664A06" w:rsidTr="00AE5295">
        <w:trPr>
          <w:trHeight w:val="233"/>
          <w:jc w:val="center"/>
        </w:trPr>
        <w:tc>
          <w:tcPr>
            <w:tcW w:w="1818" w:type="dxa"/>
            <w:tcBorders>
              <w:bottom w:val="single" w:sz="4" w:space="0" w:color="000000" w:themeColor="text1"/>
            </w:tcBorders>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Code</w:t>
            </w:r>
          </w:p>
        </w:tc>
        <w:tc>
          <w:tcPr>
            <w:tcW w:w="198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Rating</w:t>
            </w:r>
          </w:p>
        </w:tc>
        <w:tc>
          <w:tcPr>
            <w:tcW w:w="2196" w:type="dxa"/>
            <w:vMerge w:val="restart"/>
            <w:tcBorders>
              <w:left w:val="thinThickThinSmallGap" w:sz="24" w:space="0" w:color="auto"/>
            </w:tcBorders>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Condition</w:t>
            </w:r>
          </w:p>
        </w:tc>
        <w:tc>
          <w:tcPr>
            <w:tcW w:w="1080" w:type="dxa"/>
            <w:vMerge w:val="restart"/>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Code</w:t>
            </w:r>
          </w:p>
        </w:tc>
        <w:tc>
          <w:tcPr>
            <w:tcW w:w="810" w:type="dxa"/>
            <w:vMerge w:val="restart"/>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Rating</w:t>
            </w:r>
          </w:p>
        </w:tc>
        <w:tc>
          <w:tcPr>
            <w:tcW w:w="1080" w:type="dxa"/>
            <w:vMerge w:val="restart"/>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Exam</w:t>
            </w:r>
          </w:p>
        </w:tc>
      </w:tr>
      <w:tr w:rsidR="00505803" w:rsidRPr="00664A06" w:rsidTr="00AE5295">
        <w:trPr>
          <w:trHeight w:val="152"/>
          <w:jc w:val="center"/>
        </w:trPr>
        <w:tc>
          <w:tcPr>
            <w:tcW w:w="1818" w:type="dxa"/>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On TDRL – 20040309</w:t>
            </w:r>
          </w:p>
        </w:tc>
        <w:tc>
          <w:tcPr>
            <w:tcW w:w="630" w:type="dxa"/>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p>
        </w:tc>
        <w:tc>
          <w:tcPr>
            <w:tcW w:w="900" w:type="dxa"/>
            <w:tcBorders>
              <w:right w:val="single" w:sz="4" w:space="0" w:color="auto"/>
            </w:tcBorders>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r w:rsidRPr="00664A06">
              <w:rPr>
                <w:rFonts w:cstheme="minorHAnsi"/>
                <w:b/>
                <w:color w:val="000000" w:themeColor="text1"/>
                <w:sz w:val="18"/>
                <w:szCs w:val="18"/>
              </w:rPr>
              <w:t>TDRL</w:t>
            </w:r>
          </w:p>
        </w:tc>
        <w:tc>
          <w:tcPr>
            <w:tcW w:w="1080" w:type="dxa"/>
            <w:tcBorders>
              <w:left w:val="single" w:sz="4" w:space="0" w:color="auto"/>
              <w:right w:val="thinThickThinSmallGap" w:sz="24" w:space="0" w:color="auto"/>
            </w:tcBorders>
            <w:shd w:val="clear" w:color="auto" w:fill="D9D9D9" w:themeFill="background1" w:themeFillShade="D9"/>
            <w:vAlign w:val="center"/>
          </w:tcPr>
          <w:p w:rsidR="00505803" w:rsidRPr="00664A06" w:rsidRDefault="00AE5295" w:rsidP="00505803">
            <w:pPr>
              <w:tabs>
                <w:tab w:val="left" w:pos="206"/>
                <w:tab w:val="center" w:pos="387"/>
              </w:tabs>
              <w:contextualSpacing/>
              <w:rPr>
                <w:rFonts w:cstheme="minorHAnsi"/>
                <w:b/>
                <w:color w:val="000000" w:themeColor="text1"/>
                <w:sz w:val="18"/>
                <w:szCs w:val="18"/>
              </w:rPr>
            </w:pPr>
            <w:r>
              <w:rPr>
                <w:rFonts w:cstheme="minorHAnsi"/>
                <w:b/>
                <w:color w:val="000000" w:themeColor="text1"/>
                <w:sz w:val="18"/>
                <w:szCs w:val="18"/>
              </w:rPr>
              <w:t>Permanent</w:t>
            </w:r>
          </w:p>
        </w:tc>
        <w:tc>
          <w:tcPr>
            <w:tcW w:w="2196" w:type="dxa"/>
            <w:vMerge/>
            <w:tcBorders>
              <w:left w:val="thinThickThinSmallGap" w:sz="24" w:space="0" w:color="auto"/>
            </w:tcBorders>
            <w:shd w:val="clear" w:color="auto" w:fill="D9D9D9" w:themeFill="background1" w:themeFillShade="D9"/>
            <w:vAlign w:val="center"/>
          </w:tcPr>
          <w:p w:rsidR="00505803" w:rsidRPr="00664A06" w:rsidRDefault="00505803" w:rsidP="00505803">
            <w:pPr>
              <w:contextualSpacing/>
              <w:rPr>
                <w:rFonts w:cstheme="minorHAnsi"/>
                <w:b/>
                <w:color w:val="000000" w:themeColor="text1"/>
                <w:sz w:val="18"/>
                <w:szCs w:val="18"/>
              </w:rPr>
            </w:pPr>
          </w:p>
        </w:tc>
        <w:tc>
          <w:tcPr>
            <w:tcW w:w="1080" w:type="dxa"/>
            <w:vMerge/>
            <w:shd w:val="clear" w:color="auto" w:fill="C6D9F1" w:themeFill="text2" w:themeFillTint="33"/>
          </w:tcPr>
          <w:p w:rsidR="00505803" w:rsidRPr="00664A06" w:rsidRDefault="00505803" w:rsidP="00505803">
            <w:pPr>
              <w:contextualSpacing/>
              <w:rPr>
                <w:rFonts w:cstheme="minorHAnsi"/>
                <w:b/>
                <w:color w:val="000000" w:themeColor="text1"/>
                <w:sz w:val="18"/>
                <w:szCs w:val="18"/>
              </w:rPr>
            </w:pPr>
          </w:p>
        </w:tc>
        <w:tc>
          <w:tcPr>
            <w:tcW w:w="810" w:type="dxa"/>
            <w:vMerge/>
            <w:shd w:val="clear" w:color="auto" w:fill="C6D9F1" w:themeFill="text2" w:themeFillTint="33"/>
          </w:tcPr>
          <w:p w:rsidR="00505803" w:rsidRPr="00664A06" w:rsidRDefault="00505803" w:rsidP="00505803">
            <w:pPr>
              <w:contextualSpacing/>
              <w:rPr>
                <w:rFonts w:cstheme="minorHAnsi"/>
                <w:b/>
                <w:color w:val="000000" w:themeColor="text1"/>
                <w:sz w:val="18"/>
                <w:szCs w:val="18"/>
              </w:rPr>
            </w:pPr>
          </w:p>
        </w:tc>
        <w:tc>
          <w:tcPr>
            <w:tcW w:w="1080" w:type="dxa"/>
            <w:vMerge/>
            <w:shd w:val="clear" w:color="auto" w:fill="C6D9F1" w:themeFill="text2" w:themeFillTint="33"/>
          </w:tcPr>
          <w:p w:rsidR="00505803" w:rsidRPr="00664A06" w:rsidRDefault="00505803" w:rsidP="00505803">
            <w:pPr>
              <w:contextualSpacing/>
              <w:rPr>
                <w:rFonts w:cstheme="minorHAnsi"/>
                <w:b/>
                <w:color w:val="000000" w:themeColor="text1"/>
                <w:sz w:val="18"/>
                <w:szCs w:val="18"/>
              </w:rPr>
            </w:pPr>
          </w:p>
        </w:tc>
      </w:tr>
      <w:tr w:rsidR="0076526E" w:rsidRPr="00664A06" w:rsidTr="00AE5295">
        <w:trPr>
          <w:trHeight w:val="125"/>
          <w:jc w:val="center"/>
        </w:trPr>
        <w:tc>
          <w:tcPr>
            <w:tcW w:w="1818" w:type="dxa"/>
            <w:tcBorders>
              <w:right w:val="single" w:sz="4" w:space="0" w:color="auto"/>
            </w:tcBorders>
            <w:shd w:val="clear" w:color="auto" w:fill="FFFFFF" w:themeFill="background1"/>
            <w:vAlign w:val="center"/>
          </w:tcPr>
          <w:p w:rsidR="0076526E" w:rsidRPr="00664A06" w:rsidRDefault="0076526E" w:rsidP="00505803">
            <w:pPr>
              <w:spacing w:line="180" w:lineRule="exact"/>
              <w:contextualSpacing/>
              <w:jc w:val="left"/>
              <w:rPr>
                <w:color w:val="000000" w:themeColor="text1"/>
                <w:sz w:val="18"/>
                <w:szCs w:val="18"/>
              </w:rPr>
            </w:pPr>
            <w:r>
              <w:rPr>
                <w:color w:val="000000" w:themeColor="text1"/>
                <w:sz w:val="18"/>
                <w:szCs w:val="18"/>
              </w:rPr>
              <w:t>Chronic Left Knee Pain and Instability</w:t>
            </w:r>
          </w:p>
        </w:tc>
        <w:tc>
          <w:tcPr>
            <w:tcW w:w="630" w:type="dxa"/>
            <w:tcBorders>
              <w:left w:val="single" w:sz="4" w:space="0" w:color="auto"/>
            </w:tcBorders>
            <w:shd w:val="clear" w:color="auto" w:fill="FFFFFF" w:themeFill="background1"/>
            <w:vAlign w:val="center"/>
          </w:tcPr>
          <w:p w:rsidR="0076526E" w:rsidRPr="00664A06" w:rsidRDefault="0076526E" w:rsidP="00505803">
            <w:pPr>
              <w:spacing w:line="180" w:lineRule="exact"/>
              <w:contextualSpacing/>
              <w:rPr>
                <w:color w:val="000000" w:themeColor="text1"/>
                <w:sz w:val="18"/>
                <w:szCs w:val="18"/>
              </w:rPr>
            </w:pPr>
            <w:r>
              <w:rPr>
                <w:color w:val="000000" w:themeColor="text1"/>
                <w:sz w:val="18"/>
                <w:szCs w:val="18"/>
              </w:rPr>
              <w:t>5257</w:t>
            </w:r>
          </w:p>
        </w:tc>
        <w:tc>
          <w:tcPr>
            <w:tcW w:w="900" w:type="dxa"/>
            <w:tcBorders>
              <w:right w:val="single" w:sz="4" w:space="0" w:color="auto"/>
            </w:tcBorders>
            <w:shd w:val="clear" w:color="auto" w:fill="FFFFFF" w:themeFill="background1"/>
            <w:vAlign w:val="center"/>
          </w:tcPr>
          <w:p w:rsidR="0076526E" w:rsidRPr="00664A06" w:rsidRDefault="0076526E" w:rsidP="00505803">
            <w:pPr>
              <w:spacing w:line="180" w:lineRule="exact"/>
              <w:rPr>
                <w:color w:val="000000" w:themeColor="text1"/>
                <w:sz w:val="18"/>
                <w:szCs w:val="18"/>
              </w:rPr>
            </w:pPr>
            <w:r>
              <w:rPr>
                <w:color w:val="000000" w:themeColor="text1"/>
                <w:sz w:val="18"/>
                <w:szCs w:val="18"/>
              </w:rPr>
              <w:t>30%</w:t>
            </w:r>
          </w:p>
        </w:tc>
        <w:tc>
          <w:tcPr>
            <w:tcW w:w="1080" w:type="dxa"/>
            <w:tcBorders>
              <w:left w:val="single" w:sz="4" w:space="0" w:color="auto"/>
              <w:right w:val="thinThickThinSmallGap" w:sz="24" w:space="0" w:color="auto"/>
            </w:tcBorders>
            <w:shd w:val="clear" w:color="auto" w:fill="FFFFFF" w:themeFill="background1"/>
            <w:vAlign w:val="center"/>
          </w:tcPr>
          <w:p w:rsidR="0076526E" w:rsidRPr="00664A06" w:rsidRDefault="0076526E" w:rsidP="00505803">
            <w:pPr>
              <w:spacing w:line="180" w:lineRule="exact"/>
              <w:rPr>
                <w:color w:val="000000" w:themeColor="text1"/>
                <w:sz w:val="18"/>
                <w:szCs w:val="18"/>
              </w:rPr>
            </w:pPr>
          </w:p>
        </w:tc>
        <w:tc>
          <w:tcPr>
            <w:tcW w:w="2196" w:type="dxa"/>
            <w:vMerge w:val="restart"/>
            <w:tcBorders>
              <w:left w:val="thinThickThinSmallGap" w:sz="24" w:space="0" w:color="auto"/>
            </w:tcBorders>
            <w:shd w:val="clear" w:color="auto" w:fill="FFFFFF" w:themeFill="background1"/>
            <w:vAlign w:val="center"/>
          </w:tcPr>
          <w:p w:rsidR="00D1137C" w:rsidRDefault="0076526E">
            <w:pPr>
              <w:spacing w:line="180" w:lineRule="exact"/>
              <w:contextualSpacing/>
              <w:jc w:val="left"/>
              <w:rPr>
                <w:rFonts w:ascii="Calibri" w:eastAsia="Times New Roman" w:hAnsi="Calibri" w:cstheme="minorHAnsi"/>
                <w:color w:val="000000" w:themeColor="text1"/>
                <w:sz w:val="18"/>
                <w:szCs w:val="18"/>
              </w:rPr>
            </w:pPr>
            <w:r w:rsidRPr="00664A06">
              <w:rPr>
                <w:rFonts w:cstheme="minorHAnsi"/>
                <w:color w:val="000000" w:themeColor="text1"/>
                <w:sz w:val="18"/>
                <w:szCs w:val="18"/>
              </w:rPr>
              <w:t>Degenerative Arthritis of Left Knee</w:t>
            </w:r>
          </w:p>
        </w:tc>
        <w:tc>
          <w:tcPr>
            <w:tcW w:w="1080" w:type="dxa"/>
            <w:vMerge w:val="restart"/>
            <w:shd w:val="clear" w:color="auto" w:fill="FFFFFF" w:themeFill="background1"/>
            <w:vAlign w:val="center"/>
          </w:tcPr>
          <w:p w:rsidR="0076526E" w:rsidRPr="00664A06" w:rsidRDefault="0076526E" w:rsidP="0076526E">
            <w:pPr>
              <w:spacing w:line="180" w:lineRule="exact"/>
              <w:contextualSpacing/>
              <w:rPr>
                <w:color w:val="000000" w:themeColor="text1"/>
                <w:sz w:val="18"/>
                <w:szCs w:val="18"/>
              </w:rPr>
            </w:pPr>
            <w:r w:rsidRPr="00664A06">
              <w:rPr>
                <w:rFonts w:cstheme="minorHAnsi"/>
                <w:color w:val="000000" w:themeColor="text1"/>
                <w:sz w:val="18"/>
                <w:szCs w:val="18"/>
              </w:rPr>
              <w:t>7805-5010</w:t>
            </w:r>
          </w:p>
        </w:tc>
        <w:tc>
          <w:tcPr>
            <w:tcW w:w="810" w:type="dxa"/>
            <w:vMerge w:val="restart"/>
            <w:shd w:val="clear" w:color="auto" w:fill="FFFFFF" w:themeFill="background1"/>
            <w:vAlign w:val="center"/>
          </w:tcPr>
          <w:p w:rsidR="0076526E" w:rsidRPr="00664A06" w:rsidDel="006D17FF" w:rsidRDefault="0076526E" w:rsidP="0076526E">
            <w:pPr>
              <w:spacing w:line="180" w:lineRule="exact"/>
              <w:contextualSpacing/>
              <w:rPr>
                <w:color w:val="000000" w:themeColor="text1"/>
                <w:sz w:val="18"/>
                <w:szCs w:val="18"/>
              </w:rPr>
            </w:pPr>
            <w:r>
              <w:rPr>
                <w:rFonts w:cstheme="minorHAnsi"/>
                <w:color w:val="000000" w:themeColor="text1"/>
                <w:sz w:val="18"/>
                <w:szCs w:val="18"/>
              </w:rPr>
              <w:t>3</w:t>
            </w:r>
            <w:r w:rsidRPr="00664A06">
              <w:rPr>
                <w:rFonts w:cstheme="minorHAnsi"/>
                <w:color w:val="000000" w:themeColor="text1"/>
                <w:sz w:val="18"/>
                <w:szCs w:val="18"/>
              </w:rPr>
              <w:t>0%*</w:t>
            </w:r>
          </w:p>
        </w:tc>
        <w:tc>
          <w:tcPr>
            <w:tcW w:w="1080" w:type="dxa"/>
            <w:vMerge w:val="restart"/>
            <w:shd w:val="clear" w:color="auto" w:fill="FFFFFF" w:themeFill="background1"/>
            <w:vAlign w:val="center"/>
          </w:tcPr>
          <w:p w:rsidR="0076526E" w:rsidRPr="00664A06" w:rsidRDefault="0076526E" w:rsidP="0076526E">
            <w:pPr>
              <w:spacing w:line="180" w:lineRule="exact"/>
              <w:contextualSpacing/>
              <w:rPr>
                <w:color w:val="000000" w:themeColor="text1"/>
                <w:sz w:val="18"/>
                <w:szCs w:val="18"/>
              </w:rPr>
            </w:pPr>
            <w:r w:rsidRPr="00664A06">
              <w:rPr>
                <w:rFonts w:cstheme="minorHAnsi"/>
                <w:color w:val="000000" w:themeColor="text1"/>
                <w:sz w:val="18"/>
                <w:szCs w:val="18"/>
              </w:rPr>
              <w:t>20040604</w:t>
            </w:r>
          </w:p>
        </w:tc>
      </w:tr>
      <w:tr w:rsidR="0076526E" w:rsidRPr="00664A06" w:rsidTr="00AE5295">
        <w:trPr>
          <w:trHeight w:val="125"/>
          <w:jc w:val="center"/>
        </w:trPr>
        <w:tc>
          <w:tcPr>
            <w:tcW w:w="1818" w:type="dxa"/>
            <w:tcBorders>
              <w:right w:val="single" w:sz="4" w:space="0" w:color="auto"/>
            </w:tcBorders>
            <w:shd w:val="clear" w:color="auto" w:fill="FFFFFF" w:themeFill="background1"/>
            <w:vAlign w:val="center"/>
          </w:tcPr>
          <w:p w:rsidR="0076526E" w:rsidRPr="00664A06" w:rsidRDefault="0076526E" w:rsidP="00505803">
            <w:pPr>
              <w:spacing w:line="180" w:lineRule="exact"/>
              <w:contextualSpacing/>
              <w:jc w:val="left"/>
              <w:rPr>
                <w:rFonts w:eastAsia="Times New Roman" w:cstheme="minorHAnsi"/>
                <w:color w:val="000000" w:themeColor="text1"/>
                <w:sz w:val="18"/>
                <w:szCs w:val="18"/>
              </w:rPr>
            </w:pPr>
            <w:r w:rsidRPr="00664A06">
              <w:rPr>
                <w:rFonts w:cstheme="minorHAnsi"/>
                <w:color w:val="000000" w:themeColor="text1"/>
                <w:sz w:val="18"/>
                <w:szCs w:val="18"/>
              </w:rPr>
              <w:t>Pain and  Limited Motion of Left Knee</w:t>
            </w:r>
          </w:p>
        </w:tc>
        <w:tc>
          <w:tcPr>
            <w:tcW w:w="630" w:type="dxa"/>
            <w:tcBorders>
              <w:left w:val="single" w:sz="4" w:space="0" w:color="auto"/>
            </w:tcBorders>
            <w:shd w:val="clear" w:color="auto" w:fill="FFFFFF" w:themeFill="background1"/>
            <w:vAlign w:val="center"/>
          </w:tcPr>
          <w:p w:rsidR="0076526E" w:rsidRPr="00664A06" w:rsidRDefault="0076526E" w:rsidP="00505803">
            <w:pPr>
              <w:spacing w:line="180" w:lineRule="exact"/>
              <w:contextualSpacing/>
              <w:rPr>
                <w:rFonts w:eastAsia="Times New Roman" w:cstheme="minorHAnsi"/>
                <w:color w:val="000000" w:themeColor="text1"/>
                <w:sz w:val="18"/>
                <w:szCs w:val="18"/>
              </w:rPr>
            </w:pPr>
            <w:r w:rsidRPr="00664A06">
              <w:rPr>
                <w:rFonts w:cstheme="minorHAnsi"/>
                <w:color w:val="000000" w:themeColor="text1"/>
                <w:sz w:val="18"/>
                <w:szCs w:val="18"/>
              </w:rPr>
              <w:t>5003</w:t>
            </w:r>
          </w:p>
        </w:tc>
        <w:tc>
          <w:tcPr>
            <w:tcW w:w="900" w:type="dxa"/>
            <w:tcBorders>
              <w:right w:val="single" w:sz="4" w:space="0" w:color="auto"/>
            </w:tcBorders>
            <w:shd w:val="clear" w:color="auto" w:fill="FFFFFF" w:themeFill="background1"/>
            <w:vAlign w:val="center"/>
          </w:tcPr>
          <w:p w:rsidR="0076526E" w:rsidRPr="00664A06" w:rsidRDefault="0076526E" w:rsidP="00505803">
            <w:pPr>
              <w:spacing w:line="180" w:lineRule="exact"/>
              <w:rPr>
                <w:rFonts w:eastAsia="Times New Roman" w:cstheme="minorHAnsi"/>
                <w:color w:val="000000" w:themeColor="text1"/>
                <w:sz w:val="18"/>
                <w:szCs w:val="18"/>
              </w:rPr>
            </w:pPr>
          </w:p>
        </w:tc>
        <w:tc>
          <w:tcPr>
            <w:tcW w:w="1080" w:type="dxa"/>
            <w:tcBorders>
              <w:left w:val="single" w:sz="4" w:space="0" w:color="auto"/>
              <w:right w:val="thinThickThinSmallGap" w:sz="24" w:space="0" w:color="auto"/>
            </w:tcBorders>
            <w:shd w:val="clear" w:color="auto" w:fill="FFFFFF" w:themeFill="background1"/>
            <w:vAlign w:val="center"/>
          </w:tcPr>
          <w:p w:rsidR="0076526E" w:rsidRPr="00664A06" w:rsidRDefault="0076526E" w:rsidP="00505803">
            <w:pPr>
              <w:spacing w:line="180" w:lineRule="exact"/>
              <w:rPr>
                <w:rFonts w:eastAsia="Times New Roman" w:cstheme="minorHAnsi"/>
                <w:color w:val="000000" w:themeColor="text1"/>
                <w:sz w:val="18"/>
                <w:szCs w:val="18"/>
              </w:rPr>
            </w:pPr>
            <w:r w:rsidRPr="00664A06">
              <w:rPr>
                <w:rFonts w:cstheme="minorHAnsi"/>
                <w:color w:val="000000" w:themeColor="text1"/>
                <w:sz w:val="18"/>
                <w:szCs w:val="18"/>
              </w:rPr>
              <w:t>10%</w:t>
            </w:r>
          </w:p>
        </w:tc>
        <w:tc>
          <w:tcPr>
            <w:tcW w:w="2196" w:type="dxa"/>
            <w:vMerge/>
            <w:tcBorders>
              <w:left w:val="thinThickThinSmallGap" w:sz="24" w:space="0" w:color="auto"/>
            </w:tcBorders>
            <w:shd w:val="clear" w:color="auto" w:fill="FFFFFF" w:themeFill="background1"/>
          </w:tcPr>
          <w:p w:rsidR="0076526E" w:rsidRPr="00664A06" w:rsidRDefault="0076526E" w:rsidP="00505803">
            <w:pPr>
              <w:spacing w:line="180" w:lineRule="exact"/>
              <w:contextualSpacing/>
              <w:jc w:val="both"/>
              <w:rPr>
                <w:rFonts w:eastAsia="Times New Roman" w:cstheme="minorHAnsi"/>
                <w:color w:val="000000" w:themeColor="text1"/>
                <w:sz w:val="18"/>
                <w:szCs w:val="18"/>
              </w:rPr>
            </w:pPr>
          </w:p>
        </w:tc>
        <w:tc>
          <w:tcPr>
            <w:tcW w:w="1080" w:type="dxa"/>
            <w:vMerge/>
            <w:shd w:val="clear" w:color="auto" w:fill="FFFFFF" w:themeFill="background1"/>
            <w:vAlign w:val="center"/>
          </w:tcPr>
          <w:p w:rsidR="0076526E" w:rsidRPr="00664A06" w:rsidRDefault="0076526E" w:rsidP="00505803">
            <w:pPr>
              <w:spacing w:line="180" w:lineRule="exact"/>
              <w:contextualSpacing/>
              <w:rPr>
                <w:rFonts w:eastAsia="Times New Roman" w:cstheme="minorHAnsi"/>
                <w:color w:val="000000" w:themeColor="text1"/>
                <w:sz w:val="18"/>
                <w:szCs w:val="18"/>
              </w:rPr>
            </w:pPr>
          </w:p>
        </w:tc>
        <w:tc>
          <w:tcPr>
            <w:tcW w:w="810" w:type="dxa"/>
            <w:vMerge/>
            <w:shd w:val="clear" w:color="auto" w:fill="FFFFFF" w:themeFill="background1"/>
            <w:vAlign w:val="center"/>
          </w:tcPr>
          <w:p w:rsidR="0076526E" w:rsidRPr="00664A06" w:rsidRDefault="0076526E" w:rsidP="00505803">
            <w:pPr>
              <w:spacing w:line="180" w:lineRule="exact"/>
              <w:contextualSpacing/>
              <w:rPr>
                <w:rFonts w:eastAsia="Times New Roman" w:cstheme="minorHAnsi"/>
                <w:color w:val="000000" w:themeColor="text1"/>
                <w:sz w:val="18"/>
                <w:szCs w:val="18"/>
              </w:rPr>
            </w:pPr>
          </w:p>
        </w:tc>
        <w:tc>
          <w:tcPr>
            <w:tcW w:w="1080" w:type="dxa"/>
            <w:vMerge/>
            <w:shd w:val="clear" w:color="auto" w:fill="FFFFFF" w:themeFill="background1"/>
            <w:vAlign w:val="center"/>
          </w:tcPr>
          <w:p w:rsidR="0076526E" w:rsidRPr="00664A06" w:rsidRDefault="0076526E" w:rsidP="00505803">
            <w:pPr>
              <w:spacing w:line="180" w:lineRule="exact"/>
              <w:contextualSpacing/>
              <w:rPr>
                <w:rFonts w:eastAsia="Times New Roman" w:cstheme="minorHAnsi"/>
                <w:color w:val="000000" w:themeColor="text1"/>
                <w:sz w:val="18"/>
                <w:szCs w:val="18"/>
              </w:rPr>
            </w:pPr>
          </w:p>
        </w:tc>
      </w:tr>
      <w:tr w:rsidR="00505803" w:rsidRPr="00664A06" w:rsidTr="00AE5295">
        <w:trPr>
          <w:trHeight w:val="125"/>
          <w:jc w:val="center"/>
        </w:trPr>
        <w:tc>
          <w:tcPr>
            <w:tcW w:w="4428" w:type="dxa"/>
            <w:gridSpan w:val="4"/>
            <w:vMerge w:val="restart"/>
            <w:tcBorders>
              <w:right w:val="thinThickThinSmallGap" w:sz="24" w:space="0" w:color="auto"/>
            </w:tcBorders>
            <w:shd w:val="clear" w:color="auto" w:fill="FFFFFF" w:themeFill="background1"/>
            <w:vAlign w:val="center"/>
          </w:tcPr>
          <w:p w:rsidR="00505803" w:rsidRPr="00664A06" w:rsidRDefault="00505803" w:rsidP="006D17FF">
            <w:pPr>
              <w:spacing w:line="180" w:lineRule="exact"/>
              <w:contextualSpacing/>
              <w:rPr>
                <w:rFonts w:eastAsia="Times New Roman" w:cstheme="minorHAnsi"/>
                <w:color w:val="000000" w:themeColor="text1"/>
                <w:sz w:val="18"/>
                <w:szCs w:val="18"/>
              </w:rPr>
            </w:pPr>
            <w:r w:rsidRPr="00664A06">
              <w:rPr>
                <w:rFonts w:cstheme="minorHAnsi"/>
                <w:color w:val="000000" w:themeColor="text1"/>
                <w:sz w:val="18"/>
                <w:szCs w:val="18"/>
              </w:rPr>
              <w:t>↓No Additional MEB/PEB Entries↓</w:t>
            </w:r>
          </w:p>
        </w:tc>
        <w:tc>
          <w:tcPr>
            <w:tcW w:w="2196" w:type="dxa"/>
            <w:tcBorders>
              <w:left w:val="thinThickThinSmallGap" w:sz="24" w:space="0" w:color="auto"/>
            </w:tcBorders>
            <w:shd w:val="clear" w:color="auto" w:fill="FFFFFF" w:themeFill="background1"/>
          </w:tcPr>
          <w:p w:rsidR="00505803" w:rsidRPr="00664A06" w:rsidRDefault="00505803" w:rsidP="00505803">
            <w:pPr>
              <w:spacing w:line="180" w:lineRule="exact"/>
              <w:contextualSpacing/>
              <w:jc w:val="both"/>
              <w:rPr>
                <w:rFonts w:eastAsia="Times New Roman" w:cstheme="minorHAnsi"/>
                <w:color w:val="000000" w:themeColor="text1"/>
                <w:sz w:val="18"/>
                <w:szCs w:val="18"/>
              </w:rPr>
            </w:pPr>
            <w:r w:rsidRPr="00664A06">
              <w:rPr>
                <w:rFonts w:cstheme="minorHAnsi"/>
                <w:color w:val="000000" w:themeColor="text1"/>
                <w:sz w:val="18"/>
                <w:szCs w:val="18"/>
              </w:rPr>
              <w:t>Degenerative Arthritis of Right Shoulder</w:t>
            </w:r>
          </w:p>
        </w:tc>
        <w:tc>
          <w:tcPr>
            <w:tcW w:w="1080" w:type="dxa"/>
            <w:shd w:val="clear" w:color="auto" w:fill="FFFFFF" w:themeFill="background1"/>
            <w:vAlign w:val="center"/>
          </w:tcPr>
          <w:p w:rsidR="00505803" w:rsidRPr="00664A06" w:rsidRDefault="00505803" w:rsidP="00505803">
            <w:pPr>
              <w:spacing w:line="180" w:lineRule="exact"/>
              <w:contextualSpacing/>
              <w:rPr>
                <w:rFonts w:eastAsia="Times New Roman" w:cstheme="minorHAnsi"/>
                <w:color w:val="000000" w:themeColor="text1"/>
                <w:sz w:val="18"/>
                <w:szCs w:val="18"/>
              </w:rPr>
            </w:pPr>
            <w:r w:rsidRPr="00664A06">
              <w:rPr>
                <w:rFonts w:cstheme="minorHAnsi"/>
                <w:color w:val="000000" w:themeColor="text1"/>
                <w:sz w:val="18"/>
                <w:szCs w:val="18"/>
              </w:rPr>
              <w:t>5003</w:t>
            </w:r>
          </w:p>
        </w:tc>
        <w:tc>
          <w:tcPr>
            <w:tcW w:w="810" w:type="dxa"/>
            <w:shd w:val="clear" w:color="auto" w:fill="FFFFFF" w:themeFill="background1"/>
            <w:vAlign w:val="center"/>
          </w:tcPr>
          <w:p w:rsidR="00505803" w:rsidRPr="00664A06" w:rsidRDefault="00505803" w:rsidP="00505803">
            <w:pPr>
              <w:spacing w:line="180" w:lineRule="exact"/>
              <w:contextualSpacing/>
              <w:rPr>
                <w:rFonts w:eastAsia="Times New Roman" w:cstheme="minorHAnsi"/>
                <w:color w:val="000000" w:themeColor="text1"/>
                <w:sz w:val="18"/>
                <w:szCs w:val="18"/>
              </w:rPr>
            </w:pPr>
            <w:r w:rsidRPr="00664A06">
              <w:rPr>
                <w:rFonts w:cstheme="minorHAnsi"/>
                <w:color w:val="000000" w:themeColor="text1"/>
                <w:sz w:val="18"/>
                <w:szCs w:val="18"/>
              </w:rPr>
              <w:t>10%</w:t>
            </w:r>
          </w:p>
        </w:tc>
        <w:tc>
          <w:tcPr>
            <w:tcW w:w="1080" w:type="dxa"/>
            <w:shd w:val="clear" w:color="auto" w:fill="FFFFFF" w:themeFill="background1"/>
            <w:vAlign w:val="center"/>
          </w:tcPr>
          <w:p w:rsidR="00505803" w:rsidRPr="00664A06" w:rsidRDefault="00505803" w:rsidP="00505803">
            <w:pPr>
              <w:spacing w:line="180" w:lineRule="exact"/>
              <w:contextualSpacing/>
              <w:rPr>
                <w:rFonts w:eastAsia="Times New Roman" w:cstheme="minorHAnsi"/>
                <w:color w:val="000000" w:themeColor="text1"/>
                <w:sz w:val="18"/>
                <w:szCs w:val="18"/>
              </w:rPr>
            </w:pPr>
            <w:r w:rsidRPr="00664A06">
              <w:rPr>
                <w:rFonts w:cstheme="minorHAnsi"/>
                <w:color w:val="000000" w:themeColor="text1"/>
                <w:sz w:val="18"/>
                <w:szCs w:val="18"/>
              </w:rPr>
              <w:t>20040604</w:t>
            </w:r>
          </w:p>
        </w:tc>
      </w:tr>
      <w:tr w:rsidR="00505803" w:rsidRPr="00664A06" w:rsidTr="00AE5295">
        <w:trPr>
          <w:trHeight w:val="245"/>
          <w:jc w:val="center"/>
        </w:trPr>
        <w:tc>
          <w:tcPr>
            <w:tcW w:w="4428" w:type="dxa"/>
            <w:gridSpan w:val="4"/>
            <w:vMerge/>
            <w:tcBorders>
              <w:bottom w:val="single" w:sz="4" w:space="0" w:color="000000" w:themeColor="text1"/>
              <w:right w:val="thinThickThinSmallGap" w:sz="24" w:space="0" w:color="auto"/>
            </w:tcBorders>
            <w:shd w:val="clear" w:color="auto" w:fill="FFFFFF" w:themeFill="background1"/>
          </w:tcPr>
          <w:p w:rsidR="00505803" w:rsidRPr="00664A06" w:rsidRDefault="00505803" w:rsidP="00505803">
            <w:pPr>
              <w:spacing w:line="180" w:lineRule="exact"/>
              <w:contextualSpacing/>
              <w:rPr>
                <w:rFonts w:eastAsia="Times New Roman" w:cstheme="minorHAnsi"/>
                <w:color w:val="000000" w:themeColor="text1"/>
                <w:sz w:val="18"/>
                <w:szCs w:val="18"/>
              </w:rPr>
            </w:pPr>
          </w:p>
        </w:tc>
        <w:tc>
          <w:tcPr>
            <w:tcW w:w="5166" w:type="dxa"/>
            <w:gridSpan w:val="4"/>
            <w:tcBorders>
              <w:left w:val="thinThickThinSmallGap" w:sz="24" w:space="0" w:color="auto"/>
              <w:bottom w:val="single" w:sz="4" w:space="0" w:color="000000" w:themeColor="text1"/>
            </w:tcBorders>
            <w:shd w:val="clear" w:color="auto" w:fill="FFFFFF" w:themeFill="background1"/>
            <w:vAlign w:val="center"/>
          </w:tcPr>
          <w:p w:rsidR="00505803" w:rsidRPr="00664A06" w:rsidRDefault="007B1198" w:rsidP="00505803">
            <w:pPr>
              <w:spacing w:line="180" w:lineRule="exact"/>
              <w:contextualSpacing/>
              <w:rPr>
                <w:rFonts w:eastAsia="Times New Roman" w:cstheme="minorHAnsi"/>
                <w:color w:val="000000" w:themeColor="text1"/>
                <w:sz w:val="18"/>
                <w:szCs w:val="18"/>
              </w:rPr>
            </w:pPr>
            <w:r>
              <w:rPr>
                <w:rFonts w:cstheme="minorHAnsi"/>
                <w:color w:val="000000" w:themeColor="text1"/>
                <w:sz w:val="18"/>
                <w:szCs w:val="18"/>
              </w:rPr>
              <w:t>0% x 1/Not Service-</w:t>
            </w:r>
            <w:r w:rsidR="00505803" w:rsidRPr="00664A06">
              <w:rPr>
                <w:rFonts w:cstheme="minorHAnsi"/>
                <w:color w:val="000000" w:themeColor="text1"/>
                <w:sz w:val="18"/>
                <w:szCs w:val="18"/>
              </w:rPr>
              <w:t>Connected x 2</w:t>
            </w:r>
          </w:p>
        </w:tc>
      </w:tr>
      <w:tr w:rsidR="00505803" w:rsidRPr="00664A06" w:rsidTr="00AE5295">
        <w:trPr>
          <w:trHeight w:val="242"/>
          <w:jc w:val="center"/>
        </w:trPr>
        <w:tc>
          <w:tcPr>
            <w:tcW w:w="4428" w:type="dxa"/>
            <w:gridSpan w:val="4"/>
            <w:tcBorders>
              <w:right w:val="thinThickThinSmallGap" w:sz="24" w:space="0" w:color="auto"/>
            </w:tcBorders>
            <w:shd w:val="clear" w:color="auto" w:fill="D9D9D9" w:themeFill="background1" w:themeFillShade="D9"/>
            <w:vAlign w:val="center"/>
          </w:tcPr>
          <w:p w:rsidR="00505803" w:rsidRPr="00664A06" w:rsidRDefault="00505803" w:rsidP="00505803">
            <w:pPr>
              <w:contextualSpacing/>
              <w:rPr>
                <w:rFonts w:cstheme="minorHAnsi"/>
                <w:color w:val="000000" w:themeColor="text1"/>
                <w:sz w:val="18"/>
                <w:szCs w:val="18"/>
              </w:rPr>
            </w:pPr>
            <w:r w:rsidRPr="00664A06">
              <w:rPr>
                <w:rFonts w:cstheme="minorHAnsi"/>
                <w:color w:val="000000" w:themeColor="text1"/>
                <w:sz w:val="18"/>
                <w:szCs w:val="18"/>
              </w:rPr>
              <w:t>Combined:  10%</w:t>
            </w:r>
          </w:p>
        </w:tc>
        <w:tc>
          <w:tcPr>
            <w:tcW w:w="5166" w:type="dxa"/>
            <w:gridSpan w:val="4"/>
            <w:tcBorders>
              <w:left w:val="thinThickThinSmallGap" w:sz="24" w:space="0" w:color="auto"/>
            </w:tcBorders>
            <w:shd w:val="clear" w:color="auto" w:fill="D9D9D9" w:themeFill="background1" w:themeFillShade="D9"/>
            <w:vAlign w:val="center"/>
          </w:tcPr>
          <w:p w:rsidR="00505803" w:rsidRPr="00664A06" w:rsidRDefault="00505803" w:rsidP="006D17FF">
            <w:pPr>
              <w:contextualSpacing/>
              <w:rPr>
                <w:rFonts w:cstheme="minorHAnsi"/>
                <w:color w:val="000000" w:themeColor="text1"/>
                <w:sz w:val="18"/>
                <w:szCs w:val="18"/>
              </w:rPr>
            </w:pPr>
            <w:r w:rsidRPr="00664A06">
              <w:rPr>
                <w:rFonts w:cstheme="minorHAnsi"/>
                <w:color w:val="000000" w:themeColor="text1"/>
                <w:sz w:val="18"/>
                <w:szCs w:val="18"/>
              </w:rPr>
              <w:t xml:space="preserve">Combined:  </w:t>
            </w:r>
            <w:r w:rsidR="006D17FF">
              <w:rPr>
                <w:rFonts w:cstheme="minorHAnsi"/>
                <w:color w:val="000000" w:themeColor="text1"/>
                <w:sz w:val="18"/>
                <w:szCs w:val="18"/>
              </w:rPr>
              <w:t>4</w:t>
            </w:r>
            <w:r w:rsidR="006D17FF" w:rsidRPr="00664A06">
              <w:rPr>
                <w:rFonts w:cstheme="minorHAnsi"/>
                <w:color w:val="000000" w:themeColor="text1"/>
                <w:sz w:val="18"/>
                <w:szCs w:val="18"/>
              </w:rPr>
              <w:t>0</w:t>
            </w:r>
            <w:r w:rsidRPr="00664A06">
              <w:rPr>
                <w:rFonts w:cstheme="minorHAnsi"/>
                <w:color w:val="000000" w:themeColor="text1"/>
                <w:sz w:val="18"/>
                <w:szCs w:val="18"/>
              </w:rPr>
              <w:t>%</w:t>
            </w:r>
          </w:p>
        </w:tc>
      </w:tr>
    </w:tbl>
    <w:p w:rsidR="00D1137C" w:rsidRPr="00134C58" w:rsidRDefault="006D17FF">
      <w:pPr>
        <w:pStyle w:val="ListParagraph"/>
        <w:spacing w:after="0" w:line="240" w:lineRule="exact"/>
        <w:ind w:left="144"/>
        <w:jc w:val="left"/>
        <w:rPr>
          <w:b/>
          <w:color w:val="000000" w:themeColor="text1"/>
          <w:sz w:val="18"/>
          <w:szCs w:val="18"/>
        </w:rPr>
      </w:pPr>
      <w:r>
        <w:rPr>
          <w:color w:val="000000" w:themeColor="text1"/>
          <w:sz w:val="18"/>
          <w:szCs w:val="18"/>
        </w:rPr>
        <w:t xml:space="preserve">*Originally rated at 10% but increased to 30% with same effective date </w:t>
      </w:r>
      <w:r w:rsidR="00645B9B">
        <w:rPr>
          <w:color w:val="000000" w:themeColor="text1"/>
          <w:sz w:val="18"/>
          <w:szCs w:val="18"/>
        </w:rPr>
        <w:t xml:space="preserve">after de novo </w:t>
      </w:r>
      <w:r w:rsidR="0002387C">
        <w:rPr>
          <w:color w:val="000000" w:themeColor="text1"/>
          <w:sz w:val="18"/>
          <w:szCs w:val="18"/>
        </w:rPr>
        <w:t xml:space="preserve">review </w:t>
      </w:r>
      <w:r w:rsidR="0002387C" w:rsidRPr="00E45685">
        <w:rPr>
          <w:color w:val="000000" w:themeColor="text1"/>
          <w:sz w:val="18"/>
          <w:szCs w:val="18"/>
        </w:rPr>
        <w:t>20050429</w:t>
      </w:r>
      <w:r w:rsidR="00134C58">
        <w:rPr>
          <w:color w:val="000000" w:themeColor="text1"/>
          <w:sz w:val="18"/>
          <w:szCs w:val="18"/>
        </w:rPr>
        <w:t>.</w:t>
      </w:r>
    </w:p>
    <w:p w:rsidR="009369A6" w:rsidRPr="00134C58" w:rsidRDefault="00505803" w:rsidP="00134C58">
      <w:pPr>
        <w:jc w:val="both"/>
        <w:rPr>
          <w:rFonts w:asciiTheme="minorHAnsi" w:hAnsiTheme="minorHAnsi"/>
          <w:b/>
          <w:color w:val="auto"/>
          <w:szCs w:val="24"/>
          <w:u w:val="single"/>
        </w:rPr>
      </w:pPr>
      <w:r w:rsidRPr="00134C58">
        <w:rPr>
          <w:rFonts w:asciiTheme="minorHAnsi" w:hAnsiTheme="minorHAnsi"/>
          <w:b/>
          <w:color w:val="auto"/>
          <w:szCs w:val="24"/>
          <w:u w:val="single"/>
        </w:rPr>
        <w:t>______________________________________________________________________________</w:t>
      </w:r>
    </w:p>
    <w:p w:rsidR="00C64EA4" w:rsidRPr="00134C58" w:rsidRDefault="00C64EA4" w:rsidP="00134C58">
      <w:pPr>
        <w:jc w:val="both"/>
        <w:rPr>
          <w:rFonts w:asciiTheme="minorHAnsi" w:hAnsiTheme="minorHAnsi"/>
          <w:b/>
          <w:color w:val="auto"/>
          <w:szCs w:val="24"/>
          <w:u w:val="single"/>
        </w:rPr>
      </w:pPr>
    </w:p>
    <w:p w:rsidR="002F6AD8" w:rsidRDefault="002C6E5B" w:rsidP="00134C58">
      <w:pPr>
        <w:jc w:val="both"/>
        <w:rPr>
          <w:rFonts w:asciiTheme="minorHAnsi" w:hAnsiTheme="minorHAnsi"/>
          <w:color w:val="auto"/>
          <w:szCs w:val="24"/>
        </w:rPr>
      </w:pPr>
      <w:r w:rsidRPr="00134C58">
        <w:rPr>
          <w:rFonts w:asciiTheme="minorHAnsi" w:hAnsiTheme="minorHAnsi"/>
          <w:color w:val="auto"/>
          <w:szCs w:val="24"/>
          <w:u w:val="single"/>
        </w:rPr>
        <w:t>ANALYSIS SUMMARY</w:t>
      </w:r>
      <w:r w:rsidRPr="00134C58">
        <w:rPr>
          <w:rFonts w:asciiTheme="minorHAnsi" w:hAnsiTheme="minorHAnsi"/>
          <w:color w:val="auto"/>
          <w:szCs w:val="24"/>
        </w:rPr>
        <w:t>:</w:t>
      </w:r>
      <w:r w:rsidR="00971887" w:rsidRPr="00134C58">
        <w:rPr>
          <w:rFonts w:asciiTheme="minorHAnsi" w:hAnsiTheme="minorHAnsi"/>
          <w:color w:val="auto"/>
          <w:szCs w:val="24"/>
        </w:rPr>
        <w:t xml:space="preserve"> </w:t>
      </w:r>
      <w:r w:rsidR="00821268" w:rsidRPr="00134C58">
        <w:rPr>
          <w:rFonts w:asciiTheme="minorHAnsi" w:hAnsiTheme="minorHAnsi"/>
          <w:color w:val="auto"/>
          <w:szCs w:val="24"/>
        </w:rPr>
        <w:t xml:space="preserve"> </w:t>
      </w:r>
      <w:r w:rsidR="008A612C" w:rsidRPr="00134C58">
        <w:rPr>
          <w:rFonts w:asciiTheme="minorHAnsi" w:hAnsiTheme="minorHAnsi"/>
          <w:color w:val="auto"/>
          <w:szCs w:val="24"/>
        </w:rPr>
        <w:t xml:space="preserve">The Board acknowledges the sentiment expressed in the CI’s application, i.e., that the gravity of his condition merits consideration for a higher separation </w:t>
      </w:r>
      <w:r w:rsidR="0002387C" w:rsidRPr="00134C58">
        <w:rPr>
          <w:rFonts w:asciiTheme="minorHAnsi" w:hAnsiTheme="minorHAnsi"/>
          <w:color w:val="auto"/>
          <w:szCs w:val="24"/>
        </w:rPr>
        <w:t xml:space="preserve">rating. </w:t>
      </w:r>
      <w:r w:rsidR="007B1198">
        <w:rPr>
          <w:rFonts w:asciiTheme="minorHAnsi" w:hAnsiTheme="minorHAnsi"/>
          <w:color w:val="auto"/>
          <w:szCs w:val="24"/>
        </w:rPr>
        <w:t xml:space="preserve"> </w:t>
      </w:r>
      <w:r w:rsidR="0002387C" w:rsidRPr="00134C58">
        <w:rPr>
          <w:rFonts w:asciiTheme="minorHAnsi" w:hAnsiTheme="minorHAnsi"/>
          <w:color w:val="auto"/>
          <w:szCs w:val="24"/>
        </w:rPr>
        <w:t>The</w:t>
      </w:r>
      <w:r w:rsidR="00D9162C" w:rsidRPr="00134C58">
        <w:rPr>
          <w:rFonts w:asciiTheme="minorHAnsi" w:hAnsiTheme="minorHAnsi"/>
          <w:color w:val="auto"/>
          <w:szCs w:val="24"/>
        </w:rPr>
        <w:t xml:space="preserve"> Board wishes to clarify that it is subject to the same laws for service disability entitlements as those under which the </w:t>
      </w:r>
      <w:r w:rsidR="007B1198">
        <w:rPr>
          <w:rFonts w:asciiTheme="minorHAnsi" w:hAnsiTheme="minorHAnsi"/>
          <w:color w:val="auto"/>
          <w:szCs w:val="24"/>
        </w:rPr>
        <w:t>DES</w:t>
      </w:r>
      <w:r w:rsidR="00D9162C" w:rsidRPr="00134C58">
        <w:rPr>
          <w:rFonts w:asciiTheme="minorHAnsi" w:hAnsiTheme="minorHAnsi"/>
          <w:color w:val="auto"/>
          <w:szCs w:val="24"/>
        </w:rPr>
        <w:t xml:space="preserve"> operates. </w:t>
      </w:r>
      <w:r w:rsidR="007B1198">
        <w:rPr>
          <w:rFonts w:asciiTheme="minorHAnsi" w:hAnsiTheme="minorHAnsi"/>
          <w:color w:val="auto"/>
          <w:szCs w:val="24"/>
        </w:rPr>
        <w:t xml:space="preserve"> </w:t>
      </w:r>
      <w:r w:rsidR="00D9162C" w:rsidRPr="00134C58">
        <w:rPr>
          <w:rFonts w:asciiTheme="minorHAnsi" w:hAnsiTheme="minorHAnsi"/>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w:t>
      </w:r>
      <w:r w:rsidR="00D9162C" w:rsidRPr="00134C58">
        <w:rPr>
          <w:rFonts w:asciiTheme="minorHAnsi" w:hAnsiTheme="minorHAnsi"/>
          <w:color w:val="auto"/>
          <w:szCs w:val="24"/>
        </w:rPr>
        <w:lastRenderedPageBreak/>
        <w:t xml:space="preserve">final disposition. </w:t>
      </w:r>
      <w:r w:rsidR="007B1198">
        <w:rPr>
          <w:rFonts w:asciiTheme="minorHAnsi" w:hAnsiTheme="minorHAnsi"/>
          <w:color w:val="auto"/>
          <w:szCs w:val="24"/>
        </w:rPr>
        <w:t xml:space="preserve"> </w:t>
      </w:r>
      <w:r w:rsidR="00D9162C" w:rsidRPr="00134C58">
        <w:rPr>
          <w:rFonts w:asciiTheme="minorHAnsi" w:hAnsiTheme="minorHAnsi"/>
          <w:color w:val="auto"/>
          <w:szCs w:val="24"/>
        </w:rPr>
        <w:t xml:space="preserve">In TDRL cases, the Board must also adhere to the DES standard that only those conditions which were present and unfitting at the time of temporary retirement may be considered for compensation and rating at the time of permanent separation or retirement. The VA ratings which the Board considers in that regard are those rendered most proximate to separation. </w:t>
      </w:r>
      <w:r w:rsidR="007B1198">
        <w:rPr>
          <w:rFonts w:asciiTheme="minorHAnsi" w:hAnsiTheme="minorHAnsi"/>
          <w:color w:val="auto"/>
          <w:szCs w:val="24"/>
        </w:rPr>
        <w:t xml:space="preserve"> </w:t>
      </w:r>
      <w:r w:rsidR="00D9162C" w:rsidRPr="00134C58">
        <w:rPr>
          <w:color w:val="auto"/>
          <w:szCs w:val="24"/>
        </w:rPr>
        <w:t xml:space="preserve">The Board utilizes </w:t>
      </w:r>
      <w:r w:rsidR="007B1198">
        <w:rPr>
          <w:color w:val="auto"/>
          <w:szCs w:val="24"/>
        </w:rPr>
        <w:t>Department of Veterans’ Affairs (D</w:t>
      </w:r>
      <w:r w:rsidR="00D9162C" w:rsidRPr="00134C58">
        <w:rPr>
          <w:color w:val="auto"/>
          <w:szCs w:val="24"/>
        </w:rPr>
        <w:t>VA</w:t>
      </w:r>
      <w:r w:rsidR="007B1198">
        <w:rPr>
          <w:color w:val="auto"/>
          <w:szCs w:val="24"/>
        </w:rPr>
        <w:t>)</w:t>
      </w:r>
      <w:r w:rsidR="00D9162C" w:rsidRPr="00134C58">
        <w:rPr>
          <w:color w:val="auto"/>
          <w:szCs w:val="24"/>
        </w:rPr>
        <w:t xml:space="preserve"> evidence proximal to separation in arriving at its recommendations; and, </w:t>
      </w:r>
      <w:proofErr w:type="spellStart"/>
      <w:r w:rsidR="00D9162C" w:rsidRPr="00134C58">
        <w:rPr>
          <w:color w:val="auto"/>
          <w:szCs w:val="24"/>
        </w:rPr>
        <w:t>DoDI</w:t>
      </w:r>
      <w:proofErr w:type="spellEnd"/>
      <w:r w:rsidR="00D9162C" w:rsidRPr="00134C58">
        <w:rPr>
          <w:color w:val="auto"/>
          <w:szCs w:val="24"/>
        </w:rPr>
        <w:t xml:space="preserve"> 6040.44 defines a 12-month interval for special consideration to post-separation evidence. The Board’s authority as defined in </w:t>
      </w:r>
      <w:proofErr w:type="spellStart"/>
      <w:r w:rsidR="00D9162C" w:rsidRPr="00134C58">
        <w:rPr>
          <w:color w:val="auto"/>
          <w:szCs w:val="24"/>
        </w:rPr>
        <w:t>DoDI</w:t>
      </w:r>
      <w:proofErr w:type="spellEnd"/>
      <w:r w:rsidR="00D9162C" w:rsidRPr="00134C58">
        <w:rPr>
          <w:color w:val="auto"/>
          <w:szCs w:val="24"/>
        </w:rPr>
        <w:t xml:space="preserve"> 6040.44, however, resides in evaluating the fairness of DES fitness determinations and rating decisions for disability at the time of separation. </w:t>
      </w:r>
      <w:r w:rsidR="007B1198">
        <w:rPr>
          <w:color w:val="auto"/>
          <w:szCs w:val="24"/>
        </w:rPr>
        <w:t xml:space="preserve"> </w:t>
      </w:r>
      <w:r w:rsidR="00D9162C" w:rsidRPr="00134C58">
        <w:rPr>
          <w:color w:val="auto"/>
          <w:szCs w:val="24"/>
        </w:rPr>
        <w:t xml:space="preserve">Post-separation evidence therefore is probative only to the extent that it reasonably reflects the disability and fitness implications at the time of separation. </w:t>
      </w:r>
      <w:r w:rsidR="007B1198">
        <w:rPr>
          <w:color w:val="auto"/>
          <w:szCs w:val="24"/>
        </w:rPr>
        <w:t xml:space="preserve"> </w:t>
      </w:r>
      <w:r w:rsidR="00D9162C" w:rsidRPr="00134C58">
        <w:rPr>
          <w:rFonts w:asciiTheme="minorHAnsi" w:hAnsiTheme="minorHAnsi"/>
          <w:color w:val="auto"/>
          <w:szCs w:val="24"/>
        </w:rPr>
        <w:t>However the DVA, operating under a different set of laws (Title 38, United States Code), is empo</w:t>
      </w:r>
      <w:r w:rsidR="007B1198">
        <w:rPr>
          <w:rFonts w:asciiTheme="minorHAnsi" w:hAnsiTheme="minorHAnsi"/>
          <w:color w:val="auto"/>
          <w:szCs w:val="24"/>
        </w:rPr>
        <w:t>wered to compensate all service-</w:t>
      </w:r>
      <w:r w:rsidR="00D9162C" w:rsidRPr="00134C58">
        <w:rPr>
          <w:rFonts w:asciiTheme="minorHAnsi" w:hAnsiTheme="minorHAnsi"/>
          <w:color w:val="auto"/>
          <w:szCs w:val="24"/>
        </w:rPr>
        <w:t xml:space="preserve">connected conditions and to periodically reevaluate said conditions for the purpose of adjusting the </w:t>
      </w:r>
      <w:r w:rsidR="007B1198">
        <w:rPr>
          <w:rFonts w:asciiTheme="minorHAnsi" w:hAnsiTheme="minorHAnsi"/>
          <w:color w:val="auto"/>
          <w:szCs w:val="24"/>
        </w:rPr>
        <w:t>V</w:t>
      </w:r>
      <w:r w:rsidR="00D9162C" w:rsidRPr="00134C58">
        <w:rPr>
          <w:rFonts w:asciiTheme="minorHAnsi" w:hAnsiTheme="minorHAnsi"/>
          <w:color w:val="auto"/>
          <w:szCs w:val="24"/>
        </w:rPr>
        <w:t xml:space="preserve">eteran’s disability rating should </w:t>
      </w:r>
      <w:r w:rsidR="007B1198">
        <w:rPr>
          <w:rFonts w:asciiTheme="minorHAnsi" w:hAnsiTheme="minorHAnsi"/>
          <w:color w:val="auto"/>
          <w:szCs w:val="24"/>
        </w:rPr>
        <w:t>the</w:t>
      </w:r>
      <w:r w:rsidR="00D9162C" w:rsidRPr="00134C58">
        <w:rPr>
          <w:rFonts w:asciiTheme="minorHAnsi" w:hAnsiTheme="minorHAnsi"/>
          <w:color w:val="auto"/>
          <w:szCs w:val="24"/>
        </w:rPr>
        <w:t xml:space="preserve"> degree of impairment vary over time.</w:t>
      </w:r>
    </w:p>
    <w:p w:rsidR="00134C58" w:rsidRPr="00134C58" w:rsidRDefault="00134C58" w:rsidP="00134C58">
      <w:pPr>
        <w:jc w:val="both"/>
        <w:rPr>
          <w:rFonts w:asciiTheme="minorHAnsi" w:hAnsiTheme="minorHAnsi"/>
          <w:color w:val="auto"/>
          <w:szCs w:val="24"/>
          <w:u w:val="single"/>
        </w:rPr>
      </w:pPr>
    </w:p>
    <w:p w:rsidR="00505803" w:rsidRPr="00134C58" w:rsidRDefault="00505803" w:rsidP="00134C58">
      <w:pPr>
        <w:jc w:val="both"/>
        <w:rPr>
          <w:rFonts w:asciiTheme="minorHAnsi" w:hAnsiTheme="minorHAnsi"/>
          <w:color w:val="auto"/>
          <w:szCs w:val="24"/>
        </w:rPr>
      </w:pPr>
      <w:proofErr w:type="gramStart"/>
      <w:r w:rsidRPr="00134C58">
        <w:rPr>
          <w:rFonts w:asciiTheme="minorHAnsi" w:hAnsiTheme="minorHAnsi"/>
          <w:color w:val="auto"/>
          <w:szCs w:val="24"/>
          <w:u w:val="single"/>
        </w:rPr>
        <w:t xml:space="preserve">Left Knee </w:t>
      </w:r>
      <w:r w:rsidR="003F2EEE" w:rsidRPr="00134C58">
        <w:rPr>
          <w:rFonts w:asciiTheme="minorHAnsi" w:hAnsiTheme="minorHAnsi"/>
          <w:color w:val="auto"/>
          <w:szCs w:val="24"/>
          <w:u w:val="single"/>
        </w:rPr>
        <w:t>Condition.</w:t>
      </w:r>
      <w:proofErr w:type="gramEnd"/>
      <w:r w:rsidR="00821268" w:rsidRPr="00134C58">
        <w:rPr>
          <w:rFonts w:asciiTheme="minorHAnsi" w:hAnsiTheme="minorHAnsi"/>
          <w:color w:val="auto"/>
          <w:szCs w:val="24"/>
        </w:rPr>
        <w:t xml:space="preserve">  </w:t>
      </w:r>
      <w:r w:rsidR="007B1198">
        <w:rPr>
          <w:rFonts w:asciiTheme="minorHAnsi" w:hAnsiTheme="minorHAnsi"/>
          <w:color w:val="auto"/>
          <w:szCs w:val="24"/>
        </w:rPr>
        <w:t>There were three range-of-</w:t>
      </w:r>
      <w:r w:rsidR="00E335C3" w:rsidRPr="00134C58">
        <w:rPr>
          <w:rFonts w:asciiTheme="minorHAnsi" w:hAnsiTheme="minorHAnsi"/>
          <w:color w:val="auto"/>
          <w:szCs w:val="24"/>
        </w:rPr>
        <w:t xml:space="preserve">motion (ROM) evaluations in evidence, </w:t>
      </w:r>
      <w:r w:rsidR="00821268" w:rsidRPr="00134C58">
        <w:rPr>
          <w:rFonts w:asciiTheme="minorHAnsi" w:hAnsiTheme="minorHAnsi"/>
          <w:color w:val="auto"/>
          <w:szCs w:val="24"/>
        </w:rPr>
        <w:t>and one</w:t>
      </w:r>
      <w:r w:rsidR="00E335C3" w:rsidRPr="00134C58">
        <w:rPr>
          <w:rFonts w:asciiTheme="minorHAnsi" w:hAnsiTheme="minorHAnsi"/>
          <w:color w:val="auto"/>
          <w:szCs w:val="24"/>
        </w:rPr>
        <w:t xml:space="preserve"> evaluation with</w:t>
      </w:r>
      <w:r w:rsidR="00FB696D">
        <w:rPr>
          <w:rFonts w:asciiTheme="minorHAnsi" w:hAnsiTheme="minorHAnsi"/>
          <w:color w:val="auto"/>
          <w:szCs w:val="24"/>
        </w:rPr>
        <w:t>out</w:t>
      </w:r>
      <w:r w:rsidR="00E335C3" w:rsidRPr="00134C58">
        <w:rPr>
          <w:rFonts w:asciiTheme="minorHAnsi" w:hAnsiTheme="minorHAnsi"/>
          <w:color w:val="auto"/>
          <w:szCs w:val="24"/>
        </w:rPr>
        <w:t xml:space="preserve"> goniometric ROM’s with documentation of additional ratable criteria, which the Board weighed in arriving at its rating recommendation.</w:t>
      </w:r>
    </w:p>
    <w:p w:rsidR="00505803" w:rsidRPr="00664A06" w:rsidRDefault="00505803" w:rsidP="00BF0E94">
      <w:pPr>
        <w:jc w:val="left"/>
        <w:rPr>
          <w:rFonts w:asciiTheme="minorHAnsi" w:hAnsiTheme="minorHAnsi"/>
          <w:color w:val="000000" w:themeColor="text1"/>
          <w:sz w:val="18"/>
          <w:szCs w:val="18"/>
        </w:rPr>
      </w:pPr>
    </w:p>
    <w:tbl>
      <w:tblPr>
        <w:tblpPr w:leftFromText="180" w:rightFromText="180" w:vertAnchor="text" w:tblpXSpec="center" w:tblpY="1"/>
        <w:tblOverlap w:val="neve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440"/>
        <w:gridCol w:w="2430"/>
        <w:gridCol w:w="1440"/>
        <w:gridCol w:w="90"/>
        <w:gridCol w:w="2790"/>
      </w:tblGrid>
      <w:tr w:rsidR="00A93E2A" w:rsidRPr="00664A06" w:rsidTr="006E42C7">
        <w:tc>
          <w:tcPr>
            <w:tcW w:w="1368" w:type="dxa"/>
            <w:shd w:val="clear" w:color="auto" w:fill="D9D9D9" w:themeFill="background1" w:themeFillShade="D9"/>
            <w:vAlign w:val="center"/>
          </w:tcPr>
          <w:p w:rsidR="00A93E2A" w:rsidRPr="00664A06" w:rsidRDefault="00A93E2A" w:rsidP="006E42C7">
            <w:pPr>
              <w:contextualSpacing/>
              <w:rPr>
                <w:rFonts w:asciiTheme="minorHAnsi" w:eastAsia="Calibri" w:hAnsiTheme="minorHAnsi"/>
                <w:color w:val="000000" w:themeColor="text1"/>
                <w:sz w:val="18"/>
                <w:szCs w:val="18"/>
              </w:rPr>
            </w:pPr>
            <w:r w:rsidRPr="00664A06">
              <w:rPr>
                <w:rFonts w:asciiTheme="minorHAnsi" w:eastAsia="Calibri" w:hAnsiTheme="minorHAnsi"/>
                <w:color w:val="000000" w:themeColor="text1"/>
                <w:sz w:val="18"/>
                <w:szCs w:val="18"/>
              </w:rPr>
              <w:t>Goniometric ROM –</w:t>
            </w:r>
          </w:p>
          <w:p w:rsidR="00A93E2A" w:rsidRPr="00664A06" w:rsidRDefault="00A93E2A" w:rsidP="006E42C7">
            <w:pPr>
              <w:contextualSpacing/>
              <w:rPr>
                <w:rFonts w:asciiTheme="minorHAnsi" w:eastAsia="Calibri" w:hAnsiTheme="minorHAnsi"/>
                <w:color w:val="000000" w:themeColor="text1"/>
                <w:sz w:val="18"/>
                <w:szCs w:val="18"/>
              </w:rPr>
            </w:pPr>
            <w:r w:rsidRPr="00664A06">
              <w:rPr>
                <w:rFonts w:asciiTheme="minorHAnsi" w:eastAsia="Calibri" w:hAnsiTheme="minorHAnsi"/>
                <w:color w:val="000000" w:themeColor="text1"/>
                <w:sz w:val="18"/>
                <w:szCs w:val="18"/>
              </w:rPr>
              <w:t>L</w:t>
            </w:r>
            <w:r>
              <w:rPr>
                <w:rFonts w:asciiTheme="minorHAnsi" w:eastAsia="Calibri" w:hAnsiTheme="minorHAnsi"/>
                <w:color w:val="000000" w:themeColor="text1"/>
                <w:sz w:val="18"/>
                <w:szCs w:val="18"/>
              </w:rPr>
              <w:t>eft</w:t>
            </w:r>
            <w:r w:rsidRPr="00664A06">
              <w:rPr>
                <w:rFonts w:asciiTheme="minorHAnsi" w:eastAsia="Calibri" w:hAnsiTheme="minorHAnsi"/>
                <w:color w:val="000000" w:themeColor="text1"/>
                <w:sz w:val="18"/>
                <w:szCs w:val="18"/>
              </w:rPr>
              <w:t xml:space="preserve"> Knee</w:t>
            </w:r>
          </w:p>
        </w:tc>
        <w:tc>
          <w:tcPr>
            <w:tcW w:w="1440" w:type="dxa"/>
            <w:shd w:val="clear" w:color="auto" w:fill="D9D9D9" w:themeFill="background1" w:themeFillShade="D9"/>
            <w:vAlign w:val="center"/>
          </w:tcPr>
          <w:p w:rsidR="00A93E2A" w:rsidRPr="00C82209" w:rsidRDefault="00A93E2A" w:rsidP="006E42C7">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MEB ~ 5 Mo. Pre-TDRL entry          (20031105)</w:t>
            </w:r>
          </w:p>
        </w:tc>
        <w:tc>
          <w:tcPr>
            <w:tcW w:w="2430" w:type="dxa"/>
            <w:shd w:val="clear" w:color="auto" w:fill="D9D9D9" w:themeFill="background1" w:themeFillShade="D9"/>
            <w:vAlign w:val="center"/>
          </w:tcPr>
          <w:p w:rsidR="00F70104" w:rsidRPr="00C82209" w:rsidRDefault="00A93E2A" w:rsidP="006E42C7">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Ortho clinic</w:t>
            </w:r>
          </w:p>
          <w:p w:rsidR="00A93E2A" w:rsidRPr="00C82209" w:rsidRDefault="00F70104" w:rsidP="006E42C7">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 3 Mo. Pre-TDRL entry</w:t>
            </w:r>
          </w:p>
          <w:p w:rsidR="00A93E2A" w:rsidRPr="00C82209" w:rsidRDefault="00A93E2A" w:rsidP="006E42C7">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(20031217</w:t>
            </w:r>
            <w:r w:rsidR="00F70104" w:rsidRPr="00C82209">
              <w:rPr>
                <w:rFonts w:asciiTheme="minorHAnsi" w:eastAsia="Calibri" w:hAnsiTheme="minorHAnsi"/>
                <w:color w:val="000000" w:themeColor="text1"/>
                <w:sz w:val="18"/>
                <w:szCs w:val="18"/>
              </w:rPr>
              <w:t>)</w:t>
            </w:r>
          </w:p>
        </w:tc>
        <w:tc>
          <w:tcPr>
            <w:tcW w:w="1530" w:type="dxa"/>
            <w:gridSpan w:val="2"/>
            <w:shd w:val="clear" w:color="auto" w:fill="D9D9D9" w:themeFill="background1" w:themeFillShade="D9"/>
            <w:vAlign w:val="center"/>
          </w:tcPr>
          <w:p w:rsidR="00A93E2A" w:rsidRPr="00C82209" w:rsidRDefault="00A93E2A" w:rsidP="006E42C7">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VA</w:t>
            </w:r>
            <w:r w:rsidRPr="00C82209">
              <w:rPr>
                <w:rFonts w:asciiTheme="minorHAnsi" w:eastAsiaTheme="minorHAnsi" w:hAnsiTheme="minorHAnsi"/>
                <w:color w:val="000000" w:themeColor="text1"/>
                <w:sz w:val="18"/>
                <w:szCs w:val="18"/>
              </w:rPr>
              <w:t xml:space="preserve"> C&amp;P </w:t>
            </w:r>
            <w:r w:rsidRPr="00C82209">
              <w:rPr>
                <w:rFonts w:asciiTheme="minorHAnsi" w:eastAsia="Calibri" w:hAnsiTheme="minorHAnsi"/>
                <w:color w:val="000000" w:themeColor="text1"/>
                <w:sz w:val="18"/>
                <w:szCs w:val="18"/>
              </w:rPr>
              <w:t>~ 3 Mo. Post TDRL entry</w:t>
            </w:r>
            <w:r w:rsidR="00EC3C33" w:rsidRPr="00C82209">
              <w:rPr>
                <w:rFonts w:asciiTheme="minorHAnsi" w:eastAsia="Calibri" w:hAnsiTheme="minorHAnsi"/>
                <w:color w:val="000000" w:themeColor="text1"/>
                <w:sz w:val="18"/>
                <w:szCs w:val="18"/>
              </w:rPr>
              <w:t xml:space="preserve"> and 20 months prior to final separation</w:t>
            </w:r>
          </w:p>
          <w:p w:rsidR="00A93E2A" w:rsidRPr="00C82209" w:rsidRDefault="00A93E2A" w:rsidP="006E42C7">
            <w:pPr>
              <w:contextualSpacing/>
              <w:rPr>
                <w:rFonts w:asciiTheme="minorHAnsi" w:eastAsiaTheme="minorHAnsi" w:hAnsiTheme="minorHAnsi"/>
                <w:color w:val="000000" w:themeColor="text1"/>
                <w:sz w:val="18"/>
                <w:szCs w:val="18"/>
              </w:rPr>
            </w:pPr>
            <w:r w:rsidRPr="00C82209">
              <w:rPr>
                <w:rFonts w:asciiTheme="minorHAnsi" w:eastAsia="Calibri" w:hAnsiTheme="minorHAnsi"/>
                <w:color w:val="000000" w:themeColor="text1"/>
                <w:sz w:val="18"/>
                <w:szCs w:val="18"/>
              </w:rPr>
              <w:t>(20040604)</w:t>
            </w:r>
          </w:p>
        </w:tc>
        <w:tc>
          <w:tcPr>
            <w:tcW w:w="2790" w:type="dxa"/>
            <w:shd w:val="clear" w:color="auto" w:fill="D9D9D9" w:themeFill="background1" w:themeFillShade="D9"/>
            <w:vAlign w:val="center"/>
          </w:tcPr>
          <w:p w:rsidR="00A93E2A" w:rsidRPr="00C82209" w:rsidRDefault="0002387C" w:rsidP="006E42C7">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Orthopedics</w:t>
            </w:r>
            <w:r w:rsidR="00A93E2A" w:rsidRPr="00C82209">
              <w:rPr>
                <w:rFonts w:asciiTheme="minorHAnsi" w:eastAsia="Calibri" w:hAnsiTheme="minorHAnsi"/>
                <w:color w:val="000000" w:themeColor="text1"/>
                <w:sz w:val="18"/>
                <w:szCs w:val="18"/>
              </w:rPr>
              <w:t xml:space="preserve"> ~  7 Mo. Post-TDRL entry</w:t>
            </w:r>
            <w:r w:rsidR="00C7255F" w:rsidRPr="00C82209">
              <w:rPr>
                <w:rFonts w:asciiTheme="minorHAnsi" w:eastAsia="Calibri" w:hAnsiTheme="minorHAnsi"/>
                <w:color w:val="000000" w:themeColor="text1"/>
                <w:sz w:val="18"/>
                <w:szCs w:val="18"/>
              </w:rPr>
              <w:t xml:space="preserve"> and 15 months prior to </w:t>
            </w:r>
            <w:r w:rsidR="00EC3C33" w:rsidRPr="00C82209">
              <w:rPr>
                <w:rFonts w:asciiTheme="minorHAnsi" w:eastAsia="Calibri" w:hAnsiTheme="minorHAnsi"/>
                <w:color w:val="000000" w:themeColor="text1"/>
                <w:sz w:val="18"/>
                <w:szCs w:val="18"/>
              </w:rPr>
              <w:t>final</w:t>
            </w:r>
            <w:r w:rsidR="00C7255F" w:rsidRPr="00C82209">
              <w:rPr>
                <w:rFonts w:asciiTheme="minorHAnsi" w:eastAsia="Calibri" w:hAnsiTheme="minorHAnsi"/>
                <w:color w:val="000000" w:themeColor="text1"/>
                <w:sz w:val="18"/>
                <w:szCs w:val="18"/>
              </w:rPr>
              <w:t xml:space="preserve"> separation</w:t>
            </w:r>
          </w:p>
          <w:p w:rsidR="00A93E2A" w:rsidRPr="00C82209" w:rsidRDefault="00A93E2A" w:rsidP="006E42C7">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(20041028)</w:t>
            </w:r>
          </w:p>
          <w:p w:rsidR="00A93E2A" w:rsidRPr="00C82209" w:rsidRDefault="00A93E2A" w:rsidP="006E42C7">
            <w:pPr>
              <w:contextualSpacing/>
              <w:rPr>
                <w:rFonts w:asciiTheme="minorHAnsi" w:eastAsia="Calibri" w:hAnsiTheme="minorHAnsi"/>
                <w:color w:val="000000" w:themeColor="text1"/>
                <w:sz w:val="18"/>
                <w:szCs w:val="18"/>
              </w:rPr>
            </w:pPr>
          </w:p>
        </w:tc>
      </w:tr>
      <w:tr w:rsidR="00A93E2A" w:rsidRPr="00664A06" w:rsidTr="00C82209">
        <w:tc>
          <w:tcPr>
            <w:tcW w:w="1368" w:type="dxa"/>
            <w:vAlign w:val="center"/>
          </w:tcPr>
          <w:p w:rsidR="00A93E2A" w:rsidRDefault="00A93E2A" w:rsidP="00D75E85">
            <w:pPr>
              <w:contextualSpacing/>
              <w:rPr>
                <w:rFonts w:asciiTheme="minorHAnsi" w:eastAsia="Calibri" w:hAnsiTheme="minorHAnsi"/>
                <w:color w:val="000000" w:themeColor="text1"/>
                <w:sz w:val="18"/>
                <w:szCs w:val="18"/>
              </w:rPr>
            </w:pPr>
            <w:r w:rsidRPr="00664A06">
              <w:rPr>
                <w:rFonts w:asciiTheme="minorHAnsi" w:eastAsia="Calibri" w:hAnsiTheme="minorHAnsi"/>
                <w:color w:val="000000" w:themeColor="text1"/>
                <w:sz w:val="18"/>
                <w:szCs w:val="18"/>
              </w:rPr>
              <w:t xml:space="preserve">Flexion </w:t>
            </w:r>
          </w:p>
          <w:p w:rsidR="00A93E2A" w:rsidRPr="00664A06" w:rsidRDefault="00A93E2A" w:rsidP="00D75E85">
            <w:pPr>
              <w:contextualSpacing/>
              <w:rPr>
                <w:rFonts w:asciiTheme="minorHAnsi" w:eastAsia="Calibri" w:hAnsiTheme="minorHAnsi"/>
                <w:color w:val="000000" w:themeColor="text1"/>
                <w:sz w:val="18"/>
                <w:szCs w:val="18"/>
              </w:rPr>
            </w:pPr>
            <w:r w:rsidRPr="00664A06">
              <w:rPr>
                <w:rFonts w:asciiTheme="minorHAnsi" w:eastAsia="Calibri" w:hAnsiTheme="minorHAnsi"/>
                <w:color w:val="000000" w:themeColor="text1"/>
                <w:sz w:val="18"/>
                <w:szCs w:val="18"/>
              </w:rPr>
              <w:t>(140</w:t>
            </w:r>
            <w:r w:rsidRPr="00664A06">
              <w:rPr>
                <w:rFonts w:ascii="Cambria Math" w:eastAsia="Calibri" w:hAnsi="Cambria Math" w:cs="Cambria Math"/>
                <w:color w:val="000000" w:themeColor="text1"/>
                <w:sz w:val="18"/>
                <w:szCs w:val="18"/>
              </w:rPr>
              <w:t>⁰</w:t>
            </w:r>
            <w:r w:rsidRPr="00664A06">
              <w:rPr>
                <w:rFonts w:ascii="Times New Roman" w:eastAsia="Calibri" w:hAnsi="Times New Roman" w:cs="Times New Roman"/>
                <w:color w:val="000000" w:themeColor="text1"/>
                <w:sz w:val="18"/>
                <w:szCs w:val="18"/>
              </w:rPr>
              <w:t xml:space="preserve"> normal)</w:t>
            </w:r>
          </w:p>
        </w:tc>
        <w:tc>
          <w:tcPr>
            <w:tcW w:w="1440" w:type="dxa"/>
            <w:vAlign w:val="center"/>
          </w:tcPr>
          <w:p w:rsidR="00A93E2A" w:rsidRPr="00C82209" w:rsidRDefault="00A93E2A"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 xml:space="preserve">No </w:t>
            </w:r>
            <w:proofErr w:type="spellStart"/>
            <w:r w:rsidRPr="00C82209">
              <w:rPr>
                <w:rFonts w:asciiTheme="minorHAnsi" w:eastAsia="Calibri" w:hAnsiTheme="minorHAnsi"/>
                <w:color w:val="000000" w:themeColor="text1"/>
                <w:sz w:val="18"/>
                <w:szCs w:val="18"/>
              </w:rPr>
              <w:t>goniometrics</w:t>
            </w:r>
            <w:proofErr w:type="spellEnd"/>
          </w:p>
        </w:tc>
        <w:tc>
          <w:tcPr>
            <w:tcW w:w="2430" w:type="dxa"/>
          </w:tcPr>
          <w:p w:rsidR="00A93E2A" w:rsidRPr="00C82209" w:rsidRDefault="009E6380"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125° with pain at 125°</w:t>
            </w:r>
          </w:p>
        </w:tc>
        <w:tc>
          <w:tcPr>
            <w:tcW w:w="1530" w:type="dxa"/>
            <w:gridSpan w:val="2"/>
            <w:vAlign w:val="center"/>
          </w:tcPr>
          <w:p w:rsidR="00A93E2A" w:rsidRPr="00C82209" w:rsidRDefault="00A93E2A"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125</w:t>
            </w:r>
            <w:r w:rsidRPr="00C82209">
              <w:rPr>
                <w:rFonts w:ascii="Cambria Math" w:eastAsia="Calibri" w:hAnsi="Cambria Math" w:cs="Cambria Math"/>
                <w:color w:val="000000" w:themeColor="text1"/>
                <w:sz w:val="18"/>
                <w:szCs w:val="18"/>
              </w:rPr>
              <w:t>⁰</w:t>
            </w:r>
          </w:p>
        </w:tc>
        <w:tc>
          <w:tcPr>
            <w:tcW w:w="2790" w:type="dxa"/>
          </w:tcPr>
          <w:p w:rsidR="00A93E2A" w:rsidRPr="00C82209" w:rsidRDefault="004E2806"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130° passive</w:t>
            </w:r>
          </w:p>
        </w:tc>
      </w:tr>
      <w:tr w:rsidR="00A93E2A" w:rsidRPr="00664A06" w:rsidTr="00C82209">
        <w:tc>
          <w:tcPr>
            <w:tcW w:w="1368" w:type="dxa"/>
            <w:tcBorders>
              <w:bottom w:val="single" w:sz="4" w:space="0" w:color="auto"/>
            </w:tcBorders>
            <w:vAlign w:val="center"/>
          </w:tcPr>
          <w:p w:rsidR="00A93E2A" w:rsidRDefault="00A93E2A" w:rsidP="00D75E85">
            <w:pPr>
              <w:contextualSpacing/>
              <w:rPr>
                <w:rFonts w:asciiTheme="minorHAnsi" w:eastAsia="Calibri" w:hAnsiTheme="minorHAnsi"/>
                <w:color w:val="000000" w:themeColor="text1"/>
                <w:sz w:val="18"/>
                <w:szCs w:val="18"/>
              </w:rPr>
            </w:pPr>
            <w:r w:rsidRPr="00664A06">
              <w:rPr>
                <w:rFonts w:asciiTheme="minorHAnsi" w:eastAsia="Calibri" w:hAnsiTheme="minorHAnsi"/>
                <w:color w:val="000000" w:themeColor="text1"/>
                <w:sz w:val="18"/>
                <w:szCs w:val="18"/>
              </w:rPr>
              <w:t xml:space="preserve">Extension </w:t>
            </w:r>
          </w:p>
          <w:p w:rsidR="00A93E2A" w:rsidRPr="00664A06" w:rsidRDefault="00A93E2A" w:rsidP="00D75E85">
            <w:pPr>
              <w:contextualSpacing/>
              <w:rPr>
                <w:rFonts w:asciiTheme="minorHAnsi" w:eastAsia="Calibri" w:hAnsiTheme="minorHAnsi"/>
                <w:color w:val="000000" w:themeColor="text1"/>
                <w:sz w:val="18"/>
                <w:szCs w:val="18"/>
              </w:rPr>
            </w:pPr>
            <w:r w:rsidRPr="00664A06">
              <w:rPr>
                <w:rFonts w:asciiTheme="minorHAnsi" w:eastAsia="Calibri" w:hAnsiTheme="minorHAnsi"/>
                <w:color w:val="000000" w:themeColor="text1"/>
                <w:sz w:val="18"/>
                <w:szCs w:val="18"/>
              </w:rPr>
              <w:t>(0</w:t>
            </w:r>
            <w:r w:rsidRPr="00664A06">
              <w:rPr>
                <w:rFonts w:ascii="Cambria Math" w:eastAsia="Calibri" w:hAnsi="Cambria Math" w:cs="Cambria Math"/>
                <w:color w:val="000000" w:themeColor="text1"/>
                <w:sz w:val="18"/>
                <w:szCs w:val="18"/>
              </w:rPr>
              <w:t>⁰</w:t>
            </w:r>
            <w:r w:rsidRPr="00664A06">
              <w:rPr>
                <w:rFonts w:ascii="Times New Roman" w:eastAsia="Calibri" w:hAnsi="Times New Roman" w:cs="Times New Roman"/>
                <w:color w:val="000000" w:themeColor="text1"/>
                <w:sz w:val="18"/>
                <w:szCs w:val="18"/>
              </w:rPr>
              <w:t xml:space="preserve"> normal)</w:t>
            </w:r>
          </w:p>
        </w:tc>
        <w:tc>
          <w:tcPr>
            <w:tcW w:w="1440" w:type="dxa"/>
            <w:tcBorders>
              <w:bottom w:val="single" w:sz="4" w:space="0" w:color="auto"/>
            </w:tcBorders>
            <w:vAlign w:val="center"/>
          </w:tcPr>
          <w:p w:rsidR="00A93E2A" w:rsidRPr="00C82209" w:rsidRDefault="00A93E2A"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 xml:space="preserve">No </w:t>
            </w:r>
            <w:proofErr w:type="spellStart"/>
            <w:r w:rsidRPr="00C82209">
              <w:rPr>
                <w:rFonts w:asciiTheme="minorHAnsi" w:eastAsia="Calibri" w:hAnsiTheme="minorHAnsi"/>
                <w:color w:val="000000" w:themeColor="text1"/>
                <w:sz w:val="18"/>
                <w:szCs w:val="18"/>
              </w:rPr>
              <w:t>goniometrics</w:t>
            </w:r>
            <w:proofErr w:type="spellEnd"/>
          </w:p>
        </w:tc>
        <w:tc>
          <w:tcPr>
            <w:tcW w:w="2430" w:type="dxa"/>
            <w:tcBorders>
              <w:bottom w:val="single" w:sz="4" w:space="0" w:color="auto"/>
            </w:tcBorders>
          </w:tcPr>
          <w:p w:rsidR="00A93E2A" w:rsidRPr="00C82209" w:rsidRDefault="009E6380"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+5° with pain at +5°</w:t>
            </w:r>
          </w:p>
        </w:tc>
        <w:tc>
          <w:tcPr>
            <w:tcW w:w="1530" w:type="dxa"/>
            <w:gridSpan w:val="2"/>
            <w:tcBorders>
              <w:bottom w:val="single" w:sz="4" w:space="0" w:color="auto"/>
            </w:tcBorders>
            <w:vAlign w:val="center"/>
          </w:tcPr>
          <w:p w:rsidR="00A93E2A" w:rsidRPr="00C82209" w:rsidRDefault="00A93E2A"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0</w:t>
            </w:r>
            <w:r w:rsidRPr="00C82209">
              <w:rPr>
                <w:rFonts w:ascii="Cambria Math" w:eastAsia="Calibri" w:hAnsi="Cambria Math" w:cs="Cambria Math"/>
                <w:color w:val="000000" w:themeColor="text1"/>
                <w:sz w:val="18"/>
                <w:szCs w:val="18"/>
              </w:rPr>
              <w:t>⁰</w:t>
            </w:r>
          </w:p>
        </w:tc>
        <w:tc>
          <w:tcPr>
            <w:tcW w:w="2790" w:type="dxa"/>
            <w:tcBorders>
              <w:bottom w:val="single" w:sz="4" w:space="0" w:color="auto"/>
            </w:tcBorders>
          </w:tcPr>
          <w:p w:rsidR="00A93E2A" w:rsidRPr="00C82209" w:rsidRDefault="007324B6" w:rsidP="00D75E85">
            <w:pPr>
              <w:contextualSpacing/>
              <w:rPr>
                <w:rFonts w:asciiTheme="minorHAnsi" w:eastAsia="Calibri" w:hAnsiTheme="minorHAnsi"/>
                <w:color w:val="000000" w:themeColor="text1"/>
                <w:sz w:val="18"/>
                <w:szCs w:val="18"/>
              </w:rPr>
            </w:pPr>
            <w:r w:rsidRPr="00C82209">
              <w:rPr>
                <w:rFonts w:asciiTheme="minorHAnsi" w:eastAsia="Calibri" w:hAnsiTheme="minorHAnsi"/>
                <w:color w:val="000000" w:themeColor="text1"/>
                <w:sz w:val="18"/>
                <w:szCs w:val="18"/>
              </w:rPr>
              <w:t>0</w:t>
            </w:r>
            <w:r w:rsidRPr="00C82209">
              <w:rPr>
                <w:rFonts w:ascii="Cambria Math" w:eastAsia="Calibri" w:hAnsi="Cambria Math" w:cs="Cambria Math"/>
                <w:color w:val="000000" w:themeColor="text1"/>
                <w:sz w:val="18"/>
                <w:szCs w:val="18"/>
              </w:rPr>
              <w:t>⁰</w:t>
            </w:r>
            <w:r w:rsidRPr="00C82209">
              <w:rPr>
                <w:rFonts w:asciiTheme="minorHAnsi" w:eastAsia="Calibri" w:hAnsiTheme="minorHAnsi"/>
                <w:color w:val="000000" w:themeColor="text1"/>
                <w:sz w:val="18"/>
                <w:szCs w:val="18"/>
              </w:rPr>
              <w:t xml:space="preserve"> passive</w:t>
            </w:r>
          </w:p>
        </w:tc>
      </w:tr>
      <w:tr w:rsidR="00A93E2A" w:rsidRPr="00664A06" w:rsidTr="00C82209">
        <w:tc>
          <w:tcPr>
            <w:tcW w:w="1368" w:type="dxa"/>
            <w:tcBorders>
              <w:top w:val="single" w:sz="4" w:space="0" w:color="auto"/>
              <w:left w:val="single" w:sz="4" w:space="0" w:color="auto"/>
              <w:bottom w:val="single" w:sz="4" w:space="0" w:color="auto"/>
              <w:right w:val="single" w:sz="4" w:space="0" w:color="auto"/>
            </w:tcBorders>
            <w:vAlign w:val="center"/>
          </w:tcPr>
          <w:p w:rsidR="00A93E2A" w:rsidRPr="00664A06" w:rsidRDefault="00A93E2A" w:rsidP="00D75E85">
            <w:pPr>
              <w:tabs>
                <w:tab w:val="left" w:pos="288"/>
                <w:tab w:val="left" w:pos="4752"/>
              </w:tabs>
              <w:rPr>
                <w:rFonts w:asciiTheme="minorHAnsi" w:eastAsiaTheme="minorHAnsi" w:hAnsiTheme="minorHAnsi"/>
                <w:color w:val="000000" w:themeColor="text1"/>
                <w:sz w:val="18"/>
                <w:szCs w:val="18"/>
              </w:rPr>
            </w:pPr>
            <w:r w:rsidRPr="00664A06">
              <w:rPr>
                <w:rFonts w:asciiTheme="minorHAnsi" w:eastAsiaTheme="minorHAnsi" w:hAnsiTheme="minorHAnsi"/>
                <w:color w:val="000000" w:themeColor="text1"/>
                <w:sz w:val="18"/>
                <w:szCs w:val="18"/>
              </w:rPr>
              <w:t>Comment</w:t>
            </w:r>
          </w:p>
        </w:tc>
        <w:tc>
          <w:tcPr>
            <w:tcW w:w="1440" w:type="dxa"/>
            <w:tcBorders>
              <w:top w:val="single" w:sz="4" w:space="0" w:color="auto"/>
              <w:left w:val="single" w:sz="4" w:space="0" w:color="auto"/>
              <w:bottom w:val="single" w:sz="4" w:space="0" w:color="auto"/>
              <w:right w:val="single" w:sz="4" w:space="0" w:color="auto"/>
            </w:tcBorders>
            <w:vAlign w:val="center"/>
          </w:tcPr>
          <w:p w:rsidR="00A93E2A" w:rsidRPr="00C82209" w:rsidRDefault="00A93E2A" w:rsidP="00D75E85">
            <w:pPr>
              <w:tabs>
                <w:tab w:val="left" w:pos="288"/>
                <w:tab w:val="left" w:pos="4752"/>
              </w:tabs>
              <w:jc w:val="left"/>
              <w:rPr>
                <w:rFonts w:asciiTheme="minorHAnsi" w:eastAsiaTheme="minorHAnsi" w:hAnsiTheme="minorHAnsi"/>
                <w:color w:val="000000" w:themeColor="text1"/>
                <w:sz w:val="18"/>
                <w:szCs w:val="18"/>
              </w:rPr>
            </w:pPr>
            <w:r w:rsidRPr="00C82209">
              <w:rPr>
                <w:rFonts w:asciiTheme="minorHAnsi" w:eastAsiaTheme="minorHAnsi" w:hAnsiTheme="minorHAnsi"/>
                <w:color w:val="000000" w:themeColor="text1"/>
                <w:sz w:val="18"/>
                <w:szCs w:val="18"/>
              </w:rPr>
              <w:t xml:space="preserve">Positive anterior drawer test; mild </w:t>
            </w:r>
            <w:proofErr w:type="spellStart"/>
            <w:r w:rsidRPr="00C82209">
              <w:rPr>
                <w:rFonts w:asciiTheme="minorHAnsi" w:eastAsiaTheme="minorHAnsi" w:hAnsiTheme="minorHAnsi"/>
                <w:color w:val="000000" w:themeColor="text1"/>
                <w:sz w:val="18"/>
                <w:szCs w:val="18"/>
              </w:rPr>
              <w:t>antalgic</w:t>
            </w:r>
            <w:proofErr w:type="spellEnd"/>
            <w:r w:rsidRPr="00C82209">
              <w:rPr>
                <w:rFonts w:asciiTheme="minorHAnsi" w:eastAsiaTheme="minorHAnsi" w:hAnsiTheme="minorHAnsi"/>
                <w:color w:val="000000" w:themeColor="text1"/>
                <w:sz w:val="18"/>
                <w:szCs w:val="18"/>
              </w:rPr>
              <w:t xml:space="preserve"> gait; pre-patellar tenderness; medial joint line tenderness; mild to moderate </w:t>
            </w:r>
            <w:proofErr w:type="spellStart"/>
            <w:r w:rsidRPr="00C82209">
              <w:rPr>
                <w:rFonts w:asciiTheme="minorHAnsi" w:eastAsiaTheme="minorHAnsi" w:hAnsiTheme="minorHAnsi"/>
                <w:color w:val="000000" w:themeColor="text1"/>
                <w:sz w:val="18"/>
                <w:szCs w:val="18"/>
              </w:rPr>
              <w:t>crepitus</w:t>
            </w:r>
            <w:proofErr w:type="spellEnd"/>
            <w:r w:rsidRPr="00C82209">
              <w:rPr>
                <w:rFonts w:asciiTheme="minorHAnsi" w:eastAsiaTheme="minorHAnsi" w:hAnsiTheme="minorHAnsi"/>
                <w:color w:val="000000" w:themeColor="text1"/>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tcPr>
          <w:p w:rsidR="009E6380" w:rsidRPr="00C82209" w:rsidRDefault="0002387C" w:rsidP="009E6380">
            <w:pPr>
              <w:tabs>
                <w:tab w:val="left" w:pos="288"/>
                <w:tab w:val="left" w:pos="4752"/>
              </w:tabs>
              <w:jc w:val="left"/>
              <w:rPr>
                <w:rFonts w:asciiTheme="minorHAnsi" w:eastAsiaTheme="minorHAnsi" w:hAnsiTheme="minorHAnsi"/>
                <w:color w:val="000000" w:themeColor="text1"/>
                <w:sz w:val="18"/>
                <w:szCs w:val="18"/>
              </w:rPr>
            </w:pPr>
            <w:r w:rsidRPr="00C82209">
              <w:rPr>
                <w:rFonts w:asciiTheme="minorHAnsi" w:eastAsiaTheme="minorHAnsi" w:hAnsiTheme="minorHAnsi"/>
                <w:color w:val="000000" w:themeColor="text1"/>
                <w:sz w:val="18"/>
                <w:szCs w:val="18"/>
              </w:rPr>
              <w:t>Findings from this exam were</w:t>
            </w:r>
            <w:r w:rsidR="00F70104" w:rsidRPr="00C82209">
              <w:rPr>
                <w:rFonts w:asciiTheme="minorHAnsi" w:eastAsiaTheme="minorHAnsi" w:hAnsiTheme="minorHAnsi"/>
                <w:color w:val="000000" w:themeColor="text1"/>
                <w:sz w:val="18"/>
                <w:szCs w:val="18"/>
              </w:rPr>
              <w:t xml:space="preserve"> stated in</w:t>
            </w:r>
            <w:r w:rsidR="009E6380" w:rsidRPr="00C82209">
              <w:rPr>
                <w:rFonts w:asciiTheme="minorHAnsi" w:eastAsiaTheme="minorHAnsi" w:hAnsiTheme="minorHAnsi"/>
                <w:color w:val="000000" w:themeColor="text1"/>
                <w:sz w:val="18"/>
                <w:szCs w:val="18"/>
              </w:rPr>
              <w:t xml:space="preserve"> </w:t>
            </w:r>
            <w:r w:rsidR="00F70104" w:rsidRPr="00C82209">
              <w:rPr>
                <w:rFonts w:asciiTheme="minorHAnsi" w:eastAsiaTheme="minorHAnsi" w:hAnsiTheme="minorHAnsi"/>
                <w:color w:val="000000" w:themeColor="text1"/>
                <w:sz w:val="18"/>
                <w:szCs w:val="18"/>
              </w:rPr>
              <w:t>th</w:t>
            </w:r>
            <w:r w:rsidR="009E6380" w:rsidRPr="00C82209">
              <w:rPr>
                <w:rFonts w:asciiTheme="minorHAnsi" w:eastAsiaTheme="minorHAnsi" w:hAnsiTheme="minorHAnsi"/>
                <w:color w:val="000000" w:themeColor="text1"/>
                <w:sz w:val="18"/>
                <w:szCs w:val="18"/>
              </w:rPr>
              <w:t>e</w:t>
            </w:r>
            <w:r w:rsidR="00F70104" w:rsidRPr="00C82209">
              <w:rPr>
                <w:rFonts w:asciiTheme="minorHAnsi" w:eastAsiaTheme="minorHAnsi" w:hAnsiTheme="minorHAnsi"/>
                <w:color w:val="000000" w:themeColor="text1"/>
                <w:sz w:val="18"/>
                <w:szCs w:val="18"/>
              </w:rPr>
              <w:t xml:space="preserve"> PEB disability description section of the DA 199</w:t>
            </w:r>
            <w:r w:rsidR="009E6380" w:rsidRPr="00C82209">
              <w:rPr>
                <w:rFonts w:asciiTheme="minorHAnsi" w:eastAsiaTheme="minorHAnsi" w:hAnsiTheme="minorHAnsi"/>
                <w:color w:val="000000" w:themeColor="text1"/>
                <w:sz w:val="18"/>
                <w:szCs w:val="18"/>
              </w:rPr>
              <w:t>. Diagnoses</w:t>
            </w:r>
            <w:r w:rsidR="007324B6" w:rsidRPr="00C82209">
              <w:rPr>
                <w:rFonts w:asciiTheme="minorHAnsi" w:eastAsiaTheme="minorHAnsi" w:hAnsiTheme="minorHAnsi"/>
                <w:color w:val="000000" w:themeColor="text1"/>
                <w:sz w:val="18"/>
                <w:szCs w:val="18"/>
              </w:rPr>
              <w:t xml:space="preserve">: </w:t>
            </w:r>
            <w:r w:rsidR="009E6380" w:rsidRPr="00C82209">
              <w:rPr>
                <w:rFonts w:asciiTheme="minorHAnsi" w:eastAsiaTheme="minorHAnsi" w:hAnsiTheme="minorHAnsi"/>
                <w:color w:val="000000" w:themeColor="text1"/>
                <w:sz w:val="18"/>
                <w:szCs w:val="18"/>
              </w:rPr>
              <w:t xml:space="preserve"> left knee ACL tear and osteoarthritis. </w:t>
            </w:r>
          </w:p>
          <w:p w:rsidR="00A93E2A" w:rsidRPr="00C82209" w:rsidRDefault="00F70104" w:rsidP="009E6380">
            <w:pPr>
              <w:tabs>
                <w:tab w:val="left" w:pos="288"/>
                <w:tab w:val="left" w:pos="4752"/>
              </w:tabs>
              <w:jc w:val="left"/>
              <w:rPr>
                <w:rFonts w:asciiTheme="minorHAnsi" w:eastAsiaTheme="minorHAnsi" w:hAnsiTheme="minorHAnsi"/>
                <w:color w:val="000000" w:themeColor="text1"/>
                <w:sz w:val="18"/>
                <w:szCs w:val="18"/>
              </w:rPr>
            </w:pPr>
            <w:r w:rsidRPr="00C82209">
              <w:rPr>
                <w:rFonts w:asciiTheme="minorHAnsi" w:eastAsiaTheme="minorHAnsi" w:hAnsiTheme="minorHAnsi"/>
                <w:color w:val="000000" w:themeColor="text1"/>
                <w:sz w:val="18"/>
                <w:szCs w:val="18"/>
              </w:rPr>
              <w:t xml:space="preserve"> </w:t>
            </w:r>
            <w:r w:rsidR="00EC3C33" w:rsidRPr="00C82209">
              <w:rPr>
                <w:rFonts w:asciiTheme="minorHAnsi" w:eastAsiaTheme="minorHAnsi" w:hAnsiTheme="minorHAnsi"/>
                <w:color w:val="000000" w:themeColor="text1"/>
                <w:sz w:val="18"/>
                <w:szCs w:val="18"/>
              </w:rPr>
              <w:t xml:space="preserve">Drawer test +2; </w:t>
            </w:r>
            <w:proofErr w:type="spellStart"/>
            <w:r w:rsidR="00EC3C33" w:rsidRPr="00C82209">
              <w:rPr>
                <w:rFonts w:asciiTheme="minorHAnsi" w:eastAsiaTheme="minorHAnsi" w:hAnsiTheme="minorHAnsi"/>
                <w:color w:val="000000" w:themeColor="text1"/>
                <w:sz w:val="18"/>
                <w:szCs w:val="18"/>
              </w:rPr>
              <w:t>L</w:t>
            </w:r>
            <w:r w:rsidR="009E6380" w:rsidRPr="00C82209">
              <w:rPr>
                <w:rFonts w:asciiTheme="minorHAnsi" w:eastAsiaTheme="minorHAnsi" w:hAnsiTheme="minorHAnsi"/>
                <w:color w:val="000000" w:themeColor="text1"/>
                <w:sz w:val="18"/>
                <w:szCs w:val="18"/>
              </w:rPr>
              <w:t>achman’s</w:t>
            </w:r>
            <w:proofErr w:type="spellEnd"/>
            <w:r w:rsidR="009E6380" w:rsidRPr="00C82209">
              <w:rPr>
                <w:rFonts w:asciiTheme="minorHAnsi" w:eastAsiaTheme="minorHAnsi" w:hAnsiTheme="minorHAnsi"/>
                <w:color w:val="000000" w:themeColor="text1"/>
                <w:sz w:val="18"/>
                <w:szCs w:val="18"/>
              </w:rPr>
              <w:t xml:space="preserve"> +3 with soft end point; + pivot shift at +1; </w:t>
            </w:r>
            <w:r w:rsidR="007809D4" w:rsidRPr="00C82209">
              <w:rPr>
                <w:rFonts w:asciiTheme="minorHAnsi" w:eastAsiaTheme="minorHAnsi" w:hAnsiTheme="minorHAnsi"/>
                <w:color w:val="000000" w:themeColor="text1"/>
                <w:sz w:val="18"/>
                <w:szCs w:val="18"/>
              </w:rPr>
              <w:t xml:space="preserve">guarding with pivot; no </w:t>
            </w:r>
            <w:proofErr w:type="spellStart"/>
            <w:r w:rsidR="007809D4" w:rsidRPr="00C82209">
              <w:rPr>
                <w:rFonts w:asciiTheme="minorHAnsi" w:eastAsiaTheme="minorHAnsi" w:hAnsiTheme="minorHAnsi"/>
                <w:color w:val="000000" w:themeColor="text1"/>
                <w:sz w:val="18"/>
                <w:szCs w:val="18"/>
              </w:rPr>
              <w:t>varus</w:t>
            </w:r>
            <w:proofErr w:type="spellEnd"/>
            <w:r w:rsidR="007809D4" w:rsidRPr="00C82209">
              <w:rPr>
                <w:rFonts w:asciiTheme="minorHAnsi" w:eastAsiaTheme="minorHAnsi" w:hAnsiTheme="minorHAnsi"/>
                <w:color w:val="000000" w:themeColor="text1"/>
                <w:sz w:val="18"/>
                <w:szCs w:val="18"/>
              </w:rPr>
              <w:t xml:space="preserve"> or </w:t>
            </w:r>
            <w:proofErr w:type="spellStart"/>
            <w:r w:rsidR="007809D4" w:rsidRPr="00C82209">
              <w:rPr>
                <w:rFonts w:asciiTheme="minorHAnsi" w:eastAsiaTheme="minorHAnsi" w:hAnsiTheme="minorHAnsi"/>
                <w:color w:val="000000" w:themeColor="text1"/>
                <w:sz w:val="18"/>
                <w:szCs w:val="18"/>
              </w:rPr>
              <w:t>valgus</w:t>
            </w:r>
            <w:proofErr w:type="spellEnd"/>
            <w:r w:rsidR="007809D4" w:rsidRPr="00C82209">
              <w:rPr>
                <w:rFonts w:asciiTheme="minorHAnsi" w:eastAsiaTheme="minorHAnsi" w:hAnsiTheme="minorHAnsi"/>
                <w:color w:val="000000" w:themeColor="text1"/>
                <w:sz w:val="18"/>
                <w:szCs w:val="18"/>
              </w:rPr>
              <w:t xml:space="preserve"> laxity; </w:t>
            </w:r>
            <w:r w:rsidR="009E6380" w:rsidRPr="00C82209">
              <w:rPr>
                <w:rFonts w:asciiTheme="minorHAnsi" w:eastAsiaTheme="minorHAnsi" w:hAnsiTheme="minorHAnsi"/>
                <w:color w:val="000000" w:themeColor="text1"/>
                <w:sz w:val="18"/>
                <w:szCs w:val="18"/>
              </w:rPr>
              <w:t xml:space="preserve">medial joint line tender to palpation; X-rays show positive </w:t>
            </w:r>
            <w:proofErr w:type="spellStart"/>
            <w:r w:rsidR="009E6380" w:rsidRPr="00C82209">
              <w:rPr>
                <w:rFonts w:asciiTheme="minorHAnsi" w:eastAsiaTheme="minorHAnsi" w:hAnsiTheme="minorHAnsi"/>
                <w:color w:val="000000" w:themeColor="text1"/>
                <w:sz w:val="18"/>
                <w:szCs w:val="18"/>
              </w:rPr>
              <w:t>osteophytes</w:t>
            </w:r>
            <w:proofErr w:type="spellEnd"/>
            <w:r w:rsidR="009E6380" w:rsidRPr="00C82209">
              <w:rPr>
                <w:rFonts w:asciiTheme="minorHAnsi" w:eastAsiaTheme="minorHAnsi" w:hAnsiTheme="minorHAnsi"/>
                <w:color w:val="000000" w:themeColor="text1"/>
                <w:sz w:val="18"/>
                <w:szCs w:val="18"/>
              </w:rPr>
              <w:t xml:space="preserve"> and medial joint space is significantly narrowed.</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93E2A" w:rsidRPr="00C82209" w:rsidRDefault="00A93E2A" w:rsidP="0002382C">
            <w:pPr>
              <w:tabs>
                <w:tab w:val="left" w:pos="288"/>
                <w:tab w:val="left" w:pos="4752"/>
              </w:tabs>
              <w:jc w:val="left"/>
              <w:rPr>
                <w:rFonts w:asciiTheme="minorHAnsi" w:eastAsiaTheme="minorHAnsi" w:hAnsiTheme="minorHAnsi"/>
                <w:color w:val="000000" w:themeColor="text1"/>
                <w:sz w:val="18"/>
                <w:szCs w:val="18"/>
              </w:rPr>
            </w:pPr>
            <w:r w:rsidRPr="00C82209">
              <w:rPr>
                <w:rFonts w:asciiTheme="minorHAnsi" w:eastAsiaTheme="minorHAnsi" w:hAnsiTheme="minorHAnsi"/>
                <w:color w:val="000000" w:themeColor="text1"/>
                <w:sz w:val="18"/>
                <w:szCs w:val="18"/>
              </w:rPr>
              <w:t>Pain/discomfort with movement</w:t>
            </w:r>
            <w:r w:rsidR="003E50EB" w:rsidRPr="00C82209">
              <w:rPr>
                <w:rFonts w:asciiTheme="minorHAnsi" w:eastAsiaTheme="minorHAnsi" w:hAnsiTheme="minorHAnsi"/>
                <w:color w:val="000000" w:themeColor="text1"/>
                <w:sz w:val="18"/>
                <w:szCs w:val="18"/>
              </w:rPr>
              <w:t>; no i</w:t>
            </w:r>
            <w:r w:rsidR="0002382C" w:rsidRPr="00C82209">
              <w:rPr>
                <w:rFonts w:asciiTheme="minorHAnsi" w:eastAsiaTheme="minorHAnsi" w:hAnsiTheme="minorHAnsi"/>
                <w:color w:val="000000" w:themeColor="text1"/>
                <w:sz w:val="18"/>
                <w:szCs w:val="18"/>
              </w:rPr>
              <w:t xml:space="preserve">ncrease in pain or limitation of ROM after repeated movements </w:t>
            </w:r>
            <w:r w:rsidR="00EC3C33" w:rsidRPr="00C82209">
              <w:rPr>
                <w:rFonts w:asciiTheme="minorHAnsi" w:eastAsiaTheme="minorHAnsi" w:hAnsiTheme="minorHAnsi"/>
                <w:color w:val="000000" w:themeColor="text1"/>
                <w:sz w:val="18"/>
                <w:szCs w:val="18"/>
              </w:rPr>
              <w:t>; instability not addressed</w:t>
            </w:r>
            <w:r w:rsidRPr="00C82209">
              <w:rPr>
                <w:rFonts w:asciiTheme="minorHAnsi" w:eastAsiaTheme="minorHAnsi" w:hAnsiTheme="minorHAnsi"/>
                <w:color w:val="000000" w:themeColor="text1"/>
                <w:sz w:val="18"/>
                <w:szCs w:val="18"/>
              </w:rPr>
              <w:t xml:space="preserve"> </w:t>
            </w:r>
          </w:p>
        </w:tc>
        <w:tc>
          <w:tcPr>
            <w:tcW w:w="2790" w:type="dxa"/>
            <w:tcBorders>
              <w:top w:val="single" w:sz="4" w:space="0" w:color="auto"/>
              <w:left w:val="single" w:sz="4" w:space="0" w:color="auto"/>
              <w:bottom w:val="single" w:sz="4" w:space="0" w:color="auto"/>
              <w:right w:val="single" w:sz="4" w:space="0" w:color="auto"/>
            </w:tcBorders>
          </w:tcPr>
          <w:p w:rsidR="007324B6" w:rsidRPr="00C82209" w:rsidRDefault="0002382C" w:rsidP="00820613">
            <w:pPr>
              <w:tabs>
                <w:tab w:val="left" w:pos="288"/>
                <w:tab w:val="left" w:pos="4752"/>
              </w:tabs>
              <w:jc w:val="left"/>
              <w:rPr>
                <w:rFonts w:asciiTheme="minorHAnsi" w:eastAsiaTheme="minorHAnsi" w:hAnsiTheme="minorHAnsi"/>
                <w:color w:val="000000" w:themeColor="text1"/>
                <w:sz w:val="18"/>
                <w:szCs w:val="18"/>
              </w:rPr>
            </w:pPr>
            <w:r w:rsidRPr="00C82209">
              <w:rPr>
                <w:rFonts w:asciiTheme="minorHAnsi" w:eastAsiaTheme="minorHAnsi" w:hAnsiTheme="minorHAnsi"/>
                <w:color w:val="000000" w:themeColor="text1"/>
                <w:sz w:val="18"/>
                <w:szCs w:val="18"/>
              </w:rPr>
              <w:t>Diagnoses</w:t>
            </w:r>
            <w:r w:rsidR="007324B6" w:rsidRPr="00C82209">
              <w:rPr>
                <w:rFonts w:asciiTheme="minorHAnsi" w:eastAsiaTheme="minorHAnsi" w:hAnsiTheme="minorHAnsi"/>
                <w:color w:val="000000" w:themeColor="text1"/>
                <w:sz w:val="18"/>
                <w:szCs w:val="18"/>
              </w:rPr>
              <w:t>: moderate to sever</w:t>
            </w:r>
            <w:r w:rsidR="00BF0B16" w:rsidRPr="00C82209">
              <w:rPr>
                <w:rFonts w:asciiTheme="minorHAnsi" w:eastAsiaTheme="minorHAnsi" w:hAnsiTheme="minorHAnsi"/>
                <w:color w:val="000000" w:themeColor="text1"/>
                <w:sz w:val="18"/>
                <w:szCs w:val="18"/>
              </w:rPr>
              <w:t>e</w:t>
            </w:r>
            <w:r w:rsidR="007324B6" w:rsidRPr="00C82209">
              <w:rPr>
                <w:rFonts w:asciiTheme="minorHAnsi" w:eastAsiaTheme="minorHAnsi" w:hAnsiTheme="minorHAnsi"/>
                <w:color w:val="000000" w:themeColor="text1"/>
                <w:sz w:val="18"/>
                <w:szCs w:val="18"/>
              </w:rPr>
              <w:t xml:space="preserve"> osteoarthritis medial compartment with mild to moderate arthritis </w:t>
            </w:r>
            <w:proofErr w:type="spellStart"/>
            <w:r w:rsidR="007324B6" w:rsidRPr="00C82209">
              <w:rPr>
                <w:rFonts w:asciiTheme="minorHAnsi" w:eastAsiaTheme="minorHAnsi" w:hAnsiTheme="minorHAnsi"/>
                <w:color w:val="000000" w:themeColor="text1"/>
                <w:sz w:val="18"/>
                <w:szCs w:val="18"/>
              </w:rPr>
              <w:t>patellofemoral</w:t>
            </w:r>
            <w:proofErr w:type="spellEnd"/>
            <w:r w:rsidR="007324B6" w:rsidRPr="00C82209">
              <w:rPr>
                <w:rFonts w:asciiTheme="minorHAnsi" w:eastAsiaTheme="minorHAnsi" w:hAnsiTheme="minorHAnsi"/>
                <w:color w:val="000000" w:themeColor="text1"/>
                <w:sz w:val="18"/>
                <w:szCs w:val="18"/>
              </w:rPr>
              <w:t xml:space="preserve"> compartment and ACL insufficiency.</w:t>
            </w:r>
          </w:p>
          <w:p w:rsidR="00A93E2A" w:rsidRPr="00C82209" w:rsidRDefault="00A93E2A" w:rsidP="003E50EB">
            <w:pPr>
              <w:tabs>
                <w:tab w:val="left" w:pos="288"/>
                <w:tab w:val="left" w:pos="4752"/>
              </w:tabs>
              <w:jc w:val="left"/>
              <w:rPr>
                <w:rFonts w:asciiTheme="minorHAnsi" w:eastAsiaTheme="minorHAnsi" w:hAnsiTheme="minorHAnsi"/>
                <w:color w:val="000000" w:themeColor="text1"/>
                <w:sz w:val="18"/>
                <w:szCs w:val="18"/>
              </w:rPr>
            </w:pPr>
            <w:r w:rsidRPr="00C82209">
              <w:rPr>
                <w:rFonts w:asciiTheme="minorHAnsi" w:eastAsiaTheme="minorHAnsi" w:hAnsiTheme="minorHAnsi"/>
                <w:color w:val="000000" w:themeColor="text1"/>
                <w:sz w:val="18"/>
                <w:szCs w:val="18"/>
              </w:rPr>
              <w:t xml:space="preserve">Medial/lateral /infra patellar/medial joint line tenderness to palpation (TTP); </w:t>
            </w:r>
            <w:proofErr w:type="spellStart"/>
            <w:r w:rsidRPr="00C82209">
              <w:rPr>
                <w:rFonts w:asciiTheme="minorHAnsi" w:eastAsiaTheme="minorHAnsi" w:hAnsiTheme="minorHAnsi"/>
                <w:color w:val="000000" w:themeColor="text1"/>
                <w:sz w:val="18"/>
                <w:szCs w:val="18"/>
              </w:rPr>
              <w:t>crepitus</w:t>
            </w:r>
            <w:proofErr w:type="spellEnd"/>
            <w:r w:rsidRPr="00C82209">
              <w:rPr>
                <w:rFonts w:asciiTheme="minorHAnsi" w:eastAsiaTheme="minorHAnsi" w:hAnsiTheme="minorHAnsi"/>
                <w:color w:val="000000" w:themeColor="text1"/>
                <w:sz w:val="18"/>
                <w:szCs w:val="18"/>
              </w:rPr>
              <w:t xml:space="preserve"> retro patellar area; </w:t>
            </w:r>
            <w:proofErr w:type="spellStart"/>
            <w:r w:rsidRPr="00C82209">
              <w:rPr>
                <w:rFonts w:asciiTheme="minorHAnsi" w:eastAsiaTheme="minorHAnsi" w:hAnsiTheme="minorHAnsi"/>
                <w:color w:val="000000" w:themeColor="text1"/>
                <w:sz w:val="18"/>
                <w:szCs w:val="18"/>
              </w:rPr>
              <w:t>Lachman’s</w:t>
            </w:r>
            <w:proofErr w:type="spellEnd"/>
            <w:r w:rsidRPr="00C82209">
              <w:rPr>
                <w:rFonts w:asciiTheme="minorHAnsi" w:eastAsiaTheme="minorHAnsi" w:hAnsiTheme="minorHAnsi"/>
                <w:color w:val="000000" w:themeColor="text1"/>
                <w:sz w:val="18"/>
                <w:szCs w:val="18"/>
              </w:rPr>
              <w:t xml:space="preserve"> 1+; FRD test +1 laxity</w:t>
            </w:r>
            <w:r w:rsidR="007324B6" w:rsidRPr="00C82209">
              <w:rPr>
                <w:rFonts w:asciiTheme="minorHAnsi" w:eastAsiaTheme="minorHAnsi" w:hAnsiTheme="minorHAnsi"/>
                <w:color w:val="000000" w:themeColor="text1"/>
                <w:sz w:val="18"/>
                <w:szCs w:val="18"/>
              </w:rPr>
              <w:t xml:space="preserve"> (pivot shift</w:t>
            </w:r>
            <w:r w:rsidR="003E50EB" w:rsidRPr="00C82209">
              <w:rPr>
                <w:rFonts w:asciiTheme="minorHAnsi" w:eastAsiaTheme="minorHAnsi" w:hAnsiTheme="minorHAnsi"/>
                <w:color w:val="000000" w:themeColor="text1"/>
                <w:sz w:val="18"/>
                <w:szCs w:val="18"/>
              </w:rPr>
              <w:t>-ACL</w:t>
            </w:r>
            <w:r w:rsidR="007324B6" w:rsidRPr="00C82209">
              <w:rPr>
                <w:rFonts w:asciiTheme="minorHAnsi" w:eastAsiaTheme="minorHAnsi" w:hAnsiTheme="minorHAnsi"/>
                <w:color w:val="000000" w:themeColor="text1"/>
                <w:sz w:val="18"/>
                <w:szCs w:val="18"/>
              </w:rPr>
              <w:t>)</w:t>
            </w:r>
            <w:r w:rsidRPr="00C82209">
              <w:rPr>
                <w:rFonts w:asciiTheme="minorHAnsi" w:eastAsiaTheme="minorHAnsi" w:hAnsiTheme="minorHAnsi"/>
                <w:color w:val="000000" w:themeColor="text1"/>
                <w:sz w:val="18"/>
                <w:szCs w:val="18"/>
              </w:rPr>
              <w:t xml:space="preserve">; Modified Steinman’s test </w:t>
            </w:r>
            <w:proofErr w:type="spellStart"/>
            <w:r w:rsidRPr="00C82209">
              <w:rPr>
                <w:rFonts w:asciiTheme="minorHAnsi" w:eastAsiaTheme="minorHAnsi" w:hAnsiTheme="minorHAnsi"/>
                <w:color w:val="000000" w:themeColor="text1"/>
                <w:sz w:val="18"/>
                <w:szCs w:val="18"/>
              </w:rPr>
              <w:t>crepitus</w:t>
            </w:r>
            <w:proofErr w:type="spellEnd"/>
            <w:r w:rsidRPr="00C82209">
              <w:rPr>
                <w:rFonts w:asciiTheme="minorHAnsi" w:eastAsiaTheme="minorHAnsi" w:hAnsiTheme="minorHAnsi"/>
                <w:color w:val="000000" w:themeColor="text1"/>
                <w:sz w:val="18"/>
                <w:szCs w:val="18"/>
              </w:rPr>
              <w:t>/pain along medial aspect knee</w:t>
            </w:r>
            <w:r w:rsidR="003E50EB" w:rsidRPr="00C82209">
              <w:rPr>
                <w:rFonts w:asciiTheme="minorHAnsi" w:eastAsiaTheme="minorHAnsi" w:hAnsiTheme="minorHAnsi"/>
                <w:color w:val="000000" w:themeColor="text1"/>
                <w:sz w:val="18"/>
                <w:szCs w:val="18"/>
              </w:rPr>
              <w:t xml:space="preserve"> (medial meniscus or</w:t>
            </w:r>
            <w:r w:rsidR="007324B6" w:rsidRPr="00C82209">
              <w:rPr>
                <w:rFonts w:asciiTheme="minorHAnsi" w:eastAsiaTheme="minorHAnsi" w:hAnsiTheme="minorHAnsi"/>
                <w:color w:val="000000" w:themeColor="text1"/>
                <w:sz w:val="18"/>
                <w:szCs w:val="18"/>
              </w:rPr>
              <w:t xml:space="preserve"> </w:t>
            </w:r>
            <w:r w:rsidR="0002387C" w:rsidRPr="00C82209">
              <w:rPr>
                <w:rFonts w:asciiTheme="minorHAnsi" w:eastAsiaTheme="minorHAnsi" w:hAnsiTheme="minorHAnsi"/>
                <w:color w:val="000000" w:themeColor="text1"/>
                <w:sz w:val="18"/>
                <w:szCs w:val="18"/>
              </w:rPr>
              <w:t>arthritis</w:t>
            </w:r>
            <w:r w:rsidR="007324B6" w:rsidRPr="00C82209">
              <w:rPr>
                <w:rFonts w:asciiTheme="minorHAnsi" w:eastAsiaTheme="minorHAnsi" w:hAnsiTheme="minorHAnsi"/>
                <w:color w:val="000000" w:themeColor="text1"/>
                <w:sz w:val="18"/>
                <w:szCs w:val="18"/>
              </w:rPr>
              <w:t>)</w:t>
            </w:r>
          </w:p>
        </w:tc>
      </w:tr>
      <w:tr w:rsidR="007324B6" w:rsidRPr="00664A06" w:rsidTr="00C82209">
        <w:trPr>
          <w:trHeight w:val="278"/>
        </w:trPr>
        <w:tc>
          <w:tcPr>
            <w:tcW w:w="1368" w:type="dxa"/>
            <w:tcBorders>
              <w:top w:val="single" w:sz="4" w:space="0" w:color="auto"/>
              <w:left w:val="single" w:sz="4" w:space="0" w:color="auto"/>
              <w:bottom w:val="single" w:sz="4" w:space="0" w:color="auto"/>
              <w:right w:val="single" w:sz="4" w:space="0" w:color="auto"/>
            </w:tcBorders>
            <w:vAlign w:val="center"/>
          </w:tcPr>
          <w:p w:rsidR="007324B6" w:rsidRPr="00664A06" w:rsidRDefault="007324B6" w:rsidP="00D75E85">
            <w:pPr>
              <w:tabs>
                <w:tab w:val="left" w:pos="288"/>
                <w:tab w:val="left" w:pos="4752"/>
              </w:tabs>
              <w:rPr>
                <w:rFonts w:asciiTheme="minorHAnsi" w:eastAsiaTheme="minorHAnsi" w:hAnsiTheme="minorHAnsi"/>
                <w:color w:val="000000" w:themeColor="text1"/>
                <w:sz w:val="18"/>
                <w:szCs w:val="18"/>
              </w:rPr>
            </w:pPr>
            <w:r w:rsidRPr="00664A06">
              <w:rPr>
                <w:rFonts w:asciiTheme="minorHAnsi" w:eastAsiaTheme="minorHAnsi" w:hAnsiTheme="minorHAnsi"/>
                <w:color w:val="000000" w:themeColor="text1"/>
                <w:sz w:val="18"/>
                <w:szCs w:val="18"/>
              </w:rPr>
              <w:t>§4.71a Rating</w:t>
            </w:r>
          </w:p>
        </w:tc>
        <w:tc>
          <w:tcPr>
            <w:tcW w:w="1440" w:type="dxa"/>
            <w:tcBorders>
              <w:top w:val="single" w:sz="4" w:space="0" w:color="auto"/>
              <w:left w:val="single" w:sz="4" w:space="0" w:color="auto"/>
              <w:bottom w:val="single" w:sz="4" w:space="0" w:color="auto"/>
              <w:right w:val="single" w:sz="4" w:space="0" w:color="auto"/>
            </w:tcBorders>
            <w:vAlign w:val="center"/>
          </w:tcPr>
          <w:p w:rsidR="007324B6" w:rsidRPr="00664A06" w:rsidRDefault="007324B6" w:rsidP="00D75E85">
            <w:pPr>
              <w:tabs>
                <w:tab w:val="left" w:pos="288"/>
                <w:tab w:val="left" w:pos="4752"/>
              </w:tabs>
              <w:rPr>
                <w:rFonts w:asciiTheme="minorHAnsi" w:eastAsiaTheme="minorHAnsi" w:hAnsiTheme="minorHAnsi"/>
                <w:color w:val="000000" w:themeColor="text1"/>
                <w:sz w:val="18"/>
                <w:szCs w:val="18"/>
              </w:rPr>
            </w:pPr>
          </w:p>
        </w:tc>
        <w:tc>
          <w:tcPr>
            <w:tcW w:w="2430" w:type="dxa"/>
            <w:tcBorders>
              <w:top w:val="single" w:sz="4" w:space="0" w:color="auto"/>
              <w:left w:val="single" w:sz="4" w:space="0" w:color="auto"/>
              <w:bottom w:val="single" w:sz="4" w:space="0" w:color="auto"/>
              <w:right w:val="single" w:sz="4" w:space="0" w:color="auto"/>
            </w:tcBorders>
          </w:tcPr>
          <w:p w:rsidR="007324B6" w:rsidRPr="00664A06" w:rsidRDefault="007324B6" w:rsidP="00D75E85">
            <w:pPr>
              <w:tabs>
                <w:tab w:val="left" w:pos="288"/>
                <w:tab w:val="left" w:pos="4752"/>
              </w:tabs>
              <w:rPr>
                <w:rFonts w:asciiTheme="minorHAnsi" w:eastAsiaTheme="minorHAnsi" w:hAnsiTheme="minorHAnsi"/>
                <w:color w:val="000000" w:themeColor="text1"/>
                <w:sz w:val="18"/>
                <w:szCs w:val="18"/>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7324B6" w:rsidRPr="00664A06" w:rsidRDefault="007324B6" w:rsidP="00134C58">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VA rated 30% based on these two exams</w:t>
            </w:r>
          </w:p>
        </w:tc>
      </w:tr>
      <w:tr w:rsidR="009E6380" w:rsidRPr="00664A06" w:rsidTr="00C82209">
        <w:tc>
          <w:tcPr>
            <w:tcW w:w="1368" w:type="dxa"/>
            <w:tcBorders>
              <w:top w:val="single" w:sz="4" w:space="0" w:color="auto"/>
              <w:left w:val="single" w:sz="4" w:space="0" w:color="auto"/>
              <w:bottom w:val="single" w:sz="4" w:space="0" w:color="auto"/>
              <w:right w:val="single" w:sz="4" w:space="0" w:color="auto"/>
            </w:tcBorders>
            <w:vAlign w:val="center"/>
          </w:tcPr>
          <w:p w:rsidR="009E6380" w:rsidRPr="00664A06" w:rsidRDefault="007809D4" w:rsidP="00D75E85">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5257</w:t>
            </w:r>
          </w:p>
        </w:tc>
        <w:tc>
          <w:tcPr>
            <w:tcW w:w="1440" w:type="dxa"/>
            <w:tcBorders>
              <w:top w:val="single" w:sz="4" w:space="0" w:color="auto"/>
              <w:left w:val="single" w:sz="4" w:space="0" w:color="auto"/>
              <w:bottom w:val="single" w:sz="4" w:space="0" w:color="auto"/>
              <w:right w:val="single" w:sz="4" w:space="0" w:color="auto"/>
            </w:tcBorders>
            <w:vAlign w:val="center"/>
          </w:tcPr>
          <w:p w:rsidR="00C82209"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30% if severe, </w:t>
            </w:r>
          </w:p>
          <w:p w:rsidR="009E6380" w:rsidRPr="00664A06"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 if moderate</w:t>
            </w:r>
          </w:p>
        </w:tc>
        <w:tc>
          <w:tcPr>
            <w:tcW w:w="2430" w:type="dxa"/>
            <w:tcBorders>
              <w:top w:val="single" w:sz="4" w:space="0" w:color="auto"/>
              <w:left w:val="single" w:sz="4" w:space="0" w:color="auto"/>
              <w:bottom w:val="single" w:sz="4" w:space="0" w:color="auto"/>
              <w:right w:val="single" w:sz="4" w:space="0" w:color="auto"/>
            </w:tcBorders>
            <w:vAlign w:val="center"/>
          </w:tcPr>
          <w:p w:rsidR="00C82209" w:rsidRDefault="0002382C" w:rsidP="0002382C">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30%</w:t>
            </w:r>
            <w:r w:rsidR="00C82209">
              <w:rPr>
                <w:rFonts w:asciiTheme="minorHAnsi" w:eastAsiaTheme="minorHAnsi" w:hAnsiTheme="minorHAnsi"/>
                <w:color w:val="000000" w:themeColor="text1"/>
                <w:sz w:val="18"/>
                <w:szCs w:val="18"/>
              </w:rPr>
              <w:t xml:space="preserve"> if severe, </w:t>
            </w:r>
          </w:p>
          <w:p w:rsidR="009E6380" w:rsidRPr="00664A06" w:rsidRDefault="00C82209" w:rsidP="0002382C">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 if moderate</w:t>
            </w:r>
          </w:p>
        </w:tc>
        <w:tc>
          <w:tcPr>
            <w:tcW w:w="1440" w:type="dxa"/>
            <w:tcBorders>
              <w:top w:val="single" w:sz="4" w:space="0" w:color="auto"/>
              <w:left w:val="single" w:sz="4" w:space="0" w:color="auto"/>
              <w:bottom w:val="single" w:sz="4" w:space="0" w:color="auto"/>
              <w:right w:val="single" w:sz="4" w:space="0" w:color="auto"/>
            </w:tcBorders>
            <w:vAlign w:val="center"/>
          </w:tcPr>
          <w:p w:rsidR="009E6380" w:rsidRPr="00664A06" w:rsidRDefault="00C82209" w:rsidP="0002382C">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30% if severe, 20% if moderate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82209" w:rsidRDefault="00C82209" w:rsidP="0002382C">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30% if severe, </w:t>
            </w:r>
          </w:p>
          <w:p w:rsidR="009E6380" w:rsidRPr="00664A06" w:rsidRDefault="00C82209" w:rsidP="0002382C">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20% if moderate</w:t>
            </w:r>
          </w:p>
        </w:tc>
      </w:tr>
      <w:tr w:rsidR="00C82209" w:rsidRPr="00664A06" w:rsidTr="00C82209">
        <w:tc>
          <w:tcPr>
            <w:tcW w:w="1368" w:type="dxa"/>
            <w:tcBorders>
              <w:top w:val="single" w:sz="4" w:space="0" w:color="auto"/>
              <w:left w:val="single" w:sz="4" w:space="0" w:color="auto"/>
              <w:bottom w:val="single" w:sz="4" w:space="0" w:color="auto"/>
              <w:right w:val="single" w:sz="4" w:space="0" w:color="auto"/>
            </w:tcBorders>
            <w:vAlign w:val="center"/>
          </w:tcPr>
          <w:p w:rsidR="00C82209" w:rsidRPr="00664A06"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 xml:space="preserve">5260 </w:t>
            </w:r>
          </w:p>
        </w:tc>
        <w:tc>
          <w:tcPr>
            <w:tcW w:w="1440" w:type="dxa"/>
            <w:tcBorders>
              <w:top w:val="single" w:sz="4" w:space="0" w:color="auto"/>
              <w:left w:val="single" w:sz="4" w:space="0" w:color="auto"/>
              <w:bottom w:val="single" w:sz="4" w:space="0" w:color="auto"/>
              <w:right w:val="single" w:sz="4" w:space="0" w:color="auto"/>
            </w:tcBorders>
            <w:vAlign w:val="center"/>
          </w:tcPr>
          <w:p w:rsidR="00C82209" w:rsidRPr="00664A06" w:rsidRDefault="00C82209" w:rsidP="00C82209">
            <w:pPr>
              <w:tabs>
                <w:tab w:val="left" w:pos="288"/>
                <w:tab w:val="left" w:pos="4752"/>
              </w:tabs>
              <w:rPr>
                <w:rFonts w:asciiTheme="minorHAnsi" w:eastAsiaTheme="minorHAnsi" w:hAnsiTheme="minorHAnsi"/>
                <w:color w:val="000000" w:themeColor="text1"/>
                <w:sz w:val="18"/>
                <w:szCs w:val="18"/>
              </w:rPr>
            </w:pPr>
          </w:p>
        </w:tc>
        <w:tc>
          <w:tcPr>
            <w:tcW w:w="2430" w:type="dxa"/>
            <w:tcBorders>
              <w:top w:val="single" w:sz="4" w:space="0" w:color="auto"/>
              <w:left w:val="single" w:sz="4" w:space="0" w:color="auto"/>
              <w:bottom w:val="single" w:sz="4" w:space="0" w:color="auto"/>
              <w:right w:val="single" w:sz="4" w:space="0" w:color="auto"/>
            </w:tcBorders>
            <w:vAlign w:val="center"/>
          </w:tcPr>
          <w:p w:rsidR="00C82209" w:rsidRPr="00664A06"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c>
          <w:tcPr>
            <w:tcW w:w="1440" w:type="dxa"/>
            <w:tcBorders>
              <w:top w:val="single" w:sz="4" w:space="0" w:color="auto"/>
              <w:left w:val="single" w:sz="4" w:space="0" w:color="auto"/>
              <w:bottom w:val="single" w:sz="4" w:space="0" w:color="auto"/>
              <w:right w:val="single" w:sz="4" w:space="0" w:color="auto"/>
            </w:tcBorders>
            <w:vAlign w:val="center"/>
          </w:tcPr>
          <w:p w:rsidR="00C82209"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82209"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r>
      <w:tr w:rsidR="00C82209" w:rsidRPr="00664A06" w:rsidTr="00C82209">
        <w:tc>
          <w:tcPr>
            <w:tcW w:w="1368" w:type="dxa"/>
            <w:tcBorders>
              <w:top w:val="single" w:sz="4" w:space="0" w:color="auto"/>
              <w:left w:val="single" w:sz="4" w:space="0" w:color="auto"/>
              <w:bottom w:val="single" w:sz="4" w:space="0" w:color="auto"/>
              <w:right w:val="single" w:sz="4" w:space="0" w:color="auto"/>
            </w:tcBorders>
            <w:vAlign w:val="center"/>
          </w:tcPr>
          <w:p w:rsidR="00C82209" w:rsidRPr="00664A06"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5261</w:t>
            </w:r>
          </w:p>
        </w:tc>
        <w:tc>
          <w:tcPr>
            <w:tcW w:w="1440" w:type="dxa"/>
            <w:tcBorders>
              <w:top w:val="single" w:sz="4" w:space="0" w:color="auto"/>
              <w:left w:val="single" w:sz="4" w:space="0" w:color="auto"/>
              <w:bottom w:val="single" w:sz="4" w:space="0" w:color="auto"/>
              <w:right w:val="single" w:sz="4" w:space="0" w:color="auto"/>
            </w:tcBorders>
            <w:vAlign w:val="center"/>
          </w:tcPr>
          <w:p w:rsidR="00C82209" w:rsidRPr="00664A06" w:rsidRDefault="00C82209" w:rsidP="00C82209">
            <w:pPr>
              <w:tabs>
                <w:tab w:val="left" w:pos="288"/>
                <w:tab w:val="left" w:pos="4752"/>
              </w:tabs>
              <w:rPr>
                <w:rFonts w:asciiTheme="minorHAnsi" w:eastAsiaTheme="minorHAnsi" w:hAnsiTheme="minorHAnsi"/>
                <w:color w:val="000000" w:themeColor="text1"/>
                <w:sz w:val="18"/>
                <w:szCs w:val="18"/>
              </w:rPr>
            </w:pPr>
          </w:p>
        </w:tc>
        <w:tc>
          <w:tcPr>
            <w:tcW w:w="2430" w:type="dxa"/>
            <w:tcBorders>
              <w:top w:val="single" w:sz="4" w:space="0" w:color="auto"/>
              <w:left w:val="single" w:sz="4" w:space="0" w:color="auto"/>
              <w:bottom w:val="single" w:sz="4" w:space="0" w:color="auto"/>
              <w:right w:val="single" w:sz="4" w:space="0" w:color="auto"/>
            </w:tcBorders>
            <w:vAlign w:val="center"/>
          </w:tcPr>
          <w:p w:rsidR="00C82209" w:rsidRPr="00664A06" w:rsidRDefault="00C82209" w:rsidP="00C82209">
            <w:pPr>
              <w:tabs>
                <w:tab w:val="left" w:pos="288"/>
                <w:tab w:val="left" w:pos="4752"/>
              </w:tabs>
              <w:rPr>
                <w:rFonts w:asciiTheme="minorHAnsi" w:eastAsiaTheme="minorHAnsi" w:hAnsiTheme="minorHAnsi"/>
                <w:color w:val="000000" w:themeColor="text1"/>
                <w:sz w:val="18"/>
                <w:szCs w:val="18"/>
              </w:rPr>
            </w:pPr>
            <w:r>
              <w:rPr>
                <w:rFonts w:asciiTheme="minorHAnsi" w:eastAsiaTheme="minorHAnsi" w:hAnsiTheme="minorHAnsi"/>
                <w:color w:val="000000" w:themeColor="text1"/>
                <w:sz w:val="18"/>
                <w:szCs w:val="18"/>
              </w:rPr>
              <w:t>10%</w:t>
            </w:r>
          </w:p>
        </w:tc>
        <w:tc>
          <w:tcPr>
            <w:tcW w:w="1440" w:type="dxa"/>
            <w:tcBorders>
              <w:top w:val="single" w:sz="4" w:space="0" w:color="auto"/>
              <w:left w:val="single" w:sz="4" w:space="0" w:color="auto"/>
              <w:bottom w:val="single" w:sz="4" w:space="0" w:color="auto"/>
              <w:right w:val="single" w:sz="4" w:space="0" w:color="auto"/>
            </w:tcBorders>
            <w:vAlign w:val="center"/>
          </w:tcPr>
          <w:p w:rsidR="00C82209" w:rsidRPr="00664A06" w:rsidRDefault="00C82209" w:rsidP="00C82209">
            <w:pPr>
              <w:tabs>
                <w:tab w:val="left" w:pos="288"/>
                <w:tab w:val="left" w:pos="4752"/>
              </w:tabs>
              <w:rPr>
                <w:rFonts w:asciiTheme="minorHAnsi" w:eastAsiaTheme="minorHAnsi" w:hAnsiTheme="minorHAnsi"/>
                <w:color w:val="000000" w:themeColor="text1"/>
                <w:sz w:val="18"/>
                <w:szCs w:val="18"/>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C82209" w:rsidRDefault="00C82209" w:rsidP="00C82209">
            <w:pPr>
              <w:tabs>
                <w:tab w:val="left" w:pos="288"/>
                <w:tab w:val="left" w:pos="4752"/>
              </w:tabs>
              <w:rPr>
                <w:rFonts w:asciiTheme="minorHAnsi" w:eastAsiaTheme="minorHAnsi" w:hAnsiTheme="minorHAnsi"/>
                <w:color w:val="000000" w:themeColor="text1"/>
                <w:sz w:val="18"/>
                <w:szCs w:val="18"/>
              </w:rPr>
            </w:pPr>
          </w:p>
        </w:tc>
      </w:tr>
    </w:tbl>
    <w:p w:rsidR="00E335C3" w:rsidRPr="00664A06" w:rsidRDefault="00E335C3" w:rsidP="006E42C7">
      <w:pPr>
        <w:jc w:val="both"/>
        <w:rPr>
          <w:rFonts w:asciiTheme="minorHAnsi" w:hAnsiTheme="minorHAnsi"/>
          <w:color w:val="000000" w:themeColor="text1"/>
          <w:szCs w:val="24"/>
        </w:rPr>
      </w:pPr>
    </w:p>
    <w:p w:rsidR="00023721" w:rsidRDefault="006E42C7" w:rsidP="006E42C7">
      <w:pPr>
        <w:contextualSpacing/>
        <w:jc w:val="both"/>
        <w:rPr>
          <w:rFonts w:asciiTheme="minorHAnsi" w:eastAsiaTheme="minorHAnsi" w:hAnsiTheme="minorHAnsi"/>
          <w:color w:val="auto"/>
          <w:szCs w:val="24"/>
        </w:rPr>
      </w:pPr>
      <w:r>
        <w:rPr>
          <w:rFonts w:asciiTheme="minorHAnsi" w:hAnsiTheme="minorHAnsi"/>
          <w:color w:val="auto"/>
          <w:szCs w:val="24"/>
        </w:rPr>
        <w:t>The CI has a long well-</w:t>
      </w:r>
      <w:r w:rsidR="00E335C3" w:rsidRPr="00134C58">
        <w:rPr>
          <w:rFonts w:asciiTheme="minorHAnsi" w:hAnsiTheme="minorHAnsi"/>
          <w:color w:val="auto"/>
          <w:szCs w:val="24"/>
        </w:rPr>
        <w:t>documented history of left knee pain in the service treatment record (STR) dating back to 1971.</w:t>
      </w:r>
      <w:r w:rsidR="00664A06" w:rsidRPr="00134C58">
        <w:rPr>
          <w:rFonts w:asciiTheme="minorHAnsi" w:hAnsiTheme="minorHAnsi"/>
          <w:color w:val="auto"/>
          <w:szCs w:val="24"/>
        </w:rPr>
        <w:t xml:space="preserve">  The CI initially injured his left knee</w:t>
      </w:r>
      <w:r w:rsidR="0046180A" w:rsidRPr="00134C58">
        <w:rPr>
          <w:rFonts w:asciiTheme="minorHAnsi" w:hAnsiTheme="minorHAnsi"/>
          <w:color w:val="auto"/>
          <w:szCs w:val="24"/>
        </w:rPr>
        <w:t xml:space="preserve"> in </w:t>
      </w:r>
      <w:r w:rsidR="006E391D" w:rsidRPr="00134C58">
        <w:rPr>
          <w:rFonts w:asciiTheme="minorHAnsi" w:hAnsiTheme="minorHAnsi"/>
          <w:color w:val="auto"/>
          <w:szCs w:val="24"/>
        </w:rPr>
        <w:t xml:space="preserve">1964 but did not have difficulty until he injured his left knee in </w:t>
      </w:r>
      <w:r w:rsidR="0046180A" w:rsidRPr="00134C58">
        <w:rPr>
          <w:rFonts w:asciiTheme="minorHAnsi" w:hAnsiTheme="minorHAnsi"/>
          <w:color w:val="auto"/>
          <w:szCs w:val="24"/>
        </w:rPr>
        <w:t xml:space="preserve">November 1971 with symptoms of popping </w:t>
      </w:r>
      <w:r w:rsidR="0002387C" w:rsidRPr="00134C58">
        <w:rPr>
          <w:rFonts w:asciiTheme="minorHAnsi" w:hAnsiTheme="minorHAnsi"/>
          <w:color w:val="auto"/>
          <w:szCs w:val="24"/>
        </w:rPr>
        <w:t>with pain</w:t>
      </w:r>
      <w:r w:rsidR="0046180A" w:rsidRPr="00134C58">
        <w:rPr>
          <w:rFonts w:asciiTheme="minorHAnsi" w:hAnsiTheme="minorHAnsi"/>
          <w:color w:val="auto"/>
          <w:szCs w:val="24"/>
        </w:rPr>
        <w:t xml:space="preserve">, </w:t>
      </w:r>
      <w:r w:rsidR="0046180A" w:rsidRPr="00134C58">
        <w:rPr>
          <w:rFonts w:asciiTheme="minorHAnsi" w:hAnsiTheme="minorHAnsi"/>
          <w:color w:val="auto"/>
          <w:szCs w:val="24"/>
        </w:rPr>
        <w:lastRenderedPageBreak/>
        <w:t>tenderness on extension and was diagnosed with left knee strain.</w:t>
      </w:r>
      <w:r w:rsidR="006E391D" w:rsidRPr="00134C58">
        <w:rPr>
          <w:rFonts w:asciiTheme="minorHAnsi" w:hAnsiTheme="minorHAnsi"/>
          <w:color w:val="auto"/>
          <w:szCs w:val="24"/>
        </w:rPr>
        <w:t xml:space="preserve"> The CI was noted to have a partially torn anterior </w:t>
      </w:r>
      <w:proofErr w:type="spellStart"/>
      <w:r w:rsidR="0002387C" w:rsidRPr="00134C58">
        <w:rPr>
          <w:rFonts w:asciiTheme="minorHAnsi" w:hAnsiTheme="minorHAnsi"/>
          <w:color w:val="auto"/>
          <w:szCs w:val="24"/>
        </w:rPr>
        <w:t>cruciate</w:t>
      </w:r>
      <w:proofErr w:type="spellEnd"/>
      <w:r w:rsidR="006E391D" w:rsidRPr="00134C58">
        <w:rPr>
          <w:rFonts w:asciiTheme="minorHAnsi" w:hAnsiTheme="minorHAnsi"/>
          <w:color w:val="auto"/>
          <w:szCs w:val="24"/>
        </w:rPr>
        <w:t xml:space="preserve"> </w:t>
      </w:r>
      <w:r w:rsidR="0002387C" w:rsidRPr="00134C58">
        <w:rPr>
          <w:rFonts w:asciiTheme="minorHAnsi" w:hAnsiTheme="minorHAnsi"/>
          <w:color w:val="auto"/>
          <w:szCs w:val="24"/>
        </w:rPr>
        <w:t>ligament</w:t>
      </w:r>
      <w:r w:rsidR="006E391D" w:rsidRPr="00134C58">
        <w:rPr>
          <w:rFonts w:asciiTheme="minorHAnsi" w:hAnsiTheme="minorHAnsi"/>
          <w:color w:val="auto"/>
          <w:szCs w:val="24"/>
        </w:rPr>
        <w:t xml:space="preserve"> (ACL) and a small are</w:t>
      </w:r>
      <w:r w:rsidR="00636C70">
        <w:rPr>
          <w:rFonts w:asciiTheme="minorHAnsi" w:hAnsiTheme="minorHAnsi"/>
          <w:color w:val="auto"/>
          <w:szCs w:val="24"/>
        </w:rPr>
        <w:t>a</w:t>
      </w:r>
      <w:r w:rsidR="006E391D" w:rsidRPr="00134C58">
        <w:rPr>
          <w:rFonts w:asciiTheme="minorHAnsi" w:hAnsiTheme="minorHAnsi"/>
          <w:color w:val="auto"/>
          <w:szCs w:val="24"/>
        </w:rPr>
        <w:t xml:space="preserve"> of </w:t>
      </w:r>
      <w:proofErr w:type="spellStart"/>
      <w:r w:rsidR="0002387C" w:rsidRPr="00134C58">
        <w:rPr>
          <w:rFonts w:asciiTheme="minorHAnsi" w:hAnsiTheme="minorHAnsi"/>
          <w:color w:val="auto"/>
          <w:szCs w:val="24"/>
        </w:rPr>
        <w:t>chondromalacia</w:t>
      </w:r>
      <w:proofErr w:type="spellEnd"/>
      <w:r w:rsidR="006E391D" w:rsidRPr="00134C58">
        <w:rPr>
          <w:rFonts w:asciiTheme="minorHAnsi" w:hAnsiTheme="minorHAnsi"/>
          <w:color w:val="auto"/>
          <w:szCs w:val="24"/>
        </w:rPr>
        <w:t xml:space="preserve"> of the patel</w:t>
      </w:r>
      <w:r>
        <w:rPr>
          <w:rFonts w:asciiTheme="minorHAnsi" w:hAnsiTheme="minorHAnsi"/>
          <w:color w:val="auto"/>
          <w:szCs w:val="24"/>
        </w:rPr>
        <w:t>la.</w:t>
      </w:r>
      <w:r w:rsidR="006E391D" w:rsidRPr="00134C58">
        <w:rPr>
          <w:rFonts w:asciiTheme="minorHAnsi" w:hAnsiTheme="minorHAnsi"/>
          <w:color w:val="auto"/>
          <w:szCs w:val="24"/>
        </w:rPr>
        <w:t xml:space="preserve"> A left knee </w:t>
      </w:r>
      <w:proofErr w:type="spellStart"/>
      <w:r w:rsidR="006E391D" w:rsidRPr="00134C58">
        <w:rPr>
          <w:rFonts w:asciiTheme="minorHAnsi" w:hAnsiTheme="minorHAnsi"/>
          <w:color w:val="auto"/>
          <w:szCs w:val="24"/>
        </w:rPr>
        <w:t>arthrotomy</w:t>
      </w:r>
      <w:proofErr w:type="spellEnd"/>
      <w:r w:rsidR="006E391D" w:rsidRPr="00134C58">
        <w:rPr>
          <w:rFonts w:asciiTheme="minorHAnsi" w:hAnsiTheme="minorHAnsi"/>
          <w:color w:val="auto"/>
          <w:szCs w:val="24"/>
        </w:rPr>
        <w:t xml:space="preserve"> was </w:t>
      </w:r>
      <w:r w:rsidR="0002387C" w:rsidRPr="00134C58">
        <w:rPr>
          <w:rFonts w:asciiTheme="minorHAnsi" w:hAnsiTheme="minorHAnsi"/>
          <w:color w:val="auto"/>
          <w:szCs w:val="24"/>
        </w:rPr>
        <w:t>performed</w:t>
      </w:r>
      <w:r w:rsidR="006E391D" w:rsidRPr="00134C58">
        <w:rPr>
          <w:rFonts w:asciiTheme="minorHAnsi" w:hAnsiTheme="minorHAnsi"/>
          <w:color w:val="auto"/>
          <w:szCs w:val="24"/>
        </w:rPr>
        <w:t xml:space="preserve"> in November 1971.</w:t>
      </w:r>
      <w:r>
        <w:rPr>
          <w:rFonts w:asciiTheme="minorHAnsi" w:hAnsiTheme="minorHAnsi"/>
          <w:color w:val="auto"/>
          <w:szCs w:val="24"/>
        </w:rPr>
        <w:t xml:space="preserve"> </w:t>
      </w:r>
      <w:r w:rsidR="007B1198">
        <w:rPr>
          <w:rFonts w:asciiTheme="minorHAnsi" w:hAnsiTheme="minorHAnsi"/>
          <w:color w:val="auto"/>
          <w:szCs w:val="24"/>
        </w:rPr>
        <w:t xml:space="preserve"> </w:t>
      </w:r>
      <w:r w:rsidR="007E58EB" w:rsidRPr="00134C58">
        <w:rPr>
          <w:rFonts w:asciiTheme="minorHAnsi" w:hAnsiTheme="minorHAnsi"/>
          <w:color w:val="auto"/>
          <w:szCs w:val="24"/>
        </w:rPr>
        <w:t>The CI was ev</w:t>
      </w:r>
      <w:r w:rsidR="00821268" w:rsidRPr="00134C58">
        <w:rPr>
          <w:rFonts w:asciiTheme="minorHAnsi" w:hAnsiTheme="minorHAnsi"/>
          <w:color w:val="auto"/>
          <w:szCs w:val="24"/>
        </w:rPr>
        <w:t xml:space="preserve">aluated by </w:t>
      </w:r>
      <w:r w:rsidR="002A0041">
        <w:rPr>
          <w:rFonts w:asciiTheme="minorHAnsi" w:hAnsiTheme="minorHAnsi"/>
          <w:color w:val="auto"/>
          <w:szCs w:val="24"/>
        </w:rPr>
        <w:t>o</w:t>
      </w:r>
      <w:r w:rsidR="00821268" w:rsidRPr="00134C58">
        <w:rPr>
          <w:rFonts w:asciiTheme="minorHAnsi" w:hAnsiTheme="minorHAnsi"/>
          <w:color w:val="auto"/>
          <w:szCs w:val="24"/>
        </w:rPr>
        <w:t>r</w:t>
      </w:r>
      <w:r w:rsidR="007E58EB" w:rsidRPr="00134C58">
        <w:rPr>
          <w:rFonts w:asciiTheme="minorHAnsi" w:hAnsiTheme="minorHAnsi"/>
          <w:color w:val="auto"/>
          <w:szCs w:val="24"/>
        </w:rPr>
        <w:t>t</w:t>
      </w:r>
      <w:r w:rsidR="00821268" w:rsidRPr="00134C58">
        <w:rPr>
          <w:rFonts w:asciiTheme="minorHAnsi" w:hAnsiTheme="minorHAnsi"/>
          <w:color w:val="auto"/>
          <w:szCs w:val="24"/>
        </w:rPr>
        <w:t>h</w:t>
      </w:r>
      <w:r w:rsidR="007E58EB" w:rsidRPr="00134C58">
        <w:rPr>
          <w:rFonts w:asciiTheme="minorHAnsi" w:hAnsiTheme="minorHAnsi"/>
          <w:color w:val="auto"/>
          <w:szCs w:val="24"/>
        </w:rPr>
        <w:t xml:space="preserve">opedics in </w:t>
      </w:r>
      <w:r w:rsidR="004C025C" w:rsidRPr="00134C58">
        <w:rPr>
          <w:rFonts w:asciiTheme="minorHAnsi" w:hAnsiTheme="minorHAnsi"/>
          <w:color w:val="auto"/>
          <w:szCs w:val="24"/>
        </w:rPr>
        <w:t xml:space="preserve">1974 and found to have medial tenderness, </w:t>
      </w:r>
      <w:proofErr w:type="spellStart"/>
      <w:r w:rsidR="004C025C" w:rsidRPr="00134C58">
        <w:rPr>
          <w:rFonts w:asciiTheme="minorHAnsi" w:hAnsiTheme="minorHAnsi"/>
          <w:color w:val="auto"/>
          <w:szCs w:val="24"/>
        </w:rPr>
        <w:t>crepitus</w:t>
      </w:r>
      <w:proofErr w:type="spellEnd"/>
      <w:r w:rsidR="004C025C" w:rsidRPr="00134C58">
        <w:rPr>
          <w:rFonts w:asciiTheme="minorHAnsi" w:hAnsiTheme="minorHAnsi"/>
          <w:color w:val="auto"/>
          <w:szCs w:val="24"/>
        </w:rPr>
        <w:t xml:space="preserve"> and </w:t>
      </w:r>
      <w:proofErr w:type="spellStart"/>
      <w:r w:rsidR="0002387C" w:rsidRPr="00134C58">
        <w:rPr>
          <w:rFonts w:asciiTheme="minorHAnsi" w:hAnsiTheme="minorHAnsi"/>
          <w:color w:val="auto"/>
          <w:szCs w:val="24"/>
        </w:rPr>
        <w:t>chondromalacia</w:t>
      </w:r>
      <w:proofErr w:type="spellEnd"/>
      <w:r w:rsidR="004C025C" w:rsidRPr="00134C58">
        <w:rPr>
          <w:rFonts w:asciiTheme="minorHAnsi" w:hAnsiTheme="minorHAnsi"/>
          <w:color w:val="auto"/>
          <w:szCs w:val="24"/>
        </w:rPr>
        <w:t>.</w:t>
      </w:r>
      <w:r>
        <w:rPr>
          <w:rFonts w:asciiTheme="minorHAnsi" w:hAnsiTheme="minorHAnsi"/>
          <w:color w:val="auto"/>
          <w:szCs w:val="24"/>
        </w:rPr>
        <w:t xml:space="preserve"> </w:t>
      </w:r>
      <w:r w:rsidR="007B1198">
        <w:rPr>
          <w:rFonts w:asciiTheme="minorHAnsi" w:hAnsiTheme="minorHAnsi"/>
          <w:color w:val="auto"/>
          <w:szCs w:val="24"/>
        </w:rPr>
        <w:t xml:space="preserve"> </w:t>
      </w:r>
      <w:r w:rsidR="00342D32" w:rsidRPr="00134C58">
        <w:rPr>
          <w:rFonts w:asciiTheme="minorHAnsi" w:hAnsiTheme="minorHAnsi"/>
          <w:color w:val="auto"/>
          <w:szCs w:val="24"/>
        </w:rPr>
        <w:t>The CI wa</w:t>
      </w:r>
      <w:r w:rsidR="00821268" w:rsidRPr="00134C58">
        <w:rPr>
          <w:rFonts w:asciiTheme="minorHAnsi" w:hAnsiTheme="minorHAnsi"/>
          <w:color w:val="auto"/>
          <w:szCs w:val="24"/>
        </w:rPr>
        <w:t xml:space="preserve">s again seen by </w:t>
      </w:r>
      <w:r w:rsidR="002A0041">
        <w:rPr>
          <w:rFonts w:asciiTheme="minorHAnsi" w:hAnsiTheme="minorHAnsi"/>
          <w:color w:val="auto"/>
          <w:szCs w:val="24"/>
        </w:rPr>
        <w:t>o</w:t>
      </w:r>
      <w:r w:rsidR="00821268" w:rsidRPr="00134C58">
        <w:rPr>
          <w:rFonts w:asciiTheme="minorHAnsi" w:hAnsiTheme="minorHAnsi"/>
          <w:color w:val="auto"/>
          <w:szCs w:val="24"/>
        </w:rPr>
        <w:t>rthopedics in M</w:t>
      </w:r>
      <w:r w:rsidR="00342D32" w:rsidRPr="00134C58">
        <w:rPr>
          <w:rFonts w:asciiTheme="minorHAnsi" w:hAnsiTheme="minorHAnsi"/>
          <w:color w:val="auto"/>
          <w:szCs w:val="24"/>
        </w:rPr>
        <w:t>arch 1997 and noted to have significant deterioration of the</w:t>
      </w:r>
      <w:r w:rsidR="00873582" w:rsidRPr="00134C58">
        <w:rPr>
          <w:rFonts w:asciiTheme="minorHAnsi" w:hAnsiTheme="minorHAnsi"/>
          <w:color w:val="auto"/>
          <w:szCs w:val="24"/>
        </w:rPr>
        <w:t xml:space="preserve"> </w:t>
      </w:r>
      <w:r w:rsidR="00342D32" w:rsidRPr="00134C58">
        <w:rPr>
          <w:rFonts w:asciiTheme="minorHAnsi" w:hAnsiTheme="minorHAnsi"/>
          <w:color w:val="auto"/>
          <w:szCs w:val="24"/>
        </w:rPr>
        <w:t xml:space="preserve">left knee medial compartment and </w:t>
      </w:r>
      <w:proofErr w:type="spellStart"/>
      <w:r w:rsidR="00342D32" w:rsidRPr="00134C58">
        <w:rPr>
          <w:rFonts w:asciiTheme="minorHAnsi" w:hAnsiTheme="minorHAnsi"/>
          <w:color w:val="auto"/>
          <w:szCs w:val="24"/>
        </w:rPr>
        <w:t>cruciate</w:t>
      </w:r>
      <w:proofErr w:type="spellEnd"/>
      <w:r w:rsidR="00342D32" w:rsidRPr="00134C58">
        <w:rPr>
          <w:rFonts w:asciiTheme="minorHAnsi" w:hAnsiTheme="minorHAnsi"/>
          <w:color w:val="auto"/>
          <w:szCs w:val="24"/>
        </w:rPr>
        <w:t xml:space="preserve"> ligament.</w:t>
      </w:r>
      <w:r w:rsidR="00821268" w:rsidRPr="00134C58">
        <w:rPr>
          <w:rFonts w:asciiTheme="minorHAnsi" w:hAnsiTheme="minorHAnsi"/>
          <w:color w:val="auto"/>
          <w:szCs w:val="24"/>
        </w:rPr>
        <w:t xml:space="preserve"> </w:t>
      </w:r>
      <w:r w:rsidR="007B1198">
        <w:rPr>
          <w:rFonts w:asciiTheme="minorHAnsi" w:hAnsiTheme="minorHAnsi"/>
          <w:color w:val="auto"/>
          <w:szCs w:val="24"/>
        </w:rPr>
        <w:t xml:space="preserve"> </w:t>
      </w:r>
      <w:r w:rsidR="00342D32" w:rsidRPr="00134C58">
        <w:rPr>
          <w:rFonts w:asciiTheme="minorHAnsi" w:hAnsiTheme="minorHAnsi"/>
          <w:color w:val="auto"/>
          <w:szCs w:val="24"/>
        </w:rPr>
        <w:t xml:space="preserve">The examiner recommended against any type of running as this would cause </w:t>
      </w:r>
      <w:r w:rsidR="0002387C" w:rsidRPr="00134C58">
        <w:rPr>
          <w:rFonts w:asciiTheme="minorHAnsi" w:hAnsiTheme="minorHAnsi"/>
          <w:color w:val="auto"/>
          <w:szCs w:val="24"/>
        </w:rPr>
        <w:t>further</w:t>
      </w:r>
      <w:r w:rsidR="00342D32" w:rsidRPr="00134C58">
        <w:rPr>
          <w:rFonts w:asciiTheme="minorHAnsi" w:hAnsiTheme="minorHAnsi"/>
          <w:color w:val="auto"/>
          <w:szCs w:val="24"/>
        </w:rPr>
        <w:t xml:space="preserve"> </w:t>
      </w:r>
      <w:r>
        <w:rPr>
          <w:rFonts w:asciiTheme="minorHAnsi" w:hAnsiTheme="minorHAnsi"/>
          <w:color w:val="auto"/>
          <w:szCs w:val="24"/>
        </w:rPr>
        <w:t xml:space="preserve">deterioration and destruction. </w:t>
      </w:r>
      <w:r w:rsidR="00342D32" w:rsidRPr="00134C58">
        <w:rPr>
          <w:rFonts w:asciiTheme="minorHAnsi" w:hAnsiTheme="minorHAnsi"/>
          <w:color w:val="auto"/>
          <w:szCs w:val="24"/>
        </w:rPr>
        <w:t>In Augu</w:t>
      </w:r>
      <w:r w:rsidR="00821268" w:rsidRPr="00134C58">
        <w:rPr>
          <w:rFonts w:asciiTheme="minorHAnsi" w:hAnsiTheme="minorHAnsi"/>
          <w:color w:val="auto"/>
          <w:szCs w:val="24"/>
        </w:rPr>
        <w:t xml:space="preserve">st 2002, the CI was seen by </w:t>
      </w:r>
      <w:r w:rsidR="002A0041">
        <w:rPr>
          <w:rFonts w:asciiTheme="minorHAnsi" w:hAnsiTheme="minorHAnsi"/>
          <w:color w:val="auto"/>
          <w:szCs w:val="24"/>
        </w:rPr>
        <w:t>o</w:t>
      </w:r>
      <w:r w:rsidR="00821268" w:rsidRPr="00134C58">
        <w:rPr>
          <w:rFonts w:asciiTheme="minorHAnsi" w:hAnsiTheme="minorHAnsi"/>
          <w:color w:val="auto"/>
          <w:szCs w:val="24"/>
        </w:rPr>
        <w:t>rth</w:t>
      </w:r>
      <w:r w:rsidR="00342D32" w:rsidRPr="00134C58">
        <w:rPr>
          <w:rFonts w:asciiTheme="minorHAnsi" w:hAnsiTheme="minorHAnsi"/>
          <w:color w:val="auto"/>
          <w:szCs w:val="24"/>
        </w:rPr>
        <w:t xml:space="preserve">opedics for </w:t>
      </w:r>
      <w:r w:rsidR="00FE0018" w:rsidRPr="00134C58">
        <w:rPr>
          <w:rFonts w:asciiTheme="minorHAnsi" w:hAnsiTheme="minorHAnsi"/>
          <w:color w:val="auto"/>
          <w:szCs w:val="24"/>
        </w:rPr>
        <w:t>left knee swelling</w:t>
      </w:r>
      <w:r w:rsidR="0032372E" w:rsidRPr="00134C58">
        <w:rPr>
          <w:rFonts w:asciiTheme="minorHAnsi" w:hAnsiTheme="minorHAnsi"/>
          <w:color w:val="auto"/>
          <w:szCs w:val="24"/>
        </w:rPr>
        <w:t>;</w:t>
      </w:r>
      <w:r w:rsidR="00FE0018" w:rsidRPr="00134C58">
        <w:rPr>
          <w:rFonts w:asciiTheme="minorHAnsi" w:hAnsiTheme="minorHAnsi"/>
          <w:color w:val="auto"/>
          <w:szCs w:val="24"/>
        </w:rPr>
        <w:t xml:space="preserve"> aching</w:t>
      </w:r>
      <w:r w:rsidR="0032372E" w:rsidRPr="00134C58">
        <w:rPr>
          <w:rFonts w:asciiTheme="minorHAnsi" w:hAnsiTheme="minorHAnsi"/>
          <w:color w:val="auto"/>
          <w:szCs w:val="24"/>
        </w:rPr>
        <w:t xml:space="preserve">; </w:t>
      </w:r>
      <w:r w:rsidR="00FE0018" w:rsidRPr="00134C58">
        <w:rPr>
          <w:rFonts w:asciiTheme="minorHAnsi" w:hAnsiTheme="minorHAnsi"/>
          <w:color w:val="auto"/>
          <w:szCs w:val="24"/>
        </w:rPr>
        <w:t>clicking and grinding</w:t>
      </w:r>
      <w:r w:rsidR="0032372E" w:rsidRPr="00134C58">
        <w:rPr>
          <w:rFonts w:asciiTheme="minorHAnsi" w:hAnsiTheme="minorHAnsi"/>
          <w:color w:val="auto"/>
          <w:szCs w:val="24"/>
        </w:rPr>
        <w:t>;</w:t>
      </w:r>
      <w:r w:rsidR="00FE0018" w:rsidRPr="00134C58">
        <w:rPr>
          <w:rFonts w:asciiTheme="minorHAnsi" w:hAnsiTheme="minorHAnsi"/>
          <w:color w:val="auto"/>
          <w:szCs w:val="24"/>
        </w:rPr>
        <w:t xml:space="preserve"> pain with twisting m</w:t>
      </w:r>
      <w:r w:rsidR="0032372E" w:rsidRPr="00134C58">
        <w:rPr>
          <w:rFonts w:asciiTheme="minorHAnsi" w:hAnsiTheme="minorHAnsi"/>
          <w:color w:val="auto"/>
          <w:szCs w:val="24"/>
        </w:rPr>
        <w:t>o</w:t>
      </w:r>
      <w:r w:rsidR="00FE0018" w:rsidRPr="00134C58">
        <w:rPr>
          <w:rFonts w:asciiTheme="minorHAnsi" w:hAnsiTheme="minorHAnsi"/>
          <w:color w:val="auto"/>
          <w:szCs w:val="24"/>
        </w:rPr>
        <w:t>tions, running stepping and walking</w:t>
      </w:r>
      <w:r w:rsidR="0032372E" w:rsidRPr="00134C58">
        <w:rPr>
          <w:rFonts w:asciiTheme="minorHAnsi" w:hAnsiTheme="minorHAnsi"/>
          <w:color w:val="auto"/>
          <w:szCs w:val="24"/>
        </w:rPr>
        <w:t>;</w:t>
      </w:r>
      <w:r w:rsidR="00FE0018" w:rsidRPr="00134C58">
        <w:rPr>
          <w:rFonts w:asciiTheme="minorHAnsi" w:hAnsiTheme="minorHAnsi"/>
          <w:color w:val="auto"/>
          <w:szCs w:val="24"/>
        </w:rPr>
        <w:t xml:space="preserve"> </w:t>
      </w:r>
      <w:r w:rsidR="0032372E" w:rsidRPr="00134C58">
        <w:rPr>
          <w:rFonts w:asciiTheme="minorHAnsi" w:hAnsiTheme="minorHAnsi"/>
          <w:color w:val="auto"/>
          <w:szCs w:val="24"/>
        </w:rPr>
        <w:t>requiring the use of a  knee brace due to give away; and  pain along the me</w:t>
      </w:r>
      <w:r>
        <w:rPr>
          <w:rFonts w:asciiTheme="minorHAnsi" w:hAnsiTheme="minorHAnsi"/>
          <w:color w:val="auto"/>
          <w:szCs w:val="24"/>
        </w:rPr>
        <w:t xml:space="preserve">dial and </w:t>
      </w:r>
      <w:proofErr w:type="spellStart"/>
      <w:r>
        <w:rPr>
          <w:rFonts w:asciiTheme="minorHAnsi" w:hAnsiTheme="minorHAnsi"/>
          <w:color w:val="auto"/>
          <w:szCs w:val="24"/>
        </w:rPr>
        <w:t>retropatellar</w:t>
      </w:r>
      <w:proofErr w:type="spellEnd"/>
      <w:r>
        <w:rPr>
          <w:rFonts w:asciiTheme="minorHAnsi" w:hAnsiTheme="minorHAnsi"/>
          <w:color w:val="auto"/>
          <w:szCs w:val="24"/>
        </w:rPr>
        <w:t xml:space="preserve"> region. </w:t>
      </w:r>
      <w:r w:rsidR="007B1198">
        <w:rPr>
          <w:rFonts w:asciiTheme="minorHAnsi" w:hAnsiTheme="minorHAnsi"/>
          <w:color w:val="auto"/>
          <w:szCs w:val="24"/>
        </w:rPr>
        <w:t xml:space="preserve"> </w:t>
      </w:r>
      <w:r w:rsidR="0032372E" w:rsidRPr="00134C58">
        <w:rPr>
          <w:rFonts w:asciiTheme="minorHAnsi" w:hAnsiTheme="minorHAnsi"/>
          <w:color w:val="auto"/>
          <w:szCs w:val="24"/>
        </w:rPr>
        <w:t xml:space="preserve">The examination findings noted laxity and </w:t>
      </w:r>
      <w:proofErr w:type="spellStart"/>
      <w:r w:rsidR="0032372E" w:rsidRPr="00134C58">
        <w:rPr>
          <w:rFonts w:asciiTheme="minorHAnsi" w:hAnsiTheme="minorHAnsi"/>
          <w:color w:val="auto"/>
          <w:szCs w:val="24"/>
        </w:rPr>
        <w:t>crepitus</w:t>
      </w:r>
      <w:proofErr w:type="spellEnd"/>
      <w:r w:rsidR="0032372E" w:rsidRPr="00134C58">
        <w:rPr>
          <w:rFonts w:asciiTheme="minorHAnsi" w:hAnsiTheme="minorHAnsi"/>
          <w:color w:val="auto"/>
          <w:szCs w:val="24"/>
        </w:rPr>
        <w:t xml:space="preserve"> with pai</w:t>
      </w:r>
      <w:r>
        <w:rPr>
          <w:rFonts w:asciiTheme="minorHAnsi" w:hAnsiTheme="minorHAnsi"/>
          <w:color w:val="auto"/>
          <w:szCs w:val="24"/>
        </w:rPr>
        <w:t xml:space="preserve">n along the medial joint line. </w:t>
      </w:r>
      <w:r w:rsidR="007B1198">
        <w:rPr>
          <w:rFonts w:asciiTheme="minorHAnsi" w:hAnsiTheme="minorHAnsi"/>
          <w:color w:val="auto"/>
          <w:szCs w:val="24"/>
        </w:rPr>
        <w:t xml:space="preserve"> </w:t>
      </w:r>
      <w:r w:rsidR="0032372E" w:rsidRPr="00134C58">
        <w:rPr>
          <w:rFonts w:asciiTheme="minorHAnsi" w:hAnsiTheme="minorHAnsi"/>
          <w:color w:val="auto"/>
          <w:szCs w:val="24"/>
        </w:rPr>
        <w:t>X</w:t>
      </w:r>
      <w:r w:rsidR="00821268" w:rsidRPr="00134C58">
        <w:rPr>
          <w:rFonts w:asciiTheme="minorHAnsi" w:hAnsiTheme="minorHAnsi"/>
          <w:color w:val="auto"/>
          <w:szCs w:val="24"/>
        </w:rPr>
        <w:t>-</w:t>
      </w:r>
      <w:r w:rsidR="0032372E" w:rsidRPr="00134C58">
        <w:rPr>
          <w:rFonts w:asciiTheme="minorHAnsi" w:hAnsiTheme="minorHAnsi"/>
          <w:color w:val="auto"/>
          <w:szCs w:val="24"/>
        </w:rPr>
        <w:t xml:space="preserve">rays at this time </w:t>
      </w:r>
      <w:r w:rsidR="0002387C" w:rsidRPr="00134C58">
        <w:rPr>
          <w:rFonts w:asciiTheme="minorHAnsi" w:hAnsiTheme="minorHAnsi"/>
          <w:color w:val="auto"/>
          <w:szCs w:val="24"/>
        </w:rPr>
        <w:t>revealed</w:t>
      </w:r>
      <w:r w:rsidR="0032372E" w:rsidRPr="00134C58">
        <w:rPr>
          <w:rFonts w:asciiTheme="minorHAnsi" w:hAnsiTheme="minorHAnsi"/>
          <w:color w:val="auto"/>
          <w:szCs w:val="24"/>
        </w:rPr>
        <w:t xml:space="preserve"> moderate to severe </w:t>
      </w:r>
      <w:r w:rsidR="0002387C">
        <w:rPr>
          <w:rFonts w:asciiTheme="minorHAnsi" w:hAnsiTheme="minorHAnsi"/>
          <w:color w:val="auto"/>
          <w:szCs w:val="24"/>
        </w:rPr>
        <w:t>osteoarthritis</w:t>
      </w:r>
      <w:r w:rsidR="00124106">
        <w:rPr>
          <w:rFonts w:asciiTheme="minorHAnsi" w:hAnsiTheme="minorHAnsi"/>
          <w:color w:val="auto"/>
          <w:szCs w:val="24"/>
        </w:rPr>
        <w:t>.</w:t>
      </w:r>
      <w:r w:rsidR="0032372E" w:rsidRPr="00134C58">
        <w:rPr>
          <w:rFonts w:asciiTheme="minorHAnsi" w:hAnsiTheme="minorHAnsi"/>
          <w:color w:val="auto"/>
          <w:szCs w:val="24"/>
        </w:rPr>
        <w:t xml:space="preserve"> </w:t>
      </w:r>
      <w:r w:rsidR="007B1198">
        <w:rPr>
          <w:rFonts w:asciiTheme="minorHAnsi" w:hAnsiTheme="minorHAnsi"/>
          <w:color w:val="auto"/>
          <w:szCs w:val="24"/>
        </w:rPr>
        <w:t xml:space="preserve"> </w:t>
      </w:r>
      <w:r w:rsidR="00124106">
        <w:rPr>
          <w:rFonts w:asciiTheme="minorHAnsi" w:hAnsiTheme="minorHAnsi"/>
          <w:color w:val="auto"/>
          <w:szCs w:val="24"/>
        </w:rPr>
        <w:t>The diagnoses were m</w:t>
      </w:r>
      <w:r w:rsidR="00124106" w:rsidRPr="00124106">
        <w:rPr>
          <w:rFonts w:asciiTheme="minorHAnsi" w:hAnsiTheme="minorHAnsi"/>
          <w:color w:val="auto"/>
          <w:szCs w:val="24"/>
        </w:rPr>
        <w:t>oderate to severe o</w:t>
      </w:r>
      <w:r w:rsidR="00124106">
        <w:rPr>
          <w:rFonts w:asciiTheme="minorHAnsi" w:hAnsiTheme="minorHAnsi"/>
          <w:color w:val="auto"/>
          <w:szCs w:val="24"/>
        </w:rPr>
        <w:t>st</w:t>
      </w:r>
      <w:r w:rsidR="00124106" w:rsidRPr="00124106">
        <w:rPr>
          <w:rFonts w:asciiTheme="minorHAnsi" w:hAnsiTheme="minorHAnsi"/>
          <w:color w:val="auto"/>
          <w:szCs w:val="24"/>
        </w:rPr>
        <w:t xml:space="preserve">eoarthritis, medial </w:t>
      </w:r>
      <w:r w:rsidR="00636C70" w:rsidRPr="00124106">
        <w:rPr>
          <w:rFonts w:asciiTheme="minorHAnsi" w:hAnsiTheme="minorHAnsi"/>
          <w:color w:val="auto"/>
          <w:szCs w:val="24"/>
        </w:rPr>
        <w:t>compa</w:t>
      </w:r>
      <w:r w:rsidR="00636C70">
        <w:rPr>
          <w:rFonts w:asciiTheme="minorHAnsi" w:hAnsiTheme="minorHAnsi"/>
          <w:color w:val="auto"/>
          <w:szCs w:val="24"/>
        </w:rPr>
        <w:t>rt</w:t>
      </w:r>
      <w:r w:rsidR="00636C70" w:rsidRPr="00124106">
        <w:rPr>
          <w:rFonts w:asciiTheme="minorHAnsi" w:hAnsiTheme="minorHAnsi"/>
          <w:color w:val="auto"/>
          <w:szCs w:val="24"/>
        </w:rPr>
        <w:t>ment</w:t>
      </w:r>
      <w:r w:rsidR="00124106">
        <w:rPr>
          <w:rFonts w:asciiTheme="minorHAnsi" w:hAnsiTheme="minorHAnsi"/>
          <w:color w:val="auto"/>
          <w:szCs w:val="24"/>
        </w:rPr>
        <w:t>;</w:t>
      </w:r>
      <w:r w:rsidR="00124106" w:rsidRPr="00124106">
        <w:rPr>
          <w:rFonts w:asciiTheme="minorHAnsi" w:hAnsiTheme="minorHAnsi"/>
          <w:color w:val="auto"/>
          <w:szCs w:val="24"/>
        </w:rPr>
        <w:t xml:space="preserve"> mild to moderate</w:t>
      </w:r>
      <w:r w:rsidR="00124106">
        <w:rPr>
          <w:rFonts w:asciiTheme="minorHAnsi" w:hAnsiTheme="minorHAnsi"/>
          <w:color w:val="auto"/>
          <w:szCs w:val="24"/>
        </w:rPr>
        <w:t xml:space="preserve"> </w:t>
      </w:r>
      <w:r w:rsidR="00124106" w:rsidRPr="00DA0070">
        <w:rPr>
          <w:rFonts w:asciiTheme="minorHAnsi" w:hAnsiTheme="minorHAnsi"/>
          <w:color w:val="auto"/>
          <w:szCs w:val="24"/>
        </w:rPr>
        <w:t xml:space="preserve">osteoarthritis, </w:t>
      </w:r>
      <w:proofErr w:type="spellStart"/>
      <w:r w:rsidR="00124106" w:rsidRPr="00DA0070">
        <w:rPr>
          <w:rFonts w:asciiTheme="minorHAnsi" w:hAnsiTheme="minorHAnsi"/>
          <w:color w:val="auto"/>
          <w:szCs w:val="24"/>
        </w:rPr>
        <w:t>patellofemoral</w:t>
      </w:r>
      <w:proofErr w:type="spellEnd"/>
      <w:r w:rsidR="00124106" w:rsidRPr="00DA0070">
        <w:rPr>
          <w:rFonts w:asciiTheme="minorHAnsi" w:hAnsiTheme="minorHAnsi"/>
          <w:color w:val="auto"/>
          <w:szCs w:val="24"/>
        </w:rPr>
        <w:t xml:space="preserve"> compartment; </w:t>
      </w:r>
      <w:proofErr w:type="spellStart"/>
      <w:r w:rsidR="00124106" w:rsidRPr="00DA0070">
        <w:rPr>
          <w:rFonts w:asciiTheme="minorHAnsi" w:hAnsiTheme="minorHAnsi"/>
          <w:color w:val="auto"/>
          <w:szCs w:val="24"/>
        </w:rPr>
        <w:t>chondrosis</w:t>
      </w:r>
      <w:proofErr w:type="spellEnd"/>
      <w:r w:rsidR="00124106" w:rsidRPr="00DA0070">
        <w:rPr>
          <w:rFonts w:asciiTheme="minorHAnsi" w:hAnsiTheme="minorHAnsi"/>
          <w:color w:val="auto"/>
          <w:szCs w:val="24"/>
        </w:rPr>
        <w:t xml:space="preserve">, patella, left knee; </w:t>
      </w:r>
      <w:r w:rsidR="0032372E" w:rsidRPr="00DA0070">
        <w:rPr>
          <w:rFonts w:asciiTheme="minorHAnsi" w:hAnsiTheme="minorHAnsi"/>
          <w:color w:val="auto"/>
          <w:szCs w:val="24"/>
        </w:rPr>
        <w:t xml:space="preserve">and ACL </w:t>
      </w:r>
      <w:r w:rsidR="0002387C" w:rsidRPr="00DA0070">
        <w:rPr>
          <w:rFonts w:asciiTheme="minorHAnsi" w:hAnsiTheme="minorHAnsi"/>
          <w:color w:val="auto"/>
          <w:szCs w:val="24"/>
        </w:rPr>
        <w:t>insufficiency</w:t>
      </w:r>
      <w:r w:rsidR="00124106" w:rsidRPr="00DA0070">
        <w:rPr>
          <w:rFonts w:asciiTheme="minorHAnsi" w:hAnsiTheme="minorHAnsi"/>
          <w:color w:val="auto"/>
          <w:szCs w:val="24"/>
        </w:rPr>
        <w:t>, left knee</w:t>
      </w:r>
      <w:r w:rsidR="0032372E" w:rsidRPr="00DA0070">
        <w:rPr>
          <w:rFonts w:asciiTheme="minorHAnsi" w:hAnsiTheme="minorHAnsi"/>
          <w:color w:val="auto"/>
          <w:szCs w:val="24"/>
        </w:rPr>
        <w:t xml:space="preserve">. </w:t>
      </w:r>
      <w:r w:rsidR="007B1198">
        <w:rPr>
          <w:rFonts w:asciiTheme="minorHAnsi" w:hAnsiTheme="minorHAnsi"/>
          <w:color w:val="auto"/>
          <w:szCs w:val="24"/>
        </w:rPr>
        <w:t xml:space="preserve"> </w:t>
      </w:r>
      <w:r w:rsidR="00567735" w:rsidRPr="00DA0070">
        <w:rPr>
          <w:rFonts w:asciiTheme="minorHAnsi" w:hAnsiTheme="minorHAnsi"/>
          <w:color w:val="auto"/>
          <w:szCs w:val="24"/>
        </w:rPr>
        <w:t xml:space="preserve">Progress notes as early as 2002 note the eventual need for a total knee replacement but the plan to avoid this as long as possible. </w:t>
      </w:r>
      <w:r w:rsidR="0032372E" w:rsidRPr="00DA0070">
        <w:rPr>
          <w:rFonts w:asciiTheme="minorHAnsi" w:hAnsiTheme="minorHAnsi"/>
          <w:color w:val="auto"/>
          <w:szCs w:val="24"/>
        </w:rPr>
        <w:t>In February 2003 the CI was granted a P2 profile wi</w:t>
      </w:r>
      <w:r>
        <w:rPr>
          <w:rFonts w:asciiTheme="minorHAnsi" w:hAnsiTheme="minorHAnsi"/>
          <w:color w:val="auto"/>
          <w:szCs w:val="24"/>
        </w:rPr>
        <w:t xml:space="preserve">th restrictions of no running. </w:t>
      </w:r>
      <w:r w:rsidR="00023721">
        <w:rPr>
          <w:rFonts w:asciiTheme="minorHAnsi" w:hAnsiTheme="minorHAnsi"/>
          <w:color w:val="auto"/>
          <w:szCs w:val="24"/>
        </w:rPr>
        <w:t xml:space="preserve"> </w:t>
      </w:r>
      <w:r w:rsidR="0032372E" w:rsidRPr="00DA0070">
        <w:rPr>
          <w:rFonts w:asciiTheme="minorHAnsi" w:hAnsiTheme="minorHAnsi"/>
          <w:color w:val="auto"/>
          <w:szCs w:val="24"/>
        </w:rPr>
        <w:t xml:space="preserve">The CI was </w:t>
      </w:r>
      <w:r w:rsidR="002A0041">
        <w:rPr>
          <w:rFonts w:asciiTheme="minorHAnsi" w:hAnsiTheme="minorHAnsi"/>
          <w:color w:val="auto"/>
          <w:szCs w:val="24"/>
        </w:rPr>
        <w:t xml:space="preserve">deployed and was </w:t>
      </w:r>
      <w:proofErr w:type="spellStart"/>
      <w:r w:rsidR="002A0041">
        <w:rPr>
          <w:rFonts w:asciiTheme="minorHAnsi" w:hAnsiTheme="minorHAnsi"/>
          <w:color w:val="auto"/>
          <w:szCs w:val="24"/>
        </w:rPr>
        <w:t>medevace</w:t>
      </w:r>
      <w:r w:rsidR="0032372E" w:rsidRPr="00DA0070">
        <w:rPr>
          <w:rFonts w:asciiTheme="minorHAnsi" w:hAnsiTheme="minorHAnsi"/>
          <w:color w:val="auto"/>
          <w:szCs w:val="24"/>
        </w:rPr>
        <w:t>d</w:t>
      </w:r>
      <w:proofErr w:type="spellEnd"/>
      <w:r w:rsidR="0032372E" w:rsidRPr="00DA0070">
        <w:rPr>
          <w:rFonts w:asciiTheme="minorHAnsi" w:hAnsiTheme="minorHAnsi"/>
          <w:color w:val="auto"/>
          <w:szCs w:val="24"/>
        </w:rPr>
        <w:t xml:space="preserve"> from </w:t>
      </w:r>
      <w:r w:rsidR="002A0041">
        <w:rPr>
          <w:rFonts w:asciiTheme="minorHAnsi" w:hAnsiTheme="minorHAnsi"/>
          <w:color w:val="auto"/>
          <w:szCs w:val="24"/>
        </w:rPr>
        <w:t>t</w:t>
      </w:r>
      <w:r w:rsidR="0032372E" w:rsidRPr="00DA0070">
        <w:rPr>
          <w:rFonts w:asciiTheme="minorHAnsi" w:hAnsiTheme="minorHAnsi"/>
          <w:color w:val="auto"/>
          <w:szCs w:val="24"/>
        </w:rPr>
        <w:t xml:space="preserve">heater to </w:t>
      </w:r>
      <w:proofErr w:type="spellStart"/>
      <w:r w:rsidR="0002387C" w:rsidRPr="00DA0070">
        <w:rPr>
          <w:rFonts w:asciiTheme="minorHAnsi" w:hAnsiTheme="minorHAnsi"/>
          <w:color w:val="auto"/>
          <w:szCs w:val="24"/>
        </w:rPr>
        <w:t>Landstuhl</w:t>
      </w:r>
      <w:proofErr w:type="spellEnd"/>
      <w:r w:rsidR="0002387C" w:rsidRPr="00DA0070">
        <w:rPr>
          <w:rFonts w:asciiTheme="minorHAnsi" w:hAnsiTheme="minorHAnsi"/>
          <w:color w:val="auto"/>
          <w:szCs w:val="24"/>
        </w:rPr>
        <w:t xml:space="preserve"> for</w:t>
      </w:r>
      <w:r w:rsidR="00821268" w:rsidRPr="00DA0070">
        <w:rPr>
          <w:rFonts w:asciiTheme="minorHAnsi" w:hAnsiTheme="minorHAnsi"/>
          <w:color w:val="auto"/>
          <w:szCs w:val="24"/>
        </w:rPr>
        <w:t xml:space="preserve"> </w:t>
      </w:r>
      <w:r w:rsidR="0002387C" w:rsidRPr="00DA0070">
        <w:rPr>
          <w:rFonts w:asciiTheme="minorHAnsi" w:hAnsiTheme="minorHAnsi"/>
          <w:color w:val="auto"/>
          <w:szCs w:val="24"/>
        </w:rPr>
        <w:t>severe left</w:t>
      </w:r>
      <w:r w:rsidR="0032372E" w:rsidRPr="00DA0070">
        <w:rPr>
          <w:rFonts w:asciiTheme="minorHAnsi" w:hAnsiTheme="minorHAnsi"/>
          <w:color w:val="auto"/>
          <w:szCs w:val="24"/>
        </w:rPr>
        <w:t xml:space="preserve"> knee</w:t>
      </w:r>
      <w:r w:rsidR="00B55263" w:rsidRPr="00DA0070">
        <w:rPr>
          <w:rFonts w:asciiTheme="minorHAnsi" w:hAnsiTheme="minorHAnsi"/>
          <w:color w:val="auto"/>
          <w:szCs w:val="24"/>
        </w:rPr>
        <w:t xml:space="preserve"> pain and </w:t>
      </w:r>
      <w:r w:rsidR="0002387C" w:rsidRPr="00DA0070">
        <w:rPr>
          <w:rFonts w:asciiTheme="minorHAnsi" w:hAnsiTheme="minorHAnsi"/>
          <w:color w:val="auto"/>
          <w:szCs w:val="24"/>
        </w:rPr>
        <w:t>instability in</w:t>
      </w:r>
      <w:r w:rsidR="0032372E" w:rsidRPr="00DA0070">
        <w:rPr>
          <w:rFonts w:asciiTheme="minorHAnsi" w:hAnsiTheme="minorHAnsi"/>
          <w:color w:val="auto"/>
          <w:szCs w:val="24"/>
        </w:rPr>
        <w:t xml:space="preserve"> 2003.</w:t>
      </w:r>
      <w:r>
        <w:rPr>
          <w:rFonts w:asciiTheme="minorHAnsi" w:hAnsiTheme="minorHAnsi"/>
          <w:color w:val="auto"/>
          <w:szCs w:val="24"/>
        </w:rPr>
        <w:t xml:space="preserve"> </w:t>
      </w:r>
      <w:r w:rsidR="00023721">
        <w:rPr>
          <w:rFonts w:asciiTheme="minorHAnsi" w:hAnsiTheme="minorHAnsi"/>
          <w:color w:val="auto"/>
          <w:szCs w:val="24"/>
        </w:rPr>
        <w:t xml:space="preserve"> </w:t>
      </w:r>
      <w:r w:rsidR="00B55263" w:rsidRPr="00DA0070">
        <w:rPr>
          <w:rFonts w:asciiTheme="minorHAnsi" w:hAnsiTheme="minorHAnsi"/>
          <w:color w:val="auto"/>
          <w:szCs w:val="24"/>
        </w:rPr>
        <w:t>A left knee x</w:t>
      </w:r>
      <w:r w:rsidR="00821268" w:rsidRPr="00DA0070">
        <w:rPr>
          <w:rFonts w:asciiTheme="minorHAnsi" w:hAnsiTheme="minorHAnsi"/>
          <w:color w:val="auto"/>
          <w:szCs w:val="24"/>
        </w:rPr>
        <w:t>-</w:t>
      </w:r>
      <w:r w:rsidR="00B55263" w:rsidRPr="00DA0070">
        <w:rPr>
          <w:rFonts w:asciiTheme="minorHAnsi" w:hAnsiTheme="minorHAnsi"/>
          <w:color w:val="auto"/>
          <w:szCs w:val="24"/>
        </w:rPr>
        <w:t xml:space="preserve">ray done in August 2003 </w:t>
      </w:r>
      <w:r w:rsidR="0002387C" w:rsidRPr="00DA0070">
        <w:rPr>
          <w:rFonts w:asciiTheme="minorHAnsi" w:hAnsiTheme="minorHAnsi"/>
          <w:color w:val="auto"/>
          <w:szCs w:val="24"/>
        </w:rPr>
        <w:t>demonstrated</w:t>
      </w:r>
      <w:r w:rsidR="00B55263" w:rsidRPr="00DA0070">
        <w:rPr>
          <w:rFonts w:asciiTheme="minorHAnsi" w:hAnsiTheme="minorHAnsi"/>
          <w:color w:val="auto"/>
          <w:szCs w:val="24"/>
        </w:rPr>
        <w:t xml:space="preserve"> significant compartment </w:t>
      </w:r>
      <w:r w:rsidR="0002387C" w:rsidRPr="00DA0070">
        <w:rPr>
          <w:rFonts w:asciiTheme="minorHAnsi" w:hAnsiTheme="minorHAnsi"/>
          <w:color w:val="auto"/>
          <w:szCs w:val="24"/>
        </w:rPr>
        <w:t>degenerative</w:t>
      </w:r>
      <w:r w:rsidR="00B55263" w:rsidRPr="00DA0070">
        <w:rPr>
          <w:rFonts w:asciiTheme="minorHAnsi" w:hAnsiTheme="minorHAnsi"/>
          <w:color w:val="auto"/>
          <w:szCs w:val="24"/>
        </w:rPr>
        <w:t xml:space="preserve"> arthritis changes most marked in the medial compartment.  The CI was referred to </w:t>
      </w:r>
      <w:r w:rsidR="00023721">
        <w:rPr>
          <w:rFonts w:asciiTheme="minorHAnsi" w:hAnsiTheme="minorHAnsi"/>
          <w:color w:val="auto"/>
          <w:szCs w:val="24"/>
        </w:rPr>
        <w:t>p</w:t>
      </w:r>
      <w:r w:rsidR="00B55263" w:rsidRPr="00DA0070">
        <w:rPr>
          <w:rFonts w:asciiTheme="minorHAnsi" w:hAnsiTheme="minorHAnsi"/>
          <w:color w:val="auto"/>
          <w:szCs w:val="24"/>
        </w:rPr>
        <w:t xml:space="preserve">hysical </w:t>
      </w:r>
      <w:r w:rsidR="00023721">
        <w:rPr>
          <w:rFonts w:asciiTheme="minorHAnsi" w:hAnsiTheme="minorHAnsi"/>
          <w:color w:val="auto"/>
          <w:szCs w:val="24"/>
        </w:rPr>
        <w:t>t</w:t>
      </w:r>
      <w:r w:rsidR="00B55263" w:rsidRPr="00DA0070">
        <w:rPr>
          <w:rFonts w:asciiTheme="minorHAnsi" w:hAnsiTheme="minorHAnsi"/>
          <w:color w:val="auto"/>
          <w:szCs w:val="24"/>
        </w:rPr>
        <w:t xml:space="preserve">herapy (PT) for aggressive </w:t>
      </w:r>
      <w:r w:rsidR="0002387C" w:rsidRPr="00DA0070">
        <w:rPr>
          <w:rFonts w:asciiTheme="minorHAnsi" w:hAnsiTheme="minorHAnsi"/>
          <w:color w:val="auto"/>
          <w:szCs w:val="24"/>
        </w:rPr>
        <w:t>treatment</w:t>
      </w:r>
      <w:r w:rsidR="00B55263" w:rsidRPr="00DA0070">
        <w:rPr>
          <w:rFonts w:asciiTheme="minorHAnsi" w:hAnsiTheme="minorHAnsi"/>
          <w:color w:val="auto"/>
          <w:szCs w:val="24"/>
        </w:rPr>
        <w:t xml:space="preserve"> ho</w:t>
      </w:r>
      <w:r w:rsidR="00E338A2" w:rsidRPr="00DA0070">
        <w:rPr>
          <w:rFonts w:asciiTheme="minorHAnsi" w:hAnsiTheme="minorHAnsi"/>
          <w:color w:val="auto"/>
          <w:szCs w:val="24"/>
        </w:rPr>
        <w:t>w</w:t>
      </w:r>
      <w:r w:rsidR="00B55263" w:rsidRPr="00DA0070">
        <w:rPr>
          <w:rFonts w:asciiTheme="minorHAnsi" w:hAnsiTheme="minorHAnsi"/>
          <w:color w:val="auto"/>
          <w:szCs w:val="24"/>
        </w:rPr>
        <w:t xml:space="preserve">ever he continued with significant knee pain. </w:t>
      </w:r>
      <w:r w:rsidR="00023721">
        <w:rPr>
          <w:rFonts w:asciiTheme="minorHAnsi" w:hAnsiTheme="minorHAnsi"/>
          <w:color w:val="auto"/>
          <w:szCs w:val="24"/>
        </w:rPr>
        <w:t xml:space="preserve"> </w:t>
      </w:r>
      <w:r w:rsidR="00275357" w:rsidRPr="00DA0070">
        <w:rPr>
          <w:rFonts w:asciiTheme="minorHAnsi" w:hAnsiTheme="minorHAnsi"/>
          <w:color w:val="auto"/>
          <w:szCs w:val="24"/>
        </w:rPr>
        <w:t>The CI w</w:t>
      </w:r>
      <w:r w:rsidR="003375B3" w:rsidRPr="00DA0070">
        <w:rPr>
          <w:rFonts w:asciiTheme="minorHAnsi" w:hAnsiTheme="minorHAnsi"/>
          <w:color w:val="auto"/>
          <w:szCs w:val="24"/>
        </w:rPr>
        <w:t>a</w:t>
      </w:r>
      <w:r w:rsidR="00275357" w:rsidRPr="00DA0070">
        <w:rPr>
          <w:rFonts w:asciiTheme="minorHAnsi" w:hAnsiTheme="minorHAnsi"/>
          <w:color w:val="auto"/>
          <w:szCs w:val="24"/>
        </w:rPr>
        <w:t xml:space="preserve">s granted a permanent P3 profile in October 2003. </w:t>
      </w:r>
      <w:r w:rsidR="00B55263" w:rsidRPr="00DA0070">
        <w:rPr>
          <w:rFonts w:asciiTheme="minorHAnsi" w:hAnsiTheme="minorHAnsi"/>
          <w:color w:val="auto"/>
          <w:szCs w:val="24"/>
        </w:rPr>
        <w:t xml:space="preserve"> </w:t>
      </w:r>
      <w:r w:rsidR="00873582" w:rsidRPr="00DA0070">
        <w:rPr>
          <w:rFonts w:asciiTheme="minorHAnsi" w:eastAsiaTheme="minorHAnsi" w:hAnsiTheme="minorHAnsi"/>
          <w:color w:val="auto"/>
          <w:szCs w:val="24"/>
        </w:rPr>
        <w:t xml:space="preserve">The MEB History and Physical performed on </w:t>
      </w:r>
      <w:r w:rsidR="00023721">
        <w:rPr>
          <w:rFonts w:asciiTheme="minorHAnsi" w:eastAsiaTheme="minorHAnsi" w:hAnsiTheme="minorHAnsi"/>
          <w:color w:val="auto"/>
          <w:szCs w:val="24"/>
        </w:rPr>
        <w:t>6 October 2003</w:t>
      </w:r>
      <w:r w:rsidR="00873582" w:rsidRPr="00DA0070">
        <w:rPr>
          <w:rFonts w:asciiTheme="minorHAnsi" w:eastAsiaTheme="minorHAnsi" w:hAnsiTheme="minorHAnsi"/>
          <w:color w:val="auto"/>
          <w:szCs w:val="24"/>
        </w:rPr>
        <w:t xml:space="preserve"> (</w:t>
      </w:r>
      <w:r w:rsidR="00023721">
        <w:rPr>
          <w:rFonts w:asciiTheme="minorHAnsi" w:eastAsiaTheme="minorHAnsi" w:hAnsiTheme="minorHAnsi"/>
          <w:color w:val="auto"/>
          <w:szCs w:val="24"/>
        </w:rPr>
        <w:t xml:space="preserve">6 </w:t>
      </w:r>
      <w:r w:rsidR="00873582" w:rsidRPr="00DA0070">
        <w:rPr>
          <w:rFonts w:asciiTheme="minorHAnsi" w:eastAsiaTheme="minorHAnsi" w:hAnsiTheme="minorHAnsi"/>
          <w:color w:val="auto"/>
          <w:szCs w:val="24"/>
        </w:rPr>
        <w:t xml:space="preserve">months prior to </w:t>
      </w:r>
      <w:r w:rsidR="0002387C" w:rsidRPr="00DA0070">
        <w:rPr>
          <w:rFonts w:asciiTheme="minorHAnsi" w:eastAsiaTheme="minorHAnsi" w:hAnsiTheme="minorHAnsi"/>
          <w:color w:val="auto"/>
          <w:szCs w:val="24"/>
        </w:rPr>
        <w:t xml:space="preserve">TDRL entry) </w:t>
      </w:r>
      <w:r w:rsidR="00873582" w:rsidRPr="00DA0070">
        <w:rPr>
          <w:rFonts w:asciiTheme="minorHAnsi" w:eastAsiaTheme="minorHAnsi" w:hAnsiTheme="minorHAnsi"/>
          <w:color w:val="auto"/>
          <w:szCs w:val="24"/>
        </w:rPr>
        <w:t xml:space="preserve">noted 2/5 strength of the left knee with full ROM and inability to squat. </w:t>
      </w:r>
      <w:r w:rsidR="00023721">
        <w:rPr>
          <w:rFonts w:asciiTheme="minorHAnsi" w:eastAsiaTheme="minorHAnsi" w:hAnsiTheme="minorHAnsi"/>
          <w:color w:val="auto"/>
          <w:szCs w:val="24"/>
        </w:rPr>
        <w:t xml:space="preserve"> </w:t>
      </w:r>
      <w:r w:rsidR="00873582" w:rsidRPr="00DA0070">
        <w:rPr>
          <w:rFonts w:asciiTheme="minorHAnsi" w:eastAsiaTheme="minorHAnsi" w:hAnsiTheme="minorHAnsi"/>
          <w:color w:val="auto"/>
          <w:szCs w:val="24"/>
        </w:rPr>
        <w:t>The examiner noted left knee degenerative joint disease with ACL laxity as disqualifying defects.</w:t>
      </w:r>
      <w:r w:rsidR="00023721">
        <w:rPr>
          <w:rFonts w:asciiTheme="minorHAnsi" w:eastAsiaTheme="minorHAnsi" w:hAnsiTheme="minorHAnsi"/>
          <w:color w:val="auto"/>
          <w:szCs w:val="24"/>
        </w:rPr>
        <w:t xml:space="preserve"> </w:t>
      </w:r>
      <w:r w:rsidR="00873582" w:rsidRPr="00DA0070">
        <w:rPr>
          <w:rFonts w:asciiTheme="minorHAnsi" w:eastAsiaTheme="minorHAnsi" w:hAnsiTheme="minorHAnsi"/>
          <w:color w:val="auto"/>
          <w:szCs w:val="24"/>
        </w:rPr>
        <w:t xml:space="preserve"> </w:t>
      </w:r>
    </w:p>
    <w:p w:rsidR="00023721" w:rsidRDefault="00023721" w:rsidP="006E42C7">
      <w:pPr>
        <w:contextualSpacing/>
        <w:jc w:val="both"/>
        <w:rPr>
          <w:rFonts w:asciiTheme="minorHAnsi" w:eastAsiaTheme="minorHAnsi" w:hAnsiTheme="minorHAnsi"/>
          <w:color w:val="auto"/>
          <w:szCs w:val="24"/>
        </w:rPr>
      </w:pPr>
    </w:p>
    <w:p w:rsidR="00E335C3" w:rsidRPr="00134C58" w:rsidRDefault="00023721" w:rsidP="006E42C7">
      <w:pPr>
        <w:contextualSpacing/>
        <w:jc w:val="both"/>
        <w:rPr>
          <w:rFonts w:asciiTheme="minorHAnsi" w:eastAsiaTheme="minorHAnsi" w:hAnsiTheme="minorHAnsi"/>
          <w:color w:val="auto"/>
          <w:szCs w:val="24"/>
        </w:rPr>
      </w:pPr>
      <w:r>
        <w:rPr>
          <w:rFonts w:asciiTheme="minorHAnsi" w:hAnsiTheme="minorHAnsi"/>
          <w:color w:val="auto"/>
          <w:szCs w:val="24"/>
        </w:rPr>
        <w:t>The MEB examination 5</w:t>
      </w:r>
      <w:r w:rsidR="00B55263" w:rsidRPr="00DA0070">
        <w:rPr>
          <w:rFonts w:asciiTheme="minorHAnsi" w:hAnsiTheme="minorHAnsi"/>
          <w:color w:val="auto"/>
          <w:szCs w:val="24"/>
        </w:rPr>
        <w:t xml:space="preserve"> months </w:t>
      </w:r>
      <w:r>
        <w:rPr>
          <w:rFonts w:asciiTheme="minorHAnsi" w:hAnsiTheme="minorHAnsi"/>
          <w:color w:val="auto"/>
          <w:szCs w:val="24"/>
        </w:rPr>
        <w:t>prior to</w:t>
      </w:r>
      <w:r w:rsidR="00B55263" w:rsidRPr="00DA0070">
        <w:rPr>
          <w:rFonts w:asciiTheme="minorHAnsi" w:hAnsiTheme="minorHAnsi"/>
          <w:color w:val="auto"/>
          <w:szCs w:val="24"/>
        </w:rPr>
        <w:t xml:space="preserve"> TDRL</w:t>
      </w:r>
      <w:r w:rsidR="00275357" w:rsidRPr="00DA0070">
        <w:rPr>
          <w:rFonts w:asciiTheme="minorHAnsi" w:hAnsiTheme="minorHAnsi"/>
          <w:color w:val="auto"/>
          <w:szCs w:val="24"/>
        </w:rPr>
        <w:t xml:space="preserve"> </w:t>
      </w:r>
      <w:r w:rsidR="008D4257" w:rsidRPr="00DA0070">
        <w:rPr>
          <w:rFonts w:asciiTheme="minorHAnsi" w:hAnsiTheme="minorHAnsi"/>
          <w:color w:val="auto"/>
          <w:szCs w:val="24"/>
        </w:rPr>
        <w:t xml:space="preserve">entry </w:t>
      </w:r>
      <w:r w:rsidR="00275357" w:rsidRPr="00DA0070">
        <w:rPr>
          <w:rFonts w:asciiTheme="minorHAnsi" w:hAnsiTheme="minorHAnsi"/>
          <w:color w:val="auto"/>
          <w:szCs w:val="24"/>
        </w:rPr>
        <w:t xml:space="preserve">indicated left knee pain with prolonged standing, marching, jumping, crawling or stooping </w:t>
      </w:r>
      <w:r w:rsidR="0002387C" w:rsidRPr="00DA0070">
        <w:rPr>
          <w:rFonts w:asciiTheme="minorHAnsi" w:hAnsiTheme="minorHAnsi"/>
          <w:color w:val="auto"/>
          <w:szCs w:val="24"/>
        </w:rPr>
        <w:t>activities</w:t>
      </w:r>
      <w:r w:rsidR="006E42C7">
        <w:rPr>
          <w:rFonts w:asciiTheme="minorHAnsi" w:hAnsiTheme="minorHAnsi"/>
          <w:color w:val="auto"/>
          <w:szCs w:val="24"/>
        </w:rPr>
        <w:t xml:space="preserve">. </w:t>
      </w:r>
      <w:r w:rsidR="00275357" w:rsidRPr="00DA0070">
        <w:rPr>
          <w:rFonts w:asciiTheme="minorHAnsi" w:hAnsiTheme="minorHAnsi"/>
          <w:color w:val="auto"/>
          <w:szCs w:val="24"/>
        </w:rPr>
        <w:t xml:space="preserve">The examination findings were </w:t>
      </w:r>
      <w:r w:rsidR="00275357" w:rsidRPr="00DA0070">
        <w:rPr>
          <w:rFonts w:asciiTheme="minorHAnsi" w:eastAsiaTheme="minorHAnsi" w:hAnsiTheme="minorHAnsi"/>
          <w:color w:val="auto"/>
          <w:szCs w:val="24"/>
        </w:rPr>
        <w:t xml:space="preserve">positive anterior drawer test; mild </w:t>
      </w:r>
      <w:proofErr w:type="spellStart"/>
      <w:r w:rsidR="00275357" w:rsidRPr="00DA0070">
        <w:rPr>
          <w:rFonts w:asciiTheme="minorHAnsi" w:eastAsiaTheme="minorHAnsi" w:hAnsiTheme="minorHAnsi"/>
          <w:color w:val="auto"/>
          <w:szCs w:val="24"/>
        </w:rPr>
        <w:t>antalgic</w:t>
      </w:r>
      <w:proofErr w:type="spellEnd"/>
      <w:r w:rsidR="00275357" w:rsidRPr="00DA0070">
        <w:rPr>
          <w:rFonts w:asciiTheme="minorHAnsi" w:eastAsiaTheme="minorHAnsi" w:hAnsiTheme="minorHAnsi"/>
          <w:color w:val="auto"/>
          <w:szCs w:val="24"/>
        </w:rPr>
        <w:t xml:space="preserve"> gait; pre-patellar tenderness; medial joint line tenderness and mild to moderate </w:t>
      </w:r>
      <w:proofErr w:type="spellStart"/>
      <w:r w:rsidR="00275357" w:rsidRPr="00DA0070">
        <w:rPr>
          <w:rFonts w:asciiTheme="minorHAnsi" w:eastAsiaTheme="minorHAnsi" w:hAnsiTheme="minorHAnsi"/>
          <w:color w:val="auto"/>
          <w:szCs w:val="24"/>
        </w:rPr>
        <w:t>crepitus</w:t>
      </w:r>
      <w:proofErr w:type="spellEnd"/>
      <w:r w:rsidR="00275357" w:rsidRPr="00DA0070">
        <w:rPr>
          <w:rFonts w:asciiTheme="minorHAnsi" w:eastAsiaTheme="minorHAnsi" w:hAnsiTheme="minorHAnsi"/>
          <w:color w:val="auto"/>
          <w:szCs w:val="24"/>
        </w:rPr>
        <w:t>.</w:t>
      </w:r>
      <w:r w:rsidR="006E42C7">
        <w:rPr>
          <w:rFonts w:asciiTheme="minorHAnsi" w:eastAsiaTheme="minorHAnsi" w:hAnsiTheme="minorHAnsi"/>
          <w:color w:val="auto"/>
          <w:szCs w:val="24"/>
        </w:rPr>
        <w:t xml:space="preserve"> </w:t>
      </w:r>
      <w:r w:rsidR="00873582" w:rsidRPr="00DA0070">
        <w:rPr>
          <w:rFonts w:asciiTheme="minorHAnsi" w:eastAsiaTheme="minorHAnsi" w:hAnsiTheme="minorHAnsi"/>
          <w:color w:val="auto"/>
          <w:szCs w:val="24"/>
        </w:rPr>
        <w:t>No</w:t>
      </w:r>
      <w:r w:rsidR="004B0804" w:rsidRPr="00DA0070">
        <w:rPr>
          <w:rFonts w:asciiTheme="minorHAnsi" w:eastAsiaTheme="minorHAnsi" w:hAnsiTheme="minorHAnsi"/>
          <w:color w:val="auto"/>
          <w:szCs w:val="24"/>
        </w:rPr>
        <w:t xml:space="preserve"> ROM, </w:t>
      </w:r>
      <w:r w:rsidR="00873582" w:rsidRPr="00DA0070">
        <w:rPr>
          <w:rFonts w:asciiTheme="minorHAnsi" w:eastAsiaTheme="minorHAnsi" w:hAnsiTheme="minorHAnsi"/>
          <w:color w:val="auto"/>
          <w:szCs w:val="24"/>
        </w:rPr>
        <w:t>motor</w:t>
      </w:r>
      <w:r w:rsidR="004B0804" w:rsidRPr="00DA0070">
        <w:rPr>
          <w:rFonts w:asciiTheme="minorHAnsi" w:eastAsiaTheme="minorHAnsi" w:hAnsiTheme="minorHAnsi"/>
          <w:color w:val="auto"/>
          <w:szCs w:val="24"/>
        </w:rPr>
        <w:t>,</w:t>
      </w:r>
      <w:r w:rsidR="00873582" w:rsidRPr="00DA0070">
        <w:rPr>
          <w:rFonts w:asciiTheme="minorHAnsi" w:eastAsiaTheme="minorHAnsi" w:hAnsiTheme="minorHAnsi"/>
          <w:color w:val="auto"/>
          <w:szCs w:val="24"/>
        </w:rPr>
        <w:t xml:space="preserve"> or strength assessment was noted. At this ti</w:t>
      </w:r>
      <w:r w:rsidR="004B0804" w:rsidRPr="00DA0070">
        <w:rPr>
          <w:rFonts w:asciiTheme="minorHAnsi" w:eastAsiaTheme="minorHAnsi" w:hAnsiTheme="minorHAnsi"/>
          <w:color w:val="auto"/>
          <w:szCs w:val="24"/>
        </w:rPr>
        <w:t>me</w:t>
      </w:r>
      <w:r w:rsidR="00873582" w:rsidRPr="00DA0070">
        <w:rPr>
          <w:rFonts w:asciiTheme="minorHAnsi" w:eastAsiaTheme="minorHAnsi" w:hAnsiTheme="minorHAnsi"/>
          <w:color w:val="auto"/>
          <w:szCs w:val="24"/>
        </w:rPr>
        <w:t xml:space="preserve"> the CI was unable to wear load bearing equipment, run, perform jumping activities, or perform any sort of exercises or duties that involving stooping, crawling, or climbing. </w:t>
      </w:r>
      <w:r w:rsidR="004B0804" w:rsidRPr="00DA0070">
        <w:rPr>
          <w:rFonts w:asciiTheme="minorHAnsi" w:eastAsiaTheme="minorHAnsi" w:hAnsiTheme="minorHAnsi"/>
          <w:color w:val="auto"/>
          <w:szCs w:val="24"/>
        </w:rPr>
        <w:t>An orthopedic evaluation was comp</w:t>
      </w:r>
      <w:r w:rsidR="00A803F1" w:rsidRPr="00DA0070">
        <w:rPr>
          <w:rFonts w:asciiTheme="minorHAnsi" w:eastAsiaTheme="minorHAnsi" w:hAnsiTheme="minorHAnsi"/>
          <w:color w:val="auto"/>
          <w:szCs w:val="24"/>
        </w:rPr>
        <w:t>le</w:t>
      </w:r>
      <w:r w:rsidR="004B0804" w:rsidRPr="00DA0070">
        <w:rPr>
          <w:rFonts w:asciiTheme="minorHAnsi" w:eastAsiaTheme="minorHAnsi" w:hAnsiTheme="minorHAnsi"/>
          <w:color w:val="auto"/>
          <w:szCs w:val="24"/>
        </w:rPr>
        <w:t xml:space="preserve">ted </w:t>
      </w:r>
      <w:r w:rsidR="004D3420">
        <w:rPr>
          <w:rFonts w:asciiTheme="minorHAnsi" w:eastAsiaTheme="minorHAnsi" w:hAnsiTheme="minorHAnsi"/>
          <w:color w:val="auto"/>
          <w:szCs w:val="24"/>
        </w:rPr>
        <w:t>2</w:t>
      </w:r>
      <w:r w:rsidR="004B0804" w:rsidRPr="00DA0070">
        <w:rPr>
          <w:rFonts w:asciiTheme="minorHAnsi" w:eastAsiaTheme="minorHAnsi" w:hAnsiTheme="minorHAnsi"/>
          <w:color w:val="auto"/>
          <w:szCs w:val="24"/>
        </w:rPr>
        <w:t xml:space="preserve"> months after the MEB </w:t>
      </w:r>
      <w:r>
        <w:rPr>
          <w:rFonts w:asciiTheme="minorHAnsi" w:eastAsiaTheme="minorHAnsi" w:hAnsiTheme="minorHAnsi"/>
          <w:color w:val="auto"/>
          <w:szCs w:val="24"/>
        </w:rPr>
        <w:t>narrative summary (</w:t>
      </w:r>
      <w:r w:rsidR="004B0804" w:rsidRPr="00DA0070">
        <w:rPr>
          <w:rFonts w:asciiTheme="minorHAnsi" w:eastAsiaTheme="minorHAnsi" w:hAnsiTheme="minorHAnsi"/>
          <w:color w:val="auto"/>
          <w:szCs w:val="24"/>
        </w:rPr>
        <w:t>NARSUM</w:t>
      </w:r>
      <w:r>
        <w:rPr>
          <w:rFonts w:asciiTheme="minorHAnsi" w:eastAsiaTheme="minorHAnsi" w:hAnsiTheme="minorHAnsi"/>
          <w:color w:val="auto"/>
          <w:szCs w:val="24"/>
        </w:rPr>
        <w:t>)</w:t>
      </w:r>
      <w:r w:rsidR="004B0804" w:rsidRPr="00DA0070">
        <w:rPr>
          <w:rFonts w:asciiTheme="minorHAnsi" w:eastAsiaTheme="minorHAnsi" w:hAnsiTheme="minorHAnsi"/>
          <w:color w:val="auto"/>
          <w:szCs w:val="24"/>
        </w:rPr>
        <w:t xml:space="preserve"> examination and it noted pain-limited flexion, pain-limit</w:t>
      </w:r>
      <w:r w:rsidR="00741515" w:rsidRPr="00DA0070">
        <w:rPr>
          <w:rFonts w:asciiTheme="minorHAnsi" w:eastAsiaTheme="minorHAnsi" w:hAnsiTheme="minorHAnsi"/>
          <w:color w:val="auto"/>
          <w:szCs w:val="24"/>
        </w:rPr>
        <w:t>e</w:t>
      </w:r>
      <w:r w:rsidR="004B0804" w:rsidRPr="00DA0070">
        <w:rPr>
          <w:rFonts w:asciiTheme="minorHAnsi" w:eastAsiaTheme="minorHAnsi" w:hAnsiTheme="minorHAnsi"/>
          <w:color w:val="auto"/>
          <w:szCs w:val="24"/>
        </w:rPr>
        <w:t xml:space="preserve">d extension, and severe instability. </w:t>
      </w:r>
      <w:r>
        <w:rPr>
          <w:rFonts w:asciiTheme="minorHAnsi" w:eastAsiaTheme="minorHAnsi" w:hAnsiTheme="minorHAnsi"/>
          <w:color w:val="auto"/>
          <w:szCs w:val="24"/>
        </w:rPr>
        <w:t xml:space="preserve"> </w:t>
      </w:r>
      <w:r w:rsidR="00D75E85" w:rsidRPr="00DA0070">
        <w:rPr>
          <w:rFonts w:asciiTheme="minorHAnsi" w:eastAsiaTheme="minorHAnsi" w:hAnsiTheme="minorHAnsi"/>
          <w:color w:val="auto"/>
          <w:szCs w:val="24"/>
        </w:rPr>
        <w:t xml:space="preserve">The </w:t>
      </w:r>
      <w:r>
        <w:rPr>
          <w:rFonts w:asciiTheme="minorHAnsi" w:eastAsiaTheme="minorHAnsi" w:hAnsiTheme="minorHAnsi"/>
          <w:color w:val="auto"/>
          <w:szCs w:val="24"/>
        </w:rPr>
        <w:t>c</w:t>
      </w:r>
      <w:r w:rsidR="00D75E85" w:rsidRPr="00DA0070">
        <w:rPr>
          <w:rFonts w:asciiTheme="minorHAnsi" w:eastAsiaTheme="minorHAnsi" w:hAnsiTheme="minorHAnsi"/>
          <w:color w:val="auto"/>
          <w:szCs w:val="24"/>
        </w:rPr>
        <w:t>ommander’s statement noted the functional impairment of the inability to wear a backpack</w:t>
      </w:r>
      <w:r w:rsidR="003375B3" w:rsidRPr="00DA0070">
        <w:rPr>
          <w:rFonts w:asciiTheme="minorHAnsi" w:eastAsiaTheme="minorHAnsi" w:hAnsiTheme="minorHAnsi"/>
          <w:color w:val="auto"/>
          <w:szCs w:val="24"/>
        </w:rPr>
        <w:t xml:space="preserve"> </w:t>
      </w:r>
      <w:r w:rsidR="00D75E85" w:rsidRPr="00DA0070">
        <w:rPr>
          <w:rFonts w:asciiTheme="minorHAnsi" w:eastAsiaTheme="minorHAnsi" w:hAnsiTheme="minorHAnsi"/>
          <w:color w:val="auto"/>
          <w:szCs w:val="24"/>
        </w:rPr>
        <w:t>and participate in marching and the failure of his APFT run event due to his left knee condition.</w:t>
      </w:r>
      <w:r w:rsidR="001B2CDA" w:rsidRPr="00DA0070">
        <w:rPr>
          <w:rFonts w:asciiTheme="minorHAnsi" w:eastAsiaTheme="minorHAnsi" w:hAnsiTheme="minorHAnsi"/>
          <w:color w:val="auto"/>
          <w:szCs w:val="24"/>
        </w:rPr>
        <w:t xml:space="preserve"> </w:t>
      </w:r>
      <w:r>
        <w:rPr>
          <w:rFonts w:asciiTheme="minorHAnsi" w:eastAsiaTheme="minorHAnsi" w:hAnsiTheme="minorHAnsi"/>
          <w:color w:val="auto"/>
          <w:szCs w:val="24"/>
        </w:rPr>
        <w:t xml:space="preserve"> </w:t>
      </w:r>
      <w:r w:rsidR="001B2CDA" w:rsidRPr="00DA0070">
        <w:rPr>
          <w:rFonts w:asciiTheme="minorHAnsi" w:eastAsiaTheme="minorHAnsi" w:hAnsiTheme="minorHAnsi"/>
          <w:color w:val="auto"/>
          <w:szCs w:val="24"/>
        </w:rPr>
        <w:t>The VA Compensation &amp; Pen</w:t>
      </w:r>
      <w:r w:rsidR="00817B56" w:rsidRPr="00DA0070">
        <w:rPr>
          <w:rFonts w:asciiTheme="minorHAnsi" w:eastAsiaTheme="minorHAnsi" w:hAnsiTheme="minorHAnsi"/>
          <w:color w:val="auto"/>
          <w:szCs w:val="24"/>
        </w:rPr>
        <w:t>s</w:t>
      </w:r>
      <w:r w:rsidR="001B2CDA" w:rsidRPr="00DA0070">
        <w:rPr>
          <w:rFonts w:asciiTheme="minorHAnsi" w:eastAsiaTheme="minorHAnsi" w:hAnsiTheme="minorHAnsi"/>
          <w:color w:val="auto"/>
          <w:szCs w:val="24"/>
        </w:rPr>
        <w:t>ion</w:t>
      </w:r>
      <w:r w:rsidR="00DA0070" w:rsidRPr="00DA0070">
        <w:rPr>
          <w:rFonts w:asciiTheme="minorHAnsi" w:eastAsiaTheme="minorHAnsi" w:hAnsiTheme="minorHAnsi"/>
          <w:color w:val="auto"/>
          <w:szCs w:val="24"/>
        </w:rPr>
        <w:t xml:space="preserve"> </w:t>
      </w:r>
      <w:r w:rsidR="001B2CDA" w:rsidRPr="00DA0070">
        <w:rPr>
          <w:rFonts w:asciiTheme="minorHAnsi" w:eastAsiaTheme="minorHAnsi" w:hAnsiTheme="minorHAnsi"/>
          <w:color w:val="auto"/>
          <w:szCs w:val="24"/>
        </w:rPr>
        <w:t>(C&amp;P</w:t>
      </w:r>
      <w:r w:rsidR="0002387C" w:rsidRPr="00DA0070">
        <w:rPr>
          <w:rFonts w:asciiTheme="minorHAnsi" w:eastAsiaTheme="minorHAnsi" w:hAnsiTheme="minorHAnsi"/>
          <w:color w:val="auto"/>
          <w:szCs w:val="24"/>
        </w:rPr>
        <w:t>) examination</w:t>
      </w:r>
      <w:r w:rsidR="00F92933">
        <w:rPr>
          <w:rFonts w:asciiTheme="minorHAnsi" w:eastAsiaTheme="minorHAnsi" w:hAnsiTheme="minorHAnsi"/>
          <w:color w:val="auto"/>
          <w:szCs w:val="24"/>
        </w:rPr>
        <w:t>,</w:t>
      </w:r>
      <w:r w:rsidR="00C41161" w:rsidRPr="00DA0070">
        <w:rPr>
          <w:rFonts w:asciiTheme="minorHAnsi" w:eastAsiaTheme="minorHAnsi" w:hAnsiTheme="minorHAnsi"/>
          <w:color w:val="auto"/>
          <w:szCs w:val="24"/>
        </w:rPr>
        <w:t xml:space="preserve"> </w:t>
      </w:r>
      <w:r w:rsidR="004D3420">
        <w:rPr>
          <w:rFonts w:asciiTheme="minorHAnsi" w:eastAsiaTheme="minorHAnsi" w:hAnsiTheme="minorHAnsi"/>
          <w:color w:val="auto"/>
          <w:szCs w:val="24"/>
        </w:rPr>
        <w:t>2</w:t>
      </w:r>
      <w:r w:rsidR="00C41161" w:rsidRPr="00DA0070">
        <w:rPr>
          <w:rFonts w:asciiTheme="minorHAnsi" w:eastAsiaTheme="minorHAnsi" w:hAnsiTheme="minorHAnsi"/>
          <w:color w:val="auto"/>
          <w:szCs w:val="24"/>
        </w:rPr>
        <w:t xml:space="preserve"> months after TDRL entry</w:t>
      </w:r>
      <w:r w:rsidR="00F92933">
        <w:rPr>
          <w:rFonts w:asciiTheme="minorHAnsi" w:eastAsiaTheme="minorHAnsi" w:hAnsiTheme="minorHAnsi"/>
          <w:color w:val="auto"/>
          <w:szCs w:val="24"/>
        </w:rPr>
        <w:t>,</w:t>
      </w:r>
      <w:r w:rsidR="00C41161" w:rsidRPr="00DA0070">
        <w:rPr>
          <w:rFonts w:asciiTheme="minorHAnsi" w:eastAsiaTheme="minorHAnsi" w:hAnsiTheme="minorHAnsi"/>
          <w:color w:val="auto"/>
          <w:szCs w:val="24"/>
        </w:rPr>
        <w:t xml:space="preserve"> indicated pain and discomfort on movement and limited knee flexion</w:t>
      </w:r>
      <w:r w:rsidR="006E42C7">
        <w:rPr>
          <w:rFonts w:asciiTheme="minorHAnsi" w:eastAsiaTheme="minorHAnsi" w:hAnsiTheme="minorHAnsi"/>
          <w:color w:val="auto"/>
          <w:szCs w:val="24"/>
        </w:rPr>
        <w:t xml:space="preserve">. </w:t>
      </w:r>
      <w:r>
        <w:rPr>
          <w:rFonts w:asciiTheme="minorHAnsi" w:eastAsiaTheme="minorHAnsi" w:hAnsiTheme="minorHAnsi"/>
          <w:color w:val="auto"/>
          <w:szCs w:val="24"/>
        </w:rPr>
        <w:t xml:space="preserve"> </w:t>
      </w:r>
      <w:r w:rsidR="00741515" w:rsidRPr="00DA0070">
        <w:rPr>
          <w:rFonts w:asciiTheme="minorHAnsi" w:eastAsiaTheme="minorHAnsi" w:hAnsiTheme="minorHAnsi"/>
          <w:color w:val="auto"/>
          <w:szCs w:val="24"/>
        </w:rPr>
        <w:t xml:space="preserve">No assessments of instability or motor strength were included. </w:t>
      </w:r>
      <w:r>
        <w:rPr>
          <w:rFonts w:asciiTheme="minorHAnsi" w:eastAsiaTheme="minorHAnsi" w:hAnsiTheme="minorHAnsi"/>
          <w:color w:val="auto"/>
          <w:szCs w:val="24"/>
        </w:rPr>
        <w:t xml:space="preserve"> </w:t>
      </w:r>
      <w:r w:rsidR="00C41161" w:rsidRPr="00DA0070">
        <w:rPr>
          <w:rFonts w:asciiTheme="minorHAnsi" w:eastAsiaTheme="minorHAnsi" w:hAnsiTheme="minorHAnsi"/>
          <w:color w:val="auto"/>
          <w:szCs w:val="24"/>
        </w:rPr>
        <w:t>A</w:t>
      </w:r>
      <w:r w:rsidR="00994DFF" w:rsidRPr="00DA0070">
        <w:rPr>
          <w:rFonts w:asciiTheme="minorHAnsi" w:eastAsiaTheme="minorHAnsi" w:hAnsiTheme="minorHAnsi"/>
          <w:color w:val="auto"/>
          <w:szCs w:val="24"/>
        </w:rPr>
        <w:t xml:space="preserve"> </w:t>
      </w:r>
      <w:r w:rsidR="00741515" w:rsidRPr="00DA0070">
        <w:rPr>
          <w:rFonts w:asciiTheme="minorHAnsi" w:eastAsiaTheme="minorHAnsi" w:hAnsiTheme="minorHAnsi"/>
          <w:color w:val="auto"/>
          <w:szCs w:val="24"/>
        </w:rPr>
        <w:t>civilian orth</w:t>
      </w:r>
      <w:r w:rsidR="006E42C7">
        <w:rPr>
          <w:rFonts w:asciiTheme="minorHAnsi" w:eastAsiaTheme="minorHAnsi" w:hAnsiTheme="minorHAnsi"/>
          <w:color w:val="auto"/>
          <w:szCs w:val="24"/>
        </w:rPr>
        <w:t xml:space="preserve">opedic </w:t>
      </w:r>
      <w:r w:rsidR="00C41161" w:rsidRPr="00DA0070">
        <w:rPr>
          <w:rFonts w:asciiTheme="minorHAnsi" w:eastAsiaTheme="minorHAnsi" w:hAnsiTheme="minorHAnsi"/>
          <w:color w:val="auto"/>
          <w:szCs w:val="24"/>
        </w:rPr>
        <w:t>e</w:t>
      </w:r>
      <w:r w:rsidR="00817B56" w:rsidRPr="00DA0070">
        <w:rPr>
          <w:rFonts w:asciiTheme="minorHAnsi" w:eastAsiaTheme="minorHAnsi" w:hAnsiTheme="minorHAnsi"/>
          <w:color w:val="auto"/>
          <w:szCs w:val="24"/>
        </w:rPr>
        <w:t>valuation</w:t>
      </w:r>
      <w:r w:rsidR="00F92933">
        <w:rPr>
          <w:rFonts w:asciiTheme="minorHAnsi" w:eastAsiaTheme="minorHAnsi" w:hAnsiTheme="minorHAnsi"/>
          <w:color w:val="auto"/>
          <w:szCs w:val="24"/>
        </w:rPr>
        <w:t>,</w:t>
      </w:r>
      <w:r w:rsidR="004D3420">
        <w:rPr>
          <w:rFonts w:asciiTheme="minorHAnsi" w:eastAsiaTheme="minorHAnsi" w:hAnsiTheme="minorHAnsi"/>
          <w:color w:val="auto"/>
          <w:szCs w:val="24"/>
        </w:rPr>
        <w:t xml:space="preserve"> </w:t>
      </w:r>
      <w:r w:rsidR="004D3420">
        <w:rPr>
          <w:rFonts w:asciiTheme="minorHAnsi" w:eastAsia="Calibri" w:hAnsiTheme="minorHAnsi"/>
          <w:color w:val="auto"/>
          <w:szCs w:val="24"/>
        </w:rPr>
        <w:t>7</w:t>
      </w:r>
      <w:r w:rsidR="00817B56" w:rsidRPr="00DA0070">
        <w:rPr>
          <w:rFonts w:asciiTheme="minorHAnsi" w:eastAsiaTheme="minorHAnsi" w:hAnsiTheme="minorHAnsi"/>
          <w:color w:val="auto"/>
          <w:szCs w:val="24"/>
        </w:rPr>
        <w:t xml:space="preserve"> months after TDRL entry</w:t>
      </w:r>
      <w:r w:rsidR="00F92933">
        <w:rPr>
          <w:rFonts w:asciiTheme="minorHAnsi" w:eastAsiaTheme="minorHAnsi" w:hAnsiTheme="minorHAnsi"/>
          <w:color w:val="auto"/>
          <w:szCs w:val="24"/>
        </w:rPr>
        <w:t>,</w:t>
      </w:r>
      <w:r w:rsidR="00817B56" w:rsidRPr="00DA0070">
        <w:rPr>
          <w:rFonts w:asciiTheme="minorHAnsi" w:eastAsiaTheme="minorHAnsi" w:hAnsiTheme="minorHAnsi"/>
          <w:color w:val="auto"/>
          <w:szCs w:val="24"/>
        </w:rPr>
        <w:t xml:space="preserve"> noted </w:t>
      </w:r>
      <w:r w:rsidR="003375B3" w:rsidRPr="00DA0070">
        <w:rPr>
          <w:rFonts w:asciiTheme="minorHAnsi" w:eastAsiaTheme="minorHAnsi" w:hAnsiTheme="minorHAnsi"/>
          <w:color w:val="auto"/>
          <w:szCs w:val="24"/>
        </w:rPr>
        <w:t xml:space="preserve">left knee give away necessitating a knee brace; clicking and grinding sensations; pain with twisting motions; morning stiffness; pain </w:t>
      </w:r>
      <w:r w:rsidR="0002387C" w:rsidRPr="00DA0070">
        <w:rPr>
          <w:rFonts w:asciiTheme="minorHAnsi" w:eastAsiaTheme="minorHAnsi" w:hAnsiTheme="minorHAnsi"/>
          <w:color w:val="auto"/>
          <w:szCs w:val="24"/>
        </w:rPr>
        <w:t>with</w:t>
      </w:r>
      <w:r w:rsidR="003375B3" w:rsidRPr="00DA0070">
        <w:rPr>
          <w:rFonts w:asciiTheme="minorHAnsi" w:eastAsiaTheme="minorHAnsi" w:hAnsiTheme="minorHAnsi"/>
          <w:color w:val="auto"/>
          <w:szCs w:val="24"/>
        </w:rPr>
        <w:t xml:space="preserve"> steps, running and walking along with occasional swelling. </w:t>
      </w:r>
      <w:r w:rsidR="00821268" w:rsidRPr="00DA0070">
        <w:rPr>
          <w:rFonts w:asciiTheme="minorHAnsi" w:eastAsiaTheme="minorHAnsi" w:hAnsiTheme="minorHAnsi"/>
          <w:color w:val="auto"/>
          <w:szCs w:val="24"/>
        </w:rPr>
        <w:t xml:space="preserve"> </w:t>
      </w:r>
      <w:r w:rsidR="003375B3" w:rsidRPr="00DA0070">
        <w:rPr>
          <w:rFonts w:asciiTheme="minorHAnsi" w:eastAsiaTheme="minorHAnsi" w:hAnsiTheme="minorHAnsi"/>
          <w:color w:val="auto"/>
          <w:szCs w:val="24"/>
        </w:rPr>
        <w:t xml:space="preserve">On physical examination, there were findings of </w:t>
      </w:r>
      <w:r w:rsidR="0002387C" w:rsidRPr="00DA0070">
        <w:rPr>
          <w:rFonts w:asciiTheme="minorHAnsi" w:eastAsiaTheme="minorHAnsi" w:hAnsiTheme="minorHAnsi"/>
          <w:color w:val="auto"/>
          <w:szCs w:val="24"/>
        </w:rPr>
        <w:t>medial, lateral</w:t>
      </w:r>
      <w:r w:rsidR="00817B56" w:rsidRPr="00DA0070">
        <w:rPr>
          <w:rFonts w:asciiTheme="minorHAnsi" w:eastAsiaTheme="minorHAnsi" w:hAnsiTheme="minorHAnsi"/>
          <w:color w:val="auto"/>
          <w:szCs w:val="24"/>
        </w:rPr>
        <w:t xml:space="preserve"> and</w:t>
      </w:r>
      <w:r w:rsidR="00F5220A" w:rsidRPr="00DA0070">
        <w:rPr>
          <w:rFonts w:asciiTheme="minorHAnsi" w:eastAsiaTheme="minorHAnsi" w:hAnsiTheme="minorHAnsi"/>
          <w:color w:val="auto"/>
          <w:szCs w:val="24"/>
        </w:rPr>
        <w:t xml:space="preserve"> </w:t>
      </w:r>
      <w:proofErr w:type="spellStart"/>
      <w:r w:rsidR="00817B56" w:rsidRPr="00DA0070">
        <w:rPr>
          <w:rFonts w:asciiTheme="minorHAnsi" w:eastAsiaTheme="minorHAnsi" w:hAnsiTheme="minorHAnsi"/>
          <w:color w:val="auto"/>
          <w:szCs w:val="24"/>
        </w:rPr>
        <w:t>infrap</w:t>
      </w:r>
      <w:r w:rsidR="00820613" w:rsidRPr="00DA0070">
        <w:rPr>
          <w:rFonts w:asciiTheme="minorHAnsi" w:eastAsiaTheme="minorHAnsi" w:hAnsiTheme="minorHAnsi"/>
          <w:color w:val="auto"/>
          <w:szCs w:val="24"/>
        </w:rPr>
        <w:t>a</w:t>
      </w:r>
      <w:r w:rsidR="00817B56" w:rsidRPr="00DA0070">
        <w:rPr>
          <w:rFonts w:asciiTheme="minorHAnsi" w:eastAsiaTheme="minorHAnsi" w:hAnsiTheme="minorHAnsi"/>
          <w:color w:val="auto"/>
          <w:szCs w:val="24"/>
        </w:rPr>
        <w:t>t</w:t>
      </w:r>
      <w:r w:rsidR="00820613" w:rsidRPr="00DA0070">
        <w:rPr>
          <w:rFonts w:asciiTheme="minorHAnsi" w:eastAsiaTheme="minorHAnsi" w:hAnsiTheme="minorHAnsi"/>
          <w:color w:val="auto"/>
          <w:szCs w:val="24"/>
        </w:rPr>
        <w:t>e</w:t>
      </w:r>
      <w:r w:rsidR="00817B56" w:rsidRPr="00DA0070">
        <w:rPr>
          <w:rFonts w:asciiTheme="minorHAnsi" w:eastAsiaTheme="minorHAnsi" w:hAnsiTheme="minorHAnsi"/>
          <w:color w:val="auto"/>
          <w:szCs w:val="24"/>
        </w:rPr>
        <w:t>llar</w:t>
      </w:r>
      <w:proofErr w:type="spellEnd"/>
      <w:r w:rsidR="00820613" w:rsidRPr="00DA0070">
        <w:rPr>
          <w:rFonts w:asciiTheme="minorHAnsi" w:eastAsiaTheme="minorHAnsi" w:hAnsiTheme="minorHAnsi"/>
          <w:color w:val="auto"/>
          <w:szCs w:val="24"/>
        </w:rPr>
        <w:t xml:space="preserve"> </w:t>
      </w:r>
      <w:r w:rsidR="00817B56" w:rsidRPr="00DA0070">
        <w:rPr>
          <w:rFonts w:asciiTheme="minorHAnsi" w:eastAsiaTheme="minorHAnsi" w:hAnsiTheme="minorHAnsi"/>
          <w:color w:val="auto"/>
          <w:szCs w:val="24"/>
        </w:rPr>
        <w:t xml:space="preserve">medial joint line TTP; </w:t>
      </w:r>
      <w:proofErr w:type="spellStart"/>
      <w:r w:rsidR="00817B56" w:rsidRPr="00DA0070">
        <w:rPr>
          <w:rFonts w:asciiTheme="minorHAnsi" w:eastAsiaTheme="minorHAnsi" w:hAnsiTheme="minorHAnsi"/>
          <w:color w:val="auto"/>
          <w:szCs w:val="24"/>
        </w:rPr>
        <w:t>crepitus</w:t>
      </w:r>
      <w:proofErr w:type="spellEnd"/>
      <w:r w:rsidR="00817B56" w:rsidRPr="00DA0070">
        <w:rPr>
          <w:rFonts w:asciiTheme="minorHAnsi" w:eastAsiaTheme="minorHAnsi" w:hAnsiTheme="minorHAnsi"/>
          <w:color w:val="auto"/>
          <w:szCs w:val="24"/>
        </w:rPr>
        <w:t xml:space="preserve"> </w:t>
      </w:r>
      <w:proofErr w:type="spellStart"/>
      <w:r w:rsidR="00817B56" w:rsidRPr="00DA0070">
        <w:rPr>
          <w:rFonts w:asciiTheme="minorHAnsi" w:eastAsiaTheme="minorHAnsi" w:hAnsiTheme="minorHAnsi"/>
          <w:color w:val="auto"/>
          <w:szCs w:val="24"/>
        </w:rPr>
        <w:t>retropatellar</w:t>
      </w:r>
      <w:proofErr w:type="spellEnd"/>
      <w:r w:rsidR="00817B56" w:rsidRPr="00DA0070">
        <w:rPr>
          <w:rFonts w:asciiTheme="minorHAnsi" w:eastAsiaTheme="minorHAnsi" w:hAnsiTheme="minorHAnsi"/>
          <w:color w:val="auto"/>
          <w:szCs w:val="24"/>
        </w:rPr>
        <w:t xml:space="preserve"> area; </w:t>
      </w:r>
      <w:proofErr w:type="spellStart"/>
      <w:r w:rsidR="0002387C" w:rsidRPr="00DA0070">
        <w:rPr>
          <w:rFonts w:asciiTheme="minorHAnsi" w:eastAsiaTheme="minorHAnsi" w:hAnsiTheme="minorHAnsi"/>
          <w:color w:val="auto"/>
          <w:szCs w:val="24"/>
        </w:rPr>
        <w:t>Lachman’s</w:t>
      </w:r>
      <w:proofErr w:type="spellEnd"/>
      <w:r w:rsidR="00817B56" w:rsidRPr="00DA0070">
        <w:rPr>
          <w:rFonts w:asciiTheme="minorHAnsi" w:eastAsiaTheme="minorHAnsi" w:hAnsiTheme="minorHAnsi"/>
          <w:color w:val="auto"/>
          <w:szCs w:val="24"/>
        </w:rPr>
        <w:t xml:space="preserve"> 1+; F</w:t>
      </w:r>
      <w:r w:rsidR="00994DFF" w:rsidRPr="00DA0070">
        <w:rPr>
          <w:rFonts w:asciiTheme="minorHAnsi" w:eastAsiaTheme="minorHAnsi" w:hAnsiTheme="minorHAnsi"/>
          <w:color w:val="auto"/>
          <w:szCs w:val="24"/>
        </w:rPr>
        <w:t>.</w:t>
      </w:r>
      <w:r w:rsidR="00817B56" w:rsidRPr="00DA0070">
        <w:rPr>
          <w:rFonts w:asciiTheme="minorHAnsi" w:eastAsiaTheme="minorHAnsi" w:hAnsiTheme="minorHAnsi"/>
          <w:color w:val="auto"/>
          <w:szCs w:val="24"/>
        </w:rPr>
        <w:t>R</w:t>
      </w:r>
      <w:r w:rsidR="00994DFF" w:rsidRPr="00DA0070">
        <w:rPr>
          <w:rFonts w:asciiTheme="minorHAnsi" w:eastAsiaTheme="minorHAnsi" w:hAnsiTheme="minorHAnsi"/>
          <w:color w:val="auto"/>
          <w:szCs w:val="24"/>
        </w:rPr>
        <w:t>.</w:t>
      </w:r>
      <w:r w:rsidR="00817B56" w:rsidRPr="00DA0070">
        <w:rPr>
          <w:rFonts w:asciiTheme="minorHAnsi" w:eastAsiaTheme="minorHAnsi" w:hAnsiTheme="minorHAnsi"/>
          <w:color w:val="auto"/>
          <w:szCs w:val="24"/>
        </w:rPr>
        <w:t>D</w:t>
      </w:r>
      <w:r w:rsidR="00994DFF" w:rsidRPr="00DA0070">
        <w:rPr>
          <w:rFonts w:asciiTheme="minorHAnsi" w:eastAsiaTheme="minorHAnsi" w:hAnsiTheme="minorHAnsi"/>
          <w:color w:val="auto"/>
          <w:szCs w:val="24"/>
        </w:rPr>
        <w:t>.</w:t>
      </w:r>
      <w:r w:rsidR="00817B56" w:rsidRPr="00DA0070">
        <w:rPr>
          <w:rFonts w:asciiTheme="minorHAnsi" w:eastAsiaTheme="minorHAnsi" w:hAnsiTheme="minorHAnsi"/>
          <w:color w:val="auto"/>
          <w:szCs w:val="24"/>
        </w:rPr>
        <w:t xml:space="preserve"> test +1 laxity; </w:t>
      </w:r>
      <w:r w:rsidR="00994DFF" w:rsidRPr="00DA0070">
        <w:rPr>
          <w:rFonts w:asciiTheme="minorHAnsi" w:eastAsiaTheme="minorHAnsi" w:hAnsiTheme="minorHAnsi"/>
          <w:color w:val="auto"/>
          <w:szCs w:val="24"/>
        </w:rPr>
        <w:t>m</w:t>
      </w:r>
      <w:r w:rsidR="00817B56" w:rsidRPr="00DA0070">
        <w:rPr>
          <w:rFonts w:asciiTheme="minorHAnsi" w:eastAsiaTheme="minorHAnsi" w:hAnsiTheme="minorHAnsi"/>
          <w:color w:val="auto"/>
          <w:szCs w:val="24"/>
        </w:rPr>
        <w:t>o</w:t>
      </w:r>
      <w:r w:rsidR="00994DFF" w:rsidRPr="00DA0070">
        <w:rPr>
          <w:rFonts w:asciiTheme="minorHAnsi" w:eastAsiaTheme="minorHAnsi" w:hAnsiTheme="minorHAnsi"/>
          <w:color w:val="auto"/>
          <w:szCs w:val="24"/>
        </w:rPr>
        <w:t xml:space="preserve">dified Steinman’s test  and </w:t>
      </w:r>
      <w:proofErr w:type="spellStart"/>
      <w:r w:rsidR="00994DFF" w:rsidRPr="00DA0070">
        <w:rPr>
          <w:rFonts w:asciiTheme="minorHAnsi" w:eastAsiaTheme="minorHAnsi" w:hAnsiTheme="minorHAnsi"/>
          <w:color w:val="auto"/>
          <w:szCs w:val="24"/>
        </w:rPr>
        <w:t>crepitus</w:t>
      </w:r>
      <w:proofErr w:type="spellEnd"/>
      <w:r w:rsidR="00994DFF" w:rsidRPr="00DA0070">
        <w:rPr>
          <w:rFonts w:asciiTheme="minorHAnsi" w:eastAsiaTheme="minorHAnsi" w:hAnsiTheme="minorHAnsi"/>
          <w:color w:val="auto"/>
          <w:szCs w:val="24"/>
        </w:rPr>
        <w:t xml:space="preserve"> with </w:t>
      </w:r>
      <w:r w:rsidR="00817B56" w:rsidRPr="00DA0070">
        <w:rPr>
          <w:rFonts w:asciiTheme="minorHAnsi" w:eastAsiaTheme="minorHAnsi" w:hAnsiTheme="minorHAnsi"/>
          <w:color w:val="auto"/>
          <w:szCs w:val="24"/>
        </w:rPr>
        <w:t>pain along</w:t>
      </w:r>
      <w:r w:rsidR="00994DFF" w:rsidRPr="00DA0070">
        <w:rPr>
          <w:rFonts w:asciiTheme="minorHAnsi" w:eastAsiaTheme="minorHAnsi" w:hAnsiTheme="minorHAnsi"/>
          <w:color w:val="auto"/>
          <w:szCs w:val="24"/>
        </w:rPr>
        <w:t xml:space="preserve"> the </w:t>
      </w:r>
      <w:r w:rsidR="00817B56" w:rsidRPr="00DA0070">
        <w:rPr>
          <w:rFonts w:asciiTheme="minorHAnsi" w:eastAsiaTheme="minorHAnsi" w:hAnsiTheme="minorHAnsi"/>
          <w:color w:val="auto"/>
          <w:szCs w:val="24"/>
        </w:rPr>
        <w:t xml:space="preserve"> medial aspect</w:t>
      </w:r>
      <w:r w:rsidR="00817B56" w:rsidRPr="00134C58">
        <w:rPr>
          <w:rFonts w:asciiTheme="minorHAnsi" w:eastAsiaTheme="minorHAnsi" w:hAnsiTheme="minorHAnsi"/>
          <w:color w:val="auto"/>
          <w:szCs w:val="24"/>
        </w:rPr>
        <w:t xml:space="preserve"> </w:t>
      </w:r>
      <w:r w:rsidR="00994DFF" w:rsidRPr="00134C58">
        <w:rPr>
          <w:rFonts w:asciiTheme="minorHAnsi" w:eastAsiaTheme="minorHAnsi" w:hAnsiTheme="minorHAnsi"/>
          <w:color w:val="auto"/>
          <w:szCs w:val="24"/>
        </w:rPr>
        <w:t xml:space="preserve">of the </w:t>
      </w:r>
      <w:r w:rsidR="00817B56" w:rsidRPr="00134C58">
        <w:rPr>
          <w:rFonts w:asciiTheme="minorHAnsi" w:eastAsiaTheme="minorHAnsi" w:hAnsiTheme="minorHAnsi"/>
          <w:color w:val="auto"/>
          <w:szCs w:val="24"/>
        </w:rPr>
        <w:t>knee</w:t>
      </w:r>
      <w:r w:rsidR="003375B3" w:rsidRPr="00134C58">
        <w:rPr>
          <w:rFonts w:asciiTheme="minorHAnsi" w:eastAsiaTheme="minorHAnsi" w:hAnsiTheme="minorHAnsi"/>
          <w:color w:val="auto"/>
          <w:szCs w:val="24"/>
        </w:rPr>
        <w:t>.</w:t>
      </w:r>
      <w:r w:rsidR="00741515" w:rsidRPr="00134C58">
        <w:rPr>
          <w:rFonts w:asciiTheme="minorHAnsi" w:eastAsiaTheme="minorHAnsi" w:hAnsiTheme="minorHAnsi"/>
          <w:color w:val="auto"/>
          <w:szCs w:val="24"/>
        </w:rPr>
        <w:t xml:space="preserve"> </w:t>
      </w:r>
      <w:r w:rsidR="00BE100B">
        <w:rPr>
          <w:rFonts w:asciiTheme="minorHAnsi" w:eastAsiaTheme="minorHAnsi" w:hAnsiTheme="minorHAnsi"/>
          <w:color w:val="auto"/>
          <w:szCs w:val="24"/>
        </w:rPr>
        <w:t xml:space="preserve"> </w:t>
      </w:r>
      <w:r w:rsidR="00741515" w:rsidRPr="00134C58">
        <w:rPr>
          <w:rFonts w:asciiTheme="minorHAnsi" w:eastAsiaTheme="minorHAnsi" w:hAnsiTheme="minorHAnsi"/>
          <w:color w:val="auto"/>
          <w:szCs w:val="24"/>
        </w:rPr>
        <w:t xml:space="preserve">Although this </w:t>
      </w:r>
      <w:r w:rsidR="0002387C" w:rsidRPr="00134C58">
        <w:rPr>
          <w:rFonts w:asciiTheme="minorHAnsi" w:eastAsiaTheme="minorHAnsi" w:hAnsiTheme="minorHAnsi"/>
          <w:color w:val="auto"/>
          <w:szCs w:val="24"/>
        </w:rPr>
        <w:t>examination</w:t>
      </w:r>
      <w:r w:rsidR="00741515" w:rsidRPr="00134C58">
        <w:rPr>
          <w:rFonts w:asciiTheme="minorHAnsi" w:eastAsiaTheme="minorHAnsi" w:hAnsiTheme="minorHAnsi"/>
          <w:color w:val="auto"/>
          <w:szCs w:val="24"/>
        </w:rPr>
        <w:t xml:space="preserve"> was completed 15 months prior to separation from the TDRL, it is the latest evaluation present in the record for Board review. </w:t>
      </w:r>
    </w:p>
    <w:p w:rsidR="00505803" w:rsidRPr="00134C58" w:rsidRDefault="00505803" w:rsidP="006E42C7">
      <w:pPr>
        <w:jc w:val="both"/>
        <w:rPr>
          <w:rFonts w:asciiTheme="minorHAnsi" w:hAnsiTheme="minorHAnsi"/>
          <w:color w:val="auto"/>
          <w:szCs w:val="24"/>
          <w:u w:val="single"/>
        </w:rPr>
      </w:pPr>
    </w:p>
    <w:p w:rsidR="009109D1" w:rsidRPr="00DA0070" w:rsidRDefault="00D1137C" w:rsidP="006E42C7">
      <w:pPr>
        <w:contextualSpacing/>
        <w:jc w:val="both"/>
        <w:rPr>
          <w:rFonts w:asciiTheme="minorHAnsi" w:hAnsiTheme="minorHAnsi"/>
          <w:color w:val="auto"/>
          <w:szCs w:val="24"/>
        </w:rPr>
      </w:pPr>
      <w:r w:rsidRPr="00DA0070">
        <w:rPr>
          <w:rFonts w:asciiTheme="minorHAnsi" w:hAnsiTheme="minorHAnsi"/>
          <w:color w:val="auto"/>
          <w:szCs w:val="24"/>
        </w:rPr>
        <w:t xml:space="preserve">The initial PEB </w:t>
      </w:r>
      <w:r w:rsidR="00451808" w:rsidRPr="00DA0070">
        <w:rPr>
          <w:rFonts w:asciiTheme="minorHAnsi" w:hAnsiTheme="minorHAnsi"/>
          <w:color w:val="auto"/>
          <w:szCs w:val="24"/>
        </w:rPr>
        <w:t xml:space="preserve">in January 2004 </w:t>
      </w:r>
      <w:r w:rsidR="00AA3121" w:rsidRPr="00DA0070">
        <w:rPr>
          <w:rFonts w:asciiTheme="minorHAnsi" w:hAnsiTheme="minorHAnsi"/>
          <w:color w:val="auto"/>
          <w:szCs w:val="24"/>
        </w:rPr>
        <w:t>determined the CI was unfit due to chronic left knee pain and instability.</w:t>
      </w:r>
      <w:r w:rsidR="00BE100B">
        <w:rPr>
          <w:rFonts w:asciiTheme="minorHAnsi" w:hAnsiTheme="minorHAnsi"/>
          <w:color w:val="auto"/>
          <w:szCs w:val="24"/>
        </w:rPr>
        <w:t xml:space="preserve"> </w:t>
      </w:r>
      <w:r w:rsidR="00AA3121" w:rsidRPr="00DA0070">
        <w:rPr>
          <w:rFonts w:asciiTheme="minorHAnsi" w:hAnsiTheme="minorHAnsi"/>
          <w:color w:val="auto"/>
          <w:szCs w:val="24"/>
        </w:rPr>
        <w:t xml:space="preserve"> Their</w:t>
      </w:r>
      <w:r w:rsidR="00124106" w:rsidRPr="00DA0070">
        <w:rPr>
          <w:rFonts w:asciiTheme="minorHAnsi" w:hAnsiTheme="minorHAnsi"/>
          <w:color w:val="auto"/>
          <w:szCs w:val="24"/>
        </w:rPr>
        <w:t xml:space="preserve"> decision noted no</w:t>
      </w:r>
      <w:r w:rsidR="00AA3121" w:rsidRPr="00DA0070">
        <w:rPr>
          <w:rFonts w:asciiTheme="minorHAnsi" w:hAnsiTheme="minorHAnsi"/>
          <w:color w:val="auto"/>
          <w:szCs w:val="24"/>
        </w:rPr>
        <w:t xml:space="preserve"> surgical procedure was recommended and applied a disability rating of 30% for severe instability</w:t>
      </w:r>
      <w:r w:rsidR="007205F7" w:rsidRPr="00DA0070">
        <w:rPr>
          <w:rFonts w:asciiTheme="minorHAnsi" w:hAnsiTheme="minorHAnsi"/>
          <w:color w:val="auto"/>
          <w:szCs w:val="24"/>
        </w:rPr>
        <w:t xml:space="preserve"> using VASRD 5257 </w:t>
      </w:r>
      <w:r w:rsidR="00BE100B">
        <w:rPr>
          <w:rFonts w:asciiTheme="minorHAnsi" w:hAnsiTheme="minorHAnsi"/>
          <w:color w:val="auto"/>
          <w:szCs w:val="24"/>
        </w:rPr>
        <w:t>k</w:t>
      </w:r>
      <w:r w:rsidR="00124106" w:rsidRPr="00DA0070">
        <w:rPr>
          <w:rFonts w:asciiTheme="minorHAnsi" w:hAnsiTheme="minorHAnsi"/>
          <w:color w:val="auto"/>
          <w:szCs w:val="24"/>
        </w:rPr>
        <w:t>nee, other impairment of,</w:t>
      </w:r>
      <w:r w:rsidR="007205F7" w:rsidRPr="00DA0070">
        <w:rPr>
          <w:rFonts w:asciiTheme="minorHAnsi" w:hAnsiTheme="minorHAnsi"/>
          <w:color w:val="auto"/>
          <w:szCs w:val="24"/>
        </w:rPr>
        <w:t xml:space="preserve"> </w:t>
      </w:r>
      <w:r w:rsidR="00BE100B">
        <w:rPr>
          <w:rFonts w:asciiTheme="minorHAnsi" w:hAnsiTheme="minorHAnsi"/>
          <w:color w:val="auto"/>
          <w:szCs w:val="24"/>
        </w:rPr>
        <w:t>r</w:t>
      </w:r>
      <w:r w:rsidR="007205F7" w:rsidRPr="00DA0070">
        <w:rPr>
          <w:rFonts w:asciiTheme="minorHAnsi" w:hAnsiTheme="minorHAnsi"/>
          <w:color w:val="auto"/>
          <w:szCs w:val="24"/>
        </w:rPr>
        <w:t xml:space="preserve">ecurrent </w:t>
      </w:r>
      <w:proofErr w:type="spellStart"/>
      <w:r w:rsidR="007205F7" w:rsidRPr="00DA0070">
        <w:rPr>
          <w:rFonts w:asciiTheme="minorHAnsi" w:hAnsiTheme="minorHAnsi"/>
          <w:color w:val="auto"/>
          <w:szCs w:val="24"/>
        </w:rPr>
        <w:t>subluxation</w:t>
      </w:r>
      <w:proofErr w:type="spellEnd"/>
      <w:r w:rsidR="007205F7" w:rsidRPr="00DA0070">
        <w:rPr>
          <w:rFonts w:asciiTheme="minorHAnsi" w:hAnsiTheme="minorHAnsi"/>
          <w:color w:val="auto"/>
          <w:szCs w:val="24"/>
        </w:rPr>
        <w:t xml:space="preserve"> or lateral instability</w:t>
      </w:r>
      <w:r w:rsidR="00AA3121" w:rsidRPr="00DA0070">
        <w:rPr>
          <w:rFonts w:asciiTheme="minorHAnsi" w:hAnsiTheme="minorHAnsi"/>
          <w:color w:val="auto"/>
          <w:szCs w:val="24"/>
        </w:rPr>
        <w:t>.</w:t>
      </w:r>
      <w:r w:rsidR="00BE100B">
        <w:rPr>
          <w:rFonts w:asciiTheme="minorHAnsi" w:hAnsiTheme="minorHAnsi"/>
          <w:color w:val="auto"/>
          <w:szCs w:val="24"/>
        </w:rPr>
        <w:t xml:space="preserve"> </w:t>
      </w:r>
      <w:r w:rsidR="00AA3121" w:rsidRPr="00DA0070">
        <w:rPr>
          <w:rFonts w:asciiTheme="minorHAnsi" w:hAnsiTheme="minorHAnsi"/>
          <w:color w:val="auto"/>
          <w:szCs w:val="24"/>
        </w:rPr>
        <w:t xml:space="preserve"> The PEB also determined that the CI’s condition had not stabilized to the point where a permanent degree of severity could </w:t>
      </w:r>
      <w:r w:rsidR="00A74B6E" w:rsidRPr="00DA0070">
        <w:rPr>
          <w:rFonts w:asciiTheme="minorHAnsi" w:hAnsiTheme="minorHAnsi"/>
          <w:color w:val="auto"/>
          <w:szCs w:val="24"/>
        </w:rPr>
        <w:t>be</w:t>
      </w:r>
      <w:r w:rsidR="00AA3121" w:rsidRPr="00DA0070">
        <w:rPr>
          <w:rFonts w:asciiTheme="minorHAnsi" w:hAnsiTheme="minorHAnsi"/>
          <w:color w:val="auto"/>
          <w:szCs w:val="24"/>
        </w:rPr>
        <w:t xml:space="preserve"> determined and the CI was placed on the TDRL.</w:t>
      </w:r>
    </w:p>
    <w:p w:rsidR="00DA0070" w:rsidRPr="00DA0070" w:rsidRDefault="00DA0070" w:rsidP="006E42C7">
      <w:pPr>
        <w:contextualSpacing/>
        <w:jc w:val="both"/>
        <w:rPr>
          <w:rFonts w:asciiTheme="minorHAnsi" w:eastAsiaTheme="minorHAnsi" w:hAnsiTheme="minorHAnsi"/>
          <w:color w:val="auto"/>
          <w:szCs w:val="24"/>
        </w:rPr>
      </w:pPr>
    </w:p>
    <w:p w:rsidR="00D1137C" w:rsidRPr="00DA0070" w:rsidRDefault="008D4257" w:rsidP="006E42C7">
      <w:pPr>
        <w:contextualSpacing/>
        <w:jc w:val="both"/>
        <w:rPr>
          <w:rFonts w:asciiTheme="minorHAnsi" w:eastAsiaTheme="minorHAnsi" w:hAnsiTheme="minorHAnsi"/>
          <w:color w:val="auto"/>
          <w:szCs w:val="24"/>
        </w:rPr>
      </w:pPr>
      <w:r w:rsidRPr="00DA0070">
        <w:rPr>
          <w:rFonts w:asciiTheme="minorHAnsi" w:hAnsiTheme="minorHAnsi"/>
          <w:color w:val="auto"/>
          <w:szCs w:val="24"/>
        </w:rPr>
        <w:lastRenderedPageBreak/>
        <w:t xml:space="preserve">The VA coded the </w:t>
      </w:r>
      <w:r w:rsidR="00BE100B">
        <w:rPr>
          <w:color w:val="auto"/>
          <w:szCs w:val="24"/>
        </w:rPr>
        <w:t>d</w:t>
      </w:r>
      <w:r w:rsidRPr="00DA0070">
        <w:rPr>
          <w:color w:val="auto"/>
          <w:szCs w:val="24"/>
        </w:rPr>
        <w:t xml:space="preserve">egenerative </w:t>
      </w:r>
      <w:r w:rsidR="00BE100B">
        <w:rPr>
          <w:color w:val="auto"/>
          <w:szCs w:val="24"/>
        </w:rPr>
        <w:t>a</w:t>
      </w:r>
      <w:r w:rsidRPr="00DA0070">
        <w:rPr>
          <w:color w:val="auto"/>
          <w:szCs w:val="24"/>
        </w:rPr>
        <w:t xml:space="preserve">rthritis of </w:t>
      </w:r>
      <w:r w:rsidR="00BE100B">
        <w:rPr>
          <w:color w:val="auto"/>
          <w:szCs w:val="24"/>
        </w:rPr>
        <w:t>l</w:t>
      </w:r>
      <w:r w:rsidRPr="00DA0070">
        <w:rPr>
          <w:color w:val="auto"/>
          <w:szCs w:val="24"/>
        </w:rPr>
        <w:t xml:space="preserve">eft </w:t>
      </w:r>
      <w:r w:rsidR="00BE100B">
        <w:rPr>
          <w:color w:val="auto"/>
          <w:szCs w:val="24"/>
        </w:rPr>
        <w:t>k</w:t>
      </w:r>
      <w:r w:rsidRPr="00DA0070">
        <w:rPr>
          <w:color w:val="auto"/>
          <w:szCs w:val="24"/>
        </w:rPr>
        <w:t xml:space="preserve">nee condition as 7805 </w:t>
      </w:r>
      <w:r w:rsidR="00BE100B">
        <w:rPr>
          <w:color w:val="auto"/>
          <w:szCs w:val="24"/>
        </w:rPr>
        <w:t>s</w:t>
      </w:r>
      <w:r w:rsidR="0022605E">
        <w:rPr>
          <w:color w:val="auto"/>
          <w:szCs w:val="24"/>
        </w:rPr>
        <w:t>car, other</w:t>
      </w:r>
      <w:r w:rsidR="006F7F53" w:rsidRPr="00DA0070">
        <w:rPr>
          <w:color w:val="auto"/>
          <w:szCs w:val="24"/>
        </w:rPr>
        <w:t xml:space="preserve"> </w:t>
      </w:r>
      <w:r w:rsidR="0002387C" w:rsidRPr="00DA0070">
        <w:rPr>
          <w:color w:val="auto"/>
          <w:szCs w:val="24"/>
        </w:rPr>
        <w:t>analogous</w:t>
      </w:r>
      <w:r w:rsidRPr="00DA0070">
        <w:rPr>
          <w:color w:val="auto"/>
          <w:szCs w:val="24"/>
        </w:rPr>
        <w:t xml:space="preserve"> to 5010</w:t>
      </w:r>
      <w:r w:rsidR="0022605E">
        <w:rPr>
          <w:rFonts w:asciiTheme="minorHAnsi" w:hAnsiTheme="minorHAnsi"/>
          <w:color w:val="auto"/>
          <w:szCs w:val="24"/>
        </w:rPr>
        <w:t xml:space="preserve"> </w:t>
      </w:r>
      <w:r w:rsidR="00BE100B">
        <w:rPr>
          <w:rFonts w:asciiTheme="minorHAnsi" w:hAnsiTheme="minorHAnsi"/>
          <w:color w:val="auto"/>
          <w:szCs w:val="24"/>
        </w:rPr>
        <w:t>a</w:t>
      </w:r>
      <w:r w:rsidRPr="00DA0070">
        <w:rPr>
          <w:rFonts w:asciiTheme="minorHAnsi" w:hAnsiTheme="minorHAnsi"/>
          <w:color w:val="auto"/>
          <w:szCs w:val="24"/>
        </w:rPr>
        <w:t xml:space="preserve">rthritis, due to trauma </w:t>
      </w:r>
      <w:r w:rsidR="0022605E">
        <w:rPr>
          <w:rFonts w:asciiTheme="minorHAnsi" w:hAnsiTheme="minorHAnsi"/>
          <w:color w:val="auto"/>
          <w:szCs w:val="24"/>
        </w:rPr>
        <w:t xml:space="preserve">substantiated by </w:t>
      </w:r>
      <w:r w:rsidR="00BE100B">
        <w:rPr>
          <w:rFonts w:asciiTheme="minorHAnsi" w:hAnsiTheme="minorHAnsi"/>
          <w:color w:val="auto"/>
          <w:szCs w:val="24"/>
        </w:rPr>
        <w:t>x</w:t>
      </w:r>
      <w:r w:rsidR="0022605E">
        <w:rPr>
          <w:rFonts w:asciiTheme="minorHAnsi" w:hAnsiTheme="minorHAnsi"/>
          <w:color w:val="auto"/>
          <w:szCs w:val="24"/>
        </w:rPr>
        <w:t>-ray findings</w:t>
      </w:r>
      <w:r w:rsidRPr="00DA0070">
        <w:rPr>
          <w:rFonts w:asciiTheme="minorHAnsi" w:hAnsiTheme="minorHAnsi"/>
          <w:color w:val="auto"/>
          <w:szCs w:val="24"/>
        </w:rPr>
        <w:t xml:space="preserve"> </w:t>
      </w:r>
      <w:r w:rsidR="00112184" w:rsidRPr="00DA0070">
        <w:rPr>
          <w:rFonts w:asciiTheme="minorHAnsi" w:hAnsiTheme="minorHAnsi"/>
          <w:color w:val="auto"/>
          <w:szCs w:val="24"/>
        </w:rPr>
        <w:t xml:space="preserve">and initially </w:t>
      </w:r>
      <w:r w:rsidRPr="00DA0070">
        <w:rPr>
          <w:rFonts w:asciiTheme="minorHAnsi" w:hAnsiTheme="minorHAnsi"/>
          <w:color w:val="auto"/>
          <w:szCs w:val="24"/>
        </w:rPr>
        <w:t>rated 10%</w:t>
      </w:r>
      <w:r w:rsidR="00112184" w:rsidRPr="00DA0070">
        <w:rPr>
          <w:rFonts w:asciiTheme="minorHAnsi" w:hAnsiTheme="minorHAnsi"/>
          <w:color w:val="auto"/>
          <w:szCs w:val="24"/>
        </w:rPr>
        <w:t xml:space="preserve"> </w:t>
      </w:r>
      <w:r w:rsidR="00FB696D" w:rsidRPr="00DA0070">
        <w:rPr>
          <w:rFonts w:asciiTheme="minorHAnsi" w:hAnsiTheme="minorHAnsi"/>
          <w:color w:val="auto"/>
          <w:szCs w:val="24"/>
        </w:rPr>
        <w:t>for pain-limited</w:t>
      </w:r>
      <w:r w:rsidR="009109D1" w:rsidRPr="00DA0070">
        <w:rPr>
          <w:rFonts w:asciiTheme="minorHAnsi" w:hAnsiTheme="minorHAnsi"/>
          <w:color w:val="auto"/>
          <w:szCs w:val="24"/>
        </w:rPr>
        <w:t xml:space="preserve"> motion due to degenerative arthritis </w:t>
      </w:r>
      <w:r w:rsidR="00112184" w:rsidRPr="00DA0070">
        <w:rPr>
          <w:rFonts w:asciiTheme="minorHAnsi" w:hAnsiTheme="minorHAnsi"/>
          <w:color w:val="auto"/>
          <w:szCs w:val="24"/>
        </w:rPr>
        <w:t xml:space="preserve">based on the VA C&amp;P examination in June 2004 and a review of the </w:t>
      </w:r>
      <w:r w:rsidR="004D3420">
        <w:rPr>
          <w:rFonts w:asciiTheme="minorHAnsi" w:hAnsiTheme="minorHAnsi"/>
          <w:color w:val="auto"/>
          <w:szCs w:val="24"/>
        </w:rPr>
        <w:t>STR</w:t>
      </w:r>
      <w:r w:rsidR="00112184" w:rsidRPr="00DA0070">
        <w:rPr>
          <w:rFonts w:asciiTheme="minorHAnsi" w:hAnsiTheme="minorHAnsi"/>
          <w:color w:val="auto"/>
          <w:szCs w:val="24"/>
        </w:rPr>
        <w:t xml:space="preserve">. </w:t>
      </w:r>
      <w:r w:rsidR="00BE100B">
        <w:rPr>
          <w:rFonts w:asciiTheme="minorHAnsi" w:hAnsiTheme="minorHAnsi"/>
          <w:color w:val="auto"/>
          <w:szCs w:val="24"/>
        </w:rPr>
        <w:t xml:space="preserve"> </w:t>
      </w:r>
      <w:r w:rsidR="009109D1" w:rsidRPr="00DA0070">
        <w:rPr>
          <w:rFonts w:asciiTheme="minorHAnsi" w:eastAsiaTheme="minorHAnsi" w:hAnsiTheme="minorHAnsi"/>
          <w:color w:val="auto"/>
          <w:szCs w:val="24"/>
        </w:rPr>
        <w:t xml:space="preserve">The VA based their rating on </w:t>
      </w:r>
      <w:r w:rsidR="009109D1" w:rsidRPr="00DA0070">
        <w:rPr>
          <w:rFonts w:asciiTheme="minorHAnsi" w:hAnsiTheme="minorHAnsi"/>
          <w:color w:val="auto"/>
          <w:szCs w:val="24"/>
        </w:rPr>
        <w:t>arthritis, due to trauma substantiated by X-ray findings.</w:t>
      </w:r>
      <w:r w:rsidR="003375B3" w:rsidRPr="00DA0070">
        <w:rPr>
          <w:rFonts w:asciiTheme="minorHAnsi" w:hAnsiTheme="minorHAnsi"/>
          <w:color w:val="auto"/>
          <w:szCs w:val="24"/>
        </w:rPr>
        <w:t xml:space="preserve"> </w:t>
      </w:r>
      <w:r w:rsidR="00BE100B">
        <w:rPr>
          <w:rFonts w:asciiTheme="minorHAnsi" w:hAnsiTheme="minorHAnsi"/>
          <w:color w:val="auto"/>
          <w:szCs w:val="24"/>
        </w:rPr>
        <w:t xml:space="preserve"> </w:t>
      </w:r>
      <w:r w:rsidR="009109D1" w:rsidRPr="00DA0070">
        <w:rPr>
          <w:rFonts w:asciiTheme="minorHAnsi" w:hAnsiTheme="minorHAnsi"/>
          <w:color w:val="auto"/>
          <w:szCs w:val="24"/>
        </w:rPr>
        <w:t>As noted above</w:t>
      </w:r>
      <w:r w:rsidR="006F7F53" w:rsidRPr="00DA0070">
        <w:rPr>
          <w:rFonts w:asciiTheme="minorHAnsi" w:hAnsiTheme="minorHAnsi"/>
          <w:color w:val="auto"/>
          <w:szCs w:val="24"/>
        </w:rPr>
        <w:t>,</w:t>
      </w:r>
      <w:r w:rsidR="009109D1" w:rsidRPr="00DA0070">
        <w:rPr>
          <w:rFonts w:asciiTheme="minorHAnsi" w:hAnsiTheme="minorHAnsi"/>
          <w:color w:val="auto"/>
          <w:szCs w:val="24"/>
        </w:rPr>
        <w:t xml:space="preserve"> this VA C&amp;P examination did not assess the stability of the </w:t>
      </w:r>
      <w:r w:rsidR="006F7F53" w:rsidRPr="00DA0070">
        <w:rPr>
          <w:rFonts w:asciiTheme="minorHAnsi" w:hAnsiTheme="minorHAnsi"/>
          <w:color w:val="auto"/>
          <w:szCs w:val="24"/>
        </w:rPr>
        <w:t xml:space="preserve">left </w:t>
      </w:r>
      <w:r w:rsidR="009109D1" w:rsidRPr="00DA0070">
        <w:rPr>
          <w:rFonts w:asciiTheme="minorHAnsi" w:hAnsiTheme="minorHAnsi"/>
          <w:color w:val="auto"/>
          <w:szCs w:val="24"/>
        </w:rPr>
        <w:t xml:space="preserve">knee. </w:t>
      </w:r>
      <w:r w:rsidR="00BE100B">
        <w:rPr>
          <w:rFonts w:asciiTheme="minorHAnsi" w:hAnsiTheme="minorHAnsi"/>
          <w:color w:val="auto"/>
          <w:szCs w:val="24"/>
        </w:rPr>
        <w:t xml:space="preserve"> </w:t>
      </w:r>
      <w:r w:rsidR="009109D1" w:rsidRPr="00DA0070">
        <w:rPr>
          <w:rFonts w:asciiTheme="minorHAnsi" w:hAnsiTheme="minorHAnsi"/>
          <w:color w:val="auto"/>
          <w:szCs w:val="24"/>
        </w:rPr>
        <w:t xml:space="preserve">A de novo review of all the evidence was completed by the VA and is documented in a report dated </w:t>
      </w:r>
      <w:r w:rsidR="00BE100B">
        <w:rPr>
          <w:rFonts w:asciiTheme="minorHAnsi" w:hAnsiTheme="minorHAnsi"/>
          <w:color w:val="auto"/>
          <w:szCs w:val="24"/>
        </w:rPr>
        <w:t xml:space="preserve">29 April </w:t>
      </w:r>
      <w:r w:rsidR="009109D1" w:rsidRPr="00DA0070">
        <w:rPr>
          <w:rFonts w:asciiTheme="minorHAnsi" w:hAnsiTheme="minorHAnsi"/>
          <w:color w:val="auto"/>
          <w:szCs w:val="24"/>
        </w:rPr>
        <w:t>200</w:t>
      </w:r>
      <w:r w:rsidR="00BE100B">
        <w:rPr>
          <w:rFonts w:asciiTheme="minorHAnsi" w:hAnsiTheme="minorHAnsi"/>
          <w:color w:val="auto"/>
          <w:szCs w:val="24"/>
        </w:rPr>
        <w:t>5</w:t>
      </w:r>
      <w:r w:rsidR="009109D1" w:rsidRPr="00DA0070">
        <w:rPr>
          <w:rFonts w:asciiTheme="minorHAnsi" w:hAnsiTheme="minorHAnsi"/>
          <w:color w:val="auto"/>
          <w:szCs w:val="24"/>
        </w:rPr>
        <w:t xml:space="preserve">, approximately </w:t>
      </w:r>
      <w:r w:rsidR="00BE100B">
        <w:rPr>
          <w:rFonts w:asciiTheme="minorHAnsi" w:hAnsiTheme="minorHAnsi"/>
          <w:color w:val="auto"/>
          <w:szCs w:val="24"/>
        </w:rPr>
        <w:t>10</w:t>
      </w:r>
      <w:r w:rsidR="009109D1" w:rsidRPr="00DA0070">
        <w:rPr>
          <w:rFonts w:asciiTheme="minorHAnsi" w:hAnsiTheme="minorHAnsi"/>
          <w:color w:val="auto"/>
          <w:szCs w:val="24"/>
        </w:rPr>
        <w:t xml:space="preserve"> months prior to the CI’</w:t>
      </w:r>
      <w:r w:rsidR="00243958" w:rsidRPr="00DA0070">
        <w:rPr>
          <w:rFonts w:asciiTheme="minorHAnsi" w:hAnsiTheme="minorHAnsi"/>
          <w:color w:val="auto"/>
          <w:szCs w:val="24"/>
        </w:rPr>
        <w:t>s final separation fro</w:t>
      </w:r>
      <w:r w:rsidR="009109D1" w:rsidRPr="00DA0070">
        <w:rPr>
          <w:rFonts w:asciiTheme="minorHAnsi" w:hAnsiTheme="minorHAnsi"/>
          <w:color w:val="auto"/>
          <w:szCs w:val="24"/>
        </w:rPr>
        <w:t xml:space="preserve">m the TDRL. </w:t>
      </w:r>
      <w:r w:rsidR="00BE100B">
        <w:rPr>
          <w:rFonts w:asciiTheme="minorHAnsi" w:hAnsiTheme="minorHAnsi"/>
          <w:color w:val="auto"/>
          <w:szCs w:val="24"/>
        </w:rPr>
        <w:t xml:space="preserve"> </w:t>
      </w:r>
      <w:r w:rsidR="00243958" w:rsidRPr="00DA0070">
        <w:rPr>
          <w:rFonts w:asciiTheme="minorHAnsi" w:hAnsiTheme="minorHAnsi"/>
          <w:color w:val="auto"/>
          <w:szCs w:val="24"/>
        </w:rPr>
        <w:t>It is clear fro</w:t>
      </w:r>
      <w:r w:rsidR="009109D1" w:rsidRPr="00DA0070">
        <w:rPr>
          <w:rFonts w:asciiTheme="minorHAnsi" w:hAnsiTheme="minorHAnsi"/>
          <w:color w:val="auto"/>
          <w:szCs w:val="24"/>
        </w:rPr>
        <w:t>m the report that this review examined all of the examinations</w:t>
      </w:r>
      <w:r w:rsidR="00821268" w:rsidRPr="00DA0070">
        <w:rPr>
          <w:rFonts w:asciiTheme="minorHAnsi" w:eastAsiaTheme="minorHAnsi" w:hAnsiTheme="minorHAnsi"/>
          <w:color w:val="auto"/>
          <w:szCs w:val="24"/>
        </w:rPr>
        <w:t xml:space="preserve"> </w:t>
      </w:r>
      <w:r w:rsidR="009109D1" w:rsidRPr="00DA0070">
        <w:rPr>
          <w:rFonts w:asciiTheme="minorHAnsi" w:eastAsiaTheme="minorHAnsi" w:hAnsiTheme="minorHAnsi"/>
          <w:color w:val="auto"/>
          <w:szCs w:val="24"/>
        </w:rPr>
        <w:t>noted in the</w:t>
      </w:r>
      <w:r w:rsidR="00243958" w:rsidRPr="00DA0070">
        <w:rPr>
          <w:rFonts w:asciiTheme="minorHAnsi" w:eastAsiaTheme="minorHAnsi" w:hAnsiTheme="minorHAnsi"/>
          <w:color w:val="auto"/>
          <w:szCs w:val="24"/>
        </w:rPr>
        <w:t xml:space="preserve"> ROM</w:t>
      </w:r>
      <w:r w:rsidR="009109D1" w:rsidRPr="00DA0070">
        <w:rPr>
          <w:rFonts w:asciiTheme="minorHAnsi" w:eastAsiaTheme="minorHAnsi" w:hAnsiTheme="minorHAnsi"/>
          <w:color w:val="auto"/>
          <w:szCs w:val="24"/>
        </w:rPr>
        <w:t xml:space="preserve"> chart above. </w:t>
      </w:r>
      <w:r w:rsidR="00BE100B">
        <w:rPr>
          <w:rFonts w:asciiTheme="minorHAnsi" w:eastAsiaTheme="minorHAnsi" w:hAnsiTheme="minorHAnsi"/>
          <w:color w:val="auto"/>
          <w:szCs w:val="24"/>
        </w:rPr>
        <w:t xml:space="preserve"> </w:t>
      </w:r>
      <w:r w:rsidR="009109D1" w:rsidRPr="00DA0070">
        <w:rPr>
          <w:rFonts w:asciiTheme="minorHAnsi" w:eastAsiaTheme="minorHAnsi" w:hAnsiTheme="minorHAnsi"/>
          <w:color w:val="auto"/>
          <w:szCs w:val="24"/>
        </w:rPr>
        <w:t>Based on this review the VA determined the CI’s left knee should be rated at 30% effective 20040309, the date of entry onto the TDRL.</w:t>
      </w:r>
      <w:r w:rsidR="00821268" w:rsidRPr="00DA0070">
        <w:rPr>
          <w:rFonts w:asciiTheme="minorHAnsi" w:eastAsiaTheme="minorHAnsi" w:hAnsiTheme="minorHAnsi"/>
          <w:color w:val="auto"/>
          <w:szCs w:val="24"/>
        </w:rPr>
        <w:t xml:space="preserve"> </w:t>
      </w:r>
      <w:r w:rsidR="009109D1" w:rsidRPr="00DA0070">
        <w:rPr>
          <w:rFonts w:asciiTheme="minorHAnsi" w:eastAsiaTheme="minorHAnsi" w:hAnsiTheme="minorHAnsi"/>
          <w:color w:val="auto"/>
          <w:szCs w:val="24"/>
        </w:rPr>
        <w:t>The VASRD code was changed to 7805-</w:t>
      </w:r>
      <w:r w:rsidR="00243958" w:rsidRPr="00DA0070">
        <w:rPr>
          <w:rFonts w:asciiTheme="minorHAnsi" w:eastAsiaTheme="minorHAnsi" w:hAnsiTheme="minorHAnsi"/>
          <w:color w:val="auto"/>
          <w:szCs w:val="24"/>
        </w:rPr>
        <w:t xml:space="preserve">5257 to indicate the knee instability. </w:t>
      </w:r>
      <w:r w:rsidR="00BE100B">
        <w:rPr>
          <w:rFonts w:asciiTheme="minorHAnsi" w:eastAsiaTheme="minorHAnsi" w:hAnsiTheme="minorHAnsi"/>
          <w:color w:val="auto"/>
          <w:szCs w:val="24"/>
        </w:rPr>
        <w:t xml:space="preserve"> </w:t>
      </w:r>
      <w:r w:rsidR="00243958" w:rsidRPr="00DA0070">
        <w:rPr>
          <w:rFonts w:asciiTheme="minorHAnsi" w:eastAsiaTheme="minorHAnsi" w:hAnsiTheme="minorHAnsi"/>
          <w:color w:val="auto"/>
          <w:szCs w:val="24"/>
        </w:rPr>
        <w:t xml:space="preserve">However, the condition remained degenerative arthritis of left knee with residual post operative scar. </w:t>
      </w:r>
      <w:r w:rsidR="00BE100B">
        <w:rPr>
          <w:rFonts w:asciiTheme="minorHAnsi" w:eastAsiaTheme="minorHAnsi" w:hAnsiTheme="minorHAnsi"/>
          <w:color w:val="auto"/>
          <w:szCs w:val="24"/>
        </w:rPr>
        <w:t xml:space="preserve"> </w:t>
      </w:r>
      <w:r w:rsidR="00243958" w:rsidRPr="00DA0070">
        <w:rPr>
          <w:rFonts w:asciiTheme="minorHAnsi" w:eastAsiaTheme="minorHAnsi" w:hAnsiTheme="minorHAnsi"/>
          <w:color w:val="auto"/>
          <w:szCs w:val="24"/>
        </w:rPr>
        <w:t>It is not clear why the V</w:t>
      </w:r>
      <w:r w:rsidR="00A6616E" w:rsidRPr="00DA0070">
        <w:rPr>
          <w:rFonts w:asciiTheme="minorHAnsi" w:eastAsiaTheme="minorHAnsi" w:hAnsiTheme="minorHAnsi"/>
          <w:color w:val="auto"/>
          <w:szCs w:val="24"/>
        </w:rPr>
        <w:t>A</w:t>
      </w:r>
      <w:r w:rsidR="00243958" w:rsidRPr="00DA0070">
        <w:rPr>
          <w:rFonts w:asciiTheme="minorHAnsi" w:eastAsiaTheme="minorHAnsi" w:hAnsiTheme="minorHAnsi"/>
          <w:color w:val="auto"/>
          <w:szCs w:val="24"/>
        </w:rPr>
        <w:t xml:space="preserve"> did not apply separate ratings for instability and pain-limited motion.</w:t>
      </w:r>
      <w:r w:rsidR="00A6616E" w:rsidRPr="00DA0070">
        <w:rPr>
          <w:rFonts w:asciiTheme="minorHAnsi" w:eastAsiaTheme="minorHAnsi" w:hAnsiTheme="minorHAnsi"/>
          <w:color w:val="auto"/>
          <w:szCs w:val="24"/>
        </w:rPr>
        <w:t xml:space="preserve"> However</w:t>
      </w:r>
      <w:r w:rsidR="008F6526" w:rsidRPr="00DA0070">
        <w:rPr>
          <w:rFonts w:asciiTheme="minorHAnsi" w:eastAsiaTheme="minorHAnsi" w:hAnsiTheme="minorHAnsi"/>
          <w:color w:val="auto"/>
          <w:szCs w:val="24"/>
        </w:rPr>
        <w:t xml:space="preserve">, it does appear that the VA </w:t>
      </w:r>
      <w:r w:rsidR="00143664" w:rsidRPr="00DA0070">
        <w:rPr>
          <w:rFonts w:asciiTheme="minorHAnsi" w:eastAsiaTheme="minorHAnsi" w:hAnsiTheme="minorHAnsi"/>
          <w:color w:val="auto"/>
          <w:szCs w:val="24"/>
        </w:rPr>
        <w:t xml:space="preserve">may have </w:t>
      </w:r>
      <w:r w:rsidR="008F6526" w:rsidRPr="00DA0070">
        <w:rPr>
          <w:rFonts w:asciiTheme="minorHAnsi" w:eastAsiaTheme="minorHAnsi" w:hAnsiTheme="minorHAnsi"/>
          <w:color w:val="auto"/>
          <w:szCs w:val="24"/>
        </w:rPr>
        <w:t xml:space="preserve">considered both when assigning the disability rating. </w:t>
      </w:r>
      <w:r w:rsidR="00BE100B">
        <w:rPr>
          <w:rFonts w:asciiTheme="minorHAnsi" w:eastAsiaTheme="minorHAnsi" w:hAnsiTheme="minorHAnsi"/>
          <w:color w:val="auto"/>
          <w:szCs w:val="24"/>
        </w:rPr>
        <w:t xml:space="preserve"> </w:t>
      </w:r>
      <w:r w:rsidR="008F6526" w:rsidRPr="00DA0070">
        <w:rPr>
          <w:rFonts w:asciiTheme="minorHAnsi" w:eastAsiaTheme="minorHAnsi" w:hAnsiTheme="minorHAnsi"/>
          <w:color w:val="auto"/>
          <w:szCs w:val="24"/>
        </w:rPr>
        <w:t>A 20% rating for instability and a 10% rating for pain-</w:t>
      </w:r>
      <w:r w:rsidR="0002387C" w:rsidRPr="00DA0070">
        <w:rPr>
          <w:rFonts w:asciiTheme="minorHAnsi" w:eastAsiaTheme="minorHAnsi" w:hAnsiTheme="minorHAnsi"/>
          <w:color w:val="auto"/>
          <w:szCs w:val="24"/>
        </w:rPr>
        <w:t>limited</w:t>
      </w:r>
      <w:r w:rsidR="008F6526" w:rsidRPr="00DA0070">
        <w:rPr>
          <w:rFonts w:asciiTheme="minorHAnsi" w:eastAsiaTheme="minorHAnsi" w:hAnsiTheme="minorHAnsi"/>
          <w:color w:val="auto"/>
          <w:szCs w:val="24"/>
        </w:rPr>
        <w:t xml:space="preserve"> motion combine to an overall 30%.</w:t>
      </w:r>
    </w:p>
    <w:p w:rsidR="00AA3121" w:rsidRPr="00DA0070" w:rsidRDefault="00AA3121" w:rsidP="006E42C7">
      <w:pPr>
        <w:jc w:val="both"/>
        <w:rPr>
          <w:rFonts w:asciiTheme="minorHAnsi" w:eastAsiaTheme="minorHAnsi" w:hAnsiTheme="minorHAnsi"/>
          <w:color w:val="auto"/>
          <w:szCs w:val="24"/>
        </w:rPr>
      </w:pPr>
    </w:p>
    <w:p w:rsidR="008F6526" w:rsidRDefault="00AA3121" w:rsidP="006E42C7">
      <w:pPr>
        <w:jc w:val="both"/>
        <w:rPr>
          <w:rFonts w:asciiTheme="minorHAnsi" w:eastAsiaTheme="minorHAnsi" w:hAnsiTheme="minorHAnsi"/>
          <w:color w:val="auto"/>
          <w:szCs w:val="24"/>
        </w:rPr>
      </w:pPr>
      <w:r w:rsidRPr="00DA0070">
        <w:rPr>
          <w:rFonts w:asciiTheme="minorHAnsi" w:eastAsiaTheme="minorHAnsi" w:hAnsiTheme="minorHAnsi"/>
          <w:color w:val="auto"/>
          <w:szCs w:val="24"/>
        </w:rPr>
        <w:t xml:space="preserve">The CI had a remote history of a partial tear of the left ACL in 1971. He had surgery and debridement performed but the ACL was not repaired. </w:t>
      </w:r>
      <w:r w:rsidR="000F2EE5">
        <w:rPr>
          <w:rFonts w:asciiTheme="minorHAnsi" w:eastAsiaTheme="minorHAnsi" w:hAnsiTheme="minorHAnsi"/>
          <w:color w:val="auto"/>
          <w:szCs w:val="24"/>
        </w:rPr>
        <w:t xml:space="preserve"> </w:t>
      </w:r>
      <w:r w:rsidR="00741515" w:rsidRPr="00DA0070">
        <w:rPr>
          <w:rFonts w:asciiTheme="minorHAnsi" w:eastAsiaTheme="minorHAnsi" w:hAnsiTheme="minorHAnsi"/>
          <w:color w:val="auto"/>
          <w:szCs w:val="24"/>
        </w:rPr>
        <w:t xml:space="preserve">In general, if a knee is not </w:t>
      </w:r>
      <w:r w:rsidR="006F7F53" w:rsidRPr="00DA0070">
        <w:rPr>
          <w:rFonts w:asciiTheme="minorHAnsi" w:eastAsiaTheme="minorHAnsi" w:hAnsiTheme="minorHAnsi"/>
          <w:color w:val="auto"/>
          <w:szCs w:val="24"/>
        </w:rPr>
        <w:t xml:space="preserve">completely </w:t>
      </w:r>
      <w:r w:rsidR="00741515" w:rsidRPr="00DA0070">
        <w:rPr>
          <w:rFonts w:asciiTheme="minorHAnsi" w:eastAsiaTheme="minorHAnsi" w:hAnsiTheme="minorHAnsi"/>
          <w:color w:val="auto"/>
          <w:szCs w:val="24"/>
        </w:rPr>
        <w:t xml:space="preserve">unstable and the person is not required to regularly perform activities that require an ACL, surgical repair </w:t>
      </w:r>
      <w:r w:rsidR="0002387C" w:rsidRPr="00DA0070">
        <w:rPr>
          <w:rFonts w:asciiTheme="minorHAnsi" w:eastAsiaTheme="minorHAnsi" w:hAnsiTheme="minorHAnsi"/>
          <w:color w:val="auto"/>
          <w:szCs w:val="24"/>
        </w:rPr>
        <w:t>of</w:t>
      </w:r>
      <w:r w:rsidR="006E42C7">
        <w:rPr>
          <w:rFonts w:asciiTheme="minorHAnsi" w:eastAsiaTheme="minorHAnsi" w:hAnsiTheme="minorHAnsi"/>
          <w:color w:val="auto"/>
          <w:szCs w:val="24"/>
        </w:rPr>
        <w:t xml:space="preserve"> the ACL is not performed. </w:t>
      </w:r>
      <w:r w:rsidR="000F2EE5">
        <w:rPr>
          <w:rFonts w:asciiTheme="minorHAnsi" w:eastAsiaTheme="minorHAnsi" w:hAnsiTheme="minorHAnsi"/>
          <w:color w:val="auto"/>
          <w:szCs w:val="24"/>
        </w:rPr>
        <w:t xml:space="preserve"> </w:t>
      </w:r>
      <w:r w:rsidR="00112184" w:rsidRPr="00DA0070">
        <w:rPr>
          <w:rFonts w:asciiTheme="minorHAnsi" w:eastAsiaTheme="minorHAnsi" w:hAnsiTheme="minorHAnsi"/>
          <w:color w:val="auto"/>
          <w:szCs w:val="24"/>
        </w:rPr>
        <w:t>The CI</w:t>
      </w:r>
      <w:r w:rsidRPr="00DA0070">
        <w:rPr>
          <w:rFonts w:asciiTheme="minorHAnsi" w:eastAsiaTheme="minorHAnsi" w:hAnsiTheme="minorHAnsi"/>
          <w:color w:val="auto"/>
          <w:szCs w:val="24"/>
        </w:rPr>
        <w:t xml:space="preserve"> left active duty in 1972 and then served in the National Guard continuously until he was mobilized and deployed to Iraq in 2003. </w:t>
      </w:r>
      <w:r w:rsidR="000F2EE5">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 xml:space="preserve">During his </w:t>
      </w:r>
      <w:r w:rsidR="0002387C" w:rsidRPr="00DA0070">
        <w:rPr>
          <w:rFonts w:asciiTheme="minorHAnsi" w:eastAsiaTheme="minorHAnsi" w:hAnsiTheme="minorHAnsi"/>
          <w:color w:val="auto"/>
          <w:szCs w:val="24"/>
        </w:rPr>
        <w:t>deployment</w:t>
      </w:r>
      <w:r w:rsidRPr="00DA0070">
        <w:rPr>
          <w:rFonts w:asciiTheme="minorHAnsi" w:eastAsiaTheme="minorHAnsi" w:hAnsiTheme="minorHAnsi"/>
          <w:color w:val="auto"/>
          <w:szCs w:val="24"/>
        </w:rPr>
        <w:t xml:space="preserve"> his left knee condition worsened to t</w:t>
      </w:r>
      <w:r w:rsidR="002A0041">
        <w:rPr>
          <w:rFonts w:asciiTheme="minorHAnsi" w:eastAsiaTheme="minorHAnsi" w:hAnsiTheme="minorHAnsi"/>
          <w:color w:val="auto"/>
          <w:szCs w:val="24"/>
        </w:rPr>
        <w:t xml:space="preserve">he point where he had to be </w:t>
      </w:r>
      <w:proofErr w:type="spellStart"/>
      <w:r w:rsidR="002A0041">
        <w:rPr>
          <w:rFonts w:asciiTheme="minorHAnsi" w:eastAsiaTheme="minorHAnsi" w:hAnsiTheme="minorHAnsi"/>
          <w:color w:val="auto"/>
          <w:szCs w:val="24"/>
        </w:rPr>
        <w:t>med</w:t>
      </w:r>
      <w:r w:rsidRPr="00DA0070">
        <w:rPr>
          <w:rFonts w:asciiTheme="minorHAnsi" w:eastAsiaTheme="minorHAnsi" w:hAnsiTheme="minorHAnsi"/>
          <w:color w:val="auto"/>
          <w:szCs w:val="24"/>
        </w:rPr>
        <w:t>evaced</w:t>
      </w:r>
      <w:proofErr w:type="spellEnd"/>
      <w:r w:rsidRPr="00DA0070">
        <w:rPr>
          <w:rFonts w:asciiTheme="minorHAnsi" w:eastAsiaTheme="minorHAnsi" w:hAnsiTheme="minorHAnsi"/>
          <w:color w:val="auto"/>
          <w:szCs w:val="24"/>
        </w:rPr>
        <w:t xml:space="preserve"> back to CONUS</w:t>
      </w:r>
      <w:r w:rsidR="00A74B6E" w:rsidRPr="00DA0070">
        <w:rPr>
          <w:rFonts w:asciiTheme="minorHAnsi" w:eastAsiaTheme="minorHAnsi" w:hAnsiTheme="minorHAnsi"/>
          <w:color w:val="auto"/>
          <w:szCs w:val="24"/>
        </w:rPr>
        <w:t>. He then had moderate to severe arthritis of his left knee as well</w:t>
      </w:r>
      <w:r w:rsidR="002A0041">
        <w:rPr>
          <w:rFonts w:asciiTheme="minorHAnsi" w:eastAsiaTheme="minorHAnsi" w:hAnsiTheme="minorHAnsi"/>
          <w:color w:val="auto"/>
          <w:szCs w:val="24"/>
        </w:rPr>
        <w:t xml:space="preserve"> as</w:t>
      </w:r>
      <w:r w:rsidR="00A74B6E" w:rsidRPr="00DA0070">
        <w:rPr>
          <w:rFonts w:asciiTheme="minorHAnsi" w:eastAsiaTheme="minorHAnsi" w:hAnsiTheme="minorHAnsi"/>
          <w:color w:val="auto"/>
          <w:szCs w:val="24"/>
        </w:rPr>
        <w:t xml:space="preserve"> severe instability and was no longer fit for military service. </w:t>
      </w:r>
      <w:r w:rsidR="000F2EE5">
        <w:rPr>
          <w:rFonts w:asciiTheme="minorHAnsi" w:eastAsiaTheme="minorHAnsi" w:hAnsiTheme="minorHAnsi"/>
          <w:color w:val="auto"/>
          <w:szCs w:val="24"/>
        </w:rPr>
        <w:t xml:space="preserve"> </w:t>
      </w:r>
      <w:r w:rsidR="00A74B6E" w:rsidRPr="00DA0070">
        <w:rPr>
          <w:rFonts w:asciiTheme="minorHAnsi" w:eastAsiaTheme="minorHAnsi" w:hAnsiTheme="minorHAnsi"/>
          <w:color w:val="auto"/>
          <w:szCs w:val="24"/>
        </w:rPr>
        <w:t>Whi</w:t>
      </w:r>
      <w:r w:rsidR="007205F7" w:rsidRPr="00DA0070">
        <w:rPr>
          <w:rFonts w:asciiTheme="minorHAnsi" w:eastAsiaTheme="minorHAnsi" w:hAnsiTheme="minorHAnsi"/>
          <w:color w:val="auto"/>
          <w:szCs w:val="24"/>
        </w:rPr>
        <w:t>le</w:t>
      </w:r>
      <w:r w:rsidR="00A74B6E" w:rsidRPr="00DA0070">
        <w:rPr>
          <w:rFonts w:asciiTheme="minorHAnsi" w:eastAsiaTheme="minorHAnsi" w:hAnsiTheme="minorHAnsi"/>
          <w:color w:val="auto"/>
          <w:szCs w:val="24"/>
        </w:rPr>
        <w:t xml:space="preserve"> he was able to perform activities of daily living, </w:t>
      </w:r>
      <w:r w:rsidR="00112184" w:rsidRPr="00DA0070">
        <w:rPr>
          <w:rFonts w:asciiTheme="minorHAnsi" w:eastAsiaTheme="minorHAnsi" w:hAnsiTheme="minorHAnsi"/>
          <w:color w:val="auto"/>
          <w:szCs w:val="24"/>
        </w:rPr>
        <w:t>most</w:t>
      </w:r>
      <w:r w:rsidR="00A74B6E" w:rsidRPr="00DA0070">
        <w:rPr>
          <w:rFonts w:asciiTheme="minorHAnsi" w:eastAsiaTheme="minorHAnsi" w:hAnsiTheme="minorHAnsi"/>
          <w:color w:val="auto"/>
          <w:szCs w:val="24"/>
        </w:rPr>
        <w:t xml:space="preserve"> other activities were significantly limited by his left knee condition. </w:t>
      </w:r>
      <w:r w:rsidR="000F2EE5">
        <w:rPr>
          <w:rFonts w:asciiTheme="minorHAnsi" w:eastAsiaTheme="minorHAnsi" w:hAnsiTheme="minorHAnsi"/>
          <w:color w:val="auto"/>
          <w:szCs w:val="24"/>
        </w:rPr>
        <w:t xml:space="preserve"> </w:t>
      </w:r>
      <w:r w:rsidR="00A74B6E" w:rsidRPr="00DA0070">
        <w:rPr>
          <w:rFonts w:asciiTheme="minorHAnsi" w:eastAsiaTheme="minorHAnsi" w:hAnsiTheme="minorHAnsi"/>
          <w:color w:val="auto"/>
          <w:szCs w:val="24"/>
        </w:rPr>
        <w:t xml:space="preserve">The PEB in 2004 noted both pain and instability but only rated the instability. </w:t>
      </w:r>
      <w:r w:rsidR="000F2EE5">
        <w:rPr>
          <w:rFonts w:asciiTheme="minorHAnsi" w:eastAsiaTheme="minorHAnsi" w:hAnsiTheme="minorHAnsi"/>
          <w:color w:val="auto"/>
          <w:szCs w:val="24"/>
        </w:rPr>
        <w:t xml:space="preserve"> </w:t>
      </w:r>
      <w:proofErr w:type="gramStart"/>
      <w:r w:rsidR="00473802" w:rsidRPr="00DA0070">
        <w:rPr>
          <w:rFonts w:asciiTheme="minorHAnsi" w:eastAsiaTheme="minorHAnsi" w:hAnsiTheme="minorHAnsi"/>
          <w:color w:val="auto"/>
          <w:szCs w:val="24"/>
        </w:rPr>
        <w:t xml:space="preserve">However separate ratings for instability and ROM impairment </w:t>
      </w:r>
      <w:r w:rsidR="005B2BD9" w:rsidRPr="00DA0070">
        <w:rPr>
          <w:rFonts w:asciiTheme="minorHAnsi" w:eastAsiaTheme="minorHAnsi" w:hAnsiTheme="minorHAnsi"/>
          <w:color w:val="auto"/>
          <w:szCs w:val="24"/>
        </w:rPr>
        <w:t xml:space="preserve">are allowed </w:t>
      </w:r>
      <w:r w:rsidR="00473802" w:rsidRPr="00DA0070">
        <w:rPr>
          <w:rFonts w:asciiTheme="minorHAnsi" w:eastAsiaTheme="minorHAnsi" w:hAnsiTheme="minorHAnsi"/>
          <w:color w:val="auto"/>
          <w:szCs w:val="24"/>
        </w:rPr>
        <w:t>as established by VA policy</w:t>
      </w:r>
      <w:r w:rsidR="005B2BD9" w:rsidRPr="00DA0070">
        <w:rPr>
          <w:rFonts w:asciiTheme="minorHAnsi" w:eastAsiaTheme="minorHAnsi" w:hAnsiTheme="minorHAnsi"/>
          <w:color w:val="auto"/>
          <w:szCs w:val="24"/>
        </w:rPr>
        <w:t xml:space="preserve"> that was</w:t>
      </w:r>
      <w:r w:rsidR="00473802" w:rsidRPr="00DA0070">
        <w:rPr>
          <w:rFonts w:asciiTheme="minorHAnsi" w:eastAsiaTheme="minorHAnsi" w:hAnsiTheme="minorHAnsi"/>
          <w:color w:val="auto"/>
          <w:szCs w:val="24"/>
        </w:rPr>
        <w:t xml:space="preserve"> in effect at the time of separation (</w:t>
      </w:r>
      <w:r w:rsidR="000F2EE5">
        <w:rPr>
          <w:rFonts w:asciiTheme="minorHAnsi" w:eastAsiaTheme="minorHAnsi" w:hAnsiTheme="minorHAnsi"/>
          <w:color w:val="auto"/>
          <w:szCs w:val="24"/>
        </w:rPr>
        <w:t>g</w:t>
      </w:r>
      <w:r w:rsidR="00473802" w:rsidRPr="00DA0070">
        <w:rPr>
          <w:rFonts w:asciiTheme="minorHAnsi" w:eastAsiaTheme="minorHAnsi" w:hAnsiTheme="minorHAnsi"/>
          <w:color w:val="auto"/>
          <w:szCs w:val="24"/>
        </w:rPr>
        <w:t xml:space="preserve">eneral </w:t>
      </w:r>
      <w:r w:rsidR="000F2EE5">
        <w:rPr>
          <w:rFonts w:asciiTheme="minorHAnsi" w:eastAsiaTheme="minorHAnsi" w:hAnsiTheme="minorHAnsi"/>
          <w:color w:val="auto"/>
          <w:szCs w:val="24"/>
        </w:rPr>
        <w:t>c</w:t>
      </w:r>
      <w:r w:rsidR="00473802" w:rsidRPr="00DA0070">
        <w:rPr>
          <w:rFonts w:asciiTheme="minorHAnsi" w:eastAsiaTheme="minorHAnsi" w:hAnsiTheme="minorHAnsi"/>
          <w:color w:val="auto"/>
          <w:szCs w:val="24"/>
        </w:rPr>
        <w:t xml:space="preserve">ounsel </w:t>
      </w:r>
      <w:r w:rsidR="000F2EE5">
        <w:rPr>
          <w:rFonts w:asciiTheme="minorHAnsi" w:eastAsiaTheme="minorHAnsi" w:hAnsiTheme="minorHAnsi"/>
          <w:color w:val="auto"/>
          <w:szCs w:val="24"/>
        </w:rPr>
        <w:t>o</w:t>
      </w:r>
      <w:r w:rsidR="00473802" w:rsidRPr="00DA0070">
        <w:rPr>
          <w:rFonts w:asciiTheme="minorHAnsi" w:eastAsiaTheme="minorHAnsi" w:hAnsiTheme="minorHAnsi"/>
          <w:color w:val="auto"/>
          <w:szCs w:val="24"/>
        </w:rPr>
        <w:t xml:space="preserve">pinion of </w:t>
      </w:r>
      <w:r w:rsidR="000F2EE5">
        <w:rPr>
          <w:rFonts w:asciiTheme="minorHAnsi" w:eastAsiaTheme="minorHAnsi" w:hAnsiTheme="minorHAnsi"/>
          <w:color w:val="auto"/>
          <w:szCs w:val="24"/>
        </w:rPr>
        <w:t>1 July</w:t>
      </w:r>
      <w:r w:rsidR="00473802" w:rsidRPr="00DA0070">
        <w:rPr>
          <w:rFonts w:asciiTheme="minorHAnsi" w:eastAsiaTheme="minorHAnsi" w:hAnsiTheme="minorHAnsi"/>
          <w:color w:val="auto"/>
          <w:szCs w:val="24"/>
        </w:rPr>
        <w:t xml:space="preserve"> 1997 and </w:t>
      </w:r>
      <w:r w:rsidR="000F2EE5">
        <w:rPr>
          <w:rFonts w:asciiTheme="minorHAnsi" w:eastAsiaTheme="minorHAnsi" w:hAnsiTheme="minorHAnsi"/>
          <w:color w:val="auto"/>
          <w:szCs w:val="24"/>
        </w:rPr>
        <w:t>f</w:t>
      </w:r>
      <w:r w:rsidR="00473802" w:rsidRPr="00DA0070">
        <w:rPr>
          <w:rFonts w:asciiTheme="minorHAnsi" w:eastAsiaTheme="minorHAnsi" w:hAnsiTheme="minorHAnsi"/>
          <w:color w:val="auto"/>
          <w:szCs w:val="24"/>
        </w:rPr>
        <w:t xml:space="preserve">ast </w:t>
      </w:r>
      <w:r w:rsidR="000F2EE5">
        <w:rPr>
          <w:rFonts w:asciiTheme="minorHAnsi" w:eastAsiaTheme="minorHAnsi" w:hAnsiTheme="minorHAnsi"/>
          <w:color w:val="auto"/>
          <w:szCs w:val="24"/>
        </w:rPr>
        <w:t>l</w:t>
      </w:r>
      <w:r w:rsidR="00473802" w:rsidRPr="00DA0070">
        <w:rPr>
          <w:rFonts w:asciiTheme="minorHAnsi" w:eastAsiaTheme="minorHAnsi" w:hAnsiTheme="minorHAnsi"/>
          <w:color w:val="auto"/>
          <w:szCs w:val="24"/>
        </w:rPr>
        <w:t xml:space="preserve">etter 04-22 of </w:t>
      </w:r>
      <w:r w:rsidR="000F2EE5">
        <w:rPr>
          <w:rFonts w:asciiTheme="minorHAnsi" w:eastAsiaTheme="minorHAnsi" w:hAnsiTheme="minorHAnsi"/>
          <w:color w:val="auto"/>
          <w:szCs w:val="24"/>
        </w:rPr>
        <w:t xml:space="preserve">                1 </w:t>
      </w:r>
      <w:r w:rsidR="00473802" w:rsidRPr="00DA0070">
        <w:rPr>
          <w:rFonts w:asciiTheme="minorHAnsi" w:eastAsiaTheme="minorHAnsi" w:hAnsiTheme="minorHAnsi"/>
          <w:color w:val="auto"/>
          <w:szCs w:val="24"/>
        </w:rPr>
        <w:t>October 2004).</w:t>
      </w:r>
      <w:proofErr w:type="gramEnd"/>
      <w:r w:rsidR="000F2EE5">
        <w:rPr>
          <w:rFonts w:asciiTheme="minorHAnsi" w:eastAsiaTheme="minorHAnsi" w:hAnsiTheme="minorHAnsi"/>
          <w:color w:val="auto"/>
          <w:szCs w:val="24"/>
        </w:rPr>
        <w:t xml:space="preserve"> </w:t>
      </w:r>
      <w:r w:rsidR="00473802" w:rsidRPr="00DA0070">
        <w:rPr>
          <w:rFonts w:asciiTheme="minorHAnsi" w:eastAsiaTheme="minorHAnsi" w:hAnsiTheme="minorHAnsi"/>
          <w:color w:val="auto"/>
          <w:szCs w:val="24"/>
        </w:rPr>
        <w:t xml:space="preserve"> By internal policy and precedent, the Board adheres to this guidance. </w:t>
      </w:r>
      <w:r w:rsidR="005B2BD9" w:rsidRPr="00DA0070">
        <w:rPr>
          <w:rFonts w:asciiTheme="minorHAnsi" w:eastAsiaTheme="minorHAnsi" w:hAnsiTheme="minorHAnsi"/>
          <w:color w:val="auto"/>
          <w:szCs w:val="24"/>
        </w:rPr>
        <w:t>Therefore</w:t>
      </w:r>
      <w:r w:rsidR="007205F7" w:rsidRPr="00DA0070">
        <w:rPr>
          <w:rFonts w:asciiTheme="minorHAnsi" w:eastAsiaTheme="minorHAnsi" w:hAnsiTheme="minorHAnsi"/>
          <w:color w:val="auto"/>
          <w:szCs w:val="24"/>
        </w:rPr>
        <w:t>, separate ratings for limitations of flexion</w:t>
      </w:r>
      <w:r w:rsidR="006E42C7">
        <w:rPr>
          <w:rFonts w:asciiTheme="minorHAnsi" w:eastAsiaTheme="minorHAnsi" w:hAnsiTheme="minorHAnsi"/>
          <w:color w:val="auto"/>
          <w:szCs w:val="24"/>
        </w:rPr>
        <w:t xml:space="preserve"> 526</w:t>
      </w:r>
      <w:r w:rsidR="002A0041">
        <w:rPr>
          <w:rFonts w:asciiTheme="minorHAnsi" w:eastAsiaTheme="minorHAnsi" w:hAnsiTheme="minorHAnsi"/>
          <w:color w:val="auto"/>
          <w:szCs w:val="24"/>
        </w:rPr>
        <w:t>0</w:t>
      </w:r>
      <w:r w:rsidR="007205F7" w:rsidRPr="00DA0070">
        <w:rPr>
          <w:rFonts w:asciiTheme="minorHAnsi" w:eastAsiaTheme="minorHAnsi" w:hAnsiTheme="minorHAnsi"/>
          <w:color w:val="auto"/>
          <w:szCs w:val="24"/>
        </w:rPr>
        <w:t>, limitations of extension</w:t>
      </w:r>
      <w:r w:rsidR="006E42C7">
        <w:rPr>
          <w:rFonts w:asciiTheme="minorHAnsi" w:eastAsiaTheme="minorHAnsi" w:hAnsiTheme="minorHAnsi"/>
          <w:color w:val="auto"/>
          <w:szCs w:val="24"/>
        </w:rPr>
        <w:t xml:space="preserve"> </w:t>
      </w:r>
      <w:r w:rsidR="00636C70">
        <w:rPr>
          <w:rFonts w:asciiTheme="minorHAnsi" w:eastAsiaTheme="minorHAnsi" w:hAnsiTheme="minorHAnsi"/>
          <w:color w:val="auto"/>
          <w:szCs w:val="24"/>
        </w:rPr>
        <w:t>5261</w:t>
      </w:r>
      <w:r w:rsidR="007205F7" w:rsidRPr="00DA0070">
        <w:rPr>
          <w:rFonts w:asciiTheme="minorHAnsi" w:eastAsiaTheme="minorHAnsi" w:hAnsiTheme="minorHAnsi"/>
          <w:color w:val="auto"/>
          <w:szCs w:val="24"/>
        </w:rPr>
        <w:t xml:space="preserve"> and instability</w:t>
      </w:r>
      <w:r w:rsidR="006E42C7">
        <w:rPr>
          <w:rFonts w:asciiTheme="minorHAnsi" w:eastAsiaTheme="minorHAnsi" w:hAnsiTheme="minorHAnsi"/>
          <w:color w:val="auto"/>
          <w:szCs w:val="24"/>
        </w:rPr>
        <w:t xml:space="preserve"> 5257</w:t>
      </w:r>
      <w:r w:rsidR="007205F7" w:rsidRPr="00DA0070">
        <w:rPr>
          <w:rFonts w:asciiTheme="minorHAnsi" w:eastAsiaTheme="minorHAnsi" w:hAnsiTheme="minorHAnsi"/>
          <w:color w:val="auto"/>
          <w:szCs w:val="24"/>
        </w:rPr>
        <w:t xml:space="preserve"> </w:t>
      </w:r>
      <w:r w:rsidR="00112184" w:rsidRPr="00DA0070">
        <w:rPr>
          <w:rFonts w:asciiTheme="minorHAnsi" w:eastAsiaTheme="minorHAnsi" w:hAnsiTheme="minorHAnsi"/>
          <w:color w:val="auto"/>
          <w:szCs w:val="24"/>
        </w:rPr>
        <w:t xml:space="preserve">can and should be applied </w:t>
      </w:r>
      <w:r w:rsidR="007205F7" w:rsidRPr="00DA0070">
        <w:rPr>
          <w:rFonts w:asciiTheme="minorHAnsi" w:eastAsiaTheme="minorHAnsi" w:hAnsiTheme="minorHAnsi"/>
          <w:color w:val="auto"/>
          <w:szCs w:val="24"/>
        </w:rPr>
        <w:t xml:space="preserve">if </w:t>
      </w:r>
      <w:r w:rsidR="00112184" w:rsidRPr="00DA0070">
        <w:rPr>
          <w:rFonts w:asciiTheme="minorHAnsi" w:eastAsiaTheme="minorHAnsi" w:hAnsiTheme="minorHAnsi"/>
          <w:color w:val="auto"/>
          <w:szCs w:val="24"/>
        </w:rPr>
        <w:t>all</w:t>
      </w:r>
      <w:r w:rsidR="007205F7" w:rsidRPr="00DA0070">
        <w:rPr>
          <w:rFonts w:asciiTheme="minorHAnsi" w:eastAsiaTheme="minorHAnsi" w:hAnsiTheme="minorHAnsi"/>
          <w:color w:val="auto"/>
          <w:szCs w:val="24"/>
        </w:rPr>
        <w:t xml:space="preserve"> are present</w:t>
      </w:r>
      <w:r w:rsidR="00112184" w:rsidRPr="00DA0070">
        <w:rPr>
          <w:rFonts w:asciiTheme="minorHAnsi" w:eastAsiaTheme="minorHAnsi" w:hAnsiTheme="minorHAnsi"/>
          <w:color w:val="auto"/>
          <w:szCs w:val="24"/>
        </w:rPr>
        <w:t xml:space="preserve"> in the knee</w:t>
      </w:r>
      <w:r w:rsidR="007205F7" w:rsidRPr="00DA0070">
        <w:rPr>
          <w:rFonts w:asciiTheme="minorHAnsi" w:eastAsiaTheme="minorHAnsi" w:hAnsiTheme="minorHAnsi"/>
          <w:color w:val="auto"/>
          <w:szCs w:val="24"/>
        </w:rPr>
        <w:t xml:space="preserve">. </w:t>
      </w:r>
      <w:r w:rsidR="000F2EE5">
        <w:rPr>
          <w:rFonts w:asciiTheme="minorHAnsi" w:eastAsiaTheme="minorHAnsi" w:hAnsiTheme="minorHAnsi"/>
          <w:color w:val="auto"/>
          <w:szCs w:val="24"/>
        </w:rPr>
        <w:t xml:space="preserve"> </w:t>
      </w:r>
      <w:r w:rsidR="004B0804" w:rsidRPr="00DA0070">
        <w:rPr>
          <w:rFonts w:asciiTheme="minorHAnsi" w:eastAsiaTheme="minorHAnsi" w:hAnsiTheme="minorHAnsi"/>
          <w:color w:val="auto"/>
          <w:szCs w:val="24"/>
        </w:rPr>
        <w:t xml:space="preserve">The PEB determined the CI was unfit for pain and instability. </w:t>
      </w:r>
      <w:r w:rsidR="000F2EE5">
        <w:rPr>
          <w:rFonts w:asciiTheme="minorHAnsi" w:eastAsiaTheme="minorHAnsi" w:hAnsiTheme="minorHAnsi"/>
          <w:color w:val="auto"/>
          <w:szCs w:val="24"/>
        </w:rPr>
        <w:t xml:space="preserve"> </w:t>
      </w:r>
      <w:r w:rsidR="007205F7" w:rsidRPr="00DA0070">
        <w:rPr>
          <w:rFonts w:asciiTheme="minorHAnsi" w:eastAsiaTheme="minorHAnsi" w:hAnsiTheme="minorHAnsi"/>
          <w:color w:val="auto"/>
          <w:szCs w:val="24"/>
        </w:rPr>
        <w:t xml:space="preserve">The examinations prior to entrance </w:t>
      </w:r>
      <w:r w:rsidR="006F7F53" w:rsidRPr="00DA0070">
        <w:rPr>
          <w:rFonts w:asciiTheme="minorHAnsi" w:eastAsiaTheme="minorHAnsi" w:hAnsiTheme="minorHAnsi"/>
          <w:color w:val="auto"/>
          <w:szCs w:val="24"/>
        </w:rPr>
        <w:t>on</w:t>
      </w:r>
      <w:r w:rsidR="007205F7" w:rsidRPr="00DA0070">
        <w:rPr>
          <w:rFonts w:asciiTheme="minorHAnsi" w:eastAsiaTheme="minorHAnsi" w:hAnsiTheme="minorHAnsi"/>
          <w:color w:val="auto"/>
          <w:szCs w:val="24"/>
        </w:rPr>
        <w:t xml:space="preserve">to the TDRL show </w:t>
      </w:r>
      <w:r w:rsidR="005B2BD9" w:rsidRPr="00DA0070">
        <w:rPr>
          <w:rFonts w:asciiTheme="minorHAnsi" w:eastAsiaTheme="minorHAnsi" w:hAnsiTheme="minorHAnsi"/>
          <w:color w:val="auto"/>
          <w:szCs w:val="24"/>
        </w:rPr>
        <w:t xml:space="preserve">instability </w:t>
      </w:r>
      <w:r w:rsidR="00636C70" w:rsidRPr="00DA0070">
        <w:rPr>
          <w:rFonts w:asciiTheme="minorHAnsi" w:eastAsiaTheme="minorHAnsi" w:hAnsiTheme="minorHAnsi"/>
          <w:color w:val="auto"/>
          <w:szCs w:val="24"/>
        </w:rPr>
        <w:t>and pain</w:t>
      </w:r>
      <w:r w:rsidR="005B2BD9" w:rsidRPr="00DA0070">
        <w:rPr>
          <w:rFonts w:asciiTheme="minorHAnsi" w:eastAsiaTheme="minorHAnsi" w:hAnsiTheme="minorHAnsi"/>
          <w:color w:val="auto"/>
          <w:szCs w:val="24"/>
        </w:rPr>
        <w:t xml:space="preserve">-limited flexion, </w:t>
      </w:r>
      <w:r w:rsidR="004B0804" w:rsidRPr="00DA0070">
        <w:rPr>
          <w:rFonts w:asciiTheme="minorHAnsi" w:eastAsiaTheme="minorHAnsi" w:hAnsiTheme="minorHAnsi"/>
          <w:color w:val="auto"/>
          <w:szCs w:val="24"/>
        </w:rPr>
        <w:t xml:space="preserve">and therefore separate ratings should be applied for </w:t>
      </w:r>
      <w:r w:rsidR="00B10EAF" w:rsidRPr="00DA0070">
        <w:rPr>
          <w:rFonts w:asciiTheme="minorHAnsi" w:eastAsiaTheme="minorHAnsi" w:hAnsiTheme="minorHAnsi"/>
          <w:color w:val="auto"/>
          <w:szCs w:val="24"/>
        </w:rPr>
        <w:t>both</w:t>
      </w:r>
      <w:r w:rsidR="004B0804" w:rsidRPr="00DA0070">
        <w:rPr>
          <w:rFonts w:asciiTheme="minorHAnsi" w:eastAsiaTheme="minorHAnsi" w:hAnsiTheme="minorHAnsi"/>
          <w:color w:val="auto"/>
          <w:szCs w:val="24"/>
        </w:rPr>
        <w:t xml:space="preserve"> at the time of entry onto the TDRL.</w:t>
      </w:r>
      <w:r w:rsidR="00741515" w:rsidRPr="00DA0070">
        <w:rPr>
          <w:rFonts w:asciiTheme="minorHAnsi" w:eastAsiaTheme="minorHAnsi" w:hAnsiTheme="minorHAnsi"/>
          <w:color w:val="auto"/>
          <w:szCs w:val="24"/>
        </w:rPr>
        <w:t xml:space="preserve"> </w:t>
      </w:r>
      <w:r w:rsidR="000F2EE5">
        <w:rPr>
          <w:rFonts w:asciiTheme="minorHAnsi" w:eastAsiaTheme="minorHAnsi" w:hAnsiTheme="minorHAnsi"/>
          <w:color w:val="auto"/>
          <w:szCs w:val="24"/>
        </w:rPr>
        <w:t xml:space="preserve"> </w:t>
      </w:r>
      <w:r w:rsidR="008F6526" w:rsidRPr="00DA0070">
        <w:rPr>
          <w:rFonts w:asciiTheme="minorHAnsi" w:eastAsiaTheme="minorHAnsi" w:hAnsiTheme="minorHAnsi"/>
          <w:color w:val="auto"/>
          <w:szCs w:val="24"/>
        </w:rPr>
        <w:t xml:space="preserve">The instability as documented on the orthopedic examination in </w:t>
      </w:r>
      <w:r w:rsidR="0002387C" w:rsidRPr="00DA0070">
        <w:rPr>
          <w:rFonts w:asciiTheme="minorHAnsi" w:eastAsiaTheme="minorHAnsi" w:hAnsiTheme="minorHAnsi"/>
          <w:color w:val="auto"/>
          <w:szCs w:val="24"/>
        </w:rPr>
        <w:t>December</w:t>
      </w:r>
      <w:r w:rsidR="008F6526" w:rsidRPr="00DA0070">
        <w:rPr>
          <w:rFonts w:asciiTheme="minorHAnsi" w:eastAsiaTheme="minorHAnsi" w:hAnsiTheme="minorHAnsi"/>
          <w:color w:val="auto"/>
          <w:szCs w:val="24"/>
        </w:rPr>
        <w:t xml:space="preserve"> 2003 </w:t>
      </w:r>
      <w:r w:rsidR="00B10EAF" w:rsidRPr="00DA0070">
        <w:rPr>
          <w:rFonts w:asciiTheme="minorHAnsi" w:eastAsiaTheme="minorHAnsi" w:hAnsiTheme="minorHAnsi"/>
          <w:color w:val="auto"/>
          <w:szCs w:val="24"/>
        </w:rPr>
        <w:t>was recognized by the</w:t>
      </w:r>
      <w:r w:rsidR="008F6526" w:rsidRPr="00DA0070">
        <w:rPr>
          <w:rFonts w:asciiTheme="minorHAnsi" w:eastAsiaTheme="minorHAnsi" w:hAnsiTheme="minorHAnsi"/>
          <w:color w:val="auto"/>
          <w:szCs w:val="24"/>
        </w:rPr>
        <w:t xml:space="preserve"> PEB </w:t>
      </w:r>
      <w:r w:rsidR="00B10EAF" w:rsidRPr="00DA0070">
        <w:rPr>
          <w:rFonts w:asciiTheme="minorHAnsi" w:eastAsiaTheme="minorHAnsi" w:hAnsiTheme="minorHAnsi"/>
          <w:color w:val="auto"/>
          <w:szCs w:val="24"/>
        </w:rPr>
        <w:t xml:space="preserve">as severe and </w:t>
      </w:r>
      <w:r w:rsidR="008F6526" w:rsidRPr="00DA0070">
        <w:rPr>
          <w:rFonts w:asciiTheme="minorHAnsi" w:eastAsiaTheme="minorHAnsi" w:hAnsiTheme="minorHAnsi"/>
          <w:color w:val="auto"/>
          <w:szCs w:val="24"/>
        </w:rPr>
        <w:t>a 30% rating</w:t>
      </w:r>
      <w:r w:rsidR="00B10EAF" w:rsidRPr="00DA0070">
        <w:rPr>
          <w:rFonts w:asciiTheme="minorHAnsi" w:eastAsiaTheme="minorHAnsi" w:hAnsiTheme="minorHAnsi"/>
          <w:color w:val="auto"/>
          <w:szCs w:val="24"/>
        </w:rPr>
        <w:t xml:space="preserve"> was applied</w:t>
      </w:r>
      <w:r w:rsidR="008F6526" w:rsidRPr="00DA0070">
        <w:rPr>
          <w:rFonts w:asciiTheme="minorHAnsi" w:eastAsiaTheme="minorHAnsi" w:hAnsiTheme="minorHAnsi"/>
          <w:color w:val="auto"/>
          <w:szCs w:val="24"/>
        </w:rPr>
        <w:t xml:space="preserve">. </w:t>
      </w:r>
      <w:r w:rsidR="000F2EE5">
        <w:rPr>
          <w:rFonts w:asciiTheme="minorHAnsi" w:eastAsiaTheme="minorHAnsi" w:hAnsiTheme="minorHAnsi"/>
          <w:color w:val="auto"/>
          <w:szCs w:val="24"/>
        </w:rPr>
        <w:t xml:space="preserve"> </w:t>
      </w:r>
      <w:r w:rsidR="008F6526" w:rsidRPr="00DA0070">
        <w:rPr>
          <w:rFonts w:asciiTheme="minorHAnsi" w:eastAsiaTheme="minorHAnsi" w:hAnsiTheme="minorHAnsi"/>
          <w:color w:val="auto"/>
          <w:szCs w:val="24"/>
        </w:rPr>
        <w:t>The pain-limited flexion d</w:t>
      </w:r>
      <w:r w:rsidR="00B10EAF" w:rsidRPr="00DA0070">
        <w:rPr>
          <w:rFonts w:asciiTheme="minorHAnsi" w:eastAsiaTheme="minorHAnsi" w:hAnsiTheme="minorHAnsi"/>
          <w:color w:val="auto"/>
          <w:szCs w:val="24"/>
        </w:rPr>
        <w:t>id</w:t>
      </w:r>
      <w:r w:rsidR="008F6526" w:rsidRPr="00DA0070">
        <w:rPr>
          <w:rFonts w:asciiTheme="minorHAnsi" w:eastAsiaTheme="minorHAnsi" w:hAnsiTheme="minorHAnsi"/>
          <w:color w:val="auto"/>
          <w:szCs w:val="24"/>
        </w:rPr>
        <w:t xml:space="preserve"> not meet the criteria for the minimal compensable level and therefore </w:t>
      </w:r>
      <w:r w:rsidR="0002387C" w:rsidRPr="00DA0070">
        <w:rPr>
          <w:rFonts w:asciiTheme="minorHAnsi" w:eastAsiaTheme="minorHAnsi" w:hAnsiTheme="minorHAnsi"/>
          <w:color w:val="auto"/>
          <w:szCs w:val="24"/>
        </w:rPr>
        <w:t>should</w:t>
      </w:r>
      <w:r w:rsidR="00B10EAF" w:rsidRPr="00DA0070">
        <w:rPr>
          <w:rFonts w:asciiTheme="minorHAnsi" w:eastAsiaTheme="minorHAnsi" w:hAnsiTheme="minorHAnsi"/>
          <w:color w:val="auto"/>
          <w:szCs w:val="24"/>
        </w:rPr>
        <w:t xml:space="preserve"> be rated at 10%</w:t>
      </w:r>
      <w:r w:rsidR="008F6526" w:rsidRPr="00DA0070">
        <w:rPr>
          <w:rFonts w:asciiTheme="minorHAnsi" w:eastAsiaTheme="minorHAnsi" w:hAnsiTheme="minorHAnsi"/>
          <w:color w:val="auto"/>
          <w:szCs w:val="24"/>
        </w:rPr>
        <w:t>, the minimal compensable level.</w:t>
      </w:r>
      <w:r w:rsidR="00B10EAF" w:rsidRPr="00DA0070">
        <w:rPr>
          <w:rFonts w:asciiTheme="minorHAnsi" w:eastAsiaTheme="minorHAnsi" w:hAnsiTheme="minorHAnsi"/>
          <w:color w:val="auto"/>
          <w:szCs w:val="24"/>
        </w:rPr>
        <w:t xml:space="preserve"> Pain-limited extension was present on the </w:t>
      </w:r>
      <w:r w:rsidR="00636C70" w:rsidRPr="00DA0070">
        <w:rPr>
          <w:rFonts w:asciiTheme="minorHAnsi" w:eastAsiaTheme="minorHAnsi" w:hAnsiTheme="minorHAnsi"/>
          <w:color w:val="auto"/>
          <w:szCs w:val="24"/>
        </w:rPr>
        <w:t>orthopedic</w:t>
      </w:r>
      <w:r w:rsidR="00B10EAF" w:rsidRPr="00DA0070">
        <w:rPr>
          <w:rFonts w:asciiTheme="minorHAnsi" w:eastAsiaTheme="minorHAnsi" w:hAnsiTheme="minorHAnsi"/>
          <w:color w:val="auto"/>
          <w:szCs w:val="24"/>
        </w:rPr>
        <w:t xml:space="preserve"> clinic </w:t>
      </w:r>
      <w:r w:rsidR="00636C70" w:rsidRPr="00DA0070">
        <w:rPr>
          <w:rFonts w:asciiTheme="minorHAnsi" w:eastAsiaTheme="minorHAnsi" w:hAnsiTheme="minorHAnsi"/>
          <w:color w:val="auto"/>
          <w:szCs w:val="24"/>
        </w:rPr>
        <w:t xml:space="preserve">examination </w:t>
      </w:r>
      <w:r w:rsidR="004D3420">
        <w:rPr>
          <w:rFonts w:asciiTheme="minorHAnsi" w:eastAsiaTheme="minorHAnsi" w:hAnsiTheme="minorHAnsi"/>
          <w:color w:val="auto"/>
          <w:szCs w:val="24"/>
        </w:rPr>
        <w:t>3</w:t>
      </w:r>
      <w:r w:rsidR="00B10EAF" w:rsidRPr="00DA0070">
        <w:rPr>
          <w:rFonts w:asciiTheme="minorHAnsi" w:eastAsiaTheme="minorHAnsi" w:hAnsiTheme="minorHAnsi"/>
          <w:color w:val="auto"/>
          <w:szCs w:val="24"/>
        </w:rPr>
        <w:t xml:space="preserve"> months prior to TDRL entry but was not present on the VA C&amp;P examination performed </w:t>
      </w:r>
      <w:r w:rsidR="00D869D5">
        <w:rPr>
          <w:rFonts w:asciiTheme="minorHAnsi" w:eastAsiaTheme="minorHAnsi" w:hAnsiTheme="minorHAnsi"/>
          <w:color w:val="auto"/>
          <w:szCs w:val="24"/>
        </w:rPr>
        <w:t>3</w:t>
      </w:r>
      <w:r w:rsidR="00B10EAF" w:rsidRPr="00DA0070">
        <w:rPr>
          <w:rFonts w:asciiTheme="minorHAnsi" w:eastAsiaTheme="minorHAnsi" w:hAnsiTheme="minorHAnsi"/>
          <w:color w:val="auto"/>
          <w:szCs w:val="24"/>
        </w:rPr>
        <w:t xml:space="preserve"> months after TDRL entry. </w:t>
      </w:r>
      <w:r w:rsidR="00D869D5">
        <w:rPr>
          <w:rFonts w:asciiTheme="minorHAnsi" w:eastAsiaTheme="minorHAnsi" w:hAnsiTheme="minorHAnsi"/>
          <w:color w:val="auto"/>
          <w:szCs w:val="24"/>
        </w:rPr>
        <w:t xml:space="preserve"> </w:t>
      </w:r>
      <w:r w:rsidR="00B10EAF" w:rsidRPr="00DA0070">
        <w:rPr>
          <w:rFonts w:asciiTheme="minorHAnsi" w:eastAsiaTheme="minorHAnsi" w:hAnsiTheme="minorHAnsi"/>
          <w:color w:val="auto"/>
          <w:szCs w:val="24"/>
        </w:rPr>
        <w:t xml:space="preserve">Both examinations are complete and have equal probative value. </w:t>
      </w:r>
      <w:r w:rsidR="00D869D5">
        <w:rPr>
          <w:rFonts w:asciiTheme="minorHAnsi" w:eastAsiaTheme="minorHAnsi" w:hAnsiTheme="minorHAnsi"/>
          <w:color w:val="auto"/>
          <w:szCs w:val="24"/>
        </w:rPr>
        <w:t xml:space="preserve"> </w:t>
      </w:r>
      <w:r w:rsidR="00B10EAF" w:rsidRPr="00DA0070">
        <w:rPr>
          <w:rFonts w:asciiTheme="minorHAnsi" w:eastAsiaTheme="minorHAnsi" w:hAnsiTheme="minorHAnsi"/>
          <w:color w:val="auto"/>
          <w:szCs w:val="24"/>
        </w:rPr>
        <w:t xml:space="preserve">After discussion, the Board determined that, more likely than not, there was no pain-limited extension of the knee at the time of TDRL entry. </w:t>
      </w:r>
      <w:r w:rsidR="00D869D5">
        <w:rPr>
          <w:rFonts w:asciiTheme="minorHAnsi" w:eastAsiaTheme="minorHAnsi" w:hAnsiTheme="minorHAnsi"/>
          <w:color w:val="auto"/>
          <w:szCs w:val="24"/>
        </w:rPr>
        <w:t xml:space="preserve"> </w:t>
      </w:r>
    </w:p>
    <w:p w:rsidR="00F92933" w:rsidRPr="00DA0070" w:rsidRDefault="00F92933" w:rsidP="006E42C7">
      <w:pPr>
        <w:jc w:val="both"/>
        <w:rPr>
          <w:rFonts w:asciiTheme="minorHAnsi" w:eastAsiaTheme="minorHAnsi" w:hAnsiTheme="minorHAnsi"/>
          <w:color w:val="auto"/>
          <w:szCs w:val="24"/>
        </w:rPr>
      </w:pPr>
    </w:p>
    <w:p w:rsidR="00DA0070" w:rsidRPr="00DA0070" w:rsidRDefault="00DA0070" w:rsidP="006E42C7">
      <w:pPr>
        <w:contextualSpacing/>
        <w:jc w:val="both"/>
        <w:rPr>
          <w:rFonts w:asciiTheme="minorHAnsi" w:eastAsiaTheme="minorHAnsi" w:hAnsiTheme="minorHAnsi"/>
          <w:color w:val="auto"/>
          <w:szCs w:val="24"/>
        </w:rPr>
      </w:pPr>
      <w:r w:rsidRPr="00DA0070">
        <w:rPr>
          <w:rFonts w:asciiTheme="minorHAnsi" w:hAnsiTheme="minorHAnsi"/>
          <w:color w:val="auto"/>
          <w:szCs w:val="24"/>
        </w:rPr>
        <w:t xml:space="preserve">The second PEB in December 2005 coded the </w:t>
      </w:r>
      <w:r w:rsidR="00D869D5">
        <w:rPr>
          <w:color w:val="auto"/>
          <w:szCs w:val="24"/>
        </w:rPr>
        <w:t>p</w:t>
      </w:r>
      <w:r w:rsidRPr="00DA0070">
        <w:rPr>
          <w:color w:val="auto"/>
          <w:szCs w:val="24"/>
        </w:rPr>
        <w:t xml:space="preserve">ain and </w:t>
      </w:r>
      <w:r w:rsidR="00D869D5">
        <w:rPr>
          <w:color w:val="auto"/>
          <w:szCs w:val="24"/>
        </w:rPr>
        <w:t>l</w:t>
      </w:r>
      <w:r w:rsidRPr="00DA0070">
        <w:rPr>
          <w:color w:val="auto"/>
          <w:szCs w:val="24"/>
        </w:rPr>
        <w:t xml:space="preserve">imited </w:t>
      </w:r>
      <w:r w:rsidR="00D869D5">
        <w:rPr>
          <w:color w:val="auto"/>
          <w:szCs w:val="24"/>
        </w:rPr>
        <w:t>m</w:t>
      </w:r>
      <w:r w:rsidRPr="00DA0070">
        <w:rPr>
          <w:color w:val="auto"/>
          <w:szCs w:val="24"/>
        </w:rPr>
        <w:t xml:space="preserve">otion of </w:t>
      </w:r>
      <w:r w:rsidR="00D869D5">
        <w:rPr>
          <w:color w:val="auto"/>
          <w:szCs w:val="24"/>
        </w:rPr>
        <w:t>l</w:t>
      </w:r>
      <w:r w:rsidRPr="00DA0070">
        <w:rPr>
          <w:color w:val="auto"/>
          <w:szCs w:val="24"/>
        </w:rPr>
        <w:t xml:space="preserve">eft </w:t>
      </w:r>
      <w:r w:rsidR="00D869D5">
        <w:rPr>
          <w:color w:val="auto"/>
          <w:szCs w:val="24"/>
        </w:rPr>
        <w:t>k</w:t>
      </w:r>
      <w:r w:rsidRPr="00DA0070">
        <w:rPr>
          <w:color w:val="auto"/>
          <w:szCs w:val="24"/>
        </w:rPr>
        <w:t xml:space="preserve">nee condition as 5003 </w:t>
      </w:r>
      <w:r w:rsidR="00D869D5">
        <w:rPr>
          <w:rFonts w:asciiTheme="minorHAnsi" w:hAnsiTheme="minorHAnsi"/>
          <w:color w:val="auto"/>
          <w:szCs w:val="24"/>
        </w:rPr>
        <w:t>a</w:t>
      </w:r>
      <w:r w:rsidRPr="00DA0070">
        <w:rPr>
          <w:rFonts w:asciiTheme="minorHAnsi" w:hAnsiTheme="minorHAnsi"/>
          <w:color w:val="auto"/>
          <w:szCs w:val="24"/>
        </w:rPr>
        <w:t>rthritis, degenerative (hypertro</w:t>
      </w:r>
      <w:r w:rsidR="006E42C7">
        <w:rPr>
          <w:rFonts w:asciiTheme="minorHAnsi" w:hAnsiTheme="minorHAnsi"/>
          <w:color w:val="auto"/>
          <w:szCs w:val="24"/>
        </w:rPr>
        <w:t>phic or osteoarthritis)</w:t>
      </w:r>
      <w:r w:rsidRPr="00DA0070">
        <w:rPr>
          <w:rFonts w:asciiTheme="minorHAnsi" w:hAnsiTheme="minorHAnsi"/>
          <w:color w:val="auto"/>
          <w:szCs w:val="24"/>
        </w:rPr>
        <w:t xml:space="preserve"> rated at 10% for painful motion.  </w:t>
      </w:r>
      <w:r w:rsidRPr="00DA0070">
        <w:rPr>
          <w:rFonts w:asciiTheme="minorHAnsi" w:eastAsiaTheme="minorHAnsi" w:hAnsiTheme="minorHAnsi"/>
          <w:color w:val="auto"/>
          <w:szCs w:val="24"/>
        </w:rPr>
        <w:t xml:space="preserve">It is not clear if this PEB utilized the civilian orthopedic examination from October 2004 in making its determination for final separation or some other examination that is not present in the record. </w:t>
      </w:r>
      <w:r w:rsidR="00D869D5">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 xml:space="preserve">This orthopedic examination clearly shows continued knee instability due to ACL insufficiency. </w:t>
      </w:r>
      <w:r w:rsidR="00D869D5">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 xml:space="preserve">However, the PEB determined the knee was “described as stable” and rated only for pain and limited motion of the left knee. It changed the VASRD code to 5003 to reflect this. </w:t>
      </w:r>
    </w:p>
    <w:p w:rsidR="00DA0070" w:rsidRPr="00DA0070" w:rsidRDefault="00DA0070" w:rsidP="006E42C7">
      <w:pPr>
        <w:jc w:val="both"/>
        <w:rPr>
          <w:rFonts w:asciiTheme="minorHAnsi" w:eastAsiaTheme="minorHAnsi" w:hAnsiTheme="minorHAnsi"/>
          <w:color w:val="auto"/>
          <w:szCs w:val="24"/>
        </w:rPr>
      </w:pPr>
    </w:p>
    <w:p w:rsidR="00B10EAF" w:rsidRPr="00DA0070" w:rsidRDefault="008F6526" w:rsidP="006E42C7">
      <w:pPr>
        <w:jc w:val="both"/>
        <w:rPr>
          <w:rFonts w:asciiTheme="minorHAnsi" w:eastAsiaTheme="minorHAnsi" w:hAnsiTheme="minorHAnsi"/>
          <w:color w:val="auto"/>
          <w:szCs w:val="24"/>
        </w:rPr>
      </w:pPr>
      <w:r w:rsidRPr="00DA0070">
        <w:rPr>
          <w:rFonts w:asciiTheme="minorHAnsi" w:eastAsiaTheme="minorHAnsi" w:hAnsiTheme="minorHAnsi"/>
          <w:color w:val="auto"/>
          <w:szCs w:val="24"/>
        </w:rPr>
        <w:t xml:space="preserve">The examination most proximate to the date of permanent separation from the TDRL in </w:t>
      </w:r>
      <w:r w:rsidR="00DA0070" w:rsidRPr="00DA0070">
        <w:rPr>
          <w:rFonts w:asciiTheme="minorHAnsi" w:eastAsiaTheme="minorHAnsi" w:hAnsiTheme="minorHAnsi"/>
          <w:color w:val="auto"/>
          <w:szCs w:val="24"/>
        </w:rPr>
        <w:t>February 2006</w:t>
      </w:r>
      <w:r w:rsidRPr="00DA0070">
        <w:rPr>
          <w:rFonts w:asciiTheme="minorHAnsi" w:eastAsiaTheme="minorHAnsi" w:hAnsiTheme="minorHAnsi"/>
          <w:color w:val="auto"/>
          <w:szCs w:val="24"/>
        </w:rPr>
        <w:t xml:space="preserve"> is the civilian or</w:t>
      </w:r>
      <w:r w:rsidR="00D9162C" w:rsidRPr="00DA0070">
        <w:rPr>
          <w:rFonts w:asciiTheme="minorHAnsi" w:eastAsiaTheme="minorHAnsi" w:hAnsiTheme="minorHAnsi"/>
          <w:color w:val="auto"/>
          <w:szCs w:val="24"/>
        </w:rPr>
        <w:t>th</w:t>
      </w:r>
      <w:r w:rsidRPr="00DA0070">
        <w:rPr>
          <w:rFonts w:asciiTheme="minorHAnsi" w:eastAsiaTheme="minorHAnsi" w:hAnsiTheme="minorHAnsi"/>
          <w:color w:val="auto"/>
          <w:szCs w:val="24"/>
        </w:rPr>
        <w:t xml:space="preserve">opedic examination done </w:t>
      </w:r>
      <w:r w:rsidR="00AD7A7D">
        <w:rPr>
          <w:rFonts w:asciiTheme="minorHAnsi" w:eastAsiaTheme="minorHAnsi" w:hAnsiTheme="minorHAnsi"/>
          <w:color w:val="auto"/>
          <w:szCs w:val="24"/>
        </w:rPr>
        <w:t>15</w:t>
      </w:r>
      <w:r w:rsidRPr="00DA0070">
        <w:rPr>
          <w:rFonts w:asciiTheme="minorHAnsi" w:eastAsiaTheme="minorHAnsi" w:hAnsiTheme="minorHAnsi"/>
          <w:color w:val="auto"/>
          <w:szCs w:val="24"/>
        </w:rPr>
        <w:t xml:space="preserve"> months prior</w:t>
      </w:r>
      <w:r w:rsidR="00DA0070" w:rsidRPr="00DA0070">
        <w:rPr>
          <w:rFonts w:asciiTheme="minorHAnsi" w:eastAsiaTheme="minorHAnsi" w:hAnsiTheme="minorHAnsi"/>
          <w:color w:val="auto"/>
          <w:szCs w:val="24"/>
        </w:rPr>
        <w:t xml:space="preserve"> in October 2004</w:t>
      </w:r>
      <w:r w:rsidRPr="00DA0070">
        <w:rPr>
          <w:rFonts w:asciiTheme="minorHAnsi" w:eastAsiaTheme="minorHAnsi" w:hAnsiTheme="minorHAnsi"/>
          <w:color w:val="auto"/>
          <w:szCs w:val="24"/>
        </w:rPr>
        <w:t xml:space="preserve">. </w:t>
      </w:r>
      <w:r w:rsidR="00AD7A7D">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 xml:space="preserve">It is not clear why a TDRL evaluation was not completed at a date more </w:t>
      </w:r>
      <w:r w:rsidR="0002387C" w:rsidRPr="00DA0070">
        <w:rPr>
          <w:rFonts w:asciiTheme="minorHAnsi" w:eastAsiaTheme="minorHAnsi" w:hAnsiTheme="minorHAnsi"/>
          <w:color w:val="auto"/>
          <w:szCs w:val="24"/>
        </w:rPr>
        <w:t>proximate</w:t>
      </w:r>
      <w:r w:rsidRPr="00DA0070">
        <w:rPr>
          <w:rFonts w:asciiTheme="minorHAnsi" w:eastAsiaTheme="minorHAnsi" w:hAnsiTheme="minorHAnsi"/>
          <w:color w:val="auto"/>
          <w:szCs w:val="24"/>
        </w:rPr>
        <w:t xml:space="preserve"> </w:t>
      </w:r>
      <w:r w:rsidR="0002387C" w:rsidRPr="00DA0070">
        <w:rPr>
          <w:rFonts w:asciiTheme="minorHAnsi" w:eastAsiaTheme="minorHAnsi" w:hAnsiTheme="minorHAnsi"/>
          <w:color w:val="auto"/>
          <w:szCs w:val="24"/>
        </w:rPr>
        <w:t>to</w:t>
      </w:r>
      <w:r w:rsidRPr="00DA0070">
        <w:rPr>
          <w:rFonts w:asciiTheme="minorHAnsi" w:eastAsiaTheme="minorHAnsi" w:hAnsiTheme="minorHAnsi"/>
          <w:color w:val="auto"/>
          <w:szCs w:val="24"/>
        </w:rPr>
        <w:t xml:space="preserve"> separation. The Board therefore places more probative value on this examination</w:t>
      </w:r>
      <w:r w:rsidR="00404DFB" w:rsidRPr="00DA0070">
        <w:rPr>
          <w:rFonts w:asciiTheme="minorHAnsi" w:eastAsiaTheme="minorHAnsi" w:hAnsiTheme="minorHAnsi"/>
          <w:color w:val="auto"/>
          <w:szCs w:val="24"/>
        </w:rPr>
        <w:t xml:space="preserve"> in its determinati</w:t>
      </w:r>
      <w:r w:rsidRPr="00DA0070">
        <w:rPr>
          <w:rFonts w:asciiTheme="minorHAnsi" w:eastAsiaTheme="minorHAnsi" w:hAnsiTheme="minorHAnsi"/>
          <w:color w:val="auto"/>
          <w:szCs w:val="24"/>
        </w:rPr>
        <w:t xml:space="preserve">on of </w:t>
      </w:r>
      <w:r w:rsidRPr="00DA0070">
        <w:rPr>
          <w:rFonts w:asciiTheme="minorHAnsi" w:eastAsiaTheme="minorHAnsi" w:hAnsiTheme="minorHAnsi"/>
          <w:color w:val="auto"/>
          <w:szCs w:val="24"/>
        </w:rPr>
        <w:lastRenderedPageBreak/>
        <w:t xml:space="preserve">the final separation rating. </w:t>
      </w:r>
      <w:r w:rsidR="00AD7A7D">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 xml:space="preserve">The diagnoses of moderate to severe osteoarthritis of the medial compartment, mild to moderate arthritis of the </w:t>
      </w:r>
      <w:proofErr w:type="spellStart"/>
      <w:r w:rsidRPr="00DA0070">
        <w:rPr>
          <w:rFonts w:asciiTheme="minorHAnsi" w:eastAsiaTheme="minorHAnsi" w:hAnsiTheme="minorHAnsi"/>
          <w:color w:val="auto"/>
          <w:szCs w:val="24"/>
        </w:rPr>
        <w:t>patellofemoral</w:t>
      </w:r>
      <w:proofErr w:type="spellEnd"/>
      <w:r w:rsidRPr="00DA0070">
        <w:rPr>
          <w:rFonts w:asciiTheme="minorHAnsi" w:eastAsiaTheme="minorHAnsi" w:hAnsiTheme="minorHAnsi"/>
          <w:color w:val="auto"/>
          <w:szCs w:val="24"/>
        </w:rPr>
        <w:t xml:space="preserve"> compartment, and ACL insufficiency are noted. </w:t>
      </w:r>
      <w:r w:rsidR="00AD7A7D">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 xml:space="preserve">This examination only contains passive ROM </w:t>
      </w:r>
      <w:r w:rsidR="0002387C" w:rsidRPr="00DA0070">
        <w:rPr>
          <w:rFonts w:asciiTheme="minorHAnsi" w:eastAsiaTheme="minorHAnsi" w:hAnsiTheme="minorHAnsi"/>
          <w:color w:val="auto"/>
          <w:szCs w:val="24"/>
        </w:rPr>
        <w:t>evaluations</w:t>
      </w:r>
      <w:r w:rsidRPr="00DA0070">
        <w:rPr>
          <w:rFonts w:asciiTheme="minorHAnsi" w:eastAsiaTheme="minorHAnsi" w:hAnsiTheme="minorHAnsi"/>
          <w:color w:val="auto"/>
          <w:szCs w:val="24"/>
        </w:rPr>
        <w:t xml:space="preserve"> but pain-limited flexion is </w:t>
      </w:r>
      <w:r w:rsidR="008A612C" w:rsidRPr="00DA0070">
        <w:rPr>
          <w:rFonts w:asciiTheme="minorHAnsi" w:eastAsiaTheme="minorHAnsi" w:hAnsiTheme="minorHAnsi"/>
          <w:color w:val="auto"/>
          <w:szCs w:val="24"/>
        </w:rPr>
        <w:t>clearly documented</w:t>
      </w:r>
      <w:r w:rsidRPr="00DA0070">
        <w:rPr>
          <w:rFonts w:asciiTheme="minorHAnsi" w:eastAsiaTheme="minorHAnsi" w:hAnsiTheme="minorHAnsi"/>
          <w:color w:val="auto"/>
          <w:szCs w:val="24"/>
        </w:rPr>
        <w:t xml:space="preserve">. </w:t>
      </w:r>
      <w:r w:rsidR="00AD7A7D">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Pain-</w:t>
      </w:r>
      <w:r w:rsidR="0002387C" w:rsidRPr="00DA0070">
        <w:rPr>
          <w:rFonts w:asciiTheme="minorHAnsi" w:eastAsiaTheme="minorHAnsi" w:hAnsiTheme="minorHAnsi"/>
          <w:color w:val="auto"/>
          <w:szCs w:val="24"/>
        </w:rPr>
        <w:t>limited</w:t>
      </w:r>
      <w:r w:rsidRPr="00DA0070">
        <w:rPr>
          <w:rFonts w:asciiTheme="minorHAnsi" w:eastAsiaTheme="minorHAnsi" w:hAnsiTheme="minorHAnsi"/>
          <w:color w:val="auto"/>
          <w:szCs w:val="24"/>
        </w:rPr>
        <w:t xml:space="preserve"> extension of the knee as measured with active ROM </w:t>
      </w:r>
      <w:r w:rsidR="00CA18F8" w:rsidRPr="00DA0070">
        <w:rPr>
          <w:rFonts w:asciiTheme="minorHAnsi" w:eastAsiaTheme="minorHAnsi" w:hAnsiTheme="minorHAnsi"/>
          <w:color w:val="auto"/>
          <w:szCs w:val="24"/>
        </w:rPr>
        <w:t>may</w:t>
      </w:r>
      <w:r w:rsidRPr="00DA0070">
        <w:rPr>
          <w:rFonts w:asciiTheme="minorHAnsi" w:eastAsiaTheme="minorHAnsi" w:hAnsiTheme="minorHAnsi"/>
          <w:color w:val="auto"/>
          <w:szCs w:val="24"/>
        </w:rPr>
        <w:t xml:space="preserve"> also </w:t>
      </w:r>
      <w:r w:rsidR="00CA18F8" w:rsidRPr="00DA0070">
        <w:rPr>
          <w:rFonts w:asciiTheme="minorHAnsi" w:eastAsiaTheme="minorHAnsi" w:hAnsiTheme="minorHAnsi"/>
          <w:color w:val="auto"/>
          <w:szCs w:val="24"/>
        </w:rPr>
        <w:t xml:space="preserve">have </w:t>
      </w:r>
      <w:r w:rsidRPr="00DA0070">
        <w:rPr>
          <w:rFonts w:asciiTheme="minorHAnsi" w:eastAsiaTheme="minorHAnsi" w:hAnsiTheme="minorHAnsi"/>
          <w:color w:val="auto"/>
          <w:szCs w:val="24"/>
        </w:rPr>
        <w:t>be</w:t>
      </w:r>
      <w:r w:rsidR="00CA18F8" w:rsidRPr="00DA0070">
        <w:rPr>
          <w:rFonts w:asciiTheme="minorHAnsi" w:eastAsiaTheme="minorHAnsi" w:hAnsiTheme="minorHAnsi"/>
          <w:color w:val="auto"/>
          <w:szCs w:val="24"/>
        </w:rPr>
        <w:t>en</w:t>
      </w:r>
      <w:r w:rsidRPr="00DA0070">
        <w:rPr>
          <w:rFonts w:asciiTheme="minorHAnsi" w:eastAsiaTheme="minorHAnsi" w:hAnsiTheme="minorHAnsi"/>
          <w:color w:val="auto"/>
          <w:szCs w:val="24"/>
        </w:rPr>
        <w:t xml:space="preserve"> present but there is no </w:t>
      </w:r>
      <w:r w:rsidR="00DA0070" w:rsidRPr="00DA0070">
        <w:rPr>
          <w:rFonts w:asciiTheme="minorHAnsi" w:eastAsiaTheme="minorHAnsi" w:hAnsiTheme="minorHAnsi"/>
          <w:color w:val="auto"/>
          <w:szCs w:val="24"/>
        </w:rPr>
        <w:t xml:space="preserve">direct </w:t>
      </w:r>
      <w:r w:rsidRPr="00DA0070">
        <w:rPr>
          <w:rFonts w:asciiTheme="minorHAnsi" w:eastAsiaTheme="minorHAnsi" w:hAnsiTheme="minorHAnsi"/>
          <w:color w:val="auto"/>
          <w:szCs w:val="24"/>
        </w:rPr>
        <w:t xml:space="preserve">evidence to support this and to assume it </w:t>
      </w:r>
      <w:r w:rsidR="00DA0070" w:rsidRPr="00DA0070">
        <w:rPr>
          <w:rFonts w:asciiTheme="minorHAnsi" w:eastAsiaTheme="minorHAnsi" w:hAnsiTheme="minorHAnsi"/>
          <w:color w:val="auto"/>
          <w:szCs w:val="24"/>
        </w:rPr>
        <w:t>was present</w:t>
      </w:r>
      <w:r w:rsidRPr="00DA0070">
        <w:rPr>
          <w:rFonts w:asciiTheme="minorHAnsi" w:eastAsiaTheme="minorHAnsi" w:hAnsiTheme="minorHAnsi"/>
          <w:color w:val="auto"/>
          <w:szCs w:val="24"/>
        </w:rPr>
        <w:t xml:space="preserve"> would be mere speculation. </w:t>
      </w:r>
      <w:r w:rsidR="00AD7A7D">
        <w:rPr>
          <w:rFonts w:asciiTheme="minorHAnsi" w:eastAsiaTheme="minorHAnsi" w:hAnsiTheme="minorHAnsi"/>
          <w:color w:val="auto"/>
          <w:szCs w:val="24"/>
        </w:rPr>
        <w:t xml:space="preserve"> </w:t>
      </w:r>
      <w:r w:rsidRPr="00DA0070">
        <w:rPr>
          <w:rFonts w:asciiTheme="minorHAnsi" w:eastAsiaTheme="minorHAnsi" w:hAnsiTheme="minorHAnsi"/>
          <w:color w:val="auto"/>
          <w:szCs w:val="24"/>
        </w:rPr>
        <w:t>Despite the PEB’s determination that the left knee was stable</w:t>
      </w:r>
      <w:r w:rsidR="008A612C" w:rsidRPr="00DA0070">
        <w:rPr>
          <w:rFonts w:asciiTheme="minorHAnsi" w:eastAsiaTheme="minorHAnsi" w:hAnsiTheme="minorHAnsi"/>
          <w:color w:val="auto"/>
          <w:szCs w:val="24"/>
        </w:rPr>
        <w:t>, this</w:t>
      </w:r>
      <w:r w:rsidRPr="00DA0070">
        <w:rPr>
          <w:rFonts w:asciiTheme="minorHAnsi" w:eastAsiaTheme="minorHAnsi" w:hAnsiTheme="minorHAnsi"/>
          <w:color w:val="auto"/>
          <w:szCs w:val="24"/>
        </w:rPr>
        <w:t xml:space="preserve"> examin</w:t>
      </w:r>
      <w:r w:rsidR="008A612C" w:rsidRPr="00DA0070">
        <w:rPr>
          <w:rFonts w:asciiTheme="minorHAnsi" w:eastAsiaTheme="minorHAnsi" w:hAnsiTheme="minorHAnsi"/>
          <w:color w:val="auto"/>
          <w:szCs w:val="24"/>
        </w:rPr>
        <w:t>a</w:t>
      </w:r>
      <w:r w:rsidRPr="00DA0070">
        <w:rPr>
          <w:rFonts w:asciiTheme="minorHAnsi" w:eastAsiaTheme="minorHAnsi" w:hAnsiTheme="minorHAnsi"/>
          <w:color w:val="auto"/>
          <w:szCs w:val="24"/>
        </w:rPr>
        <w:t>tion</w:t>
      </w:r>
      <w:r w:rsidR="008A612C" w:rsidRPr="00DA0070">
        <w:rPr>
          <w:rFonts w:asciiTheme="minorHAnsi" w:eastAsiaTheme="minorHAnsi" w:hAnsiTheme="minorHAnsi"/>
          <w:color w:val="auto"/>
          <w:szCs w:val="24"/>
        </w:rPr>
        <w:t xml:space="preserve"> documents continued instability, albeit </w:t>
      </w:r>
      <w:r w:rsidR="00404DFB" w:rsidRPr="00DA0070">
        <w:rPr>
          <w:rFonts w:asciiTheme="minorHAnsi" w:eastAsiaTheme="minorHAnsi" w:hAnsiTheme="minorHAnsi"/>
          <w:color w:val="auto"/>
          <w:szCs w:val="24"/>
        </w:rPr>
        <w:t xml:space="preserve">possibly </w:t>
      </w:r>
      <w:r w:rsidR="008A612C" w:rsidRPr="00DA0070">
        <w:rPr>
          <w:rFonts w:asciiTheme="minorHAnsi" w:eastAsiaTheme="minorHAnsi" w:hAnsiTheme="minorHAnsi"/>
          <w:color w:val="auto"/>
          <w:szCs w:val="24"/>
        </w:rPr>
        <w:t>to a lesser degree tha</w:t>
      </w:r>
      <w:r w:rsidR="00CA18F8" w:rsidRPr="00DA0070">
        <w:rPr>
          <w:rFonts w:asciiTheme="minorHAnsi" w:eastAsiaTheme="minorHAnsi" w:hAnsiTheme="minorHAnsi"/>
          <w:color w:val="auto"/>
          <w:szCs w:val="24"/>
        </w:rPr>
        <w:t>n</w:t>
      </w:r>
      <w:r w:rsidR="008A612C" w:rsidRPr="00DA0070">
        <w:rPr>
          <w:rFonts w:asciiTheme="minorHAnsi" w:eastAsiaTheme="minorHAnsi" w:hAnsiTheme="minorHAnsi"/>
          <w:color w:val="auto"/>
          <w:szCs w:val="24"/>
        </w:rPr>
        <w:t xml:space="preserve"> the examination of December 2003. </w:t>
      </w:r>
      <w:r w:rsidR="00AD7A7D">
        <w:rPr>
          <w:rFonts w:asciiTheme="minorHAnsi" w:eastAsiaTheme="minorHAnsi" w:hAnsiTheme="minorHAnsi"/>
          <w:color w:val="auto"/>
          <w:szCs w:val="24"/>
        </w:rPr>
        <w:t xml:space="preserve"> </w:t>
      </w:r>
      <w:r w:rsidR="008A612C" w:rsidRPr="00DA0070">
        <w:rPr>
          <w:rFonts w:asciiTheme="minorHAnsi" w:eastAsiaTheme="minorHAnsi" w:hAnsiTheme="minorHAnsi"/>
          <w:color w:val="auto"/>
          <w:szCs w:val="24"/>
        </w:rPr>
        <w:t xml:space="preserve">The VA reviewed both of these examinations as well as </w:t>
      </w:r>
      <w:r w:rsidR="0002387C" w:rsidRPr="00DA0070">
        <w:rPr>
          <w:rFonts w:asciiTheme="minorHAnsi" w:eastAsiaTheme="minorHAnsi" w:hAnsiTheme="minorHAnsi"/>
          <w:color w:val="auto"/>
          <w:szCs w:val="24"/>
        </w:rPr>
        <w:t>its</w:t>
      </w:r>
      <w:r w:rsidR="008A612C" w:rsidRPr="00DA0070">
        <w:rPr>
          <w:rFonts w:asciiTheme="minorHAnsi" w:eastAsiaTheme="minorHAnsi" w:hAnsiTheme="minorHAnsi"/>
          <w:color w:val="auto"/>
          <w:szCs w:val="24"/>
        </w:rPr>
        <w:t xml:space="preserve"> own C&amp;P examination and de</w:t>
      </w:r>
      <w:r w:rsidR="006E42C7">
        <w:rPr>
          <w:rFonts w:asciiTheme="minorHAnsi" w:eastAsiaTheme="minorHAnsi" w:hAnsiTheme="minorHAnsi"/>
          <w:color w:val="auto"/>
          <w:szCs w:val="24"/>
        </w:rPr>
        <w:t>termined an overall 30% rating.</w:t>
      </w:r>
    </w:p>
    <w:p w:rsidR="00B10EAF" w:rsidRPr="00DA0070" w:rsidRDefault="00B10EAF" w:rsidP="006E42C7">
      <w:pPr>
        <w:jc w:val="both"/>
        <w:rPr>
          <w:rFonts w:asciiTheme="minorHAnsi" w:eastAsiaTheme="minorHAnsi" w:hAnsiTheme="minorHAnsi"/>
          <w:color w:val="auto"/>
          <w:szCs w:val="24"/>
        </w:rPr>
      </w:pPr>
    </w:p>
    <w:p w:rsidR="00741515" w:rsidRDefault="008A612C" w:rsidP="006E42C7">
      <w:pPr>
        <w:jc w:val="both"/>
        <w:rPr>
          <w:rFonts w:asciiTheme="minorHAnsi" w:eastAsiaTheme="minorHAnsi" w:hAnsiTheme="minorHAnsi"/>
          <w:color w:val="auto"/>
          <w:szCs w:val="24"/>
        </w:rPr>
      </w:pPr>
      <w:r w:rsidRPr="00DA0070">
        <w:rPr>
          <w:rFonts w:asciiTheme="minorHAnsi" w:eastAsiaTheme="minorHAnsi" w:hAnsiTheme="minorHAnsi"/>
          <w:color w:val="auto"/>
          <w:szCs w:val="24"/>
        </w:rPr>
        <w:t xml:space="preserve">The Board discussed at length whether the instability </w:t>
      </w:r>
      <w:r w:rsidR="002A0041">
        <w:rPr>
          <w:rFonts w:asciiTheme="minorHAnsi" w:eastAsiaTheme="minorHAnsi" w:hAnsiTheme="minorHAnsi"/>
          <w:color w:val="auto"/>
          <w:szCs w:val="24"/>
        </w:rPr>
        <w:t xml:space="preserve">at separation from the TDRL </w:t>
      </w:r>
      <w:r w:rsidRPr="00DA0070">
        <w:rPr>
          <w:rFonts w:asciiTheme="minorHAnsi" w:eastAsiaTheme="minorHAnsi" w:hAnsiTheme="minorHAnsi"/>
          <w:color w:val="auto"/>
          <w:szCs w:val="24"/>
        </w:rPr>
        <w:t xml:space="preserve">should be rated at </w:t>
      </w:r>
      <w:r w:rsidR="00404DFB" w:rsidRPr="00DA0070">
        <w:rPr>
          <w:rFonts w:asciiTheme="minorHAnsi" w:eastAsiaTheme="minorHAnsi" w:hAnsiTheme="minorHAnsi"/>
          <w:color w:val="auto"/>
          <w:szCs w:val="24"/>
        </w:rPr>
        <w:t xml:space="preserve">30% for severe, </w:t>
      </w:r>
      <w:r w:rsidRPr="00DA0070">
        <w:rPr>
          <w:rFonts w:asciiTheme="minorHAnsi" w:eastAsiaTheme="minorHAnsi" w:hAnsiTheme="minorHAnsi"/>
          <w:color w:val="auto"/>
          <w:szCs w:val="24"/>
        </w:rPr>
        <w:t>20% for moderate</w:t>
      </w:r>
      <w:r w:rsidR="00404DFB" w:rsidRPr="00DA0070">
        <w:rPr>
          <w:rFonts w:asciiTheme="minorHAnsi" w:eastAsiaTheme="minorHAnsi" w:hAnsiTheme="minorHAnsi"/>
          <w:color w:val="auto"/>
          <w:szCs w:val="24"/>
        </w:rPr>
        <w:t>,</w:t>
      </w:r>
      <w:r w:rsidRPr="00DA0070">
        <w:rPr>
          <w:rFonts w:asciiTheme="minorHAnsi" w:eastAsiaTheme="minorHAnsi" w:hAnsiTheme="minorHAnsi"/>
          <w:color w:val="auto"/>
          <w:szCs w:val="24"/>
        </w:rPr>
        <w:t xml:space="preserve"> or 10% for </w:t>
      </w:r>
      <w:r w:rsidR="00636C70" w:rsidRPr="00DA0070">
        <w:rPr>
          <w:rFonts w:asciiTheme="minorHAnsi" w:eastAsiaTheme="minorHAnsi" w:hAnsiTheme="minorHAnsi"/>
          <w:color w:val="auto"/>
          <w:szCs w:val="24"/>
        </w:rPr>
        <w:t xml:space="preserve">mild. </w:t>
      </w:r>
      <w:r w:rsidR="00AD7A7D">
        <w:rPr>
          <w:rFonts w:asciiTheme="minorHAnsi" w:eastAsiaTheme="minorHAnsi" w:hAnsiTheme="minorHAnsi"/>
          <w:color w:val="auto"/>
          <w:szCs w:val="24"/>
        </w:rPr>
        <w:t xml:space="preserve"> </w:t>
      </w:r>
      <w:r w:rsidR="00636C70" w:rsidRPr="00DA0070">
        <w:rPr>
          <w:rFonts w:asciiTheme="minorHAnsi" w:eastAsiaTheme="minorHAnsi" w:hAnsiTheme="minorHAnsi"/>
          <w:color w:val="auto"/>
          <w:szCs w:val="24"/>
        </w:rPr>
        <w:t>The</w:t>
      </w:r>
      <w:r w:rsidR="00A036E6" w:rsidRPr="00DA0070">
        <w:rPr>
          <w:rFonts w:asciiTheme="minorHAnsi" w:eastAsiaTheme="minorHAnsi" w:hAnsiTheme="minorHAnsi"/>
          <w:color w:val="auto"/>
          <w:szCs w:val="24"/>
        </w:rPr>
        <w:t xml:space="preserve"> Board noted that no de</w:t>
      </w:r>
      <w:r w:rsidR="00143664" w:rsidRPr="00DA0070">
        <w:rPr>
          <w:rFonts w:asciiTheme="minorHAnsi" w:eastAsiaTheme="minorHAnsi" w:hAnsiTheme="minorHAnsi"/>
          <w:color w:val="auto"/>
          <w:szCs w:val="24"/>
        </w:rPr>
        <w:t>f</w:t>
      </w:r>
      <w:r w:rsidR="00A036E6" w:rsidRPr="00DA0070">
        <w:rPr>
          <w:rFonts w:asciiTheme="minorHAnsi" w:eastAsiaTheme="minorHAnsi" w:hAnsiTheme="minorHAnsi"/>
          <w:color w:val="auto"/>
          <w:szCs w:val="24"/>
        </w:rPr>
        <w:t>init</w:t>
      </w:r>
      <w:r w:rsidR="00143664" w:rsidRPr="00DA0070">
        <w:rPr>
          <w:rFonts w:asciiTheme="minorHAnsi" w:eastAsiaTheme="minorHAnsi" w:hAnsiTheme="minorHAnsi"/>
          <w:color w:val="auto"/>
          <w:szCs w:val="24"/>
        </w:rPr>
        <w:t>ive</w:t>
      </w:r>
      <w:r w:rsidR="00A036E6" w:rsidRPr="00DA0070">
        <w:rPr>
          <w:rFonts w:asciiTheme="minorHAnsi" w:eastAsiaTheme="minorHAnsi" w:hAnsiTheme="minorHAnsi"/>
          <w:color w:val="auto"/>
          <w:szCs w:val="24"/>
        </w:rPr>
        <w:t xml:space="preserve"> treatment or surgery was provided during the TDRL period and it is not medically feasible for the ACL insufficiency to have repaired itself during this time period. </w:t>
      </w:r>
      <w:r w:rsidR="00AD7A7D">
        <w:rPr>
          <w:rFonts w:asciiTheme="minorHAnsi" w:eastAsiaTheme="minorHAnsi" w:hAnsiTheme="minorHAnsi"/>
          <w:color w:val="auto"/>
          <w:szCs w:val="24"/>
        </w:rPr>
        <w:t xml:space="preserve"> </w:t>
      </w:r>
      <w:r w:rsidR="00A036E6" w:rsidRPr="00DA0070">
        <w:rPr>
          <w:rFonts w:asciiTheme="minorHAnsi" w:eastAsiaTheme="minorHAnsi" w:hAnsiTheme="minorHAnsi"/>
          <w:color w:val="auto"/>
          <w:szCs w:val="24"/>
        </w:rPr>
        <w:t>Whi</w:t>
      </w:r>
      <w:r w:rsidR="00143664" w:rsidRPr="00DA0070">
        <w:rPr>
          <w:rFonts w:asciiTheme="minorHAnsi" w:eastAsiaTheme="minorHAnsi" w:hAnsiTheme="minorHAnsi"/>
          <w:color w:val="auto"/>
          <w:szCs w:val="24"/>
        </w:rPr>
        <w:t>le</w:t>
      </w:r>
      <w:r w:rsidR="00A036E6" w:rsidRPr="00DA0070">
        <w:rPr>
          <w:rFonts w:asciiTheme="minorHAnsi" w:eastAsiaTheme="minorHAnsi" w:hAnsiTheme="minorHAnsi"/>
          <w:color w:val="auto"/>
          <w:szCs w:val="24"/>
        </w:rPr>
        <w:t xml:space="preserve"> the examination prior to TDRL entry appears to document a more severe </w:t>
      </w:r>
      <w:r w:rsidR="00143664" w:rsidRPr="00DA0070">
        <w:rPr>
          <w:rFonts w:asciiTheme="minorHAnsi" w:eastAsiaTheme="minorHAnsi" w:hAnsiTheme="minorHAnsi"/>
          <w:color w:val="auto"/>
          <w:szCs w:val="24"/>
        </w:rPr>
        <w:t xml:space="preserve">level of </w:t>
      </w:r>
      <w:r w:rsidR="00A036E6" w:rsidRPr="00DA0070">
        <w:rPr>
          <w:rFonts w:asciiTheme="minorHAnsi" w:eastAsiaTheme="minorHAnsi" w:hAnsiTheme="minorHAnsi"/>
          <w:color w:val="auto"/>
          <w:szCs w:val="24"/>
        </w:rPr>
        <w:t xml:space="preserve">instability than the examination </w:t>
      </w:r>
      <w:r w:rsidR="00143664" w:rsidRPr="00DA0070">
        <w:rPr>
          <w:rFonts w:asciiTheme="minorHAnsi" w:eastAsiaTheme="minorHAnsi" w:hAnsiTheme="minorHAnsi"/>
          <w:color w:val="auto"/>
          <w:szCs w:val="24"/>
        </w:rPr>
        <w:t>of October 2004, the</w:t>
      </w:r>
      <w:r w:rsidR="00DA0070" w:rsidRPr="00DA0070">
        <w:rPr>
          <w:rFonts w:asciiTheme="minorHAnsi" w:eastAsiaTheme="minorHAnsi" w:hAnsiTheme="minorHAnsi"/>
          <w:color w:val="auto"/>
          <w:szCs w:val="24"/>
        </w:rPr>
        <w:t xml:space="preserve"> examinations</w:t>
      </w:r>
      <w:r w:rsidR="00143664" w:rsidRPr="00DA0070">
        <w:rPr>
          <w:rFonts w:asciiTheme="minorHAnsi" w:eastAsiaTheme="minorHAnsi" w:hAnsiTheme="minorHAnsi"/>
          <w:color w:val="auto"/>
          <w:szCs w:val="24"/>
        </w:rPr>
        <w:t xml:space="preserve"> were performed by different examiners and this could explain the seemingly different levels of instability. </w:t>
      </w:r>
      <w:r w:rsidR="00AD7A7D">
        <w:rPr>
          <w:rFonts w:asciiTheme="minorHAnsi" w:eastAsiaTheme="minorHAnsi" w:hAnsiTheme="minorHAnsi"/>
          <w:color w:val="auto"/>
          <w:szCs w:val="24"/>
        </w:rPr>
        <w:t xml:space="preserve"> </w:t>
      </w:r>
      <w:r w:rsidR="00143664" w:rsidRPr="00DA0070">
        <w:rPr>
          <w:rFonts w:asciiTheme="minorHAnsi" w:eastAsiaTheme="minorHAnsi" w:hAnsiTheme="minorHAnsi"/>
          <w:color w:val="auto"/>
          <w:szCs w:val="24"/>
        </w:rPr>
        <w:t xml:space="preserve">More likely than not, the level of instability was similar on these examinations and the level of instability is best described as moderate. </w:t>
      </w:r>
      <w:r w:rsidR="00AD7A7D">
        <w:rPr>
          <w:rFonts w:asciiTheme="minorHAnsi" w:eastAsiaTheme="minorHAnsi" w:hAnsiTheme="minorHAnsi"/>
          <w:color w:val="auto"/>
          <w:szCs w:val="24"/>
        </w:rPr>
        <w:t xml:space="preserve"> </w:t>
      </w:r>
      <w:r w:rsidR="00D9162C" w:rsidRPr="00DA0070">
        <w:rPr>
          <w:rFonts w:asciiTheme="minorHAnsi" w:eastAsiaTheme="minorHAnsi" w:hAnsiTheme="minorHAnsi"/>
          <w:color w:val="auto"/>
          <w:szCs w:val="24"/>
        </w:rPr>
        <w:t>After due deliberation, considering all of the evidence and mindful of VASRD §4.3 (reasonable doubt), the Board recommends</w:t>
      </w:r>
      <w:r w:rsidR="00D9162C" w:rsidRPr="00134C58">
        <w:rPr>
          <w:rFonts w:asciiTheme="minorHAnsi" w:eastAsiaTheme="minorHAnsi" w:hAnsiTheme="minorHAnsi"/>
          <w:color w:val="auto"/>
          <w:szCs w:val="24"/>
        </w:rPr>
        <w:t xml:space="preserve"> a final separation rating </w:t>
      </w:r>
      <w:r w:rsidR="00D9162C" w:rsidRPr="00A036E6">
        <w:rPr>
          <w:rFonts w:asciiTheme="minorHAnsi" w:eastAsiaTheme="minorHAnsi" w:hAnsiTheme="minorHAnsi"/>
          <w:color w:val="auto"/>
          <w:szCs w:val="24"/>
        </w:rPr>
        <w:t>of 20%</w:t>
      </w:r>
      <w:r w:rsidR="00A036E6" w:rsidRPr="00A036E6">
        <w:rPr>
          <w:rFonts w:asciiTheme="minorHAnsi" w:eastAsiaTheme="minorHAnsi" w:hAnsiTheme="minorHAnsi"/>
          <w:color w:val="auto"/>
          <w:szCs w:val="24"/>
        </w:rPr>
        <w:t xml:space="preserve"> </w:t>
      </w:r>
      <w:r w:rsidR="00D9162C" w:rsidRPr="00A036E6">
        <w:rPr>
          <w:rFonts w:asciiTheme="minorHAnsi" w:eastAsiaTheme="minorHAnsi" w:hAnsiTheme="minorHAnsi"/>
          <w:color w:val="auto"/>
          <w:szCs w:val="24"/>
        </w:rPr>
        <w:t>for</w:t>
      </w:r>
      <w:r w:rsidR="00D9162C" w:rsidRPr="00134C58">
        <w:rPr>
          <w:rFonts w:asciiTheme="minorHAnsi" w:eastAsiaTheme="minorHAnsi" w:hAnsiTheme="minorHAnsi"/>
          <w:color w:val="auto"/>
          <w:szCs w:val="24"/>
        </w:rPr>
        <w:t xml:space="preserve"> the instability and 10% for pain-limited flexion.</w:t>
      </w:r>
    </w:p>
    <w:p w:rsidR="005D1394" w:rsidRPr="00134C58" w:rsidRDefault="005D1394" w:rsidP="006E42C7">
      <w:pPr>
        <w:jc w:val="both"/>
        <w:rPr>
          <w:rFonts w:asciiTheme="minorHAnsi" w:eastAsiaTheme="minorHAnsi" w:hAnsiTheme="minorHAnsi"/>
          <w:color w:val="auto"/>
          <w:szCs w:val="24"/>
        </w:rPr>
      </w:pPr>
    </w:p>
    <w:p w:rsidR="00821268" w:rsidRPr="00134C58" w:rsidRDefault="008A612C" w:rsidP="006E42C7">
      <w:pPr>
        <w:jc w:val="both"/>
        <w:rPr>
          <w:rFonts w:asciiTheme="minorHAnsi" w:hAnsiTheme="minorHAnsi"/>
          <w:color w:val="auto"/>
          <w:szCs w:val="24"/>
        </w:rPr>
      </w:pPr>
      <w:proofErr w:type="gramStart"/>
      <w:r w:rsidRPr="00134C58">
        <w:rPr>
          <w:rFonts w:asciiTheme="minorHAnsi" w:hAnsiTheme="minorHAnsi"/>
          <w:color w:val="auto"/>
          <w:szCs w:val="24"/>
          <w:u w:val="single"/>
        </w:rPr>
        <w:t xml:space="preserve">Other </w:t>
      </w:r>
      <w:r w:rsidR="00821268" w:rsidRPr="00134C58">
        <w:rPr>
          <w:rFonts w:asciiTheme="minorHAnsi" w:hAnsiTheme="minorHAnsi"/>
          <w:color w:val="auto"/>
          <w:szCs w:val="24"/>
          <w:u w:val="single"/>
        </w:rPr>
        <w:t>Conditions.</w:t>
      </w:r>
      <w:proofErr w:type="gramEnd"/>
      <w:r w:rsidR="00821268" w:rsidRPr="00134C58">
        <w:rPr>
          <w:rFonts w:asciiTheme="minorHAnsi" w:hAnsiTheme="minorHAnsi"/>
          <w:color w:val="auto"/>
          <w:szCs w:val="24"/>
        </w:rPr>
        <w:t xml:space="preserve">  Other </w:t>
      </w:r>
      <w:r w:rsidR="00821268" w:rsidRPr="00A036E6">
        <w:rPr>
          <w:rFonts w:asciiTheme="minorHAnsi" w:hAnsiTheme="minorHAnsi"/>
          <w:color w:val="auto"/>
          <w:szCs w:val="24"/>
        </w:rPr>
        <w:t xml:space="preserve">conditions identified in the DES file were </w:t>
      </w:r>
      <w:r w:rsidR="00AD7A7D">
        <w:rPr>
          <w:color w:val="auto"/>
          <w:szCs w:val="24"/>
        </w:rPr>
        <w:t>l</w:t>
      </w:r>
      <w:r w:rsidR="00821268" w:rsidRPr="00A036E6">
        <w:rPr>
          <w:color w:val="auto"/>
          <w:szCs w:val="24"/>
        </w:rPr>
        <w:t xml:space="preserve">eft </w:t>
      </w:r>
      <w:r w:rsidR="00AD7A7D">
        <w:rPr>
          <w:color w:val="auto"/>
          <w:szCs w:val="24"/>
        </w:rPr>
        <w:t>s</w:t>
      </w:r>
      <w:r w:rsidR="00821268" w:rsidRPr="00A036E6">
        <w:rPr>
          <w:color w:val="auto"/>
          <w:szCs w:val="24"/>
        </w:rPr>
        <w:t xml:space="preserve">houlder </w:t>
      </w:r>
      <w:r w:rsidR="00AD7A7D">
        <w:rPr>
          <w:color w:val="auto"/>
          <w:szCs w:val="24"/>
        </w:rPr>
        <w:t>i</w:t>
      </w:r>
      <w:r w:rsidR="00821268" w:rsidRPr="00A036E6">
        <w:rPr>
          <w:color w:val="auto"/>
          <w:szCs w:val="24"/>
        </w:rPr>
        <w:t>njury/</w:t>
      </w:r>
      <w:r w:rsidR="00AD7A7D">
        <w:rPr>
          <w:color w:val="auto"/>
          <w:szCs w:val="24"/>
        </w:rPr>
        <w:t>s</w:t>
      </w:r>
      <w:r w:rsidR="00821268" w:rsidRPr="00A036E6">
        <w:rPr>
          <w:color w:val="auto"/>
          <w:szCs w:val="24"/>
        </w:rPr>
        <w:t xml:space="preserve">urgery, </w:t>
      </w:r>
      <w:r w:rsidR="00AD7A7D">
        <w:rPr>
          <w:color w:val="auto"/>
          <w:szCs w:val="24"/>
        </w:rPr>
        <w:t>h</w:t>
      </w:r>
      <w:r w:rsidR="00821268" w:rsidRPr="00A036E6">
        <w:rPr>
          <w:color w:val="auto"/>
          <w:szCs w:val="24"/>
        </w:rPr>
        <w:t xml:space="preserve">ypertension and </w:t>
      </w:r>
      <w:r w:rsidR="00AD7A7D">
        <w:rPr>
          <w:color w:val="auto"/>
          <w:szCs w:val="24"/>
        </w:rPr>
        <w:t>s</w:t>
      </w:r>
      <w:r w:rsidR="00821268" w:rsidRPr="00A036E6">
        <w:rPr>
          <w:color w:val="auto"/>
          <w:szCs w:val="24"/>
        </w:rPr>
        <w:t>inusitis</w:t>
      </w:r>
      <w:r w:rsidR="006E42C7">
        <w:rPr>
          <w:rFonts w:asciiTheme="minorHAnsi" w:hAnsiTheme="minorHAnsi"/>
          <w:color w:val="auto"/>
          <w:szCs w:val="24"/>
        </w:rPr>
        <w:t>.</w:t>
      </w:r>
      <w:r w:rsidR="00AD7A7D">
        <w:rPr>
          <w:rFonts w:asciiTheme="minorHAnsi" w:hAnsiTheme="minorHAnsi"/>
          <w:color w:val="auto"/>
          <w:szCs w:val="24"/>
        </w:rPr>
        <w:t xml:space="preserve"> </w:t>
      </w:r>
      <w:r w:rsidR="006E42C7">
        <w:rPr>
          <w:rFonts w:asciiTheme="minorHAnsi" w:hAnsiTheme="minorHAnsi"/>
          <w:color w:val="auto"/>
          <w:szCs w:val="24"/>
        </w:rPr>
        <w:t xml:space="preserve"> </w:t>
      </w:r>
      <w:r w:rsidR="00821268" w:rsidRPr="00A036E6">
        <w:rPr>
          <w:rFonts w:asciiTheme="minorHAnsi" w:hAnsiTheme="minorHAnsi"/>
          <w:color w:val="auto"/>
          <w:szCs w:val="24"/>
        </w:rPr>
        <w:t xml:space="preserve">None of these conditions were significantly clinically or occupationally active during the </w:t>
      </w:r>
      <w:r w:rsidRPr="00A036E6">
        <w:rPr>
          <w:rFonts w:asciiTheme="minorHAnsi" w:hAnsiTheme="minorHAnsi"/>
          <w:color w:val="auto"/>
          <w:szCs w:val="24"/>
        </w:rPr>
        <w:t xml:space="preserve">initial </w:t>
      </w:r>
      <w:r w:rsidR="00821268" w:rsidRPr="00A036E6">
        <w:rPr>
          <w:rFonts w:asciiTheme="minorHAnsi" w:hAnsiTheme="minorHAnsi"/>
          <w:color w:val="auto"/>
          <w:szCs w:val="24"/>
        </w:rPr>
        <w:t xml:space="preserve">MEB period, none carried attached profiles, and none were implicated in the </w:t>
      </w:r>
      <w:r w:rsidR="00AD7A7D">
        <w:rPr>
          <w:rFonts w:asciiTheme="minorHAnsi" w:hAnsiTheme="minorHAnsi"/>
          <w:color w:val="auto"/>
          <w:szCs w:val="24"/>
        </w:rPr>
        <w:t>c</w:t>
      </w:r>
      <w:r w:rsidR="00821268" w:rsidRPr="00A036E6">
        <w:rPr>
          <w:rFonts w:asciiTheme="minorHAnsi" w:hAnsiTheme="minorHAnsi"/>
          <w:color w:val="auto"/>
          <w:szCs w:val="24"/>
        </w:rPr>
        <w:t xml:space="preserve">ommander’s statement.  </w:t>
      </w:r>
      <w:r w:rsidR="00AD7A7D">
        <w:rPr>
          <w:rFonts w:asciiTheme="minorHAnsi" w:hAnsiTheme="minorHAnsi"/>
          <w:color w:val="auto"/>
          <w:szCs w:val="24"/>
        </w:rPr>
        <w:t xml:space="preserve"> </w:t>
      </w:r>
      <w:r w:rsidR="00821268" w:rsidRPr="00A036E6">
        <w:rPr>
          <w:rFonts w:asciiTheme="minorHAnsi" w:hAnsiTheme="minorHAnsi"/>
          <w:color w:val="auto"/>
          <w:szCs w:val="24"/>
        </w:rPr>
        <w:t xml:space="preserve">These conditions were reviewed by the </w:t>
      </w:r>
      <w:r w:rsidR="00AD7A7D">
        <w:rPr>
          <w:rFonts w:asciiTheme="minorHAnsi" w:hAnsiTheme="minorHAnsi"/>
          <w:color w:val="auto"/>
          <w:szCs w:val="24"/>
        </w:rPr>
        <w:t>a</w:t>
      </w:r>
      <w:r w:rsidR="00821268" w:rsidRPr="00A036E6">
        <w:rPr>
          <w:rFonts w:asciiTheme="minorHAnsi" w:hAnsiTheme="minorHAnsi"/>
          <w:color w:val="auto"/>
          <w:szCs w:val="24"/>
        </w:rPr>
        <w:t xml:space="preserve">ction </w:t>
      </w:r>
      <w:r w:rsidR="00AD7A7D">
        <w:rPr>
          <w:rFonts w:asciiTheme="minorHAnsi" w:hAnsiTheme="minorHAnsi"/>
          <w:color w:val="auto"/>
          <w:szCs w:val="24"/>
        </w:rPr>
        <w:t>o</w:t>
      </w:r>
      <w:r w:rsidR="00821268" w:rsidRPr="00A036E6">
        <w:rPr>
          <w:rFonts w:asciiTheme="minorHAnsi" w:hAnsiTheme="minorHAnsi"/>
          <w:color w:val="auto"/>
          <w:szCs w:val="24"/>
        </w:rPr>
        <w:t>ffice</w:t>
      </w:r>
      <w:r w:rsidR="006E42C7">
        <w:rPr>
          <w:rFonts w:asciiTheme="minorHAnsi" w:hAnsiTheme="minorHAnsi"/>
          <w:color w:val="auto"/>
          <w:szCs w:val="24"/>
        </w:rPr>
        <w:t xml:space="preserve">r and considered by the Board. </w:t>
      </w:r>
      <w:r w:rsidR="00AD7A7D">
        <w:rPr>
          <w:rFonts w:asciiTheme="minorHAnsi" w:hAnsiTheme="minorHAnsi"/>
          <w:color w:val="auto"/>
          <w:szCs w:val="24"/>
        </w:rPr>
        <w:t xml:space="preserve"> </w:t>
      </w:r>
      <w:r w:rsidR="00821268" w:rsidRPr="00A036E6">
        <w:rPr>
          <w:rFonts w:asciiTheme="minorHAnsi" w:hAnsiTheme="minorHAnsi"/>
          <w:color w:val="auto"/>
          <w:szCs w:val="24"/>
        </w:rPr>
        <w:t>It was determined that none could be argued as unfitting and</w:t>
      </w:r>
      <w:r w:rsidR="006E42C7">
        <w:rPr>
          <w:rFonts w:asciiTheme="minorHAnsi" w:hAnsiTheme="minorHAnsi"/>
          <w:color w:val="auto"/>
          <w:szCs w:val="24"/>
        </w:rPr>
        <w:t xml:space="preserve"> subject to separation rating. </w:t>
      </w:r>
      <w:r w:rsidR="00AD7A7D">
        <w:rPr>
          <w:rFonts w:asciiTheme="minorHAnsi" w:hAnsiTheme="minorHAnsi"/>
          <w:color w:val="auto"/>
          <w:szCs w:val="24"/>
        </w:rPr>
        <w:t xml:space="preserve"> </w:t>
      </w:r>
      <w:r w:rsidR="00821268" w:rsidRPr="00A036E6">
        <w:rPr>
          <w:rFonts w:asciiTheme="minorHAnsi" w:hAnsiTheme="minorHAnsi"/>
          <w:color w:val="auto"/>
          <w:szCs w:val="24"/>
        </w:rPr>
        <w:t xml:space="preserve">Additionally </w:t>
      </w:r>
      <w:r w:rsidR="00AD7A7D">
        <w:rPr>
          <w:color w:val="auto"/>
          <w:szCs w:val="24"/>
        </w:rPr>
        <w:t>d</w:t>
      </w:r>
      <w:r w:rsidR="00821268" w:rsidRPr="00A036E6">
        <w:rPr>
          <w:color w:val="auto"/>
          <w:szCs w:val="24"/>
        </w:rPr>
        <w:t xml:space="preserve">egenerative </w:t>
      </w:r>
      <w:r w:rsidR="00AD7A7D">
        <w:rPr>
          <w:color w:val="auto"/>
          <w:szCs w:val="24"/>
        </w:rPr>
        <w:t>a</w:t>
      </w:r>
      <w:r w:rsidR="00821268" w:rsidRPr="00A036E6">
        <w:rPr>
          <w:color w:val="auto"/>
          <w:szCs w:val="24"/>
        </w:rPr>
        <w:t xml:space="preserve">rthritis of </w:t>
      </w:r>
      <w:r w:rsidR="00AD7A7D">
        <w:rPr>
          <w:color w:val="auto"/>
          <w:szCs w:val="24"/>
        </w:rPr>
        <w:t>r</w:t>
      </w:r>
      <w:r w:rsidR="00821268" w:rsidRPr="00A036E6">
        <w:rPr>
          <w:color w:val="auto"/>
          <w:szCs w:val="24"/>
        </w:rPr>
        <w:t xml:space="preserve">ight </w:t>
      </w:r>
      <w:r w:rsidR="00AD7A7D">
        <w:rPr>
          <w:color w:val="auto"/>
          <w:szCs w:val="24"/>
        </w:rPr>
        <w:t>k</w:t>
      </w:r>
      <w:r w:rsidR="000720D2" w:rsidRPr="00A036E6">
        <w:rPr>
          <w:color w:val="auto"/>
          <w:szCs w:val="24"/>
        </w:rPr>
        <w:t>nee</w:t>
      </w:r>
      <w:r w:rsidR="00451808" w:rsidRPr="00A036E6">
        <w:rPr>
          <w:color w:val="auto"/>
          <w:szCs w:val="24"/>
        </w:rPr>
        <w:t xml:space="preserve">, </w:t>
      </w:r>
      <w:r w:rsidR="00AD7A7D">
        <w:rPr>
          <w:color w:val="auto"/>
          <w:szCs w:val="24"/>
        </w:rPr>
        <w:t>d</w:t>
      </w:r>
      <w:r w:rsidR="00451808" w:rsidRPr="00A036E6">
        <w:rPr>
          <w:color w:val="auto"/>
          <w:szCs w:val="24"/>
        </w:rPr>
        <w:t xml:space="preserve">egenerative </w:t>
      </w:r>
      <w:r w:rsidR="00AD7A7D">
        <w:rPr>
          <w:color w:val="auto"/>
          <w:szCs w:val="24"/>
        </w:rPr>
        <w:t>a</w:t>
      </w:r>
      <w:r w:rsidR="00451808" w:rsidRPr="00A036E6">
        <w:rPr>
          <w:color w:val="auto"/>
          <w:szCs w:val="24"/>
        </w:rPr>
        <w:t xml:space="preserve">rthritis of the </w:t>
      </w:r>
      <w:r w:rsidR="00AD7A7D">
        <w:rPr>
          <w:color w:val="auto"/>
          <w:szCs w:val="24"/>
        </w:rPr>
        <w:t>r</w:t>
      </w:r>
      <w:r w:rsidR="00451808" w:rsidRPr="00A036E6">
        <w:rPr>
          <w:color w:val="auto"/>
          <w:szCs w:val="24"/>
        </w:rPr>
        <w:t xml:space="preserve">ight </w:t>
      </w:r>
      <w:r w:rsidR="00AD7A7D">
        <w:rPr>
          <w:color w:val="auto"/>
          <w:szCs w:val="24"/>
        </w:rPr>
        <w:t>s</w:t>
      </w:r>
      <w:r w:rsidR="000720D2" w:rsidRPr="00A036E6">
        <w:rPr>
          <w:color w:val="auto"/>
          <w:szCs w:val="24"/>
        </w:rPr>
        <w:t>houlder</w:t>
      </w:r>
      <w:r w:rsidR="00451808" w:rsidRPr="00A036E6">
        <w:rPr>
          <w:color w:val="auto"/>
          <w:szCs w:val="24"/>
        </w:rPr>
        <w:t>,</w:t>
      </w:r>
      <w:r w:rsidR="00821268" w:rsidRPr="00A036E6">
        <w:rPr>
          <w:rFonts w:asciiTheme="minorHAnsi" w:hAnsiTheme="minorHAnsi"/>
          <w:color w:val="auto"/>
          <w:szCs w:val="24"/>
        </w:rPr>
        <w:t xml:space="preserve"> </w:t>
      </w:r>
      <w:r w:rsidR="00451808" w:rsidRPr="00A036E6">
        <w:rPr>
          <w:rFonts w:asciiTheme="minorHAnsi" w:hAnsiTheme="minorHAnsi"/>
          <w:color w:val="auto"/>
          <w:szCs w:val="24"/>
        </w:rPr>
        <w:t xml:space="preserve">and </w:t>
      </w:r>
      <w:r w:rsidR="00AD7A7D">
        <w:rPr>
          <w:rFonts w:asciiTheme="minorHAnsi" w:hAnsiTheme="minorHAnsi"/>
          <w:color w:val="auto"/>
          <w:szCs w:val="24"/>
        </w:rPr>
        <w:t>p</w:t>
      </w:r>
      <w:r w:rsidR="00451808" w:rsidRPr="00A036E6">
        <w:rPr>
          <w:rFonts w:asciiTheme="minorHAnsi" w:hAnsiTheme="minorHAnsi"/>
          <w:color w:val="auto"/>
          <w:szCs w:val="24"/>
        </w:rPr>
        <w:t>neumonia</w:t>
      </w:r>
      <w:r w:rsidR="00821268" w:rsidRPr="00A036E6">
        <w:rPr>
          <w:rFonts w:asciiTheme="minorHAnsi" w:hAnsiTheme="minorHAnsi"/>
          <w:color w:val="auto"/>
          <w:szCs w:val="24"/>
        </w:rPr>
        <w:t xml:space="preserve"> were noted </w:t>
      </w:r>
      <w:r w:rsidR="00451808" w:rsidRPr="00A036E6">
        <w:rPr>
          <w:rFonts w:asciiTheme="minorHAnsi" w:hAnsiTheme="minorHAnsi"/>
          <w:color w:val="auto"/>
          <w:szCs w:val="24"/>
        </w:rPr>
        <w:t xml:space="preserve">by </w:t>
      </w:r>
      <w:r w:rsidR="00821268" w:rsidRPr="00A036E6">
        <w:rPr>
          <w:rFonts w:asciiTheme="minorHAnsi" w:hAnsiTheme="minorHAnsi"/>
          <w:color w:val="auto"/>
          <w:szCs w:val="24"/>
        </w:rPr>
        <w:t>the VA proximal to separation, but were n</w:t>
      </w:r>
      <w:r w:rsidR="006E42C7">
        <w:rPr>
          <w:rFonts w:asciiTheme="minorHAnsi" w:hAnsiTheme="minorHAnsi"/>
          <w:color w:val="auto"/>
          <w:szCs w:val="24"/>
        </w:rPr>
        <w:t xml:space="preserve">ot documented in the DES file. </w:t>
      </w:r>
      <w:r w:rsidR="00AD7A7D">
        <w:rPr>
          <w:rFonts w:asciiTheme="minorHAnsi" w:hAnsiTheme="minorHAnsi"/>
          <w:color w:val="auto"/>
          <w:szCs w:val="24"/>
        </w:rPr>
        <w:t xml:space="preserve"> </w:t>
      </w:r>
      <w:r w:rsidR="00821268" w:rsidRPr="00A036E6">
        <w:rPr>
          <w:rFonts w:asciiTheme="minorHAnsi" w:hAnsiTheme="minorHAnsi"/>
          <w:color w:val="auto"/>
          <w:szCs w:val="24"/>
        </w:rPr>
        <w:t xml:space="preserve">The Board does not have the authority under </w:t>
      </w:r>
      <w:proofErr w:type="spellStart"/>
      <w:r w:rsidR="00821268" w:rsidRPr="00A036E6">
        <w:rPr>
          <w:rFonts w:asciiTheme="minorHAnsi" w:hAnsiTheme="minorHAnsi"/>
          <w:color w:val="auto"/>
          <w:szCs w:val="24"/>
        </w:rPr>
        <w:t>DoDI</w:t>
      </w:r>
      <w:proofErr w:type="spellEnd"/>
      <w:r w:rsidR="00821268" w:rsidRPr="00A036E6">
        <w:rPr>
          <w:rFonts w:asciiTheme="minorHAnsi" w:hAnsiTheme="minorHAnsi"/>
          <w:color w:val="auto"/>
          <w:szCs w:val="24"/>
        </w:rPr>
        <w:t xml:space="preserve"> 6040.44 to render fitness or rating recommendations</w:t>
      </w:r>
      <w:r w:rsidR="00821268" w:rsidRPr="00134C58">
        <w:rPr>
          <w:rFonts w:asciiTheme="minorHAnsi" w:hAnsiTheme="minorHAnsi"/>
          <w:color w:val="auto"/>
          <w:szCs w:val="24"/>
        </w:rPr>
        <w:t xml:space="preserve"> for any conditi</w:t>
      </w:r>
      <w:r w:rsidR="006E42C7">
        <w:rPr>
          <w:rFonts w:asciiTheme="minorHAnsi" w:hAnsiTheme="minorHAnsi"/>
          <w:color w:val="auto"/>
          <w:szCs w:val="24"/>
        </w:rPr>
        <w:t xml:space="preserve">ons not considered by the DES. </w:t>
      </w:r>
      <w:r w:rsidR="00AD7A7D">
        <w:rPr>
          <w:rFonts w:asciiTheme="minorHAnsi" w:hAnsiTheme="minorHAnsi"/>
          <w:color w:val="auto"/>
          <w:szCs w:val="24"/>
        </w:rPr>
        <w:t xml:space="preserve"> </w:t>
      </w:r>
      <w:r w:rsidR="00821268" w:rsidRPr="00134C58">
        <w:rPr>
          <w:rFonts w:asciiTheme="minorHAnsi" w:hAnsiTheme="minorHAnsi"/>
          <w:color w:val="auto"/>
          <w:szCs w:val="24"/>
        </w:rPr>
        <w:t>The Board therefore has no reasonable basis for recommending any additional unfitting conditions for separation rating.</w:t>
      </w:r>
    </w:p>
    <w:p w:rsidR="001031F4" w:rsidRPr="00134C58" w:rsidRDefault="001031F4" w:rsidP="006E42C7">
      <w:pPr>
        <w:pBdr>
          <w:bottom w:val="single" w:sz="12" w:space="1" w:color="auto"/>
        </w:pBdr>
        <w:tabs>
          <w:tab w:val="left" w:pos="288"/>
          <w:tab w:val="left" w:pos="4752"/>
        </w:tabs>
        <w:jc w:val="both"/>
        <w:rPr>
          <w:rFonts w:asciiTheme="minorHAnsi" w:hAnsiTheme="minorHAnsi"/>
          <w:color w:val="auto"/>
          <w:szCs w:val="24"/>
        </w:rPr>
      </w:pPr>
    </w:p>
    <w:p w:rsidR="00F1737C" w:rsidRPr="00134C58" w:rsidRDefault="00F1737C" w:rsidP="006E42C7">
      <w:pPr>
        <w:jc w:val="both"/>
        <w:rPr>
          <w:rFonts w:asciiTheme="minorHAnsi" w:hAnsiTheme="minorHAnsi"/>
          <w:color w:val="auto"/>
          <w:szCs w:val="24"/>
        </w:rPr>
      </w:pPr>
    </w:p>
    <w:p w:rsidR="00BF4F49" w:rsidRPr="00134C58" w:rsidRDefault="00C56FC8" w:rsidP="006E42C7">
      <w:pPr>
        <w:jc w:val="both"/>
        <w:rPr>
          <w:rFonts w:asciiTheme="minorHAnsi" w:hAnsiTheme="minorHAnsi"/>
          <w:color w:val="auto"/>
          <w:szCs w:val="24"/>
        </w:rPr>
      </w:pPr>
      <w:r w:rsidRPr="00134C58">
        <w:rPr>
          <w:rFonts w:asciiTheme="minorHAnsi" w:hAnsiTheme="minorHAnsi"/>
          <w:color w:val="auto"/>
          <w:szCs w:val="24"/>
          <w:u w:val="single"/>
        </w:rPr>
        <w:t>BOARD FINDINGS</w:t>
      </w:r>
      <w:r w:rsidRPr="00134C58">
        <w:rPr>
          <w:rFonts w:asciiTheme="minorHAnsi" w:hAnsiTheme="minorHAnsi"/>
          <w:color w:val="auto"/>
          <w:szCs w:val="24"/>
        </w:rPr>
        <w:t>:</w:t>
      </w:r>
      <w:r w:rsidRPr="00134C58">
        <w:rPr>
          <w:rFonts w:asciiTheme="minorHAnsi" w:eastAsiaTheme="minorHAnsi" w:hAnsiTheme="minorHAnsi"/>
          <w:color w:val="auto"/>
          <w:szCs w:val="24"/>
        </w:rPr>
        <w:t xml:space="preserve">  IAW </w:t>
      </w:r>
      <w:proofErr w:type="spellStart"/>
      <w:r w:rsidRPr="00134C58">
        <w:rPr>
          <w:rFonts w:asciiTheme="minorHAnsi" w:eastAsiaTheme="minorHAnsi" w:hAnsiTheme="minorHAnsi"/>
          <w:color w:val="auto"/>
          <w:szCs w:val="24"/>
        </w:rPr>
        <w:t>DoDI</w:t>
      </w:r>
      <w:proofErr w:type="spellEnd"/>
      <w:r w:rsidRPr="00134C58">
        <w:rPr>
          <w:rFonts w:asciiTheme="minorHAnsi" w:eastAsiaTheme="minorHAnsi" w:hAnsiTheme="minorHAnsi"/>
          <w:color w:val="auto"/>
          <w:szCs w:val="24"/>
        </w:rPr>
        <w:t xml:space="preserve"> 6040.44, provisions of </w:t>
      </w:r>
      <w:proofErr w:type="spellStart"/>
      <w:r w:rsidRPr="00134C58">
        <w:rPr>
          <w:rFonts w:asciiTheme="minorHAnsi" w:eastAsiaTheme="minorHAnsi" w:hAnsiTheme="minorHAnsi"/>
          <w:color w:val="auto"/>
          <w:szCs w:val="24"/>
        </w:rPr>
        <w:t>DoD</w:t>
      </w:r>
      <w:proofErr w:type="spellEnd"/>
      <w:r w:rsidRPr="00134C58">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w:t>
      </w:r>
      <w:r w:rsidRPr="00636C70">
        <w:rPr>
          <w:rFonts w:asciiTheme="minorHAnsi" w:eastAsiaTheme="minorHAnsi" w:hAnsiTheme="minorHAnsi"/>
          <w:color w:val="auto"/>
          <w:szCs w:val="24"/>
        </w:rPr>
        <w:t>effect at the time of the adjudication.</w:t>
      </w:r>
      <w:r w:rsidR="00821268" w:rsidRPr="00636C70">
        <w:rPr>
          <w:rFonts w:asciiTheme="minorHAnsi" w:hAnsiTheme="minorHAnsi"/>
          <w:color w:val="auto"/>
          <w:szCs w:val="24"/>
        </w:rPr>
        <w:t xml:space="preserve"> </w:t>
      </w:r>
      <w:r w:rsidR="00AD7A7D">
        <w:rPr>
          <w:rFonts w:asciiTheme="minorHAnsi" w:hAnsiTheme="minorHAnsi"/>
          <w:color w:val="auto"/>
          <w:szCs w:val="24"/>
        </w:rPr>
        <w:t xml:space="preserve"> </w:t>
      </w:r>
      <w:r w:rsidR="00404DFB" w:rsidRPr="00636C70">
        <w:rPr>
          <w:rFonts w:asciiTheme="minorHAnsi" w:hAnsiTheme="minorHAnsi"/>
          <w:color w:val="auto"/>
          <w:szCs w:val="24"/>
        </w:rPr>
        <w:t xml:space="preserve">In the matter of the left knee instability condition, the Board unanimously recommends a </w:t>
      </w:r>
      <w:r w:rsidR="00B01F1D" w:rsidRPr="00636C70">
        <w:rPr>
          <w:rFonts w:asciiTheme="minorHAnsi" w:hAnsiTheme="minorHAnsi"/>
          <w:color w:val="auto"/>
          <w:szCs w:val="24"/>
        </w:rPr>
        <w:t>2</w:t>
      </w:r>
      <w:r w:rsidR="00404DFB" w:rsidRPr="00636C70">
        <w:rPr>
          <w:rFonts w:asciiTheme="minorHAnsi" w:hAnsiTheme="minorHAnsi"/>
          <w:color w:val="auto"/>
          <w:szCs w:val="24"/>
        </w:rPr>
        <w:t>0%</w:t>
      </w:r>
      <w:r w:rsidR="00A036E6" w:rsidRPr="00636C70">
        <w:rPr>
          <w:rFonts w:asciiTheme="minorHAnsi" w:hAnsiTheme="minorHAnsi"/>
          <w:color w:val="auto"/>
          <w:szCs w:val="24"/>
        </w:rPr>
        <w:t xml:space="preserve"> </w:t>
      </w:r>
      <w:r w:rsidR="00404DFB" w:rsidRPr="00636C70">
        <w:rPr>
          <w:rFonts w:asciiTheme="minorHAnsi" w:hAnsiTheme="minorHAnsi"/>
          <w:color w:val="auto"/>
          <w:szCs w:val="24"/>
        </w:rPr>
        <w:t xml:space="preserve">permanent rating </w:t>
      </w:r>
      <w:r w:rsidR="00B01F1D" w:rsidRPr="00636C70">
        <w:rPr>
          <w:rFonts w:asciiTheme="minorHAnsi" w:hAnsiTheme="minorHAnsi"/>
          <w:color w:val="auto"/>
          <w:szCs w:val="24"/>
        </w:rPr>
        <w:t xml:space="preserve">coded as 5257 </w:t>
      </w:r>
      <w:r w:rsidR="00404DFB" w:rsidRPr="00636C70">
        <w:rPr>
          <w:rFonts w:asciiTheme="minorHAnsi" w:hAnsiTheme="minorHAnsi"/>
          <w:color w:val="auto"/>
          <w:szCs w:val="24"/>
        </w:rPr>
        <w:t xml:space="preserve">IAW VASRD </w:t>
      </w:r>
      <w:r w:rsidR="00B01F1D" w:rsidRPr="00636C70">
        <w:rPr>
          <w:rFonts w:asciiTheme="minorHAnsi" w:hAnsiTheme="minorHAnsi"/>
          <w:color w:val="auto"/>
          <w:szCs w:val="24"/>
        </w:rPr>
        <w:t>§4.71a</w:t>
      </w:r>
      <w:r w:rsidR="00987EC1" w:rsidRPr="00636C70">
        <w:rPr>
          <w:rFonts w:asciiTheme="minorHAnsi" w:hAnsiTheme="minorHAnsi"/>
          <w:color w:val="auto"/>
          <w:szCs w:val="24"/>
        </w:rPr>
        <w:t>;</w:t>
      </w:r>
      <w:r w:rsidR="00B01F1D" w:rsidRPr="00636C70">
        <w:rPr>
          <w:rFonts w:asciiTheme="minorHAnsi" w:hAnsiTheme="minorHAnsi"/>
          <w:color w:val="auto"/>
          <w:szCs w:val="24"/>
        </w:rPr>
        <w:t xml:space="preserve"> </w:t>
      </w:r>
      <w:r w:rsidR="00AD7A7D">
        <w:rPr>
          <w:rFonts w:asciiTheme="minorHAnsi" w:eastAsiaTheme="minorHAnsi" w:hAnsiTheme="minorHAnsi"/>
          <w:color w:val="auto"/>
          <w:szCs w:val="24"/>
        </w:rPr>
        <w:t>g</w:t>
      </w:r>
      <w:r w:rsidR="00987EC1" w:rsidRPr="00636C70">
        <w:rPr>
          <w:rFonts w:asciiTheme="minorHAnsi" w:eastAsiaTheme="minorHAnsi" w:hAnsiTheme="minorHAnsi"/>
          <w:color w:val="auto"/>
          <w:szCs w:val="24"/>
        </w:rPr>
        <w:t xml:space="preserve">eneral </w:t>
      </w:r>
      <w:r w:rsidR="00AD7A7D">
        <w:rPr>
          <w:rFonts w:asciiTheme="minorHAnsi" w:eastAsiaTheme="minorHAnsi" w:hAnsiTheme="minorHAnsi"/>
          <w:color w:val="auto"/>
          <w:szCs w:val="24"/>
        </w:rPr>
        <w:t>c</w:t>
      </w:r>
      <w:r w:rsidR="00987EC1" w:rsidRPr="00636C70">
        <w:rPr>
          <w:rFonts w:asciiTheme="minorHAnsi" w:eastAsiaTheme="minorHAnsi" w:hAnsiTheme="minorHAnsi"/>
          <w:color w:val="auto"/>
          <w:szCs w:val="24"/>
        </w:rPr>
        <w:t xml:space="preserve">ounsel </w:t>
      </w:r>
      <w:r w:rsidR="00F92933">
        <w:rPr>
          <w:rFonts w:asciiTheme="minorHAnsi" w:eastAsiaTheme="minorHAnsi" w:hAnsiTheme="minorHAnsi"/>
          <w:color w:val="auto"/>
          <w:szCs w:val="24"/>
        </w:rPr>
        <w:t xml:space="preserve">opinion of </w:t>
      </w:r>
      <w:r w:rsidR="00AD7A7D">
        <w:rPr>
          <w:rFonts w:asciiTheme="minorHAnsi" w:eastAsiaTheme="minorHAnsi" w:hAnsiTheme="minorHAnsi"/>
          <w:color w:val="auto"/>
          <w:szCs w:val="24"/>
        </w:rPr>
        <w:t xml:space="preserve">1 July </w:t>
      </w:r>
      <w:r w:rsidR="00987EC1" w:rsidRPr="00636C70">
        <w:rPr>
          <w:rFonts w:asciiTheme="minorHAnsi" w:eastAsiaTheme="minorHAnsi" w:hAnsiTheme="minorHAnsi"/>
          <w:color w:val="auto"/>
          <w:szCs w:val="24"/>
        </w:rPr>
        <w:t xml:space="preserve">1997; and </w:t>
      </w:r>
      <w:r w:rsidR="00AD7A7D">
        <w:rPr>
          <w:rFonts w:asciiTheme="minorHAnsi" w:eastAsiaTheme="minorHAnsi" w:hAnsiTheme="minorHAnsi"/>
          <w:color w:val="auto"/>
          <w:szCs w:val="24"/>
        </w:rPr>
        <w:t>f</w:t>
      </w:r>
      <w:r w:rsidR="00987EC1" w:rsidRPr="00636C70">
        <w:rPr>
          <w:rFonts w:asciiTheme="minorHAnsi" w:eastAsiaTheme="minorHAnsi" w:hAnsiTheme="minorHAnsi"/>
          <w:color w:val="auto"/>
          <w:szCs w:val="24"/>
        </w:rPr>
        <w:t xml:space="preserve">ast </w:t>
      </w:r>
      <w:r w:rsidR="00AD7A7D">
        <w:rPr>
          <w:rFonts w:asciiTheme="minorHAnsi" w:eastAsiaTheme="minorHAnsi" w:hAnsiTheme="minorHAnsi"/>
          <w:color w:val="auto"/>
          <w:szCs w:val="24"/>
        </w:rPr>
        <w:t>l</w:t>
      </w:r>
      <w:r w:rsidR="00987EC1" w:rsidRPr="00636C70">
        <w:rPr>
          <w:rFonts w:asciiTheme="minorHAnsi" w:eastAsiaTheme="minorHAnsi" w:hAnsiTheme="minorHAnsi"/>
          <w:color w:val="auto"/>
          <w:szCs w:val="24"/>
        </w:rPr>
        <w:t xml:space="preserve">etter 04-22 of </w:t>
      </w:r>
      <w:r w:rsidR="00F92933">
        <w:rPr>
          <w:rFonts w:asciiTheme="minorHAnsi" w:eastAsiaTheme="minorHAnsi" w:hAnsiTheme="minorHAnsi"/>
          <w:color w:val="auto"/>
          <w:szCs w:val="24"/>
        </w:rPr>
        <w:t xml:space="preserve">       </w:t>
      </w:r>
      <w:r w:rsidR="00AD7A7D">
        <w:rPr>
          <w:rFonts w:asciiTheme="minorHAnsi" w:eastAsiaTheme="minorHAnsi" w:hAnsiTheme="minorHAnsi"/>
          <w:color w:val="auto"/>
          <w:szCs w:val="24"/>
        </w:rPr>
        <w:t>1 October</w:t>
      </w:r>
      <w:r w:rsidR="00987EC1" w:rsidRPr="00636C70">
        <w:rPr>
          <w:rFonts w:asciiTheme="minorHAnsi" w:eastAsiaTheme="minorHAnsi" w:hAnsiTheme="minorHAnsi"/>
          <w:color w:val="auto"/>
          <w:szCs w:val="24"/>
        </w:rPr>
        <w:t xml:space="preserve"> 2004</w:t>
      </w:r>
      <w:r w:rsidR="00404DFB" w:rsidRPr="00636C70">
        <w:rPr>
          <w:rFonts w:asciiTheme="minorHAnsi" w:hAnsiTheme="minorHAnsi"/>
          <w:color w:val="auto"/>
          <w:szCs w:val="24"/>
        </w:rPr>
        <w:t>.</w:t>
      </w:r>
      <w:r w:rsidR="00821268" w:rsidRPr="00636C70">
        <w:rPr>
          <w:rFonts w:asciiTheme="minorHAnsi" w:hAnsiTheme="minorHAnsi"/>
          <w:color w:val="auto"/>
          <w:szCs w:val="24"/>
        </w:rPr>
        <w:t xml:space="preserve"> </w:t>
      </w:r>
      <w:r w:rsidR="00AD7A7D">
        <w:rPr>
          <w:rFonts w:asciiTheme="minorHAnsi" w:hAnsiTheme="minorHAnsi"/>
          <w:color w:val="auto"/>
          <w:szCs w:val="24"/>
        </w:rPr>
        <w:t xml:space="preserve"> </w:t>
      </w:r>
      <w:r w:rsidR="00B01F1D" w:rsidRPr="00636C70">
        <w:rPr>
          <w:rFonts w:asciiTheme="minorHAnsi" w:hAnsiTheme="minorHAnsi"/>
          <w:color w:val="auto"/>
          <w:szCs w:val="24"/>
        </w:rPr>
        <w:t>In the matter of the left knee pain-limited flexion condition, the Board unanimously recommends</w:t>
      </w:r>
      <w:r w:rsidR="00A036E6" w:rsidRPr="00636C70">
        <w:rPr>
          <w:rFonts w:asciiTheme="minorHAnsi" w:hAnsiTheme="minorHAnsi"/>
          <w:color w:val="auto"/>
          <w:szCs w:val="24"/>
        </w:rPr>
        <w:t xml:space="preserve"> </w:t>
      </w:r>
      <w:r w:rsidR="00B01F1D" w:rsidRPr="00636C70">
        <w:rPr>
          <w:rFonts w:asciiTheme="minorHAnsi" w:hAnsiTheme="minorHAnsi"/>
          <w:color w:val="auto"/>
          <w:szCs w:val="24"/>
        </w:rPr>
        <w:t xml:space="preserve">a 10% permanent rating coded as 5260 IAW </w:t>
      </w:r>
      <w:r w:rsidR="00987EC1" w:rsidRPr="00636C70">
        <w:rPr>
          <w:rFonts w:asciiTheme="minorHAnsi" w:hAnsiTheme="minorHAnsi"/>
          <w:color w:val="auto"/>
          <w:szCs w:val="24"/>
        </w:rPr>
        <w:t xml:space="preserve">VASRD §4.71a; </w:t>
      </w:r>
      <w:r w:rsidR="00AD7A7D">
        <w:rPr>
          <w:rFonts w:asciiTheme="minorHAnsi" w:eastAsiaTheme="minorHAnsi" w:hAnsiTheme="minorHAnsi"/>
          <w:color w:val="auto"/>
          <w:szCs w:val="24"/>
        </w:rPr>
        <w:t>g</w:t>
      </w:r>
      <w:r w:rsidR="00987EC1" w:rsidRPr="00636C70">
        <w:rPr>
          <w:rFonts w:asciiTheme="minorHAnsi" w:eastAsiaTheme="minorHAnsi" w:hAnsiTheme="minorHAnsi"/>
          <w:color w:val="auto"/>
          <w:szCs w:val="24"/>
        </w:rPr>
        <w:t xml:space="preserve">eneral </w:t>
      </w:r>
      <w:r w:rsidR="00AD7A7D">
        <w:rPr>
          <w:rFonts w:asciiTheme="minorHAnsi" w:eastAsiaTheme="minorHAnsi" w:hAnsiTheme="minorHAnsi"/>
          <w:color w:val="auto"/>
          <w:szCs w:val="24"/>
        </w:rPr>
        <w:t>c</w:t>
      </w:r>
      <w:r w:rsidR="00987EC1" w:rsidRPr="00636C70">
        <w:rPr>
          <w:rFonts w:asciiTheme="minorHAnsi" w:eastAsiaTheme="minorHAnsi" w:hAnsiTheme="minorHAnsi"/>
          <w:color w:val="auto"/>
          <w:szCs w:val="24"/>
        </w:rPr>
        <w:t xml:space="preserve">ounsel </w:t>
      </w:r>
      <w:r w:rsidR="00AD7A7D">
        <w:rPr>
          <w:rFonts w:asciiTheme="minorHAnsi" w:eastAsiaTheme="minorHAnsi" w:hAnsiTheme="minorHAnsi"/>
          <w:color w:val="auto"/>
          <w:szCs w:val="24"/>
        </w:rPr>
        <w:t>o</w:t>
      </w:r>
      <w:r w:rsidR="00987EC1" w:rsidRPr="00636C70">
        <w:rPr>
          <w:rFonts w:asciiTheme="minorHAnsi" w:eastAsiaTheme="minorHAnsi" w:hAnsiTheme="minorHAnsi"/>
          <w:color w:val="auto"/>
          <w:szCs w:val="24"/>
        </w:rPr>
        <w:t xml:space="preserve">pinion of </w:t>
      </w:r>
      <w:r w:rsidR="00AD7A7D">
        <w:rPr>
          <w:rFonts w:asciiTheme="minorHAnsi" w:eastAsiaTheme="minorHAnsi" w:hAnsiTheme="minorHAnsi"/>
          <w:color w:val="auto"/>
          <w:szCs w:val="24"/>
        </w:rPr>
        <w:t>1 July</w:t>
      </w:r>
      <w:r w:rsidR="00987EC1" w:rsidRPr="00636C70">
        <w:rPr>
          <w:rFonts w:asciiTheme="minorHAnsi" w:eastAsiaTheme="minorHAnsi" w:hAnsiTheme="minorHAnsi"/>
          <w:color w:val="auto"/>
          <w:szCs w:val="24"/>
        </w:rPr>
        <w:t xml:space="preserve"> 1997; and </w:t>
      </w:r>
      <w:r w:rsidR="00AD7A7D">
        <w:rPr>
          <w:rFonts w:asciiTheme="minorHAnsi" w:eastAsiaTheme="minorHAnsi" w:hAnsiTheme="minorHAnsi"/>
          <w:color w:val="auto"/>
          <w:szCs w:val="24"/>
        </w:rPr>
        <w:t>f</w:t>
      </w:r>
      <w:r w:rsidR="00987EC1" w:rsidRPr="00636C70">
        <w:rPr>
          <w:rFonts w:asciiTheme="minorHAnsi" w:eastAsiaTheme="minorHAnsi" w:hAnsiTheme="minorHAnsi"/>
          <w:color w:val="auto"/>
          <w:szCs w:val="24"/>
        </w:rPr>
        <w:t xml:space="preserve">ast </w:t>
      </w:r>
      <w:r w:rsidR="00AD7A7D">
        <w:rPr>
          <w:rFonts w:asciiTheme="minorHAnsi" w:eastAsiaTheme="minorHAnsi" w:hAnsiTheme="minorHAnsi"/>
          <w:color w:val="auto"/>
          <w:szCs w:val="24"/>
        </w:rPr>
        <w:t>l</w:t>
      </w:r>
      <w:r w:rsidR="00987EC1" w:rsidRPr="00636C70">
        <w:rPr>
          <w:rFonts w:asciiTheme="minorHAnsi" w:eastAsiaTheme="minorHAnsi" w:hAnsiTheme="minorHAnsi"/>
          <w:color w:val="auto"/>
          <w:szCs w:val="24"/>
        </w:rPr>
        <w:t xml:space="preserve">etter 04-22 of </w:t>
      </w:r>
      <w:r w:rsidR="00AD7A7D">
        <w:rPr>
          <w:rFonts w:asciiTheme="minorHAnsi" w:eastAsiaTheme="minorHAnsi" w:hAnsiTheme="minorHAnsi"/>
          <w:color w:val="auto"/>
          <w:szCs w:val="24"/>
        </w:rPr>
        <w:t>1 October</w:t>
      </w:r>
      <w:r w:rsidR="00987EC1" w:rsidRPr="00636C70">
        <w:rPr>
          <w:rFonts w:asciiTheme="minorHAnsi" w:eastAsiaTheme="minorHAnsi" w:hAnsiTheme="minorHAnsi"/>
          <w:color w:val="auto"/>
          <w:szCs w:val="24"/>
        </w:rPr>
        <w:t xml:space="preserve"> 2004</w:t>
      </w:r>
      <w:r w:rsidR="00987EC1" w:rsidRPr="00636C70">
        <w:rPr>
          <w:rFonts w:asciiTheme="minorHAnsi" w:hAnsiTheme="minorHAnsi"/>
          <w:color w:val="auto"/>
          <w:szCs w:val="24"/>
        </w:rPr>
        <w:t>.</w:t>
      </w:r>
      <w:r w:rsidR="00B01F1D" w:rsidRPr="00636C70">
        <w:rPr>
          <w:rFonts w:asciiTheme="minorHAnsi" w:hAnsiTheme="minorHAnsi"/>
          <w:color w:val="auto"/>
          <w:szCs w:val="24"/>
        </w:rPr>
        <w:t xml:space="preserve"> </w:t>
      </w:r>
      <w:r w:rsidR="00AD7A7D">
        <w:rPr>
          <w:rFonts w:asciiTheme="minorHAnsi" w:hAnsiTheme="minorHAnsi"/>
          <w:color w:val="auto"/>
          <w:szCs w:val="24"/>
        </w:rPr>
        <w:t xml:space="preserve"> </w:t>
      </w:r>
      <w:r w:rsidR="00821268" w:rsidRPr="00636C70">
        <w:rPr>
          <w:rFonts w:asciiTheme="minorHAnsi" w:hAnsiTheme="minorHAnsi"/>
          <w:color w:val="auto"/>
          <w:szCs w:val="24"/>
        </w:rPr>
        <w:t>In the matter</w:t>
      </w:r>
      <w:r w:rsidR="00821268" w:rsidRPr="00134C58">
        <w:rPr>
          <w:rFonts w:asciiTheme="minorHAnsi" w:hAnsiTheme="minorHAnsi"/>
          <w:color w:val="auto"/>
          <w:szCs w:val="24"/>
        </w:rPr>
        <w:t xml:space="preserve"> of </w:t>
      </w:r>
      <w:r w:rsidR="00AD7A7D">
        <w:rPr>
          <w:color w:val="auto"/>
          <w:szCs w:val="24"/>
        </w:rPr>
        <w:t>l</w:t>
      </w:r>
      <w:r w:rsidR="00821268" w:rsidRPr="00134C58">
        <w:rPr>
          <w:color w:val="auto"/>
          <w:szCs w:val="24"/>
        </w:rPr>
        <w:t xml:space="preserve">eft </w:t>
      </w:r>
      <w:r w:rsidR="00AD7A7D">
        <w:rPr>
          <w:color w:val="auto"/>
          <w:szCs w:val="24"/>
        </w:rPr>
        <w:t>s</w:t>
      </w:r>
      <w:r w:rsidR="00821268" w:rsidRPr="00134C58">
        <w:rPr>
          <w:color w:val="auto"/>
          <w:szCs w:val="24"/>
        </w:rPr>
        <w:t xml:space="preserve">houlder </w:t>
      </w:r>
      <w:r w:rsidR="00AD7A7D">
        <w:rPr>
          <w:color w:val="auto"/>
          <w:szCs w:val="24"/>
        </w:rPr>
        <w:t>i</w:t>
      </w:r>
      <w:r w:rsidR="00821268" w:rsidRPr="00134C58">
        <w:rPr>
          <w:color w:val="auto"/>
          <w:szCs w:val="24"/>
        </w:rPr>
        <w:t>njury/</w:t>
      </w:r>
      <w:r w:rsidR="00AD7A7D">
        <w:rPr>
          <w:color w:val="auto"/>
          <w:szCs w:val="24"/>
        </w:rPr>
        <w:t>s</w:t>
      </w:r>
      <w:r w:rsidR="00821268" w:rsidRPr="00134C58">
        <w:rPr>
          <w:color w:val="auto"/>
          <w:szCs w:val="24"/>
        </w:rPr>
        <w:t xml:space="preserve">urgery, </w:t>
      </w:r>
      <w:r w:rsidR="00AD7A7D">
        <w:rPr>
          <w:color w:val="auto"/>
          <w:szCs w:val="24"/>
        </w:rPr>
        <w:t>h</w:t>
      </w:r>
      <w:r w:rsidR="00821268" w:rsidRPr="00134C58">
        <w:rPr>
          <w:color w:val="auto"/>
          <w:szCs w:val="24"/>
        </w:rPr>
        <w:t xml:space="preserve">ypertension, </w:t>
      </w:r>
      <w:r w:rsidR="00AD7A7D">
        <w:rPr>
          <w:color w:val="auto"/>
          <w:szCs w:val="24"/>
        </w:rPr>
        <w:t>s</w:t>
      </w:r>
      <w:r w:rsidR="00821268" w:rsidRPr="00134C58">
        <w:rPr>
          <w:color w:val="auto"/>
          <w:szCs w:val="24"/>
        </w:rPr>
        <w:t>inusitis</w:t>
      </w:r>
      <w:r w:rsidR="00821268" w:rsidRPr="00134C58">
        <w:rPr>
          <w:rFonts w:asciiTheme="minorHAnsi" w:hAnsiTheme="minorHAnsi"/>
          <w:color w:val="auto"/>
          <w:szCs w:val="24"/>
        </w:rPr>
        <w:t>, the Board unanimously agrees that it cannot recommend a</w:t>
      </w:r>
      <w:r w:rsidR="00B01F1D" w:rsidRPr="00134C58">
        <w:rPr>
          <w:rFonts w:asciiTheme="minorHAnsi" w:hAnsiTheme="minorHAnsi"/>
          <w:color w:val="auto"/>
          <w:szCs w:val="24"/>
        </w:rPr>
        <w:t>ny</w:t>
      </w:r>
      <w:r w:rsidR="00821268" w:rsidRPr="00134C58">
        <w:rPr>
          <w:rFonts w:asciiTheme="minorHAnsi" w:hAnsiTheme="minorHAnsi"/>
          <w:color w:val="auto"/>
          <w:szCs w:val="24"/>
        </w:rPr>
        <w:t xml:space="preserve"> finding of unfit for additional rating at separation.</w:t>
      </w:r>
    </w:p>
    <w:p w:rsidR="002243B3" w:rsidRPr="00B110AC" w:rsidRDefault="002243B3" w:rsidP="006E42C7">
      <w:pPr>
        <w:jc w:val="both"/>
        <w:rPr>
          <w:rFonts w:asciiTheme="minorHAnsi" w:eastAsiaTheme="minorHAnsi" w:hAnsiTheme="minorHAnsi"/>
          <w:b/>
          <w:color w:val="auto"/>
          <w:szCs w:val="24"/>
        </w:rPr>
      </w:pPr>
      <w:r w:rsidRPr="00B110AC">
        <w:rPr>
          <w:rFonts w:asciiTheme="minorHAnsi" w:hAnsiTheme="minorHAnsi"/>
          <w:b/>
          <w:color w:val="auto"/>
          <w:szCs w:val="24"/>
        </w:rPr>
        <w:t>______________________________________________________________________________</w:t>
      </w:r>
    </w:p>
    <w:p w:rsidR="002243B3" w:rsidRPr="00134C58" w:rsidRDefault="002243B3" w:rsidP="006E42C7">
      <w:pPr>
        <w:jc w:val="both"/>
        <w:rPr>
          <w:rFonts w:asciiTheme="minorHAnsi" w:hAnsiTheme="minorHAnsi"/>
          <w:color w:val="auto"/>
          <w:szCs w:val="24"/>
        </w:rPr>
      </w:pPr>
    </w:p>
    <w:p w:rsidR="002A0041" w:rsidRDefault="002A0041">
      <w:pPr>
        <w:rPr>
          <w:rFonts w:asciiTheme="minorHAnsi" w:hAnsiTheme="minorHAnsi"/>
          <w:color w:val="auto"/>
          <w:szCs w:val="24"/>
          <w:u w:val="single"/>
        </w:rPr>
      </w:pPr>
      <w:r>
        <w:rPr>
          <w:rFonts w:asciiTheme="minorHAnsi" w:hAnsiTheme="minorHAnsi"/>
          <w:color w:val="auto"/>
          <w:szCs w:val="24"/>
          <w:u w:val="single"/>
        </w:rPr>
        <w:br w:type="page"/>
      </w:r>
    </w:p>
    <w:p w:rsidR="006B4AA2" w:rsidRPr="00134C58" w:rsidRDefault="00C56FC8" w:rsidP="006E42C7">
      <w:pPr>
        <w:jc w:val="both"/>
        <w:rPr>
          <w:rFonts w:asciiTheme="minorHAnsi" w:hAnsiTheme="minorHAnsi"/>
          <w:color w:val="auto"/>
          <w:szCs w:val="24"/>
        </w:rPr>
      </w:pPr>
      <w:r w:rsidRPr="00134C58">
        <w:rPr>
          <w:rFonts w:asciiTheme="minorHAnsi" w:hAnsiTheme="minorHAnsi"/>
          <w:color w:val="auto"/>
          <w:szCs w:val="24"/>
          <w:u w:val="single"/>
        </w:rPr>
        <w:lastRenderedPageBreak/>
        <w:t>RECOMMENDATION</w:t>
      </w:r>
      <w:r w:rsidRPr="00134C58">
        <w:rPr>
          <w:rFonts w:asciiTheme="minorHAnsi" w:hAnsiTheme="minorHAnsi"/>
          <w:color w:val="auto"/>
          <w:szCs w:val="24"/>
        </w:rPr>
        <w:t>:</w:t>
      </w:r>
      <w:r w:rsidR="00B01F1D" w:rsidRPr="00134C58">
        <w:rPr>
          <w:rFonts w:asciiTheme="minorHAnsi" w:hAnsiTheme="minorHAnsi"/>
          <w:color w:val="auto"/>
          <w:szCs w:val="24"/>
        </w:rPr>
        <w:t xml:space="preserve">  The Board recommends that the CI’s prior determination be modified as follows and that the discharge with severance pay be </w:t>
      </w:r>
      <w:proofErr w:type="spellStart"/>
      <w:r w:rsidR="00B01F1D" w:rsidRPr="00134C58">
        <w:rPr>
          <w:rFonts w:asciiTheme="minorHAnsi" w:hAnsiTheme="minorHAnsi"/>
          <w:color w:val="auto"/>
          <w:szCs w:val="24"/>
        </w:rPr>
        <w:t>recharacterized</w:t>
      </w:r>
      <w:proofErr w:type="spellEnd"/>
      <w:r w:rsidR="00B01F1D" w:rsidRPr="00134C58">
        <w:rPr>
          <w:rFonts w:asciiTheme="minorHAnsi" w:hAnsiTheme="minorHAnsi"/>
          <w:color w:val="auto"/>
          <w:szCs w:val="24"/>
        </w:rPr>
        <w:t xml:space="preserve"> to reflect permanent disability retirement, effective as of the date of his prior medical separation</w:t>
      </w:r>
      <w:r w:rsidR="00BD2A49" w:rsidRPr="00134C58">
        <w:rPr>
          <w:rFonts w:asciiTheme="minorHAnsi" w:hAnsiTheme="minorHAnsi"/>
          <w:color w:val="auto"/>
          <w:szCs w:val="24"/>
        </w:rPr>
        <w:t>:</w:t>
      </w:r>
    </w:p>
    <w:p w:rsidR="00DB0015" w:rsidRPr="00664A06" w:rsidRDefault="00DB0015" w:rsidP="00BF0E94">
      <w:pPr>
        <w:jc w:val="both"/>
        <w:rPr>
          <w:rFonts w:asciiTheme="minorHAnsi" w:hAnsiTheme="minorHAnsi"/>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2088"/>
      </w:tblGrid>
      <w:tr w:rsidR="004F1D41" w:rsidRPr="00664A06" w:rsidTr="00F92933">
        <w:trPr>
          <w:trHeight w:val="240"/>
          <w:jc w:val="center"/>
        </w:trPr>
        <w:tc>
          <w:tcPr>
            <w:tcW w:w="4950" w:type="dxa"/>
            <w:vMerge w:val="restart"/>
            <w:shd w:val="clear" w:color="auto" w:fill="D9D9D9"/>
            <w:vAlign w:val="center"/>
          </w:tcPr>
          <w:p w:rsidR="004F1D41" w:rsidRPr="00664A06" w:rsidRDefault="004F1D41" w:rsidP="00BF0E94">
            <w:pPr>
              <w:tabs>
                <w:tab w:val="left" w:pos="288"/>
                <w:tab w:val="left" w:pos="4752"/>
              </w:tabs>
              <w:rPr>
                <w:rFonts w:asciiTheme="minorHAnsi" w:hAnsiTheme="minorHAnsi"/>
                <w:b/>
                <w:color w:val="000000" w:themeColor="text1"/>
                <w:szCs w:val="24"/>
              </w:rPr>
            </w:pPr>
            <w:r w:rsidRPr="00664A06">
              <w:rPr>
                <w:rFonts w:asciiTheme="minorHAnsi" w:hAnsiTheme="minorHAnsi"/>
                <w:b/>
                <w:color w:val="000000" w:themeColor="text1"/>
                <w:szCs w:val="24"/>
              </w:rPr>
              <w:t>UNFITTING CONDITION</w:t>
            </w:r>
          </w:p>
        </w:tc>
        <w:tc>
          <w:tcPr>
            <w:tcW w:w="1710" w:type="dxa"/>
            <w:vMerge w:val="restart"/>
            <w:shd w:val="clear" w:color="auto" w:fill="D9D9D9"/>
            <w:vAlign w:val="center"/>
          </w:tcPr>
          <w:p w:rsidR="004F1D41" w:rsidRPr="00664A06" w:rsidRDefault="004F1D41" w:rsidP="00BF0E94">
            <w:pPr>
              <w:tabs>
                <w:tab w:val="left" w:pos="288"/>
                <w:tab w:val="left" w:pos="4752"/>
              </w:tabs>
              <w:rPr>
                <w:rFonts w:asciiTheme="minorHAnsi" w:hAnsiTheme="minorHAnsi"/>
                <w:b/>
                <w:color w:val="000000" w:themeColor="text1"/>
                <w:szCs w:val="24"/>
              </w:rPr>
            </w:pPr>
            <w:r w:rsidRPr="00664A06">
              <w:rPr>
                <w:rFonts w:asciiTheme="minorHAnsi" w:hAnsiTheme="minorHAnsi"/>
                <w:b/>
                <w:color w:val="000000" w:themeColor="text1"/>
                <w:szCs w:val="24"/>
              </w:rPr>
              <w:t>VASRD CODE</w:t>
            </w:r>
          </w:p>
        </w:tc>
        <w:tc>
          <w:tcPr>
            <w:tcW w:w="2088" w:type="dxa"/>
            <w:shd w:val="clear" w:color="auto" w:fill="D9D9D9"/>
            <w:vAlign w:val="center"/>
          </w:tcPr>
          <w:p w:rsidR="004F1D41" w:rsidRPr="00664A06" w:rsidRDefault="004F1D41" w:rsidP="00BF0E94">
            <w:pPr>
              <w:tabs>
                <w:tab w:val="left" w:pos="288"/>
                <w:tab w:val="left" w:pos="4752"/>
              </w:tabs>
              <w:rPr>
                <w:rFonts w:asciiTheme="minorHAnsi" w:hAnsiTheme="minorHAnsi"/>
                <w:b/>
                <w:color w:val="000000" w:themeColor="text1"/>
                <w:szCs w:val="24"/>
              </w:rPr>
            </w:pPr>
            <w:r w:rsidRPr="00664A06">
              <w:rPr>
                <w:rFonts w:asciiTheme="minorHAnsi" w:hAnsiTheme="minorHAnsi"/>
                <w:b/>
                <w:color w:val="000000" w:themeColor="text1"/>
                <w:szCs w:val="24"/>
              </w:rPr>
              <w:t>RATING</w:t>
            </w:r>
          </w:p>
        </w:tc>
      </w:tr>
      <w:tr w:rsidR="00F92933" w:rsidRPr="00664A06" w:rsidTr="00F92933">
        <w:trPr>
          <w:trHeight w:val="240"/>
          <w:jc w:val="center"/>
        </w:trPr>
        <w:tc>
          <w:tcPr>
            <w:tcW w:w="4950" w:type="dxa"/>
            <w:vMerge/>
            <w:shd w:val="clear" w:color="auto" w:fill="D9D9D9"/>
            <w:vAlign w:val="center"/>
          </w:tcPr>
          <w:p w:rsidR="00F92933" w:rsidRPr="00664A06" w:rsidRDefault="00F92933" w:rsidP="00BF0E94">
            <w:pPr>
              <w:tabs>
                <w:tab w:val="left" w:pos="288"/>
                <w:tab w:val="left" w:pos="4752"/>
              </w:tabs>
              <w:rPr>
                <w:rFonts w:asciiTheme="minorHAnsi" w:hAnsiTheme="minorHAnsi"/>
                <w:b/>
                <w:color w:val="000000" w:themeColor="text1"/>
                <w:szCs w:val="24"/>
              </w:rPr>
            </w:pPr>
          </w:p>
        </w:tc>
        <w:tc>
          <w:tcPr>
            <w:tcW w:w="1710" w:type="dxa"/>
            <w:vMerge/>
            <w:shd w:val="clear" w:color="auto" w:fill="D9D9D9"/>
            <w:vAlign w:val="center"/>
          </w:tcPr>
          <w:p w:rsidR="00F92933" w:rsidRPr="00664A06" w:rsidRDefault="00F92933" w:rsidP="00BF0E94">
            <w:pPr>
              <w:tabs>
                <w:tab w:val="left" w:pos="288"/>
                <w:tab w:val="left" w:pos="4752"/>
              </w:tabs>
              <w:rPr>
                <w:rFonts w:asciiTheme="minorHAnsi" w:hAnsiTheme="minorHAnsi"/>
                <w:b/>
                <w:color w:val="000000" w:themeColor="text1"/>
                <w:szCs w:val="24"/>
              </w:rPr>
            </w:pPr>
          </w:p>
        </w:tc>
        <w:tc>
          <w:tcPr>
            <w:tcW w:w="2088" w:type="dxa"/>
            <w:shd w:val="pct15" w:color="auto" w:fill="auto"/>
            <w:vAlign w:val="center"/>
          </w:tcPr>
          <w:p w:rsidR="00F92933" w:rsidRPr="00664A06" w:rsidRDefault="00F92933" w:rsidP="004F1D41">
            <w:pPr>
              <w:tabs>
                <w:tab w:val="left" w:pos="288"/>
                <w:tab w:val="left" w:pos="4752"/>
              </w:tabs>
              <w:rPr>
                <w:rFonts w:asciiTheme="minorHAnsi" w:hAnsiTheme="minorHAnsi"/>
                <w:b/>
                <w:color w:val="000000" w:themeColor="text1"/>
                <w:szCs w:val="24"/>
              </w:rPr>
            </w:pPr>
            <w:r w:rsidRPr="00664A06">
              <w:rPr>
                <w:rFonts w:asciiTheme="minorHAnsi" w:hAnsiTheme="minorHAnsi"/>
                <w:b/>
                <w:color w:val="000000" w:themeColor="text1"/>
                <w:szCs w:val="24"/>
              </w:rPr>
              <w:t>PERMANENT</w:t>
            </w:r>
          </w:p>
        </w:tc>
      </w:tr>
      <w:tr w:rsidR="00F92933" w:rsidRPr="00664A06" w:rsidTr="00F92933">
        <w:trPr>
          <w:trHeight w:val="188"/>
          <w:jc w:val="center"/>
        </w:trPr>
        <w:tc>
          <w:tcPr>
            <w:tcW w:w="4950" w:type="dxa"/>
            <w:vAlign w:val="center"/>
          </w:tcPr>
          <w:p w:rsidR="00F92933" w:rsidRPr="00664A06" w:rsidRDefault="00F92933" w:rsidP="000B56FA">
            <w:pPr>
              <w:tabs>
                <w:tab w:val="left" w:pos="288"/>
                <w:tab w:val="left" w:pos="3538"/>
              </w:tabs>
              <w:jc w:val="both"/>
              <w:rPr>
                <w:rFonts w:asciiTheme="minorHAnsi" w:hAnsiTheme="minorHAnsi"/>
                <w:color w:val="000000" w:themeColor="text1"/>
                <w:szCs w:val="24"/>
              </w:rPr>
            </w:pPr>
            <w:r>
              <w:rPr>
                <w:rFonts w:asciiTheme="minorHAnsi" w:hAnsiTheme="minorHAnsi"/>
                <w:color w:val="000000" w:themeColor="text1"/>
                <w:szCs w:val="24"/>
              </w:rPr>
              <w:t>Left Knee ACL Tear and Instability</w:t>
            </w:r>
          </w:p>
        </w:tc>
        <w:tc>
          <w:tcPr>
            <w:tcW w:w="1710" w:type="dxa"/>
            <w:tcBorders>
              <w:bottom w:val="single" w:sz="4" w:space="0" w:color="000000"/>
            </w:tcBorders>
            <w:vAlign w:val="center"/>
          </w:tcPr>
          <w:p w:rsidR="00F92933" w:rsidRPr="00664A06" w:rsidDel="00663DB7" w:rsidRDefault="00F92933" w:rsidP="000B56FA">
            <w:pPr>
              <w:tabs>
                <w:tab w:val="left" w:pos="288"/>
                <w:tab w:val="left" w:pos="4752"/>
              </w:tabs>
              <w:rPr>
                <w:rFonts w:asciiTheme="minorHAnsi" w:hAnsiTheme="minorHAnsi"/>
                <w:color w:val="000000" w:themeColor="text1"/>
                <w:szCs w:val="24"/>
              </w:rPr>
            </w:pPr>
            <w:r>
              <w:rPr>
                <w:rFonts w:asciiTheme="minorHAnsi" w:hAnsiTheme="minorHAnsi"/>
                <w:color w:val="000000" w:themeColor="text1"/>
                <w:szCs w:val="24"/>
              </w:rPr>
              <w:t>5257</w:t>
            </w:r>
          </w:p>
        </w:tc>
        <w:tc>
          <w:tcPr>
            <w:tcW w:w="2088" w:type="dxa"/>
            <w:tcBorders>
              <w:bottom w:val="single" w:sz="4" w:space="0" w:color="000000"/>
            </w:tcBorders>
            <w:vAlign w:val="center"/>
          </w:tcPr>
          <w:p w:rsidR="00F92933" w:rsidRPr="000C28DC" w:rsidRDefault="00F92933" w:rsidP="000B56FA">
            <w:pPr>
              <w:tabs>
                <w:tab w:val="left" w:pos="288"/>
                <w:tab w:val="left" w:pos="4752"/>
              </w:tabs>
              <w:rPr>
                <w:rFonts w:asciiTheme="minorHAnsi" w:hAnsiTheme="minorHAnsi"/>
                <w:color w:val="000000" w:themeColor="text1"/>
                <w:szCs w:val="24"/>
              </w:rPr>
            </w:pPr>
            <w:r w:rsidRPr="000C28DC">
              <w:rPr>
                <w:rFonts w:asciiTheme="minorHAnsi" w:hAnsiTheme="minorHAnsi"/>
                <w:color w:val="000000" w:themeColor="text1"/>
                <w:szCs w:val="24"/>
              </w:rPr>
              <w:t>20%</w:t>
            </w:r>
          </w:p>
        </w:tc>
      </w:tr>
      <w:tr w:rsidR="00F92933" w:rsidRPr="00664A06" w:rsidTr="00F92933">
        <w:trPr>
          <w:trHeight w:val="188"/>
          <w:jc w:val="center"/>
        </w:trPr>
        <w:tc>
          <w:tcPr>
            <w:tcW w:w="4950" w:type="dxa"/>
            <w:vAlign w:val="center"/>
          </w:tcPr>
          <w:p w:rsidR="00F92933" w:rsidRPr="00664A06" w:rsidRDefault="00F92933" w:rsidP="000B56FA">
            <w:pPr>
              <w:tabs>
                <w:tab w:val="left" w:pos="288"/>
                <w:tab w:val="left" w:pos="3538"/>
              </w:tabs>
              <w:jc w:val="both"/>
              <w:rPr>
                <w:rFonts w:asciiTheme="minorHAnsi" w:hAnsiTheme="minorHAnsi"/>
                <w:color w:val="000000" w:themeColor="text1"/>
                <w:szCs w:val="24"/>
              </w:rPr>
            </w:pPr>
            <w:r w:rsidRPr="00664A06">
              <w:rPr>
                <w:rFonts w:asciiTheme="minorHAnsi" w:hAnsiTheme="minorHAnsi"/>
                <w:color w:val="000000" w:themeColor="text1"/>
                <w:szCs w:val="24"/>
              </w:rPr>
              <w:t>Pain</w:t>
            </w:r>
            <w:r>
              <w:rPr>
                <w:rFonts w:asciiTheme="minorHAnsi" w:hAnsiTheme="minorHAnsi"/>
                <w:color w:val="000000" w:themeColor="text1"/>
                <w:szCs w:val="24"/>
              </w:rPr>
              <w:t>-l</w:t>
            </w:r>
            <w:r w:rsidRPr="00664A06">
              <w:rPr>
                <w:rFonts w:asciiTheme="minorHAnsi" w:hAnsiTheme="minorHAnsi"/>
                <w:color w:val="000000" w:themeColor="text1"/>
                <w:szCs w:val="24"/>
              </w:rPr>
              <w:t xml:space="preserve">imited </w:t>
            </w:r>
            <w:r>
              <w:rPr>
                <w:rFonts w:asciiTheme="minorHAnsi" w:hAnsiTheme="minorHAnsi"/>
                <w:color w:val="000000" w:themeColor="text1"/>
                <w:szCs w:val="24"/>
              </w:rPr>
              <w:t>Flexion</w:t>
            </w:r>
            <w:r w:rsidRPr="00664A06">
              <w:rPr>
                <w:rFonts w:asciiTheme="minorHAnsi" w:hAnsiTheme="minorHAnsi"/>
                <w:color w:val="000000" w:themeColor="text1"/>
                <w:szCs w:val="24"/>
              </w:rPr>
              <w:t xml:space="preserve"> of the Left Knee</w:t>
            </w:r>
          </w:p>
        </w:tc>
        <w:tc>
          <w:tcPr>
            <w:tcW w:w="1710" w:type="dxa"/>
            <w:tcBorders>
              <w:bottom w:val="single" w:sz="4" w:space="0" w:color="000000"/>
            </w:tcBorders>
            <w:vAlign w:val="center"/>
          </w:tcPr>
          <w:p w:rsidR="00F92933" w:rsidRPr="00664A06" w:rsidRDefault="00F92933" w:rsidP="000B56FA">
            <w:pPr>
              <w:tabs>
                <w:tab w:val="left" w:pos="288"/>
                <w:tab w:val="left" w:pos="4752"/>
              </w:tabs>
              <w:rPr>
                <w:rFonts w:asciiTheme="minorHAnsi" w:hAnsiTheme="minorHAnsi"/>
                <w:color w:val="000000" w:themeColor="text1"/>
                <w:szCs w:val="24"/>
              </w:rPr>
            </w:pPr>
            <w:r>
              <w:rPr>
                <w:rFonts w:asciiTheme="minorHAnsi" w:hAnsiTheme="minorHAnsi"/>
                <w:color w:val="000000" w:themeColor="text1"/>
                <w:szCs w:val="24"/>
              </w:rPr>
              <w:t>5260</w:t>
            </w:r>
          </w:p>
        </w:tc>
        <w:tc>
          <w:tcPr>
            <w:tcW w:w="2088" w:type="dxa"/>
            <w:tcBorders>
              <w:bottom w:val="single" w:sz="4" w:space="0" w:color="000000"/>
            </w:tcBorders>
            <w:vAlign w:val="center"/>
          </w:tcPr>
          <w:p w:rsidR="00F92933" w:rsidRPr="000C28DC" w:rsidRDefault="00F92933" w:rsidP="000B56FA">
            <w:pPr>
              <w:tabs>
                <w:tab w:val="left" w:pos="288"/>
                <w:tab w:val="left" w:pos="4752"/>
              </w:tabs>
              <w:rPr>
                <w:rFonts w:asciiTheme="minorHAnsi" w:hAnsiTheme="minorHAnsi"/>
                <w:color w:val="000000" w:themeColor="text1"/>
                <w:szCs w:val="24"/>
              </w:rPr>
            </w:pPr>
            <w:r w:rsidRPr="000C28DC">
              <w:rPr>
                <w:rFonts w:asciiTheme="minorHAnsi" w:hAnsiTheme="minorHAnsi"/>
                <w:color w:val="000000" w:themeColor="text1"/>
                <w:szCs w:val="24"/>
              </w:rPr>
              <w:t>10%</w:t>
            </w:r>
          </w:p>
        </w:tc>
      </w:tr>
      <w:tr w:rsidR="00F92933" w:rsidRPr="00664A06" w:rsidTr="00F92933">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F92933" w:rsidRPr="00664A06" w:rsidRDefault="00F92933" w:rsidP="000B56FA">
            <w:pPr>
              <w:tabs>
                <w:tab w:val="left" w:pos="288"/>
                <w:tab w:val="left" w:pos="4752"/>
              </w:tabs>
              <w:rPr>
                <w:rFonts w:asciiTheme="minorHAnsi" w:hAnsiTheme="minorHAnsi"/>
                <w:b/>
                <w:color w:val="000000" w:themeColor="text1"/>
                <w:szCs w:val="24"/>
              </w:rPr>
            </w:pPr>
            <w:r w:rsidRPr="00664A06">
              <w:rPr>
                <w:rFonts w:asciiTheme="minorHAnsi" w:hAnsiTheme="minorHAnsi"/>
                <w:b/>
                <w:color w:val="000000" w:themeColor="text1"/>
                <w:szCs w:val="24"/>
              </w:rPr>
              <w:t>COMBINED</w:t>
            </w:r>
          </w:p>
        </w:tc>
        <w:tc>
          <w:tcPr>
            <w:tcW w:w="2088" w:type="dxa"/>
            <w:shd w:val="pct15" w:color="auto" w:fill="auto"/>
            <w:vAlign w:val="center"/>
          </w:tcPr>
          <w:p w:rsidR="00F92933" w:rsidRPr="00664A06" w:rsidRDefault="00F92933" w:rsidP="000B56FA">
            <w:pPr>
              <w:tabs>
                <w:tab w:val="left" w:pos="288"/>
                <w:tab w:val="left" w:pos="4752"/>
              </w:tabs>
              <w:rPr>
                <w:rFonts w:asciiTheme="minorHAnsi" w:hAnsiTheme="minorHAnsi"/>
                <w:b/>
                <w:color w:val="000000" w:themeColor="text1"/>
                <w:szCs w:val="24"/>
              </w:rPr>
            </w:pPr>
            <w:r>
              <w:rPr>
                <w:rFonts w:asciiTheme="minorHAnsi" w:hAnsiTheme="minorHAnsi"/>
                <w:b/>
                <w:color w:val="000000" w:themeColor="text1"/>
                <w:szCs w:val="24"/>
              </w:rPr>
              <w:t>30</w:t>
            </w:r>
            <w:r w:rsidRPr="00664A06">
              <w:rPr>
                <w:rFonts w:asciiTheme="minorHAnsi" w:hAnsiTheme="minorHAnsi"/>
                <w:b/>
                <w:color w:val="000000" w:themeColor="text1"/>
                <w:szCs w:val="24"/>
              </w:rPr>
              <w:t>%</w:t>
            </w:r>
          </w:p>
        </w:tc>
      </w:tr>
    </w:tbl>
    <w:p w:rsidR="005B1D09" w:rsidRPr="00664A06" w:rsidRDefault="005B1D09" w:rsidP="00134C58">
      <w:pPr>
        <w:pBdr>
          <w:bottom w:val="single" w:sz="12" w:space="1" w:color="auto"/>
        </w:pBdr>
        <w:tabs>
          <w:tab w:val="left" w:pos="288"/>
          <w:tab w:val="left" w:pos="4752"/>
        </w:tabs>
        <w:jc w:val="both"/>
        <w:rPr>
          <w:rFonts w:asciiTheme="minorHAnsi" w:hAnsiTheme="minorHAnsi"/>
          <w:color w:val="000000" w:themeColor="text1"/>
        </w:rPr>
      </w:pPr>
    </w:p>
    <w:p w:rsidR="005B1D09" w:rsidRPr="00664A06" w:rsidRDefault="005B1D09" w:rsidP="00134C58">
      <w:pPr>
        <w:jc w:val="both"/>
        <w:rPr>
          <w:rFonts w:asciiTheme="minorHAnsi" w:hAnsiTheme="minorHAnsi"/>
          <w:color w:val="000000" w:themeColor="text1"/>
          <w:szCs w:val="24"/>
        </w:rPr>
      </w:pPr>
    </w:p>
    <w:p w:rsidR="00D91DA6" w:rsidRPr="00664A06" w:rsidRDefault="00FB1725" w:rsidP="00134C58">
      <w:pPr>
        <w:tabs>
          <w:tab w:val="left" w:pos="288"/>
          <w:tab w:val="left" w:pos="4752"/>
        </w:tabs>
        <w:jc w:val="both"/>
        <w:rPr>
          <w:rFonts w:asciiTheme="minorHAnsi" w:hAnsiTheme="minorHAnsi"/>
          <w:color w:val="000000" w:themeColor="text1"/>
        </w:rPr>
      </w:pPr>
      <w:r w:rsidRPr="00664A06">
        <w:rPr>
          <w:rFonts w:asciiTheme="minorHAnsi" w:hAnsiTheme="minorHAnsi"/>
          <w:color w:val="000000" w:themeColor="text1"/>
        </w:rPr>
        <w:t>The following documentary evidence was considered:</w:t>
      </w:r>
    </w:p>
    <w:p w:rsidR="00EB5EFD" w:rsidRPr="00664A06" w:rsidRDefault="00EB5EFD" w:rsidP="00134C58">
      <w:pPr>
        <w:tabs>
          <w:tab w:val="left" w:pos="288"/>
          <w:tab w:val="left" w:pos="4752"/>
        </w:tabs>
        <w:jc w:val="both"/>
        <w:rPr>
          <w:rFonts w:asciiTheme="minorHAnsi" w:hAnsiTheme="minorHAnsi"/>
          <w:color w:val="000000" w:themeColor="text1"/>
        </w:rPr>
      </w:pPr>
    </w:p>
    <w:p w:rsidR="00114F20" w:rsidRPr="00664A06" w:rsidRDefault="00FB1725" w:rsidP="00134C58">
      <w:pPr>
        <w:tabs>
          <w:tab w:val="left" w:pos="288"/>
          <w:tab w:val="left" w:pos="4752"/>
        </w:tabs>
        <w:jc w:val="both"/>
        <w:rPr>
          <w:rFonts w:asciiTheme="minorHAnsi" w:hAnsiTheme="minorHAnsi"/>
          <w:color w:val="000000" w:themeColor="text1"/>
        </w:rPr>
      </w:pPr>
      <w:r w:rsidRPr="00664A06">
        <w:rPr>
          <w:rFonts w:asciiTheme="minorHAnsi" w:hAnsiTheme="minorHAnsi"/>
          <w:color w:val="000000" w:themeColor="text1"/>
        </w:rPr>
        <w:t xml:space="preserve">Exhibit A.  DD Form 294, </w:t>
      </w:r>
      <w:r w:rsidRPr="00664A06">
        <w:rPr>
          <w:rFonts w:asciiTheme="minorHAnsi" w:hAnsiTheme="minorHAnsi"/>
          <w:color w:val="000000" w:themeColor="text1"/>
          <w:szCs w:val="24"/>
        </w:rPr>
        <w:t>dated 20</w:t>
      </w:r>
      <w:r w:rsidR="001215DF" w:rsidRPr="00664A06">
        <w:rPr>
          <w:rFonts w:asciiTheme="minorHAnsi" w:hAnsiTheme="minorHAnsi"/>
          <w:color w:val="000000" w:themeColor="text1"/>
          <w:szCs w:val="24"/>
        </w:rPr>
        <w:t>1</w:t>
      </w:r>
      <w:r w:rsidR="00F57E6E" w:rsidRPr="00664A06">
        <w:rPr>
          <w:rFonts w:asciiTheme="minorHAnsi" w:hAnsiTheme="minorHAnsi"/>
          <w:color w:val="000000" w:themeColor="text1"/>
          <w:szCs w:val="24"/>
        </w:rPr>
        <w:t>10719</w:t>
      </w:r>
      <w:r w:rsidR="00AD7A7D">
        <w:rPr>
          <w:rFonts w:asciiTheme="minorHAnsi" w:hAnsiTheme="minorHAnsi"/>
          <w:color w:val="000000" w:themeColor="text1"/>
        </w:rPr>
        <w:t>, w/</w:t>
      </w:r>
      <w:proofErr w:type="spellStart"/>
      <w:r w:rsidR="00AD7A7D">
        <w:rPr>
          <w:rFonts w:asciiTheme="minorHAnsi" w:hAnsiTheme="minorHAnsi"/>
          <w:color w:val="000000" w:themeColor="text1"/>
        </w:rPr>
        <w:t>atchs</w:t>
      </w:r>
      <w:proofErr w:type="spellEnd"/>
    </w:p>
    <w:p w:rsidR="00114F20" w:rsidRPr="00664A06" w:rsidRDefault="00FB1725" w:rsidP="00134C58">
      <w:pPr>
        <w:tabs>
          <w:tab w:val="left" w:pos="288"/>
          <w:tab w:val="left" w:pos="4752"/>
        </w:tabs>
        <w:jc w:val="both"/>
        <w:rPr>
          <w:rFonts w:asciiTheme="minorHAnsi" w:hAnsiTheme="minorHAnsi"/>
          <w:color w:val="000000" w:themeColor="text1"/>
        </w:rPr>
      </w:pPr>
      <w:r w:rsidRPr="00664A06">
        <w:rPr>
          <w:rFonts w:asciiTheme="minorHAnsi" w:hAnsiTheme="minorHAnsi"/>
          <w:color w:val="000000" w:themeColor="text1"/>
        </w:rPr>
        <w:t>Exhib</w:t>
      </w:r>
      <w:r w:rsidR="00AD7A7D">
        <w:rPr>
          <w:rFonts w:asciiTheme="minorHAnsi" w:hAnsiTheme="minorHAnsi"/>
          <w:color w:val="000000" w:themeColor="text1"/>
        </w:rPr>
        <w:t>it B.  Service Treatment Record</w:t>
      </w:r>
    </w:p>
    <w:p w:rsidR="00114F20" w:rsidRPr="00664A06" w:rsidRDefault="00FB1725" w:rsidP="00134C58">
      <w:pPr>
        <w:tabs>
          <w:tab w:val="left" w:pos="288"/>
          <w:tab w:val="left" w:pos="4752"/>
        </w:tabs>
        <w:jc w:val="both"/>
        <w:rPr>
          <w:rFonts w:asciiTheme="minorHAnsi" w:hAnsiTheme="minorHAnsi"/>
          <w:color w:val="000000" w:themeColor="text1"/>
        </w:rPr>
      </w:pPr>
      <w:r w:rsidRPr="00664A06">
        <w:rPr>
          <w:rFonts w:asciiTheme="minorHAnsi" w:hAnsiTheme="minorHAnsi"/>
          <w:color w:val="000000" w:themeColor="text1"/>
        </w:rPr>
        <w:t xml:space="preserve">Exhibit C.  Department of Veterans Affairs </w:t>
      </w:r>
      <w:r w:rsidR="00AD7A7D">
        <w:rPr>
          <w:rFonts w:asciiTheme="minorHAnsi" w:hAnsiTheme="minorHAnsi"/>
          <w:color w:val="000000" w:themeColor="text1"/>
        </w:rPr>
        <w:t>Treatment Record</w:t>
      </w:r>
    </w:p>
    <w:p w:rsidR="00D91DA6" w:rsidRPr="00664A06" w:rsidRDefault="00D91DA6" w:rsidP="00134C58">
      <w:pPr>
        <w:tabs>
          <w:tab w:val="left" w:pos="288"/>
          <w:tab w:val="left" w:pos="4752"/>
        </w:tabs>
        <w:jc w:val="both"/>
        <w:rPr>
          <w:rFonts w:asciiTheme="minorHAnsi" w:hAnsiTheme="minorHAnsi"/>
          <w:color w:val="000000" w:themeColor="text1"/>
        </w:rPr>
      </w:pPr>
    </w:p>
    <w:p w:rsidR="00114F20" w:rsidRPr="00664A06" w:rsidRDefault="00114F20" w:rsidP="00134C58">
      <w:pPr>
        <w:tabs>
          <w:tab w:val="left" w:pos="288"/>
          <w:tab w:val="left" w:pos="4752"/>
        </w:tabs>
        <w:jc w:val="both"/>
        <w:rPr>
          <w:rFonts w:asciiTheme="minorHAnsi" w:hAnsiTheme="minorHAnsi"/>
          <w:color w:val="000000" w:themeColor="text1"/>
        </w:rPr>
      </w:pPr>
    </w:p>
    <w:p w:rsidR="00114F20" w:rsidRPr="00664A06" w:rsidRDefault="00114F20" w:rsidP="00134C58">
      <w:pPr>
        <w:tabs>
          <w:tab w:val="left" w:pos="288"/>
          <w:tab w:val="left" w:pos="4752"/>
        </w:tabs>
        <w:jc w:val="both"/>
        <w:rPr>
          <w:rFonts w:asciiTheme="minorHAnsi" w:hAnsiTheme="minorHAnsi"/>
          <w:color w:val="000000" w:themeColor="text1"/>
        </w:rPr>
      </w:pPr>
    </w:p>
    <w:p w:rsidR="00114F20" w:rsidRPr="00664A06" w:rsidRDefault="00114F20" w:rsidP="00134C58">
      <w:pPr>
        <w:tabs>
          <w:tab w:val="left" w:pos="288"/>
          <w:tab w:val="left" w:pos="4752"/>
        </w:tabs>
        <w:jc w:val="both"/>
        <w:rPr>
          <w:rFonts w:asciiTheme="minorHAnsi" w:hAnsiTheme="minorHAnsi"/>
          <w:color w:val="000000" w:themeColor="text1"/>
        </w:rPr>
      </w:pPr>
    </w:p>
    <w:p w:rsidR="00E3077F" w:rsidRPr="00664A06" w:rsidRDefault="00220FA9" w:rsidP="00134C58">
      <w:pPr>
        <w:tabs>
          <w:tab w:val="left" w:pos="0"/>
          <w:tab w:val="left" w:pos="4320"/>
        </w:tabs>
        <w:jc w:val="both"/>
        <w:rPr>
          <w:rFonts w:asciiTheme="minorHAnsi" w:hAnsiTheme="minorHAnsi"/>
          <w:color w:val="000000" w:themeColor="text1"/>
          <w:szCs w:val="24"/>
        </w:rPr>
      </w:pPr>
      <w:r w:rsidRPr="00664A06">
        <w:rPr>
          <w:rFonts w:asciiTheme="minorHAnsi" w:hAnsiTheme="minorHAnsi"/>
          <w:color w:val="000000" w:themeColor="text1"/>
          <w:szCs w:val="24"/>
        </w:rPr>
        <w:tab/>
      </w:r>
      <w:r w:rsidR="008E3C90" w:rsidRPr="00664A06">
        <w:rPr>
          <w:rFonts w:asciiTheme="minorHAnsi" w:hAnsiTheme="minorHAnsi"/>
          <w:color w:val="000000" w:themeColor="text1"/>
          <w:szCs w:val="24"/>
        </w:rPr>
        <w:t xml:space="preserve">           </w:t>
      </w:r>
      <w:r w:rsidR="009D72CC">
        <w:rPr>
          <w:rFonts w:asciiTheme="minorHAnsi" w:hAnsiTheme="minorHAnsi"/>
          <w:color w:val="000000" w:themeColor="text1"/>
          <w:szCs w:val="24"/>
        </w:rPr>
        <w:t>XXXXXXXXXX</w:t>
      </w:r>
    </w:p>
    <w:p w:rsidR="002F195B" w:rsidRPr="00664A06" w:rsidRDefault="00220FA9" w:rsidP="00134C58">
      <w:pPr>
        <w:tabs>
          <w:tab w:val="left" w:pos="0"/>
          <w:tab w:val="left" w:pos="4320"/>
        </w:tabs>
        <w:jc w:val="both"/>
        <w:rPr>
          <w:rFonts w:asciiTheme="minorHAnsi" w:hAnsiTheme="minorHAnsi"/>
          <w:color w:val="000000" w:themeColor="text1"/>
          <w:szCs w:val="24"/>
        </w:rPr>
      </w:pPr>
      <w:r w:rsidRPr="00664A06">
        <w:rPr>
          <w:rFonts w:asciiTheme="minorHAnsi" w:hAnsiTheme="minorHAnsi"/>
          <w:color w:val="000000" w:themeColor="text1"/>
          <w:szCs w:val="24"/>
        </w:rPr>
        <w:tab/>
      </w:r>
      <w:r w:rsidR="008E3C90" w:rsidRPr="00664A06">
        <w:rPr>
          <w:rFonts w:asciiTheme="minorHAnsi" w:hAnsiTheme="minorHAnsi"/>
          <w:color w:val="000000" w:themeColor="text1"/>
          <w:szCs w:val="24"/>
        </w:rPr>
        <w:t xml:space="preserve">           </w:t>
      </w:r>
      <w:r w:rsidR="005F73CA" w:rsidRPr="00664A06">
        <w:rPr>
          <w:rFonts w:asciiTheme="minorHAnsi" w:hAnsiTheme="minorHAnsi"/>
          <w:color w:val="000000" w:themeColor="text1"/>
          <w:szCs w:val="24"/>
        </w:rPr>
        <w:t>President</w:t>
      </w:r>
    </w:p>
    <w:p w:rsidR="002F7446" w:rsidRPr="00FC5290" w:rsidRDefault="002F195B" w:rsidP="00CE3B06">
      <w:pPr>
        <w:tabs>
          <w:tab w:val="left" w:pos="0"/>
          <w:tab w:val="left" w:pos="4320"/>
        </w:tabs>
        <w:jc w:val="both"/>
        <w:rPr>
          <w:rFonts w:asciiTheme="minorHAnsi" w:hAnsiTheme="minorHAnsi"/>
          <w:color w:val="auto"/>
          <w:szCs w:val="24"/>
        </w:rPr>
      </w:pPr>
      <w:r w:rsidRPr="00664A06">
        <w:rPr>
          <w:rFonts w:asciiTheme="minorHAnsi" w:hAnsiTheme="minorHAnsi"/>
          <w:color w:val="000000" w:themeColor="text1"/>
          <w:szCs w:val="24"/>
        </w:rPr>
        <w:tab/>
        <w:t xml:space="preserve">           </w:t>
      </w:r>
      <w:r w:rsidR="00220FA9" w:rsidRPr="00664A06">
        <w:rPr>
          <w:rFonts w:asciiTheme="minorHAnsi" w:hAnsiTheme="minorHAnsi"/>
          <w:color w:val="000000" w:themeColor="text1"/>
          <w:szCs w:val="24"/>
        </w:rPr>
        <w:t>P</w:t>
      </w:r>
      <w:r w:rsidR="00E3077F" w:rsidRPr="00664A06">
        <w:rPr>
          <w:rFonts w:asciiTheme="minorHAnsi" w:hAnsiTheme="minorHAnsi"/>
          <w:color w:val="000000" w:themeColor="text1"/>
          <w:szCs w:val="24"/>
        </w:rPr>
        <w:t>hysical Disability Board of Review</w:t>
      </w:r>
    </w:p>
    <w:p w:rsidR="009D72CC" w:rsidRDefault="009D72CC">
      <w:pPr>
        <w:rPr>
          <w:rFonts w:asciiTheme="minorHAnsi" w:hAnsiTheme="minorHAnsi"/>
          <w:color w:val="auto"/>
          <w:szCs w:val="24"/>
          <w:u w:val="single"/>
        </w:rPr>
      </w:pPr>
      <w:r>
        <w:rPr>
          <w:rFonts w:asciiTheme="minorHAnsi" w:hAnsiTheme="minorHAnsi"/>
          <w:color w:val="auto"/>
          <w:szCs w:val="24"/>
          <w:u w:val="single"/>
        </w:rPr>
        <w:br w:type="page"/>
      </w:r>
    </w:p>
    <w:p w:rsidR="009D72CC" w:rsidRDefault="009D72CC" w:rsidP="009D72CC">
      <w:pPr>
        <w:pStyle w:val="Header"/>
        <w:tabs>
          <w:tab w:val="left" w:pos="720"/>
        </w:tabs>
        <w:jc w:val="left"/>
      </w:pPr>
      <w:r>
        <w:lastRenderedPageBreak/>
        <w:t>SFMR-RB</w:t>
      </w:r>
      <w:r>
        <w:tab/>
      </w:r>
      <w:r>
        <w:tab/>
      </w:r>
      <w:r>
        <w:tab/>
      </w:r>
      <w:r>
        <w:tab/>
      </w:r>
      <w:r>
        <w:tab/>
      </w:r>
      <w:r>
        <w:tab/>
      </w:r>
      <w:r>
        <w:tab/>
      </w:r>
      <w:r>
        <w:tab/>
      </w:r>
      <w:r>
        <w:tab/>
      </w:r>
    </w:p>
    <w:p w:rsidR="009D72CC" w:rsidRDefault="009D72CC" w:rsidP="009D72CC">
      <w:pPr>
        <w:pStyle w:val="Header"/>
        <w:tabs>
          <w:tab w:val="left" w:pos="720"/>
        </w:tabs>
        <w:jc w:val="left"/>
      </w:pPr>
    </w:p>
    <w:p w:rsidR="009D72CC" w:rsidRDefault="009D72CC" w:rsidP="009D72CC">
      <w:pPr>
        <w:jc w:val="left"/>
      </w:pPr>
    </w:p>
    <w:p w:rsidR="009D72CC" w:rsidRDefault="009D72CC" w:rsidP="009D72CC">
      <w:pPr>
        <w:jc w:val="left"/>
      </w:pPr>
      <w:r>
        <w:t xml:space="preserve">MEMORANDUM FOR Commander, US Army Physical Disability Agency </w:t>
      </w:r>
    </w:p>
    <w:p w:rsidR="009D72CC" w:rsidRDefault="009D72CC" w:rsidP="009D72CC">
      <w:pPr>
        <w:jc w:val="left"/>
      </w:pPr>
      <w:r>
        <w:t>(TAPD-ZB /), 2900 Crystal Drive, Suite 300, Arlington, VA  22202</w:t>
      </w:r>
    </w:p>
    <w:p w:rsidR="009D72CC" w:rsidRDefault="009D72CC" w:rsidP="009D72CC">
      <w:pPr>
        <w:jc w:val="left"/>
      </w:pPr>
    </w:p>
    <w:p w:rsidR="009D72CC" w:rsidRDefault="009D72CC" w:rsidP="009D72CC">
      <w:pPr>
        <w:ind w:right="-180"/>
        <w:jc w:val="left"/>
      </w:pPr>
      <w:r>
        <w:t xml:space="preserve">SUBJECT:  Department of Defense Physical Disability Board of Review Recommendation </w:t>
      </w:r>
    </w:p>
    <w:p w:rsidR="009D72CC" w:rsidRDefault="009D72CC" w:rsidP="009D72CC">
      <w:pPr>
        <w:pStyle w:val="Header"/>
        <w:tabs>
          <w:tab w:val="left" w:pos="720"/>
        </w:tabs>
        <w:jc w:val="left"/>
      </w:pPr>
      <w:proofErr w:type="gramStart"/>
      <w:r>
        <w:t>for</w:t>
      </w:r>
      <w:proofErr w:type="gramEnd"/>
      <w:r>
        <w:t xml:space="preserve"> XXXXXXXXXXX, AR20120007686 (PD201100513)</w:t>
      </w:r>
    </w:p>
    <w:p w:rsidR="009D72CC" w:rsidRDefault="009D72CC" w:rsidP="009D72CC">
      <w:pPr>
        <w:pStyle w:val="Header"/>
        <w:tabs>
          <w:tab w:val="left" w:pos="720"/>
        </w:tabs>
        <w:jc w:val="left"/>
      </w:pPr>
    </w:p>
    <w:p w:rsidR="009D72CC" w:rsidRDefault="009D72CC" w:rsidP="009D72CC">
      <w:pPr>
        <w:jc w:val="left"/>
      </w:pPr>
    </w:p>
    <w:p w:rsidR="009D72CC" w:rsidRDefault="009D72CC" w:rsidP="009D72CC">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Reserve retirement.  </w:t>
      </w:r>
    </w:p>
    <w:p w:rsidR="009D72CC" w:rsidRDefault="009D72CC" w:rsidP="009D72CC">
      <w:pPr>
        <w:jc w:val="left"/>
      </w:pPr>
    </w:p>
    <w:p w:rsidR="009D72CC" w:rsidRDefault="009D72CC" w:rsidP="009D72CC">
      <w:pPr>
        <w:jc w:val="left"/>
      </w:pPr>
      <w:r>
        <w:t>2.  I direct that all the Department of the Army records of the individual concerned be corrected accordingly no later than 120 days from the date of this memorandum:</w:t>
      </w:r>
    </w:p>
    <w:p w:rsidR="009D72CC" w:rsidRDefault="009D72CC" w:rsidP="009D72CC">
      <w:pPr>
        <w:jc w:val="left"/>
      </w:pPr>
    </w:p>
    <w:p w:rsidR="009D72CC" w:rsidRDefault="009D72CC" w:rsidP="009D72CC">
      <w:pPr>
        <w:jc w:val="left"/>
      </w:pPr>
      <w:r>
        <w:tab/>
        <w:t>a.  Providing a correction to the individual’s separation document showing that the individual was separated by reason of permanent disability retirement effective the date of the original medical separation for disability with Reserve retirement.</w:t>
      </w:r>
    </w:p>
    <w:p w:rsidR="009D72CC" w:rsidRDefault="009D72CC" w:rsidP="009D72CC">
      <w:pPr>
        <w:jc w:val="left"/>
      </w:pPr>
    </w:p>
    <w:p w:rsidR="009D72CC" w:rsidRDefault="009D72CC" w:rsidP="009D72CC">
      <w:pPr>
        <w:jc w:val="left"/>
      </w:pPr>
      <w:r>
        <w:tab/>
      </w:r>
      <w:proofErr w:type="gramStart"/>
      <w:r>
        <w:t>b.  Providing</w:t>
      </w:r>
      <w:proofErr w:type="gramEnd"/>
      <w:r>
        <w:t xml:space="preserve"> orders showing that the individual was retired with permanent disability effective the date of the original medical separation for disability with Reserve retirement.</w:t>
      </w:r>
    </w:p>
    <w:p w:rsidR="009D72CC" w:rsidRDefault="009D72CC" w:rsidP="009D72CC">
      <w:pPr>
        <w:jc w:val="left"/>
      </w:pPr>
    </w:p>
    <w:p w:rsidR="009D72CC" w:rsidRDefault="009D72CC" w:rsidP="009D72CC">
      <w:pPr>
        <w:jc w:val="left"/>
      </w:pPr>
      <w:r>
        <w:tab/>
      </w:r>
      <w:proofErr w:type="gramStart"/>
      <w:r>
        <w:t>c.  Adjusting</w:t>
      </w:r>
      <w:proofErr w:type="gramEnd"/>
      <w:r>
        <w:t xml:space="preserve"> pay and allowances accordingly.  Pay and allowance adjustment will account for of permanent retired pay at 30% effective the date of the original medical separation for disability with Reserve retirement.</w:t>
      </w:r>
    </w:p>
    <w:p w:rsidR="009D72CC" w:rsidRDefault="009D72CC" w:rsidP="009D72CC">
      <w:pPr>
        <w:jc w:val="left"/>
      </w:pPr>
    </w:p>
    <w:p w:rsidR="009D72CC" w:rsidRDefault="009D72CC" w:rsidP="009D72CC">
      <w:pPr>
        <w:jc w:val="left"/>
      </w:pPr>
      <w:r>
        <w:tab/>
      </w:r>
      <w:proofErr w:type="gramStart"/>
      <w:r>
        <w:t>d.  Affording</w:t>
      </w:r>
      <w:proofErr w:type="gramEnd"/>
      <w:r>
        <w:t xml:space="preserve"> the individual the opportunity to elect Survivor Benefit Plan (SBP) and medical TRICARE retiree options.</w:t>
      </w:r>
    </w:p>
    <w:p w:rsidR="009D72CC" w:rsidRDefault="009D72CC" w:rsidP="009D72CC">
      <w:pPr>
        <w:jc w:val="left"/>
      </w:pPr>
    </w:p>
    <w:p w:rsidR="009D72CC" w:rsidRDefault="009D72CC" w:rsidP="009D72CC">
      <w:pPr>
        <w:jc w:val="left"/>
      </w:pPr>
    </w:p>
    <w:p w:rsidR="009D72CC" w:rsidRDefault="009D72CC" w:rsidP="009D72CC">
      <w:pPr>
        <w:jc w:val="left"/>
      </w:pPr>
    </w:p>
    <w:p w:rsidR="009D72CC" w:rsidRDefault="009D72CC" w:rsidP="009D72C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D72CC" w:rsidRDefault="009D72CC" w:rsidP="009D72CC">
      <w:pPr>
        <w:jc w:val="left"/>
      </w:pPr>
    </w:p>
    <w:p w:rsidR="009D72CC" w:rsidRDefault="009D72CC" w:rsidP="009D72CC">
      <w:pPr>
        <w:jc w:val="left"/>
      </w:pPr>
      <w:r>
        <w:t>BY ORDER OF THE SECRETARY OF THE ARMY:</w:t>
      </w:r>
    </w:p>
    <w:p w:rsidR="009D72CC" w:rsidRDefault="009D72CC" w:rsidP="009D72CC">
      <w:pPr>
        <w:jc w:val="left"/>
      </w:pPr>
    </w:p>
    <w:p w:rsidR="009D72CC" w:rsidRDefault="009D72CC" w:rsidP="009D72CC">
      <w:pPr>
        <w:pStyle w:val="Header"/>
        <w:tabs>
          <w:tab w:val="left" w:pos="720"/>
        </w:tabs>
        <w:jc w:val="left"/>
      </w:pPr>
    </w:p>
    <w:p w:rsidR="009D72CC" w:rsidRDefault="009D72CC" w:rsidP="009D72CC">
      <w:pPr>
        <w:jc w:val="left"/>
      </w:pPr>
    </w:p>
    <w:p w:rsidR="009D72CC" w:rsidRDefault="009D72CC" w:rsidP="009D72CC">
      <w:pPr>
        <w:jc w:val="left"/>
      </w:pPr>
      <w:bookmarkStart w:id="0" w:name="OLE_LINK4"/>
      <w:bookmarkStart w:id="1" w:name="OLE_LINK3"/>
      <w:r>
        <w:t>Encl</w:t>
      </w:r>
      <w:r>
        <w:tab/>
      </w:r>
      <w:r>
        <w:tab/>
      </w:r>
      <w:r>
        <w:tab/>
      </w:r>
      <w:r>
        <w:tab/>
      </w:r>
      <w:r>
        <w:tab/>
      </w:r>
      <w:r>
        <w:tab/>
        <w:t xml:space="preserve">     XXXXXXXX</w:t>
      </w:r>
    </w:p>
    <w:p w:rsidR="009D72CC" w:rsidRDefault="009D72CC" w:rsidP="009D72CC">
      <w:pPr>
        <w:jc w:val="left"/>
      </w:pPr>
      <w:r>
        <w:tab/>
      </w:r>
      <w:r>
        <w:tab/>
      </w:r>
      <w:r>
        <w:tab/>
      </w:r>
      <w:r>
        <w:tab/>
      </w:r>
      <w:r>
        <w:tab/>
      </w:r>
      <w:r>
        <w:tab/>
        <w:t xml:space="preserve">     Deputy Assistant Secretary</w:t>
      </w:r>
    </w:p>
    <w:p w:rsidR="009D72CC" w:rsidRDefault="009D72CC" w:rsidP="009D72CC">
      <w:pPr>
        <w:jc w:val="left"/>
      </w:pPr>
      <w:r>
        <w:tab/>
      </w:r>
      <w:r>
        <w:tab/>
      </w:r>
      <w:r>
        <w:tab/>
      </w:r>
      <w:r>
        <w:tab/>
      </w:r>
      <w:r>
        <w:tab/>
      </w:r>
      <w:r>
        <w:tab/>
        <w:t xml:space="preserve">         (Army Review Boards)</w:t>
      </w:r>
      <w:bookmarkEnd w:id="0"/>
      <w:bookmarkEnd w:id="1"/>
    </w:p>
    <w:p w:rsidR="009D72CC" w:rsidRDefault="009D72CC" w:rsidP="009D72CC">
      <w:pPr>
        <w:jc w:val="left"/>
      </w:pPr>
    </w:p>
    <w:p w:rsidR="009D72CC" w:rsidRDefault="009D72CC" w:rsidP="009D72CC">
      <w:pPr>
        <w:jc w:val="left"/>
      </w:pPr>
      <w:r>
        <w:t xml:space="preserve">CF: </w:t>
      </w:r>
    </w:p>
    <w:p w:rsidR="009D72CC" w:rsidRDefault="009D72CC" w:rsidP="009D72CC">
      <w:pPr>
        <w:jc w:val="left"/>
      </w:pPr>
      <w:r>
        <w:t xml:space="preserve">(  ) </w:t>
      </w:r>
      <w:proofErr w:type="spellStart"/>
      <w:proofErr w:type="gramStart"/>
      <w:r>
        <w:t>DoD</w:t>
      </w:r>
      <w:proofErr w:type="spellEnd"/>
      <w:proofErr w:type="gramEnd"/>
      <w:r>
        <w:t xml:space="preserve"> PDBR</w:t>
      </w:r>
    </w:p>
    <w:p w:rsidR="009D72CC" w:rsidRDefault="009D72CC" w:rsidP="009D72CC">
      <w:pPr>
        <w:jc w:val="left"/>
      </w:pPr>
      <w:r>
        <w:t>(  ) DVA</w:t>
      </w:r>
    </w:p>
    <w:p w:rsidR="00D1137C" w:rsidRDefault="00D1137C" w:rsidP="009D72CC">
      <w:pPr>
        <w:jc w:val="left"/>
        <w:rPr>
          <w:rFonts w:asciiTheme="minorHAnsi" w:hAnsiTheme="minorHAnsi"/>
          <w:color w:val="auto"/>
          <w:szCs w:val="24"/>
          <w:u w:val="single"/>
        </w:rPr>
      </w:pPr>
    </w:p>
    <w:sectPr w:rsidR="00D1137C"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BCF" w:rsidRDefault="00653BCF">
      <w:r>
        <w:separator/>
      </w:r>
    </w:p>
  </w:endnote>
  <w:endnote w:type="continuationSeparator" w:id="0">
    <w:p w:rsidR="00653BCF" w:rsidRDefault="00653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FA86AB5F-4D94-49C4-984C-08B6C61F0A8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embedRegular r:id="rId2" w:subsetted="1" w:fontKey="{3E02430E-0A9A-4431-9115-A4795BEE7D11}"/>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10EAF" w:rsidRPr="00374247" w:rsidRDefault="00B10EAF" w:rsidP="00374247">
        <w:pPr>
          <w:pStyle w:val="Footer"/>
          <w:ind w:firstLine="4320"/>
          <w:rPr>
            <w:color w:val="auto"/>
            <w:szCs w:val="24"/>
          </w:rPr>
        </w:pPr>
        <w:r w:rsidRPr="00374247">
          <w:rPr>
            <w:color w:val="auto"/>
            <w:szCs w:val="24"/>
          </w:rPr>
          <w:t xml:space="preserve">   </w:t>
        </w:r>
        <w:r w:rsidR="00B05573" w:rsidRPr="00374247">
          <w:rPr>
            <w:color w:val="auto"/>
            <w:szCs w:val="24"/>
          </w:rPr>
          <w:fldChar w:fldCharType="begin"/>
        </w:r>
        <w:r w:rsidRPr="00374247">
          <w:rPr>
            <w:color w:val="auto"/>
            <w:szCs w:val="24"/>
          </w:rPr>
          <w:instrText xml:space="preserve"> PAGE   \* MERGEFORMAT </w:instrText>
        </w:r>
        <w:r w:rsidR="00B05573" w:rsidRPr="00374247">
          <w:rPr>
            <w:color w:val="auto"/>
            <w:szCs w:val="24"/>
          </w:rPr>
          <w:fldChar w:fldCharType="separate"/>
        </w:r>
        <w:r w:rsidR="009D72CC" w:rsidRPr="009D72CC">
          <w:rPr>
            <w:noProof/>
            <w:color w:val="auto"/>
          </w:rPr>
          <w:t>2</w:t>
        </w:r>
        <w:r w:rsidR="00B05573" w:rsidRPr="00374247">
          <w:rPr>
            <w:color w:val="auto"/>
            <w:szCs w:val="24"/>
          </w:rPr>
          <w:fldChar w:fldCharType="end"/>
        </w:r>
        <w:r w:rsidRPr="00374247">
          <w:rPr>
            <w:color w:val="auto"/>
            <w:szCs w:val="24"/>
          </w:rPr>
          <w:t xml:space="preserve">                                                           </w:t>
        </w:r>
        <w:r w:rsidRPr="00505803">
          <w:rPr>
            <w:color w:val="auto"/>
            <w:szCs w:val="24"/>
          </w:rPr>
          <w:t>PD1100513</w:t>
        </w:r>
      </w:p>
    </w:sdtContent>
  </w:sdt>
  <w:p w:rsidR="00B10EAF" w:rsidRPr="00684CE6" w:rsidRDefault="00B10EA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BCF" w:rsidRDefault="00653BCF">
      <w:r>
        <w:separator/>
      </w:r>
    </w:p>
  </w:footnote>
  <w:footnote w:type="continuationSeparator" w:id="0">
    <w:p w:rsidR="00653BCF" w:rsidRDefault="00653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FE7DC9"/>
    <w:multiLevelType w:val="hybridMultilevel"/>
    <w:tmpl w:val="4934A9A4"/>
    <w:lvl w:ilvl="0" w:tplc="8250C9C0">
      <w:start w:val="780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625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721"/>
    <w:rsid w:val="0002382C"/>
    <w:rsid w:val="0002387C"/>
    <w:rsid w:val="00023913"/>
    <w:rsid w:val="00023D43"/>
    <w:rsid w:val="00024002"/>
    <w:rsid w:val="00024DE7"/>
    <w:rsid w:val="00026092"/>
    <w:rsid w:val="00030776"/>
    <w:rsid w:val="00032E07"/>
    <w:rsid w:val="000332CA"/>
    <w:rsid w:val="0003374E"/>
    <w:rsid w:val="000344D8"/>
    <w:rsid w:val="000344E6"/>
    <w:rsid w:val="00035C3A"/>
    <w:rsid w:val="00036E4B"/>
    <w:rsid w:val="000372B7"/>
    <w:rsid w:val="00037929"/>
    <w:rsid w:val="000379D0"/>
    <w:rsid w:val="00040FC4"/>
    <w:rsid w:val="000416F8"/>
    <w:rsid w:val="00042C26"/>
    <w:rsid w:val="00043382"/>
    <w:rsid w:val="00044623"/>
    <w:rsid w:val="000452D7"/>
    <w:rsid w:val="00051622"/>
    <w:rsid w:val="00051A11"/>
    <w:rsid w:val="00052234"/>
    <w:rsid w:val="00053771"/>
    <w:rsid w:val="00053D7C"/>
    <w:rsid w:val="000575C5"/>
    <w:rsid w:val="000577C9"/>
    <w:rsid w:val="00060FFD"/>
    <w:rsid w:val="00061D69"/>
    <w:rsid w:val="0006379B"/>
    <w:rsid w:val="0006431E"/>
    <w:rsid w:val="000652EA"/>
    <w:rsid w:val="00065E21"/>
    <w:rsid w:val="000673ED"/>
    <w:rsid w:val="00067854"/>
    <w:rsid w:val="00070DED"/>
    <w:rsid w:val="000720D2"/>
    <w:rsid w:val="00072433"/>
    <w:rsid w:val="00072B3E"/>
    <w:rsid w:val="0007388C"/>
    <w:rsid w:val="0007488B"/>
    <w:rsid w:val="00075702"/>
    <w:rsid w:val="00075A0C"/>
    <w:rsid w:val="000775C2"/>
    <w:rsid w:val="00077835"/>
    <w:rsid w:val="000806AD"/>
    <w:rsid w:val="00080BDF"/>
    <w:rsid w:val="00080C57"/>
    <w:rsid w:val="00082482"/>
    <w:rsid w:val="00082CA0"/>
    <w:rsid w:val="000848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56FA"/>
    <w:rsid w:val="000B76D3"/>
    <w:rsid w:val="000C06F6"/>
    <w:rsid w:val="000C15F8"/>
    <w:rsid w:val="000C1D34"/>
    <w:rsid w:val="000C2362"/>
    <w:rsid w:val="000C28DC"/>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EE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184"/>
    <w:rsid w:val="00113D2A"/>
    <w:rsid w:val="00114F20"/>
    <w:rsid w:val="0011590B"/>
    <w:rsid w:val="001211AF"/>
    <w:rsid w:val="001215DF"/>
    <w:rsid w:val="001219DF"/>
    <w:rsid w:val="0012220B"/>
    <w:rsid w:val="00122ABE"/>
    <w:rsid w:val="001231DC"/>
    <w:rsid w:val="00124106"/>
    <w:rsid w:val="0012453A"/>
    <w:rsid w:val="0012489B"/>
    <w:rsid w:val="001272AE"/>
    <w:rsid w:val="00130756"/>
    <w:rsid w:val="001315DD"/>
    <w:rsid w:val="00134008"/>
    <w:rsid w:val="00134C58"/>
    <w:rsid w:val="0013525F"/>
    <w:rsid w:val="00135385"/>
    <w:rsid w:val="00136204"/>
    <w:rsid w:val="001364D1"/>
    <w:rsid w:val="001374C7"/>
    <w:rsid w:val="00140FA4"/>
    <w:rsid w:val="00141BC9"/>
    <w:rsid w:val="001421FD"/>
    <w:rsid w:val="001425C8"/>
    <w:rsid w:val="00142EBA"/>
    <w:rsid w:val="00143664"/>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11C"/>
    <w:rsid w:val="00166182"/>
    <w:rsid w:val="001665A7"/>
    <w:rsid w:val="0017038B"/>
    <w:rsid w:val="00170C77"/>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68E"/>
    <w:rsid w:val="001B06FB"/>
    <w:rsid w:val="001B0B1A"/>
    <w:rsid w:val="001B20E6"/>
    <w:rsid w:val="001B2CDA"/>
    <w:rsid w:val="001B4C0B"/>
    <w:rsid w:val="001B4D12"/>
    <w:rsid w:val="001B4EC2"/>
    <w:rsid w:val="001B5B59"/>
    <w:rsid w:val="001B60E0"/>
    <w:rsid w:val="001B755A"/>
    <w:rsid w:val="001B7C8C"/>
    <w:rsid w:val="001C051D"/>
    <w:rsid w:val="001C0688"/>
    <w:rsid w:val="001C181A"/>
    <w:rsid w:val="001C1877"/>
    <w:rsid w:val="001C2053"/>
    <w:rsid w:val="001C2349"/>
    <w:rsid w:val="001C252F"/>
    <w:rsid w:val="001C28D1"/>
    <w:rsid w:val="001C3473"/>
    <w:rsid w:val="001C5BDA"/>
    <w:rsid w:val="001C5CFC"/>
    <w:rsid w:val="001C7231"/>
    <w:rsid w:val="001C7418"/>
    <w:rsid w:val="001C7EBE"/>
    <w:rsid w:val="001D0051"/>
    <w:rsid w:val="001D150B"/>
    <w:rsid w:val="001D169A"/>
    <w:rsid w:val="001D2224"/>
    <w:rsid w:val="001D2DB3"/>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56D1"/>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3B3"/>
    <w:rsid w:val="00225080"/>
    <w:rsid w:val="00225196"/>
    <w:rsid w:val="00225CB4"/>
    <w:rsid w:val="0022605E"/>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3958"/>
    <w:rsid w:val="0024491E"/>
    <w:rsid w:val="00246860"/>
    <w:rsid w:val="002468D9"/>
    <w:rsid w:val="00246995"/>
    <w:rsid w:val="00246DFF"/>
    <w:rsid w:val="00246E89"/>
    <w:rsid w:val="0025183C"/>
    <w:rsid w:val="00252351"/>
    <w:rsid w:val="002528EC"/>
    <w:rsid w:val="002535C6"/>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357"/>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0041"/>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446"/>
    <w:rsid w:val="002F7F81"/>
    <w:rsid w:val="00300A36"/>
    <w:rsid w:val="00301B45"/>
    <w:rsid w:val="00305856"/>
    <w:rsid w:val="00305867"/>
    <w:rsid w:val="00305D3D"/>
    <w:rsid w:val="0030678B"/>
    <w:rsid w:val="00306D16"/>
    <w:rsid w:val="00307595"/>
    <w:rsid w:val="00307DA6"/>
    <w:rsid w:val="00310CD7"/>
    <w:rsid w:val="00313C3A"/>
    <w:rsid w:val="00313D7A"/>
    <w:rsid w:val="003155FB"/>
    <w:rsid w:val="0032136A"/>
    <w:rsid w:val="003224D8"/>
    <w:rsid w:val="0032372E"/>
    <w:rsid w:val="00323A90"/>
    <w:rsid w:val="00323E70"/>
    <w:rsid w:val="0032435C"/>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B3"/>
    <w:rsid w:val="00341A54"/>
    <w:rsid w:val="00342D32"/>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C0B"/>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4C2"/>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8FC"/>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A1"/>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0EB"/>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4DFB"/>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5E94"/>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808"/>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180A"/>
    <w:rsid w:val="00462F68"/>
    <w:rsid w:val="0046369B"/>
    <w:rsid w:val="004640E9"/>
    <w:rsid w:val="004647EB"/>
    <w:rsid w:val="00466CED"/>
    <w:rsid w:val="00466EB5"/>
    <w:rsid w:val="00467592"/>
    <w:rsid w:val="00467690"/>
    <w:rsid w:val="00467A14"/>
    <w:rsid w:val="004718E7"/>
    <w:rsid w:val="00472289"/>
    <w:rsid w:val="00472535"/>
    <w:rsid w:val="00473802"/>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804"/>
    <w:rsid w:val="004B0CC9"/>
    <w:rsid w:val="004B2536"/>
    <w:rsid w:val="004B46D7"/>
    <w:rsid w:val="004B6AF3"/>
    <w:rsid w:val="004B6F1F"/>
    <w:rsid w:val="004B715E"/>
    <w:rsid w:val="004B7169"/>
    <w:rsid w:val="004B79C9"/>
    <w:rsid w:val="004C00DD"/>
    <w:rsid w:val="004C025C"/>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420"/>
    <w:rsid w:val="004D3C7F"/>
    <w:rsid w:val="004D42CB"/>
    <w:rsid w:val="004D6E90"/>
    <w:rsid w:val="004D6F2B"/>
    <w:rsid w:val="004E0248"/>
    <w:rsid w:val="004E21A3"/>
    <w:rsid w:val="004E2806"/>
    <w:rsid w:val="004E32EA"/>
    <w:rsid w:val="004E3517"/>
    <w:rsid w:val="004E6866"/>
    <w:rsid w:val="004F0C58"/>
    <w:rsid w:val="004F1D41"/>
    <w:rsid w:val="004F3222"/>
    <w:rsid w:val="004F3639"/>
    <w:rsid w:val="004F3BFA"/>
    <w:rsid w:val="004F4E3C"/>
    <w:rsid w:val="004F5A1A"/>
    <w:rsid w:val="004F77A3"/>
    <w:rsid w:val="005000AB"/>
    <w:rsid w:val="00500EAF"/>
    <w:rsid w:val="00500F3C"/>
    <w:rsid w:val="005025EE"/>
    <w:rsid w:val="00503401"/>
    <w:rsid w:val="00503DDF"/>
    <w:rsid w:val="00505524"/>
    <w:rsid w:val="00505803"/>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5723C"/>
    <w:rsid w:val="00560D57"/>
    <w:rsid w:val="00562A94"/>
    <w:rsid w:val="00563729"/>
    <w:rsid w:val="00563FAD"/>
    <w:rsid w:val="00567735"/>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BD9"/>
    <w:rsid w:val="005B318C"/>
    <w:rsid w:val="005B5B3D"/>
    <w:rsid w:val="005B5E8F"/>
    <w:rsid w:val="005B64CF"/>
    <w:rsid w:val="005B72DA"/>
    <w:rsid w:val="005C0E87"/>
    <w:rsid w:val="005C1398"/>
    <w:rsid w:val="005C16F3"/>
    <w:rsid w:val="005C3758"/>
    <w:rsid w:val="005C4D72"/>
    <w:rsid w:val="005C50C1"/>
    <w:rsid w:val="005C62C2"/>
    <w:rsid w:val="005C6BDD"/>
    <w:rsid w:val="005D1394"/>
    <w:rsid w:val="005D2306"/>
    <w:rsid w:val="005D2562"/>
    <w:rsid w:val="005D2666"/>
    <w:rsid w:val="005D4548"/>
    <w:rsid w:val="005D4A74"/>
    <w:rsid w:val="005D5E91"/>
    <w:rsid w:val="005D67EF"/>
    <w:rsid w:val="005E1E75"/>
    <w:rsid w:val="005E3064"/>
    <w:rsid w:val="005E4568"/>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6C70"/>
    <w:rsid w:val="00637063"/>
    <w:rsid w:val="0063737C"/>
    <w:rsid w:val="00637BDC"/>
    <w:rsid w:val="00640363"/>
    <w:rsid w:val="00640622"/>
    <w:rsid w:val="006418C9"/>
    <w:rsid w:val="00642BD6"/>
    <w:rsid w:val="00643C8F"/>
    <w:rsid w:val="0064452C"/>
    <w:rsid w:val="00645046"/>
    <w:rsid w:val="0064527A"/>
    <w:rsid w:val="006458FD"/>
    <w:rsid w:val="00645B9B"/>
    <w:rsid w:val="00645DE8"/>
    <w:rsid w:val="00645EA2"/>
    <w:rsid w:val="00651E6D"/>
    <w:rsid w:val="0065237D"/>
    <w:rsid w:val="00652943"/>
    <w:rsid w:val="00653AB2"/>
    <w:rsid w:val="00653BCF"/>
    <w:rsid w:val="00653D2D"/>
    <w:rsid w:val="0065435E"/>
    <w:rsid w:val="00654551"/>
    <w:rsid w:val="00654F91"/>
    <w:rsid w:val="006555E7"/>
    <w:rsid w:val="00655CCC"/>
    <w:rsid w:val="006560B6"/>
    <w:rsid w:val="0065726D"/>
    <w:rsid w:val="006573F2"/>
    <w:rsid w:val="00661BA2"/>
    <w:rsid w:val="00662AD0"/>
    <w:rsid w:val="00662F08"/>
    <w:rsid w:val="00663589"/>
    <w:rsid w:val="00663DB7"/>
    <w:rsid w:val="00664427"/>
    <w:rsid w:val="00664840"/>
    <w:rsid w:val="006649CD"/>
    <w:rsid w:val="00664A06"/>
    <w:rsid w:val="00665D75"/>
    <w:rsid w:val="006678E2"/>
    <w:rsid w:val="006708E3"/>
    <w:rsid w:val="00670DDC"/>
    <w:rsid w:val="00671389"/>
    <w:rsid w:val="00671EB4"/>
    <w:rsid w:val="00673CDC"/>
    <w:rsid w:val="0067443B"/>
    <w:rsid w:val="006770AA"/>
    <w:rsid w:val="0067732E"/>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503"/>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972"/>
    <w:rsid w:val="006C1D6E"/>
    <w:rsid w:val="006C2EF6"/>
    <w:rsid w:val="006C3A68"/>
    <w:rsid w:val="006C3B08"/>
    <w:rsid w:val="006C6AB1"/>
    <w:rsid w:val="006C6E6B"/>
    <w:rsid w:val="006C73D4"/>
    <w:rsid w:val="006D145F"/>
    <w:rsid w:val="006D17FF"/>
    <w:rsid w:val="006D2000"/>
    <w:rsid w:val="006D2D39"/>
    <w:rsid w:val="006D2F31"/>
    <w:rsid w:val="006D4250"/>
    <w:rsid w:val="006D4E0E"/>
    <w:rsid w:val="006D5861"/>
    <w:rsid w:val="006D5CE2"/>
    <w:rsid w:val="006D7854"/>
    <w:rsid w:val="006E06D1"/>
    <w:rsid w:val="006E122E"/>
    <w:rsid w:val="006E1313"/>
    <w:rsid w:val="006E2DC8"/>
    <w:rsid w:val="006E391D"/>
    <w:rsid w:val="006E42C7"/>
    <w:rsid w:val="006E58CB"/>
    <w:rsid w:val="006E6B68"/>
    <w:rsid w:val="006E7356"/>
    <w:rsid w:val="006E77C8"/>
    <w:rsid w:val="006F0F9C"/>
    <w:rsid w:val="006F149D"/>
    <w:rsid w:val="006F1A46"/>
    <w:rsid w:val="006F45A0"/>
    <w:rsid w:val="006F4F06"/>
    <w:rsid w:val="006F5A4E"/>
    <w:rsid w:val="006F5D37"/>
    <w:rsid w:val="006F6005"/>
    <w:rsid w:val="006F7F53"/>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EAE"/>
    <w:rsid w:val="007165CE"/>
    <w:rsid w:val="00717CEB"/>
    <w:rsid w:val="0072035D"/>
    <w:rsid w:val="007205F7"/>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4B6"/>
    <w:rsid w:val="0073254D"/>
    <w:rsid w:val="007340F3"/>
    <w:rsid w:val="007347BB"/>
    <w:rsid w:val="00735704"/>
    <w:rsid w:val="00736A49"/>
    <w:rsid w:val="00741515"/>
    <w:rsid w:val="007419A1"/>
    <w:rsid w:val="00743B71"/>
    <w:rsid w:val="00743C2D"/>
    <w:rsid w:val="00743C3A"/>
    <w:rsid w:val="00743E36"/>
    <w:rsid w:val="00743F05"/>
    <w:rsid w:val="007441C1"/>
    <w:rsid w:val="007446F7"/>
    <w:rsid w:val="00744EBB"/>
    <w:rsid w:val="00745B0A"/>
    <w:rsid w:val="00745DBE"/>
    <w:rsid w:val="007468AC"/>
    <w:rsid w:val="00746AE2"/>
    <w:rsid w:val="007470D1"/>
    <w:rsid w:val="00750C82"/>
    <w:rsid w:val="00750E3A"/>
    <w:rsid w:val="00750EE1"/>
    <w:rsid w:val="00752035"/>
    <w:rsid w:val="0076100C"/>
    <w:rsid w:val="007612A5"/>
    <w:rsid w:val="00763CAE"/>
    <w:rsid w:val="00763F95"/>
    <w:rsid w:val="007651ED"/>
    <w:rsid w:val="0076526E"/>
    <w:rsid w:val="00766C87"/>
    <w:rsid w:val="00771043"/>
    <w:rsid w:val="0077272B"/>
    <w:rsid w:val="00773AF7"/>
    <w:rsid w:val="00774FFD"/>
    <w:rsid w:val="0077602F"/>
    <w:rsid w:val="00780378"/>
    <w:rsid w:val="0078085E"/>
    <w:rsid w:val="007809D4"/>
    <w:rsid w:val="00781BD4"/>
    <w:rsid w:val="00782562"/>
    <w:rsid w:val="007828B4"/>
    <w:rsid w:val="00784832"/>
    <w:rsid w:val="00784EA0"/>
    <w:rsid w:val="00785D77"/>
    <w:rsid w:val="00786111"/>
    <w:rsid w:val="00790963"/>
    <w:rsid w:val="007914C5"/>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198"/>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8EB"/>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17B56"/>
    <w:rsid w:val="00820613"/>
    <w:rsid w:val="008208C3"/>
    <w:rsid w:val="00821268"/>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31D"/>
    <w:rsid w:val="00837465"/>
    <w:rsid w:val="0084002E"/>
    <w:rsid w:val="00840159"/>
    <w:rsid w:val="00840621"/>
    <w:rsid w:val="00841243"/>
    <w:rsid w:val="00841457"/>
    <w:rsid w:val="00841889"/>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582"/>
    <w:rsid w:val="00875036"/>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47"/>
    <w:rsid w:val="008A1CC3"/>
    <w:rsid w:val="008A2C35"/>
    <w:rsid w:val="008A39D7"/>
    <w:rsid w:val="008A55DE"/>
    <w:rsid w:val="008A5705"/>
    <w:rsid w:val="008A5C34"/>
    <w:rsid w:val="008A612C"/>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425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526"/>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09D1"/>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C64"/>
    <w:rsid w:val="00954E5B"/>
    <w:rsid w:val="00955100"/>
    <w:rsid w:val="00955316"/>
    <w:rsid w:val="00955E45"/>
    <w:rsid w:val="009576BC"/>
    <w:rsid w:val="00957899"/>
    <w:rsid w:val="00957927"/>
    <w:rsid w:val="00960357"/>
    <w:rsid w:val="0096168C"/>
    <w:rsid w:val="00961840"/>
    <w:rsid w:val="009625E3"/>
    <w:rsid w:val="00962F2D"/>
    <w:rsid w:val="009638BC"/>
    <w:rsid w:val="00963A7A"/>
    <w:rsid w:val="009672CD"/>
    <w:rsid w:val="00971810"/>
    <w:rsid w:val="00971887"/>
    <w:rsid w:val="00972996"/>
    <w:rsid w:val="009730B4"/>
    <w:rsid w:val="0097320E"/>
    <w:rsid w:val="009732B8"/>
    <w:rsid w:val="00974647"/>
    <w:rsid w:val="00974DBD"/>
    <w:rsid w:val="0097514A"/>
    <w:rsid w:val="0097547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EC1"/>
    <w:rsid w:val="00990FD6"/>
    <w:rsid w:val="009935C3"/>
    <w:rsid w:val="0099421F"/>
    <w:rsid w:val="00994DF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2CC"/>
    <w:rsid w:val="009E09D0"/>
    <w:rsid w:val="009E1181"/>
    <w:rsid w:val="009E1283"/>
    <w:rsid w:val="009E3A7F"/>
    <w:rsid w:val="009E4C9B"/>
    <w:rsid w:val="009E4DFC"/>
    <w:rsid w:val="009E5789"/>
    <w:rsid w:val="009E57B1"/>
    <w:rsid w:val="009E6379"/>
    <w:rsid w:val="009E6380"/>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6E6"/>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3E49"/>
    <w:rsid w:val="00A44141"/>
    <w:rsid w:val="00A44CCA"/>
    <w:rsid w:val="00A44D75"/>
    <w:rsid w:val="00A47CF1"/>
    <w:rsid w:val="00A50418"/>
    <w:rsid w:val="00A50B17"/>
    <w:rsid w:val="00A53A9B"/>
    <w:rsid w:val="00A54A47"/>
    <w:rsid w:val="00A56C3D"/>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16E"/>
    <w:rsid w:val="00A66A45"/>
    <w:rsid w:val="00A67591"/>
    <w:rsid w:val="00A67911"/>
    <w:rsid w:val="00A67CA6"/>
    <w:rsid w:val="00A70E7B"/>
    <w:rsid w:val="00A717EA"/>
    <w:rsid w:val="00A730B0"/>
    <w:rsid w:val="00A73B84"/>
    <w:rsid w:val="00A7411D"/>
    <w:rsid w:val="00A74B6E"/>
    <w:rsid w:val="00A756C4"/>
    <w:rsid w:val="00A7592B"/>
    <w:rsid w:val="00A75ED7"/>
    <w:rsid w:val="00A76094"/>
    <w:rsid w:val="00A768E2"/>
    <w:rsid w:val="00A803F1"/>
    <w:rsid w:val="00A82C52"/>
    <w:rsid w:val="00A838E8"/>
    <w:rsid w:val="00A83C15"/>
    <w:rsid w:val="00A840CC"/>
    <w:rsid w:val="00A84EC4"/>
    <w:rsid w:val="00A86CB6"/>
    <w:rsid w:val="00A90D55"/>
    <w:rsid w:val="00A9225E"/>
    <w:rsid w:val="00A93E2A"/>
    <w:rsid w:val="00A944D8"/>
    <w:rsid w:val="00A959E7"/>
    <w:rsid w:val="00A95BBA"/>
    <w:rsid w:val="00A961EE"/>
    <w:rsid w:val="00A96559"/>
    <w:rsid w:val="00A97B11"/>
    <w:rsid w:val="00A97CD9"/>
    <w:rsid w:val="00AA020A"/>
    <w:rsid w:val="00AA04B3"/>
    <w:rsid w:val="00AA1253"/>
    <w:rsid w:val="00AA1ED0"/>
    <w:rsid w:val="00AA1F5B"/>
    <w:rsid w:val="00AA28EF"/>
    <w:rsid w:val="00AA3121"/>
    <w:rsid w:val="00AA3593"/>
    <w:rsid w:val="00AA38CA"/>
    <w:rsid w:val="00AA493E"/>
    <w:rsid w:val="00AA73AF"/>
    <w:rsid w:val="00AB062D"/>
    <w:rsid w:val="00AB0A8A"/>
    <w:rsid w:val="00AB1754"/>
    <w:rsid w:val="00AB1F8D"/>
    <w:rsid w:val="00AB27DD"/>
    <w:rsid w:val="00AB4BA4"/>
    <w:rsid w:val="00AB592E"/>
    <w:rsid w:val="00AC0C1C"/>
    <w:rsid w:val="00AC1305"/>
    <w:rsid w:val="00AC2204"/>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A7D"/>
    <w:rsid w:val="00AD7F8F"/>
    <w:rsid w:val="00AE0BF9"/>
    <w:rsid w:val="00AE1273"/>
    <w:rsid w:val="00AE18C5"/>
    <w:rsid w:val="00AE2540"/>
    <w:rsid w:val="00AE2CF4"/>
    <w:rsid w:val="00AE2D29"/>
    <w:rsid w:val="00AE2F15"/>
    <w:rsid w:val="00AE4624"/>
    <w:rsid w:val="00AE4B3E"/>
    <w:rsid w:val="00AE4B90"/>
    <w:rsid w:val="00AE5295"/>
    <w:rsid w:val="00AE5E14"/>
    <w:rsid w:val="00AE6107"/>
    <w:rsid w:val="00AE6115"/>
    <w:rsid w:val="00AE625B"/>
    <w:rsid w:val="00AF01B2"/>
    <w:rsid w:val="00AF1103"/>
    <w:rsid w:val="00AF1668"/>
    <w:rsid w:val="00AF25B2"/>
    <w:rsid w:val="00AF28DE"/>
    <w:rsid w:val="00AF41EE"/>
    <w:rsid w:val="00AF4FA5"/>
    <w:rsid w:val="00AF5BB4"/>
    <w:rsid w:val="00AF6ECC"/>
    <w:rsid w:val="00B01F1D"/>
    <w:rsid w:val="00B02145"/>
    <w:rsid w:val="00B022DC"/>
    <w:rsid w:val="00B04562"/>
    <w:rsid w:val="00B0472F"/>
    <w:rsid w:val="00B05573"/>
    <w:rsid w:val="00B06930"/>
    <w:rsid w:val="00B0773A"/>
    <w:rsid w:val="00B07955"/>
    <w:rsid w:val="00B10EAF"/>
    <w:rsid w:val="00B110AC"/>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26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100B"/>
    <w:rsid w:val="00BE229C"/>
    <w:rsid w:val="00BE2AB8"/>
    <w:rsid w:val="00BE2FC1"/>
    <w:rsid w:val="00BE3142"/>
    <w:rsid w:val="00BE4039"/>
    <w:rsid w:val="00BE6365"/>
    <w:rsid w:val="00BF01B7"/>
    <w:rsid w:val="00BF0B16"/>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1161"/>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389"/>
    <w:rsid w:val="00C64C87"/>
    <w:rsid w:val="00C64EA4"/>
    <w:rsid w:val="00C65414"/>
    <w:rsid w:val="00C65882"/>
    <w:rsid w:val="00C665FE"/>
    <w:rsid w:val="00C71BEC"/>
    <w:rsid w:val="00C7255F"/>
    <w:rsid w:val="00C73942"/>
    <w:rsid w:val="00C73A83"/>
    <w:rsid w:val="00C74D3A"/>
    <w:rsid w:val="00C75F3D"/>
    <w:rsid w:val="00C80511"/>
    <w:rsid w:val="00C80655"/>
    <w:rsid w:val="00C81937"/>
    <w:rsid w:val="00C82209"/>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8F8"/>
    <w:rsid w:val="00CA1C73"/>
    <w:rsid w:val="00CA282D"/>
    <w:rsid w:val="00CA3446"/>
    <w:rsid w:val="00CA3F73"/>
    <w:rsid w:val="00CA4670"/>
    <w:rsid w:val="00CA5F89"/>
    <w:rsid w:val="00CA6B1A"/>
    <w:rsid w:val="00CB1B18"/>
    <w:rsid w:val="00CB20DC"/>
    <w:rsid w:val="00CB23DC"/>
    <w:rsid w:val="00CB2487"/>
    <w:rsid w:val="00CB28E2"/>
    <w:rsid w:val="00CB2F20"/>
    <w:rsid w:val="00CB3395"/>
    <w:rsid w:val="00CB4827"/>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3B06"/>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37C"/>
    <w:rsid w:val="00D120A4"/>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683"/>
    <w:rsid w:val="00D33452"/>
    <w:rsid w:val="00D336C8"/>
    <w:rsid w:val="00D339E8"/>
    <w:rsid w:val="00D33FDD"/>
    <w:rsid w:val="00D35B64"/>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37D0"/>
    <w:rsid w:val="00D659BA"/>
    <w:rsid w:val="00D67FD7"/>
    <w:rsid w:val="00D704E4"/>
    <w:rsid w:val="00D72410"/>
    <w:rsid w:val="00D73D53"/>
    <w:rsid w:val="00D7402C"/>
    <w:rsid w:val="00D7408A"/>
    <w:rsid w:val="00D74261"/>
    <w:rsid w:val="00D7441B"/>
    <w:rsid w:val="00D75589"/>
    <w:rsid w:val="00D75E85"/>
    <w:rsid w:val="00D76AB2"/>
    <w:rsid w:val="00D80490"/>
    <w:rsid w:val="00D81C94"/>
    <w:rsid w:val="00D828F9"/>
    <w:rsid w:val="00D829AD"/>
    <w:rsid w:val="00D82EE2"/>
    <w:rsid w:val="00D83D1B"/>
    <w:rsid w:val="00D84133"/>
    <w:rsid w:val="00D84B8D"/>
    <w:rsid w:val="00D8545C"/>
    <w:rsid w:val="00D869D5"/>
    <w:rsid w:val="00D86AB5"/>
    <w:rsid w:val="00D86E57"/>
    <w:rsid w:val="00D876AD"/>
    <w:rsid w:val="00D87788"/>
    <w:rsid w:val="00D877C8"/>
    <w:rsid w:val="00D91040"/>
    <w:rsid w:val="00D910C2"/>
    <w:rsid w:val="00D9162C"/>
    <w:rsid w:val="00D9168C"/>
    <w:rsid w:val="00D9189B"/>
    <w:rsid w:val="00D91DA6"/>
    <w:rsid w:val="00D921A0"/>
    <w:rsid w:val="00D93A41"/>
    <w:rsid w:val="00D93B9A"/>
    <w:rsid w:val="00D95984"/>
    <w:rsid w:val="00D95C64"/>
    <w:rsid w:val="00D9706F"/>
    <w:rsid w:val="00D972D4"/>
    <w:rsid w:val="00DA0070"/>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3521"/>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143"/>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5C3"/>
    <w:rsid w:val="00E3369B"/>
    <w:rsid w:val="00E338A2"/>
    <w:rsid w:val="00E362D2"/>
    <w:rsid w:val="00E36D76"/>
    <w:rsid w:val="00E40478"/>
    <w:rsid w:val="00E405EA"/>
    <w:rsid w:val="00E408B7"/>
    <w:rsid w:val="00E412EB"/>
    <w:rsid w:val="00E41637"/>
    <w:rsid w:val="00E42789"/>
    <w:rsid w:val="00E43F59"/>
    <w:rsid w:val="00E45685"/>
    <w:rsid w:val="00E464F0"/>
    <w:rsid w:val="00E46EF3"/>
    <w:rsid w:val="00E4724C"/>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47"/>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3C33"/>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2A52"/>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20A"/>
    <w:rsid w:val="00F531D9"/>
    <w:rsid w:val="00F54D8E"/>
    <w:rsid w:val="00F5580D"/>
    <w:rsid w:val="00F56EA1"/>
    <w:rsid w:val="00F57E6E"/>
    <w:rsid w:val="00F60483"/>
    <w:rsid w:val="00F606D5"/>
    <w:rsid w:val="00F611B3"/>
    <w:rsid w:val="00F6196E"/>
    <w:rsid w:val="00F61CCC"/>
    <w:rsid w:val="00F624DD"/>
    <w:rsid w:val="00F629C0"/>
    <w:rsid w:val="00F63FC7"/>
    <w:rsid w:val="00F65E1F"/>
    <w:rsid w:val="00F65ED5"/>
    <w:rsid w:val="00F6608B"/>
    <w:rsid w:val="00F6636A"/>
    <w:rsid w:val="00F667C5"/>
    <w:rsid w:val="00F66FDB"/>
    <w:rsid w:val="00F67E31"/>
    <w:rsid w:val="00F70104"/>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2933"/>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96D"/>
    <w:rsid w:val="00FB6E82"/>
    <w:rsid w:val="00FB792E"/>
    <w:rsid w:val="00FB7CF0"/>
    <w:rsid w:val="00FC0042"/>
    <w:rsid w:val="00FC1E67"/>
    <w:rsid w:val="00FC2A13"/>
    <w:rsid w:val="00FC4143"/>
    <w:rsid w:val="00FC4284"/>
    <w:rsid w:val="00FC4576"/>
    <w:rsid w:val="00FC5290"/>
    <w:rsid w:val="00FC5FF5"/>
    <w:rsid w:val="00FC6285"/>
    <w:rsid w:val="00FC78FB"/>
    <w:rsid w:val="00FC7DBC"/>
    <w:rsid w:val="00FD076A"/>
    <w:rsid w:val="00FD0AA0"/>
    <w:rsid w:val="00FD1D5A"/>
    <w:rsid w:val="00FD5059"/>
    <w:rsid w:val="00FD554D"/>
    <w:rsid w:val="00FD5BCC"/>
    <w:rsid w:val="00FD7B23"/>
    <w:rsid w:val="00FE0018"/>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9D72CC"/>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40177613">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9BC4-5F26-4492-85BD-CFB3664A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3490</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2012-04-16T19:12:00Z</cp:lastPrinted>
  <dcterms:created xsi:type="dcterms:W3CDTF">2012-05-16T16:01:00Z</dcterms:created>
  <dcterms:modified xsi:type="dcterms:W3CDTF">2012-05-16T16:01:00Z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