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F5390" w:rsidRDefault="00540BEF" w:rsidP="00971C72">
      <w:pPr>
        <w:tabs>
          <w:tab w:val="left" w:pos="288"/>
          <w:tab w:val="left" w:pos="4752"/>
        </w:tabs>
        <w:jc w:val="center"/>
      </w:pPr>
      <w:r w:rsidRPr="00EF5390">
        <w:t>RECORD OF PROCEEDINGS</w:t>
      </w:r>
    </w:p>
    <w:p w:rsidR="00540BEF" w:rsidRPr="00EF5390" w:rsidRDefault="00540BEF" w:rsidP="00971C72">
      <w:pPr>
        <w:tabs>
          <w:tab w:val="left" w:pos="288"/>
          <w:tab w:val="left" w:pos="4752"/>
        </w:tabs>
        <w:jc w:val="center"/>
      </w:pPr>
      <w:r w:rsidRPr="00EF5390">
        <w:t>PHYSICAL DISABILITY BOARD OF REVIEW</w:t>
      </w:r>
    </w:p>
    <w:p w:rsidR="00540BEF" w:rsidRPr="00EF5390" w:rsidRDefault="00540BEF" w:rsidP="00971C72">
      <w:pPr>
        <w:tabs>
          <w:tab w:val="left" w:pos="288"/>
          <w:tab w:val="left" w:pos="4752"/>
        </w:tabs>
      </w:pPr>
    </w:p>
    <w:p w:rsidR="006B22A9" w:rsidRPr="00EF5390" w:rsidRDefault="00F629C0" w:rsidP="00971C72">
      <w:pPr>
        <w:tabs>
          <w:tab w:val="left" w:pos="288"/>
          <w:tab w:val="left" w:pos="4752"/>
          <w:tab w:val="left" w:pos="5130"/>
          <w:tab w:val="left" w:pos="9270"/>
        </w:tabs>
        <w:rPr>
          <w:color w:val="000000" w:themeColor="text1"/>
        </w:rPr>
      </w:pPr>
      <w:r w:rsidRPr="00EF5390">
        <w:rPr>
          <w:color w:val="000000" w:themeColor="text1"/>
        </w:rPr>
        <w:t>NAME:</w:t>
      </w:r>
      <w:r w:rsidR="00BE1834">
        <w:rPr>
          <w:color w:val="000000" w:themeColor="text1"/>
        </w:rPr>
        <w:t xml:space="preserve"> </w:t>
      </w:r>
      <w:r w:rsidRPr="00EF5390">
        <w:rPr>
          <w:color w:val="000000" w:themeColor="text1"/>
        </w:rPr>
        <w:t xml:space="preserve"> </w:t>
      </w:r>
      <w:r w:rsidR="00AF1835">
        <w:t>XXXXXXXXXXXXXXXXXXXX</w:t>
      </w:r>
      <w:r w:rsidR="00AF1835">
        <w:tab/>
      </w:r>
      <w:r w:rsidR="00AF1835">
        <w:tab/>
        <w:t xml:space="preserve">                  </w:t>
      </w:r>
      <w:r w:rsidRPr="00EF5390">
        <w:rPr>
          <w:color w:val="000000" w:themeColor="text1"/>
        </w:rPr>
        <w:t xml:space="preserve">BRANCH OF SERVICE: </w:t>
      </w:r>
      <w:r w:rsidR="004C24C5" w:rsidRPr="00EF5390">
        <w:rPr>
          <w:color w:val="000000" w:themeColor="text1"/>
        </w:rPr>
        <w:t xml:space="preserve"> </w:t>
      </w:r>
      <w:r w:rsidR="00971C72" w:rsidRPr="00EF5390">
        <w:rPr>
          <w:color w:val="000000" w:themeColor="text1"/>
        </w:rPr>
        <w:t>A</w:t>
      </w:r>
      <w:r w:rsidR="006B22A9">
        <w:rPr>
          <w:color w:val="000000" w:themeColor="text1"/>
        </w:rPr>
        <w:t>IR FORCE</w:t>
      </w:r>
    </w:p>
    <w:p w:rsidR="00DE3AAD" w:rsidRPr="00EF5390" w:rsidRDefault="00012733" w:rsidP="00971C72">
      <w:pPr>
        <w:tabs>
          <w:tab w:val="left" w:pos="288"/>
          <w:tab w:val="left" w:pos="4166"/>
          <w:tab w:val="left" w:pos="4752"/>
          <w:tab w:val="left" w:pos="5130"/>
          <w:tab w:val="left" w:pos="9270"/>
        </w:tabs>
        <w:rPr>
          <w:caps/>
        </w:rPr>
      </w:pPr>
      <w:r w:rsidRPr="00EF5390">
        <w:rPr>
          <w:caps/>
        </w:rPr>
        <w:t>C</w:t>
      </w:r>
      <w:r w:rsidR="00DE3AAD" w:rsidRPr="00EF5390">
        <w:rPr>
          <w:caps/>
        </w:rPr>
        <w:t>ASE NUMBER:  PD</w:t>
      </w:r>
      <w:r w:rsidR="008F58E1" w:rsidRPr="00EF5390">
        <w:rPr>
          <w:caps/>
        </w:rPr>
        <w:t>11</w:t>
      </w:r>
      <w:r w:rsidR="00DE3AAD" w:rsidRPr="00EF5390">
        <w:rPr>
          <w:caps/>
        </w:rPr>
        <w:t>00</w:t>
      </w:r>
      <w:r w:rsidR="008C5741" w:rsidRPr="00EF5390">
        <w:rPr>
          <w:caps/>
        </w:rPr>
        <w:t>509</w:t>
      </w:r>
      <w:r w:rsidR="00DE3AAD" w:rsidRPr="00EF5390">
        <w:t xml:space="preserve"> </w:t>
      </w:r>
      <w:r w:rsidR="00DE3AAD" w:rsidRPr="00EF5390">
        <w:tab/>
      </w:r>
      <w:r w:rsidR="0068098E" w:rsidRPr="00EF5390">
        <w:tab/>
      </w:r>
      <w:r w:rsidR="00DE3AAD" w:rsidRPr="00EF5390">
        <w:t xml:space="preserve">         </w:t>
      </w:r>
      <w:r w:rsidR="00E0346A" w:rsidRPr="00EF5390">
        <w:t xml:space="preserve">                    </w:t>
      </w:r>
      <w:r w:rsidR="00DE3AAD" w:rsidRPr="00EF5390">
        <w:t xml:space="preserve">SEPARATION DATE:  </w:t>
      </w:r>
      <w:r w:rsidR="005F377E" w:rsidRPr="00EF5390">
        <w:t>20080701</w:t>
      </w:r>
    </w:p>
    <w:p w:rsidR="003B2143" w:rsidRPr="00EF5390" w:rsidRDefault="00792738" w:rsidP="00971C72">
      <w:pPr>
        <w:tabs>
          <w:tab w:val="left" w:pos="288"/>
          <w:tab w:val="left" w:pos="5130"/>
        </w:tabs>
      </w:pPr>
      <w:r w:rsidRPr="00EF5390">
        <w:t>BOARD DATE:  2012</w:t>
      </w:r>
      <w:r w:rsidR="00EF5390" w:rsidRPr="00EF5390">
        <w:t>0208</w:t>
      </w:r>
      <w:r w:rsidR="003B2143" w:rsidRPr="00EF5390">
        <w:tab/>
      </w:r>
    </w:p>
    <w:p w:rsidR="00EF5390" w:rsidRPr="00EF5390" w:rsidRDefault="00EF5390" w:rsidP="00971C72">
      <w:pPr>
        <w:pBdr>
          <w:bottom w:val="single" w:sz="12" w:space="1" w:color="auto"/>
        </w:pBdr>
        <w:tabs>
          <w:tab w:val="left" w:pos="288"/>
          <w:tab w:val="left" w:pos="5130"/>
        </w:tabs>
      </w:pPr>
    </w:p>
    <w:p w:rsidR="00796EC5" w:rsidRPr="00EF5390" w:rsidRDefault="00796EC5" w:rsidP="00971C72">
      <w:pPr>
        <w:tabs>
          <w:tab w:val="left" w:pos="288"/>
          <w:tab w:val="left" w:pos="4752"/>
        </w:tabs>
      </w:pPr>
    </w:p>
    <w:p w:rsidR="00A226BA" w:rsidRPr="00EF5390" w:rsidRDefault="00FB0E80" w:rsidP="00971C72">
      <w:pPr>
        <w:tabs>
          <w:tab w:val="left" w:pos="288"/>
          <w:tab w:val="left" w:pos="4752"/>
        </w:tabs>
      </w:pPr>
      <w:r w:rsidRPr="00EF5390">
        <w:rPr>
          <w:color w:val="000000" w:themeColor="text1"/>
          <w:u w:val="single"/>
        </w:rPr>
        <w:t>SUMMARY OF CASE</w:t>
      </w:r>
      <w:r w:rsidRPr="00EF5390">
        <w:rPr>
          <w:color w:val="000000" w:themeColor="text1"/>
        </w:rPr>
        <w:t xml:space="preserve">:  </w:t>
      </w:r>
      <w:r w:rsidR="00A226BA" w:rsidRPr="00EF5390">
        <w:t xml:space="preserve">Data extracted from the available evidence of record reflects that this covered individual (CI) was an Air National Guard member, Airman First Class / E-3 (Student / Trainee Status) medically separated for bilateral plantar </w:t>
      </w:r>
      <w:r w:rsidR="004D529E" w:rsidRPr="00EF5390">
        <w:t>fasciitis</w:t>
      </w:r>
      <w:r w:rsidR="00E543D7" w:rsidRPr="00EF5390">
        <w:t xml:space="preserve">. History of right exertional anterior compartment syndrome status-post fasciotomy, resolved contributed to her unfitness, but was not separately unfitting or subject to disability </w:t>
      </w:r>
      <w:r w:rsidR="00E543D7" w:rsidRPr="0018206C">
        <w:t>rating</w:t>
      </w:r>
      <w:r w:rsidR="00A226BA" w:rsidRPr="0018206C">
        <w:t>.</w:t>
      </w:r>
      <w:r w:rsidR="0018206C">
        <w:t xml:space="preserve"> </w:t>
      </w:r>
      <w:r w:rsidR="009E045F" w:rsidRPr="0018206C">
        <w:t xml:space="preserve"> </w:t>
      </w:r>
      <w:r w:rsidR="00A226BA" w:rsidRPr="0018206C">
        <w:t>Despite</w:t>
      </w:r>
      <w:r w:rsidR="00A226BA" w:rsidRPr="00EF5390">
        <w:t xml:space="preserve"> surgical and conservative treatments the CI did not respond adequately to perform within her training status or mee</w:t>
      </w:r>
      <w:r w:rsidR="00C96D1A">
        <w:t xml:space="preserve">t physical fitness standards. </w:t>
      </w:r>
      <w:r w:rsidR="009E045F" w:rsidRPr="00EF5390">
        <w:t>T</w:t>
      </w:r>
      <w:r w:rsidR="00A226BA" w:rsidRPr="00EF5390">
        <w:t>he</w:t>
      </w:r>
      <w:r w:rsidR="009E045F" w:rsidRPr="00EF5390">
        <w:t xml:space="preserve"> CI</w:t>
      </w:r>
      <w:r w:rsidR="00A226BA" w:rsidRPr="00EF5390">
        <w:t xml:space="preserve"> was issued a </w:t>
      </w:r>
      <w:r w:rsidR="00D94FF4" w:rsidRPr="00EF5390">
        <w:t xml:space="preserve">temporary </w:t>
      </w:r>
      <w:r w:rsidR="00A226BA" w:rsidRPr="00EF5390">
        <w:t>profile</w:t>
      </w:r>
      <w:r w:rsidR="004148D8" w:rsidRPr="00EF5390">
        <w:t xml:space="preserve"> U2</w:t>
      </w:r>
      <w:r w:rsidR="00D94FF4" w:rsidRPr="00EF5390">
        <w:t>L4</w:t>
      </w:r>
      <w:r w:rsidR="00A226BA" w:rsidRPr="00EF5390">
        <w:t xml:space="preserve"> and underwent a Medical Evaluation Board (MEB). </w:t>
      </w:r>
      <w:r w:rsidR="00AB6C72" w:rsidRPr="00EF5390">
        <w:t xml:space="preserve">On </w:t>
      </w:r>
      <w:r w:rsidR="0018206C">
        <w:t>18 December 2007</w:t>
      </w:r>
      <w:r w:rsidR="00AB6C72" w:rsidRPr="00EF5390">
        <w:t xml:space="preserve"> a</w:t>
      </w:r>
      <w:r w:rsidR="0018206C">
        <w:t>n</w:t>
      </w:r>
      <w:r w:rsidR="00CD4BA8">
        <w:t xml:space="preserve"> MEB was held and initially </w:t>
      </w:r>
      <w:r w:rsidR="00AB6C72" w:rsidRPr="00EF5390">
        <w:t>return to duty was recommended but the case w</w:t>
      </w:r>
      <w:r w:rsidR="00E26795" w:rsidRPr="00EF5390">
        <w:t>a</w:t>
      </w:r>
      <w:r w:rsidR="00AB6C72" w:rsidRPr="00EF5390">
        <w:t xml:space="preserve">s forwarded to the </w:t>
      </w:r>
      <w:r w:rsidR="00CD4BA8">
        <w:t xml:space="preserve">Informal </w:t>
      </w:r>
      <w:r w:rsidR="00AB6C72" w:rsidRPr="00EF5390">
        <w:t>Physical Evaluation Board (</w:t>
      </w:r>
      <w:r w:rsidR="00CD4BA8">
        <w:t>I</w:t>
      </w:r>
      <w:r w:rsidR="00AB6C72" w:rsidRPr="00EF5390">
        <w:t xml:space="preserve">PEB). </w:t>
      </w:r>
      <w:r w:rsidR="004D529E" w:rsidRPr="00EF5390">
        <w:t>The M</w:t>
      </w:r>
      <w:r w:rsidR="00B74380" w:rsidRPr="00EF5390">
        <w:t>EB forwarded “</w:t>
      </w:r>
      <w:r w:rsidR="0018206C">
        <w:t>l</w:t>
      </w:r>
      <w:r w:rsidR="00B74380" w:rsidRPr="00EF5390">
        <w:t>ower leg compartment syndrome (CS) status post (S/P) surgical release right leg with residual pain as medically unacceptable IAW AFI 48-123.</w:t>
      </w:r>
      <w:r w:rsidR="00C96D1A">
        <w:t xml:space="preserve"> </w:t>
      </w:r>
      <w:r w:rsidR="00A226BA" w:rsidRPr="00EF5390">
        <w:t xml:space="preserve">Other conditions included in the Disability Evaluation System (DES) packet will be discussed below. </w:t>
      </w:r>
      <w:r w:rsidR="00B86FD5" w:rsidRPr="00EF5390">
        <w:t xml:space="preserve">The CI sent a </w:t>
      </w:r>
      <w:r w:rsidR="00CD4BA8">
        <w:t>L</w:t>
      </w:r>
      <w:r w:rsidR="00B86FD5" w:rsidRPr="00EF5390">
        <w:t xml:space="preserve">etter of </w:t>
      </w:r>
      <w:r w:rsidR="00CD4BA8">
        <w:t>E</w:t>
      </w:r>
      <w:r w:rsidR="00B86FD5" w:rsidRPr="00EF5390">
        <w:t xml:space="preserve">xception to </w:t>
      </w:r>
      <w:r w:rsidR="00CD4BA8">
        <w:t>R</w:t>
      </w:r>
      <w:r w:rsidR="00B86FD5" w:rsidRPr="00EF5390">
        <w:t xml:space="preserve">ecommendations the </w:t>
      </w:r>
      <w:proofErr w:type="spellStart"/>
      <w:r w:rsidR="00CD4BA8">
        <w:t>the</w:t>
      </w:r>
      <w:proofErr w:type="spellEnd"/>
      <w:r w:rsidR="00CD4BA8">
        <w:t xml:space="preserve"> </w:t>
      </w:r>
      <w:r w:rsidR="00B86FD5" w:rsidRPr="00EF5390">
        <w:t xml:space="preserve">MEB. </w:t>
      </w:r>
      <w:r w:rsidR="00A226BA" w:rsidRPr="00EF5390">
        <w:t xml:space="preserve"> </w:t>
      </w:r>
      <w:r w:rsidR="00CD4BA8">
        <w:t xml:space="preserve">The first IPEB </w:t>
      </w:r>
      <w:r w:rsidR="000F1026">
        <w:t xml:space="preserve">dated </w:t>
      </w:r>
      <w:r w:rsidR="0018206C">
        <w:t>1 February 2008</w:t>
      </w:r>
      <w:r w:rsidR="00CD4BA8">
        <w:t>,</w:t>
      </w:r>
      <w:r w:rsidR="00D77758" w:rsidRPr="00EF5390">
        <w:t xml:space="preserve"> adjudicated </w:t>
      </w:r>
      <w:r w:rsidR="00D93E64" w:rsidRPr="00EF5390">
        <w:t>“</w:t>
      </w:r>
      <w:r w:rsidR="0018206C">
        <w:t>b</w:t>
      </w:r>
      <w:r w:rsidR="00D93E64" w:rsidRPr="00EF5390">
        <w:t xml:space="preserve">ilateral </w:t>
      </w:r>
      <w:r w:rsidR="0018206C">
        <w:t>l</w:t>
      </w:r>
      <w:r w:rsidR="004D529E" w:rsidRPr="00EF5390">
        <w:t xml:space="preserve">ower </w:t>
      </w:r>
      <w:r w:rsidR="0018206C">
        <w:t>l</w:t>
      </w:r>
      <w:r w:rsidR="004D529E" w:rsidRPr="00EF5390">
        <w:t xml:space="preserve">eg </w:t>
      </w:r>
      <w:r w:rsidR="0018206C">
        <w:t>p</w:t>
      </w:r>
      <w:r w:rsidR="004D529E" w:rsidRPr="00EF5390">
        <w:t xml:space="preserve">ain </w:t>
      </w:r>
      <w:r w:rsidR="00D93E64" w:rsidRPr="00EF5390">
        <w:t xml:space="preserve">associated with CS </w:t>
      </w:r>
      <w:r w:rsidR="00AB6C72" w:rsidRPr="00EF5390">
        <w:t xml:space="preserve">and aggravation of </w:t>
      </w:r>
      <w:r w:rsidR="00EF5390" w:rsidRPr="00EF5390">
        <w:t>congenital</w:t>
      </w:r>
      <w:r w:rsidR="00AB6C72" w:rsidRPr="00EF5390">
        <w:t xml:space="preserve"> (</w:t>
      </w:r>
      <w:r w:rsidR="0018206C">
        <w:t>e</w:t>
      </w:r>
      <w:r w:rsidR="00D93E64" w:rsidRPr="00EF5390">
        <w:t xml:space="preserve">xisted </w:t>
      </w:r>
      <w:r w:rsidR="0018206C">
        <w:t>p</w:t>
      </w:r>
      <w:r w:rsidR="00D93E64" w:rsidRPr="00EF5390">
        <w:t xml:space="preserve">rior </w:t>
      </w:r>
      <w:r w:rsidR="0018206C">
        <w:t>t</w:t>
      </w:r>
      <w:r w:rsidR="004D529E" w:rsidRPr="00EF5390">
        <w:t>o</w:t>
      </w:r>
      <w:r w:rsidR="00D93E64" w:rsidRPr="00EF5390">
        <w:t xml:space="preserve"> </w:t>
      </w:r>
      <w:r w:rsidR="0018206C">
        <w:t>s</w:t>
      </w:r>
      <w:r w:rsidR="004D529E" w:rsidRPr="00EF5390">
        <w:t>ervice</w:t>
      </w:r>
      <w:r w:rsidR="00EF5390" w:rsidRPr="00EF5390">
        <w:t>, EPTS</w:t>
      </w:r>
      <w:r w:rsidR="00D93E64" w:rsidRPr="00EF5390">
        <w:t>)</w:t>
      </w:r>
      <w:r w:rsidR="00B74380" w:rsidRPr="00EF5390">
        <w:t xml:space="preserve"> </w:t>
      </w:r>
      <w:r w:rsidR="0018206C">
        <w:t>p</w:t>
      </w:r>
      <w:r w:rsidR="00B74380" w:rsidRPr="00EF5390">
        <w:t xml:space="preserve">es </w:t>
      </w:r>
      <w:proofErr w:type="spellStart"/>
      <w:r w:rsidR="0018206C">
        <w:t>p</w:t>
      </w:r>
      <w:r w:rsidR="00B74380" w:rsidRPr="00EF5390">
        <w:t>lanus</w:t>
      </w:r>
      <w:proofErr w:type="spellEnd"/>
      <w:r w:rsidR="00AB6C72" w:rsidRPr="00EF5390">
        <w:t>”</w:t>
      </w:r>
      <w:r w:rsidR="00B74380" w:rsidRPr="00EF5390">
        <w:t xml:space="preserve"> </w:t>
      </w:r>
      <w:r w:rsidR="00AB6C72" w:rsidRPr="00EF5390">
        <w:t xml:space="preserve">as unfitting with a </w:t>
      </w:r>
      <w:r w:rsidR="00E26795" w:rsidRPr="00EF5390">
        <w:t>combined disability rating of 20</w:t>
      </w:r>
      <w:r w:rsidR="00C96D1A">
        <w:t>%</w:t>
      </w:r>
      <w:r w:rsidR="00AB6C72" w:rsidRPr="00EF5390">
        <w:t xml:space="preserve"> </w:t>
      </w:r>
      <w:r w:rsidR="00B74380" w:rsidRPr="00EF5390">
        <w:t xml:space="preserve">and </w:t>
      </w:r>
      <w:r w:rsidR="00AB6C72" w:rsidRPr="00EF5390">
        <w:t>“</w:t>
      </w:r>
      <w:r w:rsidR="0018206C">
        <w:t>m</w:t>
      </w:r>
      <w:r w:rsidR="00B74380" w:rsidRPr="00EF5390">
        <w:t xml:space="preserve">echanical </w:t>
      </w:r>
      <w:r w:rsidR="0018206C">
        <w:t>low b</w:t>
      </w:r>
      <w:r w:rsidR="00B74380" w:rsidRPr="00EF5390">
        <w:t xml:space="preserve">ack </w:t>
      </w:r>
      <w:r w:rsidR="0018206C">
        <w:t>p</w:t>
      </w:r>
      <w:r w:rsidR="00B74380" w:rsidRPr="00EF5390">
        <w:t xml:space="preserve">ain </w:t>
      </w:r>
      <w:r w:rsidR="004D529E" w:rsidRPr="00EF5390">
        <w:t>with</w:t>
      </w:r>
      <w:r w:rsidR="00B74380" w:rsidRPr="00EF5390">
        <w:t xml:space="preserve"> degenerative changes at T9-10 conditions</w:t>
      </w:r>
      <w:r w:rsidR="00AB6C72" w:rsidRPr="00EF5390">
        <w:t>”</w:t>
      </w:r>
      <w:r w:rsidR="00B74380" w:rsidRPr="00EF5390">
        <w:t xml:space="preserve"> as unfitting, rated 0%, with application of the Department of Defense Instruction (DoDI) 1332.39 and Veterans’ Administration Schedule for Rating Disabilities (VASRD).</w:t>
      </w:r>
      <w:r w:rsidR="009E045F" w:rsidRPr="00EF5390">
        <w:t xml:space="preserve"> </w:t>
      </w:r>
      <w:r w:rsidR="00C96D1A">
        <w:t xml:space="preserve">The IPEB also adjudicated </w:t>
      </w:r>
      <w:r w:rsidR="0018206C">
        <w:t>o</w:t>
      </w:r>
      <w:r w:rsidR="004D529E" w:rsidRPr="00EF5390">
        <w:t xml:space="preserve">bstructive </w:t>
      </w:r>
      <w:r w:rsidR="0018206C">
        <w:t xml:space="preserve">sleep </w:t>
      </w:r>
      <w:r w:rsidR="00CD4BA8">
        <w:t xml:space="preserve">apnea (OSA) </w:t>
      </w:r>
      <w:r w:rsidR="0018206C">
        <w:t>w</w:t>
      </w:r>
      <w:r w:rsidR="004D529E" w:rsidRPr="00EF5390">
        <w:t>ell-</w:t>
      </w:r>
      <w:r w:rsidR="0018206C">
        <w:t>c</w:t>
      </w:r>
      <w:r w:rsidR="004D529E" w:rsidRPr="00EF5390">
        <w:t xml:space="preserve">ontrolled with CPAP, currently with minor equipment difficulties in use of the machine and </w:t>
      </w:r>
      <w:r w:rsidR="0018206C">
        <w:t>l</w:t>
      </w:r>
      <w:r w:rsidR="004D529E" w:rsidRPr="00EF5390">
        <w:t xml:space="preserve">eft </w:t>
      </w:r>
      <w:r w:rsidR="0018206C">
        <w:t>w</w:t>
      </w:r>
      <w:r w:rsidR="004D529E" w:rsidRPr="00EF5390">
        <w:t xml:space="preserve">rist </w:t>
      </w:r>
      <w:r w:rsidR="0018206C">
        <w:t>p</w:t>
      </w:r>
      <w:r w:rsidR="004D529E" w:rsidRPr="00EF5390">
        <w:t xml:space="preserve">ain </w:t>
      </w:r>
      <w:r w:rsidR="0018206C">
        <w:t>w</w:t>
      </w:r>
      <w:r w:rsidR="004D529E" w:rsidRPr="00EF5390">
        <w:t xml:space="preserve">ith </w:t>
      </w:r>
      <w:r w:rsidR="0018206C">
        <w:t>e</w:t>
      </w:r>
      <w:r w:rsidR="004D529E" w:rsidRPr="00EF5390">
        <w:t xml:space="preserve">xtensor </w:t>
      </w:r>
      <w:proofErr w:type="spellStart"/>
      <w:r w:rsidR="0018206C">
        <w:t>c</w:t>
      </w:r>
      <w:r w:rsidR="004D529E" w:rsidRPr="00EF5390">
        <w:t>arpi</w:t>
      </w:r>
      <w:proofErr w:type="spellEnd"/>
      <w:r w:rsidR="004D529E" w:rsidRPr="00EF5390">
        <w:t xml:space="preserve"> </w:t>
      </w:r>
      <w:proofErr w:type="spellStart"/>
      <w:r w:rsidR="0018206C">
        <w:t>u</w:t>
      </w:r>
      <w:r w:rsidR="004D529E" w:rsidRPr="00EF5390">
        <w:t>lnaris</w:t>
      </w:r>
      <w:proofErr w:type="spellEnd"/>
      <w:r w:rsidR="004D529E" w:rsidRPr="00EF5390">
        <w:t xml:space="preserve"> </w:t>
      </w:r>
      <w:r w:rsidR="0018206C">
        <w:t>tenosynovitis as categor</w:t>
      </w:r>
      <w:r w:rsidR="004D529E" w:rsidRPr="00EF5390">
        <w:t>y II (“</w:t>
      </w:r>
      <w:r w:rsidR="0018206C">
        <w:t>c</w:t>
      </w:r>
      <w:r w:rsidR="004D529E" w:rsidRPr="00EF5390">
        <w:t xml:space="preserve">onditions that can be unfitting but are not currently compensable or ratable”) and </w:t>
      </w:r>
      <w:r w:rsidR="0018206C">
        <w:t>o</w:t>
      </w:r>
      <w:r w:rsidR="004D529E" w:rsidRPr="00EF5390">
        <w:t xml:space="preserve">besity as </w:t>
      </w:r>
      <w:r w:rsidR="0018206C">
        <w:t>c</w:t>
      </w:r>
      <w:r w:rsidR="004D529E" w:rsidRPr="00EF5390">
        <w:t>ategory III (“Condition</w:t>
      </w:r>
      <w:r w:rsidR="00AB6C72" w:rsidRPr="00EF5390">
        <w:t>s</w:t>
      </w:r>
      <w:r w:rsidR="004D529E" w:rsidRPr="00EF5390">
        <w:t xml:space="preserve"> that are </w:t>
      </w:r>
      <w:r w:rsidR="00AB6C72" w:rsidRPr="00EF5390">
        <w:t xml:space="preserve">not </w:t>
      </w:r>
      <w:r w:rsidR="004D529E" w:rsidRPr="00EF5390">
        <w:t>separately  unfitting</w:t>
      </w:r>
      <w:r w:rsidR="00C96D1A">
        <w:t xml:space="preserve"> and compensable or ratable”). </w:t>
      </w:r>
      <w:r w:rsidR="00AB6C72" w:rsidRPr="00EF5390">
        <w:t>A</w:t>
      </w:r>
      <w:r w:rsidR="00CD4BA8">
        <w:t>n I</w:t>
      </w:r>
      <w:r w:rsidR="00B74380" w:rsidRPr="00EF5390">
        <w:t xml:space="preserve">PEB </w:t>
      </w:r>
      <w:r w:rsidR="0018206C">
        <w:t>dated 7 April 2008</w:t>
      </w:r>
      <w:r w:rsidR="00B74380" w:rsidRPr="00EF5390">
        <w:t xml:space="preserve"> </w:t>
      </w:r>
      <w:r w:rsidR="004D529E" w:rsidRPr="00EF5390">
        <w:t>adjudicated</w:t>
      </w:r>
      <w:r w:rsidR="00B74380" w:rsidRPr="00EF5390">
        <w:t xml:space="preserve"> “</w:t>
      </w:r>
      <w:r w:rsidR="0018206C">
        <w:t>b</w:t>
      </w:r>
      <w:r w:rsidR="00B74380" w:rsidRPr="00EF5390">
        <w:t xml:space="preserve">ilateral </w:t>
      </w:r>
      <w:r w:rsidR="0018206C">
        <w:t>l</w:t>
      </w:r>
      <w:r w:rsidR="004D529E" w:rsidRPr="00EF5390">
        <w:t xml:space="preserve">ower </w:t>
      </w:r>
      <w:r w:rsidR="0018206C">
        <w:t>l</w:t>
      </w:r>
      <w:r w:rsidR="004D529E" w:rsidRPr="00EF5390">
        <w:t xml:space="preserve">eg </w:t>
      </w:r>
      <w:r w:rsidR="0018206C">
        <w:t>p</w:t>
      </w:r>
      <w:r w:rsidR="004D529E" w:rsidRPr="00EF5390">
        <w:t xml:space="preserve">ain </w:t>
      </w:r>
      <w:r w:rsidR="00B74380" w:rsidRPr="00EF5390">
        <w:t>with CS as unfitting rated 21</w:t>
      </w:r>
      <w:r w:rsidR="00CD7A75" w:rsidRPr="00EF5390">
        <w:t>% (including bilateral factor) with application</w:t>
      </w:r>
      <w:r w:rsidR="00C96D1A">
        <w:t xml:space="preserve"> of the DoDI 1332.39 and VASRD.</w:t>
      </w:r>
      <w:r w:rsidR="009E045F" w:rsidRPr="00EF5390">
        <w:t xml:space="preserve"> </w:t>
      </w:r>
      <w:r w:rsidR="00CD7A75" w:rsidRPr="00EF5390">
        <w:t xml:space="preserve">The </w:t>
      </w:r>
      <w:r w:rsidR="00CD4BA8">
        <w:t>Formal PEB (</w:t>
      </w:r>
      <w:r w:rsidR="00CD7A75" w:rsidRPr="00EF5390">
        <w:t>FPEB</w:t>
      </w:r>
      <w:r w:rsidR="00CD4BA8">
        <w:t>)</w:t>
      </w:r>
      <w:r w:rsidR="00CD7A75" w:rsidRPr="00EF5390">
        <w:t xml:space="preserve"> also adjudic</w:t>
      </w:r>
      <w:r w:rsidR="004D529E" w:rsidRPr="00EF5390">
        <w:t>ated “</w:t>
      </w:r>
      <w:r w:rsidR="0018206C">
        <w:t>b</w:t>
      </w:r>
      <w:r w:rsidR="004D529E" w:rsidRPr="00EF5390">
        <w:t xml:space="preserve">ilateral </w:t>
      </w:r>
      <w:r w:rsidR="0018206C">
        <w:t>p</w:t>
      </w:r>
      <w:r w:rsidR="004D529E" w:rsidRPr="00EF5390">
        <w:t xml:space="preserve">es </w:t>
      </w:r>
      <w:proofErr w:type="spellStart"/>
      <w:r w:rsidR="0018206C">
        <w:t>p</w:t>
      </w:r>
      <w:r w:rsidR="004D529E" w:rsidRPr="00EF5390">
        <w:t>lanus</w:t>
      </w:r>
      <w:proofErr w:type="spellEnd"/>
      <w:r w:rsidR="004D529E" w:rsidRPr="00EF5390">
        <w:t>, EPTS</w:t>
      </w:r>
      <w:r w:rsidR="00AB6C72" w:rsidRPr="00EF5390">
        <w:t>;</w:t>
      </w:r>
      <w:r w:rsidR="00CD7A75" w:rsidRPr="00EF5390">
        <w:t xml:space="preserve"> </w:t>
      </w:r>
      <w:r w:rsidR="0018206C">
        <w:t>low b</w:t>
      </w:r>
      <w:r w:rsidR="00CD7A75" w:rsidRPr="00EF5390">
        <w:t xml:space="preserve">ack </w:t>
      </w:r>
      <w:r w:rsidR="0018206C">
        <w:t>p</w:t>
      </w:r>
      <w:r w:rsidR="00CD7A75" w:rsidRPr="00EF5390">
        <w:t>ain</w:t>
      </w:r>
      <w:r w:rsidR="00AB6C72" w:rsidRPr="00EF5390">
        <w:t>;</w:t>
      </w:r>
      <w:r w:rsidR="0018206C">
        <w:t xml:space="preserve"> l</w:t>
      </w:r>
      <w:r w:rsidR="004D529E" w:rsidRPr="00EF5390">
        <w:t xml:space="preserve">eft </w:t>
      </w:r>
      <w:r w:rsidR="0018206C">
        <w:t>w</w:t>
      </w:r>
      <w:r w:rsidR="004D529E" w:rsidRPr="00EF5390">
        <w:t xml:space="preserve">rist </w:t>
      </w:r>
      <w:r w:rsidR="0018206C">
        <w:t>p</w:t>
      </w:r>
      <w:r w:rsidR="004D529E" w:rsidRPr="00EF5390">
        <w:t xml:space="preserve">ain with </w:t>
      </w:r>
      <w:r w:rsidR="0018206C">
        <w:t>e</w:t>
      </w:r>
      <w:r w:rsidR="004D529E" w:rsidRPr="00EF5390">
        <w:t xml:space="preserve">xtensor </w:t>
      </w:r>
      <w:proofErr w:type="spellStart"/>
      <w:r w:rsidR="0018206C">
        <w:t>c</w:t>
      </w:r>
      <w:r w:rsidR="004D529E" w:rsidRPr="00EF5390">
        <w:t>arpi</w:t>
      </w:r>
      <w:proofErr w:type="spellEnd"/>
      <w:r w:rsidR="004D529E" w:rsidRPr="00EF5390">
        <w:t xml:space="preserve"> </w:t>
      </w:r>
      <w:proofErr w:type="spellStart"/>
      <w:r w:rsidR="0018206C">
        <w:t>u</w:t>
      </w:r>
      <w:r w:rsidR="004D529E" w:rsidRPr="00EF5390">
        <w:t>lnaris</w:t>
      </w:r>
      <w:proofErr w:type="spellEnd"/>
      <w:r w:rsidR="004D529E" w:rsidRPr="00EF5390">
        <w:t xml:space="preserve"> </w:t>
      </w:r>
      <w:r w:rsidR="0018206C">
        <w:t>t</w:t>
      </w:r>
      <w:r w:rsidR="004D529E" w:rsidRPr="00EF5390">
        <w:t>enosynovitis</w:t>
      </w:r>
      <w:r w:rsidR="00AB6C72" w:rsidRPr="00EF5390">
        <w:t>;</w:t>
      </w:r>
      <w:r w:rsidR="00CD7A75" w:rsidRPr="00EF5390">
        <w:t xml:space="preserve"> and OSA</w:t>
      </w:r>
      <w:r w:rsidR="00DB02E0" w:rsidRPr="00EF5390">
        <w:t>,</w:t>
      </w:r>
      <w:r w:rsidR="00CD7A75" w:rsidRPr="00EF5390">
        <w:t xml:space="preserve"> </w:t>
      </w:r>
      <w:r w:rsidR="00DB02E0" w:rsidRPr="00EF5390">
        <w:t>well-c</w:t>
      </w:r>
      <w:r w:rsidR="004D529E" w:rsidRPr="00EF5390">
        <w:t xml:space="preserve">ontrolled </w:t>
      </w:r>
      <w:r w:rsidR="00CD7A75" w:rsidRPr="00EF5390">
        <w:t xml:space="preserve">with CPAP as </w:t>
      </w:r>
      <w:r w:rsidR="0018206C">
        <w:t>c</w:t>
      </w:r>
      <w:r w:rsidR="00CD7A75" w:rsidRPr="00EF5390">
        <w:t>ategory II.</w:t>
      </w:r>
      <w:r w:rsidR="009E045F" w:rsidRPr="00EF5390">
        <w:t xml:space="preserve"> </w:t>
      </w:r>
      <w:r w:rsidR="001C0C20" w:rsidRPr="00EF5390">
        <w:t xml:space="preserve">The CI appealed the FPEB’s decision and the case was reviewed by the </w:t>
      </w:r>
      <w:r w:rsidR="0018206C">
        <w:t xml:space="preserve">Secretary of the </w:t>
      </w:r>
      <w:r w:rsidR="001C0C20" w:rsidRPr="00EF5390">
        <w:t>Air Force Personnel Council (</w:t>
      </w:r>
      <w:r w:rsidR="0018206C">
        <w:t>S</w:t>
      </w:r>
      <w:r w:rsidR="001C0C20" w:rsidRPr="00EF5390">
        <w:t xml:space="preserve">AFPC). </w:t>
      </w:r>
      <w:r w:rsidR="00D70DCC" w:rsidRPr="00EF5390">
        <w:t>On</w:t>
      </w:r>
      <w:r w:rsidR="001C0C20" w:rsidRPr="00EF5390">
        <w:t xml:space="preserve"> </w:t>
      </w:r>
      <w:r w:rsidR="0018206C">
        <w:t>8 June 2008</w:t>
      </w:r>
      <w:r w:rsidR="00EF5390" w:rsidRPr="00EF5390">
        <w:t xml:space="preserve"> </w:t>
      </w:r>
      <w:r w:rsidR="0018206C">
        <w:t>S</w:t>
      </w:r>
      <w:r w:rsidR="00311EA4" w:rsidRPr="00EF5390">
        <w:t>AFPC</w:t>
      </w:r>
      <w:r w:rsidR="00D70DCC" w:rsidRPr="00EF5390">
        <w:t xml:space="preserve"> </w:t>
      </w:r>
      <w:r w:rsidR="001C0C20" w:rsidRPr="00EF5390">
        <w:t xml:space="preserve">adjudicated </w:t>
      </w:r>
      <w:r w:rsidR="0018206C">
        <w:t>b</w:t>
      </w:r>
      <w:r w:rsidR="001C0C20" w:rsidRPr="00EF5390">
        <w:t xml:space="preserve">ilateral </w:t>
      </w:r>
      <w:r w:rsidR="0018206C">
        <w:t>p</w:t>
      </w:r>
      <w:r w:rsidR="001C0C20" w:rsidRPr="00EF5390">
        <w:t xml:space="preserve">lantar </w:t>
      </w:r>
      <w:r w:rsidR="0018206C">
        <w:t>f</w:t>
      </w:r>
      <w:r w:rsidR="001C0C20" w:rsidRPr="00EF5390">
        <w:t xml:space="preserve">asciitis </w:t>
      </w:r>
      <w:r w:rsidR="00DB02E0" w:rsidRPr="00EF5390">
        <w:t xml:space="preserve">as unfitting and rated each foot at 10% for a combined rating of 21%. </w:t>
      </w:r>
      <w:r w:rsidR="0018206C">
        <w:t>S</w:t>
      </w:r>
      <w:r w:rsidR="00DB02E0" w:rsidRPr="00EF5390">
        <w:t>AFPC also adjudicated</w:t>
      </w:r>
      <w:r w:rsidR="001C0C20" w:rsidRPr="00EF5390">
        <w:t xml:space="preserve"> </w:t>
      </w:r>
      <w:r w:rsidR="0018206C">
        <w:t>h</w:t>
      </w:r>
      <w:r w:rsidR="001C0C20" w:rsidRPr="00EF5390">
        <w:t xml:space="preserve">istory of </w:t>
      </w:r>
      <w:r w:rsidR="0018206C">
        <w:t>r</w:t>
      </w:r>
      <w:r w:rsidR="001C0C20" w:rsidRPr="00EF5390">
        <w:t xml:space="preserve">ight </w:t>
      </w:r>
      <w:proofErr w:type="spellStart"/>
      <w:r w:rsidR="0018206C">
        <w:t>e</w:t>
      </w:r>
      <w:r w:rsidR="001C0C20" w:rsidRPr="00EF5390">
        <w:t>xertional</w:t>
      </w:r>
      <w:proofErr w:type="spellEnd"/>
      <w:r w:rsidR="001C0C20" w:rsidRPr="00EF5390">
        <w:t xml:space="preserve"> </w:t>
      </w:r>
      <w:r w:rsidR="0018206C">
        <w:t>a</w:t>
      </w:r>
      <w:r w:rsidR="001C0C20" w:rsidRPr="00EF5390">
        <w:t xml:space="preserve">nterior </w:t>
      </w:r>
      <w:r w:rsidR="00EF5390" w:rsidRPr="00EF5390">
        <w:t>CS; status</w:t>
      </w:r>
      <w:r w:rsidR="00DB02E0" w:rsidRPr="00EF5390">
        <w:t xml:space="preserve"> post</w:t>
      </w:r>
      <w:r w:rsidR="001C0C20" w:rsidRPr="00EF5390">
        <w:t xml:space="preserve"> </w:t>
      </w:r>
      <w:proofErr w:type="spellStart"/>
      <w:r w:rsidR="0018206C">
        <w:t>f</w:t>
      </w:r>
      <w:r w:rsidR="001C0C20" w:rsidRPr="00EF5390">
        <w:t>asciotomy</w:t>
      </w:r>
      <w:proofErr w:type="spellEnd"/>
      <w:r w:rsidR="001C0C20" w:rsidRPr="00EF5390">
        <w:t xml:space="preserve">, </w:t>
      </w:r>
      <w:r w:rsidR="0018206C">
        <w:t>r</w:t>
      </w:r>
      <w:r w:rsidR="001C0C20" w:rsidRPr="00EF5390">
        <w:t xml:space="preserve">esolved condition as </w:t>
      </w:r>
      <w:r w:rsidR="00DB02E0" w:rsidRPr="00EF5390">
        <w:t xml:space="preserve">contributing to her unfitness </w:t>
      </w:r>
      <w:r w:rsidR="00790D55">
        <w:t xml:space="preserve">but not separately unfitting </w:t>
      </w:r>
      <w:r w:rsidR="00DB02E0" w:rsidRPr="00EF5390">
        <w:t>and a 0% rating was applied.</w:t>
      </w:r>
      <w:r w:rsidR="001C0C20" w:rsidRPr="00EF5390">
        <w:t xml:space="preserve"> </w:t>
      </w:r>
      <w:r w:rsidR="00DB02E0" w:rsidRPr="00EF5390">
        <w:t xml:space="preserve">Both of these decisions were based on the </w:t>
      </w:r>
      <w:r w:rsidR="001C0C20" w:rsidRPr="00EF5390">
        <w:t xml:space="preserve">application of the DoDI 1332.39 and VASRD. </w:t>
      </w:r>
      <w:r w:rsidR="0018206C">
        <w:t>SAFPC</w:t>
      </w:r>
      <w:r w:rsidR="00EF5390" w:rsidRPr="00EF5390">
        <w:t xml:space="preserve"> </w:t>
      </w:r>
      <w:r w:rsidR="00BE1834">
        <w:t xml:space="preserve">also adjudicated </w:t>
      </w:r>
      <w:r w:rsidR="0018206C">
        <w:t>b</w:t>
      </w:r>
      <w:r w:rsidR="00EF5390" w:rsidRPr="00EF5390">
        <w:t xml:space="preserve">ilateral </w:t>
      </w:r>
      <w:r w:rsidR="0018206C">
        <w:t>l</w:t>
      </w:r>
      <w:r w:rsidR="00EF5390" w:rsidRPr="00EF5390">
        <w:t xml:space="preserve">eg </w:t>
      </w:r>
      <w:r w:rsidR="0018206C">
        <w:t>pain and n</w:t>
      </w:r>
      <w:r w:rsidR="00EF5390" w:rsidRPr="00EF5390">
        <w:t xml:space="preserve">umbness of </w:t>
      </w:r>
      <w:r w:rsidR="0018206C">
        <w:t>undetermined e</w:t>
      </w:r>
      <w:r w:rsidR="00EF5390" w:rsidRPr="00EF5390">
        <w:t xml:space="preserve">tiology without </w:t>
      </w:r>
      <w:r w:rsidR="0018206C">
        <w:t>o</w:t>
      </w:r>
      <w:r w:rsidR="00EF5390" w:rsidRPr="00EF5390">
        <w:t xml:space="preserve">bjective </w:t>
      </w:r>
      <w:r w:rsidR="0018206C">
        <w:t>f</w:t>
      </w:r>
      <w:r w:rsidR="00EF5390" w:rsidRPr="00EF5390">
        <w:t xml:space="preserve">indings or </w:t>
      </w:r>
      <w:r w:rsidR="0018206C">
        <w:t>e</w:t>
      </w:r>
      <w:r w:rsidR="00EF5390" w:rsidRPr="00EF5390">
        <w:t xml:space="preserve">vidence of </w:t>
      </w:r>
      <w:r w:rsidR="0018206C">
        <w:t>i</w:t>
      </w:r>
      <w:r w:rsidR="00EF5390" w:rsidRPr="00EF5390">
        <w:t xml:space="preserve">mpairment; </w:t>
      </w:r>
      <w:r w:rsidR="00CD4BA8">
        <w:t>OSA</w:t>
      </w:r>
      <w:r w:rsidR="00EF5390" w:rsidRPr="00EF5390">
        <w:t xml:space="preserve"> well-controlled with CPAP; </w:t>
      </w:r>
      <w:r w:rsidR="0018206C">
        <w:t>l</w:t>
      </w:r>
      <w:r w:rsidR="00EF5390" w:rsidRPr="00EF5390">
        <w:t xml:space="preserve">umbago without </w:t>
      </w:r>
      <w:r w:rsidR="0018206C">
        <w:t>c</w:t>
      </w:r>
      <w:r w:rsidR="00EF5390" w:rsidRPr="00EF5390">
        <w:t xml:space="preserve">ausative </w:t>
      </w:r>
      <w:r w:rsidR="0018206C">
        <w:t>a</w:t>
      </w:r>
      <w:r w:rsidR="00EF5390" w:rsidRPr="00EF5390">
        <w:t xml:space="preserve">natomic </w:t>
      </w:r>
      <w:r w:rsidR="0018206C">
        <w:t>a</w:t>
      </w:r>
      <w:r w:rsidR="00EF5390" w:rsidRPr="00EF5390">
        <w:t xml:space="preserve">bnormalities or </w:t>
      </w:r>
      <w:r w:rsidR="0018206C">
        <w:t>o</w:t>
      </w:r>
      <w:r w:rsidR="00EF5390" w:rsidRPr="00EF5390">
        <w:t xml:space="preserve">bjective </w:t>
      </w:r>
      <w:r w:rsidR="0018206C">
        <w:t>e</w:t>
      </w:r>
      <w:r w:rsidR="00EF5390" w:rsidRPr="00EF5390">
        <w:t xml:space="preserve">vidence of </w:t>
      </w:r>
      <w:r w:rsidR="0018206C">
        <w:t>i</w:t>
      </w:r>
      <w:r w:rsidR="00EF5390" w:rsidRPr="00EF5390">
        <w:t xml:space="preserve">mpairment; </w:t>
      </w:r>
      <w:r w:rsidR="0018206C">
        <w:t>r</w:t>
      </w:r>
      <w:r w:rsidR="00EF5390" w:rsidRPr="00EF5390">
        <w:t xml:space="preserve">adiological </w:t>
      </w:r>
      <w:r w:rsidR="0018206C">
        <w:t>e</w:t>
      </w:r>
      <w:r w:rsidR="00EF5390" w:rsidRPr="00EF5390">
        <w:t xml:space="preserve">vidence </w:t>
      </w:r>
      <w:r w:rsidR="00CD4BA8">
        <w:t>o</w:t>
      </w:r>
      <w:r w:rsidR="00EF5390" w:rsidRPr="00EF5390">
        <w:t xml:space="preserve">f </w:t>
      </w:r>
      <w:r w:rsidR="0018206C">
        <w:t>m</w:t>
      </w:r>
      <w:r w:rsidR="00EF5390" w:rsidRPr="00EF5390">
        <w:t xml:space="preserve">ild </w:t>
      </w:r>
      <w:r w:rsidR="0018206C">
        <w:t>d</w:t>
      </w:r>
      <w:r w:rsidR="00EF5390" w:rsidRPr="00EF5390">
        <w:t xml:space="preserve">egenerative </w:t>
      </w:r>
      <w:r w:rsidR="0018206C">
        <w:t>c</w:t>
      </w:r>
      <w:r w:rsidR="00EF5390" w:rsidRPr="00EF5390">
        <w:t xml:space="preserve">hanges at T9-10 EPTS; and </w:t>
      </w:r>
      <w:r w:rsidR="0018206C">
        <w:t>h</w:t>
      </w:r>
      <w:r w:rsidR="00EF5390" w:rsidRPr="00EF5390">
        <w:t xml:space="preserve">istory </w:t>
      </w:r>
      <w:r w:rsidR="0018206C">
        <w:t>o</w:t>
      </w:r>
      <w:r w:rsidR="00EF5390" w:rsidRPr="00EF5390">
        <w:t xml:space="preserve">f </w:t>
      </w:r>
      <w:r w:rsidR="0018206C">
        <w:t>l</w:t>
      </w:r>
      <w:r w:rsidR="00EF5390" w:rsidRPr="00EF5390">
        <w:t xml:space="preserve">eft </w:t>
      </w:r>
      <w:r w:rsidR="0018206C">
        <w:t>wrist t</w:t>
      </w:r>
      <w:r w:rsidR="00EF5390" w:rsidRPr="00EF5390">
        <w:t>enosynovitis</w:t>
      </w:r>
      <w:r w:rsidR="00EF5390">
        <w:t xml:space="preserve"> also </w:t>
      </w:r>
      <w:r w:rsidR="0018206C">
        <w:t>c</w:t>
      </w:r>
      <w:r w:rsidR="00C96D1A">
        <w:t xml:space="preserve">ategory II </w:t>
      </w:r>
      <w:r w:rsidR="00EF5390" w:rsidRPr="00EF5390">
        <w:t xml:space="preserve">and </w:t>
      </w:r>
      <w:r w:rsidR="0018206C">
        <w:t>obesity and a</w:t>
      </w:r>
      <w:r w:rsidR="00EF5390" w:rsidRPr="00EF5390">
        <w:t xml:space="preserve">djustment </w:t>
      </w:r>
      <w:r w:rsidR="0018206C">
        <w:t>d</w:t>
      </w:r>
      <w:r w:rsidR="00EF5390" w:rsidRPr="00EF5390">
        <w:t xml:space="preserve">isorder as </w:t>
      </w:r>
      <w:r w:rsidR="0018206C">
        <w:t>c</w:t>
      </w:r>
      <w:r w:rsidR="00EF5390" w:rsidRPr="00EF5390">
        <w:t>ategory III.</w:t>
      </w:r>
      <w:r w:rsidR="00CD4BA8">
        <w:t xml:space="preserve">  </w:t>
      </w:r>
      <w:r w:rsidR="00EF5390" w:rsidRPr="00EF5390">
        <w:t>The CI was then medically separated with a 20% combined disability rating.</w:t>
      </w:r>
    </w:p>
    <w:p w:rsidR="004174F0" w:rsidRPr="00EF5390" w:rsidRDefault="004174F0" w:rsidP="00971C72">
      <w:pPr>
        <w:pBdr>
          <w:bottom w:val="single" w:sz="12" w:space="1" w:color="auto"/>
        </w:pBdr>
        <w:tabs>
          <w:tab w:val="left" w:pos="288"/>
          <w:tab w:val="left" w:pos="4752"/>
        </w:tabs>
      </w:pPr>
    </w:p>
    <w:p w:rsidR="004174F0" w:rsidRPr="00EF5390" w:rsidRDefault="004174F0" w:rsidP="00971C72">
      <w:pPr>
        <w:tabs>
          <w:tab w:val="left" w:pos="288"/>
          <w:tab w:val="left" w:pos="4752"/>
        </w:tabs>
      </w:pPr>
    </w:p>
    <w:p w:rsidR="00A226BA" w:rsidRPr="00EF5390" w:rsidRDefault="002C6E5B" w:rsidP="00971C72">
      <w:pPr>
        <w:tabs>
          <w:tab w:val="left" w:pos="288"/>
          <w:tab w:val="left" w:pos="4752"/>
        </w:tabs>
      </w:pPr>
      <w:r w:rsidRPr="00EF5390">
        <w:rPr>
          <w:color w:val="000000" w:themeColor="text1"/>
          <w:u w:val="single"/>
        </w:rPr>
        <w:t>CI CONTENTION</w:t>
      </w:r>
      <w:r w:rsidRPr="00EF5390">
        <w:rPr>
          <w:color w:val="000000" w:themeColor="text1"/>
        </w:rPr>
        <w:t>:</w:t>
      </w:r>
      <w:r w:rsidR="00A226BA" w:rsidRPr="00EF5390">
        <w:t xml:space="preserve"> The CI states:  “In accordance with the Department of Defense Directive Type-Memoranda (DTM), dated 14 Oct 08, the applicant re</w:t>
      </w:r>
      <w:r w:rsidR="003367D0" w:rsidRPr="00EF5390">
        <w:t>quests that the B</w:t>
      </w:r>
      <w:r w:rsidR="00A226BA" w:rsidRPr="00EF5390">
        <w:t>oard review the VA Automated Medical Information Exchange (AMIE) worksheets to ensure that all impairments were submitted by the MEB and evaluated by the PEB. If it is discovered, that all of the applicants' conditions were not submitted, and thus not properly evaluated, t</w:t>
      </w:r>
      <w:r w:rsidR="003367D0" w:rsidRPr="00EF5390">
        <w:t xml:space="preserve">he applicant </w:t>
      </w:r>
      <w:r w:rsidR="003367D0" w:rsidRPr="00EF5390">
        <w:lastRenderedPageBreak/>
        <w:t>requests that the B</w:t>
      </w:r>
      <w:r w:rsidR="00A226BA" w:rsidRPr="00EF5390">
        <w:t>oard ensures that thi</w:t>
      </w:r>
      <w:r w:rsidR="00C96D1A">
        <w:t xml:space="preserve">s happens during their review. </w:t>
      </w:r>
      <w:r w:rsidR="00A226BA" w:rsidRPr="00EF5390">
        <w:t xml:space="preserve">The </w:t>
      </w:r>
      <w:r w:rsidR="003367D0" w:rsidRPr="00EF5390">
        <w:t>applicant requests that if the B</w:t>
      </w:r>
      <w:r w:rsidR="00A226BA" w:rsidRPr="00EF5390">
        <w:t xml:space="preserve">oard disagrees with any part or subpart, of the items in which the applicant seeks relief, a clearly described rationale shall be given </w:t>
      </w:r>
      <w:r w:rsidR="003367D0" w:rsidRPr="00EF5390">
        <w:t>as to why the B</w:t>
      </w:r>
      <w:r w:rsidR="00C96D1A">
        <w:t xml:space="preserve">oard disagrees. </w:t>
      </w:r>
      <w:r w:rsidR="00A226BA" w:rsidRPr="00EF5390">
        <w:t>The applicant requests a review of her disability case and that this review culmina</w:t>
      </w:r>
      <w:r w:rsidR="003367D0" w:rsidRPr="00EF5390">
        <w:t>te in a recommendation, by the B</w:t>
      </w:r>
      <w:r w:rsidR="00A226BA" w:rsidRPr="00EF5390">
        <w:t xml:space="preserve">oard, that the she should be permanently retired at a compensable rate of </w:t>
      </w:r>
      <w:r w:rsidR="00C96D1A">
        <w:t>thirty-percent (30%) or higher.</w:t>
      </w:r>
      <w:r w:rsidR="00A226BA" w:rsidRPr="00EF5390">
        <w:t xml:space="preserve"> For the foregoing reasons, the relief sought by the Applicant must be granted in all respects</w:t>
      </w:r>
      <w:r w:rsidR="006B22A9">
        <w:t>.</w:t>
      </w:r>
      <w:r w:rsidR="00A226BA" w:rsidRPr="00EF5390">
        <w:t xml:space="preserve">” </w:t>
      </w:r>
    </w:p>
    <w:p w:rsidR="004174F0" w:rsidRPr="00EF5390" w:rsidRDefault="004174F0" w:rsidP="00971C72">
      <w:pPr>
        <w:pBdr>
          <w:bottom w:val="single" w:sz="12" w:space="1" w:color="auto"/>
        </w:pBdr>
        <w:tabs>
          <w:tab w:val="left" w:pos="288"/>
          <w:tab w:val="left" w:pos="4752"/>
        </w:tabs>
      </w:pPr>
    </w:p>
    <w:p w:rsidR="004174F0" w:rsidRPr="00EF5390" w:rsidRDefault="004174F0" w:rsidP="00971C72">
      <w:pPr>
        <w:tabs>
          <w:tab w:val="left" w:pos="288"/>
          <w:tab w:val="left" w:pos="4752"/>
        </w:tabs>
      </w:pPr>
    </w:p>
    <w:p w:rsidR="001537D8" w:rsidRPr="00EF5390" w:rsidRDefault="007F0AB7" w:rsidP="00971C72">
      <w:pPr>
        <w:jc w:val="left"/>
      </w:pPr>
      <w:r w:rsidRPr="00EF5390">
        <w:t>R</w:t>
      </w:r>
      <w:r w:rsidR="002C6E5B" w:rsidRPr="00EF5390">
        <w:t>ATING COMPARISON:</w:t>
      </w:r>
    </w:p>
    <w:p w:rsidR="00C8590C" w:rsidRPr="00EF5390" w:rsidRDefault="00C8590C" w:rsidP="00971C72">
      <w:pPr>
        <w:jc w:val="left"/>
      </w:pPr>
    </w:p>
    <w:tbl>
      <w:tblPr>
        <w:tblW w:w="932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1080"/>
        <w:gridCol w:w="810"/>
        <w:gridCol w:w="1890"/>
        <w:gridCol w:w="990"/>
        <w:gridCol w:w="900"/>
        <w:gridCol w:w="990"/>
      </w:tblGrid>
      <w:tr w:rsidR="00A226BA" w:rsidRPr="00EF5390" w:rsidTr="00EF5390">
        <w:trPr>
          <w:trHeight w:val="233"/>
          <w:jc w:val="center"/>
        </w:trPr>
        <w:tc>
          <w:tcPr>
            <w:tcW w:w="4557" w:type="dxa"/>
            <w:gridSpan w:val="3"/>
            <w:tcBorders>
              <w:right w:val="thinThickThinSmallGap" w:sz="24" w:space="0" w:color="auto"/>
            </w:tcBorders>
            <w:shd w:val="clear" w:color="auto" w:fill="D9D9D9"/>
            <w:vAlign w:val="center"/>
          </w:tcPr>
          <w:p w:rsidR="00A226BA" w:rsidRPr="00EF5390" w:rsidRDefault="00A226BA" w:rsidP="00EF5390">
            <w:pPr>
              <w:spacing w:line="200" w:lineRule="exact"/>
              <w:contextualSpacing/>
              <w:jc w:val="center"/>
              <w:rPr>
                <w:rFonts w:eastAsia="Calibri"/>
                <w:sz w:val="18"/>
                <w:szCs w:val="18"/>
              </w:rPr>
            </w:pPr>
            <w:r w:rsidRPr="00EF5390">
              <w:rPr>
                <w:rFonts w:eastAsia="Calibri"/>
                <w:sz w:val="18"/>
                <w:szCs w:val="18"/>
              </w:rPr>
              <w:t>Service</w:t>
            </w:r>
            <w:r w:rsidR="00EF5390" w:rsidRPr="00EF5390">
              <w:rPr>
                <w:rFonts w:eastAsia="Calibri"/>
                <w:sz w:val="18"/>
                <w:szCs w:val="18"/>
              </w:rPr>
              <w:t xml:space="preserve"> AFSC</w:t>
            </w:r>
            <w:r w:rsidRPr="00EF5390">
              <w:rPr>
                <w:rFonts w:eastAsia="Calibri"/>
                <w:sz w:val="18"/>
                <w:szCs w:val="18"/>
              </w:rPr>
              <w:t xml:space="preserve"> – Dated 20080608</w:t>
            </w:r>
          </w:p>
        </w:tc>
        <w:tc>
          <w:tcPr>
            <w:tcW w:w="4770" w:type="dxa"/>
            <w:gridSpan w:val="4"/>
            <w:tcBorders>
              <w:left w:val="thinThickThinSmallGap" w:sz="24" w:space="0" w:color="auto"/>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VA (1 Mo. After Separation) – All Effective Date 20080615</w:t>
            </w:r>
          </w:p>
        </w:tc>
      </w:tr>
      <w:tr w:rsidR="00A226BA" w:rsidRPr="00EF5390" w:rsidTr="00EF5390">
        <w:trPr>
          <w:trHeight w:val="278"/>
          <w:jc w:val="center"/>
        </w:trPr>
        <w:tc>
          <w:tcPr>
            <w:tcW w:w="2667" w:type="dxa"/>
            <w:tcBorders>
              <w:bottom w:val="single" w:sz="4" w:space="0" w:color="000000"/>
              <w:right w:val="single" w:sz="4" w:space="0" w:color="auto"/>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Condition</w:t>
            </w:r>
          </w:p>
        </w:tc>
        <w:tc>
          <w:tcPr>
            <w:tcW w:w="1080" w:type="dxa"/>
            <w:tcBorders>
              <w:left w:val="single" w:sz="4" w:space="0" w:color="auto"/>
              <w:bottom w:val="single" w:sz="4" w:space="0" w:color="000000"/>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Code</w:t>
            </w:r>
          </w:p>
        </w:tc>
        <w:tc>
          <w:tcPr>
            <w:tcW w:w="810" w:type="dxa"/>
            <w:tcBorders>
              <w:bottom w:val="single" w:sz="4" w:space="0" w:color="000000"/>
              <w:right w:val="thinThickThinSmallGap" w:sz="24" w:space="0" w:color="auto"/>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Rating</w:t>
            </w:r>
          </w:p>
        </w:tc>
        <w:tc>
          <w:tcPr>
            <w:tcW w:w="1890" w:type="dxa"/>
            <w:tcBorders>
              <w:left w:val="thinThickThinSmallGap" w:sz="24" w:space="0" w:color="auto"/>
              <w:bottom w:val="single" w:sz="4" w:space="0" w:color="000000"/>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Condition</w:t>
            </w:r>
          </w:p>
        </w:tc>
        <w:tc>
          <w:tcPr>
            <w:tcW w:w="990" w:type="dxa"/>
            <w:tcBorders>
              <w:bottom w:val="single" w:sz="4" w:space="0" w:color="000000"/>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Code</w:t>
            </w:r>
          </w:p>
        </w:tc>
        <w:tc>
          <w:tcPr>
            <w:tcW w:w="900" w:type="dxa"/>
            <w:tcBorders>
              <w:bottom w:val="single" w:sz="4" w:space="0" w:color="000000"/>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Rating</w:t>
            </w:r>
          </w:p>
        </w:tc>
        <w:tc>
          <w:tcPr>
            <w:tcW w:w="990" w:type="dxa"/>
            <w:tcBorders>
              <w:bottom w:val="single" w:sz="4" w:space="0" w:color="000000"/>
            </w:tcBorders>
            <w:shd w:val="clear" w:color="auto" w:fill="D9D9D9"/>
            <w:vAlign w:val="center"/>
          </w:tcPr>
          <w:p w:rsidR="00A226BA" w:rsidRPr="00EF5390" w:rsidRDefault="00A226BA" w:rsidP="00CD0146">
            <w:pPr>
              <w:spacing w:line="200" w:lineRule="exact"/>
              <w:contextualSpacing/>
              <w:jc w:val="center"/>
              <w:rPr>
                <w:rFonts w:eastAsia="Calibri"/>
                <w:sz w:val="18"/>
                <w:szCs w:val="18"/>
              </w:rPr>
            </w:pPr>
            <w:r w:rsidRPr="00EF5390">
              <w:rPr>
                <w:rFonts w:eastAsia="Calibri"/>
                <w:sz w:val="18"/>
                <w:szCs w:val="18"/>
              </w:rPr>
              <w:t>Exam</w:t>
            </w:r>
          </w:p>
        </w:tc>
      </w:tr>
      <w:tr w:rsidR="00D63836" w:rsidRPr="00EF5390" w:rsidTr="00EF5390">
        <w:trPr>
          <w:trHeight w:val="287"/>
          <w:jc w:val="center"/>
        </w:trPr>
        <w:tc>
          <w:tcPr>
            <w:tcW w:w="2667" w:type="dxa"/>
            <w:tcBorders>
              <w:right w:val="single" w:sz="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 xml:space="preserve">Right Plantar Fasciitis </w:t>
            </w:r>
          </w:p>
        </w:tc>
        <w:tc>
          <w:tcPr>
            <w:tcW w:w="1080" w:type="dxa"/>
            <w:tcBorders>
              <w:left w:val="single" w:sz="4" w:space="0" w:color="auto"/>
            </w:tcBorders>
            <w:shd w:val="clear" w:color="auto" w:fill="FFFFFF"/>
            <w:vAlign w:val="center"/>
          </w:tcPr>
          <w:p w:rsidR="00D63836" w:rsidRPr="00EF5390" w:rsidRDefault="00D63836" w:rsidP="00971C72">
            <w:pPr>
              <w:spacing w:line="180" w:lineRule="exact"/>
              <w:contextualSpacing/>
              <w:rPr>
                <w:rFonts w:eastAsia="Calibri"/>
                <w:sz w:val="18"/>
                <w:szCs w:val="18"/>
              </w:rPr>
            </w:pPr>
            <w:r w:rsidRPr="00EF5390">
              <w:rPr>
                <w:rFonts w:eastAsia="Calibri"/>
                <w:sz w:val="18"/>
                <w:szCs w:val="18"/>
              </w:rPr>
              <w:t>5399-5310</w:t>
            </w:r>
          </w:p>
        </w:tc>
        <w:tc>
          <w:tcPr>
            <w:tcW w:w="810" w:type="dxa"/>
            <w:tcBorders>
              <w:right w:val="thinThickThinSmallGap" w:sz="24" w:space="0" w:color="auto"/>
            </w:tcBorders>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10%</w:t>
            </w:r>
          </w:p>
        </w:tc>
        <w:tc>
          <w:tcPr>
            <w:tcW w:w="1890" w:type="dxa"/>
            <w:vMerge w:val="restart"/>
            <w:tcBorders>
              <w:left w:val="thinThickThinSmallGap" w:sz="2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Plantar Fasciitis</w:t>
            </w:r>
          </w:p>
        </w:tc>
        <w:tc>
          <w:tcPr>
            <w:tcW w:w="990" w:type="dxa"/>
            <w:vMerge w:val="restart"/>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5279</w:t>
            </w:r>
          </w:p>
        </w:tc>
        <w:tc>
          <w:tcPr>
            <w:tcW w:w="900" w:type="dxa"/>
            <w:vMerge w:val="restart"/>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10%</w:t>
            </w:r>
          </w:p>
        </w:tc>
        <w:tc>
          <w:tcPr>
            <w:tcW w:w="990" w:type="dxa"/>
            <w:vMerge w:val="restart"/>
            <w:shd w:val="clear" w:color="auto" w:fill="FFFFFF"/>
            <w:vAlign w:val="center"/>
          </w:tcPr>
          <w:p w:rsidR="00D63836" w:rsidRPr="00EF5390" w:rsidRDefault="00C14859" w:rsidP="00C96D1A">
            <w:pPr>
              <w:spacing w:line="180" w:lineRule="exact"/>
              <w:contextualSpacing/>
              <w:jc w:val="center"/>
              <w:rPr>
                <w:rFonts w:eastAsia="Calibri"/>
                <w:sz w:val="18"/>
                <w:szCs w:val="18"/>
              </w:rPr>
            </w:pPr>
            <w:r w:rsidRPr="00EF5390">
              <w:rPr>
                <w:rFonts w:eastAsia="Calibri"/>
                <w:sz w:val="18"/>
                <w:szCs w:val="18"/>
              </w:rPr>
              <w:t>2080827</w:t>
            </w:r>
          </w:p>
        </w:tc>
      </w:tr>
      <w:tr w:rsidR="00D63836" w:rsidRPr="00EF5390" w:rsidTr="00EF5390">
        <w:trPr>
          <w:trHeight w:val="287"/>
          <w:jc w:val="center"/>
        </w:trPr>
        <w:tc>
          <w:tcPr>
            <w:tcW w:w="2667" w:type="dxa"/>
            <w:tcBorders>
              <w:right w:val="single" w:sz="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Left Plantar Fasciitis</w:t>
            </w:r>
          </w:p>
        </w:tc>
        <w:tc>
          <w:tcPr>
            <w:tcW w:w="1080" w:type="dxa"/>
            <w:tcBorders>
              <w:left w:val="single" w:sz="4" w:space="0" w:color="auto"/>
            </w:tcBorders>
            <w:shd w:val="clear" w:color="auto" w:fill="FFFFFF"/>
            <w:vAlign w:val="center"/>
          </w:tcPr>
          <w:p w:rsidR="00D63836" w:rsidRPr="00EF5390" w:rsidRDefault="00D63836" w:rsidP="00971C72">
            <w:pPr>
              <w:spacing w:line="180" w:lineRule="exact"/>
              <w:contextualSpacing/>
              <w:rPr>
                <w:rFonts w:eastAsia="Calibri"/>
                <w:sz w:val="18"/>
                <w:szCs w:val="18"/>
              </w:rPr>
            </w:pPr>
            <w:r w:rsidRPr="00EF5390">
              <w:rPr>
                <w:rFonts w:eastAsia="Calibri"/>
                <w:sz w:val="18"/>
                <w:szCs w:val="18"/>
              </w:rPr>
              <w:t>5399-5310</w:t>
            </w:r>
          </w:p>
        </w:tc>
        <w:tc>
          <w:tcPr>
            <w:tcW w:w="810" w:type="dxa"/>
            <w:tcBorders>
              <w:right w:val="thinThickThinSmallGap" w:sz="24" w:space="0" w:color="auto"/>
            </w:tcBorders>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10%</w:t>
            </w:r>
          </w:p>
        </w:tc>
        <w:tc>
          <w:tcPr>
            <w:tcW w:w="1890" w:type="dxa"/>
            <w:vMerge/>
            <w:tcBorders>
              <w:left w:val="thinThickThinSmallGap" w:sz="2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p>
        </w:tc>
        <w:tc>
          <w:tcPr>
            <w:tcW w:w="990" w:type="dxa"/>
            <w:vMerge/>
            <w:shd w:val="clear" w:color="auto" w:fill="FFFFFF"/>
            <w:vAlign w:val="center"/>
          </w:tcPr>
          <w:p w:rsidR="00D63836" w:rsidRPr="00EF5390" w:rsidRDefault="00D63836" w:rsidP="00C96D1A">
            <w:pPr>
              <w:spacing w:line="180" w:lineRule="exact"/>
              <w:contextualSpacing/>
              <w:jc w:val="center"/>
              <w:rPr>
                <w:rFonts w:eastAsia="Calibri"/>
                <w:sz w:val="18"/>
                <w:szCs w:val="18"/>
              </w:rPr>
            </w:pPr>
          </w:p>
        </w:tc>
        <w:tc>
          <w:tcPr>
            <w:tcW w:w="900" w:type="dxa"/>
            <w:vMerge/>
            <w:shd w:val="clear" w:color="auto" w:fill="FFFFFF"/>
            <w:vAlign w:val="center"/>
          </w:tcPr>
          <w:p w:rsidR="00D63836" w:rsidRPr="00EF5390" w:rsidRDefault="00D63836" w:rsidP="00C96D1A">
            <w:pPr>
              <w:spacing w:line="180" w:lineRule="exact"/>
              <w:contextualSpacing/>
              <w:jc w:val="center"/>
              <w:rPr>
                <w:rFonts w:eastAsia="Calibri"/>
                <w:sz w:val="18"/>
                <w:szCs w:val="18"/>
              </w:rPr>
            </w:pPr>
          </w:p>
        </w:tc>
        <w:tc>
          <w:tcPr>
            <w:tcW w:w="990" w:type="dxa"/>
            <w:vMerge/>
            <w:shd w:val="clear" w:color="auto" w:fill="FFFFFF"/>
            <w:vAlign w:val="center"/>
          </w:tcPr>
          <w:p w:rsidR="00D63836" w:rsidRPr="00EF5390" w:rsidRDefault="00D63836" w:rsidP="00C96D1A">
            <w:pPr>
              <w:spacing w:line="180" w:lineRule="exact"/>
              <w:contextualSpacing/>
              <w:jc w:val="center"/>
              <w:rPr>
                <w:rFonts w:eastAsia="Calibri"/>
                <w:sz w:val="18"/>
                <w:szCs w:val="18"/>
              </w:rPr>
            </w:pPr>
          </w:p>
        </w:tc>
      </w:tr>
      <w:tr w:rsidR="00D63836" w:rsidRPr="00EF5390" w:rsidTr="00EF5390">
        <w:trPr>
          <w:trHeight w:val="287"/>
          <w:jc w:val="center"/>
        </w:trPr>
        <w:tc>
          <w:tcPr>
            <w:tcW w:w="2667" w:type="dxa"/>
            <w:tcBorders>
              <w:right w:val="single" w:sz="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History of Right Exertional Anterior Compartment Syndrome, status-post Fasciotomy, resolved</w:t>
            </w:r>
          </w:p>
        </w:tc>
        <w:tc>
          <w:tcPr>
            <w:tcW w:w="1080" w:type="dxa"/>
            <w:tcBorders>
              <w:left w:val="single" w:sz="4" w:space="0" w:color="auto"/>
            </w:tcBorders>
            <w:shd w:val="clear" w:color="auto" w:fill="FFFFFF"/>
            <w:vAlign w:val="center"/>
          </w:tcPr>
          <w:p w:rsidR="00D63836" w:rsidRPr="00EF5390" w:rsidRDefault="00D63836" w:rsidP="00971C72">
            <w:pPr>
              <w:spacing w:line="180" w:lineRule="exact"/>
              <w:contextualSpacing/>
              <w:rPr>
                <w:rFonts w:eastAsia="Calibri"/>
                <w:sz w:val="18"/>
                <w:szCs w:val="18"/>
              </w:rPr>
            </w:pPr>
            <w:r w:rsidRPr="00EF5390">
              <w:rPr>
                <w:rFonts w:eastAsia="Calibri"/>
                <w:sz w:val="18"/>
                <w:szCs w:val="18"/>
              </w:rPr>
              <w:t>5399-5312</w:t>
            </w:r>
          </w:p>
        </w:tc>
        <w:tc>
          <w:tcPr>
            <w:tcW w:w="810" w:type="dxa"/>
            <w:tcBorders>
              <w:right w:val="thinThickThinSmallGap" w:sz="24" w:space="0" w:color="auto"/>
            </w:tcBorders>
            <w:shd w:val="clear" w:color="auto" w:fill="FFFFFF"/>
            <w:vAlign w:val="center"/>
          </w:tcPr>
          <w:p w:rsidR="00D63836" w:rsidRPr="00EF5390" w:rsidRDefault="00D63836" w:rsidP="0013144A">
            <w:pPr>
              <w:spacing w:line="180" w:lineRule="exact"/>
              <w:contextualSpacing/>
              <w:jc w:val="center"/>
              <w:rPr>
                <w:rFonts w:eastAsia="Calibri"/>
                <w:sz w:val="18"/>
                <w:szCs w:val="18"/>
              </w:rPr>
            </w:pPr>
            <w:r w:rsidRPr="00EF5390">
              <w:rPr>
                <w:rFonts w:eastAsia="Calibri"/>
                <w:sz w:val="18"/>
                <w:szCs w:val="18"/>
              </w:rPr>
              <w:t>0%</w:t>
            </w:r>
          </w:p>
        </w:tc>
        <w:tc>
          <w:tcPr>
            <w:tcW w:w="1890" w:type="dxa"/>
            <w:tcBorders>
              <w:left w:val="thinThickThinSmallGap" w:sz="2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Compartment Syndrome Right Leg</w:t>
            </w:r>
          </w:p>
        </w:tc>
        <w:tc>
          <w:tcPr>
            <w:tcW w:w="990" w:type="dxa"/>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5299-5251</w:t>
            </w:r>
          </w:p>
        </w:tc>
        <w:tc>
          <w:tcPr>
            <w:tcW w:w="900" w:type="dxa"/>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10%</w:t>
            </w:r>
          </w:p>
        </w:tc>
        <w:tc>
          <w:tcPr>
            <w:tcW w:w="990" w:type="dxa"/>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20080904</w:t>
            </w:r>
          </w:p>
        </w:tc>
      </w:tr>
      <w:tr w:rsidR="001612AC" w:rsidRPr="00EF5390" w:rsidTr="00EF5390">
        <w:trPr>
          <w:trHeight w:val="287"/>
          <w:jc w:val="center"/>
        </w:trPr>
        <w:tc>
          <w:tcPr>
            <w:tcW w:w="4557" w:type="dxa"/>
            <w:gridSpan w:val="3"/>
            <w:tcBorders>
              <w:right w:val="thinThickThinSmallGap" w:sz="24" w:space="0" w:color="auto"/>
            </w:tcBorders>
            <w:shd w:val="clear" w:color="auto" w:fill="FFFFFF"/>
            <w:vAlign w:val="center"/>
          </w:tcPr>
          <w:p w:rsidR="001612AC" w:rsidRPr="00EF5390" w:rsidRDefault="00720CA6" w:rsidP="00CD0146">
            <w:pPr>
              <w:spacing w:line="180" w:lineRule="exact"/>
              <w:contextualSpacing/>
              <w:jc w:val="center"/>
              <w:rPr>
                <w:rFonts w:eastAsia="Calibri"/>
                <w:sz w:val="18"/>
                <w:szCs w:val="18"/>
              </w:rPr>
            </w:pPr>
            <w:r w:rsidRPr="00EF5390">
              <w:rPr>
                <w:rFonts w:eastAsia="Calibri"/>
                <w:sz w:val="18"/>
                <w:szCs w:val="18"/>
              </w:rPr>
              <w:t>No entry</w:t>
            </w:r>
          </w:p>
        </w:tc>
        <w:tc>
          <w:tcPr>
            <w:tcW w:w="1890" w:type="dxa"/>
            <w:tcBorders>
              <w:left w:val="thinThickThinSmallGap" w:sz="2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 xml:space="preserve">Compartment Syndrome </w:t>
            </w:r>
            <w:r w:rsidR="00EF5390" w:rsidRPr="00EF5390">
              <w:rPr>
                <w:rFonts w:eastAsia="Calibri"/>
                <w:sz w:val="18"/>
                <w:szCs w:val="18"/>
              </w:rPr>
              <w:t>Left Leg</w:t>
            </w:r>
          </w:p>
        </w:tc>
        <w:tc>
          <w:tcPr>
            <w:tcW w:w="990" w:type="dxa"/>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5299-5251</w:t>
            </w:r>
          </w:p>
        </w:tc>
        <w:tc>
          <w:tcPr>
            <w:tcW w:w="1890" w:type="dxa"/>
            <w:gridSpan w:val="2"/>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Not Service Connected</w:t>
            </w:r>
          </w:p>
        </w:tc>
      </w:tr>
      <w:tr w:rsidR="00D63836" w:rsidRPr="00EF5390" w:rsidTr="00EF5390">
        <w:trPr>
          <w:trHeight w:val="287"/>
          <w:jc w:val="center"/>
        </w:trPr>
        <w:tc>
          <w:tcPr>
            <w:tcW w:w="2667" w:type="dxa"/>
            <w:tcBorders>
              <w:right w:val="single" w:sz="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Bi</w:t>
            </w:r>
            <w:r w:rsidR="001C0C20" w:rsidRPr="00EF5390">
              <w:rPr>
                <w:rFonts w:eastAsia="Calibri"/>
                <w:sz w:val="18"/>
                <w:szCs w:val="18"/>
              </w:rPr>
              <w:t>lateral Leg P</w:t>
            </w:r>
            <w:r w:rsidRPr="00EF5390">
              <w:rPr>
                <w:rFonts w:eastAsia="Calibri"/>
                <w:sz w:val="18"/>
                <w:szCs w:val="18"/>
              </w:rPr>
              <w:t>ain and Numb</w:t>
            </w:r>
            <w:r w:rsidR="001C0C20" w:rsidRPr="00EF5390">
              <w:rPr>
                <w:rFonts w:eastAsia="Calibri"/>
                <w:sz w:val="18"/>
                <w:szCs w:val="18"/>
              </w:rPr>
              <w:t>ness of Undetermined Etiology wi</w:t>
            </w:r>
            <w:r w:rsidRPr="00EF5390">
              <w:rPr>
                <w:rFonts w:eastAsia="Calibri"/>
                <w:sz w:val="18"/>
                <w:szCs w:val="18"/>
              </w:rPr>
              <w:t>thout Objective Findings or Evidence of Impairment</w:t>
            </w:r>
          </w:p>
        </w:tc>
        <w:tc>
          <w:tcPr>
            <w:tcW w:w="1890" w:type="dxa"/>
            <w:gridSpan w:val="2"/>
            <w:tcBorders>
              <w:left w:val="single" w:sz="4" w:space="0" w:color="auto"/>
              <w:right w:val="thinThickThinSmallGap" w:sz="24" w:space="0" w:color="auto"/>
            </w:tcBorders>
            <w:shd w:val="clear" w:color="auto" w:fill="FFFFFF"/>
            <w:vAlign w:val="center"/>
          </w:tcPr>
          <w:p w:rsidR="00D63836" w:rsidRPr="00EF5390" w:rsidRDefault="00D63836" w:rsidP="00CD0146">
            <w:pPr>
              <w:spacing w:line="180" w:lineRule="exact"/>
              <w:contextualSpacing/>
              <w:jc w:val="center"/>
              <w:rPr>
                <w:rFonts w:eastAsia="Calibri"/>
                <w:sz w:val="18"/>
                <w:szCs w:val="18"/>
              </w:rPr>
            </w:pPr>
            <w:r w:rsidRPr="00EF5390">
              <w:rPr>
                <w:rFonts w:eastAsia="Calibri"/>
                <w:sz w:val="18"/>
                <w:szCs w:val="18"/>
              </w:rPr>
              <w:t>Category ll</w:t>
            </w:r>
          </w:p>
        </w:tc>
        <w:tc>
          <w:tcPr>
            <w:tcW w:w="4770" w:type="dxa"/>
            <w:gridSpan w:val="4"/>
            <w:tcBorders>
              <w:left w:val="thinThickThinSmallGap" w:sz="24" w:space="0" w:color="auto"/>
            </w:tcBorders>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Not VA Rated</w:t>
            </w:r>
          </w:p>
        </w:tc>
      </w:tr>
      <w:tr w:rsidR="00D63836" w:rsidRPr="00EF5390" w:rsidTr="00EF5390">
        <w:trPr>
          <w:trHeight w:val="287"/>
          <w:jc w:val="center"/>
        </w:trPr>
        <w:tc>
          <w:tcPr>
            <w:tcW w:w="2667" w:type="dxa"/>
            <w:tcBorders>
              <w:right w:val="single" w:sz="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Obstructive Sleep Apnea, Well Controlled with CPAP</w:t>
            </w:r>
          </w:p>
        </w:tc>
        <w:tc>
          <w:tcPr>
            <w:tcW w:w="1890" w:type="dxa"/>
            <w:gridSpan w:val="2"/>
            <w:tcBorders>
              <w:left w:val="single" w:sz="4" w:space="0" w:color="auto"/>
              <w:right w:val="thinThickThinSmallGap" w:sz="24" w:space="0" w:color="auto"/>
            </w:tcBorders>
            <w:shd w:val="clear" w:color="auto" w:fill="FFFFFF"/>
            <w:vAlign w:val="center"/>
          </w:tcPr>
          <w:p w:rsidR="00D63836" w:rsidRPr="00EF5390" w:rsidRDefault="00D63836" w:rsidP="00CD0146">
            <w:pPr>
              <w:spacing w:line="180" w:lineRule="exact"/>
              <w:contextualSpacing/>
              <w:jc w:val="center"/>
              <w:rPr>
                <w:rFonts w:eastAsia="Calibri"/>
                <w:sz w:val="18"/>
                <w:szCs w:val="18"/>
              </w:rPr>
            </w:pPr>
            <w:r w:rsidRPr="00EF5390">
              <w:rPr>
                <w:rFonts w:eastAsia="Calibri"/>
                <w:sz w:val="18"/>
                <w:szCs w:val="18"/>
              </w:rPr>
              <w:t>Category ll</w:t>
            </w:r>
          </w:p>
        </w:tc>
        <w:tc>
          <w:tcPr>
            <w:tcW w:w="1890" w:type="dxa"/>
            <w:tcBorders>
              <w:left w:val="thinThickThinSmallGap" w:sz="24" w:space="0" w:color="auto"/>
            </w:tcBorders>
            <w:shd w:val="clear" w:color="auto" w:fill="FFFFFF"/>
            <w:vAlign w:val="center"/>
          </w:tcPr>
          <w:p w:rsidR="00D63836" w:rsidRPr="00EF5390" w:rsidRDefault="00D63836" w:rsidP="00971C72">
            <w:pPr>
              <w:spacing w:line="180" w:lineRule="exact"/>
              <w:contextualSpacing/>
              <w:jc w:val="left"/>
              <w:rPr>
                <w:rFonts w:eastAsia="Calibri"/>
                <w:sz w:val="18"/>
                <w:szCs w:val="18"/>
              </w:rPr>
            </w:pPr>
            <w:r w:rsidRPr="00EF5390">
              <w:rPr>
                <w:rFonts w:eastAsia="Calibri"/>
                <w:sz w:val="18"/>
                <w:szCs w:val="18"/>
              </w:rPr>
              <w:t>Sleep Apnea</w:t>
            </w:r>
          </w:p>
        </w:tc>
        <w:tc>
          <w:tcPr>
            <w:tcW w:w="990" w:type="dxa"/>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6847</w:t>
            </w:r>
          </w:p>
        </w:tc>
        <w:tc>
          <w:tcPr>
            <w:tcW w:w="900" w:type="dxa"/>
            <w:shd w:val="clear" w:color="auto" w:fill="FFFFFF"/>
            <w:vAlign w:val="center"/>
          </w:tcPr>
          <w:p w:rsidR="00D63836" w:rsidRPr="00EF5390" w:rsidRDefault="003C2E9C" w:rsidP="00C96D1A">
            <w:pPr>
              <w:spacing w:line="180" w:lineRule="exact"/>
              <w:contextualSpacing/>
              <w:jc w:val="center"/>
              <w:rPr>
                <w:rFonts w:eastAsia="Calibri"/>
                <w:sz w:val="18"/>
                <w:szCs w:val="18"/>
              </w:rPr>
            </w:pPr>
            <w:r>
              <w:rPr>
                <w:rFonts w:eastAsia="Calibri"/>
                <w:sz w:val="18"/>
                <w:szCs w:val="18"/>
              </w:rPr>
              <w:t>50%</w:t>
            </w:r>
          </w:p>
        </w:tc>
        <w:tc>
          <w:tcPr>
            <w:tcW w:w="990" w:type="dxa"/>
            <w:shd w:val="clear" w:color="auto" w:fill="FFFFFF"/>
            <w:vAlign w:val="center"/>
          </w:tcPr>
          <w:p w:rsidR="00D63836" w:rsidRPr="00EF5390" w:rsidRDefault="00D63836" w:rsidP="00C96D1A">
            <w:pPr>
              <w:spacing w:line="180" w:lineRule="exact"/>
              <w:contextualSpacing/>
              <w:jc w:val="center"/>
              <w:rPr>
                <w:rFonts w:eastAsia="Calibri"/>
                <w:sz w:val="18"/>
                <w:szCs w:val="18"/>
              </w:rPr>
            </w:pPr>
            <w:r w:rsidRPr="00EF5390">
              <w:rPr>
                <w:rFonts w:eastAsia="Calibri"/>
                <w:sz w:val="18"/>
                <w:szCs w:val="18"/>
              </w:rPr>
              <w:t>20080828</w:t>
            </w:r>
          </w:p>
        </w:tc>
      </w:tr>
      <w:tr w:rsidR="001612AC" w:rsidRPr="00EF5390" w:rsidTr="00EF5390">
        <w:trPr>
          <w:trHeight w:val="287"/>
          <w:jc w:val="center"/>
        </w:trPr>
        <w:tc>
          <w:tcPr>
            <w:tcW w:w="2667" w:type="dxa"/>
            <w:tcBorders>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 xml:space="preserve">Lumbago without </w:t>
            </w:r>
            <w:r w:rsidR="00EF5390" w:rsidRPr="00EF5390">
              <w:rPr>
                <w:rFonts w:eastAsia="Calibri"/>
                <w:sz w:val="18"/>
                <w:szCs w:val="18"/>
              </w:rPr>
              <w:t>Causative</w:t>
            </w:r>
            <w:r w:rsidRPr="00EF5390">
              <w:rPr>
                <w:rFonts w:eastAsia="Calibri"/>
                <w:sz w:val="18"/>
                <w:szCs w:val="18"/>
              </w:rPr>
              <w:t xml:space="preserve"> Anatomic Abnormalities or Objective Evidence of Impairment</w:t>
            </w:r>
          </w:p>
        </w:tc>
        <w:tc>
          <w:tcPr>
            <w:tcW w:w="1890" w:type="dxa"/>
            <w:gridSpan w:val="2"/>
            <w:tcBorders>
              <w:left w:val="single" w:sz="4" w:space="0" w:color="auto"/>
              <w:right w:val="thinThickThinSmallGap" w:sz="24" w:space="0" w:color="auto"/>
            </w:tcBorders>
            <w:shd w:val="clear" w:color="auto" w:fill="FFFFFF"/>
            <w:vAlign w:val="center"/>
          </w:tcPr>
          <w:p w:rsidR="001612AC" w:rsidRPr="00EF5390" w:rsidRDefault="001612AC" w:rsidP="00CD0146">
            <w:pPr>
              <w:jc w:val="center"/>
              <w:rPr>
                <w:rFonts w:eastAsia="Calibri"/>
                <w:sz w:val="18"/>
                <w:szCs w:val="18"/>
              </w:rPr>
            </w:pPr>
            <w:r w:rsidRPr="00EF5390">
              <w:rPr>
                <w:rFonts w:eastAsia="Calibri"/>
                <w:sz w:val="18"/>
                <w:szCs w:val="18"/>
              </w:rPr>
              <w:t>Category II</w:t>
            </w:r>
          </w:p>
        </w:tc>
        <w:tc>
          <w:tcPr>
            <w:tcW w:w="1890" w:type="dxa"/>
            <w:tcBorders>
              <w:left w:val="thinThickThinSmallGap" w:sz="24" w:space="0" w:color="auto"/>
              <w:bottom w:val="single" w:sz="4" w:space="0" w:color="000000"/>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Lumbar Strain  (Lumbago)</w:t>
            </w:r>
          </w:p>
        </w:tc>
        <w:tc>
          <w:tcPr>
            <w:tcW w:w="99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5237</w:t>
            </w:r>
          </w:p>
        </w:tc>
        <w:tc>
          <w:tcPr>
            <w:tcW w:w="900" w:type="dxa"/>
            <w:tcBorders>
              <w:left w:val="single" w:sz="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10%</w:t>
            </w:r>
          </w:p>
        </w:tc>
        <w:tc>
          <w:tcPr>
            <w:tcW w:w="990" w:type="dxa"/>
            <w:tcBorders>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20080904</w:t>
            </w:r>
          </w:p>
        </w:tc>
      </w:tr>
      <w:tr w:rsidR="001612AC" w:rsidRPr="00EF5390" w:rsidTr="00EF5390">
        <w:trPr>
          <w:trHeight w:val="557"/>
          <w:jc w:val="center"/>
        </w:trPr>
        <w:tc>
          <w:tcPr>
            <w:tcW w:w="2667" w:type="dxa"/>
            <w:tcBorders>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Radiologic evidence of Mild Degenerative Changes at T9-10 (EPTS)</w:t>
            </w:r>
          </w:p>
        </w:tc>
        <w:tc>
          <w:tcPr>
            <w:tcW w:w="1890" w:type="dxa"/>
            <w:gridSpan w:val="2"/>
            <w:tcBorders>
              <w:left w:val="single" w:sz="4" w:space="0" w:color="auto"/>
              <w:right w:val="thinThickThinSmallGap" w:sz="24" w:space="0" w:color="auto"/>
            </w:tcBorders>
            <w:shd w:val="clear" w:color="auto" w:fill="FFFFFF"/>
          </w:tcPr>
          <w:p w:rsidR="001612AC" w:rsidRPr="00EF5390" w:rsidRDefault="001612AC" w:rsidP="00CD0146">
            <w:pPr>
              <w:jc w:val="center"/>
              <w:rPr>
                <w:rFonts w:eastAsia="Calibri"/>
                <w:sz w:val="18"/>
                <w:szCs w:val="18"/>
              </w:rPr>
            </w:pPr>
          </w:p>
          <w:p w:rsidR="001612AC" w:rsidRPr="00EF5390" w:rsidRDefault="001612AC" w:rsidP="00CD0146">
            <w:pPr>
              <w:jc w:val="center"/>
              <w:rPr>
                <w:sz w:val="18"/>
                <w:szCs w:val="18"/>
              </w:rPr>
            </w:pPr>
            <w:r w:rsidRPr="00EF5390">
              <w:rPr>
                <w:rFonts w:eastAsia="Calibri"/>
                <w:sz w:val="18"/>
                <w:szCs w:val="18"/>
              </w:rPr>
              <w:t>Category II</w:t>
            </w:r>
          </w:p>
        </w:tc>
        <w:tc>
          <w:tcPr>
            <w:tcW w:w="1890" w:type="dxa"/>
            <w:tcBorders>
              <w:left w:val="thinThickThinSmallGap" w:sz="24" w:space="0" w:color="auto"/>
              <w:bottom w:val="single" w:sz="4" w:space="0" w:color="000000"/>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Degenerative Changes at T9-T10</w:t>
            </w:r>
          </w:p>
        </w:tc>
        <w:tc>
          <w:tcPr>
            <w:tcW w:w="99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5242</w:t>
            </w:r>
          </w:p>
        </w:tc>
        <w:tc>
          <w:tcPr>
            <w:tcW w:w="1890" w:type="dxa"/>
            <w:gridSpan w:val="2"/>
            <w:tcBorders>
              <w:left w:val="single" w:sz="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Not Service Connected</w:t>
            </w:r>
          </w:p>
        </w:tc>
      </w:tr>
      <w:tr w:rsidR="001612AC" w:rsidRPr="00EF5390" w:rsidTr="00EF5390">
        <w:trPr>
          <w:trHeight w:val="287"/>
          <w:jc w:val="center"/>
        </w:trPr>
        <w:tc>
          <w:tcPr>
            <w:tcW w:w="2667" w:type="dxa"/>
            <w:tcBorders>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History of Left Wrist Tenosynovitis, Resolved</w:t>
            </w:r>
          </w:p>
        </w:tc>
        <w:tc>
          <w:tcPr>
            <w:tcW w:w="1890" w:type="dxa"/>
            <w:gridSpan w:val="2"/>
            <w:tcBorders>
              <w:left w:val="single" w:sz="4" w:space="0" w:color="auto"/>
              <w:right w:val="thinThickThinSmallGap" w:sz="24" w:space="0" w:color="auto"/>
            </w:tcBorders>
            <w:shd w:val="clear" w:color="auto" w:fill="FFFFFF"/>
          </w:tcPr>
          <w:p w:rsidR="001612AC" w:rsidRPr="00EF5390" w:rsidRDefault="001612AC" w:rsidP="00CD0146">
            <w:pPr>
              <w:jc w:val="center"/>
              <w:rPr>
                <w:rFonts w:eastAsia="Calibri"/>
                <w:sz w:val="18"/>
                <w:szCs w:val="18"/>
              </w:rPr>
            </w:pPr>
            <w:r w:rsidRPr="00EF5390">
              <w:rPr>
                <w:rFonts w:eastAsia="Calibri"/>
                <w:sz w:val="18"/>
                <w:szCs w:val="18"/>
              </w:rPr>
              <w:t>Category II</w:t>
            </w:r>
          </w:p>
        </w:tc>
        <w:tc>
          <w:tcPr>
            <w:tcW w:w="1890" w:type="dxa"/>
            <w:tcBorders>
              <w:left w:val="thinThickThinSmallGap" w:sz="24" w:space="0" w:color="auto"/>
              <w:bottom w:val="single" w:sz="4" w:space="0" w:color="000000"/>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 xml:space="preserve">Left </w:t>
            </w:r>
            <w:r w:rsidR="00EF5390" w:rsidRPr="00EF5390">
              <w:rPr>
                <w:rFonts w:eastAsia="Calibri"/>
                <w:sz w:val="18"/>
                <w:szCs w:val="18"/>
              </w:rPr>
              <w:t>Wrist</w:t>
            </w:r>
            <w:r w:rsidRPr="00EF5390">
              <w:rPr>
                <w:rFonts w:eastAsia="Calibri"/>
                <w:sz w:val="18"/>
                <w:szCs w:val="18"/>
              </w:rPr>
              <w:t xml:space="preserve"> Tenosynovitis</w:t>
            </w:r>
          </w:p>
        </w:tc>
        <w:tc>
          <w:tcPr>
            <w:tcW w:w="99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5024</w:t>
            </w:r>
          </w:p>
        </w:tc>
        <w:tc>
          <w:tcPr>
            <w:tcW w:w="1890" w:type="dxa"/>
            <w:gridSpan w:val="2"/>
            <w:tcBorders>
              <w:left w:val="single" w:sz="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Not Service Connected</w:t>
            </w:r>
          </w:p>
        </w:tc>
      </w:tr>
      <w:tr w:rsidR="001612AC" w:rsidRPr="00EF5390" w:rsidTr="00EF5390">
        <w:trPr>
          <w:trHeight w:val="287"/>
          <w:jc w:val="center"/>
        </w:trPr>
        <w:tc>
          <w:tcPr>
            <w:tcW w:w="2667" w:type="dxa"/>
            <w:tcBorders>
              <w:right w:val="single" w:sz="4" w:space="0" w:color="auto"/>
            </w:tcBorders>
            <w:shd w:val="clear" w:color="auto" w:fill="FFFFFF"/>
            <w:vAlign w:val="center"/>
          </w:tcPr>
          <w:p w:rsidR="001612AC" w:rsidRPr="00EF5390" w:rsidRDefault="003C33CA" w:rsidP="00971C72">
            <w:pPr>
              <w:spacing w:line="180" w:lineRule="exact"/>
              <w:contextualSpacing/>
              <w:jc w:val="left"/>
              <w:rPr>
                <w:rFonts w:eastAsia="Calibri"/>
                <w:sz w:val="18"/>
                <w:szCs w:val="18"/>
              </w:rPr>
            </w:pPr>
            <w:r w:rsidRPr="00EF5390">
              <w:rPr>
                <w:rFonts w:eastAsia="Calibri"/>
                <w:sz w:val="18"/>
                <w:szCs w:val="18"/>
              </w:rPr>
              <w:t>Obes</w:t>
            </w:r>
            <w:r w:rsidR="001612AC" w:rsidRPr="00EF5390">
              <w:rPr>
                <w:rFonts w:eastAsia="Calibri"/>
                <w:sz w:val="18"/>
                <w:szCs w:val="18"/>
              </w:rPr>
              <w:t>ity</w:t>
            </w:r>
          </w:p>
        </w:tc>
        <w:tc>
          <w:tcPr>
            <w:tcW w:w="1890" w:type="dxa"/>
            <w:gridSpan w:val="2"/>
            <w:tcBorders>
              <w:left w:val="single" w:sz="4" w:space="0" w:color="auto"/>
              <w:right w:val="thinThickThinSmallGap" w:sz="24" w:space="0" w:color="auto"/>
            </w:tcBorders>
            <w:shd w:val="clear" w:color="auto" w:fill="FFFFFF"/>
          </w:tcPr>
          <w:p w:rsidR="001612AC" w:rsidRPr="00EF5390" w:rsidRDefault="001612AC" w:rsidP="00CD0146">
            <w:pPr>
              <w:jc w:val="center"/>
              <w:rPr>
                <w:rFonts w:eastAsia="Calibri"/>
                <w:sz w:val="18"/>
                <w:szCs w:val="18"/>
              </w:rPr>
            </w:pPr>
            <w:r w:rsidRPr="00EF5390">
              <w:rPr>
                <w:rFonts w:eastAsia="Calibri"/>
                <w:sz w:val="18"/>
                <w:szCs w:val="18"/>
              </w:rPr>
              <w:t>Category III</w:t>
            </w:r>
          </w:p>
        </w:tc>
        <w:tc>
          <w:tcPr>
            <w:tcW w:w="4770" w:type="dxa"/>
            <w:gridSpan w:val="4"/>
            <w:tcBorders>
              <w:left w:val="thinThickThinSmallGap" w:sz="2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Not VA Rated</w:t>
            </w:r>
          </w:p>
        </w:tc>
      </w:tr>
      <w:tr w:rsidR="001612AC" w:rsidRPr="00EF5390" w:rsidTr="00EF5390">
        <w:trPr>
          <w:trHeight w:val="287"/>
          <w:jc w:val="center"/>
        </w:trPr>
        <w:tc>
          <w:tcPr>
            <w:tcW w:w="2667" w:type="dxa"/>
            <w:tcBorders>
              <w:right w:val="single" w:sz="4" w:space="0" w:color="auto"/>
            </w:tcBorders>
            <w:shd w:val="clear" w:color="auto" w:fill="FFFFFF"/>
            <w:vAlign w:val="center"/>
          </w:tcPr>
          <w:p w:rsidR="001612AC" w:rsidRPr="00EF5390" w:rsidRDefault="00EF5390" w:rsidP="00971C72">
            <w:pPr>
              <w:spacing w:line="180" w:lineRule="exact"/>
              <w:contextualSpacing/>
              <w:jc w:val="left"/>
              <w:rPr>
                <w:rFonts w:eastAsia="Calibri"/>
                <w:sz w:val="18"/>
                <w:szCs w:val="18"/>
              </w:rPr>
            </w:pPr>
            <w:r w:rsidRPr="00EF5390">
              <w:rPr>
                <w:rFonts w:eastAsia="Calibri"/>
                <w:sz w:val="18"/>
                <w:szCs w:val="18"/>
              </w:rPr>
              <w:t>Adjustment</w:t>
            </w:r>
            <w:r w:rsidR="001612AC" w:rsidRPr="00EF5390">
              <w:rPr>
                <w:rFonts w:eastAsia="Calibri"/>
                <w:sz w:val="18"/>
                <w:szCs w:val="18"/>
              </w:rPr>
              <w:t xml:space="preserve"> Disorder</w:t>
            </w:r>
          </w:p>
        </w:tc>
        <w:tc>
          <w:tcPr>
            <w:tcW w:w="1890" w:type="dxa"/>
            <w:gridSpan w:val="2"/>
            <w:tcBorders>
              <w:left w:val="single" w:sz="4" w:space="0" w:color="auto"/>
              <w:right w:val="thinThickThinSmallGap" w:sz="24" w:space="0" w:color="auto"/>
            </w:tcBorders>
            <w:shd w:val="clear" w:color="auto" w:fill="FFFFFF"/>
          </w:tcPr>
          <w:p w:rsidR="001612AC" w:rsidRPr="00EF5390" w:rsidRDefault="001612AC" w:rsidP="00CD0146">
            <w:pPr>
              <w:jc w:val="center"/>
              <w:rPr>
                <w:rFonts w:eastAsia="Calibri"/>
                <w:sz w:val="18"/>
                <w:szCs w:val="18"/>
              </w:rPr>
            </w:pPr>
            <w:r w:rsidRPr="00EF5390">
              <w:rPr>
                <w:rFonts w:eastAsia="Calibri"/>
                <w:sz w:val="18"/>
                <w:szCs w:val="18"/>
              </w:rPr>
              <w:t>Category III</w:t>
            </w:r>
          </w:p>
        </w:tc>
        <w:tc>
          <w:tcPr>
            <w:tcW w:w="1890" w:type="dxa"/>
            <w:tcBorders>
              <w:left w:val="thinThickThinSmallGap" w:sz="24" w:space="0" w:color="auto"/>
              <w:bottom w:val="single" w:sz="4" w:space="0" w:color="000000"/>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Adjustment Disorder</w:t>
            </w:r>
          </w:p>
        </w:tc>
        <w:tc>
          <w:tcPr>
            <w:tcW w:w="99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9440</w:t>
            </w:r>
          </w:p>
        </w:tc>
        <w:tc>
          <w:tcPr>
            <w:tcW w:w="900" w:type="dxa"/>
            <w:tcBorders>
              <w:left w:val="single" w:sz="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0%</w:t>
            </w:r>
          </w:p>
        </w:tc>
        <w:tc>
          <w:tcPr>
            <w:tcW w:w="990" w:type="dxa"/>
            <w:tcBorders>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20080904</w:t>
            </w:r>
          </w:p>
        </w:tc>
      </w:tr>
      <w:tr w:rsidR="001612AC" w:rsidRPr="00EF5390" w:rsidTr="00EF5390">
        <w:trPr>
          <w:trHeight w:val="287"/>
          <w:jc w:val="center"/>
        </w:trPr>
        <w:tc>
          <w:tcPr>
            <w:tcW w:w="4557" w:type="dxa"/>
            <w:gridSpan w:val="3"/>
            <w:vMerge w:val="restart"/>
            <w:tcBorders>
              <w:right w:val="thinThickThinSmallGap" w:sz="24" w:space="0" w:color="auto"/>
            </w:tcBorders>
            <w:shd w:val="clear" w:color="auto" w:fill="FFFFFF"/>
            <w:vAlign w:val="center"/>
          </w:tcPr>
          <w:p w:rsidR="001612AC" w:rsidRPr="00EF5390" w:rsidRDefault="001612AC" w:rsidP="00971C72">
            <w:pPr>
              <w:spacing w:line="180" w:lineRule="exact"/>
              <w:contextualSpacing/>
              <w:rPr>
                <w:rFonts w:eastAsia="Calibri"/>
                <w:sz w:val="18"/>
                <w:szCs w:val="18"/>
              </w:rPr>
            </w:pPr>
            <w:r w:rsidRPr="00EF5390">
              <w:rPr>
                <w:rFonts w:eastAsia="Calibri"/>
                <w:sz w:val="18"/>
                <w:szCs w:val="18"/>
              </w:rPr>
              <w:t>↓No Additional MEB/PEB Entries↓</w:t>
            </w:r>
          </w:p>
        </w:tc>
        <w:tc>
          <w:tcPr>
            <w:tcW w:w="1890" w:type="dxa"/>
            <w:tcBorders>
              <w:left w:val="thinThickThinSmallGap" w:sz="24" w:space="0" w:color="auto"/>
              <w:bottom w:val="single" w:sz="4" w:space="0" w:color="000000"/>
              <w:right w:val="single" w:sz="4" w:space="0" w:color="auto"/>
            </w:tcBorders>
            <w:shd w:val="clear" w:color="auto" w:fill="FFFFFF"/>
            <w:vAlign w:val="center"/>
          </w:tcPr>
          <w:p w:rsidR="001612AC" w:rsidRPr="00EF5390" w:rsidRDefault="001612AC" w:rsidP="00971C72">
            <w:pPr>
              <w:spacing w:line="180" w:lineRule="exact"/>
              <w:contextualSpacing/>
              <w:jc w:val="left"/>
              <w:rPr>
                <w:rFonts w:eastAsia="Calibri"/>
                <w:sz w:val="18"/>
                <w:szCs w:val="18"/>
              </w:rPr>
            </w:pPr>
            <w:r w:rsidRPr="00EF5390">
              <w:rPr>
                <w:rFonts w:eastAsia="Calibri"/>
                <w:sz w:val="18"/>
                <w:szCs w:val="18"/>
              </w:rPr>
              <w:t>Patellofemoral Syndrome Right Knee</w:t>
            </w:r>
          </w:p>
        </w:tc>
        <w:tc>
          <w:tcPr>
            <w:tcW w:w="99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5257</w:t>
            </w:r>
          </w:p>
        </w:tc>
        <w:tc>
          <w:tcPr>
            <w:tcW w:w="900" w:type="dxa"/>
            <w:tcBorders>
              <w:left w:val="single" w:sz="4" w:space="0" w:color="auto"/>
              <w:bottom w:val="single" w:sz="4" w:space="0" w:color="000000"/>
              <w:right w:val="single" w:sz="4" w:space="0" w:color="auto"/>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10%</w:t>
            </w:r>
          </w:p>
        </w:tc>
        <w:tc>
          <w:tcPr>
            <w:tcW w:w="990" w:type="dxa"/>
            <w:tcBorders>
              <w:left w:val="single" w:sz="4" w:space="0" w:color="auto"/>
              <w:bottom w:val="single" w:sz="4" w:space="0" w:color="000000"/>
            </w:tcBorders>
            <w:shd w:val="clear" w:color="auto" w:fill="FFFFFF"/>
            <w:vAlign w:val="center"/>
          </w:tcPr>
          <w:p w:rsidR="001612AC" w:rsidRPr="00EF5390" w:rsidRDefault="001612AC" w:rsidP="00C96D1A">
            <w:pPr>
              <w:spacing w:line="180" w:lineRule="exact"/>
              <w:contextualSpacing/>
              <w:jc w:val="center"/>
              <w:rPr>
                <w:rFonts w:eastAsia="Calibri"/>
                <w:sz w:val="18"/>
                <w:szCs w:val="18"/>
              </w:rPr>
            </w:pPr>
            <w:r w:rsidRPr="00EF5390">
              <w:rPr>
                <w:rFonts w:eastAsia="Calibri"/>
                <w:sz w:val="18"/>
                <w:szCs w:val="18"/>
              </w:rPr>
              <w:t>20080904</w:t>
            </w:r>
          </w:p>
        </w:tc>
      </w:tr>
      <w:tr w:rsidR="001612AC" w:rsidRPr="00EF5390" w:rsidTr="00EF5390">
        <w:trPr>
          <w:trHeight w:val="260"/>
          <w:jc w:val="center"/>
        </w:trPr>
        <w:tc>
          <w:tcPr>
            <w:tcW w:w="4557" w:type="dxa"/>
            <w:gridSpan w:val="3"/>
            <w:vMerge/>
            <w:tcBorders>
              <w:right w:val="thinThickThinSmallGap" w:sz="24" w:space="0" w:color="auto"/>
            </w:tcBorders>
            <w:shd w:val="clear" w:color="auto" w:fill="FFFFFF"/>
          </w:tcPr>
          <w:p w:rsidR="001612AC" w:rsidRPr="00EF5390" w:rsidRDefault="001612AC" w:rsidP="00971C72">
            <w:pPr>
              <w:spacing w:line="180" w:lineRule="exact"/>
              <w:contextualSpacing/>
              <w:rPr>
                <w:rFonts w:eastAsia="Calibri"/>
                <w:sz w:val="18"/>
                <w:szCs w:val="18"/>
              </w:rPr>
            </w:pPr>
          </w:p>
        </w:tc>
        <w:tc>
          <w:tcPr>
            <w:tcW w:w="3780" w:type="dxa"/>
            <w:gridSpan w:val="3"/>
            <w:tcBorders>
              <w:left w:val="thinThickThinSmallGap" w:sz="24" w:space="0" w:color="auto"/>
            </w:tcBorders>
            <w:shd w:val="clear" w:color="auto" w:fill="FFFFFF"/>
            <w:vAlign w:val="center"/>
          </w:tcPr>
          <w:p w:rsidR="001612AC" w:rsidRPr="00EF5390" w:rsidRDefault="001612AC" w:rsidP="00971C72">
            <w:pPr>
              <w:spacing w:line="180" w:lineRule="exact"/>
              <w:contextualSpacing/>
              <w:rPr>
                <w:rFonts w:eastAsia="Calibri"/>
                <w:sz w:val="18"/>
                <w:szCs w:val="18"/>
              </w:rPr>
            </w:pPr>
            <w:r w:rsidRPr="00EF5390">
              <w:rPr>
                <w:rFonts w:eastAsia="Calibri"/>
                <w:sz w:val="18"/>
                <w:szCs w:val="18"/>
              </w:rPr>
              <w:t>0% x 4</w:t>
            </w:r>
            <w:r w:rsidR="00491B37" w:rsidRPr="00EF5390">
              <w:rPr>
                <w:rFonts w:eastAsia="Calibri"/>
                <w:sz w:val="18"/>
                <w:szCs w:val="18"/>
              </w:rPr>
              <w:t xml:space="preserve"> other</w:t>
            </w:r>
            <w:r w:rsidRPr="00EF5390">
              <w:rPr>
                <w:rFonts w:eastAsia="Calibri"/>
                <w:sz w:val="18"/>
                <w:szCs w:val="18"/>
              </w:rPr>
              <w:t xml:space="preserve"> / Not Service Connected x 1</w:t>
            </w:r>
            <w:r w:rsidR="00C14859" w:rsidRPr="00EF5390">
              <w:rPr>
                <w:rFonts w:eastAsia="Calibri"/>
                <w:sz w:val="18"/>
                <w:szCs w:val="18"/>
              </w:rPr>
              <w:t>1</w:t>
            </w:r>
            <w:r w:rsidR="00491B37" w:rsidRPr="00EF5390">
              <w:rPr>
                <w:rFonts w:eastAsia="Calibri"/>
                <w:sz w:val="18"/>
                <w:szCs w:val="18"/>
              </w:rPr>
              <w:t xml:space="preserve"> other</w:t>
            </w:r>
          </w:p>
        </w:tc>
        <w:tc>
          <w:tcPr>
            <w:tcW w:w="990" w:type="dxa"/>
            <w:shd w:val="clear" w:color="auto" w:fill="FFFFFF"/>
            <w:vAlign w:val="center"/>
          </w:tcPr>
          <w:p w:rsidR="001612AC" w:rsidRPr="00EF5390" w:rsidRDefault="001612AC" w:rsidP="00971C72">
            <w:pPr>
              <w:spacing w:line="180" w:lineRule="exact"/>
              <w:contextualSpacing/>
              <w:rPr>
                <w:rFonts w:eastAsia="Calibri"/>
                <w:sz w:val="18"/>
                <w:szCs w:val="18"/>
              </w:rPr>
            </w:pPr>
            <w:r w:rsidRPr="00EF5390">
              <w:rPr>
                <w:rFonts w:eastAsia="Calibri"/>
                <w:sz w:val="18"/>
                <w:szCs w:val="18"/>
              </w:rPr>
              <w:t>20080904</w:t>
            </w:r>
          </w:p>
        </w:tc>
      </w:tr>
      <w:tr w:rsidR="001612AC" w:rsidRPr="00EF5390" w:rsidTr="00EF5390">
        <w:trPr>
          <w:trHeight w:val="242"/>
          <w:jc w:val="center"/>
        </w:trPr>
        <w:tc>
          <w:tcPr>
            <w:tcW w:w="4557" w:type="dxa"/>
            <w:gridSpan w:val="3"/>
            <w:tcBorders>
              <w:right w:val="thinThickThinSmallGap" w:sz="24" w:space="0" w:color="auto"/>
            </w:tcBorders>
            <w:shd w:val="clear" w:color="auto" w:fill="D9D9D9"/>
            <w:vAlign w:val="center"/>
          </w:tcPr>
          <w:p w:rsidR="001612AC" w:rsidRPr="00EF5390" w:rsidRDefault="001612AC" w:rsidP="00CD0146">
            <w:pPr>
              <w:spacing w:line="200" w:lineRule="exact"/>
              <w:contextualSpacing/>
              <w:jc w:val="center"/>
              <w:rPr>
                <w:rFonts w:eastAsia="Calibri"/>
                <w:sz w:val="18"/>
                <w:szCs w:val="18"/>
              </w:rPr>
            </w:pPr>
            <w:r w:rsidRPr="00EF5390">
              <w:rPr>
                <w:rFonts w:eastAsia="Calibri"/>
                <w:sz w:val="18"/>
                <w:szCs w:val="18"/>
              </w:rPr>
              <w:t xml:space="preserve">Combined:  </w:t>
            </w:r>
            <w:r w:rsidR="00CD0146" w:rsidRPr="00EF5390">
              <w:rPr>
                <w:rFonts w:eastAsia="Calibri"/>
                <w:sz w:val="18"/>
                <w:szCs w:val="18"/>
              </w:rPr>
              <w:t>20</w:t>
            </w:r>
            <w:r w:rsidRPr="00EF5390">
              <w:rPr>
                <w:rFonts w:eastAsia="Calibri"/>
                <w:sz w:val="18"/>
                <w:szCs w:val="18"/>
              </w:rPr>
              <w:t>% (Bilateral Factor 1.9%)</w:t>
            </w:r>
          </w:p>
        </w:tc>
        <w:tc>
          <w:tcPr>
            <w:tcW w:w="4770" w:type="dxa"/>
            <w:gridSpan w:val="4"/>
            <w:tcBorders>
              <w:left w:val="thinThickThinSmallGap" w:sz="24" w:space="0" w:color="auto"/>
            </w:tcBorders>
            <w:shd w:val="clear" w:color="auto" w:fill="D9D9D9"/>
            <w:vAlign w:val="center"/>
          </w:tcPr>
          <w:p w:rsidR="001612AC" w:rsidRPr="00EF5390" w:rsidRDefault="001612AC" w:rsidP="00CD0146">
            <w:pPr>
              <w:spacing w:line="200" w:lineRule="exact"/>
              <w:contextualSpacing/>
              <w:jc w:val="center"/>
              <w:rPr>
                <w:rFonts w:eastAsia="Calibri"/>
                <w:sz w:val="18"/>
                <w:szCs w:val="18"/>
              </w:rPr>
            </w:pPr>
            <w:r w:rsidRPr="00EF5390">
              <w:rPr>
                <w:rFonts w:eastAsia="Calibri"/>
                <w:sz w:val="18"/>
                <w:szCs w:val="18"/>
              </w:rPr>
              <w:t>Combined:  70%</w:t>
            </w:r>
            <w:r w:rsidR="00CD0146" w:rsidRPr="00EF5390">
              <w:rPr>
                <w:rFonts w:eastAsia="Calibri"/>
                <w:sz w:val="18"/>
                <w:szCs w:val="18"/>
              </w:rPr>
              <w:t xml:space="preserve"> (Bilateral F</w:t>
            </w:r>
            <w:r w:rsidR="00AC1E04" w:rsidRPr="00EF5390">
              <w:rPr>
                <w:rFonts w:eastAsia="Calibri"/>
                <w:sz w:val="18"/>
                <w:szCs w:val="18"/>
              </w:rPr>
              <w:t>a</w:t>
            </w:r>
            <w:r w:rsidR="00CD0146" w:rsidRPr="00EF5390">
              <w:rPr>
                <w:rFonts w:eastAsia="Calibri"/>
                <w:sz w:val="18"/>
                <w:szCs w:val="18"/>
              </w:rPr>
              <w:t>ctor 2.7</w:t>
            </w:r>
            <w:r w:rsidR="00AC1E04" w:rsidRPr="00EF5390">
              <w:rPr>
                <w:rFonts w:eastAsia="Calibri"/>
                <w:sz w:val="18"/>
                <w:szCs w:val="18"/>
              </w:rPr>
              <w:t>%)</w:t>
            </w:r>
          </w:p>
        </w:tc>
      </w:tr>
    </w:tbl>
    <w:p w:rsidR="00A97CD9" w:rsidRPr="00EF5390" w:rsidRDefault="00A97CD9" w:rsidP="00971C72">
      <w:pPr>
        <w:pBdr>
          <w:bottom w:val="single" w:sz="12" w:space="1" w:color="auto"/>
        </w:pBdr>
        <w:tabs>
          <w:tab w:val="left" w:pos="288"/>
          <w:tab w:val="left" w:pos="4752"/>
        </w:tabs>
      </w:pPr>
    </w:p>
    <w:p w:rsidR="00EB30F0" w:rsidRPr="00EF5390" w:rsidRDefault="00EB30F0" w:rsidP="00A17170"/>
    <w:p w:rsidR="00EB30F0" w:rsidRPr="00EF5390" w:rsidRDefault="00EB30F0" w:rsidP="00A17170">
      <w:r w:rsidRPr="00EF5390">
        <w:rPr>
          <w:u w:val="single"/>
        </w:rPr>
        <w:t>ANALYSIS SUMMARY</w:t>
      </w:r>
      <w:r w:rsidRPr="00EF5390">
        <w:t xml:space="preserve">:  The Board acknowledges the CI’s assertions that the Board review the </w:t>
      </w:r>
      <w:r w:rsidR="0018206C">
        <w:t>Department of Veterans’ Affairs (D</w:t>
      </w:r>
      <w:r w:rsidRPr="00EF5390">
        <w:t>VA</w:t>
      </w:r>
      <w:r w:rsidR="0018206C">
        <w:t>)</w:t>
      </w:r>
      <w:r w:rsidRPr="00EF5390">
        <w:t xml:space="preserve"> </w:t>
      </w:r>
      <w:r w:rsidR="0096181D">
        <w:t>a</w:t>
      </w:r>
      <w:r w:rsidRPr="00EF5390">
        <w:t xml:space="preserve">utomated </w:t>
      </w:r>
      <w:r w:rsidR="0096181D">
        <w:t>medical i</w:t>
      </w:r>
      <w:r w:rsidRPr="00EF5390">
        <w:t xml:space="preserve">nformation </w:t>
      </w:r>
      <w:r w:rsidR="0096181D">
        <w:t>e</w:t>
      </w:r>
      <w:r w:rsidRPr="00EF5390">
        <w:t>xchange (AMIE) worksheets to ensure that all impairments were submitted by the</w:t>
      </w:r>
      <w:r w:rsidR="00C96D1A">
        <w:t xml:space="preserve"> MEB and evaluated by the PEB. </w:t>
      </w:r>
      <w:r w:rsidRPr="00EF5390">
        <w:t xml:space="preserve">It is noted for the record that the Board has neither the jurisdiction nor authority to scrutinize or render opinions in reference to asserted </w:t>
      </w:r>
      <w:r w:rsidR="00CD4BA8">
        <w:t>s</w:t>
      </w:r>
      <w:r w:rsidRPr="00EF5390">
        <w:t>ervice improprieties</w:t>
      </w:r>
      <w:r w:rsidR="00C96D1A">
        <w:t xml:space="preserve"> in the disposition of a case. </w:t>
      </w:r>
      <w:r w:rsidRPr="00EF5390">
        <w:t xml:space="preserve">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w:t>
      </w:r>
      <w:r w:rsidR="00C96D1A">
        <w:t>Additionally, t</w:t>
      </w:r>
      <w:r w:rsidR="00C96D1A" w:rsidRPr="00C96D1A">
        <w:t xml:space="preserve">he Board acknowledges the CI’s contention that suggests </w:t>
      </w:r>
      <w:r w:rsidR="00CD4BA8">
        <w:t>s</w:t>
      </w:r>
      <w:r w:rsidR="00C96D1A" w:rsidRPr="00C96D1A">
        <w:t xml:space="preserve">ervice ratings should have been conferred for other conditions documented at the time of separation. The Board wishes to clarify that it is subject to the same laws for </w:t>
      </w:r>
      <w:r w:rsidR="00CD4BA8">
        <w:t>s</w:t>
      </w:r>
      <w:r w:rsidR="00C96D1A" w:rsidRPr="00C96D1A">
        <w:t xml:space="preserve">ervice disability entitlements as those under which the </w:t>
      </w:r>
      <w:r w:rsidR="0096181D">
        <w:t xml:space="preserve">DES </w:t>
      </w:r>
      <w:r w:rsidR="00C96D1A" w:rsidRPr="00C96D1A">
        <w:t xml:space="preserve">operates. While the DES considers all of the </w:t>
      </w:r>
      <w:r w:rsidR="00CD4BA8">
        <w:t>s</w:t>
      </w:r>
      <w:r w:rsidR="00C96D1A" w:rsidRPr="00C96D1A">
        <w:t xml:space="preserve">ervice member's medical </w:t>
      </w:r>
      <w:r w:rsidR="00C96D1A" w:rsidRPr="00C96D1A">
        <w:lastRenderedPageBreak/>
        <w:t xml:space="preserve">conditions, compensation can only be offered for those medical conditions that cut short a service member’s career, and then only to the degree of severity present at the time of final disposition. However the </w:t>
      </w:r>
      <w:r w:rsidR="0096181D">
        <w:t>DVA</w:t>
      </w:r>
      <w:r w:rsidR="00C96D1A" w:rsidRPr="00C96D1A">
        <w:t xml:space="preserve">, operating under a different set of laws (Title 38, United States Code), </w:t>
      </w:r>
      <w:r w:rsidR="0096181D">
        <w:t xml:space="preserve">is empowered to compensate all </w:t>
      </w:r>
      <w:r w:rsidR="00CD4BA8">
        <w:t>s</w:t>
      </w:r>
      <w:r w:rsidR="00C96D1A" w:rsidRPr="00C96D1A">
        <w:t>ervice connected conditions and to periodically reevaluate said conditions fo</w:t>
      </w:r>
      <w:r w:rsidR="0096181D">
        <w:t>r the purpose of adjusting the V</w:t>
      </w:r>
      <w:r w:rsidR="00C96D1A" w:rsidRPr="00C96D1A">
        <w:t xml:space="preserve">eteran’s disability rating should </w:t>
      </w:r>
      <w:r w:rsidR="0096181D">
        <w:t>the</w:t>
      </w:r>
      <w:r w:rsidR="00C96D1A" w:rsidRPr="00C96D1A">
        <w:t xml:space="preserve"> degree of impairment vary over time.</w:t>
      </w:r>
    </w:p>
    <w:p w:rsidR="00EB30F0" w:rsidRPr="00EF5390" w:rsidRDefault="00EB30F0" w:rsidP="00A17170"/>
    <w:p w:rsidR="001460C3" w:rsidRPr="00EF5390" w:rsidRDefault="003B26FE" w:rsidP="00A17170">
      <w:pPr>
        <w:rPr>
          <w:rFonts w:eastAsia="Calibri"/>
        </w:rPr>
      </w:pPr>
      <w:r w:rsidRPr="00EF5390">
        <w:rPr>
          <w:rFonts w:eastAsia="Calibri"/>
          <w:u w:val="single"/>
        </w:rPr>
        <w:t>Right and Left</w:t>
      </w:r>
      <w:r w:rsidR="001460C3" w:rsidRPr="00EF5390">
        <w:rPr>
          <w:rFonts w:eastAsia="Calibri"/>
          <w:u w:val="single"/>
        </w:rPr>
        <w:t xml:space="preserve"> Plantar Fasciitis and History of Right Exertional Anterior Compartment Syndrome</w:t>
      </w:r>
      <w:r w:rsidR="00EF5390" w:rsidRPr="00EF5390">
        <w:rPr>
          <w:rFonts w:eastAsia="Calibri"/>
          <w:u w:val="single"/>
        </w:rPr>
        <w:t>, status</w:t>
      </w:r>
      <w:r w:rsidR="001460C3" w:rsidRPr="00EF5390">
        <w:rPr>
          <w:rFonts w:eastAsia="Calibri"/>
          <w:u w:val="single"/>
        </w:rPr>
        <w:t>-post Fasciotomy, Resolved</w:t>
      </w:r>
      <w:r w:rsidR="00EB30F0" w:rsidRPr="00EF5390">
        <w:rPr>
          <w:rFonts w:eastAsia="Calibri"/>
        </w:rPr>
        <w:t xml:space="preserve">:  </w:t>
      </w:r>
    </w:p>
    <w:p w:rsidR="00D57FC3" w:rsidRPr="00EF5390" w:rsidRDefault="00EB30F0" w:rsidP="00A17170">
      <w:pPr>
        <w:rPr>
          <w:rFonts w:eastAsia="Calibri"/>
        </w:rPr>
      </w:pPr>
      <w:r w:rsidRPr="00EF5390">
        <w:rPr>
          <w:rFonts w:eastAsia="Calibri"/>
        </w:rPr>
        <w:t xml:space="preserve">The </w:t>
      </w:r>
      <w:r w:rsidR="00D57FC3" w:rsidRPr="00EF5390">
        <w:rPr>
          <w:rFonts w:eastAsia="Calibri"/>
        </w:rPr>
        <w:t>IPEB in February 2008 determi</w:t>
      </w:r>
      <w:r w:rsidR="007F04A8" w:rsidRPr="00EF5390">
        <w:rPr>
          <w:rFonts w:eastAsia="Calibri"/>
        </w:rPr>
        <w:t>ne</w:t>
      </w:r>
      <w:r w:rsidR="00D57FC3" w:rsidRPr="00EF5390">
        <w:rPr>
          <w:rFonts w:eastAsia="Calibri"/>
        </w:rPr>
        <w:t xml:space="preserve">d the CI was </w:t>
      </w:r>
      <w:r w:rsidRPr="00EF5390">
        <w:rPr>
          <w:rFonts w:eastAsia="Calibri"/>
        </w:rPr>
        <w:t xml:space="preserve">unfit </w:t>
      </w:r>
      <w:r w:rsidR="00D57FC3" w:rsidRPr="00EF5390">
        <w:rPr>
          <w:rFonts w:eastAsia="Calibri"/>
        </w:rPr>
        <w:t xml:space="preserve">as a result </w:t>
      </w:r>
      <w:r w:rsidR="00EF5390" w:rsidRPr="00EF5390">
        <w:rPr>
          <w:rFonts w:eastAsia="Calibri"/>
        </w:rPr>
        <w:t>of bilateral</w:t>
      </w:r>
      <w:r w:rsidRPr="00EF5390">
        <w:rPr>
          <w:rFonts w:eastAsia="Calibri"/>
        </w:rPr>
        <w:t xml:space="preserve"> lower leg pain</w:t>
      </w:r>
      <w:r w:rsidR="007F04A8" w:rsidRPr="00EF5390">
        <w:rPr>
          <w:rFonts w:eastAsia="Calibri"/>
        </w:rPr>
        <w:t xml:space="preserve">, </w:t>
      </w:r>
      <w:r w:rsidR="00EF5390" w:rsidRPr="00EF5390">
        <w:rPr>
          <w:rFonts w:eastAsia="Calibri"/>
        </w:rPr>
        <w:t>congenital</w:t>
      </w:r>
      <w:r w:rsidR="00D57FC3" w:rsidRPr="00EF5390">
        <w:rPr>
          <w:rFonts w:eastAsia="Calibri"/>
        </w:rPr>
        <w:t xml:space="preserve"> bilateral pes planus that was permanently aggravated by service</w:t>
      </w:r>
      <w:r w:rsidR="007F04A8" w:rsidRPr="00EF5390">
        <w:rPr>
          <w:rFonts w:eastAsia="Calibri"/>
        </w:rPr>
        <w:t xml:space="preserve"> and mechanical low back pain with degenerative changes on x-ray</w:t>
      </w:r>
      <w:r w:rsidR="00D57FC3" w:rsidRPr="00EF5390">
        <w:rPr>
          <w:rFonts w:eastAsia="Calibri"/>
        </w:rPr>
        <w:t>.</w:t>
      </w:r>
      <w:r w:rsidR="00BE1834">
        <w:rPr>
          <w:rFonts w:eastAsia="Calibri"/>
        </w:rPr>
        <w:t xml:space="preserve"> </w:t>
      </w:r>
      <w:r w:rsidR="00D57FC3" w:rsidRPr="00EF5390">
        <w:rPr>
          <w:rFonts w:eastAsia="Calibri"/>
        </w:rPr>
        <w:t xml:space="preserve">The combined effect of these conditions resulted in </w:t>
      </w:r>
      <w:r w:rsidRPr="00EF5390">
        <w:rPr>
          <w:rFonts w:eastAsia="Calibri"/>
        </w:rPr>
        <w:t xml:space="preserve">an inability to perform her </w:t>
      </w:r>
      <w:r w:rsidR="0096181D">
        <w:rPr>
          <w:rFonts w:eastAsia="Calibri"/>
        </w:rPr>
        <w:t>A</w:t>
      </w:r>
      <w:r w:rsidR="00CD4BA8">
        <w:rPr>
          <w:rFonts w:eastAsia="Calibri"/>
        </w:rPr>
        <w:t>ir Force Specialty</w:t>
      </w:r>
      <w:r w:rsidRPr="00EF5390">
        <w:rPr>
          <w:rFonts w:eastAsia="Calibri"/>
        </w:rPr>
        <w:t xml:space="preserve"> </w:t>
      </w:r>
      <w:r w:rsidR="000F1026">
        <w:rPr>
          <w:rFonts w:eastAsia="Calibri"/>
        </w:rPr>
        <w:t xml:space="preserve">(AFS) </w:t>
      </w:r>
      <w:r w:rsidRPr="00EF5390">
        <w:rPr>
          <w:rFonts w:eastAsia="Calibri"/>
        </w:rPr>
        <w:t xml:space="preserve">which included </w:t>
      </w:r>
      <w:r w:rsidR="00BE5354" w:rsidRPr="00EF5390">
        <w:rPr>
          <w:rFonts w:eastAsia="Calibri"/>
        </w:rPr>
        <w:t xml:space="preserve">walking, carrying litters or other strenuous </w:t>
      </w:r>
      <w:r w:rsidR="004D529E" w:rsidRPr="00EF5390">
        <w:rPr>
          <w:rFonts w:eastAsia="Calibri"/>
        </w:rPr>
        <w:t>activities</w:t>
      </w:r>
      <w:r w:rsidR="00BE5354" w:rsidRPr="00EF5390">
        <w:rPr>
          <w:rFonts w:eastAsia="Calibri"/>
        </w:rPr>
        <w:t xml:space="preserve"> for any significant duration. </w:t>
      </w:r>
      <w:r w:rsidR="00D57FC3" w:rsidRPr="00EF5390">
        <w:rPr>
          <w:rFonts w:eastAsia="Calibri"/>
        </w:rPr>
        <w:t xml:space="preserve">The FPEB in </w:t>
      </w:r>
      <w:r w:rsidR="00BB5672" w:rsidRPr="00EF5390">
        <w:rPr>
          <w:rFonts w:eastAsia="Calibri"/>
        </w:rPr>
        <w:t>April 2007 determined the bilateral lower leg pain alone resulted in the CI’s unfitness for military service.</w:t>
      </w:r>
      <w:r w:rsidR="00BE1834">
        <w:rPr>
          <w:rFonts w:eastAsia="Calibri"/>
        </w:rPr>
        <w:t xml:space="preserve"> </w:t>
      </w:r>
      <w:r w:rsidR="0096181D">
        <w:rPr>
          <w:rFonts w:eastAsia="Calibri"/>
        </w:rPr>
        <w:t>While</w:t>
      </w:r>
      <w:r w:rsidR="00D57FC3" w:rsidRPr="00EF5390">
        <w:rPr>
          <w:rFonts w:eastAsia="Calibri"/>
        </w:rPr>
        <w:t xml:space="preserve"> </w:t>
      </w:r>
      <w:r w:rsidR="0096181D">
        <w:rPr>
          <w:rFonts w:eastAsia="Calibri"/>
        </w:rPr>
        <w:t>S</w:t>
      </w:r>
      <w:r w:rsidR="00D57FC3" w:rsidRPr="00EF5390">
        <w:rPr>
          <w:rFonts w:eastAsia="Calibri"/>
        </w:rPr>
        <w:t>AFPC stated the condition of bilateral plantar fasciitis in combination with the history of right anterior compartment syndrome was the ca</w:t>
      </w:r>
      <w:r w:rsidR="00C15317" w:rsidRPr="00EF5390">
        <w:rPr>
          <w:rFonts w:eastAsia="Calibri"/>
        </w:rPr>
        <w:t>us</w:t>
      </w:r>
      <w:r w:rsidR="00D57FC3" w:rsidRPr="00EF5390">
        <w:rPr>
          <w:rFonts w:eastAsia="Calibri"/>
        </w:rPr>
        <w:t>e of the CI’s unfitness, the symptoms</w:t>
      </w:r>
      <w:r w:rsidR="00BB5672" w:rsidRPr="00EF5390">
        <w:rPr>
          <w:rFonts w:eastAsia="Calibri"/>
        </w:rPr>
        <w:t xml:space="preserve"> </w:t>
      </w:r>
      <w:r w:rsidR="007F04A8" w:rsidRPr="00EF5390">
        <w:rPr>
          <w:rFonts w:eastAsia="Calibri"/>
        </w:rPr>
        <w:t xml:space="preserve">and functional limitations </w:t>
      </w:r>
      <w:r w:rsidR="00BB5672" w:rsidRPr="00EF5390">
        <w:rPr>
          <w:rFonts w:eastAsia="Calibri"/>
        </w:rPr>
        <w:t>cited by both the IPEB and the FPEB</w:t>
      </w:r>
      <w:r w:rsidR="00D57FC3" w:rsidRPr="00EF5390">
        <w:rPr>
          <w:rFonts w:eastAsia="Calibri"/>
        </w:rPr>
        <w:t xml:space="preserve"> </w:t>
      </w:r>
      <w:r w:rsidR="00BB5672" w:rsidRPr="00EF5390">
        <w:rPr>
          <w:rFonts w:eastAsia="Calibri"/>
        </w:rPr>
        <w:t>we</w:t>
      </w:r>
      <w:r w:rsidR="00D57FC3" w:rsidRPr="00EF5390">
        <w:rPr>
          <w:rFonts w:eastAsia="Calibri"/>
        </w:rPr>
        <w:t xml:space="preserve">re used to support the </w:t>
      </w:r>
      <w:r w:rsidR="0096181D">
        <w:rPr>
          <w:rFonts w:eastAsia="Calibri"/>
        </w:rPr>
        <w:t>S</w:t>
      </w:r>
      <w:r w:rsidR="00BB5672" w:rsidRPr="00EF5390">
        <w:rPr>
          <w:rFonts w:eastAsia="Calibri"/>
        </w:rPr>
        <w:t xml:space="preserve">AFPC’s </w:t>
      </w:r>
      <w:r w:rsidR="00D57FC3" w:rsidRPr="00EF5390">
        <w:rPr>
          <w:rFonts w:eastAsia="Calibri"/>
        </w:rPr>
        <w:t>determinations of unfitness and disability rating</w:t>
      </w:r>
      <w:r w:rsidR="007F04A8" w:rsidRPr="00EF5390">
        <w:rPr>
          <w:rFonts w:eastAsia="Calibri"/>
        </w:rPr>
        <w:t>s</w:t>
      </w:r>
      <w:r w:rsidR="00D57FC3" w:rsidRPr="00EF5390">
        <w:rPr>
          <w:rFonts w:eastAsia="Calibri"/>
        </w:rPr>
        <w:t xml:space="preserve">. </w:t>
      </w:r>
      <w:r w:rsidR="00C15317" w:rsidRPr="00EF5390">
        <w:rPr>
          <w:rFonts w:eastAsia="Calibri"/>
        </w:rPr>
        <w:t>It is noted by the Board that all three approaches determined a combined disability rating of 20%.</w:t>
      </w:r>
      <w:r w:rsidR="00BE1834">
        <w:rPr>
          <w:rFonts w:eastAsia="Calibri"/>
        </w:rPr>
        <w:t xml:space="preserve"> </w:t>
      </w:r>
      <w:r w:rsidR="00C15317" w:rsidRPr="00EF5390">
        <w:rPr>
          <w:rFonts w:eastAsia="Calibri"/>
        </w:rPr>
        <w:t xml:space="preserve"> T</w:t>
      </w:r>
      <w:r w:rsidR="00D57FC3" w:rsidRPr="00EF5390">
        <w:rPr>
          <w:rFonts w:eastAsia="Calibri"/>
        </w:rPr>
        <w:t>he Board views this as a variance in rating procedures, not a change in diagnosis</w:t>
      </w:r>
      <w:r w:rsidR="007F04A8" w:rsidRPr="00EF5390">
        <w:rPr>
          <w:rFonts w:eastAsia="Calibri"/>
        </w:rPr>
        <w:t xml:space="preserve"> or level of disability</w:t>
      </w:r>
      <w:r w:rsidR="00D57FC3" w:rsidRPr="00EF5390">
        <w:rPr>
          <w:rFonts w:eastAsia="Calibri"/>
        </w:rPr>
        <w:t>.</w:t>
      </w:r>
    </w:p>
    <w:p w:rsidR="00D57FC3" w:rsidRPr="00EF5390" w:rsidRDefault="00D57FC3" w:rsidP="00A17170">
      <w:pPr>
        <w:rPr>
          <w:rFonts w:eastAsia="Calibri"/>
        </w:rPr>
      </w:pPr>
    </w:p>
    <w:p w:rsidR="00C40141" w:rsidRPr="00EF5390" w:rsidRDefault="00AA6A40" w:rsidP="00A17170">
      <w:pPr>
        <w:rPr>
          <w:rFonts w:eastAsia="Calibri"/>
        </w:rPr>
      </w:pPr>
      <w:r w:rsidRPr="00EF5390">
        <w:rPr>
          <w:rFonts w:eastAsia="Calibri"/>
        </w:rPr>
        <w:t xml:space="preserve">In October 2006 the CI presented to the </w:t>
      </w:r>
      <w:r w:rsidR="0096181D">
        <w:rPr>
          <w:rFonts w:eastAsia="Calibri"/>
        </w:rPr>
        <w:t>student h</w:t>
      </w:r>
      <w:r w:rsidRPr="00EF5390">
        <w:rPr>
          <w:rFonts w:eastAsia="Calibri"/>
        </w:rPr>
        <w:t>ealthcare clinic with complaints of bilat</w:t>
      </w:r>
      <w:r w:rsidR="003C2E9C">
        <w:rPr>
          <w:rFonts w:eastAsia="Calibri"/>
        </w:rPr>
        <w:t xml:space="preserve">eral anterior tibial tenderness, </w:t>
      </w:r>
      <w:r w:rsidRPr="00EF5390">
        <w:rPr>
          <w:rFonts w:eastAsia="Calibri"/>
        </w:rPr>
        <w:t xml:space="preserve">was treated with a </w:t>
      </w:r>
      <w:r w:rsidR="00C96D1A" w:rsidRPr="00EF5390">
        <w:rPr>
          <w:rFonts w:eastAsia="Calibri"/>
        </w:rPr>
        <w:t xml:space="preserve">nonsteroidal anti-inflammatory drug </w:t>
      </w:r>
      <w:r w:rsidRPr="00EF5390">
        <w:rPr>
          <w:rFonts w:eastAsia="Calibri"/>
        </w:rPr>
        <w:t>(NSAID)</w:t>
      </w:r>
      <w:r w:rsidR="003C2E9C">
        <w:rPr>
          <w:rFonts w:eastAsia="Calibri"/>
        </w:rPr>
        <w:t>,</w:t>
      </w:r>
      <w:r w:rsidRPr="00EF5390">
        <w:rPr>
          <w:rFonts w:eastAsia="Calibri"/>
        </w:rPr>
        <w:t xml:space="preserve"> and a consult to </w:t>
      </w:r>
      <w:r w:rsidR="0096181D">
        <w:rPr>
          <w:rFonts w:eastAsia="Calibri"/>
        </w:rPr>
        <w:t>p</w:t>
      </w:r>
      <w:r w:rsidRPr="00EF5390">
        <w:rPr>
          <w:rFonts w:eastAsia="Calibri"/>
        </w:rPr>
        <w:t xml:space="preserve">hysical </w:t>
      </w:r>
      <w:r w:rsidR="0096181D">
        <w:rPr>
          <w:rFonts w:eastAsia="Calibri"/>
        </w:rPr>
        <w:t>t</w:t>
      </w:r>
      <w:r w:rsidRPr="00EF5390">
        <w:rPr>
          <w:rFonts w:eastAsia="Calibri"/>
        </w:rPr>
        <w:t>herapy was requested for the diagnosis of shin splint</w:t>
      </w:r>
      <w:r w:rsidR="002579D2" w:rsidRPr="00EF5390">
        <w:rPr>
          <w:rFonts w:eastAsia="Calibri"/>
        </w:rPr>
        <w:t>s</w:t>
      </w:r>
      <w:r w:rsidR="00C96D1A">
        <w:rPr>
          <w:rFonts w:eastAsia="Calibri"/>
        </w:rPr>
        <w:t xml:space="preserve">. </w:t>
      </w:r>
      <w:r w:rsidRPr="00EF5390">
        <w:rPr>
          <w:rFonts w:eastAsia="Calibri"/>
        </w:rPr>
        <w:t>The physical therapist, four days later, noted that both legs had moderate t</w:t>
      </w:r>
      <w:r w:rsidR="00772F0B" w:rsidRPr="00EF5390">
        <w:rPr>
          <w:rFonts w:eastAsia="Calibri"/>
        </w:rPr>
        <w:t>e</w:t>
      </w:r>
      <w:r w:rsidRPr="00EF5390">
        <w:rPr>
          <w:rFonts w:eastAsia="Calibri"/>
        </w:rPr>
        <w:t>n</w:t>
      </w:r>
      <w:r w:rsidR="000B7D8E" w:rsidRPr="00EF5390">
        <w:rPr>
          <w:rFonts w:eastAsia="Calibri"/>
        </w:rPr>
        <w:t>d</w:t>
      </w:r>
      <w:r w:rsidRPr="00EF5390">
        <w:rPr>
          <w:rFonts w:eastAsia="Calibri"/>
        </w:rPr>
        <w:t xml:space="preserve">erness to palpation (TTP) in the distal </w:t>
      </w:r>
      <w:r w:rsidR="002579D2" w:rsidRPr="00EF5390">
        <w:rPr>
          <w:rFonts w:eastAsia="Calibri"/>
        </w:rPr>
        <w:t>third</w:t>
      </w:r>
      <w:r w:rsidRPr="00EF5390">
        <w:rPr>
          <w:rFonts w:eastAsia="Calibri"/>
        </w:rPr>
        <w:t xml:space="preserve"> anterior tibial</w:t>
      </w:r>
      <w:r w:rsidR="002579D2" w:rsidRPr="00EF5390">
        <w:rPr>
          <w:rFonts w:eastAsia="Calibri"/>
        </w:rPr>
        <w:t xml:space="preserve"> area,</w:t>
      </w:r>
      <w:r w:rsidRPr="00EF5390">
        <w:rPr>
          <w:rFonts w:eastAsia="Calibri"/>
        </w:rPr>
        <w:t xml:space="preserve"> worse on the right than the left. </w:t>
      </w:r>
      <w:r w:rsidR="00962DEB" w:rsidRPr="00EF5390">
        <w:rPr>
          <w:rFonts w:eastAsia="Calibri"/>
        </w:rPr>
        <w:t xml:space="preserve">In December 2006 </w:t>
      </w:r>
      <w:r w:rsidRPr="00EF5390">
        <w:rPr>
          <w:rFonts w:eastAsia="Calibri"/>
        </w:rPr>
        <w:t>the CI was given a two week temporary duty</w:t>
      </w:r>
      <w:r w:rsidR="009E045F" w:rsidRPr="00EF5390">
        <w:rPr>
          <w:rFonts w:eastAsia="Calibri"/>
        </w:rPr>
        <w:t xml:space="preserve"> restriction to avoid </w:t>
      </w:r>
      <w:r w:rsidRPr="00EF5390">
        <w:rPr>
          <w:rFonts w:eastAsia="Calibri"/>
        </w:rPr>
        <w:t xml:space="preserve">high impact </w:t>
      </w:r>
      <w:r w:rsidR="004D529E" w:rsidRPr="00EF5390">
        <w:rPr>
          <w:rFonts w:eastAsia="Calibri"/>
        </w:rPr>
        <w:t>activities</w:t>
      </w:r>
      <w:r w:rsidRPr="00EF5390">
        <w:rPr>
          <w:rFonts w:eastAsia="Calibri"/>
        </w:rPr>
        <w:t xml:space="preserve">, </w:t>
      </w:r>
      <w:r w:rsidR="00D75460" w:rsidRPr="00EF5390">
        <w:rPr>
          <w:rFonts w:eastAsia="Calibri"/>
        </w:rPr>
        <w:t xml:space="preserve">stating the CI would not perform the following activities: </w:t>
      </w:r>
      <w:r w:rsidRPr="00EF5390">
        <w:rPr>
          <w:rFonts w:eastAsia="Calibri"/>
        </w:rPr>
        <w:t xml:space="preserve">jumping jacks, dancing, sporting </w:t>
      </w:r>
      <w:r w:rsidR="004D529E" w:rsidRPr="00EF5390">
        <w:rPr>
          <w:rFonts w:eastAsia="Calibri"/>
        </w:rPr>
        <w:t>activities</w:t>
      </w:r>
      <w:r w:rsidR="002579D2" w:rsidRPr="00EF5390">
        <w:rPr>
          <w:rFonts w:eastAsia="Calibri"/>
        </w:rPr>
        <w:t>,</w:t>
      </w:r>
      <w:r w:rsidR="004D529E" w:rsidRPr="00EF5390">
        <w:rPr>
          <w:rFonts w:eastAsia="Calibri"/>
        </w:rPr>
        <w:t xml:space="preserve"> </w:t>
      </w:r>
      <w:r w:rsidR="00EF5390" w:rsidRPr="00EF5390">
        <w:rPr>
          <w:rFonts w:eastAsia="Calibri"/>
        </w:rPr>
        <w:t>and walk</w:t>
      </w:r>
      <w:r w:rsidRPr="00EF5390">
        <w:rPr>
          <w:rFonts w:eastAsia="Calibri"/>
        </w:rPr>
        <w:t xml:space="preserve">/run at own pace, </w:t>
      </w:r>
      <w:r w:rsidR="00EF5390" w:rsidRPr="00EF5390">
        <w:rPr>
          <w:rFonts w:eastAsia="Calibri"/>
        </w:rPr>
        <w:t>march, or</w:t>
      </w:r>
      <w:r w:rsidRPr="00EF5390">
        <w:rPr>
          <w:rFonts w:eastAsia="Calibri"/>
        </w:rPr>
        <w:t xml:space="preserve"> wear athletic shoes in and out of uniform.</w:t>
      </w:r>
      <w:r w:rsidR="00BE1834">
        <w:rPr>
          <w:rFonts w:eastAsia="Calibri"/>
        </w:rPr>
        <w:t xml:space="preserve"> </w:t>
      </w:r>
      <w:r w:rsidR="000B7D8E" w:rsidRPr="00EF5390">
        <w:rPr>
          <w:rFonts w:eastAsia="Calibri"/>
        </w:rPr>
        <w:t>Throughout the course of her active duty the CI was given several temporary duty restrictions</w:t>
      </w:r>
      <w:r w:rsidR="00D75460" w:rsidRPr="00EF5390">
        <w:rPr>
          <w:rFonts w:eastAsia="Calibri"/>
        </w:rPr>
        <w:t>.</w:t>
      </w:r>
      <w:r w:rsidR="00BE1834">
        <w:rPr>
          <w:rFonts w:eastAsia="Calibri"/>
        </w:rPr>
        <w:t xml:space="preserve"> </w:t>
      </w:r>
      <w:r w:rsidR="000B7D8E" w:rsidRPr="00EF5390">
        <w:rPr>
          <w:rFonts w:eastAsia="Calibri"/>
        </w:rPr>
        <w:t xml:space="preserve">A bone scan done in February </w:t>
      </w:r>
      <w:r w:rsidR="00D75460" w:rsidRPr="00EF5390">
        <w:rPr>
          <w:rFonts w:eastAsia="Calibri"/>
        </w:rPr>
        <w:t xml:space="preserve">2007 </w:t>
      </w:r>
      <w:r w:rsidR="000B7D8E" w:rsidRPr="00EF5390">
        <w:rPr>
          <w:rFonts w:eastAsia="Calibri"/>
        </w:rPr>
        <w:t xml:space="preserve">showed left shin splints; stress changes of the knees, ankles and feet; and mild </w:t>
      </w:r>
      <w:r w:rsidR="004D529E" w:rsidRPr="00EF5390">
        <w:rPr>
          <w:rFonts w:eastAsia="Calibri"/>
        </w:rPr>
        <w:t>asymmetric</w:t>
      </w:r>
      <w:r w:rsidR="000B7D8E" w:rsidRPr="00EF5390">
        <w:rPr>
          <w:rFonts w:eastAsia="Calibri"/>
        </w:rPr>
        <w:t xml:space="preserve"> activity at the right sacroiliac joint.</w:t>
      </w:r>
      <w:r w:rsidR="00C96D1A">
        <w:rPr>
          <w:rFonts w:eastAsia="Calibri"/>
        </w:rPr>
        <w:t xml:space="preserve"> </w:t>
      </w:r>
      <w:r w:rsidR="002B4915" w:rsidRPr="00EF5390">
        <w:rPr>
          <w:rFonts w:eastAsia="Calibri"/>
        </w:rPr>
        <w:t xml:space="preserve">Although the CI was undergoing physical therapy, the shin splints </w:t>
      </w:r>
      <w:r w:rsidR="004D529E" w:rsidRPr="00EF5390">
        <w:rPr>
          <w:rFonts w:eastAsia="Calibri"/>
        </w:rPr>
        <w:t>persisted</w:t>
      </w:r>
      <w:r w:rsidR="00C96D1A">
        <w:rPr>
          <w:rFonts w:eastAsia="Calibri"/>
        </w:rPr>
        <w:t xml:space="preserve">. </w:t>
      </w:r>
      <w:r w:rsidR="00C50CD5" w:rsidRPr="00EF5390">
        <w:rPr>
          <w:rFonts w:eastAsia="Calibri"/>
        </w:rPr>
        <w:t xml:space="preserve">A </w:t>
      </w:r>
      <w:r w:rsidR="00D75460" w:rsidRPr="00EF5390">
        <w:rPr>
          <w:rFonts w:eastAsia="Calibri"/>
        </w:rPr>
        <w:t>Neurology consult in April 2007 doc</w:t>
      </w:r>
      <w:r w:rsidR="00C50CD5" w:rsidRPr="00EF5390">
        <w:rPr>
          <w:rFonts w:eastAsia="Calibri"/>
        </w:rPr>
        <w:t>u</w:t>
      </w:r>
      <w:r w:rsidR="00D75460" w:rsidRPr="00EF5390">
        <w:rPr>
          <w:rFonts w:eastAsia="Calibri"/>
        </w:rPr>
        <w:t xml:space="preserve">mented a completely normal </w:t>
      </w:r>
      <w:r w:rsidR="00A67616" w:rsidRPr="00EF5390">
        <w:rPr>
          <w:rFonts w:eastAsia="Calibri"/>
        </w:rPr>
        <w:t xml:space="preserve">and symmetric </w:t>
      </w:r>
      <w:r w:rsidR="00D75460" w:rsidRPr="00EF5390">
        <w:rPr>
          <w:rFonts w:eastAsia="Calibri"/>
        </w:rPr>
        <w:t>neurologic examination</w:t>
      </w:r>
      <w:r w:rsidR="00A67616" w:rsidRPr="00EF5390">
        <w:rPr>
          <w:rFonts w:eastAsia="Calibri"/>
        </w:rPr>
        <w:t xml:space="preserve"> including motor, sensory, and reflexes. Her right calf was 36.5cm and her left was 37.5cm. MRI of the right calf from late March was normal without evidence of stress fracture. An EMG/NCV test from early April was also normal. </w:t>
      </w:r>
      <w:r w:rsidR="002B4915" w:rsidRPr="00EF5390">
        <w:rPr>
          <w:rFonts w:eastAsia="Calibri"/>
        </w:rPr>
        <w:t xml:space="preserve">The CI was diagnosed with right lower </w:t>
      </w:r>
      <w:r w:rsidR="004D529E" w:rsidRPr="00EF5390">
        <w:rPr>
          <w:rFonts w:eastAsia="Calibri"/>
        </w:rPr>
        <w:t>extremity (</w:t>
      </w:r>
      <w:r w:rsidR="002B4915" w:rsidRPr="00EF5390">
        <w:rPr>
          <w:rFonts w:eastAsia="Calibri"/>
        </w:rPr>
        <w:t>RLE</w:t>
      </w:r>
      <w:r w:rsidR="004D529E" w:rsidRPr="00EF5390">
        <w:rPr>
          <w:rFonts w:eastAsia="Calibri"/>
        </w:rPr>
        <w:t xml:space="preserve">) </w:t>
      </w:r>
      <w:r w:rsidR="00D75460" w:rsidRPr="00EF5390">
        <w:rPr>
          <w:rFonts w:eastAsia="Calibri"/>
        </w:rPr>
        <w:t xml:space="preserve">compartment syndrome (CS) </w:t>
      </w:r>
      <w:r w:rsidR="002B4915" w:rsidRPr="00EF5390">
        <w:rPr>
          <w:rFonts w:eastAsia="Calibri"/>
        </w:rPr>
        <w:t>and underwent a RLE anterior compartment release and fasciotomy in April 2007</w:t>
      </w:r>
      <w:r w:rsidR="00EF5390" w:rsidRPr="00EF5390">
        <w:rPr>
          <w:rFonts w:eastAsia="Calibri"/>
        </w:rPr>
        <w:t>.</w:t>
      </w:r>
      <w:r w:rsidR="002B4915" w:rsidRPr="00EF5390">
        <w:rPr>
          <w:rFonts w:eastAsia="Calibri"/>
        </w:rPr>
        <w:t xml:space="preserve"> The MEB</w:t>
      </w:r>
      <w:r w:rsidR="00FC5645" w:rsidRPr="00EF5390">
        <w:rPr>
          <w:rFonts w:eastAsia="Calibri"/>
        </w:rPr>
        <w:t xml:space="preserve"> </w:t>
      </w:r>
      <w:r w:rsidR="0096181D">
        <w:rPr>
          <w:rFonts w:eastAsia="Calibri"/>
        </w:rPr>
        <w:t>narrative summary (</w:t>
      </w:r>
      <w:r w:rsidR="00C50CD5" w:rsidRPr="00EF5390">
        <w:rPr>
          <w:rFonts w:eastAsia="Calibri"/>
        </w:rPr>
        <w:t>NARSUM</w:t>
      </w:r>
      <w:r w:rsidR="0096181D">
        <w:rPr>
          <w:rFonts w:eastAsia="Calibri"/>
        </w:rPr>
        <w:t>)</w:t>
      </w:r>
      <w:r w:rsidR="00C50CD5" w:rsidRPr="00EF5390">
        <w:rPr>
          <w:rFonts w:eastAsia="Calibri"/>
        </w:rPr>
        <w:t xml:space="preserve"> </w:t>
      </w:r>
      <w:r w:rsidR="00EF5390" w:rsidRPr="00EF5390">
        <w:rPr>
          <w:rFonts w:eastAsia="Calibri"/>
        </w:rPr>
        <w:t>examination eight</w:t>
      </w:r>
      <w:r w:rsidR="002B4915" w:rsidRPr="00EF5390">
        <w:rPr>
          <w:rFonts w:eastAsia="Calibri"/>
        </w:rPr>
        <w:t xml:space="preserve"> months prior to sep</w:t>
      </w:r>
      <w:r w:rsidR="00166D6F" w:rsidRPr="00EF5390">
        <w:rPr>
          <w:rFonts w:eastAsia="Calibri"/>
        </w:rPr>
        <w:t>a</w:t>
      </w:r>
      <w:r w:rsidR="002B4915" w:rsidRPr="00EF5390">
        <w:rPr>
          <w:rFonts w:eastAsia="Calibri"/>
        </w:rPr>
        <w:t>ration</w:t>
      </w:r>
      <w:r w:rsidR="00166D6F" w:rsidRPr="00EF5390">
        <w:rPr>
          <w:rFonts w:eastAsia="Calibri"/>
        </w:rPr>
        <w:t xml:space="preserve"> </w:t>
      </w:r>
      <w:r w:rsidR="00EF5390" w:rsidRPr="00EF5390">
        <w:rPr>
          <w:rFonts w:eastAsia="Calibri"/>
        </w:rPr>
        <w:t>noted a</w:t>
      </w:r>
      <w:r w:rsidR="00C50CD5" w:rsidRPr="00EF5390">
        <w:rPr>
          <w:rFonts w:eastAsia="Calibri"/>
        </w:rPr>
        <w:t xml:space="preserve"> history of </w:t>
      </w:r>
      <w:r w:rsidR="002B4915" w:rsidRPr="00EF5390">
        <w:rPr>
          <w:rFonts w:eastAsia="Calibri"/>
        </w:rPr>
        <w:t>leg cra</w:t>
      </w:r>
      <w:r w:rsidR="00166D6F" w:rsidRPr="00EF5390">
        <w:rPr>
          <w:rFonts w:eastAsia="Calibri"/>
        </w:rPr>
        <w:t>m</w:t>
      </w:r>
      <w:r w:rsidR="002B4915" w:rsidRPr="00EF5390">
        <w:rPr>
          <w:rFonts w:eastAsia="Calibri"/>
        </w:rPr>
        <w:t xml:space="preserve">ps in her </w:t>
      </w:r>
      <w:r w:rsidR="00EF5390" w:rsidRPr="00EF5390">
        <w:rPr>
          <w:rFonts w:eastAsia="Calibri"/>
        </w:rPr>
        <w:t>calves</w:t>
      </w:r>
      <w:r w:rsidR="002B4915" w:rsidRPr="00EF5390">
        <w:rPr>
          <w:rFonts w:eastAsia="Calibri"/>
        </w:rPr>
        <w:t xml:space="preserve"> twice </w:t>
      </w:r>
      <w:r w:rsidR="00FC5645" w:rsidRPr="00EF5390">
        <w:rPr>
          <w:rFonts w:eastAsia="Calibri"/>
        </w:rPr>
        <w:t xml:space="preserve">weekly significant elevation of </w:t>
      </w:r>
      <w:r w:rsidR="007D1645" w:rsidRPr="00EF5390">
        <w:rPr>
          <w:rFonts w:eastAsia="Calibri"/>
        </w:rPr>
        <w:t>t</w:t>
      </w:r>
      <w:r w:rsidR="00FC5645" w:rsidRPr="00EF5390">
        <w:rPr>
          <w:rFonts w:eastAsia="Calibri"/>
        </w:rPr>
        <w:t xml:space="preserve">he right anterior compartment </w:t>
      </w:r>
      <w:r w:rsidR="007D1645" w:rsidRPr="00EF5390">
        <w:rPr>
          <w:rFonts w:eastAsia="Calibri"/>
        </w:rPr>
        <w:t xml:space="preserve">with a pressure of 32 mmHg after a period of exercise and initiation of symptoms.  </w:t>
      </w:r>
      <w:r w:rsidR="003C2E9C">
        <w:rPr>
          <w:rFonts w:eastAsia="Calibri"/>
        </w:rPr>
        <w:t>T</w:t>
      </w:r>
      <w:r w:rsidR="00C50CD5" w:rsidRPr="00EF5390">
        <w:rPr>
          <w:rFonts w:eastAsia="Calibri"/>
        </w:rPr>
        <w:t xml:space="preserve">he medical record </w:t>
      </w:r>
      <w:r w:rsidR="00EF5390" w:rsidRPr="00EF5390">
        <w:rPr>
          <w:rFonts w:eastAsia="Calibri"/>
        </w:rPr>
        <w:t>indicated resolution</w:t>
      </w:r>
      <w:r w:rsidR="00C50CD5" w:rsidRPr="00EF5390">
        <w:rPr>
          <w:rFonts w:eastAsia="Calibri"/>
        </w:rPr>
        <w:t xml:space="preserve"> of most symptoms. However, the CI requested a correction of her medical record as she disagreed that she had improved. </w:t>
      </w:r>
      <w:r w:rsidR="007D1645" w:rsidRPr="00EF5390">
        <w:rPr>
          <w:rFonts w:eastAsia="Calibri"/>
        </w:rPr>
        <w:t xml:space="preserve">The examiner </w:t>
      </w:r>
      <w:r w:rsidR="004D529E" w:rsidRPr="00EF5390">
        <w:rPr>
          <w:rFonts w:eastAsia="Calibri"/>
        </w:rPr>
        <w:t>further</w:t>
      </w:r>
      <w:r w:rsidR="007D1645" w:rsidRPr="00EF5390">
        <w:rPr>
          <w:rFonts w:eastAsia="Calibri"/>
        </w:rPr>
        <w:t xml:space="preserve"> indicated </w:t>
      </w:r>
      <w:r w:rsidR="00C50CD5" w:rsidRPr="00EF5390">
        <w:rPr>
          <w:rFonts w:eastAsia="Calibri"/>
        </w:rPr>
        <w:t xml:space="preserve">continuing pain in both legs that prevented extended walking or running. She also complained of </w:t>
      </w:r>
      <w:r w:rsidR="007D1645" w:rsidRPr="00EF5390">
        <w:rPr>
          <w:rFonts w:eastAsia="Calibri"/>
        </w:rPr>
        <w:t>sharp pains in the incision area</w:t>
      </w:r>
      <w:r w:rsidR="00C50CD5" w:rsidRPr="00EF5390">
        <w:rPr>
          <w:rFonts w:eastAsia="Calibri"/>
        </w:rPr>
        <w:t xml:space="preserve"> of the right leg</w:t>
      </w:r>
      <w:r w:rsidR="007D1645" w:rsidRPr="00EF5390">
        <w:rPr>
          <w:rFonts w:eastAsia="Calibri"/>
        </w:rPr>
        <w:t xml:space="preserve"> and both </w:t>
      </w:r>
      <w:r w:rsidR="004D529E" w:rsidRPr="00EF5390">
        <w:rPr>
          <w:rFonts w:eastAsia="Calibri"/>
        </w:rPr>
        <w:t>feet</w:t>
      </w:r>
      <w:r w:rsidR="007D1645" w:rsidRPr="00EF5390">
        <w:rPr>
          <w:rFonts w:eastAsia="Calibri"/>
        </w:rPr>
        <w:t xml:space="preserve"> and lower legs falling asleep at times</w:t>
      </w:r>
      <w:r w:rsidR="00C96D1A">
        <w:rPr>
          <w:rFonts w:eastAsia="Calibri"/>
        </w:rPr>
        <w:t xml:space="preserve"> approximately ten times a day.</w:t>
      </w:r>
      <w:r w:rsidR="007D1645" w:rsidRPr="00EF5390">
        <w:rPr>
          <w:rFonts w:eastAsia="Calibri"/>
        </w:rPr>
        <w:t xml:space="preserve"> </w:t>
      </w:r>
      <w:r w:rsidR="00C50CD5" w:rsidRPr="00EF5390">
        <w:rPr>
          <w:rFonts w:eastAsia="Calibri"/>
        </w:rPr>
        <w:t xml:space="preserve">The paresthesias would resolve with getting up and moving around as well as </w:t>
      </w:r>
      <w:r w:rsidR="003C2E9C">
        <w:rPr>
          <w:rFonts w:eastAsia="Calibri"/>
        </w:rPr>
        <w:t xml:space="preserve">with </w:t>
      </w:r>
      <w:r w:rsidR="00C50CD5" w:rsidRPr="00EF5390">
        <w:rPr>
          <w:rFonts w:eastAsia="Calibri"/>
        </w:rPr>
        <w:t>loosening her boots and blousing straps.</w:t>
      </w:r>
      <w:r w:rsidR="00BE1834">
        <w:rPr>
          <w:rFonts w:eastAsia="Calibri"/>
        </w:rPr>
        <w:t xml:space="preserve"> </w:t>
      </w:r>
      <w:r w:rsidR="00C50CD5" w:rsidRPr="00EF5390">
        <w:rPr>
          <w:rFonts w:eastAsia="Calibri"/>
        </w:rPr>
        <w:t xml:space="preserve">The CI had not been running and felt that this had </w:t>
      </w:r>
      <w:proofErr w:type="gramStart"/>
      <w:r w:rsidR="00C50CD5" w:rsidRPr="00EF5390">
        <w:rPr>
          <w:rFonts w:eastAsia="Calibri"/>
        </w:rPr>
        <w:t>lead</w:t>
      </w:r>
      <w:proofErr w:type="gramEnd"/>
      <w:r w:rsidR="00C50CD5" w:rsidRPr="00EF5390">
        <w:rPr>
          <w:rFonts w:eastAsia="Calibri"/>
        </w:rPr>
        <w:t xml:space="preserve"> to somewhat of an improvement of her symptoms. She felt that if she would participate in any vigorous activity her symptoms would worsen. The physical examination revealed a well healed surgical scar on the right leg and normal and symmetric motor, sensory, and reflex examinations of bilateral lower extremities. X-rays of </w:t>
      </w:r>
      <w:r w:rsidR="00EF5390" w:rsidRPr="00EF5390">
        <w:rPr>
          <w:rFonts w:eastAsia="Calibri"/>
        </w:rPr>
        <w:t>feet</w:t>
      </w:r>
      <w:r w:rsidR="00C50CD5" w:rsidRPr="00EF5390">
        <w:rPr>
          <w:rFonts w:eastAsia="Calibri"/>
        </w:rPr>
        <w:t xml:space="preserve"> and ankles as well as the right tibia and fibula were </w:t>
      </w:r>
      <w:r w:rsidR="00EF5390" w:rsidRPr="00EF5390">
        <w:rPr>
          <w:rFonts w:eastAsia="Calibri"/>
        </w:rPr>
        <w:t>normal.</w:t>
      </w:r>
      <w:r w:rsidR="00BE1834">
        <w:rPr>
          <w:rFonts w:eastAsia="Calibri"/>
        </w:rPr>
        <w:t xml:space="preserve"> </w:t>
      </w:r>
      <w:r w:rsidR="00EF5390" w:rsidRPr="00EF5390">
        <w:rPr>
          <w:rFonts w:eastAsia="Calibri"/>
        </w:rPr>
        <w:t>The</w:t>
      </w:r>
      <w:r w:rsidR="007D1645" w:rsidRPr="00EF5390">
        <w:rPr>
          <w:rFonts w:eastAsia="Calibri"/>
        </w:rPr>
        <w:t xml:space="preserve"> examiner</w:t>
      </w:r>
      <w:r w:rsidR="0066737D" w:rsidRPr="00EF5390">
        <w:rPr>
          <w:rFonts w:eastAsia="Calibri"/>
        </w:rPr>
        <w:t>’s impression was demonstrable chronic CS of the right anterior compare condition of the leg, s</w:t>
      </w:r>
      <w:r w:rsidR="00C50CD5" w:rsidRPr="00EF5390">
        <w:rPr>
          <w:rFonts w:eastAsia="Calibri"/>
        </w:rPr>
        <w:t>tatus-post</w:t>
      </w:r>
      <w:r w:rsidR="0066737D" w:rsidRPr="00EF5390">
        <w:rPr>
          <w:rFonts w:eastAsia="Calibri"/>
        </w:rPr>
        <w:t xml:space="preserve"> surgical release with </w:t>
      </w:r>
      <w:r w:rsidR="0066737D" w:rsidRPr="00EF5390">
        <w:rPr>
          <w:rFonts w:eastAsia="Calibri"/>
        </w:rPr>
        <w:lastRenderedPageBreak/>
        <w:t xml:space="preserve">some decrease </w:t>
      </w:r>
      <w:r w:rsidR="00C96D1A">
        <w:rPr>
          <w:rFonts w:eastAsia="Calibri"/>
        </w:rPr>
        <w:t xml:space="preserve">in symptoms but no resolution. </w:t>
      </w:r>
      <w:r w:rsidR="0066737D" w:rsidRPr="00EF5390">
        <w:rPr>
          <w:rFonts w:eastAsia="Calibri"/>
        </w:rPr>
        <w:t xml:space="preserve">The examiner further opined that this condition did not constitute </w:t>
      </w:r>
      <w:r w:rsidR="00C96D1A">
        <w:rPr>
          <w:rFonts w:eastAsia="Calibri"/>
        </w:rPr>
        <w:t xml:space="preserve">a boardable condition. </w:t>
      </w:r>
      <w:r w:rsidR="0066737D" w:rsidRPr="00EF5390">
        <w:rPr>
          <w:rFonts w:eastAsia="Calibri"/>
        </w:rPr>
        <w:t xml:space="preserve">The CI sent a Letter of Exception to </w:t>
      </w:r>
      <w:r w:rsidR="00CD4BA8">
        <w:rPr>
          <w:rFonts w:eastAsia="Calibri"/>
        </w:rPr>
        <w:t xml:space="preserve">the </w:t>
      </w:r>
      <w:r w:rsidR="0066737D" w:rsidRPr="00EF5390">
        <w:rPr>
          <w:rFonts w:eastAsia="Calibri"/>
        </w:rPr>
        <w:t xml:space="preserve">MEB Recommendations objecting </w:t>
      </w:r>
      <w:r w:rsidR="004D529E" w:rsidRPr="00EF5390">
        <w:rPr>
          <w:rFonts w:eastAsia="Calibri"/>
        </w:rPr>
        <w:t>to the</w:t>
      </w:r>
      <w:r w:rsidR="0066737D" w:rsidRPr="00EF5390">
        <w:rPr>
          <w:rFonts w:eastAsia="Calibri"/>
        </w:rPr>
        <w:t xml:space="preserve"> </w:t>
      </w:r>
      <w:r w:rsidR="004D529E" w:rsidRPr="00EF5390">
        <w:rPr>
          <w:rFonts w:eastAsia="Calibri"/>
        </w:rPr>
        <w:t>examiner’s comments</w:t>
      </w:r>
      <w:r w:rsidR="0066737D" w:rsidRPr="00EF5390">
        <w:rPr>
          <w:rFonts w:eastAsia="Calibri"/>
        </w:rPr>
        <w:t xml:space="preserve"> in the NARSUM.  </w:t>
      </w:r>
      <w:r w:rsidR="00602E5C" w:rsidRPr="00EF5390">
        <w:rPr>
          <w:rFonts w:eastAsia="Calibri"/>
        </w:rPr>
        <w:t xml:space="preserve">A </w:t>
      </w:r>
      <w:r w:rsidR="0066737D" w:rsidRPr="00EF5390">
        <w:rPr>
          <w:rFonts w:eastAsia="Calibri"/>
        </w:rPr>
        <w:t xml:space="preserve">December 2007 </w:t>
      </w:r>
      <w:r w:rsidR="004D529E" w:rsidRPr="00EF5390">
        <w:rPr>
          <w:rFonts w:eastAsia="Calibri"/>
        </w:rPr>
        <w:t>MEB</w:t>
      </w:r>
      <w:r w:rsidR="00D970A2" w:rsidRPr="00EF5390">
        <w:rPr>
          <w:rFonts w:eastAsia="Calibri"/>
        </w:rPr>
        <w:t xml:space="preserve"> determined that the CI was fit for duty.</w:t>
      </w:r>
      <w:r w:rsidR="00C96D1A">
        <w:rPr>
          <w:rFonts w:eastAsia="Calibri"/>
        </w:rPr>
        <w:t xml:space="preserve"> </w:t>
      </w:r>
      <w:r w:rsidR="00CD4BA8">
        <w:rPr>
          <w:rFonts w:eastAsia="Calibri"/>
        </w:rPr>
        <w:t>However, an I</w:t>
      </w:r>
      <w:r w:rsidR="00602E5C" w:rsidRPr="00EF5390">
        <w:rPr>
          <w:rFonts w:eastAsia="Calibri"/>
        </w:rPr>
        <w:t xml:space="preserve">PEB in February 2008 </w:t>
      </w:r>
      <w:r w:rsidR="00EF5390" w:rsidRPr="00EF5390">
        <w:rPr>
          <w:rFonts w:eastAsia="Calibri"/>
        </w:rPr>
        <w:t>determined</w:t>
      </w:r>
      <w:r w:rsidR="00602E5C" w:rsidRPr="00EF5390">
        <w:rPr>
          <w:rFonts w:eastAsia="Calibri"/>
        </w:rPr>
        <w:t xml:space="preserve"> she was unfit for military </w:t>
      </w:r>
      <w:r w:rsidR="000F1026">
        <w:rPr>
          <w:rFonts w:eastAsia="Calibri"/>
        </w:rPr>
        <w:t>s</w:t>
      </w:r>
      <w:r w:rsidR="00602E5C" w:rsidRPr="00EF5390">
        <w:rPr>
          <w:rFonts w:eastAsia="Calibri"/>
        </w:rPr>
        <w:t xml:space="preserve">ervice. </w:t>
      </w:r>
      <w:r w:rsidR="00CD4BA8">
        <w:rPr>
          <w:rFonts w:eastAsia="Calibri"/>
        </w:rPr>
        <w:t>The</w:t>
      </w:r>
      <w:r w:rsidR="00602E5C" w:rsidRPr="00EF5390">
        <w:rPr>
          <w:rFonts w:eastAsia="Calibri"/>
        </w:rPr>
        <w:t xml:space="preserve"> PEB</w:t>
      </w:r>
      <w:r w:rsidR="00CD4BA8">
        <w:rPr>
          <w:rFonts w:eastAsia="Calibri"/>
        </w:rPr>
        <w:t>s</w:t>
      </w:r>
      <w:r w:rsidR="00602E5C" w:rsidRPr="00EF5390">
        <w:rPr>
          <w:rFonts w:eastAsia="Calibri"/>
        </w:rPr>
        <w:t xml:space="preserve"> and </w:t>
      </w:r>
      <w:r w:rsidR="0096181D">
        <w:rPr>
          <w:rFonts w:eastAsia="Calibri"/>
        </w:rPr>
        <w:t>S</w:t>
      </w:r>
      <w:r w:rsidR="00602E5C" w:rsidRPr="00EF5390">
        <w:rPr>
          <w:rFonts w:eastAsia="Calibri"/>
        </w:rPr>
        <w:t xml:space="preserve">AFPC also determined the CI was unfit as described above. </w:t>
      </w:r>
      <w:r w:rsidR="0096181D">
        <w:rPr>
          <w:rFonts w:eastAsia="Calibri"/>
        </w:rPr>
        <w:t xml:space="preserve">The </w:t>
      </w:r>
      <w:proofErr w:type="gramStart"/>
      <w:r w:rsidR="0096181D">
        <w:rPr>
          <w:rFonts w:eastAsia="Calibri"/>
        </w:rPr>
        <w:t>c</w:t>
      </w:r>
      <w:r w:rsidR="00A85F79" w:rsidRPr="00EF5390">
        <w:rPr>
          <w:rFonts w:eastAsia="Calibri"/>
        </w:rPr>
        <w:t>ommanders</w:t>
      </w:r>
      <w:proofErr w:type="gramEnd"/>
      <w:r w:rsidR="00A85F79" w:rsidRPr="00EF5390">
        <w:rPr>
          <w:rFonts w:eastAsia="Calibri"/>
        </w:rPr>
        <w:t xml:space="preserve"> statement issued in December noted </w:t>
      </w:r>
      <w:r w:rsidR="00602E5C" w:rsidRPr="00EF5390">
        <w:rPr>
          <w:rFonts w:eastAsia="Calibri"/>
        </w:rPr>
        <w:t>the CI was pe</w:t>
      </w:r>
      <w:r w:rsidR="0096181D">
        <w:rPr>
          <w:rFonts w:eastAsia="Calibri"/>
        </w:rPr>
        <w:t>rforming satisfactorily in her AFS</w:t>
      </w:r>
      <w:r w:rsidR="00602E5C" w:rsidRPr="00EF5390">
        <w:rPr>
          <w:rFonts w:eastAsia="Calibri"/>
        </w:rPr>
        <w:t xml:space="preserve"> </w:t>
      </w:r>
      <w:r w:rsidR="00EF5390" w:rsidRPr="00EF5390">
        <w:rPr>
          <w:rFonts w:eastAsia="Calibri"/>
        </w:rPr>
        <w:t>in a</w:t>
      </w:r>
      <w:r w:rsidR="00602E5C" w:rsidRPr="00EF5390">
        <w:rPr>
          <w:rFonts w:eastAsia="Calibri"/>
        </w:rPr>
        <w:t xml:space="preserve"> clinic setting. However, he believed the </w:t>
      </w:r>
      <w:r w:rsidR="003C2E9C">
        <w:rPr>
          <w:rFonts w:eastAsia="Calibri"/>
        </w:rPr>
        <w:t>CI</w:t>
      </w:r>
      <w:r w:rsidR="00602E5C" w:rsidRPr="00EF5390">
        <w:rPr>
          <w:rFonts w:eastAsia="Calibri"/>
        </w:rPr>
        <w:t xml:space="preserve"> would not do well carrying litters or other strenuous activities for any </w:t>
      </w:r>
      <w:r w:rsidR="00EF5390" w:rsidRPr="00EF5390">
        <w:rPr>
          <w:rFonts w:eastAsia="Calibri"/>
        </w:rPr>
        <w:t>significant</w:t>
      </w:r>
      <w:r w:rsidR="00602E5C" w:rsidRPr="00EF5390">
        <w:rPr>
          <w:rFonts w:eastAsia="Calibri"/>
        </w:rPr>
        <w:t xml:space="preserve"> duration. He stated he would not accept her into a deployed environment. </w:t>
      </w:r>
    </w:p>
    <w:p w:rsidR="00C40141" w:rsidRPr="00EF5390" w:rsidRDefault="00C40141" w:rsidP="00A17170">
      <w:pPr>
        <w:rPr>
          <w:rFonts w:eastAsia="Calibri"/>
        </w:rPr>
      </w:pPr>
    </w:p>
    <w:p w:rsidR="003F2B29" w:rsidRPr="00EF5390" w:rsidRDefault="00C40141" w:rsidP="00A17170">
      <w:pPr>
        <w:rPr>
          <w:rFonts w:eastAsia="Calibri"/>
        </w:rPr>
      </w:pPr>
      <w:r w:rsidRPr="00EF5390">
        <w:rPr>
          <w:rFonts w:eastAsia="Calibri"/>
        </w:rPr>
        <w:t>The VA Compensation &amp; Pension (C&amp;P) foot examination note</w:t>
      </w:r>
      <w:r w:rsidR="001C10D8" w:rsidRPr="00EF5390">
        <w:rPr>
          <w:rFonts w:eastAsia="Calibri"/>
        </w:rPr>
        <w:t>d</w:t>
      </w:r>
      <w:r w:rsidRPr="00EF5390">
        <w:rPr>
          <w:rFonts w:eastAsia="Calibri"/>
        </w:rPr>
        <w:t xml:space="preserve"> bilateral foot pain, left greater than </w:t>
      </w:r>
      <w:r w:rsidR="00EF5390" w:rsidRPr="00EF5390">
        <w:rPr>
          <w:rFonts w:eastAsia="Calibri"/>
        </w:rPr>
        <w:t>right, which</w:t>
      </w:r>
      <w:r w:rsidRPr="00EF5390">
        <w:rPr>
          <w:rFonts w:eastAsia="Calibri"/>
        </w:rPr>
        <w:t xml:space="preserve"> had not responded to Motrin or orthotics. The patient had bilateral tenderness to palpation of the plantar fascia with a normal gait and no evidence of abnormal shoe wear or callosities. </w:t>
      </w:r>
      <w:r w:rsidR="00BE1834">
        <w:rPr>
          <w:rFonts w:eastAsia="Calibri"/>
        </w:rPr>
        <w:t xml:space="preserve"> </w:t>
      </w:r>
      <w:r w:rsidRPr="00EF5390">
        <w:rPr>
          <w:rFonts w:eastAsia="Calibri"/>
        </w:rPr>
        <w:t>He noted “</w:t>
      </w:r>
      <w:r w:rsidR="0096181D">
        <w:rPr>
          <w:rFonts w:eastAsia="Calibri"/>
        </w:rPr>
        <w:t>t</w:t>
      </w:r>
      <w:r w:rsidRPr="00EF5390">
        <w:rPr>
          <w:rFonts w:eastAsia="Calibri"/>
        </w:rPr>
        <w:t xml:space="preserve">he patient’s walking </w:t>
      </w:r>
      <w:r w:rsidR="00EF5390" w:rsidRPr="00EF5390">
        <w:rPr>
          <w:rFonts w:eastAsia="Calibri"/>
        </w:rPr>
        <w:t>ability;</w:t>
      </w:r>
      <w:r w:rsidRPr="00EF5390">
        <w:rPr>
          <w:rFonts w:eastAsia="Calibri"/>
        </w:rPr>
        <w:t xml:space="preserve"> standing ability and distance tolerance appear </w:t>
      </w:r>
      <w:r w:rsidR="00EF5390" w:rsidRPr="00EF5390">
        <w:rPr>
          <w:rFonts w:eastAsia="Calibri"/>
        </w:rPr>
        <w:t>normal</w:t>
      </w:r>
      <w:r w:rsidRPr="00EF5390">
        <w:rPr>
          <w:rFonts w:eastAsia="Calibri"/>
        </w:rPr>
        <w:t xml:space="preserve"> and unimpaired without requirement for extra breaks, restriction of tasks or limitation of work hours.” She neither had, nor required assistive devices and there were no range of motion limitations or vascular changes. There </w:t>
      </w:r>
      <w:r w:rsidR="00EF5390" w:rsidRPr="00EF5390">
        <w:rPr>
          <w:rFonts w:eastAsia="Calibri"/>
        </w:rPr>
        <w:t>were no additional limitations</w:t>
      </w:r>
      <w:r w:rsidRPr="00EF5390">
        <w:rPr>
          <w:rFonts w:eastAsia="Calibri"/>
        </w:rPr>
        <w:t xml:space="preserve"> following repetitive use. She also had a mild right bunion deformity.</w:t>
      </w:r>
      <w:r w:rsidR="00BE1834">
        <w:rPr>
          <w:rFonts w:eastAsia="Calibri"/>
        </w:rPr>
        <w:t xml:space="preserve"> </w:t>
      </w:r>
      <w:r w:rsidRPr="00EF5390">
        <w:rPr>
          <w:rFonts w:eastAsia="Calibri"/>
        </w:rPr>
        <w:t xml:space="preserve">The examiner opined plantar fasciitis was a continuity of her service complaint that was mild and would not lead to any significant limitation for ambulatory activities of </w:t>
      </w:r>
      <w:r w:rsidR="001C10D8" w:rsidRPr="00EF5390">
        <w:rPr>
          <w:rFonts w:eastAsia="Calibri"/>
        </w:rPr>
        <w:t xml:space="preserve">daily living. Another VA </w:t>
      </w:r>
      <w:r w:rsidRPr="00EF5390">
        <w:rPr>
          <w:rFonts w:eastAsia="Calibri"/>
        </w:rPr>
        <w:t xml:space="preserve">C&amp;P </w:t>
      </w:r>
      <w:r w:rsidR="00A85F79" w:rsidRPr="00EF5390">
        <w:rPr>
          <w:rFonts w:eastAsia="Calibri"/>
        </w:rPr>
        <w:t xml:space="preserve">examination </w:t>
      </w:r>
      <w:r w:rsidR="001C10D8" w:rsidRPr="00EF5390">
        <w:rPr>
          <w:rFonts w:eastAsia="Calibri"/>
        </w:rPr>
        <w:t xml:space="preserve">performed </w:t>
      </w:r>
      <w:r w:rsidR="00A85F79" w:rsidRPr="00EF5390">
        <w:rPr>
          <w:rFonts w:eastAsia="Calibri"/>
        </w:rPr>
        <w:t xml:space="preserve">sixteen months after separation </w:t>
      </w:r>
      <w:r w:rsidR="001C10D8" w:rsidRPr="00EF5390">
        <w:rPr>
          <w:rFonts w:eastAsia="Calibri"/>
        </w:rPr>
        <w:t xml:space="preserve">to evaluate muscles </w:t>
      </w:r>
      <w:r w:rsidR="00A85F79" w:rsidRPr="00EF5390">
        <w:rPr>
          <w:rFonts w:eastAsia="Calibri"/>
        </w:rPr>
        <w:t xml:space="preserve">documented </w:t>
      </w:r>
      <w:r w:rsidR="001C10D8" w:rsidRPr="00EF5390">
        <w:rPr>
          <w:rFonts w:eastAsia="Calibri"/>
        </w:rPr>
        <w:t xml:space="preserve">constant </w:t>
      </w:r>
      <w:r w:rsidR="009A3B5E" w:rsidRPr="00EF5390">
        <w:rPr>
          <w:rFonts w:eastAsia="Calibri"/>
        </w:rPr>
        <w:t xml:space="preserve">chronic aching, </w:t>
      </w:r>
      <w:r w:rsidR="004D529E" w:rsidRPr="00EF5390">
        <w:rPr>
          <w:rFonts w:eastAsia="Calibri"/>
        </w:rPr>
        <w:t>stabbing</w:t>
      </w:r>
      <w:r w:rsidR="009A3B5E" w:rsidRPr="00EF5390">
        <w:rPr>
          <w:rFonts w:eastAsia="Calibri"/>
        </w:rPr>
        <w:t xml:space="preserve"> pain </w:t>
      </w:r>
      <w:r w:rsidR="001C10D8" w:rsidRPr="00EF5390">
        <w:rPr>
          <w:rFonts w:eastAsia="Calibri"/>
        </w:rPr>
        <w:t xml:space="preserve">rated 6/10 </w:t>
      </w:r>
      <w:r w:rsidR="009A3B5E" w:rsidRPr="00EF5390">
        <w:rPr>
          <w:rFonts w:eastAsia="Calibri"/>
        </w:rPr>
        <w:t xml:space="preserve">in both legs </w:t>
      </w:r>
      <w:r w:rsidR="004D529E" w:rsidRPr="00EF5390">
        <w:rPr>
          <w:rFonts w:eastAsia="Calibri"/>
        </w:rPr>
        <w:t>causing</w:t>
      </w:r>
      <w:r w:rsidR="009A3B5E" w:rsidRPr="00EF5390">
        <w:rPr>
          <w:rFonts w:eastAsia="Calibri"/>
        </w:rPr>
        <w:t xml:space="preserve"> difficulty standing for extended periods of time and affecting the muscles of the leg, both ant</w:t>
      </w:r>
      <w:r w:rsidR="00C96D1A">
        <w:rPr>
          <w:rFonts w:eastAsia="Calibri"/>
        </w:rPr>
        <w:t xml:space="preserve">erior and lateral. </w:t>
      </w:r>
      <w:r w:rsidR="009A3B5E" w:rsidRPr="00EF5390">
        <w:rPr>
          <w:rFonts w:eastAsia="Calibri"/>
        </w:rPr>
        <w:t xml:space="preserve">The CI had </w:t>
      </w:r>
      <w:r w:rsidR="001C10D8" w:rsidRPr="00EF5390">
        <w:rPr>
          <w:rFonts w:eastAsia="Calibri"/>
        </w:rPr>
        <w:t xml:space="preserve">marked </w:t>
      </w:r>
      <w:r w:rsidR="009A3B5E" w:rsidRPr="00EF5390">
        <w:rPr>
          <w:rFonts w:eastAsia="Calibri"/>
        </w:rPr>
        <w:t xml:space="preserve">functional limitations </w:t>
      </w:r>
      <w:r w:rsidR="001C10D8" w:rsidRPr="00EF5390">
        <w:rPr>
          <w:rFonts w:eastAsia="Calibri"/>
        </w:rPr>
        <w:t xml:space="preserve">with </w:t>
      </w:r>
      <w:r w:rsidR="009A3B5E" w:rsidRPr="00EF5390">
        <w:rPr>
          <w:rFonts w:eastAsia="Calibri"/>
        </w:rPr>
        <w:t xml:space="preserve">both occupational and daily </w:t>
      </w:r>
      <w:r w:rsidR="004D529E" w:rsidRPr="00EF5390">
        <w:rPr>
          <w:rFonts w:eastAsia="Calibri"/>
        </w:rPr>
        <w:t>activities</w:t>
      </w:r>
      <w:r w:rsidR="009A3B5E" w:rsidRPr="00EF5390">
        <w:rPr>
          <w:rFonts w:eastAsia="Calibri"/>
        </w:rPr>
        <w:t xml:space="preserve"> that required standing of</w:t>
      </w:r>
      <w:r w:rsidRPr="00EF5390">
        <w:rPr>
          <w:rFonts w:eastAsia="Calibri"/>
        </w:rPr>
        <w:t xml:space="preserve"> </w:t>
      </w:r>
      <w:r w:rsidR="009A3B5E" w:rsidRPr="00EF5390">
        <w:rPr>
          <w:rFonts w:eastAsia="Calibri"/>
        </w:rPr>
        <w:t>more than 10 to 15 minutes.</w:t>
      </w:r>
      <w:r w:rsidR="00C96D1A">
        <w:rPr>
          <w:rFonts w:eastAsia="Calibri"/>
        </w:rPr>
        <w:t xml:space="preserve"> </w:t>
      </w:r>
      <w:r w:rsidR="001C10D8" w:rsidRPr="00EF5390">
        <w:rPr>
          <w:rFonts w:eastAsia="Calibri"/>
        </w:rPr>
        <w:t>The examination noted the surgical scar on the right anterior leg w</w:t>
      </w:r>
      <w:r w:rsidR="00D97AA8" w:rsidRPr="00EF5390">
        <w:rPr>
          <w:rFonts w:eastAsia="Calibri"/>
        </w:rPr>
        <w:t>a</w:t>
      </w:r>
      <w:r w:rsidR="001C10D8" w:rsidRPr="00EF5390">
        <w:rPr>
          <w:rFonts w:eastAsia="Calibri"/>
        </w:rPr>
        <w:t xml:space="preserve">s tender to palpation. However, there were no loss or atrophy of muscle, no </w:t>
      </w:r>
      <w:r w:rsidR="00EF5390" w:rsidRPr="00EF5390">
        <w:rPr>
          <w:rFonts w:eastAsia="Calibri"/>
        </w:rPr>
        <w:t>adhesions</w:t>
      </w:r>
      <w:r w:rsidR="001C10D8" w:rsidRPr="00EF5390">
        <w:rPr>
          <w:rFonts w:eastAsia="Calibri"/>
        </w:rPr>
        <w:t>, no tendon damage, no bone, joint or nerve damage, no muscle herniation, and no loss of muscle function.</w:t>
      </w:r>
      <w:r w:rsidR="00BE1834">
        <w:rPr>
          <w:rFonts w:eastAsia="Calibri"/>
        </w:rPr>
        <w:t xml:space="preserve"> </w:t>
      </w:r>
      <w:r w:rsidR="001C10D8" w:rsidRPr="00EF5390">
        <w:rPr>
          <w:rFonts w:eastAsia="Calibri"/>
        </w:rPr>
        <w:t xml:space="preserve"> A normal motor examination was noted. The left leg examination was normal and without pain.</w:t>
      </w:r>
      <w:r w:rsidR="00D97AA8" w:rsidRPr="00EF5390">
        <w:rPr>
          <w:rFonts w:eastAsia="Calibri"/>
        </w:rPr>
        <w:t xml:space="preserve"> </w:t>
      </w:r>
      <w:r w:rsidR="00CD4BA8">
        <w:rPr>
          <w:rFonts w:eastAsia="Calibri"/>
        </w:rPr>
        <w:t xml:space="preserve"> </w:t>
      </w:r>
      <w:r w:rsidR="00D97AA8" w:rsidRPr="00EF5390">
        <w:rPr>
          <w:rFonts w:eastAsia="Calibri"/>
        </w:rPr>
        <w:t>Service and VA examinations note similar symptoms and objective findings.</w:t>
      </w:r>
    </w:p>
    <w:p w:rsidR="001C10D8" w:rsidRPr="00EF5390" w:rsidRDefault="001C10D8" w:rsidP="00A17170">
      <w:pPr>
        <w:rPr>
          <w:rFonts w:eastAsia="Calibri"/>
        </w:rPr>
      </w:pPr>
    </w:p>
    <w:p w:rsidR="000B5DF6" w:rsidRPr="00EF5390" w:rsidRDefault="001C10D8" w:rsidP="00A17170">
      <w:r w:rsidRPr="00EF5390">
        <w:rPr>
          <w:rFonts w:eastAsia="Calibri"/>
        </w:rPr>
        <w:t xml:space="preserve">While the </w:t>
      </w:r>
      <w:r w:rsidR="00CA31F5">
        <w:rPr>
          <w:rFonts w:eastAsia="Calibri"/>
        </w:rPr>
        <w:t>PEBs</w:t>
      </w:r>
      <w:r w:rsidRPr="00EF5390">
        <w:rPr>
          <w:rFonts w:eastAsia="Calibri"/>
        </w:rPr>
        <w:t xml:space="preserve"> and </w:t>
      </w:r>
      <w:r w:rsidR="0096181D">
        <w:rPr>
          <w:rFonts w:eastAsia="Calibri"/>
        </w:rPr>
        <w:t>S</w:t>
      </w:r>
      <w:r w:rsidRPr="00EF5390">
        <w:rPr>
          <w:rFonts w:eastAsia="Calibri"/>
        </w:rPr>
        <w:t xml:space="preserve">AFPC applied different rating configurations all determined a combined disability rating of 20% related to the CI’s bilateral lower extremity pain and inability to perform any sustained weight-bearing activity. </w:t>
      </w:r>
      <w:r w:rsidR="00BE1834">
        <w:rPr>
          <w:rFonts w:eastAsia="Calibri"/>
        </w:rPr>
        <w:t xml:space="preserve"> </w:t>
      </w:r>
      <w:r w:rsidR="00CA31F5">
        <w:rPr>
          <w:rFonts w:eastAsia="Calibri"/>
        </w:rPr>
        <w:t>T</w:t>
      </w:r>
      <w:r w:rsidRPr="00EF5390">
        <w:rPr>
          <w:rFonts w:eastAsia="Calibri"/>
        </w:rPr>
        <w:t xml:space="preserve">he </w:t>
      </w:r>
      <w:r w:rsidR="00EF5390">
        <w:rPr>
          <w:rFonts w:eastAsia="Calibri"/>
        </w:rPr>
        <w:t>CI</w:t>
      </w:r>
      <w:r w:rsidR="00EF5390" w:rsidRPr="00EF5390">
        <w:rPr>
          <w:rFonts w:eastAsia="Calibri"/>
        </w:rPr>
        <w:t>’s</w:t>
      </w:r>
      <w:r w:rsidRPr="00EF5390">
        <w:rPr>
          <w:rFonts w:eastAsia="Calibri"/>
        </w:rPr>
        <w:t xml:space="preserve"> subjective complaints and objective physical findings do not </w:t>
      </w:r>
      <w:r w:rsidR="00083A7C" w:rsidRPr="00EF5390">
        <w:rPr>
          <w:rFonts w:eastAsia="Calibri"/>
        </w:rPr>
        <w:t>fit completely into one specific diagnosis. However, her inability to perform the</w:t>
      </w:r>
      <w:r w:rsidR="0096181D">
        <w:rPr>
          <w:rFonts w:eastAsia="Calibri"/>
        </w:rPr>
        <w:t xml:space="preserve"> required activities of her AFS</w:t>
      </w:r>
      <w:r w:rsidR="00083A7C" w:rsidRPr="00EF5390">
        <w:rPr>
          <w:rFonts w:eastAsia="Calibri"/>
        </w:rPr>
        <w:t xml:space="preserve"> is clear. When </w:t>
      </w:r>
      <w:r w:rsidR="00EF5390" w:rsidRPr="00EF5390">
        <w:rPr>
          <w:rFonts w:eastAsia="Calibri"/>
        </w:rPr>
        <w:t>considering</w:t>
      </w:r>
      <w:r w:rsidR="00083A7C" w:rsidRPr="00EF5390">
        <w:rPr>
          <w:rFonts w:eastAsia="Calibri"/>
        </w:rPr>
        <w:t xml:space="preserve"> all </w:t>
      </w:r>
      <w:r w:rsidR="000F1026">
        <w:rPr>
          <w:rFonts w:eastAsia="Calibri"/>
        </w:rPr>
        <w:t>s</w:t>
      </w:r>
      <w:r w:rsidR="00083A7C" w:rsidRPr="00EF5390">
        <w:rPr>
          <w:rFonts w:eastAsia="Calibri"/>
        </w:rPr>
        <w:t xml:space="preserve">ervice and </w:t>
      </w:r>
      <w:r w:rsidR="00EF5390">
        <w:rPr>
          <w:rFonts w:eastAsia="Calibri"/>
        </w:rPr>
        <w:t>VA</w:t>
      </w:r>
      <w:r w:rsidR="00083A7C" w:rsidRPr="00EF5390">
        <w:rPr>
          <w:rFonts w:eastAsia="Calibri"/>
        </w:rPr>
        <w:t xml:space="preserve"> conditions rated as part of this lower extremity condition, the Board notes the service and the VA both applied a total rating of 20%. </w:t>
      </w:r>
      <w:r w:rsidR="00A41855">
        <w:rPr>
          <w:rFonts w:eastAsia="Calibri"/>
        </w:rPr>
        <w:t xml:space="preserve"> </w:t>
      </w:r>
      <w:r w:rsidR="00083A7C" w:rsidRPr="00EF5390">
        <w:rPr>
          <w:rFonts w:eastAsia="Calibri"/>
        </w:rPr>
        <w:t>The service rated each lower extremity at 10% each for plantar fasciitis using VASRD code 5310 (</w:t>
      </w:r>
      <w:r w:rsidR="0096181D">
        <w:rPr>
          <w:rFonts w:eastAsia="Calibri"/>
        </w:rPr>
        <w:t>g</w:t>
      </w:r>
      <w:r w:rsidR="00083A7C" w:rsidRPr="00EF5390">
        <w:rPr>
          <w:rFonts w:eastAsia="Calibri"/>
        </w:rPr>
        <w:t xml:space="preserve">roup </w:t>
      </w:r>
      <w:r w:rsidR="0096181D">
        <w:rPr>
          <w:rFonts w:eastAsia="Calibri"/>
        </w:rPr>
        <w:t>x</w:t>
      </w:r>
      <w:r w:rsidR="00083A7C" w:rsidRPr="00EF5390">
        <w:rPr>
          <w:rFonts w:eastAsia="Calibri"/>
        </w:rPr>
        <w:t xml:space="preserve"> muscles of the foot and leg) analogously. The VA rated bilateral plantar fasciitis at 10% analogous to 5279 (</w:t>
      </w:r>
      <w:proofErr w:type="spellStart"/>
      <w:r w:rsidR="0096181D">
        <w:rPr>
          <w:rFonts w:eastAsia="Calibri"/>
        </w:rPr>
        <w:t>m</w:t>
      </w:r>
      <w:r w:rsidR="00083A7C" w:rsidRPr="00EF5390">
        <w:rPr>
          <w:rFonts w:eastAsia="Calibri"/>
        </w:rPr>
        <w:t>etatarsalgia</w:t>
      </w:r>
      <w:proofErr w:type="spellEnd"/>
      <w:r w:rsidR="00D97AA8" w:rsidRPr="00EF5390">
        <w:rPr>
          <w:rFonts w:eastAsia="Calibri"/>
        </w:rPr>
        <w:t>, unilateral or bilateral</w:t>
      </w:r>
      <w:r w:rsidR="00083A7C" w:rsidRPr="00EF5390">
        <w:rPr>
          <w:rFonts w:eastAsia="Calibri"/>
        </w:rPr>
        <w:t>) and right leg compartment syndrome at 10% analogous to 5251</w:t>
      </w:r>
      <w:r w:rsidR="00D97AA8" w:rsidRPr="00EF5390">
        <w:rPr>
          <w:rFonts w:eastAsia="Calibri"/>
        </w:rPr>
        <w:t xml:space="preserve"> (</w:t>
      </w:r>
      <w:r w:rsidR="0096181D">
        <w:rPr>
          <w:rFonts w:eastAsia="Calibri"/>
        </w:rPr>
        <w:t>t</w:t>
      </w:r>
      <w:r w:rsidR="00D97AA8" w:rsidRPr="00EF5390">
        <w:rPr>
          <w:rFonts w:eastAsia="Calibri"/>
        </w:rPr>
        <w:t xml:space="preserve">high, limitation of extension of). Both of these rata </w:t>
      </w:r>
      <w:r w:rsidR="00EF5390" w:rsidRPr="00EF5390">
        <w:rPr>
          <w:rFonts w:eastAsia="Calibri"/>
        </w:rPr>
        <w:t>schemas</w:t>
      </w:r>
      <w:r w:rsidR="00D97AA8" w:rsidRPr="00EF5390">
        <w:rPr>
          <w:rFonts w:eastAsia="Calibri"/>
        </w:rPr>
        <w:t xml:space="preserve"> cover the same symptoms and functional limitations and result in the same combined disability r</w:t>
      </w:r>
      <w:r w:rsidR="00C96D1A">
        <w:rPr>
          <w:rFonts w:eastAsia="Calibri"/>
        </w:rPr>
        <w:t xml:space="preserve">ating. </w:t>
      </w:r>
      <w:r w:rsidR="00D97AA8" w:rsidRPr="00EF5390">
        <w:rPr>
          <w:rFonts w:eastAsia="Calibri"/>
        </w:rPr>
        <w:t xml:space="preserve">After due deliberation, considering all of the evidence and mindful of VASRD §4.3 (reasonable doubt), the Board concluded that there was insufficient cause to recommend a change in the PEB adjudication for </w:t>
      </w:r>
      <w:r w:rsidR="00EF5390" w:rsidRPr="00EF5390">
        <w:rPr>
          <w:rFonts w:eastAsia="Calibri"/>
        </w:rPr>
        <w:t>the</w:t>
      </w:r>
      <w:r w:rsidR="00D97AA8" w:rsidRPr="00EF5390">
        <w:rPr>
          <w:rFonts w:eastAsia="Calibri"/>
        </w:rPr>
        <w:t xml:space="preserve"> condition.</w:t>
      </w:r>
    </w:p>
    <w:p w:rsidR="000B5DF6" w:rsidRPr="00EF5390" w:rsidRDefault="000B5DF6" w:rsidP="00A17170"/>
    <w:p w:rsidR="00FB2A8B" w:rsidRPr="00EF5390" w:rsidRDefault="00BE5354" w:rsidP="00A17170">
      <w:r w:rsidRPr="00EF5390">
        <w:rPr>
          <w:u w:val="single"/>
        </w:rPr>
        <w:t>O</w:t>
      </w:r>
      <w:r w:rsidR="00FB2A8B" w:rsidRPr="00EF5390">
        <w:rPr>
          <w:u w:val="single"/>
        </w:rPr>
        <w:t xml:space="preserve">bstructive </w:t>
      </w:r>
      <w:r w:rsidRPr="00EF5390">
        <w:rPr>
          <w:u w:val="single"/>
        </w:rPr>
        <w:t>S</w:t>
      </w:r>
      <w:r w:rsidR="00FB2A8B" w:rsidRPr="00EF5390">
        <w:rPr>
          <w:u w:val="single"/>
        </w:rPr>
        <w:t xml:space="preserve">leep </w:t>
      </w:r>
      <w:r w:rsidRPr="00EF5390">
        <w:rPr>
          <w:u w:val="single"/>
        </w:rPr>
        <w:t>A</w:t>
      </w:r>
      <w:r w:rsidR="00FB2A8B" w:rsidRPr="00EF5390">
        <w:rPr>
          <w:u w:val="single"/>
        </w:rPr>
        <w:t>pnea</w:t>
      </w:r>
      <w:r w:rsidR="000B5DF6" w:rsidRPr="00EF5390">
        <w:t>:</w:t>
      </w:r>
      <w:r w:rsidRPr="00EF5390">
        <w:t xml:space="preserve">  </w:t>
      </w:r>
    </w:p>
    <w:p w:rsidR="00A17170" w:rsidRPr="00EF5390" w:rsidRDefault="00311637" w:rsidP="00A17170">
      <w:r w:rsidRPr="00EF5390">
        <w:t xml:space="preserve">Both PEBs and </w:t>
      </w:r>
      <w:r w:rsidR="0096181D">
        <w:t>S</w:t>
      </w:r>
      <w:r w:rsidRPr="00EF5390">
        <w:t xml:space="preserve">AFPC </w:t>
      </w:r>
      <w:r w:rsidR="00EF5390" w:rsidRPr="00EF5390">
        <w:t>adjudicated the</w:t>
      </w:r>
      <w:r w:rsidR="00270726" w:rsidRPr="00EF5390">
        <w:t xml:space="preserve"> OSA condition </w:t>
      </w:r>
      <w:r w:rsidR="00EF5390" w:rsidRPr="00EF5390">
        <w:t xml:space="preserve">as </w:t>
      </w:r>
      <w:r w:rsidR="0096181D">
        <w:t>c</w:t>
      </w:r>
      <w:r w:rsidR="00EF5390" w:rsidRPr="00EF5390">
        <w:t>ategory</w:t>
      </w:r>
      <w:r w:rsidR="00270726" w:rsidRPr="00EF5390">
        <w:t xml:space="preserve"> II</w:t>
      </w:r>
      <w:r w:rsidRPr="00EF5390">
        <w:t>, not currently unfitting</w:t>
      </w:r>
      <w:r w:rsidR="00270726" w:rsidRPr="00EF5390">
        <w:t xml:space="preserve">. </w:t>
      </w:r>
      <w:r w:rsidR="00C8458D" w:rsidRPr="00EF5390">
        <w:t xml:space="preserve">In August 2007 the CI underwent a diagnostic </w:t>
      </w:r>
      <w:r w:rsidR="004D529E" w:rsidRPr="00EF5390">
        <w:t>polysomnography</w:t>
      </w:r>
      <w:r w:rsidR="00C8458D" w:rsidRPr="00EF5390">
        <w:t xml:space="preserve"> to evaluate symptoms of excessive daytime somnolence</w:t>
      </w:r>
      <w:r w:rsidR="00D43A09" w:rsidRPr="00EF5390">
        <w:t>,</w:t>
      </w:r>
      <w:r w:rsidR="00C8458D" w:rsidRPr="00EF5390">
        <w:t xml:space="preserve"> sleep apnea</w:t>
      </w:r>
      <w:r w:rsidR="00D43A09" w:rsidRPr="00EF5390">
        <w:t>,</w:t>
      </w:r>
      <w:r w:rsidR="00C8458D" w:rsidRPr="00EF5390">
        <w:t xml:space="preserve"> and sno</w:t>
      </w:r>
      <w:r w:rsidR="00C96D1A">
        <w:t xml:space="preserve">ring. </w:t>
      </w:r>
      <w:r w:rsidR="00270726" w:rsidRPr="00EF5390">
        <w:t xml:space="preserve">The CI </w:t>
      </w:r>
      <w:r w:rsidR="00887BB8">
        <w:t xml:space="preserve">also </w:t>
      </w:r>
      <w:r w:rsidR="00C8458D" w:rsidRPr="00EF5390">
        <w:t>underwent a</w:t>
      </w:r>
      <w:r w:rsidR="00887BB8">
        <w:t>n</w:t>
      </w:r>
      <w:r w:rsidR="00C8458D" w:rsidRPr="00EF5390">
        <w:t xml:space="preserve"> evaluation in October 2007 </w:t>
      </w:r>
      <w:r w:rsidR="00887BB8">
        <w:t xml:space="preserve">for </w:t>
      </w:r>
      <w:r w:rsidR="00CD4BA8">
        <w:t>CPAP</w:t>
      </w:r>
      <w:r w:rsidR="00887BB8">
        <w:t xml:space="preserve"> machine titration </w:t>
      </w:r>
      <w:r w:rsidR="00C8458D" w:rsidRPr="00EF5390">
        <w:t xml:space="preserve">which </w:t>
      </w:r>
      <w:r w:rsidR="00887BB8">
        <w:t>documented</w:t>
      </w:r>
      <w:r w:rsidR="00C8458D" w:rsidRPr="00EF5390">
        <w:t xml:space="preserve"> mild OSA w</w:t>
      </w:r>
      <w:r w:rsidR="00C96D1A">
        <w:t xml:space="preserve">ith successful CPAP titration. </w:t>
      </w:r>
      <w:r w:rsidR="00887BB8">
        <w:t xml:space="preserve">The CI was not on any profile and had no duty restrictions related to this condition. </w:t>
      </w:r>
      <w:r w:rsidR="00C8458D" w:rsidRPr="00EF5390">
        <w:t xml:space="preserve">The </w:t>
      </w:r>
      <w:r w:rsidR="0096181D">
        <w:t>c</w:t>
      </w:r>
      <w:r w:rsidR="00C8458D" w:rsidRPr="00EF5390">
        <w:t xml:space="preserve">ommander’s statement </w:t>
      </w:r>
      <w:r w:rsidR="00D43A09" w:rsidRPr="00EF5390">
        <w:t xml:space="preserve">written in December 2007 </w:t>
      </w:r>
      <w:r w:rsidR="00C8458D" w:rsidRPr="00EF5390">
        <w:t xml:space="preserve">briefly noted </w:t>
      </w:r>
      <w:r w:rsidR="006A7E26" w:rsidRPr="00EF5390">
        <w:t>“</w:t>
      </w:r>
      <w:r w:rsidR="00C8458D" w:rsidRPr="00EF5390">
        <w:t xml:space="preserve">the </w:t>
      </w:r>
      <w:r w:rsidR="006A7E26" w:rsidRPr="00EF5390">
        <w:t xml:space="preserve">sleep apnea issue is still </w:t>
      </w:r>
      <w:r w:rsidR="004D529E" w:rsidRPr="00EF5390">
        <w:t>problematic</w:t>
      </w:r>
      <w:r w:rsidR="0096181D">
        <w:t>”</w:t>
      </w:r>
      <w:r w:rsidR="004D529E" w:rsidRPr="00EF5390">
        <w:t xml:space="preserve"> and</w:t>
      </w:r>
      <w:r w:rsidR="006A7E26" w:rsidRPr="00EF5390">
        <w:t xml:space="preserve"> he also documented that for the </w:t>
      </w:r>
      <w:r w:rsidR="004D529E" w:rsidRPr="00EF5390">
        <w:t>year</w:t>
      </w:r>
      <w:r w:rsidR="006A7E26" w:rsidRPr="00EF5390">
        <w:t xml:space="preserve"> 2007, the CI </w:t>
      </w:r>
      <w:r w:rsidR="004D529E" w:rsidRPr="00EF5390">
        <w:t>had</w:t>
      </w:r>
      <w:r w:rsidR="006A7E26" w:rsidRPr="00EF5390">
        <w:t xml:space="preserve"> </w:t>
      </w:r>
      <w:r w:rsidR="00C96D1A">
        <w:t xml:space="preserve">nine appointments for the OSA. </w:t>
      </w:r>
      <w:r w:rsidR="006A7E26" w:rsidRPr="00EF5390">
        <w:t xml:space="preserve">The CI was seen </w:t>
      </w:r>
      <w:r w:rsidR="00372396" w:rsidRPr="00EF5390">
        <w:t xml:space="preserve">by </w:t>
      </w:r>
      <w:r w:rsidR="0096181D">
        <w:t>p</w:t>
      </w:r>
      <w:r w:rsidR="00372396" w:rsidRPr="00EF5390">
        <w:t xml:space="preserve">ulmonary in </w:t>
      </w:r>
      <w:r w:rsidR="00D43A09" w:rsidRPr="00EF5390">
        <w:t>December 2007</w:t>
      </w:r>
      <w:r w:rsidR="00372396" w:rsidRPr="00EF5390">
        <w:t xml:space="preserve"> for OSA </w:t>
      </w:r>
      <w:r w:rsidR="004D529E" w:rsidRPr="00EF5390">
        <w:t>follow-up</w:t>
      </w:r>
      <w:r w:rsidR="006A7E26" w:rsidRPr="00EF5390">
        <w:t xml:space="preserve"> </w:t>
      </w:r>
      <w:r w:rsidR="00372396" w:rsidRPr="00EF5390">
        <w:t xml:space="preserve">and it was </w:t>
      </w:r>
      <w:r w:rsidR="00372396" w:rsidRPr="00EF5390">
        <w:lastRenderedPageBreak/>
        <w:t xml:space="preserve">noted that </w:t>
      </w:r>
      <w:r w:rsidR="00D43A09" w:rsidRPr="00EF5390">
        <w:t xml:space="preserve">her excessive daytime somnolence was much </w:t>
      </w:r>
      <w:r w:rsidR="00EF5390" w:rsidRPr="00EF5390">
        <w:t>improved with</w:t>
      </w:r>
      <w:r w:rsidR="00372396" w:rsidRPr="00EF5390">
        <w:t xml:space="preserve"> the CPAP machine</w:t>
      </w:r>
      <w:r w:rsidR="00D43A09" w:rsidRPr="00EF5390">
        <w:t xml:space="preserve"> at that ti</w:t>
      </w:r>
      <w:r w:rsidR="00C96D1A">
        <w:t>me.</w:t>
      </w:r>
      <w:r w:rsidR="00A41855">
        <w:t xml:space="preserve"> </w:t>
      </w:r>
      <w:r w:rsidR="00D43A09" w:rsidRPr="00EF5390">
        <w:t>However, she was having some trouble with condensation in the machine</w:t>
      </w:r>
      <w:r w:rsidR="00372396" w:rsidRPr="00EF5390">
        <w:t>.</w:t>
      </w:r>
      <w:r w:rsidR="00C96D1A">
        <w:t xml:space="preserve"> </w:t>
      </w:r>
      <w:r w:rsidR="00D43A09" w:rsidRPr="00EF5390">
        <w:t xml:space="preserve">No further follow-up visits with service </w:t>
      </w:r>
      <w:r w:rsidR="00EF5390" w:rsidRPr="00EF5390">
        <w:t>pulmonologist</w:t>
      </w:r>
      <w:r w:rsidR="00D43A09" w:rsidRPr="00EF5390">
        <w:t xml:space="preserve"> are available in the record for review.</w:t>
      </w:r>
      <w:r w:rsidR="00A41855">
        <w:t xml:space="preserve"> </w:t>
      </w:r>
      <w:r w:rsidR="004D529E" w:rsidRPr="00EF5390">
        <w:t xml:space="preserve">The VA C&amp;P examination </w:t>
      </w:r>
      <w:r w:rsidR="00CF4940" w:rsidRPr="00EF5390">
        <w:t xml:space="preserve">approximately two </w:t>
      </w:r>
      <w:r w:rsidR="004D529E" w:rsidRPr="00EF5390">
        <w:t xml:space="preserve">months after separation indicated </w:t>
      </w:r>
      <w:r w:rsidR="009E045F" w:rsidRPr="00EF5390">
        <w:t xml:space="preserve">that the CI </w:t>
      </w:r>
      <w:r w:rsidR="00D43A09" w:rsidRPr="00EF5390">
        <w:t xml:space="preserve">reported daytime </w:t>
      </w:r>
      <w:r w:rsidR="00EF5390" w:rsidRPr="00EF5390">
        <w:t>hyper somnolence</w:t>
      </w:r>
      <w:r w:rsidR="00D43A09" w:rsidRPr="00EF5390">
        <w:t xml:space="preserve"> and was using her CPAP at 7cm of water. The examiner ordered repeat sleep studies.</w:t>
      </w:r>
      <w:r w:rsidR="00A41855">
        <w:t xml:space="preserve"> </w:t>
      </w:r>
      <w:r w:rsidR="009E045F" w:rsidRPr="00EF5390">
        <w:t xml:space="preserve"> </w:t>
      </w:r>
      <w:r w:rsidR="00D43A09" w:rsidRPr="00EF5390">
        <w:t xml:space="preserve">A VA treatment </w:t>
      </w:r>
      <w:r w:rsidR="00A17170" w:rsidRPr="00EF5390">
        <w:t>note fro</w:t>
      </w:r>
      <w:r w:rsidR="00D43A09" w:rsidRPr="00EF5390">
        <w:t xml:space="preserve">m September 2008 noted the results of a sleep study and the plan for another study to determine optimal CPAP pressure. This note does </w:t>
      </w:r>
      <w:r w:rsidR="00887BB8">
        <w:t xml:space="preserve">not </w:t>
      </w:r>
      <w:r w:rsidR="00D43A09" w:rsidRPr="00EF5390">
        <w:t xml:space="preserve">document </w:t>
      </w:r>
      <w:r w:rsidR="00887BB8">
        <w:t xml:space="preserve">the </w:t>
      </w:r>
      <w:r w:rsidR="00D43A09" w:rsidRPr="00EF5390">
        <w:t>presence or absence of current symptoms</w:t>
      </w:r>
      <w:r w:rsidR="00A17170" w:rsidRPr="00EF5390">
        <w:t xml:space="preserve">. The VA rated this condition at 50% as the </w:t>
      </w:r>
      <w:r w:rsidR="00EF5390">
        <w:t>CI</w:t>
      </w:r>
      <w:r w:rsidR="00A17170" w:rsidRPr="00EF5390">
        <w:t xml:space="preserve"> required a CPAP machine. </w:t>
      </w:r>
    </w:p>
    <w:p w:rsidR="00BE1834" w:rsidRDefault="00BE1834" w:rsidP="00A17170"/>
    <w:p w:rsidR="00A17170" w:rsidRPr="00EF5390" w:rsidRDefault="00A17170" w:rsidP="00A17170">
      <w:r w:rsidRPr="00EF5390">
        <w:t xml:space="preserve">Both the service treatment note from December 2007 and </w:t>
      </w:r>
      <w:r w:rsidR="0096181D">
        <w:t>S</w:t>
      </w:r>
      <w:r w:rsidRPr="00EF5390">
        <w:t>AFPC rationale from June 2008 document that the CI’s symptoms were controlled with the CPAP.</w:t>
      </w:r>
      <w:r w:rsidR="00A41855">
        <w:t xml:space="preserve"> </w:t>
      </w:r>
      <w:r w:rsidRPr="00EF5390">
        <w:t xml:space="preserve">The VA C&amp;P examination </w:t>
      </w:r>
      <w:r w:rsidR="00CF4940" w:rsidRPr="00EF5390">
        <w:t>approximately two months after separation</w:t>
      </w:r>
      <w:r w:rsidRPr="00EF5390">
        <w:t xml:space="preserve"> do</w:t>
      </w:r>
      <w:r w:rsidR="00CF4940" w:rsidRPr="00EF5390">
        <w:t>cuments return of symptoms while us</w:t>
      </w:r>
      <w:r w:rsidRPr="00EF5390">
        <w:t>ing the CPAP at 7cm of water.</w:t>
      </w:r>
      <w:r w:rsidR="00CF4940" w:rsidRPr="00EF5390">
        <w:t xml:space="preserve"> The</w:t>
      </w:r>
      <w:r w:rsidR="00FB2A8B" w:rsidRPr="00EF5390">
        <w:t xml:space="preserve"> CI had undergone a re</w:t>
      </w:r>
      <w:r w:rsidR="00CF4940" w:rsidRPr="00EF5390">
        <w:t xml:space="preserve">peat sleep study </w:t>
      </w:r>
      <w:r w:rsidR="00FB2A8B" w:rsidRPr="00EF5390">
        <w:t xml:space="preserve">at the VA </w:t>
      </w:r>
      <w:r w:rsidR="00CF4940" w:rsidRPr="00EF5390">
        <w:t>to confirm the diagnosis and was scheduled for a study to titrate her CPAP. However, no further follow-up visit notes are available for the Board to review and it is unknown whether increased CPAP pressure led to resolution of symptoms.</w:t>
      </w:r>
      <w:r w:rsidR="00A41855">
        <w:t xml:space="preserve"> </w:t>
      </w:r>
      <w:r w:rsidR="00CF4940" w:rsidRPr="00EF5390">
        <w:t xml:space="preserve"> It appears that CI’s symptoms required a greater CPAP pressure after separation and this does not seem unreasonable as she was on a relatively low pressure of 7</w:t>
      </w:r>
      <w:r w:rsidR="0045527A" w:rsidRPr="00EF5390">
        <w:t>cm</w:t>
      </w:r>
      <w:r w:rsidR="00CF4940" w:rsidRPr="00EF5390">
        <w:t>. The pressure required by most patients with sleep apnea ranges between 6 and 14 cmH2O.</w:t>
      </w:r>
      <w:r w:rsidR="00A41855">
        <w:t xml:space="preserve"> </w:t>
      </w:r>
      <w:r w:rsidR="00CF4940" w:rsidRPr="00EF5390">
        <w:t xml:space="preserve">A typical CPAP machine can deliver pressures between 4 and 20cm of water. More </w:t>
      </w:r>
      <w:r w:rsidR="00EF5390" w:rsidRPr="00EF5390">
        <w:t>specialized</w:t>
      </w:r>
      <w:r w:rsidR="00CF4940" w:rsidRPr="00EF5390">
        <w:t xml:space="preserve"> units can delive</w:t>
      </w:r>
      <w:r w:rsidR="0045527A" w:rsidRPr="00EF5390">
        <w:t>r pressures up to 25 or 30 cm</w:t>
      </w:r>
      <w:r w:rsidR="00CF4940" w:rsidRPr="00EF5390">
        <w:t>.</w:t>
      </w:r>
      <w:r w:rsidR="00FB2A8B" w:rsidRPr="00EF5390">
        <w:t xml:space="preserve"> After due deliberation in consideration of the totality of the evidence, the Board concluded that there was insufficient cause to recommend a change in the PEB fitness adjudication for the OSA condition.</w:t>
      </w:r>
    </w:p>
    <w:p w:rsidR="00BE5354" w:rsidRPr="00EF5390" w:rsidRDefault="00BE5354" w:rsidP="00A17170"/>
    <w:p w:rsidR="00372396" w:rsidRPr="00EF5390" w:rsidRDefault="009E1294" w:rsidP="00A17170">
      <w:pPr>
        <w:rPr>
          <w:color w:val="000000" w:themeColor="text1"/>
        </w:rPr>
      </w:pPr>
      <w:r w:rsidRPr="00EF5390">
        <w:rPr>
          <w:rFonts w:eastAsia="HiddenHorzOCR"/>
          <w:color w:val="000000" w:themeColor="text1"/>
          <w:u w:val="single"/>
        </w:rPr>
        <w:t>Other PEB Conditions</w:t>
      </w:r>
      <w:r w:rsidRPr="00EF5390">
        <w:rPr>
          <w:rFonts w:eastAsia="HiddenHorzOCR"/>
          <w:color w:val="000000" w:themeColor="text1"/>
        </w:rPr>
        <w:t>:</w:t>
      </w:r>
      <w:r w:rsidRPr="00EF5390">
        <w:rPr>
          <w:color w:val="000000" w:themeColor="text1"/>
        </w:rPr>
        <w:t xml:space="preserve"> </w:t>
      </w:r>
      <w:r w:rsidR="009E045F" w:rsidRPr="00EF5390">
        <w:rPr>
          <w:color w:val="000000" w:themeColor="text1"/>
        </w:rPr>
        <w:t xml:space="preserve"> </w:t>
      </w:r>
      <w:r w:rsidR="00FD6906" w:rsidRPr="00EF5390">
        <w:rPr>
          <w:color w:val="000000" w:themeColor="text1"/>
        </w:rPr>
        <w:t>O</w:t>
      </w:r>
      <w:r w:rsidR="00372396" w:rsidRPr="00EF5390">
        <w:rPr>
          <w:color w:val="000000" w:themeColor="text1"/>
        </w:rPr>
        <w:t xml:space="preserve">ther conditions forwarded by the MEB and adjudicated as </w:t>
      </w:r>
      <w:r w:rsidR="0096181D">
        <w:rPr>
          <w:color w:val="000000" w:themeColor="text1"/>
        </w:rPr>
        <w:t>c</w:t>
      </w:r>
      <w:r w:rsidR="00372396" w:rsidRPr="00EF5390">
        <w:rPr>
          <w:color w:val="000000" w:themeColor="text1"/>
        </w:rPr>
        <w:t xml:space="preserve">ategory </w:t>
      </w:r>
      <w:proofErr w:type="gramStart"/>
      <w:r w:rsidR="00372396" w:rsidRPr="00EF5390">
        <w:rPr>
          <w:color w:val="000000" w:themeColor="text1"/>
        </w:rPr>
        <w:t>II  were</w:t>
      </w:r>
      <w:proofErr w:type="gramEnd"/>
      <w:r w:rsidR="00372396" w:rsidRPr="00EF5390">
        <w:rPr>
          <w:color w:val="000000" w:themeColor="text1"/>
        </w:rPr>
        <w:t xml:space="preserve"> </w:t>
      </w:r>
      <w:r w:rsidR="0096181D">
        <w:rPr>
          <w:rFonts w:eastAsia="Calibri"/>
        </w:rPr>
        <w:t>b</w:t>
      </w:r>
      <w:r w:rsidR="00D97AA8" w:rsidRPr="00EF5390">
        <w:rPr>
          <w:rFonts w:eastAsia="Calibri"/>
        </w:rPr>
        <w:t xml:space="preserve">ilateral </w:t>
      </w:r>
      <w:r w:rsidR="0096181D">
        <w:rPr>
          <w:rFonts w:eastAsia="Calibri"/>
        </w:rPr>
        <w:t>l</w:t>
      </w:r>
      <w:r w:rsidR="00D97AA8" w:rsidRPr="00EF5390">
        <w:rPr>
          <w:rFonts w:eastAsia="Calibri"/>
        </w:rPr>
        <w:t xml:space="preserve">eg </w:t>
      </w:r>
      <w:r w:rsidR="0096181D">
        <w:rPr>
          <w:rFonts w:eastAsia="Calibri"/>
        </w:rPr>
        <w:t>p</w:t>
      </w:r>
      <w:r w:rsidR="00D97AA8" w:rsidRPr="00EF5390">
        <w:rPr>
          <w:rFonts w:eastAsia="Calibri"/>
        </w:rPr>
        <w:t xml:space="preserve">ain and </w:t>
      </w:r>
      <w:r w:rsidR="0096181D">
        <w:rPr>
          <w:rFonts w:eastAsia="Calibri"/>
        </w:rPr>
        <w:t>n</w:t>
      </w:r>
      <w:r w:rsidR="00D97AA8" w:rsidRPr="00EF5390">
        <w:rPr>
          <w:rFonts w:eastAsia="Calibri"/>
        </w:rPr>
        <w:t xml:space="preserve">umbness of </w:t>
      </w:r>
      <w:r w:rsidR="0096181D">
        <w:rPr>
          <w:rFonts w:eastAsia="Calibri"/>
        </w:rPr>
        <w:t>u</w:t>
      </w:r>
      <w:r w:rsidR="00D97AA8" w:rsidRPr="00EF5390">
        <w:rPr>
          <w:rFonts w:eastAsia="Calibri"/>
        </w:rPr>
        <w:t xml:space="preserve">ndetermined </w:t>
      </w:r>
      <w:r w:rsidR="0096181D">
        <w:rPr>
          <w:rFonts w:eastAsia="Calibri"/>
        </w:rPr>
        <w:t>e</w:t>
      </w:r>
      <w:r w:rsidR="00D97AA8" w:rsidRPr="00EF5390">
        <w:rPr>
          <w:rFonts w:eastAsia="Calibri"/>
        </w:rPr>
        <w:t xml:space="preserve">tiology without </w:t>
      </w:r>
      <w:r w:rsidR="0096181D">
        <w:rPr>
          <w:rFonts w:eastAsia="Calibri"/>
        </w:rPr>
        <w:t>o</w:t>
      </w:r>
      <w:r w:rsidR="00D97AA8" w:rsidRPr="00EF5390">
        <w:rPr>
          <w:rFonts w:eastAsia="Calibri"/>
        </w:rPr>
        <w:t xml:space="preserve">bjective </w:t>
      </w:r>
      <w:r w:rsidR="0096181D">
        <w:rPr>
          <w:rFonts w:eastAsia="Calibri"/>
        </w:rPr>
        <w:t>findings or e</w:t>
      </w:r>
      <w:r w:rsidR="00D97AA8" w:rsidRPr="00EF5390">
        <w:rPr>
          <w:rFonts w:eastAsia="Calibri"/>
        </w:rPr>
        <w:t xml:space="preserve">vidence of </w:t>
      </w:r>
      <w:r w:rsidR="0096181D">
        <w:rPr>
          <w:rFonts w:eastAsia="Calibri"/>
        </w:rPr>
        <w:t>i</w:t>
      </w:r>
      <w:r w:rsidR="00D97AA8" w:rsidRPr="00EF5390">
        <w:rPr>
          <w:rFonts w:eastAsia="Calibri"/>
        </w:rPr>
        <w:t>mpairment</w:t>
      </w:r>
      <w:r w:rsidR="00372396" w:rsidRPr="00EF5390">
        <w:rPr>
          <w:rFonts w:eastAsia="Calibri"/>
        </w:rPr>
        <w:t xml:space="preserve">; </w:t>
      </w:r>
      <w:r w:rsidR="0096181D">
        <w:rPr>
          <w:rFonts w:eastAsia="Calibri"/>
        </w:rPr>
        <w:t>l</w:t>
      </w:r>
      <w:r w:rsidR="00D97AA8" w:rsidRPr="00EF5390">
        <w:rPr>
          <w:rFonts w:eastAsia="Calibri"/>
        </w:rPr>
        <w:t xml:space="preserve">umbago without </w:t>
      </w:r>
      <w:r w:rsidR="0096181D">
        <w:rPr>
          <w:rFonts w:eastAsia="Calibri"/>
        </w:rPr>
        <w:t>c</w:t>
      </w:r>
      <w:r w:rsidR="00EF5390" w:rsidRPr="00EF5390">
        <w:rPr>
          <w:rFonts w:eastAsia="Calibri"/>
        </w:rPr>
        <w:t>ausative</w:t>
      </w:r>
      <w:r w:rsidR="00D97AA8" w:rsidRPr="00EF5390">
        <w:rPr>
          <w:rFonts w:eastAsia="Calibri"/>
        </w:rPr>
        <w:t xml:space="preserve"> </w:t>
      </w:r>
      <w:r w:rsidR="0096181D">
        <w:rPr>
          <w:rFonts w:eastAsia="Calibri"/>
        </w:rPr>
        <w:t>a</w:t>
      </w:r>
      <w:r w:rsidR="00D97AA8" w:rsidRPr="00EF5390">
        <w:rPr>
          <w:rFonts w:eastAsia="Calibri"/>
        </w:rPr>
        <w:t xml:space="preserve">natomic </w:t>
      </w:r>
      <w:r w:rsidR="0096181D">
        <w:rPr>
          <w:rFonts w:eastAsia="Calibri"/>
        </w:rPr>
        <w:t>a</w:t>
      </w:r>
      <w:r w:rsidR="00D97AA8" w:rsidRPr="00EF5390">
        <w:rPr>
          <w:rFonts w:eastAsia="Calibri"/>
        </w:rPr>
        <w:t xml:space="preserve">bnormalities or </w:t>
      </w:r>
      <w:r w:rsidR="0096181D">
        <w:rPr>
          <w:rFonts w:eastAsia="Calibri"/>
        </w:rPr>
        <w:t>o</w:t>
      </w:r>
      <w:r w:rsidR="00D97AA8" w:rsidRPr="00EF5390">
        <w:rPr>
          <w:rFonts w:eastAsia="Calibri"/>
        </w:rPr>
        <w:t xml:space="preserve">bjective </w:t>
      </w:r>
      <w:r w:rsidR="0096181D">
        <w:rPr>
          <w:rFonts w:eastAsia="Calibri"/>
        </w:rPr>
        <w:t>e</w:t>
      </w:r>
      <w:r w:rsidR="00D97AA8" w:rsidRPr="00EF5390">
        <w:rPr>
          <w:rFonts w:eastAsia="Calibri"/>
        </w:rPr>
        <w:t xml:space="preserve">vidence of </w:t>
      </w:r>
      <w:r w:rsidR="0096181D">
        <w:rPr>
          <w:rFonts w:eastAsia="Calibri"/>
        </w:rPr>
        <w:t>i</w:t>
      </w:r>
      <w:r w:rsidR="00D97AA8" w:rsidRPr="00EF5390">
        <w:rPr>
          <w:rFonts w:eastAsia="Calibri"/>
        </w:rPr>
        <w:t xml:space="preserve">mpairment; </w:t>
      </w:r>
      <w:r w:rsidR="0096181D">
        <w:rPr>
          <w:rFonts w:eastAsia="Calibri"/>
        </w:rPr>
        <w:t>r</w:t>
      </w:r>
      <w:r w:rsidR="00D97AA8" w:rsidRPr="00EF5390">
        <w:rPr>
          <w:rFonts w:eastAsia="Calibri"/>
        </w:rPr>
        <w:t xml:space="preserve">adiologic evidence of </w:t>
      </w:r>
      <w:r w:rsidR="0096181D">
        <w:rPr>
          <w:rFonts w:eastAsia="Calibri"/>
        </w:rPr>
        <w:t>m</w:t>
      </w:r>
      <w:r w:rsidR="00D97AA8" w:rsidRPr="00EF5390">
        <w:rPr>
          <w:rFonts w:eastAsia="Calibri"/>
        </w:rPr>
        <w:t xml:space="preserve">ild </w:t>
      </w:r>
      <w:r w:rsidR="0096181D">
        <w:rPr>
          <w:rFonts w:eastAsia="Calibri"/>
        </w:rPr>
        <w:t>d</w:t>
      </w:r>
      <w:r w:rsidR="00D97AA8" w:rsidRPr="00EF5390">
        <w:rPr>
          <w:rFonts w:eastAsia="Calibri"/>
        </w:rPr>
        <w:t xml:space="preserve">egenerative </w:t>
      </w:r>
      <w:r w:rsidR="0096181D">
        <w:rPr>
          <w:rFonts w:eastAsia="Calibri"/>
        </w:rPr>
        <w:t>c</w:t>
      </w:r>
      <w:r w:rsidR="00D97AA8" w:rsidRPr="00EF5390">
        <w:rPr>
          <w:rFonts w:eastAsia="Calibri"/>
        </w:rPr>
        <w:t xml:space="preserve">hanges at T9-10 (EPTS); </w:t>
      </w:r>
      <w:r w:rsidR="0096181D">
        <w:rPr>
          <w:rFonts w:eastAsia="Calibri"/>
        </w:rPr>
        <w:t>h</w:t>
      </w:r>
      <w:r w:rsidR="00D97AA8" w:rsidRPr="00EF5390">
        <w:rPr>
          <w:rFonts w:eastAsia="Calibri"/>
        </w:rPr>
        <w:t xml:space="preserve">istory of </w:t>
      </w:r>
      <w:r w:rsidR="0096181D">
        <w:rPr>
          <w:rFonts w:eastAsia="Calibri"/>
        </w:rPr>
        <w:t>l</w:t>
      </w:r>
      <w:r w:rsidR="00D97AA8" w:rsidRPr="00EF5390">
        <w:rPr>
          <w:rFonts w:eastAsia="Calibri"/>
        </w:rPr>
        <w:t xml:space="preserve">eft </w:t>
      </w:r>
      <w:r w:rsidR="0096181D">
        <w:rPr>
          <w:rFonts w:eastAsia="Calibri"/>
        </w:rPr>
        <w:t>w</w:t>
      </w:r>
      <w:r w:rsidR="00D97AA8" w:rsidRPr="00EF5390">
        <w:rPr>
          <w:rFonts w:eastAsia="Calibri"/>
        </w:rPr>
        <w:t xml:space="preserve">rist </w:t>
      </w:r>
      <w:r w:rsidR="0096181D">
        <w:rPr>
          <w:rFonts w:eastAsia="Calibri"/>
        </w:rPr>
        <w:t>t</w:t>
      </w:r>
      <w:r w:rsidR="00D97AA8" w:rsidRPr="00EF5390">
        <w:rPr>
          <w:rFonts w:eastAsia="Calibri"/>
        </w:rPr>
        <w:t xml:space="preserve">enosynovitis, </w:t>
      </w:r>
      <w:r w:rsidR="0096181D">
        <w:rPr>
          <w:rFonts w:eastAsia="Calibri"/>
        </w:rPr>
        <w:t>r</w:t>
      </w:r>
      <w:r w:rsidR="00D97AA8" w:rsidRPr="00EF5390">
        <w:rPr>
          <w:rFonts w:eastAsia="Calibri"/>
        </w:rPr>
        <w:t>esolved</w:t>
      </w:r>
      <w:r w:rsidR="00662D7D" w:rsidRPr="00EF5390">
        <w:rPr>
          <w:rFonts w:eastAsia="Calibri"/>
        </w:rPr>
        <w:t>;</w:t>
      </w:r>
      <w:r w:rsidR="00210737">
        <w:rPr>
          <w:rFonts w:eastAsia="Calibri"/>
        </w:rPr>
        <w:t xml:space="preserve"> and </w:t>
      </w:r>
      <w:r w:rsidR="0096181D">
        <w:rPr>
          <w:rFonts w:eastAsia="Calibri"/>
        </w:rPr>
        <w:t>a</w:t>
      </w:r>
      <w:r w:rsidR="00210737">
        <w:rPr>
          <w:rFonts w:eastAsia="Calibri"/>
        </w:rPr>
        <w:t xml:space="preserve">djustment </w:t>
      </w:r>
      <w:r w:rsidR="0096181D">
        <w:rPr>
          <w:rFonts w:eastAsia="Calibri"/>
        </w:rPr>
        <w:t>d</w:t>
      </w:r>
      <w:r w:rsidR="00210737">
        <w:rPr>
          <w:rFonts w:eastAsia="Calibri"/>
        </w:rPr>
        <w:t xml:space="preserve">isorder. </w:t>
      </w:r>
      <w:proofErr w:type="spellStart"/>
      <w:r w:rsidR="0096181D">
        <w:rPr>
          <w:rFonts w:eastAsia="HiddenHorzOCR"/>
        </w:rPr>
        <w:t>Patellofemoral</w:t>
      </w:r>
      <w:proofErr w:type="spellEnd"/>
      <w:r w:rsidR="0096181D">
        <w:rPr>
          <w:rFonts w:eastAsia="HiddenHorzOCR"/>
        </w:rPr>
        <w:t xml:space="preserve"> syndrome (r</w:t>
      </w:r>
      <w:r w:rsidR="00662D7D" w:rsidRPr="00EF5390">
        <w:rPr>
          <w:rFonts w:eastAsia="HiddenHorzOCR"/>
        </w:rPr>
        <w:t xml:space="preserve">ight </w:t>
      </w:r>
      <w:r w:rsidR="0096181D">
        <w:rPr>
          <w:rFonts w:eastAsia="HiddenHorzOCR"/>
        </w:rPr>
        <w:t>k</w:t>
      </w:r>
      <w:r w:rsidR="00662D7D" w:rsidRPr="00EF5390">
        <w:rPr>
          <w:rFonts w:eastAsia="HiddenHorzOCR"/>
        </w:rPr>
        <w:t xml:space="preserve">nee) was included in the MEB NARSUM but was not adjudicated. </w:t>
      </w:r>
      <w:r w:rsidR="00372396" w:rsidRPr="00EF5390">
        <w:rPr>
          <w:color w:val="000000" w:themeColor="text1"/>
        </w:rPr>
        <w:t xml:space="preserve">None of these conditions were profiled, implicated in the </w:t>
      </w:r>
      <w:r w:rsidR="0096181D">
        <w:rPr>
          <w:color w:val="000000" w:themeColor="text1"/>
        </w:rPr>
        <w:t>c</w:t>
      </w:r>
      <w:r w:rsidR="00372396" w:rsidRPr="00EF5390">
        <w:rPr>
          <w:color w:val="000000" w:themeColor="text1"/>
        </w:rPr>
        <w:t>ommander’s statement</w:t>
      </w:r>
      <w:r w:rsidR="00FD6906" w:rsidRPr="00EF5390">
        <w:rPr>
          <w:color w:val="000000" w:themeColor="text1"/>
        </w:rPr>
        <w:t>,</w:t>
      </w:r>
      <w:r w:rsidR="00372396" w:rsidRPr="00EF5390">
        <w:rPr>
          <w:color w:val="000000" w:themeColor="text1"/>
        </w:rPr>
        <w:t xml:space="preserve"> or noted as failing retention standards</w:t>
      </w:r>
      <w:r w:rsidR="00FD6906" w:rsidRPr="00EF5390">
        <w:rPr>
          <w:color w:val="000000" w:themeColor="text1"/>
        </w:rPr>
        <w:t xml:space="preserve"> separately from the unfitting </w:t>
      </w:r>
      <w:r w:rsidR="00EF5390" w:rsidRPr="00EF5390">
        <w:rPr>
          <w:color w:val="000000" w:themeColor="text1"/>
        </w:rPr>
        <w:t>conditions</w:t>
      </w:r>
      <w:r w:rsidR="00FD6906" w:rsidRPr="00EF5390">
        <w:rPr>
          <w:color w:val="000000" w:themeColor="text1"/>
        </w:rPr>
        <w:t xml:space="preserve"> of bilateral plantar fasciitis and history of right leg anterior compartment syndrome</w:t>
      </w:r>
      <w:r w:rsidR="00210737">
        <w:rPr>
          <w:color w:val="000000" w:themeColor="text1"/>
        </w:rPr>
        <w:t xml:space="preserve">. </w:t>
      </w:r>
      <w:r w:rsidR="00FD6906" w:rsidRPr="00EF5390">
        <w:rPr>
          <w:color w:val="000000" w:themeColor="text1"/>
        </w:rPr>
        <w:t xml:space="preserve">All functional limitations were utilized to support the combined rating of 20% as described above. </w:t>
      </w:r>
      <w:r w:rsidR="00EF5390" w:rsidRPr="00EF5390">
        <w:rPr>
          <w:color w:val="000000" w:themeColor="text1"/>
        </w:rPr>
        <w:t>To use</w:t>
      </w:r>
      <w:r w:rsidR="00FD6906" w:rsidRPr="00EF5390">
        <w:rPr>
          <w:color w:val="000000" w:themeColor="text1"/>
        </w:rPr>
        <w:t xml:space="preserve"> these same limitations to support the application of a disability rating to any of these conditions would be pyramiding </w:t>
      </w:r>
      <w:r w:rsidR="00B86B40">
        <w:rPr>
          <w:color w:val="000000" w:themeColor="text1"/>
        </w:rPr>
        <w:t>and this</w:t>
      </w:r>
      <w:r w:rsidR="00FD6906" w:rsidRPr="00EF5390">
        <w:rPr>
          <w:color w:val="000000" w:themeColor="text1"/>
        </w:rPr>
        <w:t xml:space="preserve"> is </w:t>
      </w:r>
      <w:r w:rsidR="00EF5390" w:rsidRPr="00EF5390">
        <w:rPr>
          <w:color w:val="000000" w:themeColor="text1"/>
        </w:rPr>
        <w:t>prohibited</w:t>
      </w:r>
      <w:r w:rsidR="00210737">
        <w:rPr>
          <w:color w:val="000000" w:themeColor="text1"/>
        </w:rPr>
        <w:t xml:space="preserve"> by the VASRD.</w:t>
      </w:r>
      <w:r w:rsidR="00A41855">
        <w:rPr>
          <w:color w:val="000000" w:themeColor="text1"/>
        </w:rPr>
        <w:t xml:space="preserve"> </w:t>
      </w:r>
      <w:r w:rsidR="00372396" w:rsidRPr="00EF5390">
        <w:rPr>
          <w:color w:val="000000" w:themeColor="text1"/>
        </w:rPr>
        <w:t xml:space="preserve">All </w:t>
      </w:r>
      <w:r w:rsidR="00B86B40">
        <w:rPr>
          <w:color w:val="000000" w:themeColor="text1"/>
        </w:rPr>
        <w:t xml:space="preserve">conditions </w:t>
      </w:r>
      <w:r w:rsidR="00372396" w:rsidRPr="00EF5390">
        <w:rPr>
          <w:color w:val="000000" w:themeColor="text1"/>
        </w:rPr>
        <w:t xml:space="preserve">were reviewed by the </w:t>
      </w:r>
      <w:r w:rsidR="0096181D">
        <w:rPr>
          <w:color w:val="000000" w:themeColor="text1"/>
        </w:rPr>
        <w:t>a</w:t>
      </w:r>
      <w:r w:rsidR="00372396" w:rsidRPr="00EF5390">
        <w:rPr>
          <w:color w:val="000000" w:themeColor="text1"/>
        </w:rPr>
        <w:t xml:space="preserve">ction </w:t>
      </w:r>
      <w:r w:rsidR="0096181D">
        <w:rPr>
          <w:color w:val="000000" w:themeColor="text1"/>
        </w:rPr>
        <w:t>o</w:t>
      </w:r>
      <w:r w:rsidR="00372396" w:rsidRPr="00EF5390">
        <w:rPr>
          <w:color w:val="000000" w:themeColor="text1"/>
        </w:rPr>
        <w:t>ffice</w:t>
      </w:r>
      <w:r w:rsidR="00210737">
        <w:rPr>
          <w:color w:val="000000" w:themeColor="text1"/>
        </w:rPr>
        <w:t xml:space="preserve">r and considered by the Board. </w:t>
      </w:r>
      <w:r w:rsidR="00372396" w:rsidRPr="00EF5390">
        <w:rPr>
          <w:color w:val="000000" w:themeColor="text1"/>
        </w:rPr>
        <w:t>All evidence considered</w:t>
      </w:r>
      <w:proofErr w:type="gramStart"/>
      <w:r w:rsidR="00372396" w:rsidRPr="00EF5390">
        <w:rPr>
          <w:color w:val="000000" w:themeColor="text1"/>
        </w:rPr>
        <w:t>,</w:t>
      </w:r>
      <w:proofErr w:type="gramEnd"/>
      <w:r w:rsidR="00372396" w:rsidRPr="00EF5390">
        <w:rPr>
          <w:color w:val="000000" w:themeColor="text1"/>
        </w:rPr>
        <w:t xml:space="preserve"> there is not reasonable doubt in the CI’s favor supporting recharacterization of the PEB fitness adjudication for any of the stated conditions.</w:t>
      </w:r>
    </w:p>
    <w:p w:rsidR="009E1294" w:rsidRPr="00EF5390" w:rsidRDefault="009E1294" w:rsidP="00A17170">
      <w:pPr>
        <w:rPr>
          <w:rFonts w:eastAsia="HiddenHorzOCR"/>
        </w:rPr>
      </w:pPr>
    </w:p>
    <w:p w:rsidR="009E1294" w:rsidRPr="00EF5390" w:rsidRDefault="009E1294" w:rsidP="00A17170">
      <w:r w:rsidRPr="00EF5390">
        <w:rPr>
          <w:rFonts w:eastAsia="HiddenHorzOCR"/>
          <w:u w:val="single"/>
        </w:rPr>
        <w:t>Other Contended Conditions</w:t>
      </w:r>
      <w:r w:rsidRPr="00EF5390">
        <w:rPr>
          <w:rFonts w:eastAsia="HiddenHorzOCR"/>
        </w:rPr>
        <w:t xml:space="preserve">:  The CI’s application asserts that compensable ratings should be considered </w:t>
      </w:r>
      <w:r w:rsidR="0096181D">
        <w:rPr>
          <w:rFonts w:eastAsia="HiddenHorzOCR"/>
        </w:rPr>
        <w:t>f</w:t>
      </w:r>
      <w:r w:rsidRPr="00EF5390">
        <w:rPr>
          <w:rFonts w:eastAsia="HiddenHorzOCR"/>
        </w:rPr>
        <w:t xml:space="preserve">or </w:t>
      </w:r>
      <w:r w:rsidR="0096181D">
        <w:rPr>
          <w:rFonts w:eastAsia="HiddenHorzOCR"/>
        </w:rPr>
        <w:t>v</w:t>
      </w:r>
      <w:r w:rsidRPr="00EF5390">
        <w:rPr>
          <w:rFonts w:eastAsia="HiddenHorzOCR"/>
        </w:rPr>
        <w:t xml:space="preserve">aricose </w:t>
      </w:r>
      <w:r w:rsidR="0096181D">
        <w:rPr>
          <w:rFonts w:eastAsia="HiddenHorzOCR"/>
        </w:rPr>
        <w:t>v</w:t>
      </w:r>
      <w:r w:rsidRPr="00EF5390">
        <w:rPr>
          <w:rFonts w:eastAsia="HiddenHorzOCR"/>
        </w:rPr>
        <w:t>ein (</w:t>
      </w:r>
      <w:r w:rsidR="0096181D">
        <w:rPr>
          <w:rFonts w:eastAsia="HiddenHorzOCR"/>
        </w:rPr>
        <w:t>l</w:t>
      </w:r>
      <w:r w:rsidRPr="00EF5390">
        <w:rPr>
          <w:rFonts w:eastAsia="HiddenHorzOCR"/>
        </w:rPr>
        <w:t xml:space="preserve">eft </w:t>
      </w:r>
      <w:r w:rsidR="0096181D">
        <w:rPr>
          <w:rFonts w:eastAsia="HiddenHorzOCR"/>
        </w:rPr>
        <w:t>l</w:t>
      </w:r>
      <w:r w:rsidRPr="00EF5390">
        <w:rPr>
          <w:rFonts w:eastAsia="HiddenHorzOCR"/>
        </w:rPr>
        <w:t xml:space="preserve">eg), </w:t>
      </w:r>
      <w:r w:rsidR="0096181D">
        <w:rPr>
          <w:rFonts w:eastAsia="HiddenHorzOCR"/>
        </w:rPr>
        <w:t>v</w:t>
      </w:r>
      <w:r w:rsidRPr="00EF5390">
        <w:rPr>
          <w:rFonts w:eastAsia="HiddenHorzOCR"/>
        </w:rPr>
        <w:t xml:space="preserve">aricose </w:t>
      </w:r>
      <w:r w:rsidR="0096181D">
        <w:rPr>
          <w:rFonts w:eastAsia="HiddenHorzOCR"/>
        </w:rPr>
        <w:t>v</w:t>
      </w:r>
      <w:r w:rsidRPr="00EF5390">
        <w:rPr>
          <w:rFonts w:eastAsia="HiddenHorzOCR"/>
        </w:rPr>
        <w:t>ein (</w:t>
      </w:r>
      <w:r w:rsidR="0096181D">
        <w:rPr>
          <w:rFonts w:eastAsia="HiddenHorzOCR"/>
        </w:rPr>
        <w:t>r</w:t>
      </w:r>
      <w:r w:rsidRPr="00EF5390">
        <w:rPr>
          <w:rFonts w:eastAsia="HiddenHorzOCR"/>
        </w:rPr>
        <w:t xml:space="preserve">ight </w:t>
      </w:r>
      <w:r w:rsidR="0096181D">
        <w:rPr>
          <w:rFonts w:eastAsia="HiddenHorzOCR"/>
        </w:rPr>
        <w:t>l</w:t>
      </w:r>
      <w:r w:rsidRPr="00EF5390">
        <w:rPr>
          <w:rFonts w:eastAsia="HiddenHorzOCR"/>
        </w:rPr>
        <w:t xml:space="preserve">eg), and </w:t>
      </w:r>
      <w:r w:rsidR="0096181D">
        <w:rPr>
          <w:rFonts w:eastAsia="HiddenHorzOCR"/>
        </w:rPr>
        <w:t>s</w:t>
      </w:r>
      <w:r w:rsidRPr="00EF5390">
        <w:rPr>
          <w:rFonts w:eastAsia="HiddenHorzOCR"/>
        </w:rPr>
        <w:t xml:space="preserve">car </w:t>
      </w:r>
      <w:r w:rsidR="00EF5390" w:rsidRPr="00EF5390">
        <w:rPr>
          <w:rFonts w:eastAsia="HiddenHorzOCR"/>
        </w:rPr>
        <w:t>to</w:t>
      </w:r>
      <w:r w:rsidRPr="00EF5390">
        <w:rPr>
          <w:rFonts w:eastAsia="HiddenHorzOCR"/>
        </w:rPr>
        <w:t xml:space="preserve"> </w:t>
      </w:r>
      <w:r w:rsidR="0096181D">
        <w:rPr>
          <w:rFonts w:eastAsia="HiddenHorzOCR"/>
        </w:rPr>
        <w:t>r</w:t>
      </w:r>
      <w:r w:rsidRPr="00EF5390">
        <w:rPr>
          <w:rFonts w:eastAsia="HiddenHorzOCR"/>
        </w:rPr>
        <w:t xml:space="preserve">ight </w:t>
      </w:r>
      <w:r w:rsidR="0096181D">
        <w:rPr>
          <w:rFonts w:eastAsia="HiddenHorzOCR"/>
        </w:rPr>
        <w:t>l</w:t>
      </w:r>
      <w:r w:rsidRPr="00EF5390">
        <w:rPr>
          <w:rFonts w:eastAsia="HiddenHorzOCR"/>
        </w:rPr>
        <w:t xml:space="preserve">ower </w:t>
      </w:r>
      <w:r w:rsidR="0096181D">
        <w:rPr>
          <w:rFonts w:eastAsia="HiddenHorzOCR"/>
        </w:rPr>
        <w:t>e</w:t>
      </w:r>
      <w:r w:rsidRPr="00EF5390">
        <w:rPr>
          <w:rFonts w:eastAsia="HiddenHorzOCR"/>
        </w:rPr>
        <w:t>xt</w:t>
      </w:r>
      <w:r w:rsidR="00210737">
        <w:rPr>
          <w:rFonts w:eastAsia="HiddenHorzOCR"/>
        </w:rPr>
        <w:t xml:space="preserve">remities. </w:t>
      </w:r>
      <w:r w:rsidRPr="00EF5390">
        <w:rPr>
          <w:rFonts w:eastAsia="HiddenHorzOCR"/>
        </w:rPr>
        <w:t>All</w:t>
      </w:r>
      <w:r w:rsidRPr="00EF5390">
        <w:t xml:space="preserve"> of these conditions were reviewed by the </w:t>
      </w:r>
      <w:r w:rsidR="0096181D">
        <w:t>a</w:t>
      </w:r>
      <w:r w:rsidRPr="00EF5390">
        <w:t xml:space="preserve">ction </w:t>
      </w:r>
      <w:r w:rsidR="0096181D">
        <w:t>o</w:t>
      </w:r>
      <w:r w:rsidRPr="00EF5390">
        <w:t>ffice</w:t>
      </w:r>
      <w:r w:rsidR="00210737">
        <w:t xml:space="preserve">r and considered by the Board. </w:t>
      </w:r>
      <w:r w:rsidRPr="00EF5390">
        <w:t>There was no evidence for concluding that any of the conditions interfered with duty performance to a degree that</w:t>
      </w:r>
      <w:r w:rsidR="00210737">
        <w:t xml:space="preserve"> could be argued as unfitting. </w:t>
      </w:r>
      <w:r w:rsidRPr="00EF5390">
        <w:t xml:space="preserve">The Board determined therefore that none of the stated conditions were subject to </w:t>
      </w:r>
      <w:r w:rsidR="0096181D">
        <w:t>s</w:t>
      </w:r>
      <w:r w:rsidRPr="00EF5390">
        <w:t>ervice disability rating.</w:t>
      </w:r>
    </w:p>
    <w:p w:rsidR="009E1294" w:rsidRPr="00EF5390" w:rsidRDefault="009E1294" w:rsidP="00A17170"/>
    <w:p w:rsidR="009E1294" w:rsidRPr="00EF5390" w:rsidRDefault="009E1294" w:rsidP="00A17170">
      <w:r w:rsidRPr="00EF5390">
        <w:rPr>
          <w:u w:val="single"/>
        </w:rPr>
        <w:t>Remaining Conditions</w:t>
      </w:r>
      <w:r w:rsidRPr="00EF5390">
        <w:t xml:space="preserve">:  </w:t>
      </w:r>
      <w:r w:rsidR="00662D7D" w:rsidRPr="00EF5390">
        <w:t xml:space="preserve">Obesity was adjudicated as a </w:t>
      </w:r>
      <w:r w:rsidR="0096181D">
        <w:t>c</w:t>
      </w:r>
      <w:r w:rsidR="00662D7D" w:rsidRPr="00EF5390">
        <w:t xml:space="preserve">ategory III condition. This condition does not </w:t>
      </w:r>
      <w:r w:rsidR="00EF5390" w:rsidRPr="00EF5390">
        <w:t>constitute</w:t>
      </w:r>
      <w:r w:rsidR="00662D7D" w:rsidRPr="00EF5390">
        <w:t xml:space="preserve"> a disability and no rating is warranted IAW the VASRD. </w:t>
      </w:r>
      <w:r w:rsidR="00A17170" w:rsidRPr="00EF5390">
        <w:rPr>
          <w:rFonts w:eastAsia="HiddenHorzOCR"/>
        </w:rPr>
        <w:t xml:space="preserve">Herpes </w:t>
      </w:r>
      <w:r w:rsidR="0096181D">
        <w:rPr>
          <w:rFonts w:eastAsia="HiddenHorzOCR"/>
        </w:rPr>
        <w:t>s</w:t>
      </w:r>
      <w:r w:rsidR="00A17170" w:rsidRPr="00EF5390">
        <w:rPr>
          <w:rFonts w:eastAsia="HiddenHorzOCR"/>
        </w:rPr>
        <w:t xml:space="preserve">implex </w:t>
      </w:r>
      <w:r w:rsidR="0096181D">
        <w:rPr>
          <w:rFonts w:eastAsia="HiddenHorzOCR"/>
        </w:rPr>
        <w:t>t</w:t>
      </w:r>
      <w:r w:rsidR="00A17170" w:rsidRPr="00EF5390">
        <w:rPr>
          <w:rFonts w:eastAsia="HiddenHorzOCR"/>
        </w:rPr>
        <w:t>ype 1 and s</w:t>
      </w:r>
      <w:r w:rsidRPr="00EF5390">
        <w:t>everal other non-acute conditions were noted in the VA rating decision proximal to separation, but were n</w:t>
      </w:r>
      <w:r w:rsidR="00210737">
        <w:t xml:space="preserve">ot documented in the DES file. </w:t>
      </w:r>
      <w:r w:rsidRPr="00EF5390">
        <w:t>The Board does not have the authority under DoDI 6040.44 to render fitness or rating recommendations for any conditi</w:t>
      </w:r>
      <w:r w:rsidR="00210737">
        <w:t xml:space="preserve">ons not considered by the DES. </w:t>
      </w:r>
      <w:r w:rsidRPr="00EF5390">
        <w:t>The Board, therefore, has no reasonable basis for recommending any additional unfitting conditions for separation rating.</w:t>
      </w:r>
    </w:p>
    <w:p w:rsidR="00D80B17" w:rsidRPr="00EF5390" w:rsidRDefault="00C56FC8" w:rsidP="009E045F">
      <w:pPr>
        <w:pStyle w:val="Default"/>
        <w:spacing w:line="240" w:lineRule="exact"/>
        <w:jc w:val="both"/>
      </w:pPr>
      <w:r w:rsidRPr="00EF5390">
        <w:rPr>
          <w:color w:val="000000" w:themeColor="text1"/>
          <w:u w:val="single"/>
        </w:rPr>
        <w:lastRenderedPageBreak/>
        <w:t>BOARD FINDINGS</w:t>
      </w:r>
      <w:r w:rsidRPr="00EF5390">
        <w:rPr>
          <w:color w:val="000000" w:themeColor="text1"/>
        </w:rPr>
        <w:t>:</w:t>
      </w:r>
      <w:r w:rsidRPr="00EF5390">
        <w:rPr>
          <w:rFonts w:eastAsia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009E045F" w:rsidRPr="00EF5390">
        <w:rPr>
          <w:rFonts w:eastAsiaTheme="minorHAnsi"/>
          <w:color w:val="000000" w:themeColor="text1"/>
        </w:rPr>
        <w:t xml:space="preserve"> </w:t>
      </w:r>
      <w:r w:rsidR="00186BE3" w:rsidRPr="00EF5390">
        <w:t xml:space="preserve">In the matter of the </w:t>
      </w:r>
      <w:r w:rsidR="0096181D">
        <w:rPr>
          <w:rFonts w:eastAsia="Calibri"/>
        </w:rPr>
        <w:t>r</w:t>
      </w:r>
      <w:r w:rsidR="003B26FE" w:rsidRPr="00EF5390">
        <w:rPr>
          <w:rFonts w:eastAsia="Calibri"/>
        </w:rPr>
        <w:t xml:space="preserve">ight and </w:t>
      </w:r>
      <w:r w:rsidR="0096181D">
        <w:rPr>
          <w:rFonts w:eastAsia="Calibri"/>
        </w:rPr>
        <w:t>l</w:t>
      </w:r>
      <w:r w:rsidR="003B26FE" w:rsidRPr="00EF5390">
        <w:rPr>
          <w:rFonts w:eastAsia="Calibri"/>
        </w:rPr>
        <w:t xml:space="preserve">eft </w:t>
      </w:r>
      <w:r w:rsidR="0096181D">
        <w:rPr>
          <w:rFonts w:eastAsia="Calibri"/>
        </w:rPr>
        <w:t>p</w:t>
      </w:r>
      <w:r w:rsidR="003B26FE" w:rsidRPr="00EF5390">
        <w:rPr>
          <w:rFonts w:eastAsia="Calibri"/>
        </w:rPr>
        <w:t xml:space="preserve">lantar </w:t>
      </w:r>
      <w:r w:rsidR="0096181D">
        <w:rPr>
          <w:rFonts w:eastAsia="Calibri"/>
        </w:rPr>
        <w:t>f</w:t>
      </w:r>
      <w:r w:rsidR="003B26FE" w:rsidRPr="00EF5390">
        <w:rPr>
          <w:rFonts w:eastAsia="Calibri"/>
        </w:rPr>
        <w:t xml:space="preserve">asciitis and </w:t>
      </w:r>
      <w:r w:rsidR="0096181D">
        <w:rPr>
          <w:rFonts w:eastAsia="Calibri"/>
        </w:rPr>
        <w:t>h</w:t>
      </w:r>
      <w:r w:rsidR="003B26FE" w:rsidRPr="00EF5390">
        <w:rPr>
          <w:rFonts w:eastAsia="Calibri"/>
        </w:rPr>
        <w:t xml:space="preserve">istory of </w:t>
      </w:r>
      <w:r w:rsidR="0096181D">
        <w:rPr>
          <w:rFonts w:eastAsia="Calibri"/>
        </w:rPr>
        <w:t xml:space="preserve">right </w:t>
      </w:r>
      <w:proofErr w:type="spellStart"/>
      <w:r w:rsidR="0096181D">
        <w:rPr>
          <w:rFonts w:eastAsia="Calibri"/>
        </w:rPr>
        <w:t>e</w:t>
      </w:r>
      <w:r w:rsidR="003B26FE" w:rsidRPr="00EF5390">
        <w:rPr>
          <w:rFonts w:eastAsia="Calibri"/>
        </w:rPr>
        <w:t>xertional</w:t>
      </w:r>
      <w:proofErr w:type="spellEnd"/>
      <w:r w:rsidR="003B26FE" w:rsidRPr="00EF5390">
        <w:rPr>
          <w:rFonts w:eastAsia="Calibri"/>
        </w:rPr>
        <w:t xml:space="preserve"> </w:t>
      </w:r>
      <w:r w:rsidR="0096181D">
        <w:rPr>
          <w:rFonts w:eastAsia="Calibri"/>
        </w:rPr>
        <w:t>a</w:t>
      </w:r>
      <w:r w:rsidR="003B26FE" w:rsidRPr="00EF5390">
        <w:rPr>
          <w:rFonts w:eastAsia="Calibri"/>
        </w:rPr>
        <w:t xml:space="preserve">nterior </w:t>
      </w:r>
      <w:r w:rsidR="0096181D">
        <w:rPr>
          <w:rFonts w:eastAsia="Calibri"/>
        </w:rPr>
        <w:t>c</w:t>
      </w:r>
      <w:r w:rsidR="003B26FE" w:rsidRPr="00EF5390">
        <w:rPr>
          <w:rFonts w:eastAsia="Calibri"/>
        </w:rPr>
        <w:t xml:space="preserve">ompartment </w:t>
      </w:r>
      <w:r w:rsidR="0096181D">
        <w:rPr>
          <w:rFonts w:eastAsia="Calibri"/>
        </w:rPr>
        <w:t>s</w:t>
      </w:r>
      <w:r w:rsidR="003B26FE" w:rsidRPr="00EF5390">
        <w:rPr>
          <w:rFonts w:eastAsia="Calibri"/>
        </w:rPr>
        <w:t>yndrome</w:t>
      </w:r>
      <w:proofErr w:type="gramStart"/>
      <w:r w:rsidR="003B26FE" w:rsidRPr="00EF5390">
        <w:rPr>
          <w:rFonts w:eastAsia="Calibri"/>
        </w:rPr>
        <w:t>,  status</w:t>
      </w:r>
      <w:proofErr w:type="gramEnd"/>
      <w:r w:rsidR="003B26FE" w:rsidRPr="00EF5390">
        <w:rPr>
          <w:rFonts w:eastAsia="Calibri"/>
        </w:rPr>
        <w:t xml:space="preserve">-post </w:t>
      </w:r>
      <w:proofErr w:type="spellStart"/>
      <w:r w:rsidR="004A7C7E">
        <w:rPr>
          <w:rFonts w:eastAsia="Calibri"/>
        </w:rPr>
        <w:t>f</w:t>
      </w:r>
      <w:r w:rsidR="003B26FE" w:rsidRPr="00EF5390">
        <w:rPr>
          <w:rFonts w:eastAsia="Calibri"/>
        </w:rPr>
        <w:t>asciotomy</w:t>
      </w:r>
      <w:proofErr w:type="spellEnd"/>
      <w:r w:rsidR="003B26FE" w:rsidRPr="00EF5390">
        <w:rPr>
          <w:rFonts w:eastAsia="Calibri"/>
        </w:rPr>
        <w:t xml:space="preserve">, </w:t>
      </w:r>
      <w:r w:rsidR="004A7C7E">
        <w:rPr>
          <w:rFonts w:eastAsia="Calibri"/>
        </w:rPr>
        <w:t>r</w:t>
      </w:r>
      <w:r w:rsidR="003B26FE" w:rsidRPr="00EF5390">
        <w:rPr>
          <w:rFonts w:eastAsia="Calibri"/>
        </w:rPr>
        <w:t>esolved conditions;</w:t>
      </w:r>
      <w:r w:rsidR="00186BE3" w:rsidRPr="00EF5390">
        <w:t xml:space="preserve"> the Board unanimously recommends </w:t>
      </w:r>
      <w:r w:rsidR="003B26FE" w:rsidRPr="00EF5390">
        <w:t xml:space="preserve">no change in </w:t>
      </w:r>
      <w:r w:rsidR="004A7C7E">
        <w:t>S</w:t>
      </w:r>
      <w:r w:rsidR="003B26FE" w:rsidRPr="00EF5390">
        <w:t>AFPC</w:t>
      </w:r>
      <w:r w:rsidR="004A7C7E">
        <w:t>’s</w:t>
      </w:r>
      <w:r w:rsidR="003B26FE" w:rsidRPr="00EF5390">
        <w:t xml:space="preserve"> adjudication at separation.</w:t>
      </w:r>
      <w:r w:rsidR="009E045F" w:rsidRPr="00EF5390">
        <w:t xml:space="preserve"> </w:t>
      </w:r>
      <w:r w:rsidR="00C42F0C" w:rsidRPr="00EF5390">
        <w:t xml:space="preserve">In the matter of the </w:t>
      </w:r>
      <w:r w:rsidR="00CD4BA8">
        <w:t>OSA</w:t>
      </w:r>
      <w:r w:rsidR="003B26FE" w:rsidRPr="00EF5390">
        <w:t xml:space="preserve">; </w:t>
      </w:r>
      <w:r w:rsidR="004A7C7E">
        <w:rPr>
          <w:rFonts w:eastAsia="Calibri"/>
        </w:rPr>
        <w:t>b</w:t>
      </w:r>
      <w:r w:rsidR="003B26FE" w:rsidRPr="00EF5390">
        <w:rPr>
          <w:rFonts w:eastAsia="Calibri"/>
        </w:rPr>
        <w:t xml:space="preserve">ilateral </w:t>
      </w:r>
      <w:r w:rsidR="004A7C7E">
        <w:rPr>
          <w:rFonts w:eastAsia="Calibri"/>
        </w:rPr>
        <w:t>l</w:t>
      </w:r>
      <w:r w:rsidR="003B26FE" w:rsidRPr="00EF5390">
        <w:rPr>
          <w:rFonts w:eastAsia="Calibri"/>
        </w:rPr>
        <w:t xml:space="preserve">eg </w:t>
      </w:r>
      <w:r w:rsidR="004A7C7E">
        <w:rPr>
          <w:rFonts w:eastAsia="Calibri"/>
        </w:rPr>
        <w:t>p</w:t>
      </w:r>
      <w:r w:rsidR="003B26FE" w:rsidRPr="00EF5390">
        <w:rPr>
          <w:rFonts w:eastAsia="Calibri"/>
        </w:rPr>
        <w:t xml:space="preserve">ain and </w:t>
      </w:r>
      <w:r w:rsidR="004A7C7E">
        <w:rPr>
          <w:rFonts w:eastAsia="Calibri"/>
        </w:rPr>
        <w:t>n</w:t>
      </w:r>
      <w:r w:rsidR="003B26FE" w:rsidRPr="00EF5390">
        <w:rPr>
          <w:rFonts w:eastAsia="Calibri"/>
        </w:rPr>
        <w:t xml:space="preserve">umbness of </w:t>
      </w:r>
      <w:r w:rsidR="004A7C7E">
        <w:rPr>
          <w:rFonts w:eastAsia="Calibri"/>
        </w:rPr>
        <w:t>u</w:t>
      </w:r>
      <w:r w:rsidR="003B26FE" w:rsidRPr="00EF5390">
        <w:rPr>
          <w:rFonts w:eastAsia="Calibri"/>
        </w:rPr>
        <w:t xml:space="preserve">ndetermined </w:t>
      </w:r>
      <w:r w:rsidR="004A7C7E">
        <w:rPr>
          <w:rFonts w:eastAsia="Calibri"/>
        </w:rPr>
        <w:t>e</w:t>
      </w:r>
      <w:r w:rsidR="003B26FE" w:rsidRPr="00EF5390">
        <w:rPr>
          <w:rFonts w:eastAsia="Calibri"/>
        </w:rPr>
        <w:t xml:space="preserve">tiology without </w:t>
      </w:r>
      <w:r w:rsidR="004A7C7E">
        <w:rPr>
          <w:rFonts w:eastAsia="Calibri"/>
        </w:rPr>
        <w:t>o</w:t>
      </w:r>
      <w:r w:rsidR="003B26FE" w:rsidRPr="00EF5390">
        <w:rPr>
          <w:rFonts w:eastAsia="Calibri"/>
        </w:rPr>
        <w:t>bje</w:t>
      </w:r>
      <w:r w:rsidR="004A7C7E">
        <w:rPr>
          <w:rFonts w:eastAsia="Calibri"/>
        </w:rPr>
        <w:t>ctive f</w:t>
      </w:r>
      <w:r w:rsidR="003B26FE" w:rsidRPr="00EF5390">
        <w:rPr>
          <w:rFonts w:eastAsia="Calibri"/>
        </w:rPr>
        <w:t xml:space="preserve">indings or </w:t>
      </w:r>
      <w:r w:rsidR="004A7C7E">
        <w:rPr>
          <w:rFonts w:eastAsia="Calibri"/>
        </w:rPr>
        <w:t>e</w:t>
      </w:r>
      <w:r w:rsidR="003B26FE" w:rsidRPr="00EF5390">
        <w:rPr>
          <w:rFonts w:eastAsia="Calibri"/>
        </w:rPr>
        <w:t xml:space="preserve">vidence of </w:t>
      </w:r>
      <w:r w:rsidR="004A7C7E">
        <w:rPr>
          <w:rFonts w:eastAsia="Calibri"/>
        </w:rPr>
        <w:t>i</w:t>
      </w:r>
      <w:r w:rsidR="003B26FE" w:rsidRPr="00EF5390">
        <w:rPr>
          <w:rFonts w:eastAsia="Calibri"/>
        </w:rPr>
        <w:t xml:space="preserve">mpairment; </w:t>
      </w:r>
      <w:r w:rsidR="004A7C7E">
        <w:rPr>
          <w:rFonts w:eastAsia="Calibri"/>
        </w:rPr>
        <w:t>l</w:t>
      </w:r>
      <w:r w:rsidR="003B26FE" w:rsidRPr="00EF5390">
        <w:rPr>
          <w:rFonts w:eastAsia="Calibri"/>
        </w:rPr>
        <w:t xml:space="preserve">umbago without </w:t>
      </w:r>
      <w:r w:rsidR="004A7C7E">
        <w:rPr>
          <w:rFonts w:eastAsia="Calibri"/>
        </w:rPr>
        <w:t>c</w:t>
      </w:r>
      <w:r w:rsidR="00EF5390" w:rsidRPr="00EF5390">
        <w:rPr>
          <w:rFonts w:eastAsia="Calibri"/>
        </w:rPr>
        <w:t>ausative</w:t>
      </w:r>
      <w:r w:rsidR="003B26FE" w:rsidRPr="00EF5390">
        <w:rPr>
          <w:rFonts w:eastAsia="Calibri"/>
        </w:rPr>
        <w:t xml:space="preserve"> </w:t>
      </w:r>
      <w:r w:rsidR="004A7C7E">
        <w:rPr>
          <w:rFonts w:eastAsia="Calibri"/>
        </w:rPr>
        <w:t>a</w:t>
      </w:r>
      <w:r w:rsidR="003B26FE" w:rsidRPr="00EF5390">
        <w:rPr>
          <w:rFonts w:eastAsia="Calibri"/>
        </w:rPr>
        <w:t xml:space="preserve">natomic </w:t>
      </w:r>
      <w:r w:rsidR="004A7C7E">
        <w:rPr>
          <w:rFonts w:eastAsia="Calibri"/>
        </w:rPr>
        <w:t>a</w:t>
      </w:r>
      <w:r w:rsidR="003B26FE" w:rsidRPr="00EF5390">
        <w:rPr>
          <w:rFonts w:eastAsia="Calibri"/>
        </w:rPr>
        <w:t xml:space="preserve">bnormalities or </w:t>
      </w:r>
      <w:r w:rsidR="004A7C7E">
        <w:rPr>
          <w:rFonts w:eastAsia="Calibri"/>
        </w:rPr>
        <w:t>o</w:t>
      </w:r>
      <w:r w:rsidR="003B26FE" w:rsidRPr="00EF5390">
        <w:rPr>
          <w:rFonts w:eastAsia="Calibri"/>
        </w:rPr>
        <w:t xml:space="preserve">bjective </w:t>
      </w:r>
      <w:r w:rsidR="004A7C7E">
        <w:rPr>
          <w:rFonts w:eastAsia="Calibri"/>
        </w:rPr>
        <w:t>e</w:t>
      </w:r>
      <w:r w:rsidR="003B26FE" w:rsidRPr="00EF5390">
        <w:rPr>
          <w:rFonts w:eastAsia="Calibri"/>
        </w:rPr>
        <w:t xml:space="preserve">vidence of </w:t>
      </w:r>
      <w:r w:rsidR="004A7C7E">
        <w:rPr>
          <w:rFonts w:eastAsia="Calibri"/>
        </w:rPr>
        <w:t>impairment; r</w:t>
      </w:r>
      <w:r w:rsidR="003B26FE" w:rsidRPr="00EF5390">
        <w:rPr>
          <w:rFonts w:eastAsia="Calibri"/>
        </w:rPr>
        <w:t xml:space="preserve">adiologic evidence of </w:t>
      </w:r>
      <w:r w:rsidR="004A7C7E">
        <w:rPr>
          <w:rFonts w:eastAsia="Calibri"/>
        </w:rPr>
        <w:t>m</w:t>
      </w:r>
      <w:r w:rsidR="003B26FE" w:rsidRPr="00EF5390">
        <w:rPr>
          <w:rFonts w:eastAsia="Calibri"/>
        </w:rPr>
        <w:t xml:space="preserve">ild </w:t>
      </w:r>
      <w:r w:rsidR="004A7C7E">
        <w:rPr>
          <w:rFonts w:eastAsia="Calibri"/>
        </w:rPr>
        <w:t>d</w:t>
      </w:r>
      <w:r w:rsidR="003B26FE" w:rsidRPr="00EF5390">
        <w:rPr>
          <w:rFonts w:eastAsia="Calibri"/>
        </w:rPr>
        <w:t xml:space="preserve">egenerative </w:t>
      </w:r>
      <w:r w:rsidR="004A7C7E">
        <w:rPr>
          <w:rFonts w:eastAsia="Calibri"/>
        </w:rPr>
        <w:t>c</w:t>
      </w:r>
      <w:r w:rsidR="003B26FE" w:rsidRPr="00EF5390">
        <w:rPr>
          <w:rFonts w:eastAsia="Calibri"/>
        </w:rPr>
        <w:t xml:space="preserve">hanges at T9-10 (EPTS); </w:t>
      </w:r>
      <w:r w:rsidR="004A7C7E">
        <w:rPr>
          <w:rFonts w:eastAsia="Calibri"/>
        </w:rPr>
        <w:t>h</w:t>
      </w:r>
      <w:r w:rsidR="003B26FE" w:rsidRPr="00EF5390">
        <w:rPr>
          <w:rFonts w:eastAsia="Calibri"/>
        </w:rPr>
        <w:t xml:space="preserve">istory of </w:t>
      </w:r>
      <w:r w:rsidR="004A7C7E">
        <w:rPr>
          <w:rFonts w:eastAsia="Calibri"/>
        </w:rPr>
        <w:t>left w</w:t>
      </w:r>
      <w:r w:rsidR="003B26FE" w:rsidRPr="00EF5390">
        <w:rPr>
          <w:rFonts w:eastAsia="Calibri"/>
        </w:rPr>
        <w:t xml:space="preserve">rist </w:t>
      </w:r>
      <w:r w:rsidR="004A7C7E">
        <w:rPr>
          <w:rFonts w:eastAsia="Calibri"/>
        </w:rPr>
        <w:t>tenosynovitis, r</w:t>
      </w:r>
      <w:r w:rsidR="003B26FE" w:rsidRPr="00EF5390">
        <w:rPr>
          <w:rFonts w:eastAsia="Calibri"/>
        </w:rPr>
        <w:t xml:space="preserve">esolved; </w:t>
      </w:r>
      <w:r w:rsidR="004A7C7E">
        <w:rPr>
          <w:rFonts w:eastAsia="Calibri"/>
        </w:rPr>
        <w:t>a</w:t>
      </w:r>
      <w:r w:rsidR="003B26FE" w:rsidRPr="00EF5390">
        <w:rPr>
          <w:rFonts w:eastAsia="Calibri"/>
        </w:rPr>
        <w:t xml:space="preserve">djustment </w:t>
      </w:r>
      <w:r w:rsidR="004A7C7E">
        <w:rPr>
          <w:rFonts w:eastAsia="Calibri"/>
        </w:rPr>
        <w:t>d</w:t>
      </w:r>
      <w:r w:rsidR="003B26FE" w:rsidRPr="00EF5390">
        <w:rPr>
          <w:rFonts w:eastAsia="Calibri"/>
        </w:rPr>
        <w:t>iso</w:t>
      </w:r>
      <w:r w:rsidR="004A7C7E">
        <w:rPr>
          <w:rFonts w:eastAsia="Calibri"/>
        </w:rPr>
        <w:t>rder; and o</w:t>
      </w:r>
      <w:r w:rsidR="003B26FE" w:rsidRPr="00EF5390">
        <w:rPr>
          <w:rFonts w:eastAsia="Calibri"/>
        </w:rPr>
        <w:t xml:space="preserve">besity </w:t>
      </w:r>
      <w:r w:rsidR="00C42F0C" w:rsidRPr="00EF5390">
        <w:t>conditions, the Board unanimous</w:t>
      </w:r>
      <w:r w:rsidR="004A7C7E">
        <w:t>ly recommends no change from</w:t>
      </w:r>
      <w:r w:rsidR="00C42F0C" w:rsidRPr="00EF5390">
        <w:t xml:space="preserve"> </w:t>
      </w:r>
      <w:r w:rsidR="004A7C7E">
        <w:t>S</w:t>
      </w:r>
      <w:r w:rsidR="003B26FE" w:rsidRPr="00EF5390">
        <w:t>AFPC</w:t>
      </w:r>
      <w:r w:rsidR="00C42F0C" w:rsidRPr="00EF5390">
        <w:t xml:space="preserve"> adjudications as not unfitting.</w:t>
      </w:r>
      <w:r w:rsidR="00D80B17" w:rsidRPr="00EF5390">
        <w:t xml:space="preserve"> </w:t>
      </w:r>
      <w:r w:rsidR="009E045F" w:rsidRPr="00EF5390">
        <w:t xml:space="preserve"> </w:t>
      </w:r>
      <w:r w:rsidR="00D80B17" w:rsidRPr="00EF5390">
        <w:t xml:space="preserve">In the matter of the </w:t>
      </w:r>
      <w:r w:rsidR="004A7C7E">
        <w:rPr>
          <w:rFonts w:eastAsia="HiddenHorzOCR"/>
        </w:rPr>
        <w:t>v</w:t>
      </w:r>
      <w:r w:rsidR="003B26FE" w:rsidRPr="00EF5390">
        <w:rPr>
          <w:rFonts w:eastAsia="HiddenHorzOCR"/>
        </w:rPr>
        <w:t xml:space="preserve">aricose </w:t>
      </w:r>
      <w:r w:rsidR="004A7C7E">
        <w:rPr>
          <w:rFonts w:eastAsia="HiddenHorzOCR"/>
        </w:rPr>
        <w:t>v</w:t>
      </w:r>
      <w:r w:rsidR="003B26FE" w:rsidRPr="00EF5390">
        <w:rPr>
          <w:rFonts w:eastAsia="HiddenHorzOCR"/>
        </w:rPr>
        <w:t>ein (</w:t>
      </w:r>
      <w:r w:rsidR="004A7C7E">
        <w:rPr>
          <w:rFonts w:eastAsia="HiddenHorzOCR"/>
        </w:rPr>
        <w:t>l</w:t>
      </w:r>
      <w:r w:rsidR="003B26FE" w:rsidRPr="00EF5390">
        <w:rPr>
          <w:rFonts w:eastAsia="HiddenHorzOCR"/>
        </w:rPr>
        <w:t>eft</w:t>
      </w:r>
      <w:r w:rsidR="004A7C7E">
        <w:rPr>
          <w:rFonts w:eastAsia="HiddenHorzOCR"/>
        </w:rPr>
        <w:t xml:space="preserve"> leg</w:t>
      </w:r>
      <w:r w:rsidR="003B26FE" w:rsidRPr="00EF5390">
        <w:rPr>
          <w:rFonts w:eastAsia="HiddenHorzOCR"/>
        </w:rPr>
        <w:t xml:space="preserve">), </w:t>
      </w:r>
      <w:r w:rsidR="004A7C7E">
        <w:rPr>
          <w:rFonts w:eastAsia="HiddenHorzOCR"/>
        </w:rPr>
        <w:t>v</w:t>
      </w:r>
      <w:r w:rsidR="003B26FE" w:rsidRPr="00EF5390">
        <w:rPr>
          <w:rFonts w:eastAsia="HiddenHorzOCR"/>
        </w:rPr>
        <w:t xml:space="preserve">aricose </w:t>
      </w:r>
      <w:r w:rsidR="004A7C7E">
        <w:rPr>
          <w:rFonts w:eastAsia="HiddenHorzOCR"/>
        </w:rPr>
        <w:t>v</w:t>
      </w:r>
      <w:r w:rsidR="003B26FE" w:rsidRPr="00EF5390">
        <w:rPr>
          <w:rFonts w:eastAsia="HiddenHorzOCR"/>
        </w:rPr>
        <w:t>ein (</w:t>
      </w:r>
      <w:r w:rsidR="004A7C7E">
        <w:rPr>
          <w:rFonts w:eastAsia="HiddenHorzOCR"/>
        </w:rPr>
        <w:t>r</w:t>
      </w:r>
      <w:r w:rsidR="003B26FE" w:rsidRPr="00EF5390">
        <w:rPr>
          <w:rFonts w:eastAsia="HiddenHorzOCR"/>
        </w:rPr>
        <w:t xml:space="preserve">ight </w:t>
      </w:r>
      <w:r w:rsidR="004A7C7E">
        <w:rPr>
          <w:rFonts w:eastAsia="HiddenHorzOCR"/>
        </w:rPr>
        <w:t>l</w:t>
      </w:r>
      <w:r w:rsidR="003B26FE" w:rsidRPr="00EF5390">
        <w:rPr>
          <w:rFonts w:eastAsia="HiddenHorzOCR"/>
        </w:rPr>
        <w:t xml:space="preserve">eg), </w:t>
      </w:r>
      <w:r w:rsidR="004A7C7E">
        <w:rPr>
          <w:rFonts w:eastAsia="HiddenHorzOCR"/>
        </w:rPr>
        <w:t>s</w:t>
      </w:r>
      <w:r w:rsidR="003B26FE" w:rsidRPr="00EF5390">
        <w:rPr>
          <w:rFonts w:eastAsia="HiddenHorzOCR"/>
        </w:rPr>
        <w:t xml:space="preserve">car </w:t>
      </w:r>
      <w:r w:rsidR="00EF5390" w:rsidRPr="00EF5390">
        <w:rPr>
          <w:rFonts w:eastAsia="HiddenHorzOCR"/>
        </w:rPr>
        <w:t>to</w:t>
      </w:r>
      <w:r w:rsidR="003B26FE" w:rsidRPr="00EF5390">
        <w:rPr>
          <w:rFonts w:eastAsia="HiddenHorzOCR"/>
        </w:rPr>
        <w:t xml:space="preserve"> </w:t>
      </w:r>
      <w:r w:rsidR="004A7C7E">
        <w:rPr>
          <w:rFonts w:eastAsia="HiddenHorzOCR"/>
        </w:rPr>
        <w:t>r</w:t>
      </w:r>
      <w:r w:rsidR="003B26FE" w:rsidRPr="00EF5390">
        <w:rPr>
          <w:rFonts w:eastAsia="HiddenHorzOCR"/>
        </w:rPr>
        <w:t xml:space="preserve">ight </w:t>
      </w:r>
      <w:r w:rsidR="004A7C7E">
        <w:rPr>
          <w:rFonts w:eastAsia="HiddenHorzOCR"/>
        </w:rPr>
        <w:t>l</w:t>
      </w:r>
      <w:r w:rsidR="003B26FE" w:rsidRPr="00EF5390">
        <w:rPr>
          <w:rFonts w:eastAsia="HiddenHorzOCR"/>
        </w:rPr>
        <w:t xml:space="preserve">ower </w:t>
      </w:r>
      <w:r w:rsidR="004A7C7E">
        <w:rPr>
          <w:rFonts w:eastAsia="HiddenHorzOCR"/>
        </w:rPr>
        <w:t>e</w:t>
      </w:r>
      <w:r w:rsidR="003B26FE" w:rsidRPr="00EF5390">
        <w:rPr>
          <w:rFonts w:eastAsia="HiddenHorzOCR"/>
        </w:rPr>
        <w:t>xtremities,</w:t>
      </w:r>
      <w:r w:rsidR="00D80B17" w:rsidRPr="00EF5390">
        <w:rPr>
          <w:color w:val="auto"/>
        </w:rPr>
        <w:t xml:space="preserve"> </w:t>
      </w:r>
      <w:r w:rsidR="003B26FE" w:rsidRPr="00EF5390">
        <w:rPr>
          <w:color w:val="auto"/>
        </w:rPr>
        <w:t xml:space="preserve">and </w:t>
      </w:r>
      <w:r w:rsidR="004A7C7E">
        <w:rPr>
          <w:rFonts w:eastAsia="HiddenHorzOCR"/>
        </w:rPr>
        <w:t>h</w:t>
      </w:r>
      <w:r w:rsidR="003B26FE" w:rsidRPr="00EF5390">
        <w:rPr>
          <w:rFonts w:eastAsia="HiddenHorzOCR"/>
        </w:rPr>
        <w:t xml:space="preserve">erpes </w:t>
      </w:r>
      <w:r w:rsidR="004A7C7E">
        <w:rPr>
          <w:rFonts w:eastAsia="HiddenHorzOCR"/>
        </w:rPr>
        <w:t>s</w:t>
      </w:r>
      <w:r w:rsidR="003B26FE" w:rsidRPr="00EF5390">
        <w:rPr>
          <w:rFonts w:eastAsia="HiddenHorzOCR"/>
        </w:rPr>
        <w:t xml:space="preserve">implex </w:t>
      </w:r>
      <w:r w:rsidR="004A7C7E">
        <w:rPr>
          <w:rFonts w:eastAsia="HiddenHorzOCR"/>
        </w:rPr>
        <w:t>t</w:t>
      </w:r>
      <w:r w:rsidR="003B26FE" w:rsidRPr="00EF5390">
        <w:rPr>
          <w:rFonts w:eastAsia="HiddenHorzOCR"/>
        </w:rPr>
        <w:t xml:space="preserve">ype 1 </w:t>
      </w:r>
      <w:r w:rsidR="00D80B17" w:rsidRPr="00EF5390">
        <w:t xml:space="preserve">or any other medical conditions eligible for Board consideration, the Board unanimously agrees that it cannot recommend any findings of unfit for additional rating at separation. </w:t>
      </w:r>
    </w:p>
    <w:p w:rsidR="00C42F0C" w:rsidRPr="00EF5390" w:rsidRDefault="00C42F0C" w:rsidP="00971C72">
      <w:pPr>
        <w:pBdr>
          <w:bottom w:val="single" w:sz="12" w:space="1" w:color="auto"/>
        </w:pBdr>
        <w:tabs>
          <w:tab w:val="left" w:pos="288"/>
          <w:tab w:val="left" w:pos="4752"/>
        </w:tabs>
      </w:pPr>
    </w:p>
    <w:p w:rsidR="00186BE3" w:rsidRPr="00EF5390" w:rsidRDefault="00186BE3" w:rsidP="009E045F">
      <w:pPr>
        <w:pStyle w:val="Default"/>
        <w:spacing w:line="240" w:lineRule="exact"/>
        <w:jc w:val="both"/>
        <w:rPr>
          <w:sz w:val="23"/>
          <w:szCs w:val="23"/>
        </w:rPr>
      </w:pPr>
    </w:p>
    <w:p w:rsidR="00892E83" w:rsidRPr="001F29F9" w:rsidRDefault="00C56FC8" w:rsidP="00892E83">
      <w:pPr>
        <w:rPr>
          <w:color w:val="000000" w:themeColor="text1"/>
        </w:rPr>
      </w:pPr>
      <w:r w:rsidRPr="00EF5390">
        <w:rPr>
          <w:u w:val="single"/>
        </w:rPr>
        <w:t>RECOMMENDATION</w:t>
      </w:r>
      <w:r w:rsidRPr="00EF5390">
        <w:t>:</w:t>
      </w:r>
      <w:r w:rsidR="004D529E" w:rsidRPr="00EF5390">
        <w:t xml:space="preserve"> </w:t>
      </w:r>
      <w:r w:rsidR="00892E83" w:rsidRPr="001F29F9">
        <w:rPr>
          <w:color w:val="000000" w:themeColor="text1"/>
        </w:rPr>
        <w:t xml:space="preserve">The Board, therefore, recommends that there be no recharacterization of the CI’s disability and separation determination, as follows: </w:t>
      </w:r>
    </w:p>
    <w:p w:rsidR="001E3FE1" w:rsidRPr="00EF5390" w:rsidRDefault="001E3FE1" w:rsidP="00A17170"/>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EF5390" w:rsidTr="0080588E">
        <w:trPr>
          <w:trHeight w:val="206"/>
          <w:jc w:val="center"/>
        </w:trPr>
        <w:tc>
          <w:tcPr>
            <w:tcW w:w="6462" w:type="dxa"/>
            <w:gridSpan w:val="2"/>
            <w:tcBorders>
              <w:right w:val="single" w:sz="4" w:space="0" w:color="auto"/>
            </w:tcBorders>
            <w:shd w:val="clear" w:color="auto" w:fill="D9D9D9"/>
            <w:vAlign w:val="center"/>
          </w:tcPr>
          <w:p w:rsidR="004101B2" w:rsidRPr="00EF5390" w:rsidRDefault="004101B2" w:rsidP="003B26FE">
            <w:pPr>
              <w:tabs>
                <w:tab w:val="left" w:pos="288"/>
                <w:tab w:val="left" w:pos="4752"/>
              </w:tabs>
              <w:jc w:val="center"/>
              <w:rPr>
                <w:b/>
              </w:rPr>
            </w:pPr>
            <w:r w:rsidRPr="00EF5390">
              <w:rPr>
                <w:b/>
              </w:rPr>
              <w:t>UNFITTING CONDITION</w:t>
            </w:r>
          </w:p>
        </w:tc>
        <w:tc>
          <w:tcPr>
            <w:tcW w:w="1724" w:type="dxa"/>
            <w:tcBorders>
              <w:left w:val="single" w:sz="4" w:space="0" w:color="auto"/>
            </w:tcBorders>
            <w:shd w:val="clear" w:color="auto" w:fill="D9D9D9"/>
            <w:vAlign w:val="center"/>
          </w:tcPr>
          <w:p w:rsidR="004101B2" w:rsidRPr="00EF5390" w:rsidRDefault="004101B2" w:rsidP="003B26FE">
            <w:pPr>
              <w:tabs>
                <w:tab w:val="left" w:pos="288"/>
                <w:tab w:val="left" w:pos="4752"/>
              </w:tabs>
              <w:jc w:val="center"/>
              <w:rPr>
                <w:b/>
              </w:rPr>
            </w:pPr>
            <w:r w:rsidRPr="00EF5390">
              <w:rPr>
                <w:b/>
              </w:rPr>
              <w:t>VASRD CODE</w:t>
            </w:r>
          </w:p>
        </w:tc>
        <w:tc>
          <w:tcPr>
            <w:tcW w:w="1084" w:type="dxa"/>
            <w:shd w:val="clear" w:color="auto" w:fill="D9D9D9"/>
            <w:vAlign w:val="center"/>
          </w:tcPr>
          <w:p w:rsidR="004101B2" w:rsidRPr="00EF5390" w:rsidRDefault="004101B2" w:rsidP="003B26FE">
            <w:pPr>
              <w:tabs>
                <w:tab w:val="left" w:pos="288"/>
                <w:tab w:val="left" w:pos="4752"/>
              </w:tabs>
              <w:jc w:val="center"/>
              <w:rPr>
                <w:b/>
              </w:rPr>
            </w:pPr>
            <w:r w:rsidRPr="00EF5390">
              <w:rPr>
                <w:b/>
              </w:rPr>
              <w:t>RATING</w:t>
            </w:r>
          </w:p>
        </w:tc>
      </w:tr>
      <w:tr w:rsidR="00971C72" w:rsidRPr="00EF5390" w:rsidTr="0080588E">
        <w:trPr>
          <w:jc w:val="center"/>
        </w:trPr>
        <w:tc>
          <w:tcPr>
            <w:tcW w:w="6462" w:type="dxa"/>
            <w:gridSpan w:val="2"/>
            <w:tcBorders>
              <w:right w:val="single" w:sz="4" w:space="0" w:color="auto"/>
            </w:tcBorders>
            <w:vAlign w:val="center"/>
          </w:tcPr>
          <w:p w:rsidR="00971C72" w:rsidRPr="00EF5390" w:rsidRDefault="00971C72" w:rsidP="00971C72">
            <w:pPr>
              <w:tabs>
                <w:tab w:val="left" w:pos="288"/>
                <w:tab w:val="left" w:pos="4752"/>
              </w:tabs>
              <w:jc w:val="left"/>
            </w:pPr>
            <w:r w:rsidRPr="00EF5390">
              <w:rPr>
                <w:rFonts w:eastAsia="Calibri"/>
              </w:rPr>
              <w:t xml:space="preserve">Right Plantar Fasciitis </w:t>
            </w:r>
          </w:p>
        </w:tc>
        <w:tc>
          <w:tcPr>
            <w:tcW w:w="1724" w:type="dxa"/>
            <w:tcBorders>
              <w:left w:val="single" w:sz="4" w:space="0" w:color="auto"/>
            </w:tcBorders>
            <w:vAlign w:val="center"/>
          </w:tcPr>
          <w:p w:rsidR="00971C72" w:rsidRPr="00EF5390" w:rsidRDefault="00971C72" w:rsidP="003B26FE">
            <w:pPr>
              <w:tabs>
                <w:tab w:val="left" w:pos="288"/>
                <w:tab w:val="left" w:pos="4752"/>
              </w:tabs>
              <w:jc w:val="center"/>
            </w:pPr>
            <w:r w:rsidRPr="00EF5390">
              <w:rPr>
                <w:rFonts w:eastAsia="Calibri"/>
              </w:rPr>
              <w:t>5399-5310</w:t>
            </w:r>
          </w:p>
        </w:tc>
        <w:tc>
          <w:tcPr>
            <w:tcW w:w="1084" w:type="dxa"/>
            <w:vAlign w:val="center"/>
          </w:tcPr>
          <w:p w:rsidR="00971C72" w:rsidRPr="00EF5390" w:rsidRDefault="00971C72" w:rsidP="003B26FE">
            <w:pPr>
              <w:tabs>
                <w:tab w:val="left" w:pos="288"/>
                <w:tab w:val="left" w:pos="4752"/>
              </w:tabs>
              <w:jc w:val="center"/>
            </w:pPr>
            <w:r w:rsidRPr="00EF5390">
              <w:rPr>
                <w:rFonts w:eastAsia="Calibri"/>
              </w:rPr>
              <w:t>10%</w:t>
            </w:r>
          </w:p>
        </w:tc>
      </w:tr>
      <w:tr w:rsidR="00971C72" w:rsidRPr="00EF5390" w:rsidTr="0080588E">
        <w:trPr>
          <w:jc w:val="center"/>
        </w:trPr>
        <w:tc>
          <w:tcPr>
            <w:tcW w:w="6462" w:type="dxa"/>
            <w:gridSpan w:val="2"/>
            <w:tcBorders>
              <w:right w:val="single" w:sz="4" w:space="0" w:color="auto"/>
            </w:tcBorders>
            <w:vAlign w:val="center"/>
          </w:tcPr>
          <w:p w:rsidR="00971C72" w:rsidRPr="00EF5390" w:rsidRDefault="00971C72" w:rsidP="00971C72">
            <w:pPr>
              <w:tabs>
                <w:tab w:val="left" w:pos="288"/>
                <w:tab w:val="left" w:pos="4752"/>
              </w:tabs>
              <w:jc w:val="left"/>
              <w:rPr>
                <w:sz w:val="23"/>
                <w:szCs w:val="23"/>
              </w:rPr>
            </w:pPr>
            <w:r w:rsidRPr="00EF5390">
              <w:rPr>
                <w:rFonts w:eastAsia="Calibri"/>
              </w:rPr>
              <w:t>Left Plantar Fasciitis</w:t>
            </w:r>
          </w:p>
        </w:tc>
        <w:tc>
          <w:tcPr>
            <w:tcW w:w="1724" w:type="dxa"/>
            <w:tcBorders>
              <w:left w:val="single" w:sz="4" w:space="0" w:color="auto"/>
            </w:tcBorders>
            <w:vAlign w:val="center"/>
          </w:tcPr>
          <w:p w:rsidR="00971C72" w:rsidRPr="00EF5390" w:rsidRDefault="00971C72" w:rsidP="003B26FE">
            <w:pPr>
              <w:tabs>
                <w:tab w:val="left" w:pos="288"/>
                <w:tab w:val="left" w:pos="4752"/>
              </w:tabs>
              <w:jc w:val="center"/>
            </w:pPr>
            <w:r w:rsidRPr="00EF5390">
              <w:rPr>
                <w:rFonts w:eastAsia="Calibri"/>
              </w:rPr>
              <w:t>5399-5310</w:t>
            </w:r>
          </w:p>
        </w:tc>
        <w:tc>
          <w:tcPr>
            <w:tcW w:w="1084" w:type="dxa"/>
            <w:vAlign w:val="center"/>
          </w:tcPr>
          <w:p w:rsidR="00971C72" w:rsidRPr="00EF5390" w:rsidRDefault="00971C72" w:rsidP="003B26FE">
            <w:pPr>
              <w:tabs>
                <w:tab w:val="left" w:pos="288"/>
                <w:tab w:val="left" w:pos="4752"/>
              </w:tabs>
              <w:jc w:val="center"/>
            </w:pPr>
            <w:r w:rsidRPr="00EF5390">
              <w:rPr>
                <w:rFonts w:eastAsia="Calibri"/>
              </w:rPr>
              <w:t>10%</w:t>
            </w:r>
          </w:p>
        </w:tc>
      </w:tr>
      <w:tr w:rsidR="00971C72" w:rsidRPr="00EF5390" w:rsidTr="0080588E">
        <w:trPr>
          <w:jc w:val="center"/>
        </w:trPr>
        <w:tc>
          <w:tcPr>
            <w:tcW w:w="6462" w:type="dxa"/>
            <w:gridSpan w:val="2"/>
            <w:tcBorders>
              <w:right w:val="single" w:sz="4" w:space="0" w:color="auto"/>
            </w:tcBorders>
            <w:vAlign w:val="center"/>
          </w:tcPr>
          <w:p w:rsidR="00971C72" w:rsidRPr="00EF5390" w:rsidRDefault="00971C72" w:rsidP="00971C72">
            <w:pPr>
              <w:tabs>
                <w:tab w:val="left" w:pos="288"/>
                <w:tab w:val="left" w:pos="4752"/>
              </w:tabs>
              <w:jc w:val="left"/>
            </w:pPr>
            <w:r w:rsidRPr="00EF5390">
              <w:rPr>
                <w:rFonts w:eastAsia="Calibri"/>
              </w:rPr>
              <w:t>History of Right Exertional Anterior Compartment Syndrome, status-post Fasciotomy, resolved</w:t>
            </w:r>
          </w:p>
        </w:tc>
        <w:tc>
          <w:tcPr>
            <w:tcW w:w="1724" w:type="dxa"/>
            <w:tcBorders>
              <w:left w:val="single" w:sz="4" w:space="0" w:color="auto"/>
            </w:tcBorders>
            <w:vAlign w:val="center"/>
          </w:tcPr>
          <w:p w:rsidR="00971C72" w:rsidRPr="00EF5390" w:rsidRDefault="00971C72" w:rsidP="003B26FE">
            <w:pPr>
              <w:tabs>
                <w:tab w:val="left" w:pos="288"/>
                <w:tab w:val="left" w:pos="4752"/>
              </w:tabs>
              <w:jc w:val="center"/>
            </w:pPr>
            <w:r w:rsidRPr="00EF5390">
              <w:rPr>
                <w:rFonts w:eastAsia="Calibri"/>
              </w:rPr>
              <w:t>5399-5312</w:t>
            </w:r>
          </w:p>
        </w:tc>
        <w:tc>
          <w:tcPr>
            <w:tcW w:w="1084" w:type="dxa"/>
            <w:vAlign w:val="center"/>
          </w:tcPr>
          <w:p w:rsidR="00971C72" w:rsidRPr="00EF5390" w:rsidRDefault="00971C72" w:rsidP="003B26FE">
            <w:pPr>
              <w:tabs>
                <w:tab w:val="left" w:pos="288"/>
                <w:tab w:val="left" w:pos="4752"/>
              </w:tabs>
              <w:jc w:val="center"/>
            </w:pPr>
            <w:r w:rsidRPr="00EF5390">
              <w:rPr>
                <w:rFonts w:eastAsia="Calibri"/>
              </w:rPr>
              <w:t>0%</w:t>
            </w:r>
          </w:p>
        </w:tc>
      </w:tr>
      <w:tr w:rsidR="004101B2" w:rsidRPr="00EF5390"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EF5390" w:rsidRDefault="004101B2" w:rsidP="00971C72">
            <w:pPr>
              <w:tabs>
                <w:tab w:val="left" w:pos="288"/>
                <w:tab w:val="left" w:pos="4752"/>
              </w:tabs>
              <w:rPr>
                <w:b/>
              </w:rPr>
            </w:pPr>
            <w:r w:rsidRPr="00EF5390">
              <w:rPr>
                <w:b/>
              </w:rPr>
              <w:t>COMBINED (Incorporating BLF)</w:t>
            </w:r>
          </w:p>
        </w:tc>
        <w:tc>
          <w:tcPr>
            <w:tcW w:w="1084" w:type="dxa"/>
            <w:tcBorders>
              <w:bottom w:val="single" w:sz="4" w:space="0" w:color="000000"/>
            </w:tcBorders>
            <w:shd w:val="clear" w:color="auto" w:fill="D9D9D9" w:themeFill="background1" w:themeFillShade="D9"/>
            <w:vAlign w:val="center"/>
          </w:tcPr>
          <w:p w:rsidR="004101B2" w:rsidRPr="00EF5390" w:rsidRDefault="00971C72" w:rsidP="003B26FE">
            <w:pPr>
              <w:tabs>
                <w:tab w:val="left" w:pos="288"/>
                <w:tab w:val="left" w:pos="4752"/>
              </w:tabs>
              <w:jc w:val="center"/>
              <w:rPr>
                <w:b/>
              </w:rPr>
            </w:pPr>
            <w:r w:rsidRPr="00EF5390">
              <w:rPr>
                <w:b/>
              </w:rPr>
              <w:t>2</w:t>
            </w:r>
            <w:r w:rsidR="00911490" w:rsidRPr="00EF5390">
              <w:rPr>
                <w:b/>
              </w:rPr>
              <w:t>0</w:t>
            </w:r>
            <w:r w:rsidR="004101B2" w:rsidRPr="00EF5390">
              <w:rPr>
                <w:b/>
              </w:rPr>
              <w:t>%</w:t>
            </w:r>
          </w:p>
        </w:tc>
      </w:tr>
    </w:tbl>
    <w:p w:rsidR="005B1D09" w:rsidRPr="00EF5390" w:rsidRDefault="005B1D09" w:rsidP="00971C72">
      <w:pPr>
        <w:pBdr>
          <w:bottom w:val="single" w:sz="12" w:space="1" w:color="auto"/>
        </w:pBdr>
        <w:tabs>
          <w:tab w:val="left" w:pos="288"/>
          <w:tab w:val="left" w:pos="4752"/>
        </w:tabs>
      </w:pPr>
    </w:p>
    <w:p w:rsidR="005B1D09" w:rsidRPr="00EF5390" w:rsidRDefault="005B1D09" w:rsidP="00A17170"/>
    <w:p w:rsidR="00D91DA6" w:rsidRPr="00EF5390" w:rsidRDefault="00FB1725" w:rsidP="00971C72">
      <w:pPr>
        <w:tabs>
          <w:tab w:val="left" w:pos="288"/>
          <w:tab w:val="left" w:pos="4752"/>
        </w:tabs>
      </w:pPr>
      <w:r w:rsidRPr="00EF5390">
        <w:t>The following documentary evidence was considered:</w:t>
      </w:r>
    </w:p>
    <w:p w:rsidR="00EB5EFD" w:rsidRPr="00EF5390" w:rsidRDefault="00EB5EFD" w:rsidP="00971C72">
      <w:pPr>
        <w:tabs>
          <w:tab w:val="left" w:pos="288"/>
          <w:tab w:val="left" w:pos="4752"/>
        </w:tabs>
      </w:pPr>
    </w:p>
    <w:p w:rsidR="00114F20" w:rsidRPr="00EF5390" w:rsidRDefault="00FB1725" w:rsidP="00971C72">
      <w:pPr>
        <w:tabs>
          <w:tab w:val="left" w:pos="288"/>
          <w:tab w:val="left" w:pos="4752"/>
        </w:tabs>
        <w:spacing w:line="440" w:lineRule="exact"/>
      </w:pPr>
      <w:r w:rsidRPr="00EF5390">
        <w:t>Exhibit A.  DD Form 294, dated 20</w:t>
      </w:r>
      <w:r w:rsidR="001215DF" w:rsidRPr="00EF5390">
        <w:t>1</w:t>
      </w:r>
      <w:r w:rsidR="00B95496" w:rsidRPr="00EF5390">
        <w:t>10705</w:t>
      </w:r>
      <w:r w:rsidR="004A7C7E">
        <w:t>, w/atchs</w:t>
      </w:r>
    </w:p>
    <w:p w:rsidR="00114F20" w:rsidRPr="00EF5390" w:rsidRDefault="00FB1725" w:rsidP="00971C72">
      <w:pPr>
        <w:tabs>
          <w:tab w:val="left" w:pos="288"/>
          <w:tab w:val="left" w:pos="4752"/>
        </w:tabs>
      </w:pPr>
      <w:r w:rsidRPr="00EF5390">
        <w:t>Exhib</w:t>
      </w:r>
      <w:r w:rsidR="004A7C7E">
        <w:t>it B.  Service Treatment Record</w:t>
      </w:r>
    </w:p>
    <w:p w:rsidR="00114F20" w:rsidRPr="00EF5390" w:rsidRDefault="00FB1725" w:rsidP="00971C72">
      <w:pPr>
        <w:tabs>
          <w:tab w:val="left" w:pos="288"/>
          <w:tab w:val="left" w:pos="4752"/>
        </w:tabs>
      </w:pPr>
      <w:r w:rsidRPr="00EF5390">
        <w:t>Exhibit C.  Department of Ve</w:t>
      </w:r>
      <w:r w:rsidR="004A7C7E">
        <w:t>terans Affairs Treatment Record</w:t>
      </w:r>
    </w:p>
    <w:p w:rsidR="00D91DA6" w:rsidRPr="00EF5390" w:rsidRDefault="00D91DA6" w:rsidP="00971C72">
      <w:pPr>
        <w:tabs>
          <w:tab w:val="left" w:pos="288"/>
          <w:tab w:val="left" w:pos="4752"/>
        </w:tabs>
      </w:pPr>
    </w:p>
    <w:p w:rsidR="00114F20" w:rsidRPr="00EF5390" w:rsidRDefault="00114F20" w:rsidP="00971C72">
      <w:pPr>
        <w:tabs>
          <w:tab w:val="left" w:pos="288"/>
          <w:tab w:val="left" w:pos="4752"/>
        </w:tabs>
      </w:pPr>
    </w:p>
    <w:p w:rsidR="00114F20" w:rsidRPr="00EF5390" w:rsidRDefault="00114F20" w:rsidP="00971C72">
      <w:pPr>
        <w:tabs>
          <w:tab w:val="left" w:pos="288"/>
          <w:tab w:val="left" w:pos="4752"/>
        </w:tabs>
      </w:pPr>
    </w:p>
    <w:p w:rsidR="00114F20" w:rsidRPr="00EF5390" w:rsidRDefault="00114F20" w:rsidP="00971C72">
      <w:pPr>
        <w:tabs>
          <w:tab w:val="left" w:pos="288"/>
          <w:tab w:val="left" w:pos="4752"/>
        </w:tabs>
      </w:pPr>
    </w:p>
    <w:p w:rsidR="00E3077F" w:rsidRPr="00EF5390" w:rsidRDefault="00220FA9" w:rsidP="00971C72">
      <w:pPr>
        <w:tabs>
          <w:tab w:val="left" w:pos="0"/>
          <w:tab w:val="left" w:pos="4320"/>
        </w:tabs>
      </w:pPr>
      <w:r w:rsidRPr="00EF5390">
        <w:tab/>
      </w:r>
      <w:r w:rsidR="008E3C90" w:rsidRPr="00EF5390">
        <w:t xml:space="preserve">           </w:t>
      </w:r>
      <w:r w:rsidR="00AF1835">
        <w:t>XXXXXXXXXXXXXXX</w:t>
      </w:r>
    </w:p>
    <w:p w:rsidR="002F195B" w:rsidRPr="00EF5390" w:rsidRDefault="00220FA9" w:rsidP="00971C72">
      <w:pPr>
        <w:tabs>
          <w:tab w:val="left" w:pos="0"/>
          <w:tab w:val="left" w:pos="4320"/>
        </w:tabs>
      </w:pPr>
      <w:r w:rsidRPr="00EF5390">
        <w:tab/>
      </w:r>
      <w:r w:rsidR="008E3C90" w:rsidRPr="00EF5390">
        <w:t xml:space="preserve">           </w:t>
      </w:r>
      <w:r w:rsidR="005F73CA" w:rsidRPr="00EF5390">
        <w:t>President</w:t>
      </w:r>
    </w:p>
    <w:p w:rsidR="00E3077F" w:rsidRPr="001F29F9" w:rsidRDefault="002F195B" w:rsidP="00971C72">
      <w:pPr>
        <w:tabs>
          <w:tab w:val="left" w:pos="0"/>
          <w:tab w:val="left" w:pos="4320"/>
        </w:tabs>
      </w:pPr>
      <w:r w:rsidRPr="00EF5390">
        <w:tab/>
        <w:t xml:space="preserve">           </w:t>
      </w:r>
      <w:r w:rsidR="00220FA9" w:rsidRPr="00EF5390">
        <w:t>P</w:t>
      </w:r>
      <w:r w:rsidR="00E3077F" w:rsidRPr="00EF5390">
        <w:t>hysical Disability Board of Review</w:t>
      </w:r>
    </w:p>
    <w:p w:rsidR="00AF1835" w:rsidRDefault="00A226BA" w:rsidP="00A41855">
      <w:pPr>
        <w:tabs>
          <w:tab w:val="left" w:pos="8640"/>
        </w:tabs>
      </w:pPr>
      <w:r w:rsidRPr="00645CA3">
        <w:tab/>
      </w:r>
    </w:p>
    <w:p w:rsidR="00AF1835" w:rsidRDefault="00AF1835">
      <w:pPr>
        <w:jc w:val="center"/>
      </w:pPr>
      <w:r>
        <w:br w:type="page"/>
      </w:r>
    </w:p>
    <w:p w:rsidR="00AF1835" w:rsidRDefault="00AF1835" w:rsidP="00AF1835">
      <w:pPr>
        <w:tabs>
          <w:tab w:val="left" w:pos="576"/>
        </w:tabs>
        <w:ind w:right="-1080"/>
        <w:rPr>
          <w:rFonts w:ascii="Times New Roman" w:hAnsi="Times New Roman"/>
        </w:rPr>
      </w:pPr>
      <w:r>
        <w:rPr>
          <w:rFonts w:ascii="Times New Roman" w:hAnsi="Times New Roman"/>
        </w:rPr>
        <w:lastRenderedPageBreak/>
        <w:t>SAF/MRB</w:t>
      </w:r>
    </w:p>
    <w:p w:rsidR="00AF1835" w:rsidRDefault="00AF1835" w:rsidP="00AF1835">
      <w:pPr>
        <w:tabs>
          <w:tab w:val="left" w:pos="576"/>
        </w:tabs>
        <w:ind w:right="-1080"/>
        <w:rPr>
          <w:rFonts w:ascii="Times New Roman" w:hAnsi="Times New Roman"/>
        </w:rPr>
      </w:pPr>
      <w:r>
        <w:rPr>
          <w:rFonts w:ascii="Times New Roman" w:hAnsi="Times New Roman"/>
        </w:rPr>
        <w:t>1500 West Perimeter Road, Suite 3700</w:t>
      </w:r>
    </w:p>
    <w:p w:rsidR="00AF1835" w:rsidRDefault="00AF1835" w:rsidP="00AF1835">
      <w:pPr>
        <w:tabs>
          <w:tab w:val="left" w:pos="576"/>
        </w:tabs>
        <w:ind w:right="-1080"/>
        <w:rPr>
          <w:rFonts w:ascii="Times New Roman" w:hAnsi="Times New Roman"/>
        </w:rPr>
      </w:pPr>
      <w:r>
        <w:rPr>
          <w:rFonts w:ascii="Times New Roman" w:hAnsi="Times New Roman"/>
        </w:rPr>
        <w:t>Joint Base Andrews MD  20762</w:t>
      </w:r>
    </w:p>
    <w:p w:rsidR="00AF1835" w:rsidRDefault="00AF1835" w:rsidP="00AF1835">
      <w:pPr>
        <w:tabs>
          <w:tab w:val="left" w:pos="576"/>
        </w:tabs>
        <w:ind w:right="-1080"/>
        <w:rPr>
          <w:rFonts w:ascii="Times New Roman" w:hAnsi="Times New Roman"/>
        </w:rPr>
      </w:pPr>
    </w:p>
    <w:p w:rsidR="00AF1835" w:rsidRDefault="00AF1835" w:rsidP="00AF1835">
      <w:pPr>
        <w:tabs>
          <w:tab w:val="left" w:pos="720"/>
        </w:tabs>
        <w:ind w:right="-1080"/>
        <w:rPr>
          <w:rFonts w:ascii="Times New Roman" w:hAnsi="Times New Roman"/>
        </w:rPr>
      </w:pPr>
      <w:r>
        <w:rPr>
          <w:rFonts w:ascii="Times New Roman" w:hAnsi="Times New Roman"/>
        </w:rPr>
        <w:t xml:space="preserve">Dear </w:t>
      </w:r>
      <w:proofErr w:type="spellStart"/>
      <w:r>
        <w:rPr>
          <w:rFonts w:ascii="Times New Roman" w:hAnsi="Times New Roman"/>
        </w:rPr>
        <w:t>xxxxxxxxx</w:t>
      </w:r>
      <w:proofErr w:type="spellEnd"/>
      <w:r>
        <w:rPr>
          <w:rFonts w:ascii="Times New Roman" w:hAnsi="Times New Roman"/>
        </w:rPr>
        <w:t>:</w:t>
      </w:r>
    </w:p>
    <w:p w:rsidR="00AF1835" w:rsidRDefault="00AF1835" w:rsidP="00AF1835">
      <w:pPr>
        <w:tabs>
          <w:tab w:val="left" w:pos="720"/>
        </w:tabs>
        <w:ind w:right="-1080"/>
        <w:rPr>
          <w:rFonts w:ascii="Times New Roman" w:hAnsi="Times New Roman"/>
        </w:rPr>
      </w:pPr>
    </w:p>
    <w:p w:rsidR="00AF1835" w:rsidRDefault="00AF1835" w:rsidP="00AF1835">
      <w:pPr>
        <w:pStyle w:val="BodyText2"/>
        <w:rPr>
          <w:rFonts w:ascii="Times New Roman" w:hAnsi="Times New Roman"/>
        </w:rPr>
      </w:pPr>
      <w:r>
        <w:rPr>
          <w:rFonts w:ascii="Times New Roman" w:hAnsi="Times New Roman"/>
        </w:rPr>
        <w:tab/>
        <w:t>Reference your application submitted under the provisions of DoDI 6040.44 (Title 10 U.S.C. §</w:t>
      </w:r>
      <w:proofErr w:type="gramStart"/>
      <w:r>
        <w:rPr>
          <w:rFonts w:ascii="Times New Roman" w:hAnsi="Times New Roman"/>
        </w:rPr>
        <w:t>  1554a</w:t>
      </w:r>
      <w:proofErr w:type="gramEnd"/>
      <w:r>
        <w:rPr>
          <w:rFonts w:ascii="Times New Roman" w:hAnsi="Times New Roman"/>
        </w:rPr>
        <w:t>), PDBR Case Number PD-2011-00509</w:t>
      </w: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rPr>
          <w:rFonts w:ascii="Times New Roman" w:hAnsi="Times New Roman"/>
        </w:rPr>
      </w:pPr>
      <w:r>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rPr>
          <w:rFonts w:ascii="Times New Roman" w:hAnsi="Times New Roman"/>
        </w:rPr>
      </w:pPr>
      <w:r>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AF1835" w:rsidRDefault="00AF1835" w:rsidP="00AF1835">
      <w:pPr>
        <w:pStyle w:val="BodyText2"/>
        <w:rPr>
          <w:rFonts w:ascii="Times New Roman" w:hAnsi="Times New Roman"/>
        </w:rPr>
      </w:pPr>
    </w:p>
    <w:p w:rsidR="00AF1835" w:rsidRDefault="00AF1835" w:rsidP="00AF1835">
      <w:pPr>
        <w:tabs>
          <w:tab w:val="left" w:pos="720"/>
        </w:tabs>
        <w:ind w:righ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left="5040" w:right="-1080"/>
        <w:rPr>
          <w:rFonts w:ascii="Times New Roman" w:hAnsi="Times New Roman"/>
        </w:rPr>
      </w:pPr>
      <w:proofErr w:type="spellStart"/>
      <w:r>
        <w:rPr>
          <w:rFonts w:ascii="Times New Roman" w:hAnsi="Times New Roman"/>
        </w:rPr>
        <w:t>Xxxxxxxxxxxxxx</w:t>
      </w:r>
      <w:proofErr w:type="spellEnd"/>
      <w:r>
        <w:rPr>
          <w:rFonts w:ascii="Times New Roman" w:hAnsi="Times New Roman"/>
        </w:rPr>
        <w:tab/>
      </w:r>
    </w:p>
    <w:p w:rsidR="00AF1835" w:rsidRDefault="00AF1835" w:rsidP="00AF1835">
      <w:pPr>
        <w:tabs>
          <w:tab w:val="left" w:pos="720"/>
        </w:tabs>
        <w:ind w:left="5040" w:right="-1080"/>
        <w:rPr>
          <w:rFonts w:ascii="Times New Roman" w:hAnsi="Times New Roman"/>
        </w:rPr>
      </w:pPr>
      <w:r>
        <w:rPr>
          <w:rFonts w:ascii="Times New Roman" w:hAnsi="Times New Roman"/>
        </w:rPr>
        <w:t>Director</w:t>
      </w:r>
    </w:p>
    <w:p w:rsidR="00AF1835" w:rsidRDefault="00AF1835" w:rsidP="00AF1835">
      <w:pPr>
        <w:tabs>
          <w:tab w:val="left" w:pos="720"/>
        </w:tabs>
        <w:ind w:left="5040" w:right="-1080"/>
        <w:rPr>
          <w:rFonts w:ascii="Times New Roman" w:hAnsi="Times New Roman"/>
        </w:rPr>
      </w:pPr>
      <w:r>
        <w:rPr>
          <w:rFonts w:ascii="Times New Roman" w:hAnsi="Times New Roman"/>
        </w:rPr>
        <w:t>Air Force Review Boards Agency</w:t>
      </w:r>
    </w:p>
    <w:p w:rsidR="00AF1835" w:rsidRDefault="00AF1835" w:rsidP="00AF1835">
      <w:pPr>
        <w:tabs>
          <w:tab w:val="left" w:pos="720"/>
        </w:tabs>
        <w:ind w:right="-1080"/>
        <w:rPr>
          <w:rFonts w:ascii="Times New Roman" w:hAnsi="Times New Roman"/>
        </w:rPr>
      </w:pPr>
    </w:p>
    <w:p w:rsidR="00AF1835" w:rsidRDefault="00AF1835" w:rsidP="00AF1835">
      <w:pPr>
        <w:tabs>
          <w:tab w:val="left" w:pos="720"/>
        </w:tabs>
        <w:ind w:right="-1080"/>
        <w:rPr>
          <w:rFonts w:ascii="Times New Roman" w:hAnsi="Times New Roman"/>
        </w:rPr>
      </w:pPr>
      <w:r>
        <w:rPr>
          <w:rFonts w:ascii="Times New Roman" w:hAnsi="Times New Roman"/>
        </w:rPr>
        <w:t>Attachment:</w:t>
      </w:r>
    </w:p>
    <w:p w:rsidR="00AF1835" w:rsidRDefault="00AF1835" w:rsidP="00AF1835">
      <w:pPr>
        <w:tabs>
          <w:tab w:val="left" w:pos="720"/>
        </w:tabs>
        <w:ind w:right="-1080"/>
        <w:rPr>
          <w:rFonts w:ascii="Times New Roman" w:hAnsi="Times New Roman"/>
        </w:rPr>
      </w:pPr>
      <w:r>
        <w:rPr>
          <w:rFonts w:ascii="Times New Roman" w:hAnsi="Times New Roman"/>
        </w:rPr>
        <w:t>Record of Proceedings</w:t>
      </w:r>
    </w:p>
    <w:p w:rsidR="00C80A6B" w:rsidRDefault="00C80A6B" w:rsidP="00A41855">
      <w:pPr>
        <w:tabs>
          <w:tab w:val="left" w:pos="8640"/>
        </w:tabs>
      </w:pPr>
    </w:p>
    <w:sectPr w:rsidR="00C80A6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DD" w:rsidRDefault="00B75ADD" w:rsidP="00A17170">
      <w:r>
        <w:separator/>
      </w:r>
    </w:p>
  </w:endnote>
  <w:endnote w:type="continuationSeparator" w:id="0">
    <w:p w:rsidR="00B75ADD" w:rsidRDefault="00B75ADD" w:rsidP="00A17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3361"/>
      <w:docPartObj>
        <w:docPartGallery w:val="Page Numbers (Bottom of Page)"/>
        <w:docPartUnique/>
      </w:docPartObj>
    </w:sdtPr>
    <w:sdtContent>
      <w:p w:rsidR="00CA31F5" w:rsidRPr="00374247" w:rsidRDefault="00CA31F5" w:rsidP="00971C72">
        <w:pPr>
          <w:pStyle w:val="Footer"/>
          <w:ind w:firstLine="4320"/>
        </w:pPr>
        <w:r w:rsidRPr="00374247">
          <w:t xml:space="preserve">   </w:t>
        </w:r>
        <w:fldSimple w:instr=" PAGE   \* MERGEFORMAT ">
          <w:r w:rsidR="00AF1835" w:rsidRPr="00AF1835">
            <w:rPr>
              <w:noProof/>
              <w:szCs w:val="20"/>
            </w:rPr>
            <w:t>7</w:t>
          </w:r>
        </w:fldSimple>
        <w:r w:rsidRPr="00A226BA">
          <w:t xml:space="preserve">                                                           PD1100</w:t>
        </w:r>
        <w:r>
          <w:t>509</w:t>
        </w:r>
      </w:p>
    </w:sdtContent>
  </w:sdt>
  <w:p w:rsidR="00CA31F5" w:rsidRPr="00684CE6" w:rsidRDefault="00CA31F5" w:rsidP="00A17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DD" w:rsidRDefault="00B75ADD" w:rsidP="00A17170">
      <w:r>
        <w:separator/>
      </w:r>
    </w:p>
  </w:footnote>
  <w:footnote w:type="continuationSeparator" w:id="0">
    <w:p w:rsidR="00B75ADD" w:rsidRDefault="00B75ADD" w:rsidP="00A17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F5E3B"/>
    <w:multiLevelType w:val="hybridMultilevel"/>
    <w:tmpl w:val="FB28C464"/>
    <w:lvl w:ilvl="0" w:tplc="4632600A">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5234"/>
  </w:hdrShapeDefaults>
  <w:footnotePr>
    <w:numRestart w:val="eachSect"/>
    <w:footnote w:id="-1"/>
    <w:footnote w:id="0"/>
  </w:footnotePr>
  <w:endnotePr>
    <w:endnote w:id="-1"/>
    <w:endnote w:id="0"/>
  </w:endnotePr>
  <w:compat/>
  <w:rsids>
    <w:rsidRoot w:val="001C28D1"/>
    <w:rsid w:val="000024F5"/>
    <w:rsid w:val="000044FA"/>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77C"/>
    <w:rsid w:val="00083A7C"/>
    <w:rsid w:val="00084CF2"/>
    <w:rsid w:val="00085D7B"/>
    <w:rsid w:val="0008708B"/>
    <w:rsid w:val="00091301"/>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5DF6"/>
    <w:rsid w:val="000B7D8E"/>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026"/>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CCC"/>
    <w:rsid w:val="00113D2A"/>
    <w:rsid w:val="00114F20"/>
    <w:rsid w:val="0011590B"/>
    <w:rsid w:val="001211AF"/>
    <w:rsid w:val="001215DF"/>
    <w:rsid w:val="001219DF"/>
    <w:rsid w:val="0012220B"/>
    <w:rsid w:val="00122ABE"/>
    <w:rsid w:val="001231DC"/>
    <w:rsid w:val="0012453A"/>
    <w:rsid w:val="0012489B"/>
    <w:rsid w:val="001272AE"/>
    <w:rsid w:val="00130756"/>
    <w:rsid w:val="0013144A"/>
    <w:rsid w:val="001315DD"/>
    <w:rsid w:val="001325D4"/>
    <w:rsid w:val="0013525F"/>
    <w:rsid w:val="00135385"/>
    <w:rsid w:val="00136204"/>
    <w:rsid w:val="001364D1"/>
    <w:rsid w:val="001374C7"/>
    <w:rsid w:val="00140FA4"/>
    <w:rsid w:val="00141BC9"/>
    <w:rsid w:val="001421FD"/>
    <w:rsid w:val="001425C8"/>
    <w:rsid w:val="00142EBA"/>
    <w:rsid w:val="00143B79"/>
    <w:rsid w:val="00145965"/>
    <w:rsid w:val="001460C3"/>
    <w:rsid w:val="00150B8A"/>
    <w:rsid w:val="00150DCB"/>
    <w:rsid w:val="00151912"/>
    <w:rsid w:val="00153740"/>
    <w:rsid w:val="001537D8"/>
    <w:rsid w:val="00153D88"/>
    <w:rsid w:val="001541C5"/>
    <w:rsid w:val="0015623F"/>
    <w:rsid w:val="00156585"/>
    <w:rsid w:val="00156BA9"/>
    <w:rsid w:val="001612AC"/>
    <w:rsid w:val="00161642"/>
    <w:rsid w:val="00161761"/>
    <w:rsid w:val="00166182"/>
    <w:rsid w:val="001665A7"/>
    <w:rsid w:val="00166D6F"/>
    <w:rsid w:val="0017038B"/>
    <w:rsid w:val="00170C94"/>
    <w:rsid w:val="0017139A"/>
    <w:rsid w:val="001724C8"/>
    <w:rsid w:val="001732C4"/>
    <w:rsid w:val="0017393E"/>
    <w:rsid w:val="001745DD"/>
    <w:rsid w:val="00174FDE"/>
    <w:rsid w:val="00174FE3"/>
    <w:rsid w:val="00176D63"/>
    <w:rsid w:val="00177659"/>
    <w:rsid w:val="001779E5"/>
    <w:rsid w:val="00180826"/>
    <w:rsid w:val="00181240"/>
    <w:rsid w:val="0018206C"/>
    <w:rsid w:val="00182A4C"/>
    <w:rsid w:val="00183F77"/>
    <w:rsid w:val="00183FB3"/>
    <w:rsid w:val="001844D8"/>
    <w:rsid w:val="00185DA8"/>
    <w:rsid w:val="00185ECB"/>
    <w:rsid w:val="001865E0"/>
    <w:rsid w:val="00186BE3"/>
    <w:rsid w:val="001870F0"/>
    <w:rsid w:val="00190E48"/>
    <w:rsid w:val="0019114B"/>
    <w:rsid w:val="0019273F"/>
    <w:rsid w:val="00193814"/>
    <w:rsid w:val="00193AAB"/>
    <w:rsid w:val="00193AD5"/>
    <w:rsid w:val="00194930"/>
    <w:rsid w:val="00195AAC"/>
    <w:rsid w:val="00195CC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C20"/>
    <w:rsid w:val="001C10D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309"/>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5CCD"/>
    <w:rsid w:val="002060B6"/>
    <w:rsid w:val="002066B5"/>
    <w:rsid w:val="0021039D"/>
    <w:rsid w:val="00210737"/>
    <w:rsid w:val="00210EAC"/>
    <w:rsid w:val="00211612"/>
    <w:rsid w:val="002119B6"/>
    <w:rsid w:val="00212389"/>
    <w:rsid w:val="00212B40"/>
    <w:rsid w:val="00213BD0"/>
    <w:rsid w:val="00213EB6"/>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9D2"/>
    <w:rsid w:val="00257AFF"/>
    <w:rsid w:val="00257DE5"/>
    <w:rsid w:val="00260531"/>
    <w:rsid w:val="00260B9A"/>
    <w:rsid w:val="00262EA5"/>
    <w:rsid w:val="0026318D"/>
    <w:rsid w:val="00264148"/>
    <w:rsid w:val="002660AF"/>
    <w:rsid w:val="00270726"/>
    <w:rsid w:val="00270864"/>
    <w:rsid w:val="002712F7"/>
    <w:rsid w:val="0027159C"/>
    <w:rsid w:val="002722F2"/>
    <w:rsid w:val="00274549"/>
    <w:rsid w:val="00274E46"/>
    <w:rsid w:val="002752AE"/>
    <w:rsid w:val="00275AFD"/>
    <w:rsid w:val="002769AF"/>
    <w:rsid w:val="00276C86"/>
    <w:rsid w:val="00276FD0"/>
    <w:rsid w:val="00277217"/>
    <w:rsid w:val="00280F0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915"/>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637"/>
    <w:rsid w:val="00311EA4"/>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7D0"/>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396"/>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C36"/>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6FE"/>
    <w:rsid w:val="003B3A77"/>
    <w:rsid w:val="003B4319"/>
    <w:rsid w:val="003B5854"/>
    <w:rsid w:val="003B6764"/>
    <w:rsid w:val="003B6974"/>
    <w:rsid w:val="003B7A8B"/>
    <w:rsid w:val="003C247E"/>
    <w:rsid w:val="003C294B"/>
    <w:rsid w:val="003C2E9C"/>
    <w:rsid w:val="003C33CA"/>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661"/>
    <w:rsid w:val="003E0B5A"/>
    <w:rsid w:val="003E1682"/>
    <w:rsid w:val="003E31E3"/>
    <w:rsid w:val="003E3E93"/>
    <w:rsid w:val="003E46D1"/>
    <w:rsid w:val="003E4BF6"/>
    <w:rsid w:val="003E6214"/>
    <w:rsid w:val="003E65A9"/>
    <w:rsid w:val="003F070E"/>
    <w:rsid w:val="003F1206"/>
    <w:rsid w:val="003F2418"/>
    <w:rsid w:val="003F28DB"/>
    <w:rsid w:val="003F2B29"/>
    <w:rsid w:val="003F2EEE"/>
    <w:rsid w:val="003F58B0"/>
    <w:rsid w:val="003F6C97"/>
    <w:rsid w:val="003F776F"/>
    <w:rsid w:val="004007E9"/>
    <w:rsid w:val="00400810"/>
    <w:rsid w:val="00401825"/>
    <w:rsid w:val="00401BBC"/>
    <w:rsid w:val="004026FC"/>
    <w:rsid w:val="00403BFB"/>
    <w:rsid w:val="00404B45"/>
    <w:rsid w:val="004059D8"/>
    <w:rsid w:val="00405BCF"/>
    <w:rsid w:val="004068E0"/>
    <w:rsid w:val="00406CC5"/>
    <w:rsid w:val="00406FCA"/>
    <w:rsid w:val="004074A4"/>
    <w:rsid w:val="004101B2"/>
    <w:rsid w:val="004123D7"/>
    <w:rsid w:val="00412658"/>
    <w:rsid w:val="004129DA"/>
    <w:rsid w:val="004148D8"/>
    <w:rsid w:val="00415EA4"/>
    <w:rsid w:val="0041603E"/>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F1D"/>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27A"/>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1B37"/>
    <w:rsid w:val="0049255F"/>
    <w:rsid w:val="0049445D"/>
    <w:rsid w:val="00494773"/>
    <w:rsid w:val="00494D39"/>
    <w:rsid w:val="00495350"/>
    <w:rsid w:val="00495E3C"/>
    <w:rsid w:val="00496041"/>
    <w:rsid w:val="00497156"/>
    <w:rsid w:val="004A0C79"/>
    <w:rsid w:val="004A24D2"/>
    <w:rsid w:val="004A3214"/>
    <w:rsid w:val="004A4136"/>
    <w:rsid w:val="004A417B"/>
    <w:rsid w:val="004A4378"/>
    <w:rsid w:val="004A712D"/>
    <w:rsid w:val="004A7C03"/>
    <w:rsid w:val="004A7C7E"/>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529E"/>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904"/>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343"/>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3C70"/>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77E"/>
    <w:rsid w:val="005F3AFE"/>
    <w:rsid w:val="005F424D"/>
    <w:rsid w:val="005F55F5"/>
    <w:rsid w:val="005F5EC1"/>
    <w:rsid w:val="005F67A9"/>
    <w:rsid w:val="005F6B6D"/>
    <w:rsid w:val="005F73CA"/>
    <w:rsid w:val="006008F8"/>
    <w:rsid w:val="00602E5C"/>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0F6"/>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D7D"/>
    <w:rsid w:val="00662F08"/>
    <w:rsid w:val="00663589"/>
    <w:rsid w:val="00664427"/>
    <w:rsid w:val="00664840"/>
    <w:rsid w:val="006649CD"/>
    <w:rsid w:val="00665D75"/>
    <w:rsid w:val="0066737D"/>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0DA9"/>
    <w:rsid w:val="006A10FA"/>
    <w:rsid w:val="006A12E0"/>
    <w:rsid w:val="006A40E6"/>
    <w:rsid w:val="006A516B"/>
    <w:rsid w:val="006A5362"/>
    <w:rsid w:val="006A543A"/>
    <w:rsid w:val="006A5C07"/>
    <w:rsid w:val="006A75FA"/>
    <w:rsid w:val="006A7E26"/>
    <w:rsid w:val="006B07D5"/>
    <w:rsid w:val="006B1309"/>
    <w:rsid w:val="006B22A9"/>
    <w:rsid w:val="006B2B3E"/>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CA6"/>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2035"/>
    <w:rsid w:val="0076100C"/>
    <w:rsid w:val="007612A5"/>
    <w:rsid w:val="00763CAE"/>
    <w:rsid w:val="00763F95"/>
    <w:rsid w:val="007651ED"/>
    <w:rsid w:val="00766C87"/>
    <w:rsid w:val="00771043"/>
    <w:rsid w:val="0077272B"/>
    <w:rsid w:val="00772F0B"/>
    <w:rsid w:val="00773AF7"/>
    <w:rsid w:val="00774FFD"/>
    <w:rsid w:val="00780378"/>
    <w:rsid w:val="007803FD"/>
    <w:rsid w:val="0078085E"/>
    <w:rsid w:val="00781BD4"/>
    <w:rsid w:val="00782562"/>
    <w:rsid w:val="007828B4"/>
    <w:rsid w:val="00784832"/>
    <w:rsid w:val="00784EA0"/>
    <w:rsid w:val="00785D77"/>
    <w:rsid w:val="00786111"/>
    <w:rsid w:val="00790963"/>
    <w:rsid w:val="00790D55"/>
    <w:rsid w:val="0079150B"/>
    <w:rsid w:val="0079154B"/>
    <w:rsid w:val="00791EED"/>
    <w:rsid w:val="00791F1E"/>
    <w:rsid w:val="00792738"/>
    <w:rsid w:val="007927BE"/>
    <w:rsid w:val="007935B8"/>
    <w:rsid w:val="00794ADE"/>
    <w:rsid w:val="00794F3D"/>
    <w:rsid w:val="00795CE9"/>
    <w:rsid w:val="00796045"/>
    <w:rsid w:val="007968AC"/>
    <w:rsid w:val="007969AB"/>
    <w:rsid w:val="00796EC5"/>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357"/>
    <w:rsid w:val="007C238B"/>
    <w:rsid w:val="007C2802"/>
    <w:rsid w:val="007C3E5A"/>
    <w:rsid w:val="007C433E"/>
    <w:rsid w:val="007C4452"/>
    <w:rsid w:val="007C4B3C"/>
    <w:rsid w:val="007C4DB1"/>
    <w:rsid w:val="007C6046"/>
    <w:rsid w:val="007C605A"/>
    <w:rsid w:val="007C6F0C"/>
    <w:rsid w:val="007D0292"/>
    <w:rsid w:val="007D136C"/>
    <w:rsid w:val="007D1645"/>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4A8"/>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3E3E"/>
    <w:rsid w:val="00816CCB"/>
    <w:rsid w:val="00817572"/>
    <w:rsid w:val="00817713"/>
    <w:rsid w:val="008208C3"/>
    <w:rsid w:val="00821A5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7BB8"/>
    <w:rsid w:val="008902BE"/>
    <w:rsid w:val="0089038F"/>
    <w:rsid w:val="00890CDA"/>
    <w:rsid w:val="00891BBA"/>
    <w:rsid w:val="00892079"/>
    <w:rsid w:val="00892B90"/>
    <w:rsid w:val="00892E83"/>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7E7"/>
    <w:rsid w:val="008B515D"/>
    <w:rsid w:val="008B5D31"/>
    <w:rsid w:val="008B6705"/>
    <w:rsid w:val="008C22F3"/>
    <w:rsid w:val="008C3223"/>
    <w:rsid w:val="008C3FD0"/>
    <w:rsid w:val="008C4F01"/>
    <w:rsid w:val="008C5152"/>
    <w:rsid w:val="008C5741"/>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17EE7"/>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C29"/>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6DEA"/>
    <w:rsid w:val="009576BC"/>
    <w:rsid w:val="00957899"/>
    <w:rsid w:val="00957927"/>
    <w:rsid w:val="00960357"/>
    <w:rsid w:val="0096168C"/>
    <w:rsid w:val="0096181D"/>
    <w:rsid w:val="00961840"/>
    <w:rsid w:val="009625E3"/>
    <w:rsid w:val="00962DEB"/>
    <w:rsid w:val="00962F2D"/>
    <w:rsid w:val="00963A7A"/>
    <w:rsid w:val="009672CD"/>
    <w:rsid w:val="00971810"/>
    <w:rsid w:val="00971887"/>
    <w:rsid w:val="00971C72"/>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CBC"/>
    <w:rsid w:val="009A0DE3"/>
    <w:rsid w:val="009A1643"/>
    <w:rsid w:val="009A215A"/>
    <w:rsid w:val="009A26B9"/>
    <w:rsid w:val="009A3B5E"/>
    <w:rsid w:val="009A49D3"/>
    <w:rsid w:val="009A4F1B"/>
    <w:rsid w:val="009A66C5"/>
    <w:rsid w:val="009A66E7"/>
    <w:rsid w:val="009A79BA"/>
    <w:rsid w:val="009B10F9"/>
    <w:rsid w:val="009B14D1"/>
    <w:rsid w:val="009B1534"/>
    <w:rsid w:val="009B4963"/>
    <w:rsid w:val="009B4A3B"/>
    <w:rsid w:val="009B4C6B"/>
    <w:rsid w:val="009B5FB0"/>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45F"/>
    <w:rsid w:val="009E09D0"/>
    <w:rsid w:val="009E1181"/>
    <w:rsid w:val="009E1283"/>
    <w:rsid w:val="009E1294"/>
    <w:rsid w:val="009E2180"/>
    <w:rsid w:val="009E3A7F"/>
    <w:rsid w:val="009E4C9B"/>
    <w:rsid w:val="009E4DFC"/>
    <w:rsid w:val="009E5376"/>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170"/>
    <w:rsid w:val="00A200AA"/>
    <w:rsid w:val="00A20558"/>
    <w:rsid w:val="00A211DD"/>
    <w:rsid w:val="00A2186F"/>
    <w:rsid w:val="00A226BA"/>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1855"/>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616"/>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5F79"/>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A40"/>
    <w:rsid w:val="00AA73AF"/>
    <w:rsid w:val="00AB062D"/>
    <w:rsid w:val="00AB0A8A"/>
    <w:rsid w:val="00AB1754"/>
    <w:rsid w:val="00AB1F8D"/>
    <w:rsid w:val="00AB27DD"/>
    <w:rsid w:val="00AB4BA4"/>
    <w:rsid w:val="00AB592E"/>
    <w:rsid w:val="00AB6C72"/>
    <w:rsid w:val="00AC0C1C"/>
    <w:rsid w:val="00AC1305"/>
    <w:rsid w:val="00AC1E04"/>
    <w:rsid w:val="00AC37BE"/>
    <w:rsid w:val="00AC439D"/>
    <w:rsid w:val="00AC62CC"/>
    <w:rsid w:val="00AC713F"/>
    <w:rsid w:val="00AC7329"/>
    <w:rsid w:val="00AC7D96"/>
    <w:rsid w:val="00AD00E4"/>
    <w:rsid w:val="00AD067E"/>
    <w:rsid w:val="00AD07D2"/>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835"/>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28CA"/>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380"/>
    <w:rsid w:val="00B751CE"/>
    <w:rsid w:val="00B75A8B"/>
    <w:rsid w:val="00B75ADD"/>
    <w:rsid w:val="00B75B61"/>
    <w:rsid w:val="00B76796"/>
    <w:rsid w:val="00B76B41"/>
    <w:rsid w:val="00B771E0"/>
    <w:rsid w:val="00B7793B"/>
    <w:rsid w:val="00B77EE7"/>
    <w:rsid w:val="00B80EDD"/>
    <w:rsid w:val="00B812BD"/>
    <w:rsid w:val="00B81964"/>
    <w:rsid w:val="00B82277"/>
    <w:rsid w:val="00B836D2"/>
    <w:rsid w:val="00B83F87"/>
    <w:rsid w:val="00B8478F"/>
    <w:rsid w:val="00B84F93"/>
    <w:rsid w:val="00B85017"/>
    <w:rsid w:val="00B86B40"/>
    <w:rsid w:val="00B86FD5"/>
    <w:rsid w:val="00B91676"/>
    <w:rsid w:val="00B9322B"/>
    <w:rsid w:val="00B93640"/>
    <w:rsid w:val="00B95496"/>
    <w:rsid w:val="00B955D5"/>
    <w:rsid w:val="00B95833"/>
    <w:rsid w:val="00BA1824"/>
    <w:rsid w:val="00BA2D98"/>
    <w:rsid w:val="00BA2F0C"/>
    <w:rsid w:val="00BA30D1"/>
    <w:rsid w:val="00BA30E1"/>
    <w:rsid w:val="00BA4609"/>
    <w:rsid w:val="00BA5BE2"/>
    <w:rsid w:val="00BA64F2"/>
    <w:rsid w:val="00BA6A9C"/>
    <w:rsid w:val="00BA7F46"/>
    <w:rsid w:val="00BB0388"/>
    <w:rsid w:val="00BB0A0A"/>
    <w:rsid w:val="00BB133C"/>
    <w:rsid w:val="00BB1F04"/>
    <w:rsid w:val="00BB45B5"/>
    <w:rsid w:val="00BB4DDE"/>
    <w:rsid w:val="00BB5672"/>
    <w:rsid w:val="00BB6064"/>
    <w:rsid w:val="00BB65CE"/>
    <w:rsid w:val="00BB7012"/>
    <w:rsid w:val="00BC09D1"/>
    <w:rsid w:val="00BC0DF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834"/>
    <w:rsid w:val="00BE229C"/>
    <w:rsid w:val="00BE2AB8"/>
    <w:rsid w:val="00BE2FC1"/>
    <w:rsid w:val="00BE3142"/>
    <w:rsid w:val="00BE4039"/>
    <w:rsid w:val="00BE5354"/>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859"/>
    <w:rsid w:val="00C14C37"/>
    <w:rsid w:val="00C1531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0141"/>
    <w:rsid w:val="00C42443"/>
    <w:rsid w:val="00C42CBA"/>
    <w:rsid w:val="00C42F0C"/>
    <w:rsid w:val="00C4338C"/>
    <w:rsid w:val="00C43C2B"/>
    <w:rsid w:val="00C45B27"/>
    <w:rsid w:val="00C4652E"/>
    <w:rsid w:val="00C472C7"/>
    <w:rsid w:val="00C5019E"/>
    <w:rsid w:val="00C50C8C"/>
    <w:rsid w:val="00C50CD5"/>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0A6B"/>
    <w:rsid w:val="00C81937"/>
    <w:rsid w:val="00C826F5"/>
    <w:rsid w:val="00C83740"/>
    <w:rsid w:val="00C84527"/>
    <w:rsid w:val="00C8458D"/>
    <w:rsid w:val="00C84AD1"/>
    <w:rsid w:val="00C85579"/>
    <w:rsid w:val="00C8590C"/>
    <w:rsid w:val="00C862F1"/>
    <w:rsid w:val="00C863E5"/>
    <w:rsid w:val="00C87BE6"/>
    <w:rsid w:val="00C87F76"/>
    <w:rsid w:val="00C931FC"/>
    <w:rsid w:val="00C932C5"/>
    <w:rsid w:val="00C94CB6"/>
    <w:rsid w:val="00C95299"/>
    <w:rsid w:val="00C95A72"/>
    <w:rsid w:val="00C9650E"/>
    <w:rsid w:val="00C96D1A"/>
    <w:rsid w:val="00C97000"/>
    <w:rsid w:val="00C975BD"/>
    <w:rsid w:val="00CA068D"/>
    <w:rsid w:val="00CA08DF"/>
    <w:rsid w:val="00CA1228"/>
    <w:rsid w:val="00CA1C73"/>
    <w:rsid w:val="00CA282D"/>
    <w:rsid w:val="00CA31F5"/>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146"/>
    <w:rsid w:val="00CD15BE"/>
    <w:rsid w:val="00CD1C84"/>
    <w:rsid w:val="00CD1EF2"/>
    <w:rsid w:val="00CD32BD"/>
    <w:rsid w:val="00CD34C7"/>
    <w:rsid w:val="00CD4BA8"/>
    <w:rsid w:val="00CD5653"/>
    <w:rsid w:val="00CD5E6D"/>
    <w:rsid w:val="00CD63C8"/>
    <w:rsid w:val="00CD76F8"/>
    <w:rsid w:val="00CD78A5"/>
    <w:rsid w:val="00CD7A75"/>
    <w:rsid w:val="00CE02E8"/>
    <w:rsid w:val="00CE069E"/>
    <w:rsid w:val="00CE0DE0"/>
    <w:rsid w:val="00CE2CC2"/>
    <w:rsid w:val="00CE3722"/>
    <w:rsid w:val="00CF158D"/>
    <w:rsid w:val="00CF2166"/>
    <w:rsid w:val="00CF4340"/>
    <w:rsid w:val="00CF4394"/>
    <w:rsid w:val="00CF48B4"/>
    <w:rsid w:val="00CF4940"/>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2B7"/>
    <w:rsid w:val="00D31683"/>
    <w:rsid w:val="00D33452"/>
    <w:rsid w:val="00D336C8"/>
    <w:rsid w:val="00D339E8"/>
    <w:rsid w:val="00D33FDD"/>
    <w:rsid w:val="00D3654A"/>
    <w:rsid w:val="00D3662E"/>
    <w:rsid w:val="00D373F1"/>
    <w:rsid w:val="00D37567"/>
    <w:rsid w:val="00D40B1F"/>
    <w:rsid w:val="00D40D75"/>
    <w:rsid w:val="00D43978"/>
    <w:rsid w:val="00D43A09"/>
    <w:rsid w:val="00D43CBD"/>
    <w:rsid w:val="00D449F0"/>
    <w:rsid w:val="00D462D7"/>
    <w:rsid w:val="00D46A33"/>
    <w:rsid w:val="00D5062C"/>
    <w:rsid w:val="00D50C8C"/>
    <w:rsid w:val="00D52393"/>
    <w:rsid w:val="00D523E4"/>
    <w:rsid w:val="00D5279D"/>
    <w:rsid w:val="00D52A1B"/>
    <w:rsid w:val="00D52AA7"/>
    <w:rsid w:val="00D52FCC"/>
    <w:rsid w:val="00D53F14"/>
    <w:rsid w:val="00D54932"/>
    <w:rsid w:val="00D54BE4"/>
    <w:rsid w:val="00D54DDB"/>
    <w:rsid w:val="00D554BC"/>
    <w:rsid w:val="00D560DC"/>
    <w:rsid w:val="00D56602"/>
    <w:rsid w:val="00D57FC3"/>
    <w:rsid w:val="00D60483"/>
    <w:rsid w:val="00D61ABB"/>
    <w:rsid w:val="00D62D5C"/>
    <w:rsid w:val="00D63577"/>
    <w:rsid w:val="00D63836"/>
    <w:rsid w:val="00D67FD7"/>
    <w:rsid w:val="00D704E4"/>
    <w:rsid w:val="00D70DCC"/>
    <w:rsid w:val="00D72410"/>
    <w:rsid w:val="00D73D53"/>
    <w:rsid w:val="00D7402C"/>
    <w:rsid w:val="00D7408A"/>
    <w:rsid w:val="00D74261"/>
    <w:rsid w:val="00D7441B"/>
    <w:rsid w:val="00D75460"/>
    <w:rsid w:val="00D75589"/>
    <w:rsid w:val="00D76AB2"/>
    <w:rsid w:val="00D77758"/>
    <w:rsid w:val="00D80490"/>
    <w:rsid w:val="00D80B17"/>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E64"/>
    <w:rsid w:val="00D94FF4"/>
    <w:rsid w:val="00D95984"/>
    <w:rsid w:val="00D95C64"/>
    <w:rsid w:val="00D9706F"/>
    <w:rsid w:val="00D970A2"/>
    <w:rsid w:val="00D972D4"/>
    <w:rsid w:val="00D97AA8"/>
    <w:rsid w:val="00DA0FE3"/>
    <w:rsid w:val="00DA195B"/>
    <w:rsid w:val="00DA27F3"/>
    <w:rsid w:val="00DA2D1E"/>
    <w:rsid w:val="00DA3EC8"/>
    <w:rsid w:val="00DA40C1"/>
    <w:rsid w:val="00DA5564"/>
    <w:rsid w:val="00DA6B55"/>
    <w:rsid w:val="00DA6B97"/>
    <w:rsid w:val="00DA6CEE"/>
    <w:rsid w:val="00DB0015"/>
    <w:rsid w:val="00DB02E0"/>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467"/>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795"/>
    <w:rsid w:val="00E26F75"/>
    <w:rsid w:val="00E27423"/>
    <w:rsid w:val="00E27E06"/>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3D7"/>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0F0"/>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5390"/>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1A03"/>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2A8B"/>
    <w:rsid w:val="00FB42B7"/>
    <w:rsid w:val="00FB4484"/>
    <w:rsid w:val="00FB593A"/>
    <w:rsid w:val="00FB6410"/>
    <w:rsid w:val="00FB6E82"/>
    <w:rsid w:val="00FB792E"/>
    <w:rsid w:val="00FB7CF0"/>
    <w:rsid w:val="00FC0042"/>
    <w:rsid w:val="00FC1E67"/>
    <w:rsid w:val="00FC2A13"/>
    <w:rsid w:val="00FC4143"/>
    <w:rsid w:val="00FC4284"/>
    <w:rsid w:val="00FC4576"/>
    <w:rsid w:val="00FC5645"/>
    <w:rsid w:val="00FC5FF5"/>
    <w:rsid w:val="00FC6285"/>
    <w:rsid w:val="00FC78FB"/>
    <w:rsid w:val="00FC7DBC"/>
    <w:rsid w:val="00FD076A"/>
    <w:rsid w:val="00FD0AA0"/>
    <w:rsid w:val="00FD1D5A"/>
    <w:rsid w:val="00FD5059"/>
    <w:rsid w:val="00FD554D"/>
    <w:rsid w:val="00FD5BCC"/>
    <w:rsid w:val="00FD6906"/>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5BA4"/>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170"/>
    <w:pPr>
      <w:jc w:val="both"/>
    </w:pPr>
    <w:rPr>
      <w:rFonts w:cs="Calibr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pPr>
    <w:rPr>
      <w:color w:val="000080"/>
    </w:rPr>
  </w:style>
  <w:style w:type="paragraph" w:styleId="PlainText">
    <w:name w:val="Plain Text"/>
    <w:basedOn w:val="Normal"/>
    <w:link w:val="PlainTextChar"/>
    <w:uiPriority w:val="99"/>
    <w:unhideWhenUsed/>
    <w:rsid w:val="00D91DA6"/>
    <w:rPr>
      <w:rFonts w:ascii="Consolas" w:eastAsia="Calibri" w:hAnsi="Consolas"/>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AF1835"/>
    <w:pPr>
      <w:spacing w:after="120" w:line="480" w:lineRule="auto"/>
    </w:pPr>
  </w:style>
  <w:style w:type="character" w:customStyle="1" w:styleId="BodyText2Char">
    <w:name w:val="Body Text 2 Char"/>
    <w:basedOn w:val="DefaultParagraphFont"/>
    <w:link w:val="BodyText2"/>
    <w:rsid w:val="00AF1835"/>
    <w:rPr>
      <w:rFonts w:cs="Calibri"/>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161050">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8877-67ED-4512-B9F9-29D0BC2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2012-02-14T16:09:00Z</cp:lastPrinted>
  <dcterms:created xsi:type="dcterms:W3CDTF">2012-05-07T13:18:00Z</dcterms:created>
  <dcterms:modified xsi:type="dcterms:W3CDTF">2012-05-07T13:18:00Z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