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75088" w:rsidRDefault="0095270D" w:rsidP="00DD5558">
      <w:pPr>
        <w:tabs>
          <w:tab w:val="right" w:pos="9360"/>
        </w:tabs>
        <w:jc w:val="both"/>
        <w:rPr>
          <w:caps/>
          <w:color w:val="auto"/>
        </w:rPr>
      </w:pPr>
      <w:r w:rsidRPr="00675088">
        <w:rPr>
          <w:caps/>
          <w:color w:val="auto"/>
        </w:rPr>
        <w:t xml:space="preserve">NAME:  </w:t>
      </w:r>
      <w:r w:rsidR="00AB36CC">
        <w:rPr>
          <w:caps/>
          <w:color w:val="000000" w:themeColor="text1"/>
        </w:rPr>
        <w:t>XXXXXXXXXXXXX</w:t>
      </w:r>
      <w:r w:rsidR="00AE298F">
        <w:rPr>
          <w:caps/>
          <w:color w:val="auto"/>
        </w:rPr>
        <w:t xml:space="preserve">                                                                   </w:t>
      </w:r>
      <w:r w:rsidRPr="00675088">
        <w:rPr>
          <w:caps/>
          <w:color w:val="auto"/>
        </w:rPr>
        <w:t xml:space="preserve">BRANCH OF SERVICE:  </w:t>
      </w:r>
      <w:r w:rsidR="0018208F" w:rsidRPr="00675088">
        <w:rPr>
          <w:caps/>
          <w:color w:val="auto"/>
        </w:rPr>
        <w:t xml:space="preserve"> </w:t>
      </w:r>
      <w:r w:rsidR="00DF70F4" w:rsidRPr="00675088">
        <w:rPr>
          <w:caps/>
          <w:color w:val="auto"/>
        </w:rPr>
        <w:t xml:space="preserve">Army </w:t>
      </w:r>
    </w:p>
    <w:p w:rsidR="0095270D" w:rsidRPr="00675088" w:rsidRDefault="0095270D" w:rsidP="00DD5558">
      <w:pPr>
        <w:tabs>
          <w:tab w:val="right" w:pos="9360"/>
        </w:tabs>
        <w:jc w:val="both"/>
        <w:rPr>
          <w:color w:val="auto"/>
        </w:rPr>
      </w:pPr>
      <w:r w:rsidRPr="00675088">
        <w:rPr>
          <w:caps/>
          <w:color w:val="auto"/>
        </w:rPr>
        <w:t xml:space="preserve">CASE NUMBER:  </w:t>
      </w:r>
      <w:r w:rsidR="00675088" w:rsidRPr="00675088">
        <w:rPr>
          <w:caps/>
          <w:color w:val="000000" w:themeColor="text1"/>
        </w:rPr>
        <w:t>PD1100502</w:t>
      </w:r>
      <w:r w:rsidR="00AE298F">
        <w:rPr>
          <w:color w:val="auto"/>
        </w:rPr>
        <w:t xml:space="preserve">                                                                   </w:t>
      </w:r>
      <w:r w:rsidR="0018208F" w:rsidRPr="00675088">
        <w:rPr>
          <w:color w:val="auto"/>
        </w:rPr>
        <w:t>SE</w:t>
      </w:r>
      <w:r w:rsidRPr="00675088">
        <w:rPr>
          <w:color w:val="auto"/>
        </w:rPr>
        <w:t xml:space="preserve">PARATION DATE:  </w:t>
      </w:r>
      <w:r w:rsidR="00675088" w:rsidRPr="00675088">
        <w:rPr>
          <w:color w:val="000000" w:themeColor="text1"/>
        </w:rPr>
        <w:t>20040901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675088">
        <w:rPr>
          <w:caps/>
          <w:color w:val="auto"/>
        </w:rPr>
        <w:t>BOARD DATE:  2012</w:t>
      </w:r>
      <w:r w:rsidR="00A61373">
        <w:rPr>
          <w:caps/>
          <w:color w:val="auto"/>
        </w:rPr>
        <w:t xml:space="preserve">0613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8E209E"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675088" w:rsidRPr="00533FB6">
        <w:rPr>
          <w:color w:val="000000" w:themeColor="text1"/>
          <w:szCs w:val="24"/>
        </w:rPr>
        <w:t xml:space="preserve">active duty SPC/E-4 (11B1P, Infantryman), medically separated for </w:t>
      </w:r>
      <w:r w:rsidR="00D42079">
        <w:rPr>
          <w:color w:val="000000" w:themeColor="text1"/>
          <w:szCs w:val="24"/>
        </w:rPr>
        <w:t>g</w:t>
      </w:r>
      <w:r w:rsidR="00675088" w:rsidRPr="00533FB6">
        <w:rPr>
          <w:color w:val="000000" w:themeColor="text1"/>
          <w:szCs w:val="24"/>
        </w:rPr>
        <w:t xml:space="preserve">unshot </w:t>
      </w:r>
      <w:r w:rsidR="00D42079">
        <w:rPr>
          <w:color w:val="000000" w:themeColor="text1"/>
          <w:szCs w:val="24"/>
        </w:rPr>
        <w:t>w</w:t>
      </w:r>
      <w:r w:rsidR="00675088" w:rsidRPr="00533FB6">
        <w:rPr>
          <w:color w:val="000000" w:themeColor="text1"/>
          <w:szCs w:val="24"/>
        </w:rPr>
        <w:t>ound (</w:t>
      </w:r>
      <w:r w:rsidR="00D42079">
        <w:rPr>
          <w:color w:val="000000" w:themeColor="text1"/>
          <w:szCs w:val="24"/>
        </w:rPr>
        <w:t>GSW</w:t>
      </w:r>
      <w:r w:rsidR="00675088" w:rsidRPr="00533FB6">
        <w:rPr>
          <w:color w:val="000000" w:themeColor="text1"/>
          <w:szCs w:val="24"/>
        </w:rPr>
        <w:t xml:space="preserve">) to </w:t>
      </w:r>
      <w:r w:rsidR="00675088" w:rsidRPr="00AB6323">
        <w:rPr>
          <w:color w:val="000000" w:themeColor="text1"/>
          <w:szCs w:val="24"/>
        </w:rPr>
        <w:t xml:space="preserve">the </w:t>
      </w:r>
      <w:r w:rsidR="00D42079" w:rsidRPr="00AB6323">
        <w:rPr>
          <w:color w:val="000000" w:themeColor="text1"/>
          <w:szCs w:val="24"/>
        </w:rPr>
        <w:t>r</w:t>
      </w:r>
      <w:r w:rsidR="00675088" w:rsidRPr="00AB6323">
        <w:rPr>
          <w:color w:val="000000" w:themeColor="text1"/>
          <w:szCs w:val="24"/>
        </w:rPr>
        <w:t xml:space="preserve">ight </w:t>
      </w:r>
      <w:r w:rsidR="00D42079" w:rsidRPr="00AB6323">
        <w:rPr>
          <w:color w:val="000000" w:themeColor="text1"/>
          <w:szCs w:val="24"/>
        </w:rPr>
        <w:t>t</w:t>
      </w:r>
      <w:r w:rsidR="00675088" w:rsidRPr="00AB6323">
        <w:rPr>
          <w:color w:val="000000" w:themeColor="text1"/>
          <w:szCs w:val="24"/>
        </w:rPr>
        <w:t>high.</w:t>
      </w:r>
      <w:r w:rsidR="00AE298F" w:rsidRPr="00AB6323">
        <w:rPr>
          <w:color w:val="000000" w:themeColor="text1"/>
          <w:szCs w:val="24"/>
        </w:rPr>
        <w:t xml:space="preserve">  </w:t>
      </w:r>
      <w:r w:rsidR="00D42079" w:rsidRPr="00AB6323">
        <w:rPr>
          <w:color w:val="000000" w:themeColor="text1"/>
          <w:szCs w:val="24"/>
        </w:rPr>
        <w:t>The CI had</w:t>
      </w:r>
      <w:r w:rsidR="00D42079">
        <w:rPr>
          <w:color w:val="000000" w:themeColor="text1"/>
          <w:szCs w:val="24"/>
        </w:rPr>
        <w:t xml:space="preserve"> a GSW to his right thigh in Afghanistan in August 2003.  He underwent debridement with a “large amount of tissue loss” and was then </w:t>
      </w:r>
      <w:r w:rsidR="00E32475">
        <w:rPr>
          <w:color w:val="000000" w:themeColor="text1"/>
          <w:szCs w:val="24"/>
        </w:rPr>
        <w:t>m</w:t>
      </w:r>
      <w:bookmarkStart w:id="0" w:name="_GoBack"/>
      <w:bookmarkEnd w:id="0"/>
      <w:r w:rsidR="004C550C">
        <w:rPr>
          <w:color w:val="000000" w:themeColor="text1"/>
          <w:szCs w:val="24"/>
        </w:rPr>
        <w:t>ede</w:t>
      </w:r>
      <w:r w:rsidR="00D42079" w:rsidRPr="00AB6323">
        <w:rPr>
          <w:color w:val="000000" w:themeColor="text1"/>
          <w:szCs w:val="24"/>
        </w:rPr>
        <w:t>vac</w:t>
      </w:r>
      <w:r w:rsidR="004C550C">
        <w:rPr>
          <w:color w:val="000000" w:themeColor="text1"/>
          <w:szCs w:val="24"/>
        </w:rPr>
        <w:t>’d</w:t>
      </w:r>
      <w:r w:rsidR="00D42079" w:rsidRPr="00AB6323">
        <w:rPr>
          <w:color w:val="000000" w:themeColor="text1"/>
          <w:szCs w:val="24"/>
        </w:rPr>
        <w:t xml:space="preserve"> to CONUS.  He had skin grafting of the thigh with good healing.  He continued to have pain, tenderness, numbness and a contracture of his quadriceps muscle</w:t>
      </w:r>
      <w:r w:rsidR="00A936FB">
        <w:rPr>
          <w:color w:val="000000" w:themeColor="text1"/>
          <w:szCs w:val="24"/>
        </w:rPr>
        <w:t xml:space="preserve"> decreasing knee motion</w:t>
      </w:r>
      <w:r w:rsidR="00D42079" w:rsidRPr="00AB6323">
        <w:rPr>
          <w:color w:val="000000" w:themeColor="text1"/>
          <w:szCs w:val="24"/>
        </w:rPr>
        <w:t xml:space="preserve">.  </w:t>
      </w:r>
      <w:r w:rsidR="00AB6323" w:rsidRPr="00AB6323">
        <w:rPr>
          <w:color w:val="000000" w:themeColor="text1"/>
          <w:szCs w:val="24"/>
        </w:rPr>
        <w:t xml:space="preserve">Despite physical therapy and ongoing treatments, </w:t>
      </w:r>
      <w:r w:rsidR="00AB6323" w:rsidRPr="00AB6323">
        <w:rPr>
          <w:color w:val="auto"/>
        </w:rPr>
        <w:t xml:space="preserve">the CI </w:t>
      </w:r>
      <w:r w:rsidR="00F566B7" w:rsidRPr="00AB6323">
        <w:rPr>
          <w:color w:val="auto"/>
        </w:rPr>
        <w:t xml:space="preserve">could </w:t>
      </w:r>
      <w:r w:rsidR="00AB6323" w:rsidRPr="00AB6323">
        <w:rPr>
          <w:color w:val="auto"/>
        </w:rPr>
        <w:t xml:space="preserve">not be adequately </w:t>
      </w:r>
      <w:r w:rsidR="00A936FB">
        <w:rPr>
          <w:color w:val="auto"/>
        </w:rPr>
        <w:t xml:space="preserve">rehabilitated </w:t>
      </w:r>
      <w:r w:rsidR="00F566B7" w:rsidRPr="00AB6323">
        <w:rPr>
          <w:color w:val="auto"/>
        </w:rPr>
        <w:t xml:space="preserve">to meet the physical requirements of </w:t>
      </w:r>
      <w:r w:rsidR="00675088" w:rsidRPr="00AB6323">
        <w:rPr>
          <w:color w:val="000000" w:themeColor="text1"/>
          <w:szCs w:val="24"/>
        </w:rPr>
        <w:t>his Military Occupational Specialty (MOS) or meet physical fitness standards.  He was issued a permanent L3 profile and underwent a Medical Evaluation</w:t>
      </w:r>
      <w:r w:rsidR="00675088" w:rsidRPr="00533FB6">
        <w:rPr>
          <w:color w:val="000000" w:themeColor="text1"/>
          <w:szCs w:val="24"/>
        </w:rPr>
        <w:t xml:space="preserve"> Board (MEB).</w:t>
      </w:r>
      <w:r w:rsidR="00AB6323">
        <w:rPr>
          <w:color w:val="000000" w:themeColor="text1"/>
          <w:szCs w:val="24"/>
        </w:rPr>
        <w:t xml:space="preserve">  </w:t>
      </w:r>
      <w:r w:rsidR="00F15483" w:rsidRPr="00675088">
        <w:rPr>
          <w:color w:val="auto"/>
        </w:rPr>
        <w:t xml:space="preserve">The </w:t>
      </w:r>
      <w:r w:rsidR="00F15483" w:rsidRPr="008E209E">
        <w:rPr>
          <w:color w:val="auto"/>
        </w:rPr>
        <w:t>MEB forwarded no other conditions for PEB adjudication.</w:t>
      </w:r>
      <w:r w:rsidR="006D5E1E" w:rsidRPr="008E209E">
        <w:rPr>
          <w:color w:val="auto"/>
        </w:rPr>
        <w:t xml:space="preserve">  </w:t>
      </w:r>
      <w:r w:rsidRPr="008E209E">
        <w:rPr>
          <w:color w:val="auto"/>
        </w:rPr>
        <w:t xml:space="preserve">The PEB adjudicated the </w:t>
      </w:r>
      <w:r w:rsidR="004C550C">
        <w:rPr>
          <w:color w:val="000000" w:themeColor="text1"/>
          <w:szCs w:val="24"/>
        </w:rPr>
        <w:t>GSW</w:t>
      </w:r>
      <w:r w:rsidR="00675088" w:rsidRPr="008E209E">
        <w:rPr>
          <w:color w:val="000000" w:themeColor="text1"/>
          <w:szCs w:val="24"/>
        </w:rPr>
        <w:t xml:space="preserve"> to the right thigh </w:t>
      </w:r>
      <w:r w:rsidR="008530E3" w:rsidRPr="008E209E">
        <w:rPr>
          <w:color w:val="auto"/>
        </w:rPr>
        <w:t xml:space="preserve">condition as unfitting, rated </w:t>
      </w:r>
      <w:r w:rsidR="00675088" w:rsidRPr="008E209E">
        <w:rPr>
          <w:color w:val="auto"/>
        </w:rPr>
        <w:t>0</w:t>
      </w:r>
      <w:r w:rsidR="000C647D" w:rsidRPr="008E209E">
        <w:rPr>
          <w:color w:val="auto"/>
        </w:rPr>
        <w:t>%</w:t>
      </w:r>
      <w:r w:rsidRPr="008E209E">
        <w:rPr>
          <w:color w:val="auto"/>
        </w:rPr>
        <w:t xml:space="preserve">, </w:t>
      </w:r>
      <w:r w:rsidR="00E46D90" w:rsidRPr="008E209E">
        <w:rPr>
          <w:color w:val="auto"/>
        </w:rPr>
        <w:t xml:space="preserve">with application of the </w:t>
      </w:r>
      <w:r w:rsidRPr="008E209E">
        <w:rPr>
          <w:color w:val="auto"/>
        </w:rPr>
        <w:t>Veteran</w:t>
      </w:r>
      <w:r w:rsidR="00BF72CA" w:rsidRPr="008E209E">
        <w:rPr>
          <w:color w:val="auto"/>
        </w:rPr>
        <w:t>’</w:t>
      </w:r>
      <w:r w:rsidRPr="008E209E">
        <w:rPr>
          <w:color w:val="auto"/>
        </w:rPr>
        <w:t>s A</w:t>
      </w:r>
      <w:r w:rsidR="00BF72CA" w:rsidRPr="008E209E">
        <w:rPr>
          <w:color w:val="auto"/>
        </w:rPr>
        <w:t>ffairs</w:t>
      </w:r>
      <w:r w:rsidRPr="008E209E">
        <w:rPr>
          <w:color w:val="auto"/>
        </w:rPr>
        <w:t xml:space="preserve"> Schedule for Rating Disabilities (VASRD)</w:t>
      </w:r>
      <w:r w:rsidR="00BF72CA" w:rsidRPr="008E209E">
        <w:rPr>
          <w:color w:val="auto"/>
        </w:rPr>
        <w:t>.</w:t>
      </w:r>
      <w:r w:rsidR="00165C7B" w:rsidRPr="008E209E">
        <w:rPr>
          <w:color w:val="auto"/>
        </w:rPr>
        <w:t xml:space="preserve">  </w:t>
      </w:r>
      <w:r w:rsidRPr="008E209E">
        <w:rPr>
          <w:color w:val="auto"/>
        </w:rPr>
        <w:t xml:space="preserve">The CI made no appeals, and was medically separated with </w:t>
      </w:r>
      <w:r w:rsidR="0066684A" w:rsidRPr="008E209E">
        <w:rPr>
          <w:color w:val="auto"/>
        </w:rPr>
        <w:t xml:space="preserve">a </w:t>
      </w:r>
      <w:r w:rsidR="00675088" w:rsidRPr="008E209E">
        <w:rPr>
          <w:color w:val="auto"/>
        </w:rPr>
        <w:t>0</w:t>
      </w:r>
      <w:r w:rsidR="0066684A" w:rsidRPr="008E209E">
        <w:rPr>
          <w:color w:val="auto"/>
        </w:rPr>
        <w:t xml:space="preserve">% </w:t>
      </w:r>
      <w:r w:rsidRPr="008E209E">
        <w:rPr>
          <w:color w:val="auto"/>
        </w:rPr>
        <w:t>disability rating.</w:t>
      </w:r>
      <w:r w:rsidR="00165C7B" w:rsidRPr="008E209E">
        <w:rPr>
          <w:color w:val="auto"/>
        </w:rPr>
        <w:t xml:space="preserve">  </w:t>
      </w:r>
    </w:p>
    <w:p w:rsidR="00042978" w:rsidRPr="008E209E" w:rsidRDefault="00042978" w:rsidP="00042978">
      <w:pPr>
        <w:pBdr>
          <w:bottom w:val="single" w:sz="12" w:space="1" w:color="auto"/>
        </w:pBdr>
        <w:tabs>
          <w:tab w:val="left" w:pos="288"/>
          <w:tab w:val="left" w:pos="4752"/>
        </w:tabs>
        <w:jc w:val="both"/>
        <w:rPr>
          <w:color w:val="auto"/>
        </w:rPr>
      </w:pPr>
    </w:p>
    <w:p w:rsidR="00042978" w:rsidRPr="008E209E"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8E209E">
        <w:rPr>
          <w:color w:val="auto"/>
          <w:u w:val="single"/>
        </w:rPr>
        <w:t>CI CONTENTION</w:t>
      </w:r>
      <w:r w:rsidRPr="008E209E">
        <w:rPr>
          <w:color w:val="auto"/>
        </w:rPr>
        <w:t>:</w:t>
      </w:r>
      <w:r w:rsidR="0066684A" w:rsidRPr="008E209E">
        <w:rPr>
          <w:color w:val="auto"/>
        </w:rPr>
        <w:t xml:space="preserve"> </w:t>
      </w:r>
      <w:r w:rsidR="006F674E" w:rsidRPr="008E209E">
        <w:rPr>
          <w:color w:val="auto"/>
        </w:rPr>
        <w:t xml:space="preserve"> </w:t>
      </w:r>
      <w:r w:rsidR="00675088" w:rsidRPr="008E209E">
        <w:rPr>
          <w:color w:val="000000" w:themeColor="text1"/>
          <w:szCs w:val="24"/>
        </w:rPr>
        <w:t>“</w:t>
      </w:r>
      <w:r w:rsidR="00675088" w:rsidRPr="008E209E">
        <w:rPr>
          <w:rFonts w:cs="Arial"/>
          <w:color w:val="000000" w:themeColor="text1"/>
          <w:szCs w:val="24"/>
        </w:rPr>
        <w:t xml:space="preserve">DVA rating decision 10/19/2004 found the </w:t>
      </w:r>
      <w:r w:rsidR="00675088" w:rsidRPr="008E209E">
        <w:rPr>
          <w:rFonts w:cs="Times New Roman"/>
          <w:color w:val="000000" w:themeColor="text1"/>
          <w:szCs w:val="24"/>
        </w:rPr>
        <w:t xml:space="preserve">MEB </w:t>
      </w:r>
      <w:r w:rsidR="00675088" w:rsidRPr="008E209E">
        <w:rPr>
          <w:rFonts w:cs="Arial"/>
          <w:color w:val="000000" w:themeColor="text1"/>
          <w:szCs w:val="24"/>
        </w:rPr>
        <w:t xml:space="preserve">unfit condition (right thigh </w:t>
      </w:r>
      <w:proofErr w:type="spellStart"/>
      <w:r w:rsidR="00675088" w:rsidRPr="008E209E">
        <w:rPr>
          <w:rFonts w:cs="Arial"/>
          <w:color w:val="000000" w:themeColor="text1"/>
          <w:szCs w:val="24"/>
        </w:rPr>
        <w:t>gsw</w:t>
      </w:r>
      <w:proofErr w:type="spellEnd"/>
      <w:r w:rsidR="00675088" w:rsidRPr="008E209E">
        <w:rPr>
          <w:rFonts w:cs="Arial"/>
          <w:color w:val="000000" w:themeColor="text1"/>
          <w:szCs w:val="24"/>
        </w:rPr>
        <w:t xml:space="preserve">) to meet the 30% criteria rate. </w:t>
      </w:r>
      <w:r w:rsidR="00AE298F" w:rsidRPr="008E209E">
        <w:rPr>
          <w:rFonts w:cs="Arial"/>
          <w:color w:val="000000" w:themeColor="text1"/>
          <w:szCs w:val="24"/>
        </w:rPr>
        <w:t xml:space="preserve"> </w:t>
      </w:r>
      <w:r w:rsidR="00675088" w:rsidRPr="008E209E">
        <w:rPr>
          <w:rFonts w:cs="Arial"/>
          <w:color w:val="000000" w:themeColor="text1"/>
          <w:szCs w:val="24"/>
        </w:rPr>
        <w:t>This determination was based on</w:t>
      </w:r>
      <w:r w:rsidR="00675088" w:rsidRPr="008E209E">
        <w:rPr>
          <w:color w:val="000000" w:themeColor="text1"/>
          <w:szCs w:val="24"/>
        </w:rPr>
        <w:t xml:space="preserve"> </w:t>
      </w:r>
      <w:r w:rsidR="00675088" w:rsidRPr="008E209E">
        <w:rPr>
          <w:rFonts w:cs="Arial"/>
          <w:color w:val="000000" w:themeColor="text1"/>
          <w:szCs w:val="24"/>
        </w:rPr>
        <w:t xml:space="preserve">service treatment records reviewed by the </w:t>
      </w:r>
      <w:r w:rsidR="00675088" w:rsidRPr="008E209E">
        <w:rPr>
          <w:rFonts w:cs="Times New Roman"/>
          <w:color w:val="000000" w:themeColor="text1"/>
          <w:szCs w:val="24"/>
        </w:rPr>
        <w:t xml:space="preserve">MEB </w:t>
      </w:r>
      <w:r w:rsidR="00675088" w:rsidRPr="008E209E">
        <w:rPr>
          <w:rFonts w:cs="Arial"/>
          <w:color w:val="000000" w:themeColor="text1"/>
          <w:szCs w:val="24"/>
        </w:rPr>
        <w:t>and examination conducted by Dr. K</w:t>
      </w:r>
      <w:r w:rsidR="00604EE0">
        <w:rPr>
          <w:rFonts w:cs="Arial"/>
          <w:color w:val="000000" w:themeColor="text1"/>
          <w:szCs w:val="24"/>
        </w:rPr>
        <w:t>.</w:t>
      </w:r>
      <w:r w:rsidR="00675088" w:rsidRPr="008E209E">
        <w:rPr>
          <w:rFonts w:cs="Arial"/>
          <w:color w:val="000000" w:themeColor="text1"/>
          <w:szCs w:val="24"/>
        </w:rPr>
        <w:t xml:space="preserve"> on 08/05/2004. </w:t>
      </w:r>
      <w:r w:rsidR="00AE298F" w:rsidRPr="008E209E">
        <w:rPr>
          <w:rFonts w:cs="Arial"/>
          <w:color w:val="000000" w:themeColor="text1"/>
          <w:szCs w:val="24"/>
        </w:rPr>
        <w:t xml:space="preserve"> </w:t>
      </w:r>
      <w:r w:rsidR="00675088" w:rsidRPr="008E209E">
        <w:rPr>
          <w:rFonts w:cs="Arial"/>
          <w:color w:val="000000" w:themeColor="text1"/>
          <w:szCs w:val="24"/>
        </w:rPr>
        <w:t>DVA rating decision 10/27/2009</w:t>
      </w:r>
      <w:r w:rsidR="00675088" w:rsidRPr="008E209E">
        <w:rPr>
          <w:color w:val="000000" w:themeColor="text1"/>
          <w:szCs w:val="24"/>
        </w:rPr>
        <w:t xml:space="preserve"> </w:t>
      </w:r>
      <w:r w:rsidR="00675088" w:rsidRPr="008E209E">
        <w:rPr>
          <w:rFonts w:cs="Arial"/>
          <w:color w:val="000000" w:themeColor="text1"/>
          <w:szCs w:val="24"/>
        </w:rPr>
        <w:t>upheld a 30% rating for the exit wound residuals and granted an additional 10% for the right thigh entrance wound.”</w:t>
      </w:r>
      <w:r w:rsidR="00AE298F">
        <w:rPr>
          <w:rFonts w:cs="Arial"/>
          <w:color w:val="000000" w:themeColor="text1"/>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w:t>
      </w:r>
      <w:r w:rsidRPr="008E209E">
        <w:rPr>
          <w:color w:val="auto"/>
        </w:rPr>
        <w:t>unfitting for continued military service; or, when requested by the CI, those condition(s) “identified but not determined to be unfitting by the PEB</w:t>
      </w:r>
      <w:r w:rsidR="00604EE0">
        <w:rPr>
          <w:color w:val="auto"/>
        </w:rPr>
        <w:t>.</w:t>
      </w:r>
      <w:r w:rsidRPr="008E209E">
        <w:rPr>
          <w:color w:val="auto"/>
        </w:rPr>
        <w:t xml:space="preserve">”  The ratings for unfitting conditions </w:t>
      </w:r>
      <w:r w:rsidR="00AB6323" w:rsidRPr="008E209E">
        <w:rPr>
          <w:color w:val="auto"/>
        </w:rPr>
        <w:t>(right thigh GSW</w:t>
      </w:r>
      <w:r w:rsidR="00675FDC" w:rsidRPr="008E209E">
        <w:rPr>
          <w:color w:val="auto"/>
        </w:rPr>
        <w:t xml:space="preserve"> exit and entrance wound</w:t>
      </w:r>
      <w:r w:rsidR="002C55F7" w:rsidRPr="008E209E">
        <w:rPr>
          <w:color w:val="auto"/>
        </w:rPr>
        <w:t>s</w:t>
      </w:r>
      <w:r w:rsidR="00AB6323" w:rsidRPr="008E209E">
        <w:rPr>
          <w:color w:val="auto"/>
        </w:rPr>
        <w:t xml:space="preserve">) </w:t>
      </w:r>
      <w:r w:rsidRPr="008E209E">
        <w:rPr>
          <w:color w:val="auto"/>
        </w:rPr>
        <w:t>will be reviewed in all cases.  Any conditions or contention not requested in this application, or otherwise outside the Board’s defined scope of review, remain eligible for future 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E298F" w:rsidRDefault="00AE298F" w:rsidP="00BF0E94">
      <w:pPr>
        <w:jc w:val="left"/>
        <w:rPr>
          <w:color w:val="auto"/>
          <w:u w:val="single"/>
        </w:rPr>
      </w:pPr>
    </w:p>
    <w:p w:rsidR="00AD2379" w:rsidRPr="00F217CD"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217CD" w:rsidRDefault="00F90376" w:rsidP="00F90376">
      <w:pPr>
        <w:jc w:val="both"/>
        <w:rPr>
          <w:color w:val="auto"/>
        </w:rPr>
      </w:pPr>
    </w:p>
    <w:tbl>
      <w:tblPr>
        <w:tblStyle w:val="TableGrid"/>
        <w:tblW w:w="9369" w:type="dxa"/>
        <w:jc w:val="center"/>
        <w:tblInd w:w="9" w:type="dxa"/>
        <w:tblLayout w:type="fixed"/>
        <w:tblLook w:val="00A0"/>
      </w:tblPr>
      <w:tblGrid>
        <w:gridCol w:w="2615"/>
        <w:gridCol w:w="634"/>
        <w:gridCol w:w="720"/>
        <w:gridCol w:w="2610"/>
        <w:gridCol w:w="1080"/>
        <w:gridCol w:w="720"/>
        <w:gridCol w:w="990"/>
      </w:tblGrid>
      <w:tr w:rsidR="00F90376" w:rsidRPr="00F217CD"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217CD" w:rsidRDefault="00F90376" w:rsidP="00675088">
            <w:pPr>
              <w:spacing w:line="180" w:lineRule="exact"/>
              <w:contextualSpacing/>
              <w:rPr>
                <w:rFonts w:cs="Calibri"/>
                <w:b/>
                <w:color w:val="auto"/>
                <w:sz w:val="18"/>
              </w:rPr>
            </w:pPr>
            <w:r w:rsidRPr="00F217CD">
              <w:rPr>
                <w:b/>
                <w:color w:val="auto"/>
                <w:sz w:val="18"/>
              </w:rPr>
              <w:t xml:space="preserve">Service PEB – Dated </w:t>
            </w:r>
            <w:r w:rsidR="00675088" w:rsidRPr="00F217CD">
              <w:rPr>
                <w:rFonts w:cs="Calibri"/>
                <w:b/>
                <w:color w:val="auto"/>
                <w:sz w:val="18"/>
                <w:szCs w:val="18"/>
              </w:rPr>
              <w:t>20040506</w:t>
            </w:r>
          </w:p>
        </w:tc>
        <w:tc>
          <w:tcPr>
            <w:tcW w:w="5400" w:type="dxa"/>
            <w:gridSpan w:val="4"/>
            <w:tcBorders>
              <w:left w:val="thinThickThinSmallGap" w:sz="24" w:space="0" w:color="auto"/>
            </w:tcBorders>
            <w:shd w:val="clear" w:color="auto" w:fill="D9D9D9"/>
            <w:vAlign w:val="center"/>
          </w:tcPr>
          <w:p w:rsidR="00F90376" w:rsidRPr="00F217CD" w:rsidRDefault="00F90376" w:rsidP="00675088">
            <w:pPr>
              <w:spacing w:line="180" w:lineRule="exact"/>
              <w:contextualSpacing/>
              <w:rPr>
                <w:rFonts w:cs="Calibri"/>
                <w:b/>
                <w:color w:val="auto"/>
                <w:sz w:val="18"/>
              </w:rPr>
            </w:pPr>
            <w:r w:rsidRPr="00F217CD">
              <w:rPr>
                <w:b/>
                <w:color w:val="auto"/>
                <w:sz w:val="18"/>
              </w:rPr>
              <w:t>VA (</w:t>
            </w:r>
            <w:r w:rsidR="00675088" w:rsidRPr="00F217CD">
              <w:rPr>
                <w:b/>
                <w:color w:val="auto"/>
                <w:sz w:val="18"/>
              </w:rPr>
              <w:t>1</w:t>
            </w:r>
            <w:r w:rsidRPr="00F217CD">
              <w:rPr>
                <w:b/>
                <w:color w:val="auto"/>
                <w:sz w:val="18"/>
              </w:rPr>
              <w:t>Mos. Pre</w:t>
            </w:r>
            <w:r w:rsidR="00675088" w:rsidRPr="00F217CD">
              <w:rPr>
                <w:b/>
                <w:color w:val="auto"/>
                <w:sz w:val="18"/>
              </w:rPr>
              <w:t xml:space="preserve"> </w:t>
            </w:r>
            <w:r w:rsidRPr="00F217CD">
              <w:rPr>
                <w:b/>
                <w:color w:val="auto"/>
                <w:sz w:val="18"/>
              </w:rPr>
              <w:t xml:space="preserve">-Separation) – All Effective Date </w:t>
            </w:r>
            <w:r w:rsidR="00675088" w:rsidRPr="00F217CD">
              <w:rPr>
                <w:rFonts w:cs="Calibri"/>
                <w:b/>
                <w:color w:val="auto"/>
                <w:sz w:val="18"/>
                <w:szCs w:val="18"/>
              </w:rPr>
              <w:t>20040902</w:t>
            </w:r>
          </w:p>
        </w:tc>
      </w:tr>
      <w:tr w:rsidR="00F90376" w:rsidRPr="00F217CD" w:rsidTr="00D8400D">
        <w:trPr>
          <w:trHeight w:val="97"/>
          <w:jc w:val="center"/>
        </w:trPr>
        <w:tc>
          <w:tcPr>
            <w:tcW w:w="2615" w:type="dxa"/>
            <w:tcBorders>
              <w:bottom w:val="single" w:sz="4" w:space="0" w:color="000000"/>
              <w:right w:val="single" w:sz="4" w:space="0" w:color="auto"/>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Condition</w:t>
            </w:r>
          </w:p>
        </w:tc>
        <w:tc>
          <w:tcPr>
            <w:tcW w:w="634" w:type="dxa"/>
            <w:tcBorders>
              <w:left w:val="single" w:sz="4" w:space="0" w:color="auto"/>
              <w:bottom w:val="single" w:sz="4" w:space="0" w:color="000000"/>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Condition</w:t>
            </w:r>
          </w:p>
        </w:tc>
        <w:tc>
          <w:tcPr>
            <w:tcW w:w="1080" w:type="dxa"/>
            <w:tcBorders>
              <w:bottom w:val="single" w:sz="4" w:space="0" w:color="000000"/>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Code</w:t>
            </w:r>
          </w:p>
        </w:tc>
        <w:tc>
          <w:tcPr>
            <w:tcW w:w="720" w:type="dxa"/>
            <w:tcBorders>
              <w:bottom w:val="single" w:sz="4" w:space="0" w:color="000000"/>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Rating</w:t>
            </w:r>
          </w:p>
        </w:tc>
        <w:tc>
          <w:tcPr>
            <w:tcW w:w="990" w:type="dxa"/>
            <w:tcBorders>
              <w:bottom w:val="single" w:sz="4" w:space="0" w:color="000000"/>
            </w:tcBorders>
            <w:shd w:val="clear" w:color="auto" w:fill="D9D9D9"/>
            <w:vAlign w:val="center"/>
          </w:tcPr>
          <w:p w:rsidR="00F90376" w:rsidRPr="00F217CD" w:rsidRDefault="00F90376" w:rsidP="006B690F">
            <w:pPr>
              <w:spacing w:line="180" w:lineRule="exact"/>
              <w:contextualSpacing/>
              <w:rPr>
                <w:rFonts w:cs="Calibri"/>
                <w:b/>
                <w:color w:val="auto"/>
                <w:sz w:val="18"/>
              </w:rPr>
            </w:pPr>
            <w:r w:rsidRPr="00F217CD">
              <w:rPr>
                <w:b/>
                <w:color w:val="auto"/>
                <w:sz w:val="18"/>
              </w:rPr>
              <w:t>Exam</w:t>
            </w:r>
          </w:p>
        </w:tc>
      </w:tr>
      <w:tr w:rsidR="00AE298F" w:rsidRPr="00F217CD" w:rsidTr="00D8400D">
        <w:trPr>
          <w:trHeight w:val="251"/>
          <w:jc w:val="center"/>
        </w:trPr>
        <w:tc>
          <w:tcPr>
            <w:tcW w:w="2615" w:type="dxa"/>
            <w:tcBorders>
              <w:right w:val="single" w:sz="4" w:space="0" w:color="auto"/>
            </w:tcBorders>
            <w:shd w:val="clear" w:color="auto" w:fill="FFFFFF"/>
            <w:vAlign w:val="center"/>
          </w:tcPr>
          <w:p w:rsidR="00AE298F" w:rsidRPr="00F217CD" w:rsidRDefault="00AE298F" w:rsidP="00D8400D">
            <w:pPr>
              <w:spacing w:line="180" w:lineRule="exact"/>
              <w:contextualSpacing/>
              <w:jc w:val="left"/>
              <w:rPr>
                <w:rFonts w:cs="Calibri"/>
                <w:color w:val="auto"/>
                <w:sz w:val="18"/>
              </w:rPr>
            </w:pPr>
            <w:r w:rsidRPr="00F217CD">
              <w:rPr>
                <w:rFonts w:cs="Calibri"/>
                <w:color w:val="auto"/>
                <w:sz w:val="18"/>
                <w:szCs w:val="18"/>
              </w:rPr>
              <w:t>GSW Combat-Related, R</w:t>
            </w:r>
            <w:r w:rsidR="00D8400D" w:rsidRPr="00F217CD">
              <w:rPr>
                <w:rFonts w:cs="Calibri"/>
                <w:color w:val="auto"/>
                <w:sz w:val="18"/>
                <w:szCs w:val="18"/>
              </w:rPr>
              <w:t>.</w:t>
            </w:r>
            <w:r w:rsidR="00AB6323" w:rsidRPr="00F217CD">
              <w:rPr>
                <w:rFonts w:cs="Calibri"/>
                <w:color w:val="auto"/>
                <w:sz w:val="18"/>
                <w:szCs w:val="18"/>
              </w:rPr>
              <w:t xml:space="preserve"> </w:t>
            </w:r>
            <w:r w:rsidRPr="00F217CD">
              <w:rPr>
                <w:rFonts w:cs="Calibri"/>
                <w:color w:val="auto"/>
                <w:sz w:val="18"/>
                <w:szCs w:val="18"/>
              </w:rPr>
              <w:t>Thigh</w:t>
            </w:r>
          </w:p>
        </w:tc>
        <w:tc>
          <w:tcPr>
            <w:tcW w:w="634" w:type="dxa"/>
            <w:tcBorders>
              <w:left w:val="single" w:sz="4" w:space="0" w:color="auto"/>
            </w:tcBorders>
            <w:shd w:val="clear" w:color="auto" w:fill="FFFFFF"/>
            <w:vAlign w:val="center"/>
          </w:tcPr>
          <w:p w:rsidR="00AE298F" w:rsidRPr="00F217CD" w:rsidRDefault="00AE298F" w:rsidP="00264D4E">
            <w:pPr>
              <w:spacing w:line="180" w:lineRule="exact"/>
              <w:contextualSpacing/>
              <w:rPr>
                <w:rFonts w:cs="Calibri"/>
                <w:color w:val="auto"/>
                <w:sz w:val="18"/>
              </w:rPr>
            </w:pPr>
            <w:r w:rsidRPr="00F217CD">
              <w:rPr>
                <w:rFonts w:cs="Calibri"/>
                <w:color w:val="auto"/>
                <w:sz w:val="18"/>
                <w:szCs w:val="18"/>
              </w:rPr>
              <w:t>5261</w:t>
            </w:r>
          </w:p>
        </w:tc>
        <w:tc>
          <w:tcPr>
            <w:tcW w:w="720" w:type="dxa"/>
            <w:tcBorders>
              <w:right w:val="thinThickThinSmallGap" w:sz="24" w:space="0" w:color="auto"/>
            </w:tcBorders>
            <w:shd w:val="clear" w:color="auto" w:fill="FFFFFF"/>
            <w:vAlign w:val="center"/>
          </w:tcPr>
          <w:p w:rsidR="00AE298F" w:rsidRPr="00F217CD" w:rsidRDefault="00AE298F" w:rsidP="00264D4E">
            <w:pPr>
              <w:spacing w:line="180" w:lineRule="exact"/>
              <w:rPr>
                <w:rFonts w:cs="Calibri"/>
                <w:color w:val="auto"/>
                <w:sz w:val="18"/>
              </w:rPr>
            </w:pPr>
            <w:r w:rsidRPr="00F217CD">
              <w:rPr>
                <w:rFonts w:cs="Calibri"/>
                <w:color w:val="auto"/>
                <w:sz w:val="18"/>
              </w:rPr>
              <w:t>0%</w:t>
            </w:r>
          </w:p>
        </w:tc>
        <w:tc>
          <w:tcPr>
            <w:tcW w:w="2610" w:type="dxa"/>
            <w:tcBorders>
              <w:left w:val="thinThickThinSmallGap" w:sz="24" w:space="0" w:color="auto"/>
            </w:tcBorders>
            <w:shd w:val="clear" w:color="auto" w:fill="FFFFFF"/>
            <w:vAlign w:val="center"/>
          </w:tcPr>
          <w:p w:rsidR="00AE298F" w:rsidRPr="00F217CD" w:rsidRDefault="00AE298F" w:rsidP="00D8400D">
            <w:pPr>
              <w:spacing w:line="180" w:lineRule="exact"/>
              <w:contextualSpacing/>
              <w:jc w:val="left"/>
              <w:rPr>
                <w:rFonts w:cs="Calibri"/>
                <w:color w:val="auto"/>
                <w:sz w:val="18"/>
                <w:szCs w:val="18"/>
              </w:rPr>
            </w:pPr>
            <w:r w:rsidRPr="00F217CD">
              <w:rPr>
                <w:rFonts w:cs="Calibri"/>
                <w:color w:val="auto"/>
                <w:sz w:val="18"/>
                <w:szCs w:val="18"/>
              </w:rPr>
              <w:t>Residuals, GSW, R</w:t>
            </w:r>
            <w:r w:rsidR="00D8400D" w:rsidRPr="00F217CD">
              <w:rPr>
                <w:rFonts w:cs="Calibri"/>
                <w:color w:val="auto"/>
                <w:sz w:val="18"/>
                <w:szCs w:val="18"/>
              </w:rPr>
              <w:t>.</w:t>
            </w:r>
            <w:r w:rsidRPr="00F217CD">
              <w:rPr>
                <w:rFonts w:cs="Calibri"/>
                <w:color w:val="auto"/>
                <w:sz w:val="18"/>
                <w:szCs w:val="18"/>
              </w:rPr>
              <w:t xml:space="preserve"> Thigh </w:t>
            </w:r>
          </w:p>
        </w:tc>
        <w:tc>
          <w:tcPr>
            <w:tcW w:w="1080" w:type="dxa"/>
            <w:shd w:val="clear" w:color="auto" w:fill="FFFFFF"/>
            <w:vAlign w:val="center"/>
          </w:tcPr>
          <w:p w:rsidR="00AE298F" w:rsidRPr="00F217CD" w:rsidRDefault="00AE298F" w:rsidP="00264D4E">
            <w:pPr>
              <w:spacing w:line="180" w:lineRule="exact"/>
              <w:contextualSpacing/>
              <w:rPr>
                <w:rFonts w:cs="Calibri"/>
                <w:color w:val="auto"/>
                <w:sz w:val="18"/>
                <w:szCs w:val="18"/>
              </w:rPr>
            </w:pPr>
            <w:r w:rsidRPr="00F217CD">
              <w:rPr>
                <w:rFonts w:cs="Calibri"/>
                <w:color w:val="auto"/>
                <w:sz w:val="18"/>
                <w:szCs w:val="18"/>
              </w:rPr>
              <w:t>5314</w:t>
            </w:r>
          </w:p>
        </w:tc>
        <w:tc>
          <w:tcPr>
            <w:tcW w:w="720" w:type="dxa"/>
            <w:shd w:val="clear" w:color="auto" w:fill="FFFFFF"/>
            <w:vAlign w:val="center"/>
          </w:tcPr>
          <w:p w:rsidR="00AE298F" w:rsidRPr="00F217CD" w:rsidRDefault="00AE298F" w:rsidP="00264D4E">
            <w:pPr>
              <w:spacing w:line="180" w:lineRule="exact"/>
              <w:contextualSpacing/>
              <w:rPr>
                <w:rFonts w:cs="Calibri"/>
                <w:color w:val="auto"/>
                <w:sz w:val="18"/>
                <w:szCs w:val="18"/>
              </w:rPr>
            </w:pPr>
            <w:r w:rsidRPr="00F217CD">
              <w:rPr>
                <w:rFonts w:cs="Calibri"/>
                <w:color w:val="auto"/>
                <w:sz w:val="18"/>
                <w:szCs w:val="18"/>
              </w:rPr>
              <w:t>30%</w:t>
            </w:r>
            <w:r w:rsidR="00675FDC" w:rsidRPr="00F217CD">
              <w:rPr>
                <w:rFonts w:cs="Calibri"/>
                <w:color w:val="auto"/>
                <w:sz w:val="18"/>
                <w:szCs w:val="18"/>
              </w:rPr>
              <w:t>*</w:t>
            </w:r>
          </w:p>
        </w:tc>
        <w:tc>
          <w:tcPr>
            <w:tcW w:w="990" w:type="dxa"/>
            <w:shd w:val="clear" w:color="auto" w:fill="FFFFFF"/>
            <w:vAlign w:val="center"/>
          </w:tcPr>
          <w:p w:rsidR="00AE298F" w:rsidRPr="00F217CD" w:rsidRDefault="00AE298F" w:rsidP="00264D4E">
            <w:pPr>
              <w:spacing w:line="180" w:lineRule="exact"/>
              <w:contextualSpacing/>
              <w:rPr>
                <w:rFonts w:cs="Calibri"/>
                <w:color w:val="auto"/>
                <w:sz w:val="18"/>
                <w:szCs w:val="18"/>
              </w:rPr>
            </w:pPr>
            <w:r w:rsidRPr="00F217CD">
              <w:rPr>
                <w:rFonts w:cs="Calibri"/>
                <w:color w:val="auto"/>
                <w:sz w:val="18"/>
                <w:szCs w:val="18"/>
              </w:rPr>
              <w:t>20040805</w:t>
            </w:r>
          </w:p>
        </w:tc>
      </w:tr>
      <w:tr w:rsidR="00AE298F" w:rsidRPr="00F217CD" w:rsidTr="00AE298F">
        <w:trPr>
          <w:trHeight w:val="118"/>
          <w:jc w:val="center"/>
        </w:trPr>
        <w:tc>
          <w:tcPr>
            <w:tcW w:w="3969" w:type="dxa"/>
            <w:gridSpan w:val="3"/>
            <w:vMerge w:val="restart"/>
            <w:tcBorders>
              <w:right w:val="thinThickThinSmallGap" w:sz="24" w:space="0" w:color="auto"/>
            </w:tcBorders>
            <w:shd w:val="clear" w:color="auto" w:fill="FFFFFF"/>
            <w:vAlign w:val="center"/>
          </w:tcPr>
          <w:p w:rsidR="00AE298F" w:rsidRPr="00F217CD" w:rsidRDefault="00AE298F" w:rsidP="00AE298F">
            <w:pPr>
              <w:spacing w:line="180" w:lineRule="exact"/>
              <w:rPr>
                <w:color w:val="auto"/>
                <w:sz w:val="18"/>
              </w:rPr>
            </w:pPr>
            <w:r w:rsidRPr="00F217CD">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AE298F" w:rsidRPr="00F217CD" w:rsidRDefault="00AE298F" w:rsidP="00D8400D">
            <w:pPr>
              <w:spacing w:line="180" w:lineRule="exact"/>
              <w:contextualSpacing/>
              <w:jc w:val="left"/>
              <w:rPr>
                <w:rFonts w:cs="Calibri"/>
                <w:color w:val="auto"/>
                <w:sz w:val="18"/>
                <w:szCs w:val="18"/>
              </w:rPr>
            </w:pPr>
            <w:r w:rsidRPr="00F217CD">
              <w:rPr>
                <w:rFonts w:cs="Calibri"/>
                <w:color w:val="auto"/>
                <w:sz w:val="18"/>
                <w:szCs w:val="18"/>
              </w:rPr>
              <w:t>Residuals, GSW, R</w:t>
            </w:r>
            <w:r w:rsidR="00D8400D" w:rsidRPr="00F217CD">
              <w:rPr>
                <w:rFonts w:cs="Calibri"/>
                <w:color w:val="auto"/>
                <w:sz w:val="18"/>
                <w:szCs w:val="18"/>
              </w:rPr>
              <w:t>.</w:t>
            </w:r>
            <w:r w:rsidRPr="00F217CD">
              <w:rPr>
                <w:rFonts w:cs="Calibri"/>
                <w:color w:val="auto"/>
                <w:sz w:val="18"/>
                <w:szCs w:val="18"/>
              </w:rPr>
              <w:t xml:space="preserve"> Chest</w:t>
            </w:r>
          </w:p>
        </w:tc>
        <w:tc>
          <w:tcPr>
            <w:tcW w:w="1080" w:type="dxa"/>
            <w:shd w:val="clear" w:color="auto" w:fill="FFFFFF"/>
            <w:vAlign w:val="center"/>
          </w:tcPr>
          <w:p w:rsidR="00AE298F" w:rsidRPr="00F217CD" w:rsidRDefault="00AE298F" w:rsidP="001A4B6F">
            <w:pPr>
              <w:spacing w:line="180" w:lineRule="exact"/>
              <w:contextualSpacing/>
              <w:rPr>
                <w:rFonts w:cs="Calibri"/>
                <w:color w:val="auto"/>
                <w:sz w:val="18"/>
                <w:szCs w:val="18"/>
              </w:rPr>
            </w:pPr>
            <w:r w:rsidRPr="00F217CD">
              <w:rPr>
                <w:rFonts w:cs="Calibri"/>
                <w:color w:val="auto"/>
                <w:sz w:val="18"/>
                <w:szCs w:val="18"/>
              </w:rPr>
              <w:t>5321</w:t>
            </w:r>
          </w:p>
        </w:tc>
        <w:tc>
          <w:tcPr>
            <w:tcW w:w="720" w:type="dxa"/>
            <w:shd w:val="clear" w:color="auto" w:fill="FFFFFF"/>
            <w:vAlign w:val="center"/>
          </w:tcPr>
          <w:p w:rsidR="00AE298F" w:rsidRPr="00F217CD" w:rsidRDefault="00AE298F" w:rsidP="001A4B6F">
            <w:pPr>
              <w:spacing w:line="180" w:lineRule="exact"/>
              <w:contextualSpacing/>
              <w:rPr>
                <w:rFonts w:cs="Calibri"/>
                <w:color w:val="auto"/>
                <w:sz w:val="18"/>
                <w:szCs w:val="18"/>
              </w:rPr>
            </w:pPr>
            <w:r w:rsidRPr="00F217CD">
              <w:rPr>
                <w:rFonts w:cs="Calibri"/>
                <w:color w:val="auto"/>
                <w:sz w:val="18"/>
                <w:szCs w:val="18"/>
              </w:rPr>
              <w:t>10%</w:t>
            </w:r>
          </w:p>
        </w:tc>
        <w:tc>
          <w:tcPr>
            <w:tcW w:w="990" w:type="dxa"/>
            <w:shd w:val="clear" w:color="auto" w:fill="FFFFFF"/>
            <w:vAlign w:val="center"/>
          </w:tcPr>
          <w:p w:rsidR="00AE298F" w:rsidRPr="00F217CD" w:rsidRDefault="00AE298F" w:rsidP="001A4B6F">
            <w:pPr>
              <w:spacing w:line="180" w:lineRule="exact"/>
              <w:contextualSpacing/>
              <w:rPr>
                <w:rFonts w:cs="Calibri"/>
                <w:color w:val="auto"/>
                <w:sz w:val="18"/>
                <w:szCs w:val="18"/>
              </w:rPr>
            </w:pPr>
            <w:r w:rsidRPr="00F217CD">
              <w:rPr>
                <w:rFonts w:cs="Calibri"/>
                <w:color w:val="auto"/>
                <w:sz w:val="18"/>
                <w:szCs w:val="18"/>
              </w:rPr>
              <w:t>20040805</w:t>
            </w:r>
          </w:p>
        </w:tc>
      </w:tr>
      <w:tr w:rsidR="00AE298F" w:rsidRPr="00F217CD" w:rsidTr="00AE298F">
        <w:trPr>
          <w:trHeight w:val="118"/>
          <w:jc w:val="center"/>
        </w:trPr>
        <w:tc>
          <w:tcPr>
            <w:tcW w:w="3969" w:type="dxa"/>
            <w:gridSpan w:val="3"/>
            <w:vMerge/>
            <w:tcBorders>
              <w:right w:val="thinThickThinSmallGap" w:sz="24" w:space="0" w:color="auto"/>
            </w:tcBorders>
            <w:shd w:val="clear" w:color="auto" w:fill="FFFFFF"/>
            <w:vAlign w:val="center"/>
          </w:tcPr>
          <w:p w:rsidR="00AE298F" w:rsidRPr="00F217CD" w:rsidRDefault="00AE298F" w:rsidP="00AE298F">
            <w:pPr>
              <w:spacing w:line="180" w:lineRule="exact"/>
              <w:rPr>
                <w:color w:val="auto"/>
                <w:sz w:val="18"/>
                <w:szCs w:val="18"/>
              </w:rPr>
            </w:pPr>
          </w:p>
        </w:tc>
        <w:tc>
          <w:tcPr>
            <w:tcW w:w="2610" w:type="dxa"/>
            <w:tcBorders>
              <w:left w:val="thinThickThinSmallGap" w:sz="24" w:space="0" w:color="auto"/>
            </w:tcBorders>
            <w:shd w:val="clear" w:color="auto" w:fill="FFFFFF"/>
            <w:vAlign w:val="center"/>
          </w:tcPr>
          <w:p w:rsidR="00AE298F" w:rsidRPr="00F217CD" w:rsidRDefault="00AE298F" w:rsidP="001A4B6F">
            <w:pPr>
              <w:spacing w:line="180" w:lineRule="exact"/>
              <w:contextualSpacing/>
              <w:jc w:val="left"/>
              <w:rPr>
                <w:rFonts w:cs="Calibri"/>
                <w:color w:val="auto"/>
                <w:sz w:val="18"/>
                <w:szCs w:val="18"/>
              </w:rPr>
            </w:pPr>
            <w:r w:rsidRPr="00F217CD">
              <w:rPr>
                <w:rFonts w:cs="Calibri"/>
                <w:color w:val="auto"/>
                <w:sz w:val="18"/>
                <w:szCs w:val="18"/>
              </w:rPr>
              <w:t>PTSD</w:t>
            </w:r>
          </w:p>
        </w:tc>
        <w:tc>
          <w:tcPr>
            <w:tcW w:w="1080" w:type="dxa"/>
            <w:shd w:val="clear" w:color="auto" w:fill="FFFFFF"/>
            <w:vAlign w:val="center"/>
          </w:tcPr>
          <w:p w:rsidR="00AE298F" w:rsidRPr="00F217CD" w:rsidRDefault="00AE298F" w:rsidP="001A4B6F">
            <w:pPr>
              <w:spacing w:line="180" w:lineRule="exact"/>
              <w:contextualSpacing/>
              <w:rPr>
                <w:rFonts w:cs="Calibri"/>
                <w:color w:val="auto"/>
                <w:sz w:val="18"/>
                <w:szCs w:val="18"/>
              </w:rPr>
            </w:pPr>
            <w:r w:rsidRPr="00F217CD">
              <w:rPr>
                <w:rFonts w:cs="Calibri"/>
                <w:color w:val="auto"/>
                <w:sz w:val="18"/>
                <w:szCs w:val="18"/>
              </w:rPr>
              <w:t>9411</w:t>
            </w:r>
          </w:p>
        </w:tc>
        <w:tc>
          <w:tcPr>
            <w:tcW w:w="720" w:type="dxa"/>
            <w:shd w:val="clear" w:color="auto" w:fill="FFFFFF"/>
            <w:vAlign w:val="center"/>
          </w:tcPr>
          <w:p w:rsidR="00AE298F" w:rsidRPr="00F217CD" w:rsidRDefault="00AE298F" w:rsidP="001A4B6F">
            <w:pPr>
              <w:spacing w:line="180" w:lineRule="exact"/>
              <w:contextualSpacing/>
              <w:rPr>
                <w:rFonts w:cs="Calibri"/>
                <w:color w:val="auto"/>
                <w:sz w:val="18"/>
                <w:szCs w:val="18"/>
              </w:rPr>
            </w:pPr>
            <w:r w:rsidRPr="00F217CD">
              <w:rPr>
                <w:rFonts w:cs="Calibri"/>
                <w:color w:val="auto"/>
                <w:sz w:val="18"/>
                <w:szCs w:val="18"/>
              </w:rPr>
              <w:t>50%</w:t>
            </w:r>
          </w:p>
        </w:tc>
        <w:tc>
          <w:tcPr>
            <w:tcW w:w="990" w:type="dxa"/>
            <w:shd w:val="clear" w:color="auto" w:fill="FFFFFF"/>
            <w:vAlign w:val="center"/>
          </w:tcPr>
          <w:p w:rsidR="00AE298F" w:rsidRPr="00F217CD" w:rsidRDefault="00AE298F" w:rsidP="001A4B6F">
            <w:pPr>
              <w:spacing w:line="180" w:lineRule="exact"/>
              <w:contextualSpacing/>
              <w:rPr>
                <w:rFonts w:cs="Calibri"/>
                <w:color w:val="auto"/>
                <w:sz w:val="18"/>
                <w:szCs w:val="18"/>
                <w:highlight w:val="yellow"/>
              </w:rPr>
            </w:pPr>
            <w:r w:rsidRPr="00F217CD">
              <w:rPr>
                <w:rFonts w:cs="Calibri"/>
                <w:color w:val="auto"/>
                <w:sz w:val="18"/>
                <w:szCs w:val="18"/>
              </w:rPr>
              <w:t>20040805</w:t>
            </w:r>
          </w:p>
        </w:tc>
      </w:tr>
      <w:tr w:rsidR="00AE298F" w:rsidRPr="00F217CD" w:rsidTr="00405917">
        <w:trPr>
          <w:trHeight w:val="118"/>
          <w:jc w:val="center"/>
        </w:trPr>
        <w:tc>
          <w:tcPr>
            <w:tcW w:w="3969" w:type="dxa"/>
            <w:gridSpan w:val="3"/>
            <w:vMerge/>
            <w:tcBorders>
              <w:right w:val="thinThickThinSmallGap" w:sz="24" w:space="0" w:color="auto"/>
            </w:tcBorders>
            <w:shd w:val="clear" w:color="auto" w:fill="FFFFFF"/>
            <w:vAlign w:val="center"/>
          </w:tcPr>
          <w:p w:rsidR="00AE298F" w:rsidRPr="00F217CD" w:rsidRDefault="00AE298F" w:rsidP="00264D4E">
            <w:pPr>
              <w:spacing w:line="180" w:lineRule="exact"/>
              <w:rPr>
                <w:color w:val="auto"/>
                <w:sz w:val="18"/>
              </w:rPr>
            </w:pPr>
          </w:p>
        </w:tc>
        <w:tc>
          <w:tcPr>
            <w:tcW w:w="2610" w:type="dxa"/>
            <w:tcBorders>
              <w:left w:val="thinThickThinSmallGap" w:sz="24" w:space="0" w:color="auto"/>
            </w:tcBorders>
            <w:shd w:val="clear" w:color="auto" w:fill="FFFFFF"/>
            <w:vAlign w:val="center"/>
          </w:tcPr>
          <w:p w:rsidR="00AE298F" w:rsidRPr="00F217CD" w:rsidRDefault="00AE298F" w:rsidP="00264D4E">
            <w:pPr>
              <w:spacing w:line="180" w:lineRule="exact"/>
              <w:contextualSpacing/>
              <w:jc w:val="left"/>
              <w:rPr>
                <w:rFonts w:cs="Calibri"/>
                <w:color w:val="auto"/>
                <w:sz w:val="18"/>
                <w:szCs w:val="18"/>
              </w:rPr>
            </w:pPr>
            <w:r w:rsidRPr="00F217CD">
              <w:rPr>
                <w:rFonts w:cs="Calibri"/>
                <w:color w:val="auto"/>
                <w:sz w:val="18"/>
                <w:szCs w:val="18"/>
              </w:rPr>
              <w:t>Tinnitus</w:t>
            </w:r>
          </w:p>
        </w:tc>
        <w:tc>
          <w:tcPr>
            <w:tcW w:w="1080" w:type="dxa"/>
            <w:shd w:val="clear" w:color="auto" w:fill="FFFFFF"/>
            <w:vAlign w:val="center"/>
          </w:tcPr>
          <w:p w:rsidR="00AE298F" w:rsidRPr="00F217CD" w:rsidRDefault="00AE298F" w:rsidP="00264D4E">
            <w:pPr>
              <w:spacing w:line="180" w:lineRule="exact"/>
              <w:contextualSpacing/>
              <w:rPr>
                <w:rFonts w:cs="Calibri"/>
                <w:color w:val="auto"/>
                <w:sz w:val="18"/>
                <w:szCs w:val="18"/>
              </w:rPr>
            </w:pPr>
            <w:r w:rsidRPr="00F217CD">
              <w:rPr>
                <w:rFonts w:cs="Calibri"/>
                <w:color w:val="auto"/>
                <w:sz w:val="18"/>
                <w:szCs w:val="18"/>
              </w:rPr>
              <w:t>6260</w:t>
            </w:r>
          </w:p>
        </w:tc>
        <w:tc>
          <w:tcPr>
            <w:tcW w:w="720" w:type="dxa"/>
            <w:shd w:val="clear" w:color="auto" w:fill="FFFFFF"/>
            <w:vAlign w:val="center"/>
          </w:tcPr>
          <w:p w:rsidR="00AE298F" w:rsidRPr="00F217CD" w:rsidRDefault="00AE298F" w:rsidP="00264D4E">
            <w:pPr>
              <w:spacing w:line="180" w:lineRule="exact"/>
              <w:contextualSpacing/>
              <w:rPr>
                <w:rFonts w:cs="Calibri"/>
                <w:color w:val="auto"/>
                <w:sz w:val="18"/>
                <w:szCs w:val="18"/>
              </w:rPr>
            </w:pPr>
            <w:r w:rsidRPr="00F217CD">
              <w:rPr>
                <w:rFonts w:cs="Calibri"/>
                <w:color w:val="auto"/>
                <w:sz w:val="18"/>
                <w:szCs w:val="18"/>
              </w:rPr>
              <w:t>10%</w:t>
            </w:r>
          </w:p>
        </w:tc>
        <w:tc>
          <w:tcPr>
            <w:tcW w:w="990" w:type="dxa"/>
            <w:shd w:val="clear" w:color="auto" w:fill="FFFFFF"/>
            <w:vAlign w:val="center"/>
          </w:tcPr>
          <w:p w:rsidR="00AE298F" w:rsidRPr="00F217CD" w:rsidRDefault="00AE298F" w:rsidP="00264D4E">
            <w:pPr>
              <w:spacing w:line="180" w:lineRule="exact"/>
              <w:contextualSpacing/>
              <w:rPr>
                <w:rFonts w:cs="Calibri"/>
                <w:color w:val="auto"/>
                <w:sz w:val="18"/>
                <w:szCs w:val="18"/>
                <w:highlight w:val="yellow"/>
              </w:rPr>
            </w:pPr>
            <w:r w:rsidRPr="00F217CD">
              <w:rPr>
                <w:rFonts w:cs="Calibri"/>
                <w:color w:val="auto"/>
                <w:sz w:val="18"/>
                <w:szCs w:val="18"/>
              </w:rPr>
              <w:t>20040805</w:t>
            </w:r>
          </w:p>
        </w:tc>
      </w:tr>
      <w:tr w:rsidR="00AE298F" w:rsidRPr="00F217CD" w:rsidTr="00405917">
        <w:trPr>
          <w:trHeight w:val="172"/>
          <w:jc w:val="center"/>
        </w:trPr>
        <w:tc>
          <w:tcPr>
            <w:tcW w:w="3969" w:type="dxa"/>
            <w:gridSpan w:val="3"/>
            <w:vMerge/>
            <w:tcBorders>
              <w:right w:val="thinThickThinSmallGap" w:sz="24" w:space="0" w:color="auto"/>
            </w:tcBorders>
            <w:shd w:val="clear" w:color="auto" w:fill="FFFFFF"/>
            <w:vAlign w:val="center"/>
          </w:tcPr>
          <w:p w:rsidR="00AE298F" w:rsidRPr="00F217CD" w:rsidRDefault="00AE298F" w:rsidP="00264D4E">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AE298F" w:rsidRPr="00F217CD" w:rsidRDefault="00AE298F" w:rsidP="00A2743F">
            <w:pPr>
              <w:spacing w:line="180" w:lineRule="exact"/>
              <w:contextualSpacing/>
              <w:rPr>
                <w:rFonts w:cs="Calibri"/>
                <w:color w:val="auto"/>
                <w:sz w:val="18"/>
              </w:rPr>
            </w:pPr>
            <w:r w:rsidRPr="00F217CD">
              <w:rPr>
                <w:color w:val="auto"/>
                <w:sz w:val="18"/>
              </w:rPr>
              <w:t>0% X 3 / Not Service-Connected x 2</w:t>
            </w:r>
          </w:p>
        </w:tc>
        <w:tc>
          <w:tcPr>
            <w:tcW w:w="990" w:type="dxa"/>
            <w:shd w:val="clear" w:color="auto" w:fill="FFFFFF"/>
            <w:vAlign w:val="center"/>
          </w:tcPr>
          <w:p w:rsidR="00AE298F" w:rsidRPr="00F217CD" w:rsidRDefault="00AE298F" w:rsidP="00264D4E">
            <w:pPr>
              <w:spacing w:line="180" w:lineRule="exact"/>
              <w:contextualSpacing/>
              <w:rPr>
                <w:rFonts w:cs="Calibri"/>
                <w:color w:val="auto"/>
                <w:sz w:val="18"/>
              </w:rPr>
            </w:pPr>
            <w:r w:rsidRPr="00F217CD">
              <w:rPr>
                <w:rFonts w:cs="Calibri"/>
                <w:color w:val="auto"/>
                <w:sz w:val="18"/>
                <w:szCs w:val="18"/>
              </w:rPr>
              <w:t>20040805</w:t>
            </w:r>
          </w:p>
        </w:tc>
      </w:tr>
      <w:tr w:rsidR="00264D4E" w:rsidRPr="00F217CD" w:rsidTr="00AC5522">
        <w:trPr>
          <w:trHeight w:val="124"/>
          <w:jc w:val="center"/>
        </w:trPr>
        <w:tc>
          <w:tcPr>
            <w:tcW w:w="3969" w:type="dxa"/>
            <w:gridSpan w:val="3"/>
            <w:tcBorders>
              <w:right w:val="thinThickThinSmallGap" w:sz="24" w:space="0" w:color="auto"/>
            </w:tcBorders>
            <w:shd w:val="clear" w:color="auto" w:fill="D9D9D9"/>
          </w:tcPr>
          <w:p w:rsidR="00264D4E" w:rsidRPr="00F217CD" w:rsidRDefault="00264D4E" w:rsidP="00264D4E">
            <w:pPr>
              <w:spacing w:line="180" w:lineRule="exact"/>
              <w:contextualSpacing/>
              <w:rPr>
                <w:rFonts w:cs="Calibri"/>
                <w:b/>
                <w:color w:val="auto"/>
                <w:sz w:val="18"/>
              </w:rPr>
            </w:pPr>
            <w:r w:rsidRPr="00F217CD">
              <w:rPr>
                <w:b/>
                <w:color w:val="auto"/>
                <w:sz w:val="18"/>
              </w:rPr>
              <w:t>Combined:  0%</w:t>
            </w:r>
          </w:p>
        </w:tc>
        <w:tc>
          <w:tcPr>
            <w:tcW w:w="5400" w:type="dxa"/>
            <w:gridSpan w:val="4"/>
            <w:tcBorders>
              <w:left w:val="thinThickThinSmallGap" w:sz="24" w:space="0" w:color="auto"/>
            </w:tcBorders>
            <w:shd w:val="clear" w:color="auto" w:fill="D9D9D9"/>
          </w:tcPr>
          <w:p w:rsidR="00264D4E" w:rsidRPr="00F217CD" w:rsidRDefault="00264D4E" w:rsidP="00264D4E">
            <w:pPr>
              <w:spacing w:line="180" w:lineRule="exact"/>
              <w:contextualSpacing/>
              <w:rPr>
                <w:rFonts w:cs="Calibri"/>
                <w:b/>
                <w:color w:val="auto"/>
                <w:sz w:val="18"/>
              </w:rPr>
            </w:pPr>
            <w:r w:rsidRPr="00F217CD">
              <w:rPr>
                <w:b/>
                <w:color w:val="auto"/>
                <w:sz w:val="18"/>
              </w:rPr>
              <w:t>Combined:  70%</w:t>
            </w:r>
            <w:r w:rsidR="00D8400D" w:rsidRPr="00F217CD">
              <w:rPr>
                <w:b/>
                <w:color w:val="auto"/>
                <w:sz w:val="18"/>
              </w:rPr>
              <w:t>*</w:t>
            </w:r>
          </w:p>
        </w:tc>
      </w:tr>
    </w:tbl>
    <w:p w:rsidR="00604EE0" w:rsidRDefault="00604EE0" w:rsidP="00D8400D">
      <w:pPr>
        <w:tabs>
          <w:tab w:val="left" w:pos="288"/>
          <w:tab w:val="left" w:pos="4752"/>
        </w:tabs>
        <w:spacing w:line="180" w:lineRule="exact"/>
        <w:jc w:val="both"/>
        <w:rPr>
          <w:rFonts w:ascii="Janson Text" w:hAnsi="Janson Text" w:cs="Times New Roman"/>
          <w:color w:val="auto"/>
          <w:sz w:val="18"/>
          <w:szCs w:val="24"/>
        </w:rPr>
      </w:pPr>
    </w:p>
    <w:p w:rsidR="00D8400D" w:rsidRPr="00F217CD" w:rsidRDefault="00D8400D" w:rsidP="00D8400D">
      <w:pPr>
        <w:tabs>
          <w:tab w:val="left" w:pos="288"/>
          <w:tab w:val="left" w:pos="4752"/>
        </w:tabs>
        <w:spacing w:line="180" w:lineRule="exact"/>
        <w:jc w:val="both"/>
        <w:rPr>
          <w:rFonts w:ascii="Janson Text" w:hAnsi="Janson Text" w:cs="Times New Roman"/>
          <w:color w:val="auto"/>
          <w:sz w:val="18"/>
          <w:szCs w:val="24"/>
        </w:rPr>
      </w:pPr>
      <w:r w:rsidRPr="00F217CD">
        <w:rPr>
          <w:rFonts w:ascii="Janson Text" w:hAnsi="Janson Text" w:cs="Times New Roman"/>
          <w:color w:val="auto"/>
          <w:sz w:val="18"/>
          <w:szCs w:val="24"/>
        </w:rPr>
        <w:t xml:space="preserve">* Added </w:t>
      </w:r>
      <w:r w:rsidR="00FF009C">
        <w:rPr>
          <w:rFonts w:ascii="Janson Text" w:hAnsi="Janson Text" w:cs="Times New Roman"/>
          <w:color w:val="auto"/>
          <w:sz w:val="18"/>
          <w:szCs w:val="24"/>
        </w:rPr>
        <w:t xml:space="preserve">right </w:t>
      </w:r>
      <w:r w:rsidRPr="00F217CD">
        <w:rPr>
          <w:rFonts w:ascii="Janson Text" w:hAnsi="Janson Text" w:cs="Times New Roman"/>
          <w:color w:val="auto"/>
          <w:sz w:val="18"/>
          <w:szCs w:val="24"/>
        </w:rPr>
        <w:t xml:space="preserve">thigh entry wound, </w:t>
      </w:r>
      <w:r w:rsidR="00FF009C">
        <w:rPr>
          <w:rFonts w:ascii="Janson Text" w:hAnsi="Janson Text" w:cs="Times New Roman"/>
          <w:color w:val="auto"/>
          <w:sz w:val="18"/>
          <w:szCs w:val="24"/>
        </w:rPr>
        <w:t xml:space="preserve">code </w:t>
      </w:r>
      <w:r w:rsidRPr="00F217CD">
        <w:rPr>
          <w:rFonts w:ascii="Janson Text" w:hAnsi="Janson Text" w:cs="Times New Roman"/>
          <w:color w:val="auto"/>
          <w:sz w:val="18"/>
          <w:szCs w:val="24"/>
        </w:rPr>
        <w:t>7804 at 10% effective 20091014 (combined 80%)</w:t>
      </w:r>
      <w:r w:rsidR="002C55F7" w:rsidRPr="00F217CD">
        <w:rPr>
          <w:rFonts w:ascii="Janson Text" w:hAnsi="Janson Text" w:cs="Times New Roman"/>
          <w:color w:val="auto"/>
          <w:sz w:val="18"/>
          <w:szCs w:val="24"/>
        </w:rPr>
        <w:t xml:space="preserve"> </w:t>
      </w:r>
      <w:r w:rsidRPr="00F217CD">
        <w:rPr>
          <w:rFonts w:ascii="Janson Text" w:hAnsi="Janson Text" w:cs="Times New Roman"/>
          <w:color w:val="auto"/>
          <w:sz w:val="18"/>
          <w:szCs w:val="24"/>
        </w:rPr>
        <w:t xml:space="preserve"> </w:t>
      </w:r>
    </w:p>
    <w:p w:rsidR="00AE298F" w:rsidRPr="00F217CD" w:rsidRDefault="00AE298F" w:rsidP="00AE298F">
      <w:pPr>
        <w:jc w:val="left"/>
        <w:rPr>
          <w:color w:val="auto"/>
          <w:u w:val="single"/>
        </w:rPr>
      </w:pPr>
    </w:p>
    <w:p w:rsidR="00AD2379" w:rsidRPr="00AB6323" w:rsidRDefault="00AD2379" w:rsidP="00726F84">
      <w:pPr>
        <w:jc w:val="both"/>
        <w:rPr>
          <w:color w:val="auto"/>
        </w:rPr>
      </w:pPr>
      <w:r w:rsidRPr="00F64312">
        <w:rPr>
          <w:color w:val="auto"/>
          <w:u w:val="single"/>
        </w:rPr>
        <w:lastRenderedPageBreak/>
        <w:t xml:space="preserve">ANALYSIS </w:t>
      </w:r>
      <w:r w:rsidRPr="00AB6323">
        <w:rPr>
          <w:color w:val="auto"/>
          <w:u w:val="single"/>
        </w:rPr>
        <w:t>SUMMARY</w:t>
      </w:r>
      <w:r w:rsidRPr="00AB6323">
        <w:rPr>
          <w:color w:val="auto"/>
        </w:rPr>
        <w:t>:</w:t>
      </w:r>
      <w:r w:rsidR="00896C01" w:rsidRPr="00AB6323">
        <w:rPr>
          <w:color w:val="auto"/>
        </w:rPr>
        <w:t xml:space="preserve"> </w:t>
      </w:r>
      <w:r w:rsidRPr="00AB6323">
        <w:rPr>
          <w:color w:val="auto"/>
        </w:rPr>
        <w:t xml:space="preserve"> </w:t>
      </w:r>
      <w:r w:rsidR="00AB6323" w:rsidRPr="00AB6323">
        <w:rPr>
          <w:color w:val="auto"/>
          <w:szCs w:val="24"/>
        </w:rPr>
        <w:t xml:space="preserve">The Board acknowledges the sentiment expressed in the CI’s application regarding the significant impairment with which his service-aggravated condition continues to burden him.  It is a fact, however, that the </w:t>
      </w:r>
      <w:r w:rsidR="00604EE0">
        <w:rPr>
          <w:color w:val="auto"/>
          <w:szCs w:val="24"/>
        </w:rPr>
        <w:t>Disability Evaluation System (</w:t>
      </w:r>
      <w:r w:rsidR="00AB6323" w:rsidRPr="00AB6323">
        <w:rPr>
          <w:color w:val="auto"/>
          <w:szCs w:val="24"/>
        </w:rPr>
        <w:t>DES</w:t>
      </w:r>
      <w:r w:rsidR="00604EE0">
        <w:rPr>
          <w:color w:val="auto"/>
          <w:szCs w:val="24"/>
        </w:rPr>
        <w:t>)</w:t>
      </w:r>
      <w:r w:rsidR="00AB6323" w:rsidRPr="00AB6323">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604EE0">
        <w:rPr>
          <w:color w:val="auto"/>
          <w:szCs w:val="24"/>
        </w:rPr>
        <w:t>s’</w:t>
      </w:r>
      <w:r w:rsidR="00AB6323" w:rsidRPr="00AB6323">
        <w:rPr>
          <w:color w:val="auto"/>
          <w:szCs w:val="24"/>
        </w:rPr>
        <w:t xml:space="preserve"> Affairs (DVA).  The DVA, operating under a different set of laws (Title 38, United States Code), is </w:t>
      </w:r>
      <w:r w:rsidR="00604EE0">
        <w:rPr>
          <w:color w:val="auto"/>
          <w:szCs w:val="24"/>
        </w:rPr>
        <w:t>empowered to compensate service-</w:t>
      </w:r>
      <w:r w:rsidR="00AB6323" w:rsidRPr="00AB6323">
        <w:rPr>
          <w:color w:val="auto"/>
          <w:szCs w:val="24"/>
        </w:rPr>
        <w:t xml:space="preserve">connected conditions and to periodically re-evaluate said conditions for the purpose of adjusting the </w:t>
      </w:r>
      <w:r w:rsidR="00604EE0">
        <w:rPr>
          <w:color w:val="auto"/>
          <w:szCs w:val="24"/>
        </w:rPr>
        <w:t>V</w:t>
      </w:r>
      <w:r w:rsidR="00AB6323" w:rsidRPr="00AB6323">
        <w:rPr>
          <w:color w:val="auto"/>
          <w:szCs w:val="24"/>
        </w:rPr>
        <w:t xml:space="preserve">eteran’s disability rating should </w:t>
      </w:r>
      <w:r w:rsidR="00604EE0">
        <w:rPr>
          <w:color w:val="auto"/>
          <w:szCs w:val="24"/>
        </w:rPr>
        <w:t>the</w:t>
      </w:r>
      <w:r w:rsidR="00AB6323" w:rsidRPr="00AB6323">
        <w:rPr>
          <w:color w:val="auto"/>
          <w:szCs w:val="24"/>
        </w:rPr>
        <w:t xml:space="preserve"> degree of impairment vary over time.  The Board utilizes </w:t>
      </w:r>
      <w:r w:rsidR="00604EE0">
        <w:rPr>
          <w:color w:val="auto"/>
          <w:szCs w:val="24"/>
        </w:rPr>
        <w:t>D</w:t>
      </w:r>
      <w:r w:rsidR="00AB6323" w:rsidRPr="00AB6323">
        <w:rPr>
          <w:color w:val="auto"/>
          <w:szCs w:val="24"/>
        </w:rPr>
        <w:t>VA evidence proximal to separation in arriving at its recommendations;</w:t>
      </w:r>
      <w:r w:rsidR="00604EE0">
        <w:rPr>
          <w:color w:val="auto"/>
          <w:szCs w:val="24"/>
        </w:rPr>
        <w:t xml:space="preserve"> and, DoDI 6040.44 defines a 12-</w:t>
      </w:r>
      <w:r w:rsidR="00AB6323" w:rsidRPr="00AB6323">
        <w:rPr>
          <w:color w:val="auto"/>
          <w:szCs w:val="24"/>
        </w:rPr>
        <w:t>month interval for special consideration to post-separation evidence.  The Board’s autho</w:t>
      </w:r>
      <w:r w:rsidR="00604EE0">
        <w:rPr>
          <w:color w:val="auto"/>
          <w:szCs w:val="24"/>
        </w:rPr>
        <w:t>rity as defined in DoDI 6044.40;</w:t>
      </w:r>
      <w:r w:rsidR="00AB6323" w:rsidRPr="00AB6323">
        <w:rPr>
          <w:color w:val="auto"/>
          <w:szCs w:val="24"/>
        </w:rPr>
        <w:t xml:space="preserve"> however, resides in evaluating the fairness of DES fitness determinations and rating decisions for disability at the time of separation.  Post-separation evidence therefore is probative only to the extent that it reasonably reflects the disability and fitness implicati</w:t>
      </w:r>
      <w:r w:rsidR="001C0B6E">
        <w:rPr>
          <w:color w:val="auto"/>
          <w:szCs w:val="24"/>
        </w:rPr>
        <w:t xml:space="preserve">ons at the time of separation.  </w:t>
      </w:r>
    </w:p>
    <w:p w:rsidR="00AD2379" w:rsidRPr="00AB6323" w:rsidRDefault="00AD2379" w:rsidP="00B22D42">
      <w:pPr>
        <w:jc w:val="both"/>
        <w:rPr>
          <w:color w:val="auto"/>
          <w:highlight w:val="yellow"/>
        </w:rPr>
      </w:pPr>
    </w:p>
    <w:p w:rsidR="00CB77CA" w:rsidRPr="008E209E" w:rsidRDefault="000566F2" w:rsidP="00A936FB">
      <w:pPr>
        <w:jc w:val="both"/>
        <w:rPr>
          <w:color w:val="auto"/>
        </w:rPr>
      </w:pPr>
      <w:r>
        <w:rPr>
          <w:color w:val="auto"/>
          <w:u w:val="single"/>
        </w:rPr>
        <w:t>Gunshot Wound Right Thigh</w:t>
      </w:r>
      <w:r w:rsidR="00AD2379" w:rsidRPr="00F64312">
        <w:rPr>
          <w:color w:val="auto"/>
        </w:rPr>
        <w:t xml:space="preserve">. </w:t>
      </w:r>
      <w:r w:rsidR="00385708" w:rsidRPr="00F64312">
        <w:rPr>
          <w:color w:val="auto"/>
        </w:rPr>
        <w:t xml:space="preserve"> </w:t>
      </w:r>
      <w:r w:rsidR="00A936FB">
        <w:rPr>
          <w:color w:val="auto"/>
        </w:rPr>
        <w:t xml:space="preserve">The CI had a thru and thru GSW to his right thigh with additional GSW injuries remote from the thigh </w:t>
      </w:r>
      <w:r w:rsidR="00CB77CA">
        <w:rPr>
          <w:color w:val="auto"/>
        </w:rPr>
        <w:t>(right abdomen/chest</w:t>
      </w:r>
      <w:r w:rsidR="00A936FB">
        <w:rPr>
          <w:color w:val="auto"/>
        </w:rPr>
        <w:t xml:space="preserve">) that are not relevant to this adjudication.  </w:t>
      </w:r>
      <w:r w:rsidR="00CB77CA">
        <w:rPr>
          <w:color w:val="auto"/>
        </w:rPr>
        <w:t xml:space="preserve">Initial treatment by a forward surgical team included debridement with a 10x15 cm soft tissue defect over the quadriceps muscle (anterior medial thigh; inferior to superior).  There was no fracture.  </w:t>
      </w:r>
      <w:r w:rsidR="00246F6B">
        <w:rPr>
          <w:color w:val="auto"/>
        </w:rPr>
        <w:t>Upon return to CONUS, t</w:t>
      </w:r>
      <w:r w:rsidR="002A74AE">
        <w:rPr>
          <w:color w:val="auto"/>
        </w:rPr>
        <w:t xml:space="preserve">here was a “large soft tissue defect over the anterior portion of his thigh” and the </w:t>
      </w:r>
      <w:r w:rsidR="00CB77CA">
        <w:rPr>
          <w:color w:val="auto"/>
        </w:rPr>
        <w:t xml:space="preserve">CI </w:t>
      </w:r>
      <w:r w:rsidR="002A74AE">
        <w:rPr>
          <w:color w:val="auto"/>
        </w:rPr>
        <w:t xml:space="preserve">underwent additional surgical debridement and homograft followed by a </w:t>
      </w:r>
      <w:r w:rsidR="00CB77CA">
        <w:rPr>
          <w:color w:val="auto"/>
        </w:rPr>
        <w:t xml:space="preserve">split thickness skin </w:t>
      </w:r>
      <w:r w:rsidR="00CB77CA" w:rsidRPr="008E209E">
        <w:rPr>
          <w:color w:val="auto"/>
        </w:rPr>
        <w:t>graft (from the opposite thigh)</w:t>
      </w:r>
      <w:r w:rsidR="002A74AE" w:rsidRPr="008E209E">
        <w:rPr>
          <w:color w:val="auto"/>
        </w:rPr>
        <w:t xml:space="preserve">.  </w:t>
      </w:r>
    </w:p>
    <w:p w:rsidR="00246F6B" w:rsidRPr="008E209E" w:rsidRDefault="00246F6B" w:rsidP="00A936FB">
      <w:pPr>
        <w:jc w:val="both"/>
        <w:rPr>
          <w:color w:val="auto"/>
        </w:rPr>
      </w:pPr>
    </w:p>
    <w:p w:rsidR="002A74AE" w:rsidRPr="008E209E" w:rsidRDefault="002A74AE" w:rsidP="00AE2DDC">
      <w:pPr>
        <w:jc w:val="both"/>
        <w:rPr>
          <w:color w:val="auto"/>
        </w:rPr>
      </w:pPr>
      <w:r w:rsidRPr="008E209E">
        <w:rPr>
          <w:color w:val="auto"/>
          <w:szCs w:val="24"/>
        </w:rPr>
        <w:t>At the MEB exam, the CI reported</w:t>
      </w:r>
      <w:r w:rsidR="00246F6B" w:rsidRPr="008E209E">
        <w:rPr>
          <w:color w:val="auto"/>
          <w:szCs w:val="24"/>
        </w:rPr>
        <w:t xml:space="preserve"> inability to perform his MOS, unable to do PT, and </w:t>
      </w:r>
      <w:r w:rsidR="00246F6B" w:rsidRPr="008E209E">
        <w:rPr>
          <w:color w:val="auto"/>
        </w:rPr>
        <w:t xml:space="preserve">continued thigh pain, tenderness and some numbness to the thigh.  The MEB examiner indicated a “large amount of tissue loss” with good healing of the skin graft.  There was likely injury of the lateral cutaneous branch of the femoral nerve, and </w:t>
      </w:r>
      <w:r w:rsidR="00AE2DDC" w:rsidRPr="008E209E">
        <w:rPr>
          <w:color w:val="auto"/>
        </w:rPr>
        <w:t>ongoing</w:t>
      </w:r>
      <w:r w:rsidR="00246F6B" w:rsidRPr="008E209E">
        <w:rPr>
          <w:color w:val="auto"/>
        </w:rPr>
        <w:t xml:space="preserve"> physical therapy with “a small contracture of his knee secondary to the scarring of his quad.”  </w:t>
      </w:r>
      <w:r w:rsidRPr="008E209E">
        <w:rPr>
          <w:color w:val="auto"/>
          <w:szCs w:val="24"/>
        </w:rPr>
        <w:t>The MEB physical exam noted</w:t>
      </w:r>
      <w:r w:rsidR="00246F6B" w:rsidRPr="008E209E">
        <w:rPr>
          <w:color w:val="auto"/>
          <w:szCs w:val="24"/>
        </w:rPr>
        <w:t xml:space="preserve"> numbness and paresthesias throughout the distribution of the lateral cutaneous branch of his femoral nerve.  “He does have a 5° flexion contracture of the knee.  He lacks 5⁰ of full extension.  He flexes to about 120⁰.”  The knee was stable on exam.  </w:t>
      </w:r>
      <w:r w:rsidR="001D0F11" w:rsidRPr="008E209E">
        <w:rPr>
          <w:color w:val="auto"/>
          <w:szCs w:val="24"/>
        </w:rPr>
        <w:t>Present status indicated profile for severe pain in the anterior portion of the thigh</w:t>
      </w:r>
      <w:r w:rsidR="00AE2DDC" w:rsidRPr="008E209E">
        <w:rPr>
          <w:color w:val="auto"/>
          <w:szCs w:val="24"/>
        </w:rPr>
        <w:t xml:space="preserve">.  Diagnosis was “S/P gunshot wound to his right thigh and injury to the lateral cutaneous branch of his femoral nerve with a 5⁰ flexion contracture of his knee.”  </w:t>
      </w:r>
    </w:p>
    <w:p w:rsidR="002A74AE" w:rsidRPr="008E209E" w:rsidRDefault="002A74AE" w:rsidP="00A936FB">
      <w:pPr>
        <w:jc w:val="both"/>
        <w:rPr>
          <w:color w:val="auto"/>
        </w:rPr>
      </w:pPr>
    </w:p>
    <w:p w:rsidR="00600F60" w:rsidRPr="00702E92" w:rsidRDefault="00A936FB" w:rsidP="00702E92">
      <w:pPr>
        <w:jc w:val="both"/>
        <w:rPr>
          <w:rFonts w:cs="Times New Roman"/>
          <w:color w:val="auto"/>
        </w:rPr>
      </w:pPr>
      <w:r w:rsidRPr="008E209E">
        <w:rPr>
          <w:color w:val="auto"/>
          <w:szCs w:val="24"/>
        </w:rPr>
        <w:t>At the VA Compensatio</w:t>
      </w:r>
      <w:r w:rsidRPr="00F64312">
        <w:rPr>
          <w:color w:val="auto"/>
          <w:szCs w:val="24"/>
        </w:rPr>
        <w:t>n and Pension (C&amp;P) exam</w:t>
      </w:r>
      <w:r w:rsidR="00604EE0">
        <w:rPr>
          <w:color w:val="auto"/>
          <w:szCs w:val="24"/>
        </w:rPr>
        <w:t xml:space="preserve">, a </w:t>
      </w:r>
      <w:r w:rsidR="00AE2DDC">
        <w:rPr>
          <w:color w:val="auto"/>
          <w:szCs w:val="24"/>
        </w:rPr>
        <w:t xml:space="preserve">month </w:t>
      </w:r>
      <w:r w:rsidRPr="008B77A8">
        <w:rPr>
          <w:color w:val="auto"/>
          <w:szCs w:val="24"/>
        </w:rPr>
        <w:t>prior to</w:t>
      </w:r>
      <w:r>
        <w:rPr>
          <w:color w:val="auto"/>
          <w:szCs w:val="24"/>
        </w:rPr>
        <w:t xml:space="preserve"> separation</w:t>
      </w:r>
      <w:r w:rsidRPr="00F64312">
        <w:rPr>
          <w:color w:val="auto"/>
          <w:szCs w:val="24"/>
        </w:rPr>
        <w:t>, the CI reported</w:t>
      </w:r>
      <w:r w:rsidR="00652B25">
        <w:rPr>
          <w:color w:val="auto"/>
          <w:szCs w:val="24"/>
        </w:rPr>
        <w:t xml:space="preserve"> a </w:t>
      </w:r>
      <w:r w:rsidR="00652B25" w:rsidRPr="008E209E">
        <w:rPr>
          <w:color w:val="auto"/>
          <w:szCs w:val="24"/>
        </w:rPr>
        <w:t>history similar to the NARSUM</w:t>
      </w:r>
      <w:r w:rsidR="00B2447C" w:rsidRPr="008E209E">
        <w:rPr>
          <w:color w:val="auto"/>
          <w:szCs w:val="24"/>
        </w:rPr>
        <w:t xml:space="preserve"> as above</w:t>
      </w:r>
      <w:r w:rsidR="00652B25" w:rsidRPr="008E209E">
        <w:rPr>
          <w:color w:val="auto"/>
          <w:szCs w:val="24"/>
        </w:rPr>
        <w:t>.  Exam documented entry wound on the low medial thigh of 1.5x1.5 cm and the upper thigh graft that was well taken and measured 4x6 inches.  The right hip lacked 5⁰ of full extension and the right knee exam was normal with normal ROM</w:t>
      </w:r>
      <w:r w:rsidR="000432BE" w:rsidRPr="008E209E">
        <w:rPr>
          <w:color w:val="auto"/>
          <w:szCs w:val="24"/>
        </w:rPr>
        <w:t>.</w:t>
      </w:r>
      <w:r w:rsidR="00652B25" w:rsidRPr="008E209E">
        <w:rPr>
          <w:color w:val="auto"/>
          <w:szCs w:val="24"/>
        </w:rPr>
        <w:t xml:space="preserve">  There was no neurologic or motor deficit</w:t>
      </w:r>
      <w:r w:rsidR="000432BE" w:rsidRPr="008E209E">
        <w:rPr>
          <w:color w:val="auto"/>
          <w:szCs w:val="24"/>
        </w:rPr>
        <w:t xml:space="preserve"> in evidence</w:t>
      </w:r>
      <w:r w:rsidR="00652B25" w:rsidRPr="008E209E">
        <w:rPr>
          <w:color w:val="auto"/>
          <w:szCs w:val="24"/>
        </w:rPr>
        <w:t xml:space="preserve">.  </w:t>
      </w:r>
      <w:r w:rsidR="00600F60" w:rsidRPr="008E209E">
        <w:rPr>
          <w:color w:val="auto"/>
          <w:szCs w:val="24"/>
        </w:rPr>
        <w:t>The VA rated this exam as 5314 at 30%.  Five years remote from separation</w:t>
      </w:r>
      <w:r w:rsidR="00600F60" w:rsidRPr="008E209E">
        <w:rPr>
          <w:color w:val="auto"/>
          <w:sz w:val="22"/>
          <w:szCs w:val="24"/>
        </w:rPr>
        <w:t xml:space="preserve">, </w:t>
      </w:r>
      <w:r w:rsidR="00600F60" w:rsidRPr="008E209E">
        <w:rPr>
          <w:rFonts w:cs="Times New Roman"/>
          <w:color w:val="auto"/>
        </w:rPr>
        <w:t>additional</w:t>
      </w:r>
      <w:r w:rsidR="00600F60" w:rsidRPr="00702E92">
        <w:rPr>
          <w:rFonts w:cs="Times New Roman"/>
          <w:color w:val="auto"/>
        </w:rPr>
        <w:t xml:space="preserve"> VA exam and rating continued the 30% muscle rating for the right thigh </w:t>
      </w:r>
      <w:r w:rsidR="00702E92">
        <w:rPr>
          <w:rFonts w:cs="Times New Roman"/>
          <w:color w:val="auto"/>
        </w:rPr>
        <w:t xml:space="preserve">(some indication of lessened thigh-related symptoms) </w:t>
      </w:r>
      <w:r w:rsidR="00600F60" w:rsidRPr="00702E92">
        <w:rPr>
          <w:rFonts w:cs="Times New Roman"/>
          <w:color w:val="auto"/>
        </w:rPr>
        <w:t>and added an additional 10% rating for painful entry wound scar</w:t>
      </w:r>
      <w:r w:rsidR="00702E92">
        <w:rPr>
          <w:rFonts w:cs="Times New Roman"/>
          <w:color w:val="auto"/>
        </w:rPr>
        <w:t xml:space="preserve">.  </w:t>
      </w:r>
    </w:p>
    <w:p w:rsidR="00600F60" w:rsidRDefault="00600F60" w:rsidP="00702E92">
      <w:pPr>
        <w:jc w:val="both"/>
        <w:rPr>
          <w:color w:val="auto"/>
        </w:rPr>
      </w:pPr>
    </w:p>
    <w:p w:rsidR="000432BE" w:rsidRDefault="000432BE" w:rsidP="00702E92">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based on the above evidence.  </w:t>
      </w:r>
      <w:r w:rsidR="00702E92">
        <w:rPr>
          <w:rFonts w:cs="Times New Roman"/>
          <w:color w:val="auto"/>
        </w:rPr>
        <w:t>The VA separate rating for painful entry scar was no</w:t>
      </w:r>
      <w:r w:rsidR="004C550C">
        <w:rPr>
          <w:rFonts w:cs="Times New Roman"/>
          <w:color w:val="auto"/>
        </w:rPr>
        <w:t>t</w:t>
      </w:r>
      <w:r w:rsidR="00702E92">
        <w:rPr>
          <w:rFonts w:cs="Times New Roman"/>
          <w:color w:val="auto"/>
        </w:rPr>
        <w:t xml:space="preserve"> clearly related to functional impairment at the time of separation and could not be considered to have reached the level of unfitting for additional service disability compensation.  </w:t>
      </w:r>
      <w:r>
        <w:rPr>
          <w:rFonts w:cs="Times New Roman"/>
          <w:color w:val="auto"/>
        </w:rPr>
        <w:t>The service and VA coding and ratings for th</w:t>
      </w:r>
      <w:r w:rsidR="00702E92">
        <w:rPr>
          <w:rFonts w:cs="Times New Roman"/>
          <w:color w:val="auto"/>
        </w:rPr>
        <w:t>e</w:t>
      </w:r>
      <w:r>
        <w:rPr>
          <w:rFonts w:cs="Times New Roman"/>
          <w:color w:val="auto"/>
        </w:rPr>
        <w:t xml:space="preserve"> </w:t>
      </w:r>
      <w:r w:rsidR="00702E92">
        <w:rPr>
          <w:rFonts w:cs="Times New Roman"/>
          <w:color w:val="auto"/>
        </w:rPr>
        <w:t xml:space="preserve">thigh GSW </w:t>
      </w:r>
      <w:r>
        <w:rPr>
          <w:rFonts w:cs="Times New Roman"/>
          <w:color w:val="auto"/>
        </w:rPr>
        <w:t xml:space="preserve">condition were very disparate, </w:t>
      </w:r>
      <w:r w:rsidR="00702E92">
        <w:rPr>
          <w:rFonts w:cs="Times New Roman"/>
          <w:color w:val="auto"/>
        </w:rPr>
        <w:t>even though</w:t>
      </w:r>
      <w:r>
        <w:rPr>
          <w:rFonts w:cs="Times New Roman"/>
          <w:color w:val="auto"/>
        </w:rPr>
        <w:t xml:space="preserve"> were based on similar exam</w:t>
      </w:r>
      <w:r w:rsidR="00702E92">
        <w:rPr>
          <w:rFonts w:cs="Times New Roman"/>
          <w:color w:val="auto"/>
        </w:rPr>
        <w:t xml:space="preserve"> findings</w:t>
      </w:r>
      <w:r>
        <w:rPr>
          <w:rFonts w:cs="Times New Roman"/>
          <w:color w:val="auto"/>
        </w:rPr>
        <w:t>.  The VA rating narrative was predominately based on the service exam, record</w:t>
      </w:r>
      <w:r w:rsidR="00702E92">
        <w:rPr>
          <w:rFonts w:cs="Times New Roman"/>
          <w:color w:val="auto"/>
        </w:rPr>
        <w:t>s</w:t>
      </w:r>
      <w:r>
        <w:rPr>
          <w:rFonts w:cs="Times New Roman"/>
          <w:color w:val="auto"/>
        </w:rPr>
        <w:t xml:space="preserve"> and </w:t>
      </w:r>
      <w:r w:rsidR="00604EE0">
        <w:rPr>
          <w:rFonts w:cs="Times New Roman"/>
          <w:color w:val="auto"/>
        </w:rPr>
        <w:t>narrative summary (</w:t>
      </w:r>
      <w:r>
        <w:rPr>
          <w:rFonts w:cs="Times New Roman"/>
          <w:color w:val="auto"/>
        </w:rPr>
        <w:t>NARSUM</w:t>
      </w:r>
      <w:r w:rsidR="00604EE0">
        <w:rPr>
          <w:rFonts w:cs="Times New Roman"/>
          <w:color w:val="auto"/>
        </w:rPr>
        <w:t>)</w:t>
      </w:r>
      <w:r>
        <w:rPr>
          <w:rFonts w:cs="Times New Roman"/>
          <w:color w:val="auto"/>
        </w:rPr>
        <w:t xml:space="preserve">.  The crucial difference in rating was the selection of disability codes; the military coded the CI’s thigh GSW based on a knee ROM disability code of 5261 for non-compensable </w:t>
      </w:r>
      <w:r>
        <w:rPr>
          <w:rFonts w:cs="Times New Roman"/>
          <w:color w:val="auto"/>
        </w:rPr>
        <w:lastRenderedPageBreak/>
        <w:t xml:space="preserve">decreased knee extension; however, the VA rated the CI under disability code 5314 for muscle injury.  </w:t>
      </w:r>
    </w:p>
    <w:p w:rsidR="00B2447C" w:rsidRDefault="00B2447C" w:rsidP="000432BE">
      <w:pPr>
        <w:tabs>
          <w:tab w:val="left" w:pos="288"/>
          <w:tab w:val="left" w:pos="4752"/>
        </w:tabs>
        <w:jc w:val="both"/>
        <w:rPr>
          <w:rFonts w:cs="Times New Roman"/>
          <w:color w:val="auto"/>
        </w:rPr>
      </w:pPr>
    </w:p>
    <w:p w:rsidR="00B2447C" w:rsidRDefault="00B2447C" w:rsidP="000432BE">
      <w:pPr>
        <w:tabs>
          <w:tab w:val="left" w:pos="288"/>
          <w:tab w:val="left" w:pos="4752"/>
        </w:tabs>
        <w:jc w:val="both"/>
        <w:rPr>
          <w:rFonts w:cs="Times New Roman"/>
          <w:color w:val="auto"/>
        </w:rPr>
      </w:pPr>
      <w:r>
        <w:rPr>
          <w:rFonts w:cs="Times New Roman"/>
          <w:color w:val="auto"/>
        </w:rPr>
        <w:t>The Board considered that there was no specific knee joint pathology, that the GSW injury was to the thigh and thigh pain and muscle contracture were the etiology of duty restrictions and the CI’s inability to function in his MOS.  Coding of this disability was determined to be</w:t>
      </w:r>
      <w:r w:rsidR="00600F60">
        <w:rPr>
          <w:rFonts w:cs="Times New Roman"/>
          <w:color w:val="auto"/>
        </w:rPr>
        <w:t xml:space="preserve"> </w:t>
      </w:r>
      <w:r>
        <w:rPr>
          <w:rFonts w:cs="Times New Roman"/>
          <w:color w:val="auto"/>
        </w:rPr>
        <w:t xml:space="preserve">appropriately under VASRD </w:t>
      </w:r>
      <w:r w:rsidRPr="00B2447C">
        <w:rPr>
          <w:rFonts w:cs="Times New Roman"/>
          <w:color w:val="auto"/>
        </w:rPr>
        <w:t>§4.56—Evaluation of muscle disabilities</w:t>
      </w:r>
      <w:r>
        <w:rPr>
          <w:rFonts w:cs="Times New Roman"/>
          <w:color w:val="auto"/>
        </w:rPr>
        <w:t xml:space="preserve">, rather than under </w:t>
      </w:r>
      <w:r w:rsidRPr="00B2447C">
        <w:rPr>
          <w:rFonts w:cs="Times New Roman"/>
          <w:color w:val="auto"/>
        </w:rPr>
        <w:t>§4.71a—</w:t>
      </w:r>
      <w:r w:rsidR="00604EE0">
        <w:rPr>
          <w:rFonts w:cs="Times New Roman"/>
          <w:color w:val="auto"/>
        </w:rPr>
        <w:t>s</w:t>
      </w:r>
      <w:r w:rsidRPr="00B2447C">
        <w:rPr>
          <w:rFonts w:cs="Times New Roman"/>
          <w:color w:val="auto"/>
        </w:rPr>
        <w:t>chedule of ratings–musculoskeletal system</w:t>
      </w:r>
      <w:r>
        <w:rPr>
          <w:rFonts w:cs="Times New Roman"/>
          <w:color w:val="auto"/>
        </w:rPr>
        <w:t xml:space="preserve">.  The muscle involved was under code 5314 </w:t>
      </w:r>
      <w:r w:rsidR="00604EE0">
        <w:rPr>
          <w:rFonts w:cs="Times New Roman"/>
          <w:color w:val="auto"/>
        </w:rPr>
        <w:t>g</w:t>
      </w:r>
      <w:r>
        <w:rPr>
          <w:rFonts w:cs="Times New Roman"/>
          <w:color w:val="auto"/>
        </w:rPr>
        <w:t>roup XIV which includes the a</w:t>
      </w:r>
      <w:r w:rsidRPr="00B2447C">
        <w:rPr>
          <w:rFonts w:cs="Times New Roman"/>
          <w:color w:val="auto"/>
        </w:rPr>
        <w:t>nterior thigh group</w:t>
      </w:r>
      <w:r>
        <w:rPr>
          <w:rFonts w:cs="Times New Roman"/>
          <w:color w:val="auto"/>
        </w:rPr>
        <w:t xml:space="preserve"> </w:t>
      </w:r>
      <w:r w:rsidR="00675FDC">
        <w:rPr>
          <w:rFonts w:cs="Times New Roman"/>
          <w:color w:val="auto"/>
        </w:rPr>
        <w:t xml:space="preserve">and involves both extension of the knee and impacts extension of the hip.  </w:t>
      </w:r>
    </w:p>
    <w:p w:rsidR="00600F60" w:rsidRDefault="00600F60" w:rsidP="000432BE">
      <w:pPr>
        <w:tabs>
          <w:tab w:val="left" w:pos="288"/>
          <w:tab w:val="left" w:pos="4752"/>
        </w:tabs>
        <w:jc w:val="both"/>
        <w:rPr>
          <w:rFonts w:cs="Times New Roman"/>
          <w:color w:val="auto"/>
        </w:rPr>
      </w:pPr>
    </w:p>
    <w:p w:rsidR="00675FDC" w:rsidRPr="00F64312" w:rsidRDefault="00600F60" w:rsidP="00600F60">
      <w:pPr>
        <w:tabs>
          <w:tab w:val="left" w:pos="288"/>
          <w:tab w:val="left" w:pos="4752"/>
        </w:tabs>
        <w:jc w:val="both"/>
        <w:rPr>
          <w:rFonts w:eastAsia="Calibri" w:cs="Times New Roman"/>
          <w:color w:val="auto"/>
          <w:szCs w:val="24"/>
        </w:rPr>
      </w:pPr>
      <w:r>
        <w:rPr>
          <w:rFonts w:cs="Times New Roman"/>
          <w:color w:val="auto"/>
        </w:rPr>
        <w:t xml:space="preserve">The Board considered the tenants of VASRD </w:t>
      </w:r>
      <w:r w:rsidRPr="00600F60">
        <w:rPr>
          <w:rFonts w:cs="Times New Roman"/>
          <w:color w:val="auto"/>
        </w:rPr>
        <w:t>§4.55</w:t>
      </w:r>
      <w:r>
        <w:rPr>
          <w:rFonts w:cs="Times New Roman"/>
          <w:color w:val="auto"/>
        </w:rPr>
        <w:t>,</w:t>
      </w:r>
      <w:r w:rsidRPr="00600F60">
        <w:rPr>
          <w:rFonts w:cs="Times New Roman"/>
          <w:color w:val="auto"/>
        </w:rPr>
        <w:t xml:space="preserve"> </w:t>
      </w:r>
      <w:r w:rsidR="00604EE0">
        <w:rPr>
          <w:rFonts w:cs="Times New Roman"/>
          <w:color w:val="auto"/>
        </w:rPr>
        <w:t>p</w:t>
      </w:r>
      <w:r w:rsidRPr="00600F60">
        <w:rPr>
          <w:rFonts w:cs="Times New Roman"/>
          <w:color w:val="auto"/>
        </w:rPr>
        <w:t>rinciples of combined ratings for muscle injuries and §4.56</w:t>
      </w:r>
      <w:r>
        <w:rPr>
          <w:rFonts w:cs="Times New Roman"/>
          <w:color w:val="auto"/>
        </w:rPr>
        <w:t>,</w:t>
      </w:r>
      <w:r w:rsidRPr="00600F60">
        <w:rPr>
          <w:rFonts w:cs="Times New Roman"/>
          <w:color w:val="auto"/>
        </w:rPr>
        <w:t xml:space="preserve"> Evaluation of muscle disabilities. </w:t>
      </w:r>
      <w:r>
        <w:rPr>
          <w:rFonts w:cs="Times New Roman"/>
          <w:color w:val="auto"/>
        </w:rPr>
        <w:t xml:space="preserve"> The deliberations focused between moderately severe (30% - VA rated) and the moderate (10%) level of disability ratings.  </w:t>
      </w:r>
      <w:r w:rsidR="00702E92">
        <w:rPr>
          <w:rFonts w:cs="Times New Roman"/>
          <w:color w:val="auto"/>
        </w:rPr>
        <w:t xml:space="preserve">Given the CI’s right thigh muscle injury, </w:t>
      </w:r>
      <w:r w:rsidR="00A157D6">
        <w:rPr>
          <w:rFonts w:cs="Times New Roman"/>
          <w:color w:val="auto"/>
        </w:rPr>
        <w:t xml:space="preserve">pain with muscle contracture limiting joint motion, </w:t>
      </w:r>
      <w:r w:rsidR="00702E92">
        <w:rPr>
          <w:rFonts w:cs="Times New Roman"/>
          <w:color w:val="auto"/>
        </w:rPr>
        <w:t>thr</w:t>
      </w:r>
      <w:r w:rsidR="00A157D6">
        <w:rPr>
          <w:rFonts w:cs="Times New Roman"/>
          <w:color w:val="auto"/>
        </w:rPr>
        <w:t>ough</w:t>
      </w:r>
      <w:r w:rsidR="00702E92">
        <w:rPr>
          <w:rFonts w:cs="Times New Roman"/>
          <w:color w:val="auto"/>
        </w:rPr>
        <w:t xml:space="preserve"> and thr</w:t>
      </w:r>
      <w:r w:rsidR="00A157D6">
        <w:rPr>
          <w:rFonts w:cs="Times New Roman"/>
          <w:color w:val="auto"/>
        </w:rPr>
        <w:t>ough</w:t>
      </w:r>
      <w:r w:rsidR="00702E92">
        <w:rPr>
          <w:rFonts w:cs="Times New Roman"/>
          <w:color w:val="auto"/>
        </w:rPr>
        <w:t xml:space="preserve"> GSW with entry and exit wounds, multiple surgical </w:t>
      </w:r>
      <w:r w:rsidR="00A157D6">
        <w:rPr>
          <w:rFonts w:cs="Times New Roman"/>
          <w:color w:val="auto"/>
        </w:rPr>
        <w:t>debridement</w:t>
      </w:r>
      <w:r w:rsidR="00702E92">
        <w:rPr>
          <w:rFonts w:cs="Times New Roman"/>
          <w:color w:val="auto"/>
        </w:rPr>
        <w:t xml:space="preserve">, substantial tissue loss and required skin grafting, </w:t>
      </w:r>
      <w:r w:rsidR="00A157D6">
        <w:rPr>
          <w:rFonts w:cs="Times New Roman"/>
          <w:color w:val="auto"/>
        </w:rPr>
        <w:t xml:space="preserve">and in consideration of </w:t>
      </w:r>
      <w:r w:rsidR="00A157D6" w:rsidRPr="00A157D6">
        <w:rPr>
          <w:rFonts w:cs="Times New Roman"/>
          <w:color w:val="auto"/>
        </w:rPr>
        <w:t>§4.7</w:t>
      </w:r>
      <w:r w:rsidR="00A157D6">
        <w:rPr>
          <w:rFonts w:cs="Times New Roman"/>
          <w:color w:val="auto"/>
        </w:rPr>
        <w:t>,</w:t>
      </w:r>
      <w:r w:rsidR="00A157D6" w:rsidRPr="00A157D6">
        <w:rPr>
          <w:rFonts w:cs="Times New Roman"/>
          <w:color w:val="auto"/>
        </w:rPr>
        <w:t xml:space="preserve"> </w:t>
      </w:r>
      <w:r w:rsidR="00A157D6">
        <w:rPr>
          <w:rFonts w:cs="Times New Roman"/>
          <w:color w:val="auto"/>
        </w:rPr>
        <w:t>h</w:t>
      </w:r>
      <w:r w:rsidR="00A157D6" w:rsidRPr="00A157D6">
        <w:rPr>
          <w:rFonts w:cs="Times New Roman"/>
          <w:color w:val="auto"/>
        </w:rPr>
        <w:t>igher of two evaluations</w:t>
      </w:r>
      <w:r w:rsidR="00A157D6">
        <w:rPr>
          <w:rFonts w:cs="Times New Roman"/>
          <w:color w:val="auto"/>
        </w:rPr>
        <w:t xml:space="preserve">, the Board adjudged the CI’s injury and disability picture was closest to the moderately severe muscle criteria.  </w:t>
      </w:r>
      <w:r w:rsidR="00675FDC" w:rsidRPr="00600F60">
        <w:rPr>
          <w:rFonts w:cs="Times New Roman"/>
          <w:color w:val="auto"/>
        </w:rPr>
        <w:t>After</w:t>
      </w:r>
      <w:r w:rsidR="00675FDC" w:rsidRPr="00F64312">
        <w:rPr>
          <w:rFonts w:eastAsia="Calibri" w:cs="Times New Roman"/>
          <w:color w:val="auto"/>
          <w:szCs w:val="24"/>
        </w:rPr>
        <w:t xml:space="preserve"> due deliberation, considering all of </w:t>
      </w:r>
      <w:r w:rsidR="00675FDC" w:rsidRPr="008E209E">
        <w:rPr>
          <w:rFonts w:eastAsia="Calibri" w:cs="Times New Roman"/>
          <w:color w:val="auto"/>
          <w:szCs w:val="24"/>
        </w:rPr>
        <w:t xml:space="preserve">the evidence and mindful of VASRD §4.3 (reasonable doubt), the Board recommends a disability rating of </w:t>
      </w:r>
      <w:r w:rsidR="00A157D6" w:rsidRPr="008E209E">
        <w:rPr>
          <w:rFonts w:eastAsia="Calibri" w:cs="Times New Roman"/>
          <w:color w:val="auto"/>
          <w:szCs w:val="24"/>
        </w:rPr>
        <w:t>30</w:t>
      </w:r>
      <w:r w:rsidR="00675FDC" w:rsidRPr="008E209E">
        <w:rPr>
          <w:rFonts w:eastAsia="Calibri" w:cs="Times New Roman"/>
          <w:color w:val="auto"/>
          <w:szCs w:val="24"/>
        </w:rPr>
        <w:t>% for the</w:t>
      </w:r>
      <w:r w:rsidR="00675FDC" w:rsidRPr="00A157D6">
        <w:rPr>
          <w:rFonts w:eastAsia="Calibri" w:cs="Times New Roman"/>
          <w:color w:val="auto"/>
          <w:szCs w:val="24"/>
        </w:rPr>
        <w:t xml:space="preserve"> </w:t>
      </w:r>
      <w:r w:rsidR="00A157D6" w:rsidRPr="00A157D6">
        <w:rPr>
          <w:rFonts w:eastAsia="Calibri" w:cs="Times New Roman"/>
          <w:color w:val="auto"/>
          <w:szCs w:val="24"/>
        </w:rPr>
        <w:t xml:space="preserve">right thigh GSW </w:t>
      </w:r>
      <w:r w:rsidR="00675FDC" w:rsidRPr="00A157D6">
        <w:rPr>
          <w:rFonts w:eastAsia="Calibri" w:cs="Times New Roman"/>
          <w:color w:val="auto"/>
          <w:szCs w:val="24"/>
        </w:rPr>
        <w:t>condition</w:t>
      </w:r>
      <w:r w:rsidR="00675FDC"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at the time of the </w:t>
      </w:r>
      <w:r w:rsidRPr="00FE1068">
        <w:rPr>
          <w:color w:val="auto"/>
        </w:rPr>
        <w:t>adjudication</w:t>
      </w:r>
      <w:r w:rsidRPr="00FE1068">
        <w:rPr>
          <w:rFonts w:cs="Times New Roman"/>
          <w:color w:val="auto"/>
        </w:rPr>
        <w:t>.</w:t>
      </w:r>
      <w:r w:rsidR="006B690F" w:rsidRPr="00FE1068">
        <w:rPr>
          <w:rFonts w:cs="Times New Roman"/>
          <w:color w:val="auto"/>
        </w:rPr>
        <w:t xml:space="preserve">  </w:t>
      </w:r>
      <w:r w:rsidR="00241B01" w:rsidRPr="00FE1068">
        <w:rPr>
          <w:rFonts w:eastAsia="Calibri" w:cs="Times New Roman"/>
          <w:color w:val="auto"/>
          <w:szCs w:val="24"/>
        </w:rPr>
        <w:t xml:space="preserve">In the matter of the </w:t>
      </w:r>
      <w:r w:rsidR="00A157D6" w:rsidRPr="00FE1068">
        <w:rPr>
          <w:rFonts w:eastAsia="Calibri" w:cs="Times New Roman"/>
          <w:color w:val="auto"/>
          <w:szCs w:val="24"/>
        </w:rPr>
        <w:t xml:space="preserve">right thigh </w:t>
      </w:r>
      <w:r w:rsidR="004C550C">
        <w:rPr>
          <w:rFonts w:eastAsia="Calibri" w:cs="Times New Roman"/>
          <w:color w:val="auto"/>
          <w:szCs w:val="24"/>
        </w:rPr>
        <w:t>GSW</w:t>
      </w:r>
      <w:r w:rsidR="00241B01" w:rsidRPr="00FE1068">
        <w:rPr>
          <w:rFonts w:eastAsia="Calibri" w:cs="Times New Roman"/>
          <w:color w:val="auto"/>
          <w:szCs w:val="24"/>
        </w:rPr>
        <w:t xml:space="preserve"> condition, the Board unanimously recommends a disability rating of </w:t>
      </w:r>
      <w:r w:rsidR="00A157D6" w:rsidRPr="00FE1068">
        <w:rPr>
          <w:rFonts w:eastAsia="Calibri" w:cs="Times New Roman"/>
          <w:color w:val="auto"/>
          <w:szCs w:val="24"/>
        </w:rPr>
        <w:t>30</w:t>
      </w:r>
      <w:r w:rsidR="00241B01" w:rsidRPr="00FE1068">
        <w:rPr>
          <w:rFonts w:eastAsia="Calibri" w:cs="Times New Roman"/>
          <w:color w:val="auto"/>
          <w:szCs w:val="24"/>
        </w:rPr>
        <w:t xml:space="preserve">%, coded </w:t>
      </w:r>
      <w:r w:rsidR="00A157D6" w:rsidRPr="00FE1068">
        <w:rPr>
          <w:rFonts w:eastAsia="Calibri" w:cs="Times New Roman"/>
          <w:color w:val="auto"/>
          <w:szCs w:val="24"/>
        </w:rPr>
        <w:t>5314</w:t>
      </w:r>
      <w:r w:rsidR="00241B01" w:rsidRPr="00FE1068">
        <w:rPr>
          <w:rFonts w:eastAsia="Calibri" w:cs="Times New Roman"/>
          <w:color w:val="auto"/>
          <w:szCs w:val="24"/>
        </w:rPr>
        <w:t xml:space="preserve"> IAW VASRD </w:t>
      </w:r>
      <w:r w:rsidR="00A157D6" w:rsidRPr="00FE1068">
        <w:rPr>
          <w:rFonts w:cs="Times New Roman"/>
          <w:color w:val="auto"/>
        </w:rPr>
        <w:t>§4.56</w:t>
      </w:r>
      <w:r w:rsidR="00241B01" w:rsidRPr="00FE1068">
        <w:rPr>
          <w:rFonts w:eastAsia="Calibri" w:cs="Times New Roman"/>
          <w:color w:val="auto"/>
          <w:szCs w:val="24"/>
        </w:rPr>
        <w:t>.</w:t>
      </w:r>
      <w:r w:rsidR="006B690F" w:rsidRPr="00FE1068">
        <w:rPr>
          <w:rFonts w:eastAsia="Calibri" w:cs="Times New Roman"/>
          <w:color w:val="auto"/>
          <w:szCs w:val="24"/>
        </w:rPr>
        <w:t xml:space="preserve">  </w:t>
      </w:r>
      <w:r w:rsidR="00560F12" w:rsidRPr="00FE1068">
        <w:rPr>
          <w:rFonts w:eastAsia="Calibri" w:cs="Times New Roman"/>
          <w:color w:val="auto"/>
          <w:szCs w:val="24"/>
        </w:rPr>
        <w:t xml:space="preserve">In the matter of the contended </w:t>
      </w:r>
      <w:r w:rsidR="00A157D6" w:rsidRPr="00FE1068">
        <w:rPr>
          <w:rFonts w:eastAsia="Calibri" w:cs="Times New Roman"/>
          <w:color w:val="auto"/>
          <w:szCs w:val="24"/>
        </w:rPr>
        <w:t>right thigh entry wound</w:t>
      </w:r>
      <w:r w:rsidR="00560F12" w:rsidRPr="00FE1068">
        <w:rPr>
          <w:rFonts w:eastAsia="Calibri" w:cs="Times New Roman"/>
          <w:color w:val="auto"/>
          <w:szCs w:val="24"/>
        </w:rPr>
        <w:t xml:space="preserve"> </w:t>
      </w:r>
      <w:r w:rsidR="008E209E" w:rsidRPr="00FE1068">
        <w:rPr>
          <w:rFonts w:eastAsia="Calibri" w:cs="Times New Roman"/>
          <w:color w:val="auto"/>
          <w:szCs w:val="24"/>
        </w:rPr>
        <w:t>(scar) condition;</w:t>
      </w:r>
      <w:r w:rsidR="00560F12" w:rsidRPr="00FE1068">
        <w:rPr>
          <w:rFonts w:eastAsia="Calibri" w:cs="Times New Roman"/>
          <w:color w:val="auto"/>
          <w:szCs w:val="24"/>
        </w:rPr>
        <w:t xml:space="preserve"> the Board unanimously </w:t>
      </w:r>
      <w:r w:rsidR="00417BED" w:rsidRPr="00FE1068">
        <w:rPr>
          <w:rFonts w:eastAsia="Calibri" w:cs="Times New Roman"/>
          <w:color w:val="auto"/>
          <w:szCs w:val="24"/>
        </w:rPr>
        <w:t xml:space="preserve">recommends </w:t>
      </w:r>
      <w:r w:rsidR="00A157D6" w:rsidRPr="00FE1068">
        <w:rPr>
          <w:rFonts w:eastAsia="Calibri" w:cs="Times New Roman"/>
          <w:color w:val="auto"/>
          <w:szCs w:val="24"/>
        </w:rPr>
        <w:t xml:space="preserve">it be found </w:t>
      </w:r>
      <w:r w:rsidR="00417BED" w:rsidRPr="00FE1068">
        <w:rPr>
          <w:rFonts w:eastAsia="Calibri" w:cs="Times New Roman"/>
          <w:color w:val="auto"/>
          <w:szCs w:val="24"/>
        </w:rPr>
        <w:t>as not unfitting.</w:t>
      </w:r>
      <w:r w:rsidR="00165C7B" w:rsidRPr="00FE1068">
        <w:rPr>
          <w:rFonts w:eastAsia="Calibri" w:cs="Times New Roman"/>
          <w:color w:val="auto"/>
          <w:szCs w:val="24"/>
        </w:rPr>
        <w:t xml:space="preserve">  </w:t>
      </w:r>
      <w:r w:rsidR="00417BED" w:rsidRPr="00FE1068">
        <w:rPr>
          <w:rFonts w:eastAsia="Calibri" w:cs="Times New Roman"/>
          <w:color w:val="auto"/>
          <w:szCs w:val="24"/>
        </w:rPr>
        <w:t>There were no other conditions within the Board’s scope</w:t>
      </w:r>
      <w:r w:rsidR="00417BED" w:rsidRPr="00F64312">
        <w:rPr>
          <w:rFonts w:eastAsia="Calibri" w:cs="Times New Roman"/>
          <w:color w:val="auto"/>
          <w:szCs w:val="24"/>
        </w:rPr>
        <w:t xml:space="preserv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217CD" w:rsidRDefault="00AD2379" w:rsidP="004C550C">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w:t>
      </w:r>
      <w:r w:rsidR="00565636" w:rsidRPr="00F217CD">
        <w:rPr>
          <w:rFonts w:eastAsia="Calibri" w:cs="Times New Roman"/>
          <w:color w:val="auto"/>
          <w:szCs w:val="24"/>
        </w:rPr>
        <w:t>determination be modified as follows</w:t>
      </w:r>
      <w:r w:rsidR="00417BED" w:rsidRPr="00F217CD">
        <w:rPr>
          <w:rFonts w:eastAsia="Calibri" w:cs="Times New Roman"/>
          <w:color w:val="auto"/>
          <w:szCs w:val="24"/>
        </w:rPr>
        <w:t>;</w:t>
      </w:r>
      <w:r w:rsidR="00565636" w:rsidRPr="00F217CD">
        <w:rPr>
          <w:rFonts w:eastAsia="Calibri" w:cs="Times New Roman"/>
          <w:color w:val="auto"/>
          <w:szCs w:val="24"/>
        </w:rPr>
        <w:t xml:space="preserve"> and</w:t>
      </w:r>
      <w:r w:rsidR="00417BED" w:rsidRPr="00F217CD">
        <w:rPr>
          <w:rFonts w:eastAsia="Calibri" w:cs="Times New Roman"/>
          <w:color w:val="auto"/>
          <w:szCs w:val="24"/>
        </w:rPr>
        <w:t>,</w:t>
      </w:r>
      <w:r w:rsidR="00565636" w:rsidRPr="00F217CD">
        <w:rPr>
          <w:rFonts w:eastAsia="Calibri" w:cs="Times New Roman"/>
          <w:color w:val="auto"/>
          <w:szCs w:val="24"/>
        </w:rPr>
        <w:t xml:space="preserve"> that the discharge with severance pay be recharacterized to reflect permanent disability retirement, effective as of the date of his</w:t>
      </w:r>
      <w:r w:rsidR="00417BED" w:rsidRPr="00F217CD">
        <w:rPr>
          <w:rFonts w:eastAsia="Calibri" w:cs="Times New Roman"/>
          <w:color w:val="auto"/>
          <w:szCs w:val="24"/>
        </w:rPr>
        <w:t xml:space="preserve"> prior medical separation:</w:t>
      </w:r>
      <w:r w:rsidR="006B690F" w:rsidRPr="00F217CD">
        <w:rPr>
          <w:rFonts w:eastAsia="Calibri" w:cs="Times New Roman"/>
          <w:color w:val="auto"/>
          <w:szCs w:val="24"/>
        </w:rPr>
        <w:t xml:space="preserve">  </w:t>
      </w:r>
    </w:p>
    <w:p w:rsidR="00AD2379" w:rsidRPr="00F217CD"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217CD" w:rsidTr="006B690F">
        <w:trPr>
          <w:trHeight w:val="233"/>
          <w:jc w:val="center"/>
        </w:trPr>
        <w:tc>
          <w:tcPr>
            <w:tcW w:w="6768" w:type="dxa"/>
            <w:shd w:val="clear" w:color="auto" w:fill="D9D9D9"/>
            <w:vAlign w:val="center"/>
          </w:tcPr>
          <w:p w:rsidR="00AD2379" w:rsidRPr="00F217CD" w:rsidRDefault="00AD2379" w:rsidP="006B690F">
            <w:pPr>
              <w:tabs>
                <w:tab w:val="left" w:pos="288"/>
                <w:tab w:val="left" w:pos="4752"/>
              </w:tabs>
              <w:rPr>
                <w:b/>
                <w:color w:val="auto"/>
              </w:rPr>
            </w:pPr>
            <w:r w:rsidRPr="00F217CD">
              <w:rPr>
                <w:b/>
                <w:color w:val="auto"/>
              </w:rPr>
              <w:t>UNFITTING CONDITION</w:t>
            </w:r>
          </w:p>
        </w:tc>
        <w:tc>
          <w:tcPr>
            <w:tcW w:w="1530" w:type="dxa"/>
            <w:shd w:val="clear" w:color="auto" w:fill="D9D9D9"/>
            <w:vAlign w:val="center"/>
          </w:tcPr>
          <w:p w:rsidR="00AD2379" w:rsidRPr="00F217CD" w:rsidRDefault="00AD2379" w:rsidP="006B690F">
            <w:pPr>
              <w:tabs>
                <w:tab w:val="left" w:pos="288"/>
                <w:tab w:val="left" w:pos="4752"/>
              </w:tabs>
              <w:rPr>
                <w:b/>
                <w:color w:val="auto"/>
              </w:rPr>
            </w:pPr>
            <w:r w:rsidRPr="00F217CD">
              <w:rPr>
                <w:b/>
                <w:color w:val="auto"/>
              </w:rPr>
              <w:t>VASRD CODE</w:t>
            </w:r>
          </w:p>
        </w:tc>
        <w:tc>
          <w:tcPr>
            <w:tcW w:w="1026" w:type="dxa"/>
            <w:shd w:val="clear" w:color="auto" w:fill="D9D9D9"/>
            <w:vAlign w:val="center"/>
          </w:tcPr>
          <w:p w:rsidR="00AD2379" w:rsidRPr="00F217CD" w:rsidRDefault="00AD2379" w:rsidP="006B690F">
            <w:pPr>
              <w:tabs>
                <w:tab w:val="left" w:pos="288"/>
                <w:tab w:val="left" w:pos="4752"/>
              </w:tabs>
              <w:rPr>
                <w:b/>
                <w:color w:val="auto"/>
              </w:rPr>
            </w:pPr>
            <w:r w:rsidRPr="00F217CD">
              <w:rPr>
                <w:b/>
                <w:color w:val="auto"/>
              </w:rPr>
              <w:t>RATING</w:t>
            </w:r>
          </w:p>
        </w:tc>
      </w:tr>
      <w:tr w:rsidR="00AD2379" w:rsidRPr="00F217CD" w:rsidTr="006B690F">
        <w:trPr>
          <w:jc w:val="center"/>
        </w:trPr>
        <w:tc>
          <w:tcPr>
            <w:tcW w:w="6768" w:type="dxa"/>
            <w:vAlign w:val="center"/>
          </w:tcPr>
          <w:p w:rsidR="00AD2379" w:rsidRPr="00F217CD" w:rsidRDefault="007471F0" w:rsidP="006B690F">
            <w:pPr>
              <w:tabs>
                <w:tab w:val="left" w:pos="288"/>
                <w:tab w:val="left" w:pos="4752"/>
              </w:tabs>
              <w:jc w:val="left"/>
              <w:rPr>
                <w:color w:val="auto"/>
              </w:rPr>
            </w:pPr>
            <w:r w:rsidRPr="00F217CD">
              <w:rPr>
                <w:color w:val="auto"/>
              </w:rPr>
              <w:t>Gunshot Wound (combat-related) R</w:t>
            </w:r>
            <w:r w:rsidR="003944E6" w:rsidRPr="00F217CD">
              <w:rPr>
                <w:color w:val="auto"/>
              </w:rPr>
              <w:t>igh</w:t>
            </w:r>
            <w:r w:rsidRPr="00F217CD">
              <w:rPr>
                <w:color w:val="auto"/>
              </w:rPr>
              <w:t>t Thigh</w:t>
            </w:r>
          </w:p>
        </w:tc>
        <w:tc>
          <w:tcPr>
            <w:tcW w:w="1530" w:type="dxa"/>
            <w:vAlign w:val="center"/>
          </w:tcPr>
          <w:p w:rsidR="00AD2379" w:rsidRPr="00F217CD" w:rsidRDefault="00183E2F" w:rsidP="002C55F7">
            <w:pPr>
              <w:tabs>
                <w:tab w:val="left" w:pos="288"/>
                <w:tab w:val="left" w:pos="4752"/>
              </w:tabs>
              <w:rPr>
                <w:color w:val="auto"/>
              </w:rPr>
            </w:pPr>
            <w:r w:rsidRPr="00F217CD">
              <w:rPr>
                <w:color w:val="auto"/>
              </w:rPr>
              <w:t>5</w:t>
            </w:r>
            <w:r w:rsidR="002C55F7" w:rsidRPr="00F217CD">
              <w:rPr>
                <w:color w:val="auto"/>
              </w:rPr>
              <w:t>314</w:t>
            </w:r>
          </w:p>
        </w:tc>
        <w:tc>
          <w:tcPr>
            <w:tcW w:w="1026" w:type="dxa"/>
            <w:vAlign w:val="center"/>
          </w:tcPr>
          <w:p w:rsidR="00AD2379" w:rsidRPr="00F217CD" w:rsidRDefault="002C55F7" w:rsidP="002C55F7">
            <w:pPr>
              <w:tabs>
                <w:tab w:val="left" w:pos="288"/>
                <w:tab w:val="left" w:pos="4752"/>
              </w:tabs>
              <w:rPr>
                <w:color w:val="auto"/>
              </w:rPr>
            </w:pPr>
            <w:r w:rsidRPr="00F217CD">
              <w:rPr>
                <w:color w:val="auto"/>
              </w:rPr>
              <w:t>30</w:t>
            </w:r>
            <w:r w:rsidR="00AD2379" w:rsidRPr="00F217CD">
              <w:rPr>
                <w:color w:val="auto"/>
              </w:rPr>
              <w:t>%</w:t>
            </w:r>
          </w:p>
        </w:tc>
      </w:tr>
      <w:tr w:rsidR="00AD2379" w:rsidRPr="00F217CD"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217CD" w:rsidRDefault="00AD2379" w:rsidP="006B690F">
            <w:pPr>
              <w:tabs>
                <w:tab w:val="left" w:pos="288"/>
                <w:tab w:val="left" w:pos="4752"/>
              </w:tabs>
              <w:rPr>
                <w:b/>
                <w:color w:val="auto"/>
              </w:rPr>
            </w:pPr>
            <w:r w:rsidRPr="00F217CD">
              <w:rPr>
                <w:b/>
                <w:color w:val="auto"/>
              </w:rPr>
              <w:t>COMBINED</w:t>
            </w:r>
          </w:p>
        </w:tc>
        <w:tc>
          <w:tcPr>
            <w:tcW w:w="1026" w:type="dxa"/>
            <w:shd w:val="clear" w:color="auto" w:fill="D9D9D9"/>
            <w:vAlign w:val="center"/>
          </w:tcPr>
          <w:p w:rsidR="00AD2379" w:rsidRPr="00F217CD" w:rsidRDefault="002C55F7" w:rsidP="006B690F">
            <w:pPr>
              <w:tabs>
                <w:tab w:val="left" w:pos="288"/>
                <w:tab w:val="left" w:pos="4752"/>
              </w:tabs>
              <w:rPr>
                <w:b/>
                <w:color w:val="auto"/>
              </w:rPr>
            </w:pPr>
            <w:r w:rsidRPr="00F217CD">
              <w:rPr>
                <w:b/>
                <w:color w:val="auto"/>
              </w:rPr>
              <w:t>3</w:t>
            </w:r>
            <w:r w:rsidR="00AD2379" w:rsidRPr="00F217CD">
              <w:rPr>
                <w:b/>
                <w:color w:val="auto"/>
              </w:rPr>
              <w:t>0%</w:t>
            </w:r>
          </w:p>
        </w:tc>
      </w:tr>
    </w:tbl>
    <w:p w:rsidR="00AD2379" w:rsidRPr="00F217CD" w:rsidRDefault="00AD2379" w:rsidP="006B690F">
      <w:pPr>
        <w:pBdr>
          <w:bottom w:val="single" w:sz="12" w:space="1" w:color="auto"/>
        </w:pBdr>
        <w:tabs>
          <w:tab w:val="left" w:pos="288"/>
          <w:tab w:val="left" w:pos="4752"/>
        </w:tabs>
        <w:jc w:val="both"/>
        <w:rPr>
          <w:color w:val="auto"/>
        </w:rPr>
      </w:pPr>
    </w:p>
    <w:p w:rsidR="00AD2379" w:rsidRPr="00F217CD" w:rsidRDefault="00AD2379" w:rsidP="006B690F">
      <w:pPr>
        <w:jc w:val="both"/>
        <w:rPr>
          <w:color w:val="auto"/>
        </w:rPr>
      </w:pPr>
    </w:p>
    <w:p w:rsidR="00AD2379" w:rsidRPr="00EF5D61" w:rsidRDefault="00AD2379" w:rsidP="006B690F">
      <w:pPr>
        <w:tabs>
          <w:tab w:val="left" w:pos="288"/>
          <w:tab w:val="left" w:pos="4752"/>
        </w:tabs>
        <w:jc w:val="both"/>
        <w:rPr>
          <w:color w:val="auto"/>
        </w:rPr>
      </w:pPr>
      <w:r w:rsidRPr="00EF5D61">
        <w:rPr>
          <w:color w:val="auto"/>
        </w:rPr>
        <w:t>The following documentary evidence was considered:</w:t>
      </w:r>
    </w:p>
    <w:p w:rsidR="005144A7" w:rsidRPr="00EF5D61"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7471F0" w:rsidRPr="001F29F9">
        <w:rPr>
          <w:color w:val="000000" w:themeColor="text1"/>
          <w:szCs w:val="24"/>
        </w:rPr>
        <w:t>201</w:t>
      </w:r>
      <w:r w:rsidR="007471F0">
        <w:rPr>
          <w:color w:val="000000" w:themeColor="text1"/>
          <w:szCs w:val="24"/>
        </w:rPr>
        <w:t>10713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AB36CC">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w:t>
      </w:r>
      <w:r w:rsidR="00AF6268">
        <w:rPr>
          <w:color w:val="auto"/>
        </w:rPr>
        <w:t>Director of Operations</w:t>
      </w:r>
    </w:p>
    <w:p w:rsidR="00AB36CC" w:rsidRDefault="00AD2379" w:rsidP="00BF0E94">
      <w:pPr>
        <w:tabs>
          <w:tab w:val="left" w:pos="0"/>
          <w:tab w:val="left" w:pos="4320"/>
        </w:tabs>
        <w:jc w:val="both"/>
        <w:rPr>
          <w:color w:val="auto"/>
        </w:rPr>
      </w:pPr>
      <w:r w:rsidRPr="00F64312">
        <w:rPr>
          <w:color w:val="auto"/>
        </w:rPr>
        <w:tab/>
        <w:t xml:space="preserve">           Physical Disability Board of Review</w:t>
      </w:r>
    </w:p>
    <w:p w:rsidR="00AB36CC" w:rsidRDefault="00AB36CC" w:rsidP="00AB36CC">
      <w:pPr>
        <w:pStyle w:val="Header"/>
        <w:tabs>
          <w:tab w:val="left" w:pos="720"/>
        </w:tabs>
        <w:jc w:val="left"/>
      </w:pPr>
      <w:r>
        <w:rPr>
          <w:color w:val="auto"/>
        </w:rPr>
        <w:br w:type="page"/>
      </w:r>
      <w:r>
        <w:lastRenderedPageBreak/>
        <w:t>SFMR-RB</w:t>
      </w:r>
      <w:r>
        <w:tab/>
      </w:r>
      <w:r>
        <w:tab/>
      </w:r>
      <w:r>
        <w:tab/>
      </w:r>
      <w:r>
        <w:tab/>
      </w:r>
      <w:r>
        <w:tab/>
      </w:r>
      <w:r>
        <w:tab/>
      </w:r>
      <w:r>
        <w:tab/>
      </w:r>
      <w:r>
        <w:tab/>
      </w:r>
      <w:r>
        <w:tab/>
      </w:r>
    </w:p>
    <w:p w:rsidR="00AB36CC" w:rsidRDefault="00AB36CC" w:rsidP="00AB36CC">
      <w:pPr>
        <w:pStyle w:val="Header"/>
        <w:tabs>
          <w:tab w:val="left" w:pos="720"/>
        </w:tabs>
        <w:jc w:val="left"/>
      </w:pPr>
    </w:p>
    <w:p w:rsidR="00AB36CC" w:rsidRDefault="00AB36CC" w:rsidP="00AB36CC">
      <w:pPr>
        <w:jc w:val="left"/>
      </w:pPr>
    </w:p>
    <w:p w:rsidR="00AB36CC" w:rsidRDefault="00AB36CC" w:rsidP="00AB36CC">
      <w:pPr>
        <w:jc w:val="left"/>
      </w:pPr>
      <w:r>
        <w:t xml:space="preserve">MEMORANDUM FOR Commander, US Army Physical Disability Agency </w:t>
      </w:r>
    </w:p>
    <w:p w:rsidR="00AB36CC" w:rsidRDefault="00AB36CC" w:rsidP="00AB36CC">
      <w:pPr>
        <w:jc w:val="left"/>
      </w:pPr>
      <w:r>
        <w:t xml:space="preserve">(TAPD-ZB </w:t>
      </w:r>
      <w:proofErr w:type="gramStart"/>
      <w:r>
        <w:t>/  )</w:t>
      </w:r>
      <w:proofErr w:type="gramEnd"/>
      <w:r>
        <w:t>, 2900 Crystal Drive, Suite 300, Arlington, VA  22202</w:t>
      </w:r>
    </w:p>
    <w:p w:rsidR="00AB36CC" w:rsidRDefault="00AB36CC" w:rsidP="00AB36CC">
      <w:pPr>
        <w:jc w:val="left"/>
      </w:pPr>
    </w:p>
    <w:p w:rsidR="00AB36CC" w:rsidRDefault="00AB36CC" w:rsidP="00AB36CC">
      <w:pPr>
        <w:ind w:right="-180"/>
        <w:jc w:val="left"/>
      </w:pPr>
      <w:r>
        <w:t xml:space="preserve">SUBJECT:  Department of Defense Physical Disability Board of Review Recommendation </w:t>
      </w:r>
    </w:p>
    <w:p w:rsidR="00AB36CC" w:rsidRDefault="00AB36CC" w:rsidP="00AB36CC">
      <w:pPr>
        <w:pStyle w:val="Header"/>
        <w:tabs>
          <w:tab w:val="left" w:pos="720"/>
        </w:tabs>
        <w:jc w:val="left"/>
      </w:pPr>
      <w:proofErr w:type="gramStart"/>
      <w:r>
        <w:t>for</w:t>
      </w:r>
      <w:proofErr w:type="gramEnd"/>
      <w:r>
        <w:t xml:space="preserve"> XXXXXXXXXXXXXXX, AR20120011851 (PD201100502)</w:t>
      </w:r>
    </w:p>
    <w:p w:rsidR="00AB36CC" w:rsidRDefault="00AB36CC" w:rsidP="00AB36CC">
      <w:pPr>
        <w:pStyle w:val="Header"/>
        <w:tabs>
          <w:tab w:val="left" w:pos="720"/>
        </w:tabs>
        <w:jc w:val="left"/>
      </w:pPr>
    </w:p>
    <w:p w:rsidR="00AB36CC" w:rsidRDefault="00AB36CC" w:rsidP="00AB36CC">
      <w:pPr>
        <w:jc w:val="left"/>
      </w:pPr>
    </w:p>
    <w:p w:rsidR="00AB36CC" w:rsidRDefault="00AB36CC" w:rsidP="00AB36CC">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AB36CC" w:rsidRDefault="00AB36CC" w:rsidP="00AB36CC">
      <w:pPr>
        <w:jc w:val="left"/>
      </w:pPr>
    </w:p>
    <w:p w:rsidR="00AB36CC" w:rsidRDefault="00AB36CC" w:rsidP="00AB36CC">
      <w:pPr>
        <w:jc w:val="left"/>
      </w:pPr>
      <w:r>
        <w:t>2.  I direct that all the Department of the Army records of the individual concerned be corrected accordingly no later than 120 days from the date of this memorandum:</w:t>
      </w:r>
    </w:p>
    <w:p w:rsidR="00AB36CC" w:rsidRDefault="00AB36CC" w:rsidP="00AB36CC">
      <w:pPr>
        <w:jc w:val="left"/>
      </w:pPr>
    </w:p>
    <w:p w:rsidR="00AB36CC" w:rsidRDefault="00AB36CC" w:rsidP="00AB36CC">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AB36CC" w:rsidRDefault="00AB36CC" w:rsidP="00AB36CC">
      <w:pPr>
        <w:jc w:val="left"/>
      </w:pPr>
    </w:p>
    <w:p w:rsidR="00AB36CC" w:rsidRDefault="00AB36CC" w:rsidP="00AB36CC">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B36CC" w:rsidRDefault="00AB36CC" w:rsidP="00AB36CC">
      <w:pPr>
        <w:jc w:val="left"/>
      </w:pPr>
    </w:p>
    <w:p w:rsidR="00AB36CC" w:rsidRDefault="00AB36CC" w:rsidP="00AB36CC">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AB36CC" w:rsidRDefault="00AB36CC" w:rsidP="00AB36CC">
      <w:pPr>
        <w:jc w:val="left"/>
      </w:pPr>
    </w:p>
    <w:p w:rsidR="00AB36CC" w:rsidRDefault="00AB36CC" w:rsidP="00AB36CC">
      <w:pPr>
        <w:jc w:val="left"/>
      </w:pPr>
      <w:r>
        <w:tab/>
      </w:r>
      <w:proofErr w:type="gramStart"/>
      <w:r>
        <w:t>d.  Affording</w:t>
      </w:r>
      <w:proofErr w:type="gramEnd"/>
      <w:r>
        <w:t xml:space="preserve"> the individual the opportunity to elect Survivor Benefit Plan (SBP) and medical TRICARE retiree options.</w:t>
      </w:r>
    </w:p>
    <w:p w:rsidR="00AB36CC" w:rsidRDefault="00AB36CC" w:rsidP="00AB36CC">
      <w:pPr>
        <w:jc w:val="left"/>
      </w:pPr>
    </w:p>
    <w:p w:rsidR="00AB36CC" w:rsidRDefault="00AB36CC" w:rsidP="00AB36CC">
      <w:pPr>
        <w:jc w:val="left"/>
      </w:pPr>
    </w:p>
    <w:p w:rsidR="00AB36CC" w:rsidRDefault="00AB36CC" w:rsidP="00AB36CC">
      <w:pPr>
        <w:tabs>
          <w:tab w:val="left" w:pos="2820"/>
        </w:tabs>
        <w:jc w:val="left"/>
      </w:pPr>
      <w:r>
        <w:tab/>
      </w:r>
    </w:p>
    <w:p w:rsidR="00AB36CC" w:rsidRDefault="00AB36CC" w:rsidP="00AB36C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B36CC" w:rsidRDefault="00AB36CC" w:rsidP="00AB36CC">
      <w:pPr>
        <w:jc w:val="left"/>
      </w:pPr>
    </w:p>
    <w:p w:rsidR="00AB36CC" w:rsidRDefault="00AB36CC" w:rsidP="00AB36CC">
      <w:pPr>
        <w:jc w:val="left"/>
      </w:pPr>
      <w:r>
        <w:t>BY ORDER OF THE SECRETARY OF THE ARMY:</w:t>
      </w:r>
    </w:p>
    <w:p w:rsidR="00AB36CC" w:rsidRDefault="00AB36CC" w:rsidP="00AB36CC">
      <w:pPr>
        <w:jc w:val="left"/>
      </w:pPr>
    </w:p>
    <w:p w:rsidR="00AB36CC" w:rsidRDefault="00AB36CC" w:rsidP="00AB36CC">
      <w:pPr>
        <w:jc w:val="left"/>
      </w:pPr>
    </w:p>
    <w:p w:rsidR="00AB36CC" w:rsidRDefault="00AB36CC" w:rsidP="00AB36CC">
      <w:pPr>
        <w:pStyle w:val="Header"/>
        <w:tabs>
          <w:tab w:val="left" w:pos="720"/>
        </w:tabs>
        <w:jc w:val="left"/>
      </w:pPr>
    </w:p>
    <w:p w:rsidR="00AB36CC" w:rsidRDefault="00AB36CC" w:rsidP="00AB36CC">
      <w:pPr>
        <w:jc w:val="left"/>
      </w:pPr>
    </w:p>
    <w:p w:rsidR="00AB36CC" w:rsidRDefault="00AB36CC" w:rsidP="00AB36CC">
      <w:pPr>
        <w:jc w:val="left"/>
      </w:pPr>
      <w:bookmarkStart w:id="1" w:name="OLE_LINK4"/>
      <w:bookmarkStart w:id="2" w:name="OLE_LINK3"/>
      <w:r>
        <w:t>Encl</w:t>
      </w:r>
      <w:r>
        <w:tab/>
      </w:r>
      <w:r>
        <w:tab/>
      </w:r>
      <w:r>
        <w:tab/>
      </w:r>
      <w:r>
        <w:tab/>
      </w:r>
      <w:r>
        <w:tab/>
      </w:r>
      <w:r>
        <w:tab/>
        <w:t xml:space="preserve">     XXXXXXXXXXXXXX</w:t>
      </w:r>
    </w:p>
    <w:p w:rsidR="00AB36CC" w:rsidRDefault="00AB36CC" w:rsidP="00AB36CC">
      <w:pPr>
        <w:jc w:val="left"/>
      </w:pPr>
      <w:r>
        <w:tab/>
      </w:r>
      <w:r>
        <w:tab/>
      </w:r>
      <w:r>
        <w:tab/>
      </w:r>
      <w:r>
        <w:tab/>
      </w:r>
      <w:r>
        <w:tab/>
      </w:r>
      <w:r>
        <w:tab/>
        <w:t xml:space="preserve">     Deputy Assistant Secretary</w:t>
      </w:r>
    </w:p>
    <w:p w:rsidR="00AB36CC" w:rsidRDefault="00AB36CC" w:rsidP="00AB36CC">
      <w:pPr>
        <w:jc w:val="left"/>
      </w:pPr>
      <w:r>
        <w:tab/>
      </w:r>
      <w:r>
        <w:tab/>
      </w:r>
      <w:r>
        <w:tab/>
      </w:r>
      <w:r>
        <w:tab/>
      </w:r>
      <w:r>
        <w:tab/>
      </w:r>
      <w:r>
        <w:tab/>
        <w:t xml:space="preserve">         (Army Review Boards)</w:t>
      </w:r>
      <w:bookmarkEnd w:id="1"/>
      <w:bookmarkEnd w:id="2"/>
    </w:p>
    <w:p w:rsidR="00AB36CC" w:rsidRDefault="00AB36CC" w:rsidP="00AB36CC">
      <w:pPr>
        <w:jc w:val="left"/>
      </w:pPr>
    </w:p>
    <w:p w:rsidR="00AB36CC" w:rsidRDefault="00AB36CC" w:rsidP="00AB36CC">
      <w:pPr>
        <w:jc w:val="left"/>
      </w:pPr>
      <w:r>
        <w:t xml:space="preserve">CF: </w:t>
      </w:r>
    </w:p>
    <w:p w:rsidR="00AB36CC" w:rsidRDefault="00AB36CC" w:rsidP="00AB36CC">
      <w:pPr>
        <w:jc w:val="left"/>
      </w:pPr>
      <w:r>
        <w:t xml:space="preserve">(  ) </w:t>
      </w:r>
      <w:proofErr w:type="spellStart"/>
      <w:proofErr w:type="gramStart"/>
      <w:r>
        <w:t>DoD</w:t>
      </w:r>
      <w:proofErr w:type="spellEnd"/>
      <w:proofErr w:type="gramEnd"/>
      <w:r>
        <w:t xml:space="preserve"> PDBR</w:t>
      </w:r>
    </w:p>
    <w:p w:rsidR="001C0B6E" w:rsidRDefault="00AB36CC" w:rsidP="00AB36CC">
      <w:pPr>
        <w:jc w:val="left"/>
        <w:rPr>
          <w:color w:val="auto"/>
        </w:rPr>
      </w:pPr>
      <w:r>
        <w:t>(  ) DVA</w:t>
      </w:r>
    </w:p>
    <w:sectPr w:rsidR="001C0B6E"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A0" w:rsidRDefault="00E505A0">
      <w:r>
        <w:separator/>
      </w:r>
    </w:p>
  </w:endnote>
  <w:endnote w:type="continuationSeparator" w:id="0">
    <w:p w:rsidR="00E505A0" w:rsidRDefault="00E50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2" w:rsidRPr="00374247" w:rsidRDefault="000566F2" w:rsidP="00726F84">
    <w:pPr>
      <w:pStyle w:val="Footer"/>
      <w:ind w:firstLine="4320"/>
      <w:rPr>
        <w:color w:val="auto"/>
      </w:rPr>
    </w:pPr>
    <w:r w:rsidRPr="00374247">
      <w:rPr>
        <w:color w:val="auto"/>
      </w:rPr>
      <w:t xml:space="preserve">   </w:t>
    </w:r>
    <w:r w:rsidR="005A3D8F" w:rsidRPr="005A3D8F">
      <w:fldChar w:fldCharType="begin"/>
    </w:r>
    <w:r w:rsidR="00FD081D">
      <w:instrText xml:space="preserve"> PAGE   \* MERGEFORMAT </w:instrText>
    </w:r>
    <w:r w:rsidR="005A3D8F" w:rsidRPr="005A3D8F">
      <w:fldChar w:fldCharType="separate"/>
    </w:r>
    <w:r w:rsidR="00AB36CC" w:rsidRPr="00AB36CC">
      <w:rPr>
        <w:noProof/>
        <w:color w:val="auto"/>
      </w:rPr>
      <w:t>2</w:t>
    </w:r>
    <w:r w:rsidR="005A3D8F">
      <w:rPr>
        <w:noProof/>
        <w:color w:val="auto"/>
      </w:rPr>
      <w:fldChar w:fldCharType="end"/>
    </w:r>
    <w:r w:rsidRPr="00374247">
      <w:rPr>
        <w:color w:val="auto"/>
      </w:rPr>
      <w:t xml:space="preserve">                                                           </w:t>
    </w:r>
    <w:r w:rsidR="004C550C">
      <w:rPr>
        <w:color w:val="auto"/>
      </w:rPr>
      <w:t>PD11</w:t>
    </w:r>
    <w:r w:rsidRPr="008578B9">
      <w:rPr>
        <w:color w:val="auto"/>
      </w:rPr>
      <w:t>00</w:t>
    </w:r>
    <w:r w:rsidR="008578B9" w:rsidRPr="008578B9">
      <w:rPr>
        <w:color w:val="auto"/>
      </w:rPr>
      <w:t>502</w:t>
    </w:r>
  </w:p>
  <w:p w:rsidR="000566F2" w:rsidRPr="00684CE6" w:rsidRDefault="000566F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A0" w:rsidRDefault="00E505A0">
      <w:r>
        <w:separator/>
      </w:r>
    </w:p>
  </w:footnote>
  <w:footnote w:type="continuationSeparator" w:id="0">
    <w:p w:rsidR="00E505A0" w:rsidRDefault="00E50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791"/>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2BE"/>
    <w:rsid w:val="00043382"/>
    <w:rsid w:val="00044623"/>
    <w:rsid w:val="000452D7"/>
    <w:rsid w:val="00046203"/>
    <w:rsid w:val="00051622"/>
    <w:rsid w:val="00051A11"/>
    <w:rsid w:val="00051F89"/>
    <w:rsid w:val="00052234"/>
    <w:rsid w:val="00053D7C"/>
    <w:rsid w:val="000566F2"/>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845"/>
    <w:rsid w:val="00176D63"/>
    <w:rsid w:val="00177659"/>
    <w:rsid w:val="001779E5"/>
    <w:rsid w:val="00180826"/>
    <w:rsid w:val="00181240"/>
    <w:rsid w:val="0018208F"/>
    <w:rsid w:val="00182A4C"/>
    <w:rsid w:val="00183E2F"/>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B6E"/>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0F1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6F6B"/>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D4E"/>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4AE"/>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5F7"/>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4C8"/>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4E6"/>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727"/>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18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30AB"/>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50C"/>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D8F"/>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CDE"/>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2C04"/>
    <w:rsid w:val="005F3567"/>
    <w:rsid w:val="005F3AFE"/>
    <w:rsid w:val="005F424D"/>
    <w:rsid w:val="005F5342"/>
    <w:rsid w:val="005F55F5"/>
    <w:rsid w:val="005F5B74"/>
    <w:rsid w:val="005F5EC1"/>
    <w:rsid w:val="005F67A9"/>
    <w:rsid w:val="005F6B6D"/>
    <w:rsid w:val="005F73CA"/>
    <w:rsid w:val="006002FE"/>
    <w:rsid w:val="006008F8"/>
    <w:rsid w:val="00600F60"/>
    <w:rsid w:val="006036C2"/>
    <w:rsid w:val="00604EE0"/>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B25"/>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5088"/>
    <w:rsid w:val="00675FDC"/>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E92"/>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0F3"/>
    <w:rsid w:val="00735704"/>
    <w:rsid w:val="00736A49"/>
    <w:rsid w:val="007419A1"/>
    <w:rsid w:val="00743B71"/>
    <w:rsid w:val="00743C2D"/>
    <w:rsid w:val="00743C3A"/>
    <w:rsid w:val="00743E36"/>
    <w:rsid w:val="00743F05"/>
    <w:rsid w:val="007441C1"/>
    <w:rsid w:val="007446F7"/>
    <w:rsid w:val="00744C68"/>
    <w:rsid w:val="00744EBB"/>
    <w:rsid w:val="00745AEF"/>
    <w:rsid w:val="00745B0A"/>
    <w:rsid w:val="00745DBE"/>
    <w:rsid w:val="007468AC"/>
    <w:rsid w:val="00746AE2"/>
    <w:rsid w:val="007471F0"/>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F75"/>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54E"/>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578B9"/>
    <w:rsid w:val="00860869"/>
    <w:rsid w:val="00860E60"/>
    <w:rsid w:val="0086102A"/>
    <w:rsid w:val="0086162B"/>
    <w:rsid w:val="00861710"/>
    <w:rsid w:val="00861D5C"/>
    <w:rsid w:val="00861E7C"/>
    <w:rsid w:val="008626C2"/>
    <w:rsid w:val="0086429C"/>
    <w:rsid w:val="00865207"/>
    <w:rsid w:val="008656A7"/>
    <w:rsid w:val="00865FA3"/>
    <w:rsid w:val="00866231"/>
    <w:rsid w:val="0086649C"/>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7A8"/>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09E"/>
    <w:rsid w:val="008E2D99"/>
    <w:rsid w:val="008E30D4"/>
    <w:rsid w:val="008E38B0"/>
    <w:rsid w:val="008E3C90"/>
    <w:rsid w:val="008E4A60"/>
    <w:rsid w:val="008E744D"/>
    <w:rsid w:val="008F1E08"/>
    <w:rsid w:val="008F30F4"/>
    <w:rsid w:val="008F366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18D"/>
    <w:rsid w:val="009935C3"/>
    <w:rsid w:val="0099421F"/>
    <w:rsid w:val="00994D33"/>
    <w:rsid w:val="00994FC8"/>
    <w:rsid w:val="00996E3D"/>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62C"/>
    <w:rsid w:val="00A130E8"/>
    <w:rsid w:val="00A157D6"/>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43F"/>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373"/>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6FB"/>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588D"/>
    <w:rsid w:val="00AA73AF"/>
    <w:rsid w:val="00AB062D"/>
    <w:rsid w:val="00AB08F5"/>
    <w:rsid w:val="00AB0A8A"/>
    <w:rsid w:val="00AB1754"/>
    <w:rsid w:val="00AB1F8D"/>
    <w:rsid w:val="00AB27DD"/>
    <w:rsid w:val="00AB3383"/>
    <w:rsid w:val="00AB36CC"/>
    <w:rsid w:val="00AB4BA4"/>
    <w:rsid w:val="00AB592E"/>
    <w:rsid w:val="00AB6323"/>
    <w:rsid w:val="00AC0C1C"/>
    <w:rsid w:val="00AC1305"/>
    <w:rsid w:val="00AC37BE"/>
    <w:rsid w:val="00AC439D"/>
    <w:rsid w:val="00AC479F"/>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98F"/>
    <w:rsid w:val="00AE2B85"/>
    <w:rsid w:val="00AE2CF4"/>
    <w:rsid w:val="00AE2D29"/>
    <w:rsid w:val="00AE2DDC"/>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268"/>
    <w:rsid w:val="00AF6ECC"/>
    <w:rsid w:val="00B02145"/>
    <w:rsid w:val="00B022DC"/>
    <w:rsid w:val="00B039DD"/>
    <w:rsid w:val="00B04562"/>
    <w:rsid w:val="00B0472F"/>
    <w:rsid w:val="00B05F96"/>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47C"/>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3AC"/>
    <w:rsid w:val="00B83F87"/>
    <w:rsid w:val="00B843DD"/>
    <w:rsid w:val="00B8478F"/>
    <w:rsid w:val="00B84896"/>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700"/>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7CA"/>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516"/>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581"/>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079"/>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00D"/>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6E4A"/>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1752"/>
    <w:rsid w:val="00E2421B"/>
    <w:rsid w:val="00E242AF"/>
    <w:rsid w:val="00E24849"/>
    <w:rsid w:val="00E2536E"/>
    <w:rsid w:val="00E25A99"/>
    <w:rsid w:val="00E25B8A"/>
    <w:rsid w:val="00E25EF8"/>
    <w:rsid w:val="00E2632B"/>
    <w:rsid w:val="00E26F75"/>
    <w:rsid w:val="00E27423"/>
    <w:rsid w:val="00E3077F"/>
    <w:rsid w:val="00E322F7"/>
    <w:rsid w:val="00E32475"/>
    <w:rsid w:val="00E3369B"/>
    <w:rsid w:val="00E33AF5"/>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5A0"/>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F91"/>
    <w:rsid w:val="00E670F8"/>
    <w:rsid w:val="00E6741B"/>
    <w:rsid w:val="00E67FAC"/>
    <w:rsid w:val="00E70164"/>
    <w:rsid w:val="00E71485"/>
    <w:rsid w:val="00E7200B"/>
    <w:rsid w:val="00E7343C"/>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D61"/>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17CD"/>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71C"/>
    <w:rsid w:val="00F46964"/>
    <w:rsid w:val="00F46F9A"/>
    <w:rsid w:val="00F470FD"/>
    <w:rsid w:val="00F50F30"/>
    <w:rsid w:val="00F5126A"/>
    <w:rsid w:val="00F5126E"/>
    <w:rsid w:val="00F516EF"/>
    <w:rsid w:val="00F51755"/>
    <w:rsid w:val="00F531D9"/>
    <w:rsid w:val="00F54D8E"/>
    <w:rsid w:val="00F5580D"/>
    <w:rsid w:val="00F56023"/>
    <w:rsid w:val="00F566B7"/>
    <w:rsid w:val="00F56EA1"/>
    <w:rsid w:val="00F606D5"/>
    <w:rsid w:val="00F611B3"/>
    <w:rsid w:val="00F6196E"/>
    <w:rsid w:val="00F61CCC"/>
    <w:rsid w:val="00F624DD"/>
    <w:rsid w:val="00F629C0"/>
    <w:rsid w:val="00F63FC7"/>
    <w:rsid w:val="00F64312"/>
    <w:rsid w:val="00F65AD1"/>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81D"/>
    <w:rsid w:val="00FD0AA0"/>
    <w:rsid w:val="00FD1D5A"/>
    <w:rsid w:val="00FD4B85"/>
    <w:rsid w:val="00FD5059"/>
    <w:rsid w:val="00FD554D"/>
    <w:rsid w:val="00FD5BCC"/>
    <w:rsid w:val="00FD5EB4"/>
    <w:rsid w:val="00FD5EB8"/>
    <w:rsid w:val="00FD6C2D"/>
    <w:rsid w:val="00FD7B23"/>
    <w:rsid w:val="00FE1068"/>
    <w:rsid w:val="00FE2A48"/>
    <w:rsid w:val="00FE2DEF"/>
    <w:rsid w:val="00FE323C"/>
    <w:rsid w:val="00FE366E"/>
    <w:rsid w:val="00FE3A27"/>
    <w:rsid w:val="00FE48A6"/>
    <w:rsid w:val="00FE5D0A"/>
    <w:rsid w:val="00FE6469"/>
    <w:rsid w:val="00FE7021"/>
    <w:rsid w:val="00FE7C22"/>
    <w:rsid w:val="00FE7C6D"/>
    <w:rsid w:val="00FE7EB9"/>
    <w:rsid w:val="00FF009C"/>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02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2012-06-20T14:51:00Z</cp:lastPrinted>
  <dcterms:created xsi:type="dcterms:W3CDTF">2012-07-16T20:33:00Z</dcterms:created>
  <dcterms:modified xsi:type="dcterms:W3CDTF">2012-07-16T20:33:00Z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