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4A2C92" w:rsidRDefault="00540BEF" w:rsidP="004A2C92">
      <w:pPr>
        <w:tabs>
          <w:tab w:val="left" w:pos="288"/>
          <w:tab w:val="left" w:pos="4752"/>
        </w:tabs>
        <w:rPr>
          <w:color w:val="000000" w:themeColor="text1"/>
        </w:rPr>
      </w:pPr>
      <w:r w:rsidRPr="004A2C92">
        <w:rPr>
          <w:color w:val="000000" w:themeColor="text1"/>
        </w:rPr>
        <w:t>RECORD OF PROCEEDINGS</w:t>
      </w:r>
    </w:p>
    <w:p w:rsidR="00540BEF" w:rsidRDefault="00540BEF" w:rsidP="00BF0E94">
      <w:pPr>
        <w:tabs>
          <w:tab w:val="left" w:pos="288"/>
          <w:tab w:val="left" w:pos="4752"/>
        </w:tabs>
        <w:rPr>
          <w:color w:val="000000" w:themeColor="text1"/>
        </w:rPr>
      </w:pPr>
      <w:r w:rsidRPr="001F29F9">
        <w:rPr>
          <w:color w:val="000000" w:themeColor="text1"/>
        </w:rPr>
        <w:t>PHYSICAL DISABILITY BOARD OF REVIEW</w:t>
      </w:r>
    </w:p>
    <w:p w:rsidR="002B7E4D" w:rsidRPr="001F29F9" w:rsidRDefault="002B7E4D" w:rsidP="00BF0E94">
      <w:pPr>
        <w:tabs>
          <w:tab w:val="left" w:pos="288"/>
          <w:tab w:val="left" w:pos="4752"/>
        </w:tabs>
        <w:rPr>
          <w:color w:val="000000" w:themeColor="text1"/>
        </w:rPr>
      </w:pPr>
    </w:p>
    <w:p w:rsidR="00036223" w:rsidRPr="001F29F9" w:rsidRDefault="00036223" w:rsidP="002B7E4D">
      <w:pPr>
        <w:tabs>
          <w:tab w:val="left" w:pos="288"/>
          <w:tab w:val="left" w:pos="4752"/>
          <w:tab w:val="left" w:pos="6390"/>
          <w:tab w:val="left" w:pos="9270"/>
        </w:tabs>
        <w:jc w:val="left"/>
        <w:rPr>
          <w:caps/>
          <w:color w:val="000000" w:themeColor="text1"/>
        </w:rPr>
      </w:pPr>
      <w:r w:rsidRPr="001F29F9">
        <w:rPr>
          <w:caps/>
          <w:color w:val="000000" w:themeColor="text1"/>
        </w:rPr>
        <w:t xml:space="preserve">NAME:  </w:t>
      </w:r>
      <w:r w:rsidR="00265A80">
        <w:rPr>
          <w:caps/>
          <w:color w:val="000000" w:themeColor="text1"/>
        </w:rPr>
        <w:t xml:space="preserve"> </w:t>
      </w:r>
      <w:r w:rsidR="00BE082F">
        <w:rPr>
          <w:caps/>
          <w:color w:val="000000" w:themeColor="text1"/>
        </w:rPr>
        <w:tab/>
        <w:t xml:space="preserve">                </w:t>
      </w:r>
      <w:r w:rsidRPr="001F29F9">
        <w:rPr>
          <w:caps/>
          <w:color w:val="000000" w:themeColor="text1"/>
        </w:rPr>
        <w:t>BRANCH OF SERVICE</w:t>
      </w:r>
      <w:r w:rsidRPr="00B3102C">
        <w:rPr>
          <w:caps/>
          <w:color w:val="000000" w:themeColor="text1"/>
        </w:rPr>
        <w:t>:  MARINE CORPS</w:t>
      </w:r>
    </w:p>
    <w:p w:rsidR="00036223" w:rsidRPr="001F29F9" w:rsidRDefault="00036223" w:rsidP="002B7E4D">
      <w:pPr>
        <w:tabs>
          <w:tab w:val="left" w:pos="288"/>
          <w:tab w:val="left" w:pos="4166"/>
          <w:tab w:val="left" w:pos="4752"/>
          <w:tab w:val="left" w:pos="5130"/>
          <w:tab w:val="left" w:pos="9270"/>
        </w:tabs>
        <w:jc w:val="left"/>
        <w:rPr>
          <w:caps/>
          <w:color w:val="000000" w:themeColor="text1"/>
        </w:rPr>
      </w:pPr>
      <w:r w:rsidRPr="001F29F9">
        <w:rPr>
          <w:caps/>
          <w:color w:val="000000" w:themeColor="text1"/>
        </w:rPr>
        <w:t>CASE NUMBER:  PD11</w:t>
      </w:r>
      <w:r>
        <w:rPr>
          <w:caps/>
          <w:color w:val="000000" w:themeColor="text1"/>
        </w:rPr>
        <w:t>00498</w:t>
      </w:r>
      <w:r>
        <w:rPr>
          <w:color w:val="000000" w:themeColor="text1"/>
        </w:rPr>
        <w:t xml:space="preserve">        </w:t>
      </w:r>
      <w:r w:rsidR="00BE082F">
        <w:rPr>
          <w:color w:val="000000" w:themeColor="text1"/>
        </w:rPr>
        <w:t xml:space="preserve">   </w:t>
      </w:r>
      <w:r w:rsidR="00BE082F">
        <w:rPr>
          <w:color w:val="000000" w:themeColor="text1"/>
        </w:rPr>
        <w:tab/>
      </w:r>
      <w:r w:rsidR="00BE082F">
        <w:rPr>
          <w:color w:val="000000" w:themeColor="text1"/>
        </w:rPr>
        <w:tab/>
      </w:r>
      <w:r w:rsidR="00BE082F">
        <w:rPr>
          <w:color w:val="000000" w:themeColor="text1"/>
        </w:rPr>
        <w:tab/>
        <w:t xml:space="preserve">         </w:t>
      </w:r>
      <w:r w:rsidRPr="001F29F9">
        <w:rPr>
          <w:color w:val="000000" w:themeColor="text1"/>
        </w:rPr>
        <w:t>SEPARATION DATE:  200</w:t>
      </w:r>
      <w:r>
        <w:rPr>
          <w:color w:val="000000" w:themeColor="text1"/>
        </w:rPr>
        <w:t>20430</w:t>
      </w:r>
    </w:p>
    <w:p w:rsidR="00036223" w:rsidRPr="001F29F9" w:rsidRDefault="00036223" w:rsidP="002B7E4D">
      <w:pPr>
        <w:tabs>
          <w:tab w:val="left" w:pos="288"/>
          <w:tab w:val="left" w:pos="5130"/>
        </w:tabs>
        <w:jc w:val="left"/>
        <w:rPr>
          <w:color w:val="000000" w:themeColor="text1"/>
        </w:rPr>
      </w:pPr>
      <w:r w:rsidRPr="001F29F9">
        <w:rPr>
          <w:caps/>
          <w:color w:val="000000" w:themeColor="text1"/>
        </w:rPr>
        <w:t>BOARD DATE:  201</w:t>
      </w:r>
      <w:r w:rsidR="007B1FCA">
        <w:rPr>
          <w:caps/>
          <w:color w:val="000000" w:themeColor="text1"/>
        </w:rPr>
        <w:t>2</w:t>
      </w:r>
      <w:r w:rsidR="004A2C92">
        <w:rPr>
          <w:caps/>
          <w:color w:val="000000" w:themeColor="text1"/>
        </w:rPr>
        <w:t>031</w:t>
      </w:r>
      <w:r w:rsidR="00F27500">
        <w:rPr>
          <w:caps/>
          <w:color w:val="000000" w:themeColor="text1"/>
        </w:rPr>
        <w:t>6</w:t>
      </w:r>
    </w:p>
    <w:p w:rsidR="00036223" w:rsidRPr="001F29F9" w:rsidRDefault="00036223" w:rsidP="002B7E4D">
      <w:pPr>
        <w:pBdr>
          <w:bottom w:val="single" w:sz="12" w:space="1" w:color="auto"/>
        </w:pBdr>
        <w:tabs>
          <w:tab w:val="left" w:pos="288"/>
          <w:tab w:val="left" w:pos="4752"/>
        </w:tabs>
        <w:jc w:val="left"/>
        <w:rPr>
          <w:color w:val="000000" w:themeColor="text1"/>
        </w:rPr>
      </w:pPr>
    </w:p>
    <w:p w:rsidR="00036223" w:rsidRPr="001F29F9" w:rsidRDefault="00036223" w:rsidP="00036223">
      <w:pPr>
        <w:tabs>
          <w:tab w:val="left" w:pos="288"/>
          <w:tab w:val="left" w:pos="4752"/>
        </w:tabs>
        <w:jc w:val="both"/>
        <w:rPr>
          <w:color w:val="000000" w:themeColor="text1"/>
        </w:rPr>
      </w:pPr>
    </w:p>
    <w:p w:rsidR="00036223" w:rsidRPr="001F29F9" w:rsidRDefault="00036223" w:rsidP="00036223">
      <w:pPr>
        <w:tabs>
          <w:tab w:val="left" w:pos="288"/>
          <w:tab w:val="left" w:pos="4752"/>
        </w:tabs>
        <w:jc w:val="both"/>
        <w:rPr>
          <w:color w:val="000000" w:themeColor="text1"/>
        </w:rPr>
      </w:pPr>
      <w:r w:rsidRPr="001F29F9">
        <w:rPr>
          <w:color w:val="000000" w:themeColor="text1"/>
          <w:u w:val="single"/>
        </w:rPr>
        <w:t>SUMMARY OF CASE</w:t>
      </w:r>
      <w:r w:rsidRPr="001F29F9">
        <w:rPr>
          <w:color w:val="000000" w:themeColor="text1"/>
        </w:rPr>
        <w:t xml:space="preserve">:  Data extracted from the available evidence of record reflects that this covered individual (CI) </w:t>
      </w:r>
      <w:r w:rsidRPr="001F29F9">
        <w:rPr>
          <w:color w:val="000000" w:themeColor="text1"/>
          <w:szCs w:val="24"/>
        </w:rPr>
        <w:t xml:space="preserve">was an active duty </w:t>
      </w:r>
      <w:proofErr w:type="spellStart"/>
      <w:r>
        <w:rPr>
          <w:color w:val="000000" w:themeColor="text1"/>
          <w:szCs w:val="24"/>
        </w:rPr>
        <w:t>LC</w:t>
      </w:r>
      <w:r w:rsidR="00BE082F">
        <w:rPr>
          <w:color w:val="000000" w:themeColor="text1"/>
          <w:szCs w:val="24"/>
        </w:rPr>
        <w:t>pl</w:t>
      </w:r>
      <w:proofErr w:type="spellEnd"/>
      <w:r w:rsidRPr="001F29F9">
        <w:rPr>
          <w:color w:val="000000" w:themeColor="text1"/>
          <w:szCs w:val="24"/>
        </w:rPr>
        <w:t>/E-</w:t>
      </w:r>
      <w:r>
        <w:rPr>
          <w:color w:val="000000" w:themeColor="text1"/>
          <w:szCs w:val="24"/>
        </w:rPr>
        <w:t>3</w:t>
      </w:r>
      <w:r w:rsidRPr="001F29F9">
        <w:rPr>
          <w:color w:val="000000" w:themeColor="text1"/>
          <w:szCs w:val="24"/>
        </w:rPr>
        <w:t xml:space="preserve"> (</w:t>
      </w:r>
      <w:r>
        <w:rPr>
          <w:color w:val="000000" w:themeColor="text1"/>
          <w:szCs w:val="24"/>
        </w:rPr>
        <w:t>0612</w:t>
      </w:r>
      <w:r w:rsidRPr="001F29F9">
        <w:rPr>
          <w:color w:val="000000" w:themeColor="text1"/>
          <w:szCs w:val="24"/>
        </w:rPr>
        <w:t xml:space="preserve"> / </w:t>
      </w:r>
      <w:r>
        <w:rPr>
          <w:color w:val="000000" w:themeColor="text1"/>
          <w:szCs w:val="24"/>
        </w:rPr>
        <w:t>Field Wireman</w:t>
      </w:r>
      <w:r w:rsidRPr="001F29F9">
        <w:rPr>
          <w:color w:val="000000" w:themeColor="text1"/>
          <w:szCs w:val="24"/>
        </w:rPr>
        <w:t>) medically separated</w:t>
      </w:r>
      <w:r w:rsidR="00BE082F">
        <w:rPr>
          <w:color w:val="000000" w:themeColor="text1"/>
          <w:szCs w:val="24"/>
        </w:rPr>
        <w:t xml:space="preserve"> </w:t>
      </w:r>
      <w:r>
        <w:rPr>
          <w:color w:val="000000" w:themeColor="text1"/>
          <w:szCs w:val="24"/>
        </w:rPr>
        <w:t xml:space="preserve">for </w:t>
      </w:r>
      <w:r w:rsidR="00BE082F">
        <w:rPr>
          <w:color w:val="000000" w:themeColor="text1"/>
          <w:szCs w:val="24"/>
        </w:rPr>
        <w:t xml:space="preserve">a </w:t>
      </w:r>
      <w:r>
        <w:rPr>
          <w:color w:val="000000" w:themeColor="text1"/>
          <w:szCs w:val="24"/>
        </w:rPr>
        <w:t xml:space="preserve">right knee </w:t>
      </w:r>
      <w:r w:rsidR="00BE082F">
        <w:rPr>
          <w:color w:val="000000" w:themeColor="text1"/>
          <w:szCs w:val="24"/>
        </w:rPr>
        <w:t>condition</w:t>
      </w:r>
      <w:r>
        <w:rPr>
          <w:color w:val="000000" w:themeColor="text1"/>
          <w:szCs w:val="24"/>
        </w:rPr>
        <w:t>.  The CI su</w:t>
      </w:r>
      <w:r w:rsidR="00BE082F">
        <w:rPr>
          <w:color w:val="000000" w:themeColor="text1"/>
          <w:szCs w:val="24"/>
        </w:rPr>
        <w:t>ffered</w:t>
      </w:r>
      <w:r>
        <w:rPr>
          <w:color w:val="000000" w:themeColor="text1"/>
          <w:szCs w:val="24"/>
        </w:rPr>
        <w:t xml:space="preserve"> a </w:t>
      </w:r>
      <w:r w:rsidR="003762BD">
        <w:rPr>
          <w:color w:val="000000" w:themeColor="text1"/>
          <w:szCs w:val="24"/>
        </w:rPr>
        <w:t>right patellar dislocation</w:t>
      </w:r>
      <w:r>
        <w:rPr>
          <w:color w:val="000000" w:themeColor="text1"/>
          <w:szCs w:val="24"/>
        </w:rPr>
        <w:t xml:space="preserve"> in</w:t>
      </w:r>
      <w:r w:rsidR="003762BD">
        <w:rPr>
          <w:color w:val="000000" w:themeColor="text1"/>
          <w:szCs w:val="24"/>
        </w:rPr>
        <w:t xml:space="preserve"> November</w:t>
      </w:r>
      <w:r w:rsidR="00597A85">
        <w:rPr>
          <w:color w:val="000000" w:themeColor="text1"/>
          <w:szCs w:val="24"/>
        </w:rPr>
        <w:t xml:space="preserve"> 2000</w:t>
      </w:r>
      <w:r w:rsidR="00915913">
        <w:rPr>
          <w:color w:val="000000" w:themeColor="text1"/>
          <w:szCs w:val="24"/>
        </w:rPr>
        <w:t>.  A</w:t>
      </w:r>
      <w:r w:rsidR="00BE082F">
        <w:rPr>
          <w:color w:val="000000" w:themeColor="text1"/>
          <w:szCs w:val="24"/>
        </w:rPr>
        <w:t xml:space="preserve">fter that </w:t>
      </w:r>
      <w:r w:rsidR="00915913">
        <w:rPr>
          <w:color w:val="000000" w:themeColor="text1"/>
          <w:szCs w:val="24"/>
        </w:rPr>
        <w:t xml:space="preserve">injury, </w:t>
      </w:r>
      <w:r w:rsidR="00BE082F">
        <w:rPr>
          <w:color w:val="000000" w:themeColor="text1"/>
          <w:szCs w:val="24"/>
        </w:rPr>
        <w:t xml:space="preserve">his right knee continued to give him problems.  He was treated, but did </w:t>
      </w:r>
      <w:r>
        <w:rPr>
          <w:color w:val="000000" w:themeColor="text1"/>
          <w:szCs w:val="24"/>
        </w:rPr>
        <w:t xml:space="preserve">not respond adequately </w:t>
      </w:r>
      <w:r w:rsidR="00597A85">
        <w:rPr>
          <w:color w:val="000000" w:themeColor="text1"/>
          <w:szCs w:val="24"/>
        </w:rPr>
        <w:t xml:space="preserve">to </w:t>
      </w:r>
      <w:r w:rsidR="00BE082F">
        <w:rPr>
          <w:color w:val="000000" w:themeColor="text1"/>
          <w:szCs w:val="24"/>
        </w:rPr>
        <w:t xml:space="preserve">fully perform his military duties or </w:t>
      </w:r>
      <w:r w:rsidRPr="00311015">
        <w:rPr>
          <w:color w:val="000000" w:themeColor="text1"/>
          <w:szCs w:val="24"/>
        </w:rPr>
        <w:t>meet physical fitness</w:t>
      </w:r>
      <w:r w:rsidR="00BE082F">
        <w:rPr>
          <w:color w:val="000000" w:themeColor="text1"/>
          <w:szCs w:val="24"/>
        </w:rPr>
        <w:t xml:space="preserve"> standards</w:t>
      </w:r>
      <w:r w:rsidRPr="00311015">
        <w:rPr>
          <w:color w:val="000000" w:themeColor="text1"/>
          <w:szCs w:val="24"/>
        </w:rPr>
        <w:t xml:space="preserve">.  </w:t>
      </w:r>
      <w:r w:rsidR="00BE082F">
        <w:rPr>
          <w:color w:val="000000" w:themeColor="text1"/>
          <w:szCs w:val="24"/>
        </w:rPr>
        <w:t>T</w:t>
      </w:r>
      <w:r w:rsidR="00597A85">
        <w:rPr>
          <w:color w:val="000000" w:themeColor="text1"/>
          <w:szCs w:val="24"/>
        </w:rPr>
        <w:t>he CI</w:t>
      </w:r>
      <w:r w:rsidRPr="00311015">
        <w:rPr>
          <w:color w:val="000000" w:themeColor="text1"/>
          <w:szCs w:val="24"/>
        </w:rPr>
        <w:t xml:space="preserve"> underwent a M</w:t>
      </w:r>
      <w:r w:rsidR="00597A85">
        <w:rPr>
          <w:color w:val="000000" w:themeColor="text1"/>
          <w:szCs w:val="24"/>
        </w:rPr>
        <w:t>edical Evaluation Board (MEB).</w:t>
      </w:r>
      <w:r w:rsidR="00BE082F">
        <w:rPr>
          <w:color w:val="000000" w:themeColor="text1"/>
          <w:szCs w:val="24"/>
        </w:rPr>
        <w:t xml:space="preserve"> </w:t>
      </w:r>
      <w:r w:rsidR="00597A85">
        <w:rPr>
          <w:color w:val="000000" w:themeColor="text1"/>
          <w:szCs w:val="24"/>
        </w:rPr>
        <w:t xml:space="preserve"> </w:t>
      </w:r>
      <w:r w:rsidR="00915913">
        <w:rPr>
          <w:color w:val="000000" w:themeColor="text1"/>
          <w:szCs w:val="24"/>
        </w:rPr>
        <w:t xml:space="preserve">Right </w:t>
      </w:r>
      <w:proofErr w:type="spellStart"/>
      <w:r w:rsidR="00915913">
        <w:rPr>
          <w:color w:val="000000" w:themeColor="text1"/>
          <w:szCs w:val="24"/>
        </w:rPr>
        <w:t>p</w:t>
      </w:r>
      <w:r w:rsidRPr="00311015">
        <w:rPr>
          <w:color w:val="000000" w:themeColor="text1"/>
          <w:szCs w:val="24"/>
        </w:rPr>
        <w:t>atellofemoral</w:t>
      </w:r>
      <w:proofErr w:type="spellEnd"/>
      <w:r w:rsidRPr="00311015">
        <w:rPr>
          <w:color w:val="000000" w:themeColor="text1"/>
          <w:szCs w:val="24"/>
        </w:rPr>
        <w:t xml:space="preserve"> syndrome </w:t>
      </w:r>
      <w:r w:rsidR="00915913">
        <w:rPr>
          <w:color w:val="000000" w:themeColor="text1"/>
          <w:szCs w:val="24"/>
        </w:rPr>
        <w:t xml:space="preserve">(PFS) </w:t>
      </w:r>
      <w:r w:rsidRPr="00311015">
        <w:rPr>
          <w:color w:val="000000" w:themeColor="text1"/>
          <w:szCs w:val="24"/>
        </w:rPr>
        <w:t xml:space="preserve">was forwarded to the Physical Evaluation Board (PEB) as medically unacceptable IAW SECNAVINST 1850.4E.  No other conditions appeared on the MEB’s submission.  The PEB </w:t>
      </w:r>
      <w:r w:rsidR="00BE082F">
        <w:rPr>
          <w:color w:val="000000" w:themeColor="text1"/>
          <w:szCs w:val="24"/>
        </w:rPr>
        <w:t xml:space="preserve">found </w:t>
      </w:r>
      <w:r w:rsidRPr="00311015">
        <w:rPr>
          <w:color w:val="000000" w:themeColor="text1"/>
          <w:szCs w:val="24"/>
        </w:rPr>
        <w:t xml:space="preserve">the </w:t>
      </w:r>
      <w:r w:rsidR="00BE082F">
        <w:rPr>
          <w:color w:val="000000" w:themeColor="text1"/>
          <w:szCs w:val="24"/>
        </w:rPr>
        <w:t xml:space="preserve">right </w:t>
      </w:r>
      <w:r w:rsidRPr="00311015">
        <w:rPr>
          <w:color w:val="000000" w:themeColor="text1"/>
          <w:szCs w:val="24"/>
        </w:rPr>
        <w:t xml:space="preserve">knee condition unfitting, </w:t>
      </w:r>
      <w:r w:rsidR="00BE082F">
        <w:rPr>
          <w:color w:val="000000" w:themeColor="text1"/>
          <w:szCs w:val="24"/>
        </w:rPr>
        <w:t xml:space="preserve">and </w:t>
      </w:r>
      <w:r w:rsidRPr="00311015">
        <w:rPr>
          <w:color w:val="000000" w:themeColor="text1"/>
          <w:szCs w:val="24"/>
        </w:rPr>
        <w:t xml:space="preserve">rated </w:t>
      </w:r>
      <w:r w:rsidR="00BE082F">
        <w:rPr>
          <w:color w:val="000000" w:themeColor="text1"/>
          <w:szCs w:val="24"/>
        </w:rPr>
        <w:t xml:space="preserve">it </w:t>
      </w:r>
      <w:r w:rsidRPr="00311015">
        <w:rPr>
          <w:color w:val="000000" w:themeColor="text1"/>
          <w:szCs w:val="24"/>
        </w:rPr>
        <w:t>10%.</w:t>
      </w:r>
      <w:r w:rsidRPr="00311015">
        <w:rPr>
          <w:color w:val="000000" w:themeColor="text1"/>
        </w:rPr>
        <w:t xml:space="preserve"> </w:t>
      </w:r>
      <w:r>
        <w:rPr>
          <w:color w:val="000000" w:themeColor="text1"/>
        </w:rPr>
        <w:t xml:space="preserve"> </w:t>
      </w:r>
      <w:r w:rsidRPr="00311015">
        <w:rPr>
          <w:color w:val="000000" w:themeColor="text1"/>
        </w:rPr>
        <w:t>The CI made no appeals, and was separated with a 10% disability rating.</w:t>
      </w:r>
    </w:p>
    <w:p w:rsidR="00036223" w:rsidRPr="001F29F9" w:rsidRDefault="00036223" w:rsidP="00036223">
      <w:pPr>
        <w:pBdr>
          <w:bottom w:val="single" w:sz="12" w:space="1" w:color="auto"/>
        </w:pBdr>
        <w:tabs>
          <w:tab w:val="left" w:pos="288"/>
          <w:tab w:val="left" w:pos="4752"/>
        </w:tabs>
        <w:jc w:val="both"/>
        <w:rPr>
          <w:color w:val="000000" w:themeColor="text1"/>
        </w:rPr>
      </w:pPr>
    </w:p>
    <w:p w:rsidR="00036223" w:rsidRPr="001F29F9" w:rsidRDefault="00036223" w:rsidP="00036223">
      <w:pPr>
        <w:tabs>
          <w:tab w:val="left" w:pos="288"/>
          <w:tab w:val="left" w:pos="4752"/>
        </w:tabs>
        <w:jc w:val="both"/>
        <w:rPr>
          <w:color w:val="000000" w:themeColor="text1"/>
        </w:rPr>
      </w:pPr>
    </w:p>
    <w:p w:rsidR="00036223" w:rsidRPr="001F29F9" w:rsidRDefault="00036223" w:rsidP="00036223">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915913">
        <w:rPr>
          <w:color w:val="000000" w:themeColor="text1"/>
        </w:rPr>
        <w:t xml:space="preserve">  In item 3 of DD Form 294, the CI</w:t>
      </w:r>
      <w:r w:rsidRPr="001F29F9">
        <w:rPr>
          <w:rFonts w:eastAsiaTheme="minorHAnsi"/>
          <w:color w:val="000000" w:themeColor="text1"/>
          <w:szCs w:val="24"/>
        </w:rPr>
        <w:t xml:space="preserve"> elaborates no specific contentions regarding rating or coding</w:t>
      </w:r>
      <w:r w:rsidR="00915913">
        <w:rPr>
          <w:rFonts w:eastAsiaTheme="minorHAnsi"/>
          <w:color w:val="000000" w:themeColor="text1"/>
          <w:szCs w:val="24"/>
        </w:rPr>
        <w:t>,</w:t>
      </w:r>
      <w:r w:rsidRPr="001F29F9">
        <w:rPr>
          <w:rFonts w:eastAsiaTheme="minorHAnsi"/>
          <w:color w:val="000000" w:themeColor="text1"/>
          <w:szCs w:val="24"/>
        </w:rPr>
        <w:t xml:space="preserve"> and mentions no additionally contended conditions.</w:t>
      </w:r>
    </w:p>
    <w:p w:rsidR="00036223" w:rsidRDefault="00036223" w:rsidP="00036223">
      <w:pPr>
        <w:pBdr>
          <w:bottom w:val="single" w:sz="12" w:space="1" w:color="auto"/>
        </w:pBdr>
        <w:tabs>
          <w:tab w:val="left" w:pos="288"/>
          <w:tab w:val="left" w:pos="4752"/>
        </w:tabs>
        <w:jc w:val="both"/>
        <w:rPr>
          <w:color w:val="000000" w:themeColor="text1"/>
        </w:rPr>
      </w:pPr>
    </w:p>
    <w:p w:rsidR="00036223" w:rsidRDefault="00036223" w:rsidP="00036223">
      <w:pPr>
        <w:tabs>
          <w:tab w:val="left" w:pos="288"/>
          <w:tab w:val="left" w:pos="4752"/>
        </w:tabs>
        <w:jc w:val="both"/>
        <w:rPr>
          <w:rFonts w:asciiTheme="minorHAnsi" w:hAnsiTheme="minorHAnsi"/>
          <w:b/>
          <w:color w:val="auto"/>
        </w:rPr>
      </w:pPr>
    </w:p>
    <w:p w:rsidR="00036223" w:rsidRPr="001F29F9" w:rsidRDefault="00036223" w:rsidP="00036223">
      <w:pPr>
        <w:jc w:val="left"/>
        <w:rPr>
          <w:color w:val="000000" w:themeColor="text1"/>
        </w:rPr>
      </w:pPr>
      <w:r w:rsidRPr="001F29F9">
        <w:rPr>
          <w:color w:val="000000" w:themeColor="text1"/>
          <w:u w:val="single"/>
        </w:rPr>
        <w:t>RATING COMPARISON</w:t>
      </w:r>
      <w:r w:rsidRPr="001F29F9">
        <w:rPr>
          <w:color w:val="000000" w:themeColor="text1"/>
        </w:rPr>
        <w:t>:</w:t>
      </w:r>
    </w:p>
    <w:p w:rsidR="00036223" w:rsidRPr="001F29F9" w:rsidRDefault="00036223" w:rsidP="00036223">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036223" w:rsidRPr="001F29F9" w:rsidTr="00036223">
        <w:trPr>
          <w:trHeight w:val="170"/>
          <w:jc w:val="center"/>
        </w:trPr>
        <w:tc>
          <w:tcPr>
            <w:tcW w:w="4158" w:type="dxa"/>
            <w:gridSpan w:val="3"/>
            <w:tcBorders>
              <w:right w:val="thinThickThinSmallGap" w:sz="24" w:space="0" w:color="auto"/>
            </w:tcBorders>
            <w:shd w:val="clear" w:color="auto" w:fill="D9D9D9" w:themeFill="background1" w:themeFillShade="D9"/>
            <w:vAlign w:val="center"/>
          </w:tcPr>
          <w:p w:rsidR="00036223" w:rsidRPr="001F29F9" w:rsidRDefault="00915913" w:rsidP="00915913">
            <w:pPr>
              <w:contextualSpacing/>
              <w:rPr>
                <w:rFonts w:ascii="Calibri" w:hAnsi="Calibri" w:cs="Calibri"/>
                <w:b/>
                <w:color w:val="000000" w:themeColor="text1"/>
                <w:sz w:val="18"/>
                <w:szCs w:val="18"/>
              </w:rPr>
            </w:pPr>
            <w:r>
              <w:rPr>
                <w:rFonts w:ascii="Calibri" w:hAnsi="Calibri" w:cs="Calibri"/>
                <w:b/>
                <w:color w:val="000000" w:themeColor="text1"/>
                <w:sz w:val="18"/>
                <w:szCs w:val="18"/>
              </w:rPr>
              <w:t>Navy</w:t>
            </w:r>
            <w:r w:rsidR="00036223" w:rsidRPr="001F29F9">
              <w:rPr>
                <w:rFonts w:ascii="Calibri" w:hAnsi="Calibri" w:cs="Calibri"/>
                <w:b/>
                <w:color w:val="000000" w:themeColor="text1"/>
                <w:sz w:val="18"/>
                <w:szCs w:val="18"/>
              </w:rPr>
              <w:t xml:space="preserve"> PEB – </w:t>
            </w:r>
            <w:r>
              <w:rPr>
                <w:rFonts w:ascii="Calibri" w:hAnsi="Calibri" w:cs="Calibri"/>
                <w:b/>
                <w:color w:val="000000" w:themeColor="text1"/>
                <w:sz w:val="18"/>
                <w:szCs w:val="18"/>
              </w:rPr>
              <w:t>d</w:t>
            </w:r>
            <w:r w:rsidR="00036223" w:rsidRPr="001F29F9">
              <w:rPr>
                <w:rFonts w:ascii="Calibri" w:hAnsi="Calibri" w:cs="Calibri"/>
                <w:b/>
                <w:color w:val="000000" w:themeColor="text1"/>
                <w:sz w:val="18"/>
                <w:szCs w:val="18"/>
              </w:rPr>
              <w:t>ated 200</w:t>
            </w:r>
            <w:r w:rsidR="00036223">
              <w:rPr>
                <w:rFonts w:ascii="Calibri" w:hAnsi="Calibri" w:cs="Calibri"/>
                <w:b/>
                <w:color w:val="000000" w:themeColor="text1"/>
                <w:sz w:val="18"/>
                <w:szCs w:val="18"/>
              </w:rPr>
              <w:t>20313</w:t>
            </w:r>
          </w:p>
        </w:tc>
        <w:tc>
          <w:tcPr>
            <w:tcW w:w="5220" w:type="dxa"/>
            <w:gridSpan w:val="4"/>
            <w:tcBorders>
              <w:left w:val="thinThickThinSmallGap" w:sz="24" w:space="0" w:color="auto"/>
            </w:tcBorders>
            <w:shd w:val="clear" w:color="auto" w:fill="D9D9D9" w:themeFill="background1" w:themeFillShade="D9"/>
            <w:vAlign w:val="center"/>
          </w:tcPr>
          <w:p w:rsidR="00036223" w:rsidRPr="001F29F9" w:rsidRDefault="00036223" w:rsidP="00F2750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VA (</w:t>
            </w:r>
            <w:r w:rsidR="00F27500">
              <w:rPr>
                <w:rFonts w:ascii="Calibri" w:hAnsi="Calibri" w:cs="Calibri"/>
                <w:b/>
                <w:color w:val="000000" w:themeColor="text1"/>
                <w:sz w:val="18"/>
                <w:szCs w:val="18"/>
              </w:rPr>
              <w:t>1 week Post</w:t>
            </w:r>
            <w:r w:rsidRPr="00E47A61">
              <w:rPr>
                <w:rFonts w:ascii="Calibri" w:hAnsi="Calibri" w:cs="Calibri"/>
                <w:b/>
                <w:color w:val="000000" w:themeColor="text1"/>
                <w:sz w:val="18"/>
                <w:szCs w:val="18"/>
              </w:rPr>
              <w:t>-</w:t>
            </w:r>
            <w:r w:rsidRPr="001F29F9">
              <w:rPr>
                <w:rFonts w:ascii="Calibri" w:hAnsi="Calibri" w:cs="Calibri"/>
                <w:b/>
                <w:color w:val="000000" w:themeColor="text1"/>
                <w:sz w:val="18"/>
                <w:szCs w:val="18"/>
              </w:rPr>
              <w:t xml:space="preserve">Separation) – All Effective </w:t>
            </w:r>
            <w:r w:rsidRPr="00742D48">
              <w:rPr>
                <w:rFonts w:ascii="Calibri" w:hAnsi="Calibri" w:cs="Calibri"/>
                <w:b/>
                <w:color w:val="000000" w:themeColor="text1"/>
                <w:sz w:val="18"/>
                <w:szCs w:val="18"/>
              </w:rPr>
              <w:t>20020</w:t>
            </w:r>
            <w:r>
              <w:rPr>
                <w:rFonts w:ascii="Calibri" w:hAnsi="Calibri" w:cs="Calibri"/>
                <w:b/>
                <w:color w:val="000000" w:themeColor="text1"/>
                <w:sz w:val="18"/>
                <w:szCs w:val="18"/>
              </w:rPr>
              <w:t>0501</w:t>
            </w:r>
          </w:p>
        </w:tc>
      </w:tr>
      <w:tr w:rsidR="00036223" w:rsidRPr="001F29F9" w:rsidTr="00036223">
        <w:trPr>
          <w:trHeight w:val="97"/>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036223" w:rsidRPr="001F29F9" w:rsidRDefault="00036223" w:rsidP="0003622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036223" w:rsidRPr="001F29F9" w:rsidRDefault="00036223" w:rsidP="0003622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036223" w:rsidRPr="001F29F9" w:rsidRDefault="00036223" w:rsidP="0003622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036223" w:rsidRPr="001F29F9" w:rsidRDefault="00036223" w:rsidP="0003622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036223" w:rsidRPr="001F29F9" w:rsidRDefault="00036223" w:rsidP="0003622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036223" w:rsidRPr="001F29F9" w:rsidRDefault="00036223" w:rsidP="0003622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036223" w:rsidRPr="001F29F9" w:rsidRDefault="00036223" w:rsidP="0003622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Exam</w:t>
            </w:r>
          </w:p>
        </w:tc>
      </w:tr>
      <w:tr w:rsidR="00036223" w:rsidRPr="001F29F9" w:rsidTr="00036223">
        <w:trPr>
          <w:trHeight w:val="115"/>
          <w:jc w:val="center"/>
        </w:trPr>
        <w:tc>
          <w:tcPr>
            <w:tcW w:w="2178" w:type="dxa"/>
            <w:tcBorders>
              <w:right w:val="single" w:sz="4" w:space="0" w:color="auto"/>
            </w:tcBorders>
            <w:shd w:val="clear" w:color="auto" w:fill="FFFFFF" w:themeFill="background1"/>
            <w:vAlign w:val="center"/>
          </w:tcPr>
          <w:p w:rsidR="00036223" w:rsidRPr="001F29F9" w:rsidRDefault="00915913" w:rsidP="0091591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 Knee Condition</w:t>
            </w:r>
          </w:p>
        </w:tc>
        <w:tc>
          <w:tcPr>
            <w:tcW w:w="1080" w:type="dxa"/>
            <w:tcBorders>
              <w:left w:val="single" w:sz="4" w:space="0" w:color="auto"/>
            </w:tcBorders>
            <w:shd w:val="clear" w:color="auto" w:fill="FFFFFF" w:themeFill="background1"/>
            <w:vAlign w:val="center"/>
          </w:tcPr>
          <w:p w:rsidR="00036223" w:rsidRPr="001F29F9" w:rsidRDefault="00036223" w:rsidP="0003622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5299-5003</w:t>
            </w:r>
          </w:p>
        </w:tc>
        <w:tc>
          <w:tcPr>
            <w:tcW w:w="900" w:type="dxa"/>
            <w:tcBorders>
              <w:right w:val="thinThickThinSmallGap" w:sz="24" w:space="0" w:color="auto"/>
            </w:tcBorders>
            <w:shd w:val="clear" w:color="auto" w:fill="FFFFFF" w:themeFill="background1"/>
            <w:vAlign w:val="center"/>
          </w:tcPr>
          <w:p w:rsidR="00036223" w:rsidRPr="001F29F9" w:rsidRDefault="00036223" w:rsidP="00036223">
            <w:pPr>
              <w:spacing w:line="180" w:lineRule="exac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036223" w:rsidRPr="001F29F9" w:rsidRDefault="00036223" w:rsidP="0091591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 xml:space="preserve">Right Knee </w:t>
            </w:r>
            <w:r w:rsidR="00915913">
              <w:rPr>
                <w:rFonts w:ascii="Calibri" w:eastAsia="Times New Roman" w:hAnsi="Calibri" w:cs="Calibri"/>
                <w:color w:val="000000" w:themeColor="text1"/>
                <w:sz w:val="18"/>
                <w:szCs w:val="18"/>
              </w:rPr>
              <w:t>Condition</w:t>
            </w:r>
          </w:p>
        </w:tc>
        <w:tc>
          <w:tcPr>
            <w:tcW w:w="1080" w:type="dxa"/>
            <w:shd w:val="clear" w:color="auto" w:fill="FFFFFF" w:themeFill="background1"/>
            <w:vAlign w:val="center"/>
          </w:tcPr>
          <w:p w:rsidR="00036223" w:rsidRPr="001F29F9" w:rsidRDefault="00036223" w:rsidP="0003622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5019-5259</w:t>
            </w:r>
          </w:p>
        </w:tc>
        <w:tc>
          <w:tcPr>
            <w:tcW w:w="828" w:type="dxa"/>
            <w:shd w:val="clear" w:color="auto" w:fill="FFFFFF" w:themeFill="background1"/>
            <w:vAlign w:val="center"/>
          </w:tcPr>
          <w:p w:rsidR="00036223" w:rsidRPr="001F29F9" w:rsidRDefault="00036223" w:rsidP="0003622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036223" w:rsidRPr="001F29F9" w:rsidRDefault="00036223" w:rsidP="0003622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20020403</w:t>
            </w:r>
          </w:p>
        </w:tc>
      </w:tr>
      <w:tr w:rsidR="00036223" w:rsidRPr="001F29F9" w:rsidTr="00036223">
        <w:trPr>
          <w:trHeight w:val="106"/>
          <w:jc w:val="center"/>
        </w:trPr>
        <w:tc>
          <w:tcPr>
            <w:tcW w:w="4158" w:type="dxa"/>
            <w:gridSpan w:val="3"/>
            <w:tcBorders>
              <w:bottom w:val="nil"/>
              <w:right w:val="thinThickThinSmallGap" w:sz="24" w:space="0" w:color="auto"/>
            </w:tcBorders>
            <w:shd w:val="clear" w:color="auto" w:fill="FFFFFF" w:themeFill="background1"/>
            <w:vAlign w:val="center"/>
          </w:tcPr>
          <w:p w:rsidR="00036223" w:rsidRPr="001F29F9" w:rsidRDefault="00036223" w:rsidP="00036223">
            <w:pPr>
              <w:spacing w:line="180" w:lineRule="exact"/>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036223" w:rsidRPr="001F29F9" w:rsidRDefault="00036223" w:rsidP="0003622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Tinnitus</w:t>
            </w:r>
          </w:p>
        </w:tc>
        <w:tc>
          <w:tcPr>
            <w:tcW w:w="1080" w:type="dxa"/>
            <w:tcBorders>
              <w:left w:val="single" w:sz="4" w:space="0" w:color="auto"/>
            </w:tcBorders>
            <w:shd w:val="clear" w:color="auto" w:fill="FFFFFF" w:themeFill="background1"/>
            <w:vAlign w:val="center"/>
          </w:tcPr>
          <w:p w:rsidR="00036223" w:rsidRPr="001F29F9" w:rsidRDefault="00036223" w:rsidP="0003622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6260</w:t>
            </w:r>
          </w:p>
        </w:tc>
        <w:tc>
          <w:tcPr>
            <w:tcW w:w="828" w:type="dxa"/>
            <w:shd w:val="clear" w:color="auto" w:fill="FFFFFF" w:themeFill="background1"/>
            <w:vAlign w:val="center"/>
          </w:tcPr>
          <w:p w:rsidR="00036223" w:rsidRPr="001F29F9" w:rsidRDefault="00036223" w:rsidP="0003622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036223" w:rsidRPr="001F29F9" w:rsidRDefault="00036223" w:rsidP="0003622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20020402</w:t>
            </w:r>
          </w:p>
        </w:tc>
      </w:tr>
      <w:tr w:rsidR="00036223" w:rsidRPr="001F29F9" w:rsidTr="00036223">
        <w:trPr>
          <w:trHeight w:val="97"/>
          <w:jc w:val="center"/>
        </w:trPr>
        <w:tc>
          <w:tcPr>
            <w:tcW w:w="4158" w:type="dxa"/>
            <w:gridSpan w:val="3"/>
            <w:tcBorders>
              <w:top w:val="nil"/>
              <w:bottom w:val="nil"/>
              <w:right w:val="thinThickThinSmallGap" w:sz="24" w:space="0" w:color="auto"/>
            </w:tcBorders>
            <w:shd w:val="clear" w:color="auto" w:fill="FFFFFF" w:themeFill="background1"/>
            <w:vAlign w:val="center"/>
          </w:tcPr>
          <w:p w:rsidR="00036223" w:rsidRPr="001F29F9" w:rsidRDefault="00036223" w:rsidP="00036223">
            <w:pPr>
              <w:spacing w:line="180" w:lineRule="exact"/>
              <w:contextualSpacing/>
              <w:rPr>
                <w:rFonts w:ascii="Calibri" w:eastAsia="Times New Roman" w:hAnsi="Calibri" w:cs="Calibri"/>
                <w:color w:val="000000" w:themeColor="text1"/>
                <w:sz w:val="18"/>
                <w:szCs w:val="18"/>
                <w:highlight w:val="yellow"/>
              </w:rPr>
            </w:pPr>
          </w:p>
        </w:tc>
        <w:tc>
          <w:tcPr>
            <w:tcW w:w="2322" w:type="dxa"/>
            <w:tcBorders>
              <w:left w:val="thinThickThinSmallGap" w:sz="24" w:space="0" w:color="auto"/>
              <w:right w:val="single" w:sz="4" w:space="0" w:color="auto"/>
            </w:tcBorders>
            <w:shd w:val="clear" w:color="auto" w:fill="FFFFFF" w:themeFill="background1"/>
            <w:vAlign w:val="center"/>
          </w:tcPr>
          <w:p w:rsidR="00036223" w:rsidRPr="001F29F9" w:rsidRDefault="00036223" w:rsidP="00915913">
            <w:pPr>
              <w:spacing w:line="180" w:lineRule="exact"/>
              <w:contextualSpacing/>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Right Hip Strain</w:t>
            </w:r>
          </w:p>
        </w:tc>
        <w:tc>
          <w:tcPr>
            <w:tcW w:w="1080" w:type="dxa"/>
            <w:tcBorders>
              <w:left w:val="single" w:sz="4" w:space="0" w:color="auto"/>
            </w:tcBorders>
            <w:shd w:val="clear" w:color="auto" w:fill="FFFFFF" w:themeFill="background1"/>
            <w:vAlign w:val="center"/>
          </w:tcPr>
          <w:p w:rsidR="00036223" w:rsidRPr="001F29F9" w:rsidRDefault="00036223" w:rsidP="0003622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5299-5255</w:t>
            </w:r>
          </w:p>
        </w:tc>
        <w:tc>
          <w:tcPr>
            <w:tcW w:w="828" w:type="dxa"/>
            <w:shd w:val="clear" w:color="auto" w:fill="FFFFFF" w:themeFill="background1"/>
            <w:vAlign w:val="center"/>
          </w:tcPr>
          <w:p w:rsidR="00036223" w:rsidRPr="001F29F9" w:rsidRDefault="00036223" w:rsidP="00036223">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036223" w:rsidRPr="001F29F9" w:rsidRDefault="00036223" w:rsidP="00036223">
            <w:pPr>
              <w:spacing w:line="180" w:lineRule="exact"/>
              <w:contextualSpacing/>
              <w:rPr>
                <w:rFonts w:ascii="Calibri" w:eastAsia="Times New Roman" w:hAnsi="Calibri" w:cs="Calibri"/>
                <w:color w:val="000000" w:themeColor="text1"/>
                <w:sz w:val="18"/>
                <w:szCs w:val="18"/>
                <w:highlight w:val="yellow"/>
              </w:rPr>
            </w:pPr>
            <w:r>
              <w:rPr>
                <w:rFonts w:ascii="Calibri" w:eastAsia="Times New Roman" w:hAnsi="Calibri" w:cs="Calibri"/>
                <w:color w:val="000000" w:themeColor="text1"/>
                <w:sz w:val="18"/>
                <w:szCs w:val="18"/>
              </w:rPr>
              <w:t>20020403</w:t>
            </w:r>
          </w:p>
        </w:tc>
      </w:tr>
      <w:tr w:rsidR="00036223" w:rsidRPr="001F29F9" w:rsidTr="00036223">
        <w:trPr>
          <w:trHeight w:val="142"/>
          <w:jc w:val="center"/>
        </w:trPr>
        <w:tc>
          <w:tcPr>
            <w:tcW w:w="4158" w:type="dxa"/>
            <w:gridSpan w:val="3"/>
            <w:tcBorders>
              <w:top w:val="nil"/>
              <w:right w:val="thinThickThinSmallGap" w:sz="24" w:space="0" w:color="auto"/>
            </w:tcBorders>
            <w:shd w:val="clear" w:color="auto" w:fill="FFFFFF" w:themeFill="background1"/>
            <w:vAlign w:val="center"/>
          </w:tcPr>
          <w:p w:rsidR="00036223" w:rsidRPr="001F29F9" w:rsidRDefault="00036223" w:rsidP="00036223">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036223" w:rsidRPr="001F29F9" w:rsidRDefault="00036223" w:rsidP="00036223">
            <w:pPr>
              <w:spacing w:line="180" w:lineRule="exact"/>
              <w:contextualSpacing/>
              <w:rPr>
                <w:rFonts w:ascii="Calibri" w:eastAsia="Times New Roman" w:hAnsi="Calibri" w:cs="Calibri"/>
                <w:color w:val="000000" w:themeColor="text1"/>
                <w:sz w:val="18"/>
                <w:szCs w:val="18"/>
              </w:rPr>
            </w:pPr>
            <w:r w:rsidRPr="001F29F9">
              <w:rPr>
                <w:rFonts w:ascii="Calibri" w:hAnsi="Calibri" w:cs="Calibri"/>
                <w:color w:val="000000" w:themeColor="text1"/>
                <w:sz w:val="18"/>
                <w:szCs w:val="18"/>
              </w:rPr>
              <w:t>0% x</w:t>
            </w:r>
            <w:r>
              <w:rPr>
                <w:rFonts w:ascii="Calibri" w:hAnsi="Calibri" w:cs="Calibri"/>
                <w:color w:val="000000" w:themeColor="text1"/>
                <w:sz w:val="18"/>
                <w:szCs w:val="18"/>
              </w:rPr>
              <w:t xml:space="preserve"> 2</w:t>
            </w:r>
            <w:r w:rsidR="00915913">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w:t>
            </w:r>
            <w:r w:rsidR="00915913">
              <w:rPr>
                <w:rFonts w:ascii="Calibri" w:hAnsi="Calibri" w:cs="Calibri"/>
                <w:color w:val="000000" w:themeColor="text1"/>
                <w:sz w:val="18"/>
                <w:szCs w:val="18"/>
              </w:rPr>
              <w:t xml:space="preserve"> </w:t>
            </w:r>
            <w:r w:rsidRPr="001F29F9">
              <w:rPr>
                <w:rFonts w:ascii="Calibri" w:hAnsi="Calibri" w:cs="Calibri"/>
                <w:color w:val="000000" w:themeColor="text1"/>
                <w:sz w:val="18"/>
                <w:szCs w:val="18"/>
              </w:rPr>
              <w:t xml:space="preserve">Not Service Connected x </w:t>
            </w:r>
            <w:r>
              <w:rPr>
                <w:rFonts w:ascii="Calibri" w:hAnsi="Calibri" w:cs="Calibri"/>
                <w:color w:val="000000" w:themeColor="text1"/>
                <w:sz w:val="18"/>
                <w:szCs w:val="18"/>
              </w:rPr>
              <w:t>1</w:t>
            </w:r>
          </w:p>
        </w:tc>
        <w:tc>
          <w:tcPr>
            <w:tcW w:w="990" w:type="dxa"/>
            <w:shd w:val="clear" w:color="auto" w:fill="FFFFFF" w:themeFill="background1"/>
            <w:vAlign w:val="center"/>
          </w:tcPr>
          <w:p w:rsidR="00036223" w:rsidRPr="001F29F9" w:rsidRDefault="00036223" w:rsidP="00036223">
            <w:pPr>
              <w:spacing w:line="180" w:lineRule="exact"/>
              <w:contextualSpacing/>
              <w:rPr>
                <w:rFonts w:ascii="Calibri" w:eastAsia="Times New Roman" w:hAnsi="Calibri" w:cs="Calibri"/>
                <w:color w:val="000000" w:themeColor="text1"/>
                <w:sz w:val="18"/>
                <w:szCs w:val="18"/>
              </w:rPr>
            </w:pPr>
          </w:p>
        </w:tc>
      </w:tr>
      <w:tr w:rsidR="00036223" w:rsidRPr="001F29F9" w:rsidTr="00036223">
        <w:trPr>
          <w:trHeight w:val="124"/>
          <w:jc w:val="center"/>
        </w:trPr>
        <w:tc>
          <w:tcPr>
            <w:tcW w:w="4158" w:type="dxa"/>
            <w:gridSpan w:val="3"/>
            <w:tcBorders>
              <w:right w:val="thinThickThinSmallGap" w:sz="24" w:space="0" w:color="auto"/>
            </w:tcBorders>
            <w:shd w:val="clear" w:color="auto" w:fill="D9D9D9" w:themeFill="background1" w:themeFillShade="D9"/>
            <w:vAlign w:val="center"/>
          </w:tcPr>
          <w:p w:rsidR="00036223" w:rsidRPr="001F29F9" w:rsidRDefault="00036223" w:rsidP="0003622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10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036223" w:rsidRPr="001F29F9" w:rsidRDefault="00036223" w:rsidP="00036223">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Pr>
                <w:rFonts w:ascii="Calibri" w:hAnsi="Calibri" w:cs="Calibri"/>
                <w:b/>
                <w:color w:val="000000" w:themeColor="text1"/>
                <w:sz w:val="18"/>
                <w:szCs w:val="18"/>
              </w:rPr>
              <w:t>3</w:t>
            </w:r>
            <w:r w:rsidRPr="001F29F9">
              <w:rPr>
                <w:rFonts w:ascii="Calibri" w:hAnsi="Calibri" w:cs="Calibri"/>
                <w:b/>
                <w:color w:val="000000" w:themeColor="text1"/>
                <w:sz w:val="18"/>
                <w:szCs w:val="18"/>
              </w:rPr>
              <w:t>0%</w:t>
            </w:r>
          </w:p>
        </w:tc>
      </w:tr>
    </w:tbl>
    <w:p w:rsidR="002B7E4D" w:rsidRDefault="00036223" w:rsidP="00036223">
      <w:pPr>
        <w:pBdr>
          <w:bottom w:val="single" w:sz="12" w:space="1" w:color="auto"/>
        </w:pBdr>
        <w:tabs>
          <w:tab w:val="left" w:pos="288"/>
          <w:tab w:val="left" w:pos="4752"/>
        </w:tabs>
        <w:jc w:val="both"/>
        <w:rPr>
          <w:color w:val="000000" w:themeColor="text1"/>
          <w:sz w:val="18"/>
          <w:szCs w:val="18"/>
        </w:rPr>
      </w:pPr>
      <w:r w:rsidRPr="003C53E8">
        <w:rPr>
          <w:color w:val="000000" w:themeColor="text1"/>
          <w:sz w:val="18"/>
          <w:szCs w:val="18"/>
        </w:rPr>
        <w:t xml:space="preserve">* </w:t>
      </w:r>
      <w:r w:rsidR="00F27500">
        <w:rPr>
          <w:color w:val="000000" w:themeColor="text1"/>
          <w:sz w:val="18"/>
          <w:szCs w:val="18"/>
        </w:rPr>
        <w:t>The VA Rating for the Right Knee was later i</w:t>
      </w:r>
      <w:r w:rsidR="00124B1A">
        <w:rPr>
          <w:color w:val="000000" w:themeColor="text1"/>
          <w:sz w:val="18"/>
          <w:szCs w:val="18"/>
        </w:rPr>
        <w:t>ncreased to</w:t>
      </w:r>
      <w:r>
        <w:rPr>
          <w:color w:val="000000" w:themeColor="text1"/>
          <w:sz w:val="18"/>
          <w:szCs w:val="18"/>
        </w:rPr>
        <w:t xml:space="preserve"> 20%</w:t>
      </w:r>
      <w:r w:rsidR="00F27500">
        <w:rPr>
          <w:color w:val="000000" w:themeColor="text1"/>
          <w:sz w:val="18"/>
          <w:szCs w:val="18"/>
        </w:rPr>
        <w:t>, based on a subsequent VA Rating Decision dated</w:t>
      </w:r>
      <w:r>
        <w:rPr>
          <w:color w:val="000000" w:themeColor="text1"/>
          <w:sz w:val="18"/>
          <w:szCs w:val="18"/>
        </w:rPr>
        <w:t xml:space="preserve"> 20060208</w:t>
      </w:r>
      <w:r w:rsidRPr="003C53E8">
        <w:rPr>
          <w:color w:val="000000" w:themeColor="text1"/>
          <w:sz w:val="18"/>
          <w:szCs w:val="18"/>
        </w:rPr>
        <w:t>.</w:t>
      </w:r>
    </w:p>
    <w:p w:rsidR="00F27500" w:rsidRPr="003C53E8" w:rsidRDefault="00F27500" w:rsidP="00036223">
      <w:pPr>
        <w:pBdr>
          <w:bottom w:val="single" w:sz="12" w:space="1" w:color="auto"/>
        </w:pBdr>
        <w:tabs>
          <w:tab w:val="left" w:pos="288"/>
          <w:tab w:val="left" w:pos="4752"/>
        </w:tabs>
        <w:jc w:val="both"/>
        <w:rPr>
          <w:color w:val="000000" w:themeColor="text1"/>
          <w:sz w:val="18"/>
          <w:szCs w:val="18"/>
        </w:rPr>
      </w:pPr>
    </w:p>
    <w:p w:rsidR="00036223" w:rsidRDefault="00036223" w:rsidP="00036223">
      <w:pPr>
        <w:rPr>
          <w:rFonts w:asciiTheme="minorHAnsi" w:hAnsiTheme="minorHAnsi"/>
          <w:b/>
          <w:color w:val="auto"/>
        </w:rPr>
      </w:pPr>
    </w:p>
    <w:p w:rsidR="002C6E5B" w:rsidRDefault="002C6E5B" w:rsidP="009369A6">
      <w:pPr>
        <w:jc w:val="left"/>
        <w:rPr>
          <w:color w:val="000000" w:themeColor="text1"/>
          <w:szCs w:val="24"/>
        </w:rPr>
      </w:pPr>
      <w:r w:rsidRPr="001F29F9">
        <w:rPr>
          <w:color w:val="000000" w:themeColor="text1"/>
          <w:szCs w:val="24"/>
          <w:u w:val="single"/>
        </w:rPr>
        <w:t>ANALYSIS SUMMARY</w:t>
      </w:r>
      <w:r w:rsidRPr="001F29F9">
        <w:rPr>
          <w:color w:val="000000" w:themeColor="text1"/>
          <w:szCs w:val="24"/>
        </w:rPr>
        <w:t>:</w:t>
      </w:r>
    </w:p>
    <w:p w:rsidR="003A76AB" w:rsidRPr="00601CCD" w:rsidRDefault="003A76AB" w:rsidP="0082382C">
      <w:pPr>
        <w:jc w:val="both"/>
        <w:rPr>
          <w:color w:val="000000" w:themeColor="text1"/>
          <w:szCs w:val="24"/>
        </w:rPr>
      </w:pPr>
    </w:p>
    <w:p w:rsidR="0021588B" w:rsidRDefault="003F2EEE" w:rsidP="0082382C">
      <w:pPr>
        <w:jc w:val="both"/>
        <w:rPr>
          <w:color w:val="000000" w:themeColor="text1"/>
          <w:szCs w:val="24"/>
        </w:rPr>
      </w:pPr>
      <w:proofErr w:type="gramStart"/>
      <w:r w:rsidRPr="00601CCD">
        <w:rPr>
          <w:color w:val="000000" w:themeColor="text1"/>
          <w:szCs w:val="24"/>
          <w:u w:val="single"/>
        </w:rPr>
        <w:t xml:space="preserve">Right </w:t>
      </w:r>
      <w:r w:rsidR="002B7E4D">
        <w:rPr>
          <w:color w:val="000000" w:themeColor="text1"/>
          <w:szCs w:val="24"/>
          <w:u w:val="single"/>
        </w:rPr>
        <w:t>Knee</w:t>
      </w:r>
      <w:r w:rsidR="0080588E" w:rsidRPr="00601CCD">
        <w:rPr>
          <w:color w:val="000000" w:themeColor="text1"/>
          <w:szCs w:val="24"/>
          <w:u w:val="single"/>
        </w:rPr>
        <w:t xml:space="preserve"> </w:t>
      </w:r>
      <w:r w:rsidRPr="00601CCD">
        <w:rPr>
          <w:color w:val="000000" w:themeColor="text1"/>
          <w:szCs w:val="24"/>
          <w:u w:val="single"/>
        </w:rPr>
        <w:t>Condition</w:t>
      </w:r>
      <w:r w:rsidRPr="00601CCD">
        <w:rPr>
          <w:color w:val="000000" w:themeColor="text1"/>
          <w:szCs w:val="24"/>
        </w:rPr>
        <w:t>.</w:t>
      </w:r>
      <w:proofErr w:type="gramEnd"/>
      <w:r w:rsidRPr="00601CCD">
        <w:rPr>
          <w:color w:val="000000" w:themeColor="text1"/>
          <w:szCs w:val="24"/>
        </w:rPr>
        <w:t xml:space="preserve">  </w:t>
      </w:r>
      <w:r w:rsidR="00F27500">
        <w:rPr>
          <w:color w:val="000000" w:themeColor="text1"/>
          <w:szCs w:val="24"/>
        </w:rPr>
        <w:t>In November 2000, t</w:t>
      </w:r>
      <w:r w:rsidR="00CF7967">
        <w:rPr>
          <w:color w:val="000000" w:themeColor="text1"/>
          <w:szCs w:val="24"/>
        </w:rPr>
        <w:t>h</w:t>
      </w:r>
      <w:r w:rsidR="00F27500">
        <w:rPr>
          <w:color w:val="000000" w:themeColor="text1"/>
          <w:szCs w:val="24"/>
        </w:rPr>
        <w:t>is Marine</w:t>
      </w:r>
      <w:r w:rsidR="00CF7967">
        <w:rPr>
          <w:color w:val="000000" w:themeColor="text1"/>
          <w:szCs w:val="24"/>
        </w:rPr>
        <w:t xml:space="preserve"> su</w:t>
      </w:r>
      <w:r w:rsidR="00F27500">
        <w:rPr>
          <w:color w:val="000000" w:themeColor="text1"/>
          <w:szCs w:val="24"/>
        </w:rPr>
        <w:t>ffered</w:t>
      </w:r>
      <w:r w:rsidR="00CF7967">
        <w:rPr>
          <w:color w:val="000000" w:themeColor="text1"/>
          <w:szCs w:val="24"/>
        </w:rPr>
        <w:t xml:space="preserve"> a right patellar dislocation</w:t>
      </w:r>
      <w:r w:rsidR="00F27500">
        <w:rPr>
          <w:color w:val="000000" w:themeColor="text1"/>
          <w:szCs w:val="24"/>
        </w:rPr>
        <w:t xml:space="preserve">, which was reduced </w:t>
      </w:r>
      <w:r w:rsidR="002B7E4D">
        <w:rPr>
          <w:color w:val="000000" w:themeColor="text1"/>
          <w:szCs w:val="24"/>
        </w:rPr>
        <w:t>in the emergency room</w:t>
      </w:r>
      <w:r w:rsidR="00F27500">
        <w:rPr>
          <w:color w:val="000000" w:themeColor="text1"/>
          <w:szCs w:val="24"/>
        </w:rPr>
        <w:t xml:space="preserve">.  He was </w:t>
      </w:r>
      <w:r w:rsidR="003762BD">
        <w:rPr>
          <w:color w:val="000000" w:themeColor="text1"/>
          <w:szCs w:val="24"/>
        </w:rPr>
        <w:t>treated with crutches, bracing and physical therapy</w:t>
      </w:r>
      <w:r w:rsidR="00F27500">
        <w:rPr>
          <w:color w:val="000000" w:themeColor="text1"/>
          <w:szCs w:val="24"/>
        </w:rPr>
        <w:t xml:space="preserve"> (PT)</w:t>
      </w:r>
      <w:r w:rsidR="003762BD">
        <w:rPr>
          <w:color w:val="000000" w:themeColor="text1"/>
          <w:szCs w:val="24"/>
        </w:rPr>
        <w:t xml:space="preserve">.  </w:t>
      </w:r>
      <w:r w:rsidR="00556460">
        <w:rPr>
          <w:color w:val="000000" w:themeColor="text1"/>
          <w:szCs w:val="24"/>
        </w:rPr>
        <w:t>In March 2001 h</w:t>
      </w:r>
      <w:r w:rsidR="003762BD">
        <w:rPr>
          <w:color w:val="000000" w:themeColor="text1"/>
          <w:szCs w:val="24"/>
        </w:rPr>
        <w:t>e experienced locking sensations in his right knee</w:t>
      </w:r>
      <w:r w:rsidR="00F27500">
        <w:rPr>
          <w:color w:val="000000" w:themeColor="text1"/>
          <w:szCs w:val="24"/>
        </w:rPr>
        <w:t>.  Magnetic resonance imaging (</w:t>
      </w:r>
      <w:r w:rsidR="00556460">
        <w:rPr>
          <w:color w:val="000000" w:themeColor="text1"/>
          <w:szCs w:val="24"/>
        </w:rPr>
        <w:t>MRI</w:t>
      </w:r>
      <w:r w:rsidR="00F27500">
        <w:rPr>
          <w:color w:val="000000" w:themeColor="text1"/>
          <w:szCs w:val="24"/>
        </w:rPr>
        <w:t>)</w:t>
      </w:r>
      <w:r w:rsidR="00556460">
        <w:rPr>
          <w:color w:val="000000" w:themeColor="text1"/>
          <w:szCs w:val="24"/>
        </w:rPr>
        <w:t xml:space="preserve"> was normal</w:t>
      </w:r>
      <w:r w:rsidR="00311121">
        <w:rPr>
          <w:color w:val="000000" w:themeColor="text1"/>
          <w:szCs w:val="24"/>
        </w:rPr>
        <w:t xml:space="preserve">.  </w:t>
      </w:r>
      <w:r w:rsidR="0042134A">
        <w:rPr>
          <w:color w:val="000000" w:themeColor="text1"/>
          <w:szCs w:val="24"/>
        </w:rPr>
        <w:t xml:space="preserve">On 11 September 2001, </w:t>
      </w:r>
      <w:r w:rsidR="00311121">
        <w:rPr>
          <w:color w:val="000000" w:themeColor="text1"/>
          <w:szCs w:val="24"/>
        </w:rPr>
        <w:t>t</w:t>
      </w:r>
      <w:r w:rsidR="00556460">
        <w:rPr>
          <w:color w:val="000000" w:themeColor="text1"/>
          <w:szCs w:val="24"/>
        </w:rPr>
        <w:t xml:space="preserve">he CI </w:t>
      </w:r>
      <w:r w:rsidR="0042134A">
        <w:rPr>
          <w:color w:val="000000" w:themeColor="text1"/>
          <w:szCs w:val="24"/>
        </w:rPr>
        <w:t>had arthroscopy of the</w:t>
      </w:r>
      <w:r w:rsidR="00556460">
        <w:rPr>
          <w:color w:val="000000" w:themeColor="text1"/>
          <w:szCs w:val="24"/>
        </w:rPr>
        <w:t xml:space="preserve"> right knee</w:t>
      </w:r>
      <w:r w:rsidR="0042134A">
        <w:rPr>
          <w:color w:val="000000" w:themeColor="text1"/>
          <w:szCs w:val="24"/>
        </w:rPr>
        <w:t xml:space="preserve"> </w:t>
      </w:r>
      <w:r w:rsidR="00556460">
        <w:rPr>
          <w:color w:val="000000" w:themeColor="text1"/>
          <w:szCs w:val="24"/>
        </w:rPr>
        <w:t>with a lateral</w:t>
      </w:r>
      <w:r w:rsidR="00311121">
        <w:rPr>
          <w:color w:val="000000" w:themeColor="text1"/>
          <w:szCs w:val="24"/>
        </w:rPr>
        <w:t xml:space="preserve"> </w:t>
      </w:r>
      <w:proofErr w:type="spellStart"/>
      <w:r w:rsidR="0042134A">
        <w:rPr>
          <w:color w:val="000000" w:themeColor="text1"/>
          <w:szCs w:val="24"/>
        </w:rPr>
        <w:t>retinacular</w:t>
      </w:r>
      <w:proofErr w:type="spellEnd"/>
      <w:r w:rsidR="0042134A">
        <w:rPr>
          <w:color w:val="000000" w:themeColor="text1"/>
          <w:szCs w:val="24"/>
        </w:rPr>
        <w:t xml:space="preserve"> </w:t>
      </w:r>
      <w:r w:rsidR="00311121">
        <w:rPr>
          <w:color w:val="000000" w:themeColor="text1"/>
          <w:szCs w:val="24"/>
        </w:rPr>
        <w:t xml:space="preserve">release.  Surgical findings </w:t>
      </w:r>
      <w:r w:rsidR="002B7E4D">
        <w:rPr>
          <w:color w:val="000000" w:themeColor="text1"/>
          <w:szCs w:val="24"/>
        </w:rPr>
        <w:t xml:space="preserve">included grade III </w:t>
      </w:r>
      <w:proofErr w:type="spellStart"/>
      <w:r w:rsidR="002B7E4D">
        <w:rPr>
          <w:color w:val="000000" w:themeColor="text1"/>
          <w:szCs w:val="24"/>
        </w:rPr>
        <w:t>chondromalacia</w:t>
      </w:r>
      <w:proofErr w:type="spellEnd"/>
      <w:r w:rsidR="002B7E4D">
        <w:rPr>
          <w:color w:val="000000" w:themeColor="text1"/>
          <w:szCs w:val="24"/>
        </w:rPr>
        <w:t xml:space="preserve"> patella</w:t>
      </w:r>
      <w:r w:rsidR="0042134A">
        <w:rPr>
          <w:color w:val="000000" w:themeColor="text1"/>
          <w:szCs w:val="24"/>
        </w:rPr>
        <w:t xml:space="preserve">.  The </w:t>
      </w:r>
      <w:r w:rsidR="00556460">
        <w:rPr>
          <w:color w:val="000000" w:themeColor="text1"/>
          <w:szCs w:val="24"/>
        </w:rPr>
        <w:t>patell</w:t>
      </w:r>
      <w:r w:rsidR="00311121">
        <w:rPr>
          <w:color w:val="000000" w:themeColor="text1"/>
          <w:szCs w:val="24"/>
        </w:rPr>
        <w:t xml:space="preserve">ar </w:t>
      </w:r>
      <w:proofErr w:type="spellStart"/>
      <w:r w:rsidR="00311121">
        <w:rPr>
          <w:color w:val="000000" w:themeColor="text1"/>
          <w:szCs w:val="24"/>
        </w:rPr>
        <w:t>subluxation</w:t>
      </w:r>
      <w:proofErr w:type="spellEnd"/>
      <w:r w:rsidR="00556460">
        <w:rPr>
          <w:color w:val="000000" w:themeColor="text1"/>
          <w:szCs w:val="24"/>
        </w:rPr>
        <w:t xml:space="preserve"> was significantly improved after </w:t>
      </w:r>
      <w:r w:rsidR="0042134A">
        <w:rPr>
          <w:color w:val="000000" w:themeColor="text1"/>
          <w:szCs w:val="24"/>
        </w:rPr>
        <w:t>the arthroscopic surgery</w:t>
      </w:r>
      <w:r w:rsidR="00EB36E4">
        <w:rPr>
          <w:color w:val="000000" w:themeColor="text1"/>
          <w:szCs w:val="24"/>
        </w:rPr>
        <w:t>.</w:t>
      </w:r>
      <w:r w:rsidR="0042134A">
        <w:rPr>
          <w:color w:val="000000" w:themeColor="text1"/>
          <w:szCs w:val="24"/>
        </w:rPr>
        <w:t xml:space="preserve"> </w:t>
      </w:r>
      <w:r w:rsidR="0021588B">
        <w:rPr>
          <w:color w:val="000000" w:themeColor="text1"/>
          <w:szCs w:val="24"/>
        </w:rPr>
        <w:t>However</w:t>
      </w:r>
      <w:r w:rsidR="0042134A">
        <w:rPr>
          <w:color w:val="000000" w:themeColor="text1"/>
          <w:szCs w:val="24"/>
        </w:rPr>
        <w:t>, he continued to have problems with his right knee, and an</w:t>
      </w:r>
      <w:r w:rsidR="00784B00">
        <w:rPr>
          <w:color w:val="000000" w:themeColor="text1"/>
          <w:szCs w:val="24"/>
        </w:rPr>
        <w:t xml:space="preserve"> MEB was initiated</w:t>
      </w:r>
      <w:r w:rsidR="008F47E8">
        <w:rPr>
          <w:color w:val="000000" w:themeColor="text1"/>
          <w:szCs w:val="24"/>
        </w:rPr>
        <w:t xml:space="preserve">.  At the </w:t>
      </w:r>
      <w:r w:rsidR="0021588B">
        <w:rPr>
          <w:color w:val="000000" w:themeColor="text1"/>
          <w:szCs w:val="24"/>
        </w:rPr>
        <w:t>January 2002 MEB evaluation,</w:t>
      </w:r>
      <w:r w:rsidR="00311121">
        <w:rPr>
          <w:color w:val="000000" w:themeColor="text1"/>
          <w:szCs w:val="24"/>
        </w:rPr>
        <w:t xml:space="preserve"> three </w:t>
      </w:r>
      <w:r w:rsidR="00790BEE">
        <w:rPr>
          <w:color w:val="000000" w:themeColor="text1"/>
          <w:szCs w:val="24"/>
        </w:rPr>
        <w:t>months prior to separation,</w:t>
      </w:r>
      <w:r w:rsidR="0021588B">
        <w:rPr>
          <w:color w:val="000000" w:themeColor="text1"/>
          <w:szCs w:val="24"/>
        </w:rPr>
        <w:t xml:space="preserve"> the CI </w:t>
      </w:r>
      <w:r w:rsidR="008F47E8">
        <w:rPr>
          <w:color w:val="000000" w:themeColor="text1"/>
          <w:szCs w:val="24"/>
        </w:rPr>
        <w:t>reported</w:t>
      </w:r>
      <w:r w:rsidR="0021588B">
        <w:rPr>
          <w:color w:val="000000" w:themeColor="text1"/>
          <w:szCs w:val="24"/>
        </w:rPr>
        <w:t xml:space="preserve"> kne</w:t>
      </w:r>
      <w:r w:rsidR="00311121">
        <w:rPr>
          <w:color w:val="000000" w:themeColor="text1"/>
          <w:szCs w:val="24"/>
        </w:rPr>
        <w:t>e pain</w:t>
      </w:r>
      <w:r w:rsidR="0021588B">
        <w:rPr>
          <w:color w:val="000000" w:themeColor="text1"/>
          <w:szCs w:val="24"/>
        </w:rPr>
        <w:t xml:space="preserve">, worse with heavy lifting, sitting </w:t>
      </w:r>
      <w:r w:rsidR="008F47E8">
        <w:rPr>
          <w:color w:val="000000" w:themeColor="text1"/>
          <w:szCs w:val="24"/>
        </w:rPr>
        <w:t>or</w:t>
      </w:r>
      <w:r w:rsidR="0021588B">
        <w:rPr>
          <w:color w:val="000000" w:themeColor="text1"/>
          <w:szCs w:val="24"/>
        </w:rPr>
        <w:t xml:space="preserve"> squatting.  He was unable to</w:t>
      </w:r>
      <w:r w:rsidR="00790BEE">
        <w:rPr>
          <w:color w:val="000000" w:themeColor="text1"/>
          <w:szCs w:val="24"/>
        </w:rPr>
        <w:t xml:space="preserve"> </w:t>
      </w:r>
      <w:r w:rsidR="0021588B">
        <w:rPr>
          <w:color w:val="000000" w:themeColor="text1"/>
          <w:szCs w:val="24"/>
        </w:rPr>
        <w:t>run and had pain with stair climbing.  On examination</w:t>
      </w:r>
      <w:r w:rsidR="008F47E8">
        <w:rPr>
          <w:color w:val="000000" w:themeColor="text1"/>
          <w:szCs w:val="24"/>
        </w:rPr>
        <w:t>,</w:t>
      </w:r>
      <w:r w:rsidR="0021588B">
        <w:rPr>
          <w:color w:val="000000" w:themeColor="text1"/>
          <w:szCs w:val="24"/>
        </w:rPr>
        <w:t xml:space="preserve"> there was patellar </w:t>
      </w:r>
      <w:proofErr w:type="spellStart"/>
      <w:r w:rsidR="0021588B">
        <w:rPr>
          <w:color w:val="000000" w:themeColor="text1"/>
          <w:szCs w:val="24"/>
        </w:rPr>
        <w:t>crepi</w:t>
      </w:r>
      <w:r w:rsidR="008F47E8">
        <w:rPr>
          <w:color w:val="000000" w:themeColor="text1"/>
          <w:szCs w:val="24"/>
        </w:rPr>
        <w:t>tus</w:t>
      </w:r>
      <w:proofErr w:type="spellEnd"/>
      <w:r w:rsidR="00311121">
        <w:rPr>
          <w:color w:val="000000" w:themeColor="text1"/>
          <w:szCs w:val="24"/>
        </w:rPr>
        <w:t xml:space="preserve"> with positive grind test</w:t>
      </w:r>
      <w:r w:rsidR="0021588B">
        <w:rPr>
          <w:color w:val="000000" w:themeColor="text1"/>
          <w:szCs w:val="24"/>
        </w:rPr>
        <w:t xml:space="preserve"> and tenderness across the patellar tendon.  The patella was hyper</w:t>
      </w:r>
      <w:r w:rsidR="00790BEE">
        <w:rPr>
          <w:color w:val="000000" w:themeColor="text1"/>
          <w:szCs w:val="24"/>
        </w:rPr>
        <w:t>-</w:t>
      </w:r>
      <w:r w:rsidR="00311121">
        <w:rPr>
          <w:color w:val="000000" w:themeColor="text1"/>
          <w:szCs w:val="24"/>
        </w:rPr>
        <w:t>mobile</w:t>
      </w:r>
      <w:r w:rsidR="0021588B">
        <w:rPr>
          <w:color w:val="000000" w:themeColor="text1"/>
          <w:szCs w:val="24"/>
        </w:rPr>
        <w:t xml:space="preserve"> with</w:t>
      </w:r>
      <w:r w:rsidR="00311121">
        <w:rPr>
          <w:color w:val="000000" w:themeColor="text1"/>
          <w:szCs w:val="24"/>
        </w:rPr>
        <w:t xml:space="preserve"> positive patellar tilt.  </w:t>
      </w:r>
      <w:r w:rsidR="0021588B">
        <w:rPr>
          <w:color w:val="000000" w:themeColor="text1"/>
          <w:szCs w:val="24"/>
        </w:rPr>
        <w:t>There was no effusion</w:t>
      </w:r>
      <w:r w:rsidR="008F47E8">
        <w:rPr>
          <w:color w:val="000000" w:themeColor="text1"/>
          <w:szCs w:val="24"/>
        </w:rPr>
        <w:t>.  R</w:t>
      </w:r>
      <w:r w:rsidR="005C307D">
        <w:rPr>
          <w:color w:val="000000" w:themeColor="text1"/>
          <w:szCs w:val="24"/>
        </w:rPr>
        <w:t>ange-of-</w:t>
      </w:r>
      <w:r w:rsidR="0021588B">
        <w:rPr>
          <w:color w:val="000000" w:themeColor="text1"/>
          <w:szCs w:val="24"/>
        </w:rPr>
        <w:t>motion</w:t>
      </w:r>
      <w:r w:rsidR="008F47E8">
        <w:rPr>
          <w:color w:val="000000" w:themeColor="text1"/>
          <w:szCs w:val="24"/>
        </w:rPr>
        <w:t xml:space="preserve"> (ROM)</w:t>
      </w:r>
      <w:r w:rsidR="0021588B">
        <w:rPr>
          <w:color w:val="000000" w:themeColor="text1"/>
          <w:szCs w:val="24"/>
        </w:rPr>
        <w:t xml:space="preserve"> w</w:t>
      </w:r>
      <w:r w:rsidR="00790BEE">
        <w:rPr>
          <w:color w:val="000000" w:themeColor="text1"/>
          <w:szCs w:val="24"/>
        </w:rPr>
        <w:t>as</w:t>
      </w:r>
      <w:r w:rsidR="008F47E8">
        <w:rPr>
          <w:color w:val="000000" w:themeColor="text1"/>
          <w:szCs w:val="24"/>
        </w:rPr>
        <w:t xml:space="preserve"> normal.  </w:t>
      </w:r>
      <w:r w:rsidR="00790BEE">
        <w:rPr>
          <w:color w:val="000000" w:themeColor="text1"/>
          <w:szCs w:val="24"/>
        </w:rPr>
        <w:t xml:space="preserve">The </w:t>
      </w:r>
      <w:r w:rsidR="008F47E8">
        <w:rPr>
          <w:color w:val="000000" w:themeColor="text1"/>
          <w:szCs w:val="24"/>
        </w:rPr>
        <w:t xml:space="preserve">MEB </w:t>
      </w:r>
      <w:r w:rsidR="00790BEE">
        <w:rPr>
          <w:color w:val="000000" w:themeColor="text1"/>
          <w:szCs w:val="24"/>
        </w:rPr>
        <w:t>examiner d</w:t>
      </w:r>
      <w:r w:rsidR="008F47E8">
        <w:rPr>
          <w:color w:val="000000" w:themeColor="text1"/>
          <w:szCs w:val="24"/>
        </w:rPr>
        <w:t>escribed the right knee condition as PFS</w:t>
      </w:r>
      <w:r w:rsidR="00790BEE">
        <w:rPr>
          <w:color w:val="000000" w:themeColor="text1"/>
          <w:szCs w:val="24"/>
        </w:rPr>
        <w:t xml:space="preserve"> with history of patellar dislocation and </w:t>
      </w:r>
      <w:proofErr w:type="spellStart"/>
      <w:r w:rsidR="00790BEE">
        <w:rPr>
          <w:color w:val="000000" w:themeColor="text1"/>
          <w:szCs w:val="24"/>
        </w:rPr>
        <w:t>subluxation</w:t>
      </w:r>
      <w:proofErr w:type="spellEnd"/>
      <w:r w:rsidR="00790BEE">
        <w:rPr>
          <w:color w:val="000000" w:themeColor="text1"/>
          <w:szCs w:val="24"/>
        </w:rPr>
        <w:t>.</w:t>
      </w:r>
      <w:r w:rsidR="008F47E8">
        <w:rPr>
          <w:color w:val="000000" w:themeColor="text1"/>
          <w:szCs w:val="24"/>
        </w:rPr>
        <w:t xml:space="preserve">  As noted above, the Navy PEB found him unfit for military service and he was </w:t>
      </w:r>
      <w:r w:rsidR="00A15BC6">
        <w:rPr>
          <w:color w:val="000000" w:themeColor="text1"/>
          <w:szCs w:val="24"/>
        </w:rPr>
        <w:t>medically separated with 10% disability.</w:t>
      </w:r>
      <w:r w:rsidR="00790BEE">
        <w:rPr>
          <w:color w:val="000000" w:themeColor="text1"/>
          <w:szCs w:val="24"/>
        </w:rPr>
        <w:t xml:space="preserve">  </w:t>
      </w:r>
    </w:p>
    <w:p w:rsidR="00790BEE" w:rsidRDefault="00790BEE" w:rsidP="0082382C">
      <w:pPr>
        <w:jc w:val="both"/>
        <w:rPr>
          <w:color w:val="000000" w:themeColor="text1"/>
          <w:szCs w:val="24"/>
        </w:rPr>
      </w:pPr>
    </w:p>
    <w:p w:rsidR="002B7190" w:rsidRDefault="00790BEE" w:rsidP="006E41DD">
      <w:pPr>
        <w:jc w:val="both"/>
        <w:rPr>
          <w:color w:val="000000" w:themeColor="text1"/>
          <w:szCs w:val="24"/>
        </w:rPr>
      </w:pPr>
      <w:r>
        <w:rPr>
          <w:color w:val="000000" w:themeColor="text1"/>
          <w:szCs w:val="24"/>
        </w:rPr>
        <w:lastRenderedPageBreak/>
        <w:t xml:space="preserve">At the April 2002 VA </w:t>
      </w:r>
      <w:r w:rsidR="005C307D">
        <w:rPr>
          <w:color w:val="000000" w:themeColor="text1"/>
          <w:szCs w:val="24"/>
        </w:rPr>
        <w:t>C</w:t>
      </w:r>
      <w:r>
        <w:rPr>
          <w:color w:val="000000" w:themeColor="text1"/>
          <w:szCs w:val="24"/>
        </w:rPr>
        <w:t xml:space="preserve">ompensation and </w:t>
      </w:r>
      <w:r w:rsidR="005C307D">
        <w:rPr>
          <w:color w:val="000000" w:themeColor="text1"/>
          <w:szCs w:val="24"/>
        </w:rPr>
        <w:t>P</w:t>
      </w:r>
      <w:r>
        <w:rPr>
          <w:color w:val="000000" w:themeColor="text1"/>
          <w:szCs w:val="24"/>
        </w:rPr>
        <w:t>ension (C&amp;</w:t>
      </w:r>
      <w:r w:rsidR="00311121">
        <w:rPr>
          <w:color w:val="000000" w:themeColor="text1"/>
          <w:szCs w:val="24"/>
        </w:rPr>
        <w:t xml:space="preserve">P) examination, </w:t>
      </w:r>
      <w:r w:rsidR="00A15BC6">
        <w:rPr>
          <w:color w:val="000000" w:themeColor="text1"/>
          <w:szCs w:val="24"/>
        </w:rPr>
        <w:t>four weeks</w:t>
      </w:r>
      <w:r>
        <w:rPr>
          <w:color w:val="000000" w:themeColor="text1"/>
          <w:szCs w:val="24"/>
        </w:rPr>
        <w:t xml:space="preserve"> prior to separation, the CI </w:t>
      </w:r>
      <w:r w:rsidR="00A15BC6">
        <w:rPr>
          <w:color w:val="000000" w:themeColor="text1"/>
          <w:szCs w:val="24"/>
        </w:rPr>
        <w:t xml:space="preserve">reported that he was </w:t>
      </w:r>
      <w:r w:rsidR="007F2D51">
        <w:rPr>
          <w:color w:val="000000" w:themeColor="text1"/>
          <w:szCs w:val="24"/>
        </w:rPr>
        <w:t>no longer playing recreational sports or running due to his knee pain.  On examination</w:t>
      </w:r>
      <w:r w:rsidR="00A15BC6">
        <w:rPr>
          <w:color w:val="000000" w:themeColor="text1"/>
          <w:szCs w:val="24"/>
        </w:rPr>
        <w:t>,</w:t>
      </w:r>
      <w:r w:rsidR="007F2D51">
        <w:rPr>
          <w:color w:val="000000" w:themeColor="text1"/>
          <w:szCs w:val="24"/>
        </w:rPr>
        <w:t xml:space="preserve"> there was normal posture but a mildly abnormal gait.  The patella was more lax than normal, with </w:t>
      </w:r>
      <w:proofErr w:type="spellStart"/>
      <w:r w:rsidR="007F2D51">
        <w:rPr>
          <w:color w:val="000000" w:themeColor="text1"/>
          <w:szCs w:val="24"/>
        </w:rPr>
        <w:t>crepit</w:t>
      </w:r>
      <w:r w:rsidR="00A15BC6">
        <w:rPr>
          <w:color w:val="000000" w:themeColor="text1"/>
          <w:szCs w:val="24"/>
        </w:rPr>
        <w:t>us</w:t>
      </w:r>
      <w:proofErr w:type="spellEnd"/>
      <w:r w:rsidR="007F2D51">
        <w:rPr>
          <w:color w:val="000000" w:themeColor="text1"/>
          <w:szCs w:val="24"/>
        </w:rPr>
        <w:t xml:space="preserve">.  There was no warmth or effusion, but there was some medial tenderness.  There was no </w:t>
      </w:r>
      <w:proofErr w:type="spellStart"/>
      <w:r w:rsidR="007F2D51">
        <w:rPr>
          <w:color w:val="000000" w:themeColor="text1"/>
          <w:szCs w:val="24"/>
        </w:rPr>
        <w:t>ligamentous</w:t>
      </w:r>
      <w:proofErr w:type="spellEnd"/>
      <w:r w:rsidR="007F2D51">
        <w:rPr>
          <w:color w:val="000000" w:themeColor="text1"/>
          <w:szCs w:val="24"/>
        </w:rPr>
        <w:t xml:space="preserve"> laxity.  R</w:t>
      </w:r>
      <w:r w:rsidR="00A15BC6">
        <w:rPr>
          <w:color w:val="000000" w:themeColor="text1"/>
          <w:szCs w:val="24"/>
        </w:rPr>
        <w:t>OM testing showed</w:t>
      </w:r>
      <w:r w:rsidR="007F2D51">
        <w:rPr>
          <w:color w:val="000000" w:themeColor="text1"/>
          <w:szCs w:val="24"/>
        </w:rPr>
        <w:t xml:space="preserve"> 130 degrees of flexion, limited by pain.  </w:t>
      </w:r>
      <w:r w:rsidR="002C2796">
        <w:rPr>
          <w:color w:val="000000" w:themeColor="text1"/>
          <w:szCs w:val="24"/>
        </w:rPr>
        <w:t>X-rays</w:t>
      </w:r>
      <w:r w:rsidR="007F2D51">
        <w:rPr>
          <w:color w:val="000000" w:themeColor="text1"/>
          <w:szCs w:val="24"/>
        </w:rPr>
        <w:t xml:space="preserve"> of the right knee were </w:t>
      </w:r>
      <w:r w:rsidR="002C2796">
        <w:rPr>
          <w:color w:val="000000" w:themeColor="text1"/>
          <w:szCs w:val="24"/>
        </w:rPr>
        <w:t xml:space="preserve">normal.  </w:t>
      </w:r>
      <w:r w:rsidR="002B7190">
        <w:rPr>
          <w:color w:val="000000" w:themeColor="text1"/>
          <w:szCs w:val="24"/>
        </w:rPr>
        <w:t>T</w:t>
      </w:r>
      <w:r w:rsidR="002C2796">
        <w:rPr>
          <w:color w:val="000000" w:themeColor="text1"/>
          <w:szCs w:val="24"/>
        </w:rPr>
        <w:t>wo</w:t>
      </w:r>
      <w:r w:rsidR="002B7190" w:rsidRPr="00601CCD">
        <w:rPr>
          <w:color w:val="000000" w:themeColor="text1"/>
          <w:szCs w:val="24"/>
        </w:rPr>
        <w:t xml:space="preserve"> goniometric </w:t>
      </w:r>
      <w:r w:rsidR="002C2796">
        <w:rPr>
          <w:color w:val="000000" w:themeColor="text1"/>
          <w:szCs w:val="24"/>
        </w:rPr>
        <w:t>ROM</w:t>
      </w:r>
      <w:r w:rsidR="002B7190" w:rsidRPr="00601CCD">
        <w:rPr>
          <w:color w:val="000000" w:themeColor="text1"/>
          <w:szCs w:val="24"/>
        </w:rPr>
        <w:t xml:space="preserve"> evaluations</w:t>
      </w:r>
      <w:r w:rsidR="002C2796">
        <w:rPr>
          <w:color w:val="000000" w:themeColor="text1"/>
          <w:szCs w:val="24"/>
        </w:rPr>
        <w:t xml:space="preserve"> were used by</w:t>
      </w:r>
      <w:r w:rsidR="002B7190" w:rsidRPr="00601CCD">
        <w:rPr>
          <w:color w:val="000000" w:themeColor="text1"/>
          <w:szCs w:val="24"/>
        </w:rPr>
        <w:t xml:space="preserve"> the Board in arriving at its rating recommendation.</w:t>
      </w:r>
    </w:p>
    <w:p w:rsidR="002B7190" w:rsidRPr="001F29F9" w:rsidRDefault="002B7190" w:rsidP="002B7190">
      <w:pPr>
        <w:rPr>
          <w:color w:val="000000" w:themeColor="text1"/>
          <w:szCs w:val="24"/>
        </w:rPr>
      </w:pPr>
    </w:p>
    <w:tbl>
      <w:tblPr>
        <w:tblpPr w:leftFromText="180" w:rightFromText="180" w:vertAnchor="text" w:tblpXSpec="center" w:tblpY="1"/>
        <w:tblOverlap w:val="never"/>
        <w:tblW w:w="8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8"/>
        <w:gridCol w:w="2790"/>
        <w:gridCol w:w="3312"/>
      </w:tblGrid>
      <w:tr w:rsidR="002B7190" w:rsidRPr="001F29F9" w:rsidTr="00C77E04">
        <w:tc>
          <w:tcPr>
            <w:tcW w:w="2178" w:type="dxa"/>
            <w:shd w:val="clear" w:color="auto" w:fill="D9D9D9" w:themeFill="background1" w:themeFillShade="D9"/>
            <w:vAlign w:val="center"/>
          </w:tcPr>
          <w:p w:rsidR="002B7190" w:rsidRPr="001F29F9" w:rsidRDefault="002B7190" w:rsidP="002B7190">
            <w:pPr>
              <w:contextualSpacing/>
              <w:rPr>
                <w:rFonts w:eastAsia="Calibri"/>
                <w:color w:val="000000" w:themeColor="text1"/>
                <w:sz w:val="18"/>
                <w:szCs w:val="18"/>
              </w:rPr>
            </w:pPr>
            <w:r w:rsidRPr="001F29F9">
              <w:rPr>
                <w:rFonts w:eastAsia="Calibri"/>
                <w:color w:val="000000" w:themeColor="text1"/>
                <w:sz w:val="18"/>
                <w:szCs w:val="18"/>
              </w:rPr>
              <w:t>Goniometric ROM –</w:t>
            </w:r>
          </w:p>
          <w:p w:rsidR="002B7190" w:rsidRPr="001F29F9" w:rsidRDefault="002B7190" w:rsidP="002B7190">
            <w:pPr>
              <w:contextualSpacing/>
              <w:rPr>
                <w:rFonts w:eastAsia="Calibri"/>
                <w:color w:val="000000" w:themeColor="text1"/>
                <w:sz w:val="18"/>
                <w:szCs w:val="18"/>
              </w:rPr>
            </w:pPr>
            <w:r w:rsidRPr="001F29F9">
              <w:rPr>
                <w:rFonts w:eastAsia="Calibri"/>
                <w:color w:val="000000" w:themeColor="text1"/>
                <w:sz w:val="18"/>
                <w:szCs w:val="18"/>
              </w:rPr>
              <w:t>R</w:t>
            </w:r>
            <w:r w:rsidR="002C2796">
              <w:rPr>
                <w:rFonts w:eastAsia="Calibri"/>
                <w:color w:val="000000" w:themeColor="text1"/>
                <w:sz w:val="18"/>
                <w:szCs w:val="18"/>
              </w:rPr>
              <w:t>ight</w:t>
            </w:r>
            <w:r w:rsidRPr="001F29F9">
              <w:rPr>
                <w:rFonts w:eastAsia="Calibri"/>
                <w:color w:val="000000" w:themeColor="text1"/>
                <w:sz w:val="18"/>
                <w:szCs w:val="18"/>
              </w:rPr>
              <w:t xml:space="preserve"> Knee</w:t>
            </w:r>
          </w:p>
        </w:tc>
        <w:tc>
          <w:tcPr>
            <w:tcW w:w="2790" w:type="dxa"/>
            <w:shd w:val="clear" w:color="auto" w:fill="D9D9D9" w:themeFill="background1" w:themeFillShade="D9"/>
            <w:vAlign w:val="center"/>
          </w:tcPr>
          <w:p w:rsidR="002B7190" w:rsidRPr="001F29F9" w:rsidRDefault="002B7190" w:rsidP="002C2796">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MEB</w:t>
            </w:r>
            <w:r w:rsidR="002C2796">
              <w:rPr>
                <w:rFonts w:eastAsia="Calibri"/>
                <w:color w:val="000000" w:themeColor="text1"/>
                <w:sz w:val="18"/>
                <w:szCs w:val="18"/>
              </w:rPr>
              <w:t xml:space="preserve"> – </w:t>
            </w:r>
            <w:r>
              <w:rPr>
                <w:rFonts w:eastAsia="Calibri"/>
                <w:color w:val="000000" w:themeColor="text1"/>
                <w:sz w:val="18"/>
                <w:szCs w:val="18"/>
              </w:rPr>
              <w:t>3</w:t>
            </w:r>
            <w:r w:rsidRPr="001F29F9">
              <w:rPr>
                <w:rFonts w:eastAsia="Calibri"/>
                <w:color w:val="000000" w:themeColor="text1"/>
                <w:sz w:val="18"/>
                <w:szCs w:val="18"/>
              </w:rPr>
              <w:t xml:space="preserve"> </w:t>
            </w:r>
            <w:r w:rsidR="002C2796">
              <w:rPr>
                <w:rFonts w:eastAsia="Calibri"/>
                <w:color w:val="000000" w:themeColor="text1"/>
                <w:sz w:val="18"/>
                <w:szCs w:val="18"/>
              </w:rPr>
              <w:t>m</w:t>
            </w:r>
            <w:r w:rsidRPr="001F29F9">
              <w:rPr>
                <w:rFonts w:eastAsia="Calibri"/>
                <w:color w:val="000000" w:themeColor="text1"/>
                <w:sz w:val="18"/>
                <w:szCs w:val="18"/>
              </w:rPr>
              <w:t>o</w:t>
            </w:r>
            <w:r>
              <w:rPr>
                <w:rFonts w:eastAsia="Calibri"/>
                <w:color w:val="000000" w:themeColor="text1"/>
                <w:sz w:val="18"/>
                <w:szCs w:val="18"/>
              </w:rPr>
              <w:t>s</w:t>
            </w:r>
            <w:r w:rsidRPr="001F29F9">
              <w:rPr>
                <w:rFonts w:eastAsia="Calibri"/>
                <w:color w:val="000000" w:themeColor="text1"/>
                <w:sz w:val="18"/>
                <w:szCs w:val="18"/>
              </w:rPr>
              <w:t>. Pre-Sep</w:t>
            </w:r>
          </w:p>
          <w:p w:rsidR="002B7190" w:rsidRPr="001F29F9" w:rsidRDefault="002B7190" w:rsidP="002C2796">
            <w:pPr>
              <w:contextualSpacing/>
              <w:rPr>
                <w:rFonts w:eastAsia="Calibr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20131</w:t>
            </w:r>
            <w:r w:rsidRPr="001F29F9">
              <w:rPr>
                <w:rFonts w:asciiTheme="minorHAnsi" w:eastAsia="Calibri" w:hAnsiTheme="minorHAnsi"/>
                <w:color w:val="000000" w:themeColor="text1"/>
                <w:sz w:val="18"/>
                <w:szCs w:val="18"/>
              </w:rPr>
              <w:t>)</w:t>
            </w:r>
          </w:p>
        </w:tc>
        <w:tc>
          <w:tcPr>
            <w:tcW w:w="3312" w:type="dxa"/>
            <w:shd w:val="clear" w:color="auto" w:fill="D9D9D9" w:themeFill="background1" w:themeFillShade="D9"/>
            <w:vAlign w:val="center"/>
          </w:tcPr>
          <w:p w:rsidR="002B7190" w:rsidRPr="001F29F9" w:rsidRDefault="002B7190" w:rsidP="002C2796">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VA</w:t>
            </w:r>
            <w:r w:rsidRPr="001F29F9">
              <w:rPr>
                <w:rFonts w:eastAsiaTheme="minorHAnsi"/>
                <w:color w:val="000000" w:themeColor="text1"/>
                <w:sz w:val="18"/>
                <w:szCs w:val="18"/>
              </w:rPr>
              <w:t xml:space="preserve"> C&amp;P</w:t>
            </w:r>
            <w:r w:rsidR="002C2796">
              <w:rPr>
                <w:rFonts w:eastAsiaTheme="minorHAnsi"/>
                <w:color w:val="000000" w:themeColor="text1"/>
                <w:sz w:val="18"/>
                <w:szCs w:val="18"/>
              </w:rPr>
              <w:t xml:space="preserve"> – </w:t>
            </w:r>
            <w:r>
              <w:rPr>
                <w:rFonts w:eastAsia="Calibri"/>
                <w:color w:val="000000" w:themeColor="text1"/>
                <w:sz w:val="18"/>
                <w:szCs w:val="18"/>
              </w:rPr>
              <w:t>1</w:t>
            </w:r>
            <w:r w:rsidRPr="001F29F9">
              <w:rPr>
                <w:rFonts w:eastAsia="Calibri"/>
                <w:color w:val="000000" w:themeColor="text1"/>
                <w:sz w:val="18"/>
                <w:szCs w:val="18"/>
              </w:rPr>
              <w:t xml:space="preserve"> </w:t>
            </w:r>
            <w:r w:rsidR="002C2796">
              <w:rPr>
                <w:rFonts w:eastAsia="Calibri"/>
                <w:color w:val="000000" w:themeColor="text1"/>
                <w:sz w:val="18"/>
                <w:szCs w:val="18"/>
              </w:rPr>
              <w:t>m</w:t>
            </w:r>
            <w:r w:rsidRPr="001F29F9">
              <w:rPr>
                <w:rFonts w:eastAsia="Calibri"/>
                <w:color w:val="000000" w:themeColor="text1"/>
                <w:sz w:val="18"/>
                <w:szCs w:val="18"/>
              </w:rPr>
              <w:t xml:space="preserve">o. </w:t>
            </w:r>
            <w:r>
              <w:rPr>
                <w:rFonts w:eastAsia="Calibri"/>
                <w:color w:val="000000" w:themeColor="text1"/>
                <w:sz w:val="18"/>
                <w:szCs w:val="18"/>
              </w:rPr>
              <w:t>Pre</w:t>
            </w:r>
            <w:r w:rsidRPr="001F29F9">
              <w:rPr>
                <w:rFonts w:eastAsia="Calibri"/>
                <w:color w:val="000000" w:themeColor="text1"/>
                <w:sz w:val="18"/>
                <w:szCs w:val="18"/>
              </w:rPr>
              <w:t>-Sep</w:t>
            </w:r>
          </w:p>
          <w:p w:rsidR="002B7190" w:rsidRPr="001F29F9" w:rsidRDefault="002B7190" w:rsidP="002C2796">
            <w:pPr>
              <w:contextualSpacing/>
              <w:rPr>
                <w:rFonts w:eastAsia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20403</w:t>
            </w:r>
            <w:r w:rsidRPr="001F29F9">
              <w:rPr>
                <w:rFonts w:asciiTheme="minorHAnsi" w:eastAsia="Calibri" w:hAnsiTheme="minorHAnsi"/>
                <w:color w:val="000000" w:themeColor="text1"/>
                <w:sz w:val="18"/>
                <w:szCs w:val="18"/>
              </w:rPr>
              <w:t>)</w:t>
            </w:r>
          </w:p>
        </w:tc>
      </w:tr>
      <w:tr w:rsidR="002B7190" w:rsidRPr="001F29F9" w:rsidTr="00C77E04">
        <w:tc>
          <w:tcPr>
            <w:tcW w:w="2178" w:type="dxa"/>
            <w:vAlign w:val="center"/>
          </w:tcPr>
          <w:p w:rsidR="002B7190" w:rsidRPr="001F29F9" w:rsidRDefault="002B7190" w:rsidP="002B7190">
            <w:pPr>
              <w:contextualSpacing/>
              <w:rPr>
                <w:rFonts w:eastAsia="Calibri"/>
                <w:color w:val="000000" w:themeColor="text1"/>
                <w:sz w:val="18"/>
                <w:szCs w:val="18"/>
              </w:rPr>
            </w:pPr>
            <w:r w:rsidRPr="001F29F9">
              <w:rPr>
                <w:rFonts w:eastAsia="Calibri"/>
                <w:color w:val="000000" w:themeColor="text1"/>
                <w:sz w:val="18"/>
                <w:szCs w:val="18"/>
              </w:rPr>
              <w:t xml:space="preserve">Flexion (140⁰ </w:t>
            </w:r>
            <w:r w:rsidR="002C2796">
              <w:rPr>
                <w:rFonts w:eastAsia="Calibri"/>
                <w:color w:val="000000" w:themeColor="text1"/>
                <w:sz w:val="18"/>
                <w:szCs w:val="18"/>
              </w:rPr>
              <w:t xml:space="preserve">is </w:t>
            </w:r>
            <w:r w:rsidRPr="001F29F9">
              <w:rPr>
                <w:rFonts w:eastAsia="Calibri"/>
                <w:color w:val="000000" w:themeColor="text1"/>
                <w:sz w:val="18"/>
                <w:szCs w:val="18"/>
              </w:rPr>
              <w:t>normal)</w:t>
            </w:r>
          </w:p>
        </w:tc>
        <w:tc>
          <w:tcPr>
            <w:tcW w:w="2790" w:type="dxa"/>
            <w:vAlign w:val="center"/>
          </w:tcPr>
          <w:p w:rsidR="002B7190" w:rsidRPr="001F29F9" w:rsidRDefault="002B7190" w:rsidP="002C2796">
            <w:pPr>
              <w:contextualSpacing/>
              <w:rPr>
                <w:rFonts w:eastAsia="Calibri"/>
                <w:color w:val="000000" w:themeColor="text1"/>
                <w:sz w:val="18"/>
                <w:szCs w:val="18"/>
              </w:rPr>
            </w:pPr>
            <w:r>
              <w:rPr>
                <w:rFonts w:eastAsia="Calibri"/>
                <w:color w:val="000000" w:themeColor="text1"/>
                <w:sz w:val="18"/>
                <w:szCs w:val="18"/>
              </w:rPr>
              <w:t>140</w:t>
            </w:r>
            <w:r w:rsidRPr="001F29F9">
              <w:rPr>
                <w:rFonts w:eastAsia="Calibri"/>
                <w:color w:val="000000" w:themeColor="text1"/>
                <w:sz w:val="18"/>
                <w:szCs w:val="18"/>
              </w:rPr>
              <w:t>⁰</w:t>
            </w:r>
          </w:p>
        </w:tc>
        <w:tc>
          <w:tcPr>
            <w:tcW w:w="3312" w:type="dxa"/>
            <w:vAlign w:val="center"/>
          </w:tcPr>
          <w:p w:rsidR="002B7190" w:rsidRPr="001F29F9" w:rsidRDefault="002B7190" w:rsidP="002C2796">
            <w:pPr>
              <w:contextualSpacing/>
              <w:rPr>
                <w:rFonts w:eastAsia="Calibri"/>
                <w:color w:val="000000" w:themeColor="text1"/>
                <w:sz w:val="18"/>
                <w:szCs w:val="18"/>
              </w:rPr>
            </w:pPr>
            <w:r>
              <w:rPr>
                <w:rFonts w:eastAsia="Calibri"/>
                <w:color w:val="000000" w:themeColor="text1"/>
                <w:sz w:val="18"/>
                <w:szCs w:val="18"/>
              </w:rPr>
              <w:t>130</w:t>
            </w:r>
            <w:r w:rsidRPr="001F29F9">
              <w:rPr>
                <w:rFonts w:eastAsia="Calibri"/>
                <w:color w:val="000000" w:themeColor="text1"/>
                <w:sz w:val="18"/>
                <w:szCs w:val="18"/>
              </w:rPr>
              <w:t>⁰</w:t>
            </w:r>
          </w:p>
        </w:tc>
      </w:tr>
      <w:tr w:rsidR="002B7190" w:rsidRPr="001F29F9" w:rsidTr="00C77E04">
        <w:tc>
          <w:tcPr>
            <w:tcW w:w="2178" w:type="dxa"/>
            <w:tcBorders>
              <w:bottom w:val="single" w:sz="4" w:space="0" w:color="auto"/>
            </w:tcBorders>
            <w:vAlign w:val="center"/>
          </w:tcPr>
          <w:p w:rsidR="002B7190" w:rsidRPr="001F29F9" w:rsidRDefault="002B7190" w:rsidP="002B7190">
            <w:pPr>
              <w:contextualSpacing/>
              <w:rPr>
                <w:rFonts w:eastAsia="Calibri"/>
                <w:color w:val="000000" w:themeColor="text1"/>
                <w:sz w:val="18"/>
                <w:szCs w:val="18"/>
              </w:rPr>
            </w:pPr>
            <w:r w:rsidRPr="001F29F9">
              <w:rPr>
                <w:rFonts w:eastAsia="Calibri"/>
                <w:color w:val="000000" w:themeColor="text1"/>
                <w:sz w:val="18"/>
                <w:szCs w:val="18"/>
              </w:rPr>
              <w:t xml:space="preserve">Extension (0⁰ </w:t>
            </w:r>
            <w:r w:rsidR="002C2796">
              <w:rPr>
                <w:rFonts w:eastAsia="Calibri"/>
                <w:color w:val="000000" w:themeColor="text1"/>
                <w:sz w:val="18"/>
                <w:szCs w:val="18"/>
              </w:rPr>
              <w:t xml:space="preserve">is </w:t>
            </w:r>
            <w:r w:rsidRPr="001F29F9">
              <w:rPr>
                <w:rFonts w:eastAsia="Calibri"/>
                <w:color w:val="000000" w:themeColor="text1"/>
                <w:sz w:val="18"/>
                <w:szCs w:val="18"/>
              </w:rPr>
              <w:t>normal)</w:t>
            </w:r>
          </w:p>
        </w:tc>
        <w:tc>
          <w:tcPr>
            <w:tcW w:w="2790" w:type="dxa"/>
            <w:tcBorders>
              <w:bottom w:val="single" w:sz="4" w:space="0" w:color="auto"/>
            </w:tcBorders>
            <w:vAlign w:val="center"/>
          </w:tcPr>
          <w:p w:rsidR="002B7190" w:rsidRPr="001F29F9" w:rsidRDefault="002B7190" w:rsidP="002C2796">
            <w:pPr>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p>
        </w:tc>
        <w:tc>
          <w:tcPr>
            <w:tcW w:w="3312" w:type="dxa"/>
            <w:tcBorders>
              <w:bottom w:val="single" w:sz="4" w:space="0" w:color="auto"/>
            </w:tcBorders>
            <w:vAlign w:val="center"/>
          </w:tcPr>
          <w:p w:rsidR="002B7190" w:rsidRPr="001F29F9" w:rsidRDefault="002B7190" w:rsidP="002C2796">
            <w:pPr>
              <w:contextualSpacing/>
              <w:rPr>
                <w:rFonts w:eastAsia="Calibri"/>
                <w:color w:val="000000" w:themeColor="text1"/>
                <w:sz w:val="18"/>
                <w:szCs w:val="18"/>
              </w:rPr>
            </w:pPr>
            <w:r>
              <w:rPr>
                <w:rFonts w:eastAsia="Calibri"/>
                <w:color w:val="000000" w:themeColor="text1"/>
                <w:sz w:val="18"/>
                <w:szCs w:val="18"/>
              </w:rPr>
              <w:t>0</w:t>
            </w:r>
            <w:r w:rsidRPr="001F29F9">
              <w:rPr>
                <w:rFonts w:eastAsia="Calibri"/>
                <w:color w:val="000000" w:themeColor="text1"/>
                <w:sz w:val="18"/>
                <w:szCs w:val="18"/>
              </w:rPr>
              <w:t>⁰</w:t>
            </w:r>
          </w:p>
        </w:tc>
      </w:tr>
      <w:tr w:rsidR="002B7190" w:rsidRPr="001F29F9" w:rsidTr="00C77E04">
        <w:tc>
          <w:tcPr>
            <w:tcW w:w="2178" w:type="dxa"/>
            <w:tcBorders>
              <w:top w:val="single" w:sz="4" w:space="0" w:color="auto"/>
              <w:left w:val="single" w:sz="4" w:space="0" w:color="auto"/>
              <w:bottom w:val="single" w:sz="4" w:space="0" w:color="auto"/>
              <w:right w:val="single" w:sz="4" w:space="0" w:color="auto"/>
            </w:tcBorders>
            <w:vAlign w:val="center"/>
          </w:tcPr>
          <w:p w:rsidR="002B7190" w:rsidRPr="001F29F9" w:rsidRDefault="002B7190" w:rsidP="002B7190">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tc>
        <w:tc>
          <w:tcPr>
            <w:tcW w:w="2790" w:type="dxa"/>
            <w:tcBorders>
              <w:top w:val="single" w:sz="4" w:space="0" w:color="auto"/>
              <w:left w:val="single" w:sz="4" w:space="0" w:color="auto"/>
              <w:bottom w:val="single" w:sz="4" w:space="0" w:color="auto"/>
              <w:right w:val="single" w:sz="4" w:space="0" w:color="auto"/>
            </w:tcBorders>
            <w:vAlign w:val="center"/>
          </w:tcPr>
          <w:p w:rsidR="002B7190" w:rsidRPr="001F29F9" w:rsidRDefault="002C2796" w:rsidP="002C2796">
            <w:pPr>
              <w:tabs>
                <w:tab w:val="left" w:pos="288"/>
                <w:tab w:val="left" w:pos="4752"/>
              </w:tabs>
              <w:rPr>
                <w:rFonts w:eastAsiaTheme="minorHAnsi"/>
                <w:color w:val="000000" w:themeColor="text1"/>
                <w:sz w:val="18"/>
                <w:szCs w:val="18"/>
              </w:rPr>
            </w:pPr>
            <w:r>
              <w:rPr>
                <w:rFonts w:eastAsiaTheme="minorHAnsi"/>
                <w:color w:val="000000" w:themeColor="text1"/>
                <w:sz w:val="18"/>
                <w:szCs w:val="18"/>
              </w:rPr>
              <w:t>Full range of motion</w:t>
            </w:r>
          </w:p>
        </w:tc>
        <w:tc>
          <w:tcPr>
            <w:tcW w:w="3312" w:type="dxa"/>
            <w:tcBorders>
              <w:top w:val="single" w:sz="4" w:space="0" w:color="auto"/>
              <w:left w:val="single" w:sz="4" w:space="0" w:color="auto"/>
              <w:bottom w:val="single" w:sz="4" w:space="0" w:color="auto"/>
              <w:right w:val="single" w:sz="4" w:space="0" w:color="auto"/>
            </w:tcBorders>
            <w:vAlign w:val="center"/>
          </w:tcPr>
          <w:p w:rsidR="002B7190" w:rsidRPr="001F29F9" w:rsidRDefault="002C2796" w:rsidP="002C2796">
            <w:pPr>
              <w:tabs>
                <w:tab w:val="left" w:pos="288"/>
                <w:tab w:val="left" w:pos="4752"/>
              </w:tabs>
              <w:rPr>
                <w:rFonts w:eastAsiaTheme="minorHAnsi"/>
                <w:color w:val="000000" w:themeColor="text1"/>
                <w:sz w:val="18"/>
                <w:szCs w:val="18"/>
              </w:rPr>
            </w:pPr>
            <w:r>
              <w:rPr>
                <w:rFonts w:eastAsiaTheme="minorHAnsi"/>
                <w:color w:val="000000" w:themeColor="text1"/>
                <w:sz w:val="18"/>
                <w:szCs w:val="18"/>
              </w:rPr>
              <w:t>Motion limited by pain</w:t>
            </w:r>
          </w:p>
        </w:tc>
      </w:tr>
      <w:tr w:rsidR="002B7190" w:rsidRPr="001F29F9" w:rsidTr="00C77E04">
        <w:tc>
          <w:tcPr>
            <w:tcW w:w="2178" w:type="dxa"/>
            <w:tcBorders>
              <w:top w:val="single" w:sz="4" w:space="0" w:color="auto"/>
              <w:left w:val="single" w:sz="4" w:space="0" w:color="auto"/>
              <w:bottom w:val="single" w:sz="4" w:space="0" w:color="auto"/>
              <w:right w:val="single" w:sz="4" w:space="0" w:color="auto"/>
            </w:tcBorders>
            <w:vAlign w:val="center"/>
          </w:tcPr>
          <w:p w:rsidR="002B7190" w:rsidRPr="001F29F9" w:rsidRDefault="002B7190" w:rsidP="002C2796">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2790" w:type="dxa"/>
            <w:tcBorders>
              <w:top w:val="single" w:sz="4" w:space="0" w:color="auto"/>
              <w:left w:val="single" w:sz="4" w:space="0" w:color="auto"/>
              <w:bottom w:val="single" w:sz="4" w:space="0" w:color="auto"/>
              <w:right w:val="single" w:sz="4" w:space="0" w:color="auto"/>
            </w:tcBorders>
            <w:vAlign w:val="center"/>
          </w:tcPr>
          <w:p w:rsidR="006E41DD" w:rsidRPr="001F29F9" w:rsidRDefault="002B7190" w:rsidP="002C2796">
            <w:pPr>
              <w:tabs>
                <w:tab w:val="left" w:pos="288"/>
                <w:tab w:val="left" w:pos="4752"/>
              </w:tabs>
              <w:rPr>
                <w:rFonts w:eastAsiaTheme="minorHAnsi"/>
                <w:color w:val="000000" w:themeColor="text1"/>
                <w:sz w:val="18"/>
                <w:szCs w:val="18"/>
              </w:rPr>
            </w:pPr>
            <w:r>
              <w:rPr>
                <w:rFonts w:eastAsiaTheme="minorHAnsi"/>
                <w:color w:val="000000" w:themeColor="text1"/>
                <w:sz w:val="18"/>
                <w:szCs w:val="18"/>
              </w:rPr>
              <w:t>10</w:t>
            </w:r>
            <w:r w:rsidRPr="001F29F9">
              <w:rPr>
                <w:rFonts w:eastAsiaTheme="minorHAnsi"/>
                <w:color w:val="000000" w:themeColor="text1"/>
                <w:sz w:val="18"/>
                <w:szCs w:val="18"/>
              </w:rPr>
              <w:t>%</w:t>
            </w:r>
            <w:r w:rsidR="002C2796">
              <w:rPr>
                <w:rFonts w:eastAsiaTheme="minorHAnsi"/>
                <w:color w:val="000000" w:themeColor="text1"/>
                <w:sz w:val="18"/>
                <w:szCs w:val="18"/>
              </w:rPr>
              <w:t>*</w:t>
            </w:r>
          </w:p>
        </w:tc>
        <w:tc>
          <w:tcPr>
            <w:tcW w:w="3312" w:type="dxa"/>
            <w:tcBorders>
              <w:top w:val="single" w:sz="4" w:space="0" w:color="auto"/>
              <w:left w:val="single" w:sz="4" w:space="0" w:color="auto"/>
              <w:bottom w:val="single" w:sz="4" w:space="0" w:color="auto"/>
              <w:right w:val="single" w:sz="4" w:space="0" w:color="auto"/>
            </w:tcBorders>
            <w:vAlign w:val="center"/>
          </w:tcPr>
          <w:p w:rsidR="006E41DD" w:rsidRPr="001F29F9" w:rsidRDefault="002B7190" w:rsidP="002C2796">
            <w:pPr>
              <w:tabs>
                <w:tab w:val="left" w:pos="288"/>
                <w:tab w:val="left" w:pos="4752"/>
              </w:tabs>
              <w:rPr>
                <w:rFonts w:eastAsiaTheme="minorHAnsi"/>
                <w:color w:val="000000" w:themeColor="text1"/>
                <w:sz w:val="18"/>
                <w:szCs w:val="18"/>
              </w:rPr>
            </w:pPr>
            <w:r>
              <w:rPr>
                <w:rFonts w:eastAsiaTheme="minorHAnsi"/>
                <w:color w:val="000000" w:themeColor="text1"/>
                <w:sz w:val="18"/>
                <w:szCs w:val="18"/>
              </w:rPr>
              <w:t>10</w:t>
            </w:r>
            <w:r w:rsidRPr="001F29F9">
              <w:rPr>
                <w:rFonts w:eastAsiaTheme="minorHAnsi"/>
                <w:color w:val="000000" w:themeColor="text1"/>
                <w:sz w:val="18"/>
                <w:szCs w:val="18"/>
              </w:rPr>
              <w:t>%</w:t>
            </w:r>
            <w:r w:rsidR="002C2796">
              <w:rPr>
                <w:rFonts w:eastAsiaTheme="minorHAnsi"/>
                <w:color w:val="000000" w:themeColor="text1"/>
                <w:sz w:val="18"/>
                <w:szCs w:val="18"/>
              </w:rPr>
              <w:t>*</w:t>
            </w:r>
          </w:p>
        </w:tc>
      </w:tr>
    </w:tbl>
    <w:p w:rsidR="000F15E3" w:rsidRDefault="000F15E3" w:rsidP="000F15E3">
      <w:pPr>
        <w:ind w:firstLine="720"/>
        <w:jc w:val="both"/>
        <w:rPr>
          <w:color w:val="auto"/>
          <w:szCs w:val="24"/>
          <w:highlight w:val="yellow"/>
        </w:rPr>
      </w:pPr>
      <w:r w:rsidRPr="009E61F4">
        <w:rPr>
          <w:color w:val="auto"/>
          <w:sz w:val="16"/>
          <w:szCs w:val="16"/>
        </w:rPr>
        <w:t xml:space="preserve">*10% based on </w:t>
      </w:r>
      <w:r w:rsidRPr="009E61F4">
        <w:rPr>
          <w:rFonts w:eastAsia="Calibri"/>
          <w:color w:val="auto"/>
          <w:sz w:val="16"/>
          <w:szCs w:val="16"/>
        </w:rPr>
        <w:t>§4.40 (Functional loss), §4.45 (The joints), and §4.59 (Painful motion)</w:t>
      </w:r>
    </w:p>
    <w:p w:rsidR="002B7190" w:rsidRDefault="002B7190" w:rsidP="00BF0E94">
      <w:pPr>
        <w:jc w:val="left"/>
        <w:rPr>
          <w:color w:val="000000" w:themeColor="text1"/>
          <w:szCs w:val="24"/>
        </w:rPr>
      </w:pPr>
    </w:p>
    <w:p w:rsidR="00E343A8" w:rsidRPr="00C1214E" w:rsidRDefault="004F6AE2" w:rsidP="0082382C">
      <w:pPr>
        <w:jc w:val="both"/>
        <w:rPr>
          <w:rFonts w:cs="Calibri"/>
          <w:color w:val="auto"/>
          <w:szCs w:val="24"/>
        </w:rPr>
      </w:pPr>
      <w:r w:rsidRPr="0065109B">
        <w:rPr>
          <w:rFonts w:cs="Calibri"/>
          <w:color w:val="auto"/>
          <w:szCs w:val="24"/>
        </w:rPr>
        <w:t xml:space="preserve">The </w:t>
      </w:r>
      <w:r>
        <w:rPr>
          <w:rFonts w:cs="Calibri"/>
          <w:color w:val="auto"/>
          <w:szCs w:val="24"/>
        </w:rPr>
        <w:t xml:space="preserve">Board </w:t>
      </w:r>
      <w:r w:rsidRPr="0065109B">
        <w:rPr>
          <w:rFonts w:cs="Calibri"/>
          <w:color w:val="auto"/>
          <w:szCs w:val="24"/>
        </w:rPr>
        <w:t xml:space="preserve">carefully reviewed all </w:t>
      </w:r>
      <w:r>
        <w:rPr>
          <w:rFonts w:cs="Calibri"/>
          <w:color w:val="auto"/>
          <w:szCs w:val="24"/>
        </w:rPr>
        <w:t>evidentiary information available</w:t>
      </w:r>
      <w:r w:rsidR="00C1214E">
        <w:rPr>
          <w:rFonts w:cs="Calibri"/>
          <w:color w:val="auto"/>
          <w:szCs w:val="24"/>
        </w:rPr>
        <w:t xml:space="preserve">, and </w:t>
      </w:r>
      <w:r w:rsidR="00C1214E" w:rsidRPr="008640DF">
        <w:rPr>
          <w:color w:val="auto"/>
          <w:szCs w:val="24"/>
        </w:rPr>
        <w:t>direct</w:t>
      </w:r>
      <w:r w:rsidR="00C1214E">
        <w:rPr>
          <w:color w:val="auto"/>
          <w:szCs w:val="24"/>
        </w:rPr>
        <w:t>ed</w:t>
      </w:r>
      <w:r w:rsidR="00C1214E" w:rsidRPr="008640DF">
        <w:rPr>
          <w:color w:val="auto"/>
          <w:szCs w:val="24"/>
        </w:rPr>
        <w:t xml:space="preserve"> its attention to its </w:t>
      </w:r>
      <w:r w:rsidR="00C1214E">
        <w:rPr>
          <w:color w:val="auto"/>
          <w:szCs w:val="24"/>
        </w:rPr>
        <w:t xml:space="preserve">coding and </w:t>
      </w:r>
      <w:r w:rsidR="00C1214E" w:rsidRPr="008640DF">
        <w:rPr>
          <w:color w:val="auto"/>
          <w:szCs w:val="24"/>
        </w:rPr>
        <w:t>rating recommendations based on the evidence just described.</w:t>
      </w:r>
      <w:r w:rsidR="00C1214E">
        <w:rPr>
          <w:color w:val="auto"/>
          <w:szCs w:val="24"/>
        </w:rPr>
        <w:t xml:space="preserve">  </w:t>
      </w:r>
      <w:r>
        <w:rPr>
          <w:rFonts w:cs="Calibri"/>
          <w:color w:val="auto"/>
          <w:szCs w:val="24"/>
        </w:rPr>
        <w:t xml:space="preserve">The </w:t>
      </w:r>
      <w:r w:rsidRPr="001B6211">
        <w:rPr>
          <w:rFonts w:cs="Calibri"/>
          <w:color w:val="auto"/>
          <w:szCs w:val="24"/>
        </w:rPr>
        <w:t>PEB</w:t>
      </w:r>
      <w:r>
        <w:rPr>
          <w:rFonts w:cs="Calibri"/>
          <w:color w:val="auto"/>
          <w:szCs w:val="24"/>
        </w:rPr>
        <w:t xml:space="preserve"> and the VA chose different coding options for the right knee condition.  The right knee</w:t>
      </w:r>
      <w:r w:rsidRPr="0065109B">
        <w:rPr>
          <w:rFonts w:cs="Calibri"/>
          <w:color w:val="auto"/>
          <w:szCs w:val="24"/>
        </w:rPr>
        <w:t xml:space="preserve"> limitation of motion was essentially non-compensable based on </w:t>
      </w:r>
      <w:r w:rsidR="000F15E3">
        <w:rPr>
          <w:rFonts w:cs="Calibri"/>
          <w:color w:val="auto"/>
          <w:szCs w:val="24"/>
        </w:rPr>
        <w:t>the Veterans’ Administration Schedule for Rating Disabilities (</w:t>
      </w:r>
      <w:r w:rsidRPr="0065109B">
        <w:rPr>
          <w:rFonts w:cs="Calibri"/>
          <w:color w:val="auto"/>
          <w:szCs w:val="24"/>
        </w:rPr>
        <w:t>V</w:t>
      </w:r>
      <w:r>
        <w:rPr>
          <w:rFonts w:cs="Calibri"/>
          <w:color w:val="auto"/>
          <w:szCs w:val="24"/>
        </w:rPr>
        <w:t>ASRD</w:t>
      </w:r>
      <w:r w:rsidR="000F15E3">
        <w:rPr>
          <w:rFonts w:cs="Calibri"/>
          <w:color w:val="auto"/>
          <w:szCs w:val="24"/>
        </w:rPr>
        <w:t>)</w:t>
      </w:r>
      <w:r w:rsidRPr="0065109B">
        <w:rPr>
          <w:rFonts w:cs="Calibri"/>
          <w:color w:val="auto"/>
          <w:szCs w:val="24"/>
        </w:rPr>
        <w:t xml:space="preserve"> </w:t>
      </w:r>
      <w:r w:rsidRPr="0065109B">
        <w:rPr>
          <w:rFonts w:eastAsia="Calibri" w:cs="Calibri"/>
          <w:color w:val="auto"/>
          <w:szCs w:val="24"/>
        </w:rPr>
        <w:t xml:space="preserve">§4.71a </w:t>
      </w:r>
      <w:r>
        <w:rPr>
          <w:rFonts w:eastAsia="Calibri" w:cs="Calibri"/>
          <w:color w:val="auto"/>
          <w:szCs w:val="24"/>
        </w:rPr>
        <w:t>knee and leg ROM codes</w:t>
      </w:r>
      <w:r w:rsidRPr="0065109B">
        <w:rPr>
          <w:rFonts w:eastAsia="Calibri" w:cs="Calibri"/>
          <w:color w:val="auto"/>
          <w:szCs w:val="24"/>
        </w:rPr>
        <w:t xml:space="preserve"> (52</w:t>
      </w:r>
      <w:r>
        <w:rPr>
          <w:rFonts w:eastAsia="Calibri" w:cs="Calibri"/>
          <w:color w:val="auto"/>
          <w:szCs w:val="24"/>
        </w:rPr>
        <w:t>60 and 5261</w:t>
      </w:r>
      <w:r w:rsidRPr="0065109B">
        <w:rPr>
          <w:rFonts w:eastAsia="Calibri" w:cs="Calibri"/>
          <w:color w:val="auto"/>
          <w:szCs w:val="24"/>
        </w:rPr>
        <w:t>).  However, IAW VASRD §4.40, §4.45, and §4.59</w:t>
      </w:r>
      <w:r>
        <w:rPr>
          <w:rFonts w:eastAsia="Calibri" w:cs="Calibri"/>
          <w:color w:val="auto"/>
          <w:szCs w:val="24"/>
        </w:rPr>
        <w:t>;</w:t>
      </w:r>
      <w:r w:rsidRPr="0065109B">
        <w:rPr>
          <w:rFonts w:cs="Calibri"/>
          <w:color w:val="auto"/>
          <w:szCs w:val="24"/>
        </w:rPr>
        <w:t xml:space="preserve"> a 10% rating is warranted when there is satisfactory evidence of functional limitation due to painful motion of a major joint</w:t>
      </w:r>
      <w:r>
        <w:rPr>
          <w:rFonts w:cs="Calibri"/>
          <w:color w:val="auto"/>
          <w:szCs w:val="24"/>
        </w:rPr>
        <w:t xml:space="preserve">.  The CI </w:t>
      </w:r>
      <w:r w:rsidR="000F15E3">
        <w:rPr>
          <w:rFonts w:cs="Calibri"/>
          <w:color w:val="auto"/>
          <w:szCs w:val="24"/>
        </w:rPr>
        <w:t>did have</w:t>
      </w:r>
      <w:r>
        <w:rPr>
          <w:rFonts w:cs="Calibri"/>
          <w:color w:val="auto"/>
          <w:szCs w:val="24"/>
        </w:rPr>
        <w:t xml:space="preserve"> pain with motion, as reported in his history and during the C&amp;P exam, and therefore qualifies for a 10% rating.  </w:t>
      </w:r>
      <w:r w:rsidR="00D34025">
        <w:rPr>
          <w:rFonts w:cs="Calibri"/>
          <w:color w:val="auto"/>
          <w:szCs w:val="24"/>
        </w:rPr>
        <w:t xml:space="preserve">His right knee pain is appropriately coded 5099-5014, since </w:t>
      </w:r>
      <w:proofErr w:type="spellStart"/>
      <w:r w:rsidR="00D34025">
        <w:rPr>
          <w:rFonts w:cs="Calibri"/>
          <w:color w:val="auto"/>
          <w:szCs w:val="24"/>
        </w:rPr>
        <w:t>chondromalacia</w:t>
      </w:r>
      <w:proofErr w:type="spellEnd"/>
      <w:r w:rsidR="00D34025">
        <w:rPr>
          <w:rFonts w:cs="Calibri"/>
          <w:color w:val="auto"/>
          <w:szCs w:val="24"/>
        </w:rPr>
        <w:t xml:space="preserve"> is analogous to </w:t>
      </w:r>
      <w:proofErr w:type="spellStart"/>
      <w:r w:rsidR="00D34025">
        <w:rPr>
          <w:rFonts w:cs="Calibri"/>
          <w:color w:val="auto"/>
          <w:szCs w:val="24"/>
        </w:rPr>
        <w:t>osteomalacia</w:t>
      </w:r>
      <w:proofErr w:type="spellEnd"/>
      <w:r w:rsidR="00D34025">
        <w:rPr>
          <w:rFonts w:cs="Calibri"/>
          <w:color w:val="auto"/>
          <w:szCs w:val="24"/>
        </w:rPr>
        <w:t xml:space="preserve">.  </w:t>
      </w:r>
      <w:r>
        <w:rPr>
          <w:rFonts w:cs="Calibri"/>
          <w:color w:val="auto"/>
          <w:szCs w:val="24"/>
        </w:rPr>
        <w:t xml:space="preserve">The Board then directed its attention to the issue of </w:t>
      </w:r>
      <w:r w:rsidR="000F15E3">
        <w:rPr>
          <w:rFonts w:cs="Calibri"/>
          <w:color w:val="auto"/>
          <w:szCs w:val="24"/>
        </w:rPr>
        <w:t xml:space="preserve">patellar </w:t>
      </w:r>
      <w:proofErr w:type="spellStart"/>
      <w:r w:rsidR="000F15E3">
        <w:rPr>
          <w:rFonts w:cs="Calibri"/>
          <w:color w:val="auto"/>
          <w:szCs w:val="24"/>
        </w:rPr>
        <w:t>subluxation</w:t>
      </w:r>
      <w:proofErr w:type="spellEnd"/>
      <w:r w:rsidR="000F15E3">
        <w:rPr>
          <w:rFonts w:cs="Calibri"/>
          <w:color w:val="auto"/>
          <w:szCs w:val="24"/>
        </w:rPr>
        <w:t xml:space="preserve">.  </w:t>
      </w:r>
      <w:r>
        <w:rPr>
          <w:rFonts w:cs="Calibri"/>
          <w:color w:val="auto"/>
          <w:szCs w:val="24"/>
        </w:rPr>
        <w:t xml:space="preserve">Review of the </w:t>
      </w:r>
      <w:r w:rsidR="005C307D">
        <w:rPr>
          <w:rFonts w:cs="Calibri"/>
          <w:color w:val="auto"/>
          <w:szCs w:val="24"/>
        </w:rPr>
        <w:t xml:space="preserve">service </w:t>
      </w:r>
      <w:r>
        <w:rPr>
          <w:rFonts w:cs="Calibri"/>
          <w:color w:val="auto"/>
          <w:szCs w:val="24"/>
        </w:rPr>
        <w:t xml:space="preserve">treatment record </w:t>
      </w:r>
      <w:r w:rsidR="005C307D">
        <w:rPr>
          <w:rFonts w:cs="Calibri"/>
          <w:color w:val="auto"/>
          <w:szCs w:val="24"/>
        </w:rPr>
        <w:t xml:space="preserve">(STR) </w:t>
      </w:r>
      <w:r>
        <w:rPr>
          <w:rFonts w:cs="Calibri"/>
          <w:color w:val="auto"/>
          <w:szCs w:val="24"/>
        </w:rPr>
        <w:t xml:space="preserve">shows that </w:t>
      </w:r>
      <w:r w:rsidR="000F15E3">
        <w:rPr>
          <w:rFonts w:cs="Calibri"/>
          <w:color w:val="auto"/>
          <w:szCs w:val="24"/>
        </w:rPr>
        <w:t xml:space="preserve">there was sufficient evidence of laxity and hyper-mobility of the patella.  The CI was wearing </w:t>
      </w:r>
      <w:r>
        <w:rPr>
          <w:rFonts w:cs="Calibri"/>
          <w:color w:val="auto"/>
          <w:szCs w:val="24"/>
        </w:rPr>
        <w:t>a</w:t>
      </w:r>
      <w:r w:rsidR="000F15E3">
        <w:rPr>
          <w:rFonts w:cs="Calibri"/>
          <w:color w:val="auto"/>
          <w:szCs w:val="24"/>
        </w:rPr>
        <w:t xml:space="preserve"> brace on the right knee to prevent the patella from </w:t>
      </w:r>
      <w:proofErr w:type="spellStart"/>
      <w:r w:rsidR="000F15E3">
        <w:rPr>
          <w:rFonts w:cs="Calibri"/>
          <w:color w:val="auto"/>
          <w:szCs w:val="24"/>
        </w:rPr>
        <w:t>subluxing</w:t>
      </w:r>
      <w:proofErr w:type="spellEnd"/>
      <w:r w:rsidR="000F15E3">
        <w:rPr>
          <w:rFonts w:cs="Calibri"/>
          <w:color w:val="auto"/>
          <w:szCs w:val="24"/>
        </w:rPr>
        <w:t xml:space="preserve">.  </w:t>
      </w:r>
      <w:r w:rsidR="00D34025">
        <w:rPr>
          <w:rFonts w:cs="Calibri"/>
          <w:color w:val="auto"/>
          <w:szCs w:val="24"/>
        </w:rPr>
        <w:t xml:space="preserve">The Board determined that </w:t>
      </w:r>
      <w:r>
        <w:rPr>
          <w:rFonts w:cs="Calibri"/>
          <w:color w:val="auto"/>
          <w:szCs w:val="24"/>
        </w:rPr>
        <w:t>t</w:t>
      </w:r>
      <w:r w:rsidR="00D34025">
        <w:rPr>
          <w:rFonts w:cs="Calibri"/>
          <w:color w:val="auto"/>
          <w:szCs w:val="24"/>
        </w:rPr>
        <w:t xml:space="preserve">he patellar </w:t>
      </w:r>
      <w:proofErr w:type="spellStart"/>
      <w:r w:rsidR="00D34025">
        <w:rPr>
          <w:rFonts w:cs="Calibri"/>
          <w:color w:val="auto"/>
          <w:szCs w:val="24"/>
        </w:rPr>
        <w:t>subluxation</w:t>
      </w:r>
      <w:proofErr w:type="spellEnd"/>
      <w:r w:rsidR="00D34025">
        <w:rPr>
          <w:rFonts w:cs="Calibri"/>
          <w:color w:val="auto"/>
          <w:szCs w:val="24"/>
        </w:rPr>
        <w:t xml:space="preserve"> in and of itself, made him unfit to be an active duty Marine.  Therefore, being </w:t>
      </w:r>
      <w:r>
        <w:rPr>
          <w:rFonts w:cs="Calibri"/>
          <w:color w:val="auto"/>
          <w:szCs w:val="24"/>
        </w:rPr>
        <w:t xml:space="preserve">unfitting, </w:t>
      </w:r>
      <w:r w:rsidR="00D34025">
        <w:rPr>
          <w:rFonts w:cs="Calibri"/>
          <w:color w:val="auto"/>
          <w:szCs w:val="24"/>
        </w:rPr>
        <w:t xml:space="preserve">the patellar </w:t>
      </w:r>
      <w:proofErr w:type="spellStart"/>
      <w:r w:rsidR="00D34025">
        <w:rPr>
          <w:rFonts w:cs="Calibri"/>
          <w:color w:val="auto"/>
          <w:szCs w:val="24"/>
        </w:rPr>
        <w:t>subluxation</w:t>
      </w:r>
      <w:proofErr w:type="spellEnd"/>
      <w:r w:rsidR="00D34025">
        <w:rPr>
          <w:rFonts w:cs="Calibri"/>
          <w:color w:val="auto"/>
          <w:szCs w:val="24"/>
        </w:rPr>
        <w:t xml:space="preserve"> </w:t>
      </w:r>
      <w:r>
        <w:rPr>
          <w:rFonts w:cs="Calibri"/>
          <w:color w:val="auto"/>
          <w:szCs w:val="24"/>
        </w:rPr>
        <w:t xml:space="preserve">does justify a separate rating.  </w:t>
      </w:r>
      <w:r w:rsidRPr="00BA034D">
        <w:rPr>
          <w:rFonts w:eastAsia="Calibri" w:cs="Calibri"/>
          <w:color w:val="auto"/>
          <w:szCs w:val="24"/>
        </w:rPr>
        <w:t xml:space="preserve">After due deliberation, </w:t>
      </w:r>
      <w:r>
        <w:rPr>
          <w:rFonts w:eastAsia="Calibri" w:cs="Calibri"/>
          <w:color w:val="auto"/>
          <w:szCs w:val="24"/>
        </w:rPr>
        <w:t xml:space="preserve">and mindful of VASRD </w:t>
      </w:r>
      <w:r w:rsidRPr="0065109B">
        <w:rPr>
          <w:rFonts w:eastAsia="Calibri" w:cs="Calibri"/>
          <w:color w:val="auto"/>
          <w:szCs w:val="24"/>
        </w:rPr>
        <w:t>§4.</w:t>
      </w:r>
      <w:r>
        <w:rPr>
          <w:rFonts w:eastAsia="Calibri" w:cs="Calibri"/>
          <w:color w:val="auto"/>
          <w:szCs w:val="24"/>
        </w:rPr>
        <w:t>3 (Reasonable doubt)</w:t>
      </w:r>
      <w:r w:rsidR="00D34025">
        <w:rPr>
          <w:rFonts w:eastAsia="Calibri" w:cs="Calibri"/>
          <w:color w:val="auto"/>
          <w:szCs w:val="24"/>
        </w:rPr>
        <w:t xml:space="preserve"> and </w:t>
      </w:r>
      <w:r w:rsidR="00D34025" w:rsidRPr="0065109B">
        <w:rPr>
          <w:rFonts w:eastAsia="Calibri" w:cs="Calibri"/>
          <w:color w:val="auto"/>
          <w:szCs w:val="24"/>
        </w:rPr>
        <w:t>§4.</w:t>
      </w:r>
      <w:r w:rsidR="00D34025">
        <w:rPr>
          <w:rFonts w:eastAsia="Calibri" w:cs="Calibri"/>
          <w:color w:val="auto"/>
          <w:szCs w:val="24"/>
        </w:rPr>
        <w:t>14 (</w:t>
      </w:r>
      <w:r w:rsidR="005C307D">
        <w:rPr>
          <w:rFonts w:eastAsia="Calibri" w:cs="Calibri"/>
          <w:color w:val="auto"/>
          <w:szCs w:val="24"/>
        </w:rPr>
        <w:t>a</w:t>
      </w:r>
      <w:r w:rsidR="00D34025">
        <w:rPr>
          <w:rFonts w:eastAsia="Calibri" w:cs="Calibri"/>
          <w:color w:val="auto"/>
          <w:szCs w:val="24"/>
        </w:rPr>
        <w:t xml:space="preserve">voidance of pyramiding), </w:t>
      </w:r>
      <w:r>
        <w:rPr>
          <w:rFonts w:eastAsia="Calibri" w:cs="Calibri"/>
          <w:color w:val="auto"/>
          <w:szCs w:val="24"/>
        </w:rPr>
        <w:t xml:space="preserve">the Board unanimously recommends a </w:t>
      </w:r>
      <w:r w:rsidRPr="00BA034D">
        <w:rPr>
          <w:rFonts w:eastAsia="Calibri" w:cs="Calibri"/>
          <w:color w:val="auto"/>
          <w:szCs w:val="24"/>
        </w:rPr>
        <w:t>rating of 1</w:t>
      </w:r>
      <w:r>
        <w:rPr>
          <w:rFonts w:eastAsia="Calibri" w:cs="Calibri"/>
          <w:color w:val="auto"/>
          <w:szCs w:val="24"/>
        </w:rPr>
        <w:t>0% for the r</w:t>
      </w:r>
      <w:r w:rsidR="00C1214E">
        <w:rPr>
          <w:rFonts w:eastAsia="Calibri" w:cs="Calibri"/>
          <w:color w:val="auto"/>
          <w:szCs w:val="24"/>
        </w:rPr>
        <w:t>ecurrent r</w:t>
      </w:r>
      <w:r>
        <w:rPr>
          <w:rFonts w:eastAsia="Calibri" w:cs="Calibri"/>
          <w:color w:val="auto"/>
          <w:szCs w:val="24"/>
        </w:rPr>
        <w:t xml:space="preserve">ight </w:t>
      </w:r>
      <w:r w:rsidR="00D34025">
        <w:rPr>
          <w:rFonts w:eastAsia="Calibri" w:cs="Calibri"/>
          <w:color w:val="auto"/>
          <w:szCs w:val="24"/>
        </w:rPr>
        <w:t xml:space="preserve">patellar </w:t>
      </w:r>
      <w:proofErr w:type="spellStart"/>
      <w:r w:rsidR="00D34025">
        <w:rPr>
          <w:rFonts w:eastAsia="Calibri" w:cs="Calibri"/>
          <w:color w:val="auto"/>
          <w:szCs w:val="24"/>
        </w:rPr>
        <w:t>subluxation</w:t>
      </w:r>
      <w:proofErr w:type="spellEnd"/>
      <w:r w:rsidR="00D34025">
        <w:rPr>
          <w:rFonts w:eastAsia="Calibri" w:cs="Calibri"/>
          <w:color w:val="auto"/>
          <w:szCs w:val="24"/>
        </w:rPr>
        <w:t xml:space="preserve">.  It is appropriately coded </w:t>
      </w:r>
      <w:r w:rsidR="00C1214E">
        <w:rPr>
          <w:rFonts w:eastAsia="Calibri" w:cs="Calibri"/>
          <w:color w:val="auto"/>
          <w:szCs w:val="24"/>
        </w:rPr>
        <w:t>5257 (</w:t>
      </w:r>
      <w:r w:rsidR="005C307D">
        <w:rPr>
          <w:rFonts w:eastAsia="Calibri" w:cs="Calibri"/>
          <w:color w:val="auto"/>
          <w:szCs w:val="24"/>
        </w:rPr>
        <w:t>k</w:t>
      </w:r>
      <w:r w:rsidR="00C1214E">
        <w:rPr>
          <w:rFonts w:eastAsia="Calibri" w:cs="Calibri"/>
          <w:color w:val="auto"/>
          <w:szCs w:val="24"/>
        </w:rPr>
        <w:t xml:space="preserve">nee, other impairment of) and IAW VASRD </w:t>
      </w:r>
      <w:r w:rsidR="00C1214E" w:rsidRPr="0065109B">
        <w:rPr>
          <w:rFonts w:eastAsia="Calibri" w:cs="Calibri"/>
          <w:color w:val="auto"/>
          <w:szCs w:val="24"/>
        </w:rPr>
        <w:t>§4.</w:t>
      </w:r>
      <w:r w:rsidR="00C1214E">
        <w:rPr>
          <w:rFonts w:eastAsia="Calibri" w:cs="Calibri"/>
          <w:color w:val="auto"/>
          <w:szCs w:val="24"/>
        </w:rPr>
        <w:t>71a, meets criteria for the 10% rating level (slight impairment).</w:t>
      </w:r>
    </w:p>
    <w:p w:rsidR="00EB36E4" w:rsidRDefault="00EB36E4" w:rsidP="00BF0E94">
      <w:pPr>
        <w:jc w:val="left"/>
        <w:rPr>
          <w:color w:val="000000" w:themeColor="text1"/>
          <w:szCs w:val="24"/>
        </w:rPr>
      </w:pPr>
    </w:p>
    <w:p w:rsidR="00454F2F" w:rsidRPr="001F29F9" w:rsidRDefault="00454F2F" w:rsidP="00454F2F">
      <w:pPr>
        <w:jc w:val="both"/>
        <w:rPr>
          <w:color w:val="000000" w:themeColor="text1"/>
          <w:szCs w:val="24"/>
        </w:rPr>
      </w:pPr>
      <w:proofErr w:type="gramStart"/>
      <w:r w:rsidRPr="0082642D">
        <w:rPr>
          <w:color w:val="000000" w:themeColor="text1"/>
          <w:szCs w:val="24"/>
          <w:u w:val="single"/>
        </w:rPr>
        <w:t>Remaining Conditions</w:t>
      </w:r>
      <w:r>
        <w:rPr>
          <w:color w:val="000000" w:themeColor="text1"/>
          <w:szCs w:val="24"/>
        </w:rPr>
        <w:t>.</w:t>
      </w:r>
      <w:proofErr w:type="gramEnd"/>
      <w:r>
        <w:rPr>
          <w:color w:val="000000" w:themeColor="text1"/>
          <w:szCs w:val="24"/>
        </w:rPr>
        <w:t xml:space="preserve">  </w:t>
      </w:r>
      <w:r w:rsidR="008638F1">
        <w:rPr>
          <w:color w:val="000000" w:themeColor="text1"/>
          <w:szCs w:val="24"/>
        </w:rPr>
        <w:t>O</w:t>
      </w:r>
      <w:r w:rsidR="00C1214E">
        <w:rPr>
          <w:color w:val="000000" w:themeColor="text1"/>
          <w:szCs w:val="24"/>
        </w:rPr>
        <w:t xml:space="preserve">ther conditions were noted in the </w:t>
      </w:r>
      <w:r w:rsidR="008638F1">
        <w:rPr>
          <w:color w:val="000000" w:themeColor="text1"/>
          <w:szCs w:val="24"/>
        </w:rPr>
        <w:t xml:space="preserve">Disability Evaluation System (DES) </w:t>
      </w:r>
      <w:r w:rsidR="00C1214E">
        <w:rPr>
          <w:color w:val="000000" w:themeColor="text1"/>
          <w:szCs w:val="24"/>
        </w:rPr>
        <w:t xml:space="preserve">file.  These </w:t>
      </w:r>
      <w:r w:rsidRPr="0082642D">
        <w:rPr>
          <w:color w:val="000000" w:themeColor="text1"/>
          <w:szCs w:val="24"/>
        </w:rPr>
        <w:t>condition</w:t>
      </w:r>
      <w:r w:rsidR="00C1214E">
        <w:rPr>
          <w:color w:val="000000" w:themeColor="text1"/>
          <w:szCs w:val="24"/>
        </w:rPr>
        <w:t xml:space="preserve">s were </w:t>
      </w:r>
      <w:r w:rsidRPr="0082642D">
        <w:rPr>
          <w:color w:val="000000" w:themeColor="text1"/>
          <w:szCs w:val="24"/>
        </w:rPr>
        <w:t xml:space="preserve">not </w:t>
      </w:r>
      <w:r w:rsidR="00C1214E">
        <w:rPr>
          <w:color w:val="000000" w:themeColor="text1"/>
          <w:szCs w:val="24"/>
        </w:rPr>
        <w:t xml:space="preserve">clinically </w:t>
      </w:r>
      <w:r w:rsidRPr="0082642D">
        <w:rPr>
          <w:color w:val="000000" w:themeColor="text1"/>
          <w:szCs w:val="24"/>
        </w:rPr>
        <w:t>significant during the MEB</w:t>
      </w:r>
      <w:r w:rsidR="00C1214E">
        <w:rPr>
          <w:color w:val="000000" w:themeColor="text1"/>
          <w:szCs w:val="24"/>
        </w:rPr>
        <w:t>/PEB</w:t>
      </w:r>
      <w:r w:rsidRPr="0082642D">
        <w:rPr>
          <w:color w:val="000000" w:themeColor="text1"/>
          <w:szCs w:val="24"/>
        </w:rPr>
        <w:t xml:space="preserve"> period</w:t>
      </w:r>
      <w:r w:rsidR="00C1214E">
        <w:rPr>
          <w:color w:val="000000" w:themeColor="text1"/>
          <w:szCs w:val="24"/>
        </w:rPr>
        <w:t xml:space="preserve">.  None were the basis for </w:t>
      </w:r>
      <w:r w:rsidRPr="0082642D">
        <w:rPr>
          <w:color w:val="000000" w:themeColor="text1"/>
          <w:szCs w:val="24"/>
        </w:rPr>
        <w:t>limit</w:t>
      </w:r>
      <w:r w:rsidR="00C1214E">
        <w:rPr>
          <w:color w:val="000000" w:themeColor="text1"/>
          <w:szCs w:val="24"/>
        </w:rPr>
        <w:t>ed duty, or</w:t>
      </w:r>
      <w:r w:rsidR="008638F1">
        <w:rPr>
          <w:color w:val="000000" w:themeColor="text1"/>
          <w:szCs w:val="24"/>
        </w:rPr>
        <w:t xml:space="preserve"> </w:t>
      </w:r>
      <w:r w:rsidRPr="0082642D">
        <w:rPr>
          <w:color w:val="000000" w:themeColor="text1"/>
          <w:szCs w:val="24"/>
        </w:rPr>
        <w:t xml:space="preserve">implicated </w:t>
      </w:r>
      <w:r>
        <w:rPr>
          <w:color w:val="000000" w:themeColor="text1"/>
          <w:szCs w:val="24"/>
        </w:rPr>
        <w:t>in the non-medical assessment</w:t>
      </w:r>
      <w:r w:rsidRPr="0082642D">
        <w:rPr>
          <w:color w:val="000000" w:themeColor="text1"/>
          <w:szCs w:val="24"/>
        </w:rPr>
        <w:t>.  Th</w:t>
      </w:r>
      <w:r w:rsidR="008638F1">
        <w:rPr>
          <w:color w:val="000000" w:themeColor="text1"/>
          <w:szCs w:val="24"/>
        </w:rPr>
        <w:t>ey were all</w:t>
      </w:r>
      <w:r w:rsidRPr="0082642D">
        <w:rPr>
          <w:color w:val="000000" w:themeColor="text1"/>
          <w:szCs w:val="24"/>
        </w:rPr>
        <w:t xml:space="preserve"> reviewed by the action officer and considered by the Board.  It was determined that </w:t>
      </w:r>
      <w:r w:rsidR="008638F1">
        <w:rPr>
          <w:color w:val="000000" w:themeColor="text1"/>
          <w:szCs w:val="24"/>
        </w:rPr>
        <w:t xml:space="preserve">none of them </w:t>
      </w:r>
      <w:r w:rsidRPr="0082642D">
        <w:rPr>
          <w:color w:val="000000" w:themeColor="text1"/>
          <w:szCs w:val="24"/>
        </w:rPr>
        <w:t>could be argued as unfitting and subject to separation rating.  Additionally</w:t>
      </w:r>
      <w:r w:rsidR="008638F1">
        <w:rPr>
          <w:color w:val="000000" w:themeColor="text1"/>
          <w:szCs w:val="24"/>
        </w:rPr>
        <w:t>;</w:t>
      </w:r>
      <w:r w:rsidRPr="0082642D">
        <w:rPr>
          <w:color w:val="000000" w:themeColor="text1"/>
          <w:szCs w:val="24"/>
        </w:rPr>
        <w:t xml:space="preserve"> </w:t>
      </w:r>
      <w:r>
        <w:rPr>
          <w:color w:val="000000" w:themeColor="text1"/>
          <w:szCs w:val="24"/>
        </w:rPr>
        <w:t>tinnitus,</w:t>
      </w:r>
      <w:r w:rsidR="008638F1">
        <w:rPr>
          <w:color w:val="000000" w:themeColor="text1"/>
          <w:szCs w:val="24"/>
        </w:rPr>
        <w:t xml:space="preserve"> </w:t>
      </w:r>
      <w:r w:rsidRPr="0082642D">
        <w:rPr>
          <w:color w:val="000000" w:themeColor="text1"/>
          <w:szCs w:val="24"/>
        </w:rPr>
        <w:t>hip st</w:t>
      </w:r>
      <w:r>
        <w:rPr>
          <w:color w:val="000000" w:themeColor="text1"/>
          <w:szCs w:val="24"/>
        </w:rPr>
        <w:t>r</w:t>
      </w:r>
      <w:r w:rsidR="0043546A">
        <w:rPr>
          <w:color w:val="000000" w:themeColor="text1"/>
          <w:szCs w:val="24"/>
        </w:rPr>
        <w:t xml:space="preserve">ain and </w:t>
      </w:r>
      <w:r w:rsidRPr="0082642D">
        <w:rPr>
          <w:color w:val="000000" w:themeColor="text1"/>
          <w:szCs w:val="24"/>
        </w:rPr>
        <w:t xml:space="preserve">other conditions were noted in the VA </w:t>
      </w:r>
      <w:r w:rsidR="00CF17B2">
        <w:rPr>
          <w:color w:val="000000" w:themeColor="text1"/>
          <w:szCs w:val="24"/>
        </w:rPr>
        <w:t xml:space="preserve">rating decision </w:t>
      </w:r>
      <w:r w:rsidRPr="0082642D">
        <w:rPr>
          <w:color w:val="000000" w:themeColor="text1"/>
          <w:szCs w:val="24"/>
        </w:rPr>
        <w:t xml:space="preserve">proximal to separation </w:t>
      </w:r>
      <w:r w:rsidR="00CF17B2">
        <w:rPr>
          <w:color w:val="000000" w:themeColor="text1"/>
          <w:szCs w:val="24"/>
        </w:rPr>
        <w:t xml:space="preserve">but </w:t>
      </w:r>
      <w:r w:rsidRPr="0082642D">
        <w:rPr>
          <w:color w:val="000000" w:themeColor="text1"/>
          <w:szCs w:val="24"/>
        </w:rPr>
        <w:t>were not documented in the DES file.  The Board does not have the authority to render fitness or rating recommendations</w:t>
      </w:r>
      <w:r w:rsidRPr="001F29F9">
        <w:rPr>
          <w:color w:val="000000" w:themeColor="text1"/>
          <w:szCs w:val="24"/>
        </w:rPr>
        <w:t xml:space="preserve"> for any conditions not considered by the DES.  The Board therefore has no reasonable basis for recommending any additional unfitting conditions for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CF17B2" w:rsidRPr="00CF17B2" w:rsidRDefault="00C56FC8" w:rsidP="00C26B27">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CF17B2">
        <w:rPr>
          <w:rFonts w:eastAsiaTheme="minorHAnsi"/>
          <w:color w:val="000000" w:themeColor="text1"/>
          <w:szCs w:val="24"/>
        </w:rPr>
        <w:t xml:space="preserve">  In the matter of the </w:t>
      </w:r>
      <w:r w:rsidR="008638F1">
        <w:rPr>
          <w:rFonts w:eastAsiaTheme="minorHAnsi"/>
          <w:color w:val="000000" w:themeColor="text1"/>
          <w:szCs w:val="24"/>
        </w:rPr>
        <w:t xml:space="preserve">painful </w:t>
      </w:r>
      <w:r w:rsidR="00CF17B2">
        <w:rPr>
          <w:rFonts w:eastAsiaTheme="minorHAnsi"/>
          <w:color w:val="000000" w:themeColor="text1"/>
          <w:szCs w:val="24"/>
        </w:rPr>
        <w:t>right knee</w:t>
      </w:r>
      <w:r w:rsidR="00CF17B2" w:rsidRPr="00CF17B2">
        <w:rPr>
          <w:rFonts w:eastAsiaTheme="minorHAnsi"/>
          <w:color w:val="000000" w:themeColor="text1"/>
          <w:szCs w:val="24"/>
        </w:rPr>
        <w:t xml:space="preserve"> </w:t>
      </w:r>
      <w:proofErr w:type="spellStart"/>
      <w:r w:rsidR="00CF17B2" w:rsidRPr="00CF17B2">
        <w:rPr>
          <w:rFonts w:eastAsiaTheme="minorHAnsi"/>
          <w:color w:val="000000" w:themeColor="text1"/>
          <w:szCs w:val="24"/>
        </w:rPr>
        <w:t>c</w:t>
      </w:r>
      <w:r w:rsidR="008638F1">
        <w:rPr>
          <w:rFonts w:eastAsiaTheme="minorHAnsi"/>
          <w:color w:val="000000" w:themeColor="text1"/>
          <w:szCs w:val="24"/>
        </w:rPr>
        <w:t>hondromalacia</w:t>
      </w:r>
      <w:proofErr w:type="spellEnd"/>
      <w:r w:rsidR="00CF17B2" w:rsidRPr="00CF17B2">
        <w:rPr>
          <w:rFonts w:eastAsiaTheme="minorHAnsi"/>
          <w:color w:val="000000" w:themeColor="text1"/>
          <w:szCs w:val="24"/>
        </w:rPr>
        <w:t xml:space="preserve">, the Board unanimously recommends </w:t>
      </w:r>
      <w:r w:rsidR="008638F1">
        <w:rPr>
          <w:rFonts w:eastAsiaTheme="minorHAnsi"/>
          <w:color w:val="000000" w:themeColor="text1"/>
          <w:szCs w:val="24"/>
        </w:rPr>
        <w:t xml:space="preserve">a rating of 10%, coded 5099-5014 </w:t>
      </w:r>
      <w:r w:rsidR="008638F1" w:rsidRPr="00CF17B2">
        <w:rPr>
          <w:rFonts w:eastAsiaTheme="minorHAnsi"/>
          <w:color w:val="000000" w:themeColor="text1"/>
          <w:szCs w:val="24"/>
        </w:rPr>
        <w:t xml:space="preserve">IAW VASRD </w:t>
      </w:r>
      <w:r w:rsidR="008638F1" w:rsidRPr="0065109B">
        <w:rPr>
          <w:rFonts w:eastAsia="Calibri" w:cs="Calibri"/>
          <w:color w:val="auto"/>
          <w:szCs w:val="24"/>
        </w:rPr>
        <w:t>§4.40, §4.45, §4.59</w:t>
      </w:r>
      <w:r w:rsidR="008638F1">
        <w:rPr>
          <w:rFonts w:eastAsia="Calibri" w:cs="Calibri"/>
          <w:color w:val="auto"/>
          <w:szCs w:val="24"/>
        </w:rPr>
        <w:t xml:space="preserve">, and </w:t>
      </w:r>
      <w:r w:rsidR="008638F1" w:rsidRPr="00CF17B2">
        <w:rPr>
          <w:rFonts w:eastAsiaTheme="minorHAnsi"/>
          <w:color w:val="000000" w:themeColor="text1"/>
          <w:szCs w:val="24"/>
        </w:rPr>
        <w:t>§4.71a.</w:t>
      </w:r>
      <w:r w:rsidR="008638F1">
        <w:rPr>
          <w:rFonts w:eastAsiaTheme="minorHAnsi"/>
          <w:color w:val="000000" w:themeColor="text1"/>
          <w:szCs w:val="24"/>
        </w:rPr>
        <w:t xml:space="preserve">  In the matter of the recurrent right </w:t>
      </w:r>
      <w:r w:rsidR="008638F1">
        <w:rPr>
          <w:rFonts w:eastAsiaTheme="minorHAnsi"/>
          <w:color w:val="000000" w:themeColor="text1"/>
          <w:szCs w:val="24"/>
        </w:rPr>
        <w:lastRenderedPageBreak/>
        <w:t xml:space="preserve">patellar </w:t>
      </w:r>
      <w:proofErr w:type="spellStart"/>
      <w:r w:rsidR="008638F1">
        <w:rPr>
          <w:rFonts w:eastAsiaTheme="minorHAnsi"/>
          <w:color w:val="000000" w:themeColor="text1"/>
          <w:szCs w:val="24"/>
        </w:rPr>
        <w:t>subluxation</w:t>
      </w:r>
      <w:proofErr w:type="spellEnd"/>
      <w:r w:rsidR="008638F1">
        <w:rPr>
          <w:rFonts w:eastAsiaTheme="minorHAnsi"/>
          <w:color w:val="000000" w:themeColor="text1"/>
          <w:szCs w:val="24"/>
        </w:rPr>
        <w:t xml:space="preserve">, the Board unanimously recommends a rating of 10%, coded 5257 </w:t>
      </w:r>
      <w:r w:rsidR="00CF17B2" w:rsidRPr="00CF17B2">
        <w:rPr>
          <w:rFonts w:eastAsiaTheme="minorHAnsi"/>
          <w:color w:val="000000" w:themeColor="text1"/>
          <w:szCs w:val="24"/>
        </w:rPr>
        <w:t>IAW VASRD §4.71a.</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C55241" w:rsidRPr="004A2C92" w:rsidRDefault="00C56FC8" w:rsidP="00CF17B2">
      <w:pPr>
        <w:jc w:val="left"/>
        <w:rPr>
          <w:color w:val="000000" w:themeColor="text1"/>
          <w:szCs w:val="24"/>
        </w:rPr>
      </w:pPr>
      <w:r w:rsidRPr="001F29F9">
        <w:rPr>
          <w:color w:val="000000" w:themeColor="text1"/>
          <w:szCs w:val="24"/>
          <w:u w:val="single"/>
        </w:rPr>
        <w:t>RECOMMENDATION</w:t>
      </w:r>
      <w:r w:rsidRPr="001F29F9">
        <w:rPr>
          <w:color w:val="000000" w:themeColor="text1"/>
          <w:szCs w:val="24"/>
        </w:rPr>
        <w:t>:</w:t>
      </w:r>
      <w:r w:rsidR="00CF17B2">
        <w:rPr>
          <w:color w:val="000000" w:themeColor="text1"/>
        </w:rPr>
        <w:t xml:space="preserve">  </w:t>
      </w:r>
      <w:r w:rsidRPr="001F29F9">
        <w:rPr>
          <w:color w:val="000000" w:themeColor="text1"/>
          <w:szCs w:val="24"/>
        </w:rPr>
        <w:t>The Board recommends that the CI’s prior determination be modified as follows, effective as of the date of his</w:t>
      </w:r>
      <w:r w:rsidR="00911B11" w:rsidRPr="001F29F9">
        <w:rPr>
          <w:color w:val="000000" w:themeColor="text1"/>
          <w:szCs w:val="24"/>
        </w:rPr>
        <w:t xml:space="preserve"> prior medical separation:</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CF17B2" w:rsidP="003F5652">
            <w:pPr>
              <w:tabs>
                <w:tab w:val="left" w:pos="288"/>
                <w:tab w:val="left" w:pos="4752"/>
              </w:tabs>
              <w:jc w:val="left"/>
              <w:rPr>
                <w:color w:val="000000" w:themeColor="text1"/>
                <w:szCs w:val="24"/>
              </w:rPr>
            </w:pPr>
            <w:proofErr w:type="spellStart"/>
            <w:r>
              <w:rPr>
                <w:color w:val="000000" w:themeColor="text1"/>
                <w:szCs w:val="24"/>
              </w:rPr>
              <w:t>Chondromalacia</w:t>
            </w:r>
            <w:proofErr w:type="spellEnd"/>
            <w:r w:rsidR="003F5652">
              <w:rPr>
                <w:color w:val="000000" w:themeColor="text1"/>
                <w:szCs w:val="24"/>
              </w:rPr>
              <w:t xml:space="preserve">, </w:t>
            </w:r>
            <w:r>
              <w:rPr>
                <w:color w:val="000000" w:themeColor="text1"/>
                <w:szCs w:val="24"/>
              </w:rPr>
              <w:t>Right Knee</w:t>
            </w:r>
          </w:p>
        </w:tc>
        <w:tc>
          <w:tcPr>
            <w:tcW w:w="1710" w:type="dxa"/>
            <w:vAlign w:val="center"/>
          </w:tcPr>
          <w:p w:rsidR="00A95BBA" w:rsidRPr="001F29F9" w:rsidRDefault="00C55241" w:rsidP="00BF0E94">
            <w:pPr>
              <w:tabs>
                <w:tab w:val="left" w:pos="288"/>
                <w:tab w:val="left" w:pos="4752"/>
              </w:tabs>
              <w:rPr>
                <w:color w:val="000000" w:themeColor="text1"/>
                <w:szCs w:val="24"/>
              </w:rPr>
            </w:pPr>
            <w:r>
              <w:rPr>
                <w:color w:val="000000" w:themeColor="text1"/>
                <w:szCs w:val="24"/>
              </w:rPr>
              <w:t>5099-</w:t>
            </w:r>
            <w:r w:rsidR="00534436">
              <w:rPr>
                <w:color w:val="000000" w:themeColor="text1"/>
                <w:szCs w:val="24"/>
              </w:rPr>
              <w:t>5014</w:t>
            </w:r>
          </w:p>
        </w:tc>
        <w:tc>
          <w:tcPr>
            <w:tcW w:w="1170" w:type="dxa"/>
            <w:vAlign w:val="center"/>
          </w:tcPr>
          <w:p w:rsidR="00A95BBA" w:rsidRPr="001F29F9" w:rsidRDefault="00534436" w:rsidP="00BF0E94">
            <w:pPr>
              <w:tabs>
                <w:tab w:val="left" w:pos="288"/>
                <w:tab w:val="left" w:pos="4752"/>
              </w:tabs>
              <w:rPr>
                <w:color w:val="000000" w:themeColor="text1"/>
                <w:szCs w:val="24"/>
              </w:rPr>
            </w:pPr>
            <w:r>
              <w:rPr>
                <w:color w:val="000000" w:themeColor="text1"/>
                <w:szCs w:val="24"/>
              </w:rPr>
              <w:t>10%</w:t>
            </w:r>
          </w:p>
        </w:tc>
      </w:tr>
      <w:tr w:rsidR="00534436" w:rsidRPr="001F29F9" w:rsidTr="0080588E">
        <w:trPr>
          <w:jc w:val="center"/>
        </w:trPr>
        <w:tc>
          <w:tcPr>
            <w:tcW w:w="6282" w:type="dxa"/>
            <w:vAlign w:val="center"/>
          </w:tcPr>
          <w:p w:rsidR="00534436" w:rsidRDefault="00534436" w:rsidP="00BF0E94">
            <w:pPr>
              <w:tabs>
                <w:tab w:val="left" w:pos="288"/>
                <w:tab w:val="left" w:pos="4752"/>
              </w:tabs>
              <w:jc w:val="left"/>
              <w:rPr>
                <w:color w:val="000000" w:themeColor="text1"/>
                <w:szCs w:val="24"/>
              </w:rPr>
            </w:pPr>
            <w:r>
              <w:rPr>
                <w:color w:val="000000" w:themeColor="text1"/>
                <w:szCs w:val="24"/>
              </w:rPr>
              <w:t xml:space="preserve">Recurrent Patellar </w:t>
            </w:r>
            <w:proofErr w:type="spellStart"/>
            <w:r>
              <w:rPr>
                <w:color w:val="000000" w:themeColor="text1"/>
                <w:szCs w:val="24"/>
              </w:rPr>
              <w:t>Subluxation</w:t>
            </w:r>
            <w:proofErr w:type="spellEnd"/>
            <w:r w:rsidR="003F5652">
              <w:rPr>
                <w:color w:val="000000" w:themeColor="text1"/>
                <w:szCs w:val="24"/>
              </w:rPr>
              <w:t>,</w:t>
            </w:r>
            <w:r>
              <w:rPr>
                <w:color w:val="000000" w:themeColor="text1"/>
                <w:szCs w:val="24"/>
              </w:rPr>
              <w:t xml:space="preserve"> Right Knee</w:t>
            </w:r>
          </w:p>
        </w:tc>
        <w:tc>
          <w:tcPr>
            <w:tcW w:w="1710" w:type="dxa"/>
            <w:vAlign w:val="center"/>
          </w:tcPr>
          <w:p w:rsidR="00534436" w:rsidRDefault="005D3C1B" w:rsidP="00BF0E94">
            <w:pPr>
              <w:tabs>
                <w:tab w:val="left" w:pos="288"/>
                <w:tab w:val="left" w:pos="4752"/>
              </w:tabs>
              <w:rPr>
                <w:color w:val="000000" w:themeColor="text1"/>
                <w:szCs w:val="24"/>
              </w:rPr>
            </w:pPr>
            <w:r>
              <w:rPr>
                <w:color w:val="000000" w:themeColor="text1"/>
                <w:szCs w:val="24"/>
              </w:rPr>
              <w:t>5257</w:t>
            </w:r>
          </w:p>
        </w:tc>
        <w:tc>
          <w:tcPr>
            <w:tcW w:w="1170" w:type="dxa"/>
            <w:vAlign w:val="center"/>
          </w:tcPr>
          <w:p w:rsidR="00534436" w:rsidRDefault="005D3C1B" w:rsidP="00BF0E94">
            <w:pPr>
              <w:tabs>
                <w:tab w:val="left" w:pos="288"/>
                <w:tab w:val="left" w:pos="4752"/>
              </w:tabs>
              <w:rPr>
                <w:color w:val="000000" w:themeColor="text1"/>
                <w:szCs w:val="24"/>
              </w:rPr>
            </w:pPr>
            <w:r>
              <w:rPr>
                <w:color w:val="000000" w:themeColor="text1"/>
                <w:szCs w:val="24"/>
              </w:rPr>
              <w:t>10%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1F29F9" w:rsidRDefault="005D3C1B" w:rsidP="00BF0E94">
            <w:pPr>
              <w:tabs>
                <w:tab w:val="left" w:pos="288"/>
                <w:tab w:val="left" w:pos="4752"/>
              </w:tabs>
              <w:rPr>
                <w:b/>
                <w:color w:val="000000" w:themeColor="text1"/>
                <w:szCs w:val="24"/>
              </w:rPr>
            </w:pPr>
            <w:r>
              <w:rPr>
                <w:b/>
                <w:color w:val="000000" w:themeColor="text1"/>
                <w:szCs w:val="24"/>
              </w:rPr>
              <w:t>20</w:t>
            </w:r>
            <w:r w:rsidR="00A95BBA" w:rsidRPr="001F29F9">
              <w:rPr>
                <w:b/>
                <w:color w:val="000000" w:themeColor="text1"/>
                <w:szCs w:val="24"/>
              </w:rPr>
              <w:t>%</w:t>
            </w:r>
          </w:p>
        </w:tc>
      </w:tr>
    </w:tbl>
    <w:p w:rsidR="005B1D09" w:rsidRPr="001F29F9" w:rsidRDefault="005B1D09"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B3575C">
      <w:pPr>
        <w:tabs>
          <w:tab w:val="left" w:pos="288"/>
          <w:tab w:val="left" w:pos="4752"/>
        </w:tabs>
        <w:spacing w:line="440" w:lineRule="exact"/>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5D3C1B">
        <w:rPr>
          <w:color w:val="000000" w:themeColor="text1"/>
          <w:szCs w:val="24"/>
        </w:rPr>
        <w:t>10627</w:t>
      </w:r>
      <w:r w:rsidR="005C307D">
        <w:rPr>
          <w:color w:val="000000" w:themeColor="text1"/>
        </w:rPr>
        <w:t>, w/</w:t>
      </w:r>
      <w:proofErr w:type="spellStart"/>
      <w:r w:rsidR="005C307D">
        <w:rPr>
          <w:color w:val="000000" w:themeColor="text1"/>
        </w:rPr>
        <w:t>atchs</w:t>
      </w:r>
      <w:proofErr w:type="spellEnd"/>
    </w:p>
    <w:p w:rsidR="00114F20" w:rsidRPr="001F29F9" w:rsidRDefault="00FB1725" w:rsidP="00BF0E94">
      <w:pPr>
        <w:tabs>
          <w:tab w:val="left" w:pos="288"/>
          <w:tab w:val="left" w:pos="4752"/>
        </w:tabs>
        <w:jc w:val="both"/>
        <w:rPr>
          <w:color w:val="000000" w:themeColor="text1"/>
        </w:rPr>
      </w:pPr>
      <w:r w:rsidRPr="001F29F9">
        <w:rPr>
          <w:color w:val="000000" w:themeColor="text1"/>
        </w:rPr>
        <w:t xml:space="preserve">Exhibit B.  Service </w:t>
      </w:r>
      <w:r w:rsidR="005C307D">
        <w:rPr>
          <w:color w:val="000000" w:themeColor="text1"/>
        </w:rPr>
        <w:t>Treatment Record</w:t>
      </w:r>
    </w:p>
    <w:p w:rsidR="00114F20" w:rsidRPr="001F29F9" w:rsidRDefault="00FB1725" w:rsidP="00BF0E94">
      <w:pPr>
        <w:tabs>
          <w:tab w:val="left" w:pos="288"/>
          <w:tab w:val="left" w:pos="4752"/>
        </w:tabs>
        <w:jc w:val="both"/>
        <w:rPr>
          <w:color w:val="000000" w:themeColor="text1"/>
        </w:rPr>
      </w:pPr>
      <w:r w:rsidRPr="001F29F9">
        <w:rPr>
          <w:color w:val="000000" w:themeColor="text1"/>
        </w:rPr>
        <w:t>Exhibit C.  Department of Ve</w:t>
      </w:r>
      <w:r w:rsidR="005C307D">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265A80" w:rsidRDefault="002F195B" w:rsidP="004A2C92">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265A80" w:rsidRDefault="00265A80">
      <w:pPr>
        <w:rPr>
          <w:color w:val="000000" w:themeColor="text1"/>
          <w:szCs w:val="24"/>
        </w:rPr>
      </w:pPr>
      <w:r>
        <w:rPr>
          <w:color w:val="000000" w:themeColor="text1"/>
          <w:szCs w:val="24"/>
        </w:rPr>
        <w:br w:type="page"/>
      </w: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lastRenderedPageBreak/>
        <w:t>MEMORANDUM FOR DEPUTY COMMANDANT, MANPOWER &amp; RESERVE AFFAIRS</w:t>
      </w: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tab/>
        <w:t xml:space="preserve">         COMMANDER, NAVY PERSONNEL COMMAND</w:t>
      </w: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tab/>
        <w:t xml:space="preserve">                          </w:t>
      </w:r>
    </w:p>
    <w:p w:rsidR="00265A80" w:rsidRPr="007C64E9" w:rsidRDefault="00265A80" w:rsidP="00265A80">
      <w:pPr>
        <w:rPr>
          <w:rFonts w:asciiTheme="minorHAnsi" w:hAnsiTheme="minorHAnsi"/>
          <w:color w:val="auto"/>
          <w:szCs w:val="24"/>
        </w:rPr>
      </w:pPr>
      <w:proofErr w:type="spellStart"/>
      <w:r w:rsidRPr="007C64E9">
        <w:rPr>
          <w:rFonts w:asciiTheme="minorHAnsi" w:hAnsiTheme="minorHAnsi"/>
          <w:color w:val="auto"/>
          <w:szCs w:val="24"/>
        </w:rPr>
        <w:t>Subj</w:t>
      </w:r>
      <w:proofErr w:type="spellEnd"/>
      <w:r w:rsidRPr="007C64E9">
        <w:rPr>
          <w:rFonts w:asciiTheme="minorHAnsi" w:hAnsiTheme="minorHAnsi"/>
          <w:color w:val="auto"/>
          <w:szCs w:val="24"/>
        </w:rPr>
        <w:t xml:space="preserve">:  PHYSICAL DISABILITY BOARD OF REVIEW (PDBR) RECOMMENDATIONS          </w:t>
      </w:r>
    </w:p>
    <w:p w:rsidR="00265A80" w:rsidRPr="007C64E9" w:rsidRDefault="00265A80" w:rsidP="00265A80">
      <w:pPr>
        <w:rPr>
          <w:rFonts w:asciiTheme="minorHAnsi" w:hAnsiTheme="minorHAnsi"/>
          <w:color w:val="auto"/>
          <w:szCs w:val="24"/>
        </w:rPr>
      </w:pP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t xml:space="preserve">Ref:   (a) </w:t>
      </w:r>
      <w:proofErr w:type="spellStart"/>
      <w:r w:rsidRPr="007C64E9">
        <w:rPr>
          <w:rFonts w:asciiTheme="minorHAnsi" w:hAnsiTheme="minorHAnsi"/>
          <w:color w:val="auto"/>
          <w:szCs w:val="24"/>
        </w:rPr>
        <w:t>DoDI</w:t>
      </w:r>
      <w:proofErr w:type="spellEnd"/>
      <w:r w:rsidRPr="007C64E9">
        <w:rPr>
          <w:rFonts w:asciiTheme="minorHAnsi" w:hAnsiTheme="minorHAnsi"/>
          <w:color w:val="auto"/>
          <w:szCs w:val="24"/>
        </w:rPr>
        <w:t xml:space="preserve"> 6040.44</w:t>
      </w: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t xml:space="preserve">       (b) PDBR </w:t>
      </w:r>
      <w:proofErr w:type="spellStart"/>
      <w:r w:rsidRPr="007C64E9">
        <w:rPr>
          <w:rFonts w:asciiTheme="minorHAnsi" w:hAnsiTheme="minorHAnsi"/>
          <w:color w:val="auto"/>
          <w:szCs w:val="24"/>
        </w:rPr>
        <w:t>ltr</w:t>
      </w:r>
      <w:proofErr w:type="spellEnd"/>
      <w:r w:rsidRPr="007C64E9">
        <w:rPr>
          <w:rFonts w:asciiTheme="minorHAnsi" w:hAnsiTheme="minorHAnsi"/>
          <w:color w:val="auto"/>
          <w:szCs w:val="24"/>
        </w:rPr>
        <w:t xml:space="preserve"> </w:t>
      </w:r>
      <w:proofErr w:type="spellStart"/>
      <w:r w:rsidRPr="007C64E9">
        <w:rPr>
          <w:rFonts w:asciiTheme="minorHAnsi" w:hAnsiTheme="minorHAnsi"/>
          <w:color w:val="auto"/>
          <w:szCs w:val="24"/>
        </w:rPr>
        <w:t>dtd</w:t>
      </w:r>
      <w:proofErr w:type="spellEnd"/>
      <w:r w:rsidRPr="007C64E9">
        <w:rPr>
          <w:rFonts w:asciiTheme="minorHAnsi" w:hAnsiTheme="minorHAnsi"/>
          <w:color w:val="auto"/>
          <w:szCs w:val="24"/>
        </w:rPr>
        <w:t xml:space="preserve"> 19 Mar 12  </w:t>
      </w: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t xml:space="preserve">       (c) PDBR </w:t>
      </w:r>
      <w:proofErr w:type="spellStart"/>
      <w:r w:rsidRPr="007C64E9">
        <w:rPr>
          <w:rFonts w:asciiTheme="minorHAnsi" w:hAnsiTheme="minorHAnsi"/>
          <w:color w:val="auto"/>
          <w:szCs w:val="24"/>
        </w:rPr>
        <w:t>ltr</w:t>
      </w:r>
      <w:proofErr w:type="spellEnd"/>
      <w:r w:rsidRPr="007C64E9">
        <w:rPr>
          <w:rFonts w:asciiTheme="minorHAnsi" w:hAnsiTheme="minorHAnsi"/>
          <w:color w:val="auto"/>
          <w:szCs w:val="24"/>
        </w:rPr>
        <w:t xml:space="preserve"> </w:t>
      </w:r>
      <w:proofErr w:type="spellStart"/>
      <w:r w:rsidRPr="007C64E9">
        <w:rPr>
          <w:rFonts w:asciiTheme="minorHAnsi" w:hAnsiTheme="minorHAnsi"/>
          <w:color w:val="auto"/>
          <w:szCs w:val="24"/>
        </w:rPr>
        <w:t>dtd</w:t>
      </w:r>
      <w:proofErr w:type="spellEnd"/>
      <w:r w:rsidRPr="007C64E9">
        <w:rPr>
          <w:rFonts w:asciiTheme="minorHAnsi" w:hAnsiTheme="minorHAnsi"/>
          <w:color w:val="auto"/>
          <w:szCs w:val="24"/>
        </w:rPr>
        <w:t xml:space="preserve"> 15 Mar 12  </w:t>
      </w: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t xml:space="preserve">       (d) PDBR </w:t>
      </w:r>
      <w:proofErr w:type="spellStart"/>
      <w:r w:rsidRPr="007C64E9">
        <w:rPr>
          <w:rFonts w:asciiTheme="minorHAnsi" w:hAnsiTheme="minorHAnsi"/>
          <w:color w:val="auto"/>
          <w:szCs w:val="24"/>
        </w:rPr>
        <w:t>ltr</w:t>
      </w:r>
      <w:proofErr w:type="spellEnd"/>
      <w:r w:rsidRPr="007C64E9">
        <w:rPr>
          <w:rFonts w:asciiTheme="minorHAnsi" w:hAnsiTheme="minorHAnsi"/>
          <w:color w:val="auto"/>
          <w:szCs w:val="24"/>
        </w:rPr>
        <w:t xml:space="preserve"> </w:t>
      </w:r>
      <w:proofErr w:type="spellStart"/>
      <w:r w:rsidRPr="007C64E9">
        <w:rPr>
          <w:rFonts w:asciiTheme="minorHAnsi" w:hAnsiTheme="minorHAnsi"/>
          <w:color w:val="auto"/>
          <w:szCs w:val="24"/>
        </w:rPr>
        <w:t>dtd</w:t>
      </w:r>
      <w:proofErr w:type="spellEnd"/>
      <w:r w:rsidRPr="007C64E9">
        <w:rPr>
          <w:rFonts w:asciiTheme="minorHAnsi" w:hAnsiTheme="minorHAnsi"/>
          <w:color w:val="auto"/>
          <w:szCs w:val="24"/>
        </w:rPr>
        <w:t xml:space="preserve"> 22 Mar 12  </w:t>
      </w: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t xml:space="preserve">       (e) PDBR </w:t>
      </w:r>
      <w:proofErr w:type="spellStart"/>
      <w:r w:rsidRPr="007C64E9">
        <w:rPr>
          <w:rFonts w:asciiTheme="minorHAnsi" w:hAnsiTheme="minorHAnsi"/>
          <w:color w:val="auto"/>
          <w:szCs w:val="24"/>
        </w:rPr>
        <w:t>ltr</w:t>
      </w:r>
      <w:proofErr w:type="spellEnd"/>
      <w:r w:rsidRPr="007C64E9">
        <w:rPr>
          <w:rFonts w:asciiTheme="minorHAnsi" w:hAnsiTheme="minorHAnsi"/>
          <w:color w:val="auto"/>
          <w:szCs w:val="24"/>
        </w:rPr>
        <w:t xml:space="preserve"> </w:t>
      </w:r>
      <w:proofErr w:type="spellStart"/>
      <w:r w:rsidRPr="007C64E9">
        <w:rPr>
          <w:rFonts w:asciiTheme="minorHAnsi" w:hAnsiTheme="minorHAnsi"/>
          <w:color w:val="auto"/>
          <w:szCs w:val="24"/>
        </w:rPr>
        <w:t>dtd</w:t>
      </w:r>
      <w:proofErr w:type="spellEnd"/>
      <w:r w:rsidRPr="007C64E9">
        <w:rPr>
          <w:rFonts w:asciiTheme="minorHAnsi" w:hAnsiTheme="minorHAnsi"/>
          <w:color w:val="auto"/>
          <w:szCs w:val="24"/>
        </w:rPr>
        <w:t xml:space="preserve"> 22 Mar 12  </w:t>
      </w: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t xml:space="preserve">          </w:t>
      </w: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t>1.  Pursuant to reference (a) I approve the recommendations of the Physical Disability Board of Review set forth in references (b) through (e).</w:t>
      </w:r>
    </w:p>
    <w:p w:rsidR="00265A80" w:rsidRPr="007C64E9" w:rsidRDefault="00265A80" w:rsidP="00265A80">
      <w:pPr>
        <w:rPr>
          <w:rFonts w:asciiTheme="minorHAnsi" w:hAnsiTheme="minorHAnsi"/>
          <w:color w:val="auto"/>
          <w:szCs w:val="24"/>
        </w:rPr>
      </w:pP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t>2.  The official records of the following individuals are to be corrected to reflect the stated disposition:</w:t>
      </w:r>
    </w:p>
    <w:p w:rsidR="00265A80" w:rsidRPr="007C64E9" w:rsidRDefault="00265A80" w:rsidP="00265A80">
      <w:pPr>
        <w:rPr>
          <w:rFonts w:asciiTheme="minorHAnsi" w:hAnsiTheme="minorHAnsi"/>
          <w:color w:val="auto"/>
          <w:szCs w:val="24"/>
        </w:rPr>
      </w:pP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t xml:space="preserve">    a.  </w:t>
      </w:r>
      <w:r w:rsidRPr="007C64E9">
        <w:rPr>
          <w:rFonts w:asciiTheme="minorHAnsi" w:hAnsiTheme="minorHAnsi"/>
          <w:color w:val="auto"/>
          <w:szCs w:val="24"/>
          <w:u w:val="single"/>
        </w:rPr>
        <w:t xml:space="preserve"> </w:t>
      </w:r>
      <w:r w:rsidRPr="007C64E9">
        <w:rPr>
          <w:rFonts w:asciiTheme="minorHAnsi" w:hAnsiTheme="minorHAnsi"/>
          <w:color w:val="auto"/>
          <w:szCs w:val="24"/>
        </w:rPr>
        <w:t>Placement on the Temporary Disability Retired List with a 70 percent disability rating for the period 31 August 2005 through 27 February 2006 followed by placement on the Permanent Disability Retired List with a final rating of 50 percent effective 28 February 2006.</w:t>
      </w:r>
    </w:p>
    <w:p w:rsidR="00265A80" w:rsidRPr="007C64E9" w:rsidRDefault="00265A80" w:rsidP="00265A80">
      <w:pPr>
        <w:rPr>
          <w:rFonts w:asciiTheme="minorHAnsi" w:hAnsiTheme="minorHAnsi"/>
          <w:color w:val="auto"/>
          <w:szCs w:val="24"/>
          <w:u w:val="single"/>
        </w:rPr>
      </w:pP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t xml:space="preserve">    b.  </w:t>
      </w:r>
      <w:r w:rsidRPr="007C64E9">
        <w:rPr>
          <w:rFonts w:asciiTheme="minorHAnsi" w:hAnsiTheme="minorHAnsi"/>
          <w:color w:val="auto"/>
          <w:szCs w:val="24"/>
          <w:u w:val="single"/>
        </w:rPr>
        <w:t xml:space="preserve"> </w:t>
      </w:r>
      <w:r w:rsidRPr="007C64E9">
        <w:rPr>
          <w:rFonts w:asciiTheme="minorHAnsi" w:hAnsiTheme="minorHAnsi"/>
          <w:color w:val="auto"/>
          <w:szCs w:val="24"/>
        </w:rPr>
        <w:t>Placement on the Temporary Disability Retired List with 60 percent disability rating for the period 5 August 2008 through 4 February 2009 followed by assignment to the Permanent Disability Retired List with a 40 percent disability rating effective 5 February 2009.</w:t>
      </w: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tab/>
      </w: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t xml:space="preserve">    c.  </w:t>
      </w:r>
      <w:r w:rsidRPr="007C64E9">
        <w:rPr>
          <w:rFonts w:asciiTheme="minorHAnsi" w:hAnsiTheme="minorHAnsi"/>
          <w:color w:val="auto"/>
          <w:szCs w:val="24"/>
          <w:u w:val="single"/>
        </w:rPr>
        <w:t xml:space="preserve"> </w:t>
      </w:r>
      <w:r w:rsidRPr="007C64E9">
        <w:rPr>
          <w:rFonts w:asciiTheme="minorHAnsi" w:hAnsiTheme="minorHAnsi"/>
          <w:color w:val="auto"/>
          <w:szCs w:val="24"/>
        </w:rPr>
        <w:t>Disability separation with entitlement to disability severance pay with a rating of 20 percent (increased from 10 percent) effective 30 April 2002.</w:t>
      </w:r>
    </w:p>
    <w:p w:rsidR="00265A80" w:rsidRPr="007C64E9" w:rsidRDefault="00265A80" w:rsidP="00265A80">
      <w:pPr>
        <w:rPr>
          <w:rFonts w:asciiTheme="minorHAnsi" w:hAnsiTheme="minorHAnsi"/>
          <w:color w:val="auto"/>
          <w:szCs w:val="24"/>
        </w:rPr>
      </w:pP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t xml:space="preserve">    d.  </w:t>
      </w:r>
      <w:r w:rsidRPr="007C64E9">
        <w:rPr>
          <w:rFonts w:asciiTheme="minorHAnsi" w:hAnsiTheme="minorHAnsi"/>
          <w:color w:val="auto"/>
          <w:szCs w:val="24"/>
          <w:u w:val="single"/>
        </w:rPr>
        <w:t xml:space="preserve"> </w:t>
      </w:r>
      <w:r w:rsidRPr="007C64E9">
        <w:rPr>
          <w:rFonts w:asciiTheme="minorHAnsi" w:hAnsiTheme="minorHAnsi"/>
          <w:color w:val="auto"/>
          <w:szCs w:val="24"/>
        </w:rPr>
        <w:t>Disability separation with entitlement to disability severance pay with a rating of 10 percent (increased from zero percent) effective 18 January 2002.</w:t>
      </w:r>
    </w:p>
    <w:p w:rsidR="00265A80" w:rsidRPr="007C64E9" w:rsidRDefault="00265A80" w:rsidP="00265A80">
      <w:pPr>
        <w:rPr>
          <w:rFonts w:asciiTheme="minorHAnsi" w:hAnsiTheme="minorHAnsi"/>
          <w:color w:val="auto"/>
          <w:szCs w:val="24"/>
        </w:rPr>
      </w:pPr>
    </w:p>
    <w:p w:rsidR="00265A80" w:rsidRPr="007C64E9" w:rsidRDefault="00265A80" w:rsidP="00265A80">
      <w:pPr>
        <w:rPr>
          <w:rFonts w:asciiTheme="minorHAnsi" w:hAnsiTheme="minorHAnsi"/>
          <w:color w:val="auto"/>
          <w:szCs w:val="24"/>
        </w:rPr>
      </w:pPr>
      <w:r w:rsidRPr="007C64E9">
        <w:rPr>
          <w:rFonts w:asciiTheme="minorHAnsi" w:hAnsiTheme="minorHAnsi"/>
          <w:color w:val="auto"/>
          <w:szCs w:val="24"/>
        </w:rPr>
        <w:t>3.  Please ensure all necessary actions are taken to implement these decisions, including the recoupment of disability severance pay, if warranted, and notification to the subject members once those actions are completed.</w:t>
      </w:r>
    </w:p>
    <w:p w:rsidR="00265A80" w:rsidRPr="007C64E9" w:rsidRDefault="00265A80" w:rsidP="00265A80">
      <w:pPr>
        <w:rPr>
          <w:rFonts w:asciiTheme="minorHAnsi" w:hAnsiTheme="minorHAnsi"/>
          <w:color w:val="auto"/>
          <w:szCs w:val="24"/>
        </w:rPr>
      </w:pPr>
    </w:p>
    <w:p w:rsidR="00265A80" w:rsidRPr="007C64E9" w:rsidRDefault="00265A80" w:rsidP="00265A80">
      <w:pPr>
        <w:rPr>
          <w:rFonts w:asciiTheme="minorHAnsi" w:hAnsiTheme="minorHAnsi"/>
          <w:color w:val="auto"/>
          <w:szCs w:val="24"/>
        </w:rPr>
      </w:pPr>
    </w:p>
    <w:p w:rsidR="00265A80" w:rsidRPr="007C64E9" w:rsidRDefault="00265A80" w:rsidP="00265A80">
      <w:pPr>
        <w:rPr>
          <w:rFonts w:asciiTheme="minorHAnsi" w:hAnsiTheme="minorHAnsi"/>
          <w:color w:val="auto"/>
          <w:szCs w:val="24"/>
        </w:rPr>
      </w:pPr>
    </w:p>
    <w:p w:rsidR="00265A80" w:rsidRPr="007C64E9" w:rsidRDefault="00265A80" w:rsidP="00265A80">
      <w:pPr>
        <w:tabs>
          <w:tab w:val="left" w:pos="4680"/>
        </w:tabs>
        <w:rPr>
          <w:rFonts w:asciiTheme="minorHAnsi" w:hAnsiTheme="minorHAnsi"/>
          <w:color w:val="auto"/>
          <w:szCs w:val="24"/>
        </w:rPr>
      </w:pPr>
      <w:r w:rsidRPr="007C64E9">
        <w:rPr>
          <w:rFonts w:asciiTheme="minorHAnsi" w:hAnsiTheme="minorHAnsi"/>
          <w:color w:val="auto"/>
          <w:szCs w:val="24"/>
        </w:rPr>
        <w:t xml:space="preserve"> </w:t>
      </w:r>
    </w:p>
    <w:p w:rsidR="00265A80" w:rsidRPr="007C64E9" w:rsidRDefault="00265A80" w:rsidP="00265A80">
      <w:pPr>
        <w:tabs>
          <w:tab w:val="left" w:pos="4680"/>
        </w:tabs>
        <w:rPr>
          <w:rFonts w:asciiTheme="minorHAnsi" w:hAnsiTheme="minorHAnsi"/>
          <w:color w:val="auto"/>
          <w:szCs w:val="24"/>
        </w:rPr>
      </w:pPr>
      <w:r w:rsidRPr="007C64E9">
        <w:rPr>
          <w:rFonts w:asciiTheme="minorHAnsi" w:hAnsiTheme="minorHAnsi"/>
          <w:color w:val="auto"/>
          <w:szCs w:val="24"/>
        </w:rPr>
        <w:tab/>
        <w:t>Assistant General Counsel</w:t>
      </w:r>
    </w:p>
    <w:p w:rsidR="00265A80" w:rsidRPr="007C64E9" w:rsidRDefault="00265A80" w:rsidP="00265A80">
      <w:pPr>
        <w:tabs>
          <w:tab w:val="left" w:pos="4680"/>
        </w:tabs>
        <w:rPr>
          <w:rFonts w:asciiTheme="minorHAnsi" w:hAnsiTheme="minorHAnsi"/>
          <w:color w:val="auto"/>
          <w:szCs w:val="24"/>
        </w:rPr>
      </w:pPr>
      <w:r w:rsidRPr="007C64E9">
        <w:rPr>
          <w:rFonts w:asciiTheme="minorHAnsi" w:hAnsiTheme="minorHAnsi"/>
          <w:color w:val="auto"/>
          <w:szCs w:val="24"/>
        </w:rPr>
        <w:tab/>
        <w:t xml:space="preserve">  (Manpower &amp; Reserve Affairs)</w:t>
      </w:r>
    </w:p>
    <w:p w:rsidR="008E3C90" w:rsidRPr="004A2C92" w:rsidRDefault="008E3C90" w:rsidP="004A2C92">
      <w:pPr>
        <w:tabs>
          <w:tab w:val="left" w:pos="0"/>
          <w:tab w:val="left" w:pos="4320"/>
        </w:tabs>
        <w:jc w:val="both"/>
        <w:rPr>
          <w:color w:val="000000" w:themeColor="text1"/>
          <w:szCs w:val="24"/>
        </w:rPr>
      </w:pPr>
    </w:p>
    <w:p w:rsidR="00265A80" w:rsidRPr="004A2C92" w:rsidRDefault="00265A80">
      <w:pPr>
        <w:tabs>
          <w:tab w:val="left" w:pos="0"/>
          <w:tab w:val="left" w:pos="4320"/>
        </w:tabs>
        <w:jc w:val="both"/>
        <w:rPr>
          <w:color w:val="000000" w:themeColor="text1"/>
          <w:szCs w:val="24"/>
        </w:rPr>
      </w:pPr>
    </w:p>
    <w:sectPr w:rsidR="00265A80" w:rsidRPr="004A2C92"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86D" w:rsidRDefault="0070086D">
      <w:r>
        <w:separator/>
      </w:r>
    </w:p>
  </w:endnote>
  <w:endnote w:type="continuationSeparator" w:id="0">
    <w:p w:rsidR="0070086D" w:rsidRDefault="007008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D34025" w:rsidRPr="00374247" w:rsidRDefault="00D34025" w:rsidP="00374247">
        <w:pPr>
          <w:pStyle w:val="Footer"/>
          <w:ind w:firstLine="4320"/>
          <w:rPr>
            <w:color w:val="auto"/>
            <w:szCs w:val="24"/>
          </w:rPr>
        </w:pPr>
        <w:r w:rsidRPr="00374247">
          <w:rPr>
            <w:color w:val="auto"/>
            <w:szCs w:val="24"/>
          </w:rPr>
          <w:t xml:space="preserve">   </w:t>
        </w:r>
        <w:r w:rsidR="00F02243" w:rsidRPr="00374247">
          <w:rPr>
            <w:color w:val="auto"/>
            <w:szCs w:val="24"/>
          </w:rPr>
          <w:fldChar w:fldCharType="begin"/>
        </w:r>
        <w:r w:rsidRPr="00374247">
          <w:rPr>
            <w:color w:val="auto"/>
            <w:szCs w:val="24"/>
          </w:rPr>
          <w:instrText xml:space="preserve"> PAGE   \* MERGEFORMAT </w:instrText>
        </w:r>
        <w:r w:rsidR="00F02243" w:rsidRPr="00374247">
          <w:rPr>
            <w:color w:val="auto"/>
            <w:szCs w:val="24"/>
          </w:rPr>
          <w:fldChar w:fldCharType="separate"/>
        </w:r>
        <w:r w:rsidR="00265A80" w:rsidRPr="00265A80">
          <w:rPr>
            <w:noProof/>
            <w:color w:val="auto"/>
          </w:rPr>
          <w:t>4</w:t>
        </w:r>
        <w:r w:rsidR="00F02243"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100498</w:t>
        </w:r>
      </w:p>
    </w:sdtContent>
  </w:sdt>
  <w:p w:rsidR="00D34025" w:rsidRPr="00684CE6" w:rsidRDefault="00D3402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86D" w:rsidRDefault="0070086D">
      <w:r>
        <w:separator/>
      </w:r>
    </w:p>
  </w:footnote>
  <w:footnote w:type="continuationSeparator" w:id="0">
    <w:p w:rsidR="0070086D" w:rsidRDefault="007008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206C9"/>
    <w:multiLevelType w:val="hybridMultilevel"/>
    <w:tmpl w:val="F888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C240A"/>
    <w:multiLevelType w:val="hybridMultilevel"/>
    <w:tmpl w:val="7DFA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2"/>
  </w:num>
  <w:num w:numId="4">
    <w:abstractNumId w:val="7"/>
  </w:num>
  <w:num w:numId="5">
    <w:abstractNumId w:val="4"/>
  </w:num>
  <w:num w:numId="6">
    <w:abstractNumId w:val="9"/>
  </w:num>
  <w:num w:numId="7">
    <w:abstractNumId w:val="0"/>
  </w:num>
  <w:num w:numId="8">
    <w:abstractNumId w:val="6"/>
  </w:num>
  <w:num w:numId="9">
    <w:abstractNumId w:val="19"/>
  </w:num>
  <w:num w:numId="10">
    <w:abstractNumId w:val="12"/>
  </w:num>
  <w:num w:numId="11">
    <w:abstractNumId w:val="5"/>
  </w:num>
  <w:num w:numId="12">
    <w:abstractNumId w:val="16"/>
  </w:num>
  <w:num w:numId="13">
    <w:abstractNumId w:val="8"/>
  </w:num>
  <w:num w:numId="14">
    <w:abstractNumId w:val="18"/>
  </w:num>
  <w:num w:numId="15">
    <w:abstractNumId w:val="23"/>
  </w:num>
  <w:num w:numId="16">
    <w:abstractNumId w:val="1"/>
  </w:num>
  <w:num w:numId="17">
    <w:abstractNumId w:val="21"/>
  </w:num>
  <w:num w:numId="18">
    <w:abstractNumId w:val="11"/>
  </w:num>
  <w:num w:numId="19">
    <w:abstractNumId w:val="15"/>
  </w:num>
  <w:num w:numId="20">
    <w:abstractNumId w:val="20"/>
  </w:num>
  <w:num w:numId="21">
    <w:abstractNumId w:val="17"/>
  </w:num>
  <w:num w:numId="22">
    <w:abstractNumId w:val="2"/>
  </w:num>
  <w:num w:numId="23">
    <w:abstractNumId w:val="1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065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17EF7"/>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6223"/>
    <w:rsid w:val="00036E4B"/>
    <w:rsid w:val="00037929"/>
    <w:rsid w:val="000379D0"/>
    <w:rsid w:val="00040FC4"/>
    <w:rsid w:val="000416F8"/>
    <w:rsid w:val="00042C26"/>
    <w:rsid w:val="00043382"/>
    <w:rsid w:val="00044623"/>
    <w:rsid w:val="000452D7"/>
    <w:rsid w:val="0004687A"/>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5E3"/>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3677"/>
    <w:rsid w:val="0012453A"/>
    <w:rsid w:val="0012489B"/>
    <w:rsid w:val="00124B1A"/>
    <w:rsid w:val="001272AE"/>
    <w:rsid w:val="00130756"/>
    <w:rsid w:val="001315DD"/>
    <w:rsid w:val="0013525F"/>
    <w:rsid w:val="00135385"/>
    <w:rsid w:val="00136204"/>
    <w:rsid w:val="001364D1"/>
    <w:rsid w:val="001368CE"/>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122"/>
    <w:rsid w:val="0015623F"/>
    <w:rsid w:val="00156585"/>
    <w:rsid w:val="00156BA9"/>
    <w:rsid w:val="00161642"/>
    <w:rsid w:val="00161761"/>
    <w:rsid w:val="00166182"/>
    <w:rsid w:val="001665A7"/>
    <w:rsid w:val="00166D1A"/>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89A"/>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51AB"/>
    <w:rsid w:val="0021548C"/>
    <w:rsid w:val="0021588B"/>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505B"/>
    <w:rsid w:val="00265A80"/>
    <w:rsid w:val="002660AF"/>
    <w:rsid w:val="00267130"/>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0BC5"/>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190"/>
    <w:rsid w:val="002B7710"/>
    <w:rsid w:val="002B7E4D"/>
    <w:rsid w:val="002C0DEA"/>
    <w:rsid w:val="002C2796"/>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1121"/>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2BD"/>
    <w:rsid w:val="00376A07"/>
    <w:rsid w:val="00376B81"/>
    <w:rsid w:val="00376E08"/>
    <w:rsid w:val="003775A9"/>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126"/>
    <w:rsid w:val="003E46D1"/>
    <w:rsid w:val="003E54A6"/>
    <w:rsid w:val="003E6214"/>
    <w:rsid w:val="003F070E"/>
    <w:rsid w:val="003F1206"/>
    <w:rsid w:val="003F2418"/>
    <w:rsid w:val="003F28DB"/>
    <w:rsid w:val="003F2EEE"/>
    <w:rsid w:val="003F5652"/>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34A"/>
    <w:rsid w:val="00421485"/>
    <w:rsid w:val="004216DA"/>
    <w:rsid w:val="00421DEA"/>
    <w:rsid w:val="00421F15"/>
    <w:rsid w:val="00422B75"/>
    <w:rsid w:val="00424612"/>
    <w:rsid w:val="0042528C"/>
    <w:rsid w:val="00425672"/>
    <w:rsid w:val="00425A6A"/>
    <w:rsid w:val="00426A23"/>
    <w:rsid w:val="00427C7F"/>
    <w:rsid w:val="00427F54"/>
    <w:rsid w:val="004316FD"/>
    <w:rsid w:val="00433F36"/>
    <w:rsid w:val="00434860"/>
    <w:rsid w:val="00434BBD"/>
    <w:rsid w:val="0043503A"/>
    <w:rsid w:val="0043546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4F2F"/>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078"/>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2C92"/>
    <w:rsid w:val="004A3214"/>
    <w:rsid w:val="004A4136"/>
    <w:rsid w:val="004A417B"/>
    <w:rsid w:val="004A4378"/>
    <w:rsid w:val="004A712D"/>
    <w:rsid w:val="004A7C03"/>
    <w:rsid w:val="004B03F3"/>
    <w:rsid w:val="004B0CC9"/>
    <w:rsid w:val="004B2536"/>
    <w:rsid w:val="004B3818"/>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6AE2"/>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436"/>
    <w:rsid w:val="00534D42"/>
    <w:rsid w:val="005350A5"/>
    <w:rsid w:val="00536379"/>
    <w:rsid w:val="00537238"/>
    <w:rsid w:val="005400C5"/>
    <w:rsid w:val="005404CD"/>
    <w:rsid w:val="00540BE0"/>
    <w:rsid w:val="00540BEF"/>
    <w:rsid w:val="00542B34"/>
    <w:rsid w:val="00542C9A"/>
    <w:rsid w:val="005436C2"/>
    <w:rsid w:val="005442D4"/>
    <w:rsid w:val="0054500B"/>
    <w:rsid w:val="0054586A"/>
    <w:rsid w:val="0054631F"/>
    <w:rsid w:val="00546C24"/>
    <w:rsid w:val="005471BA"/>
    <w:rsid w:val="00547BDA"/>
    <w:rsid w:val="00547BE6"/>
    <w:rsid w:val="0055034F"/>
    <w:rsid w:val="00550476"/>
    <w:rsid w:val="0055288D"/>
    <w:rsid w:val="00555259"/>
    <w:rsid w:val="00555C66"/>
    <w:rsid w:val="00556460"/>
    <w:rsid w:val="005569EF"/>
    <w:rsid w:val="00556BDE"/>
    <w:rsid w:val="00560D57"/>
    <w:rsid w:val="00562A94"/>
    <w:rsid w:val="005631F9"/>
    <w:rsid w:val="00563FAD"/>
    <w:rsid w:val="00564918"/>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A85"/>
    <w:rsid w:val="00597E16"/>
    <w:rsid w:val="005A0B1D"/>
    <w:rsid w:val="005A10C3"/>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07D"/>
    <w:rsid w:val="005C3758"/>
    <w:rsid w:val="005C4D72"/>
    <w:rsid w:val="005C50C1"/>
    <w:rsid w:val="005C62C2"/>
    <w:rsid w:val="005D2306"/>
    <w:rsid w:val="005D2562"/>
    <w:rsid w:val="005D2666"/>
    <w:rsid w:val="005D3C1B"/>
    <w:rsid w:val="005D4548"/>
    <w:rsid w:val="005D4A74"/>
    <w:rsid w:val="005D5E91"/>
    <w:rsid w:val="005D67EF"/>
    <w:rsid w:val="005E175F"/>
    <w:rsid w:val="005E3064"/>
    <w:rsid w:val="005E3F0C"/>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1CCD"/>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C0B"/>
    <w:rsid w:val="00665D75"/>
    <w:rsid w:val="006708E3"/>
    <w:rsid w:val="00670DDC"/>
    <w:rsid w:val="00671389"/>
    <w:rsid w:val="00671EB4"/>
    <w:rsid w:val="00673CDC"/>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41DD"/>
    <w:rsid w:val="006E58CB"/>
    <w:rsid w:val="006E6B68"/>
    <w:rsid w:val="006E7356"/>
    <w:rsid w:val="006E77C8"/>
    <w:rsid w:val="006F0F9C"/>
    <w:rsid w:val="006F149D"/>
    <w:rsid w:val="006F1A46"/>
    <w:rsid w:val="006F45A0"/>
    <w:rsid w:val="006F4F06"/>
    <w:rsid w:val="006F5A4E"/>
    <w:rsid w:val="006F5D37"/>
    <w:rsid w:val="006F6005"/>
    <w:rsid w:val="007005EA"/>
    <w:rsid w:val="0070086D"/>
    <w:rsid w:val="0070220D"/>
    <w:rsid w:val="00703B6C"/>
    <w:rsid w:val="00703BB0"/>
    <w:rsid w:val="00703E28"/>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B00"/>
    <w:rsid w:val="00784EA0"/>
    <w:rsid w:val="00785D77"/>
    <w:rsid w:val="00786111"/>
    <w:rsid w:val="00790963"/>
    <w:rsid w:val="00790BEE"/>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1FCA"/>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1B1"/>
    <w:rsid w:val="007D3882"/>
    <w:rsid w:val="007D39E4"/>
    <w:rsid w:val="007D3CE3"/>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2D51"/>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5633"/>
    <w:rsid w:val="00816CCB"/>
    <w:rsid w:val="00817572"/>
    <w:rsid w:val="00817713"/>
    <w:rsid w:val="00817F53"/>
    <w:rsid w:val="008208C3"/>
    <w:rsid w:val="008220F1"/>
    <w:rsid w:val="0082340B"/>
    <w:rsid w:val="0082382C"/>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4F5"/>
    <w:rsid w:val="00840621"/>
    <w:rsid w:val="00841243"/>
    <w:rsid w:val="00841457"/>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46B"/>
    <w:rsid w:val="00860869"/>
    <w:rsid w:val="00860E60"/>
    <w:rsid w:val="0086102A"/>
    <w:rsid w:val="0086162B"/>
    <w:rsid w:val="00861710"/>
    <w:rsid w:val="00861D5C"/>
    <w:rsid w:val="00861E7C"/>
    <w:rsid w:val="008638F1"/>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0ED6"/>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B7DEC"/>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B95"/>
    <w:rsid w:val="008E1E94"/>
    <w:rsid w:val="008E2D99"/>
    <w:rsid w:val="008E30D4"/>
    <w:rsid w:val="008E38B0"/>
    <w:rsid w:val="008E3C90"/>
    <w:rsid w:val="008E4A60"/>
    <w:rsid w:val="008E744D"/>
    <w:rsid w:val="008F1E08"/>
    <w:rsid w:val="008F30F4"/>
    <w:rsid w:val="008F47E8"/>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5913"/>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170"/>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4D9"/>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54F3"/>
    <w:rsid w:val="00A06F66"/>
    <w:rsid w:val="00A0798C"/>
    <w:rsid w:val="00A07BDD"/>
    <w:rsid w:val="00A07F12"/>
    <w:rsid w:val="00A1105B"/>
    <w:rsid w:val="00A1213C"/>
    <w:rsid w:val="00A130E8"/>
    <w:rsid w:val="00A15B6B"/>
    <w:rsid w:val="00A15BC6"/>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31A"/>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59C5"/>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82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14E"/>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5241"/>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77E04"/>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17B2"/>
    <w:rsid w:val="00CF2166"/>
    <w:rsid w:val="00CF4340"/>
    <w:rsid w:val="00CF4394"/>
    <w:rsid w:val="00CF48B4"/>
    <w:rsid w:val="00CF5C12"/>
    <w:rsid w:val="00CF7967"/>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4025"/>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9ED"/>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D8E"/>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43A8"/>
    <w:rsid w:val="00E362D2"/>
    <w:rsid w:val="00E36D76"/>
    <w:rsid w:val="00E40478"/>
    <w:rsid w:val="00E405EA"/>
    <w:rsid w:val="00E408B7"/>
    <w:rsid w:val="00E412EB"/>
    <w:rsid w:val="00E41637"/>
    <w:rsid w:val="00E41D74"/>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211"/>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3E5A"/>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6E4"/>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243"/>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27500"/>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1A8F"/>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3D3B"/>
    <w:rsid w:val="00FC4284"/>
    <w:rsid w:val="00FC4576"/>
    <w:rsid w:val="00FC5FF5"/>
    <w:rsid w:val="00FC6285"/>
    <w:rsid w:val="00FC78FB"/>
    <w:rsid w:val="00FC7DBC"/>
    <w:rsid w:val="00FD076A"/>
    <w:rsid w:val="00FD0AA0"/>
    <w:rsid w:val="00FD1D5A"/>
    <w:rsid w:val="00FD1E4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D838-01AE-4390-88FD-F0320761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4</cp:revision>
  <cp:lastPrinted>2012-03-16T01:59:00Z</cp:lastPrinted>
  <dcterms:created xsi:type="dcterms:W3CDTF">2012-03-19T15:12:00Z</dcterms:created>
  <dcterms:modified xsi:type="dcterms:W3CDTF">2012-04-30T15:59:00Z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-339102201</vt:i4>
  </property>
</Properties>
</file>