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7750D" w:rsidRDefault="00540BEF" w:rsidP="00FD261A">
      <w:pPr>
        <w:rPr>
          <w:color w:val="auto"/>
        </w:rPr>
      </w:pPr>
      <w:r w:rsidRPr="0097750D">
        <w:rPr>
          <w:color w:val="auto"/>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426505" w:rsidRDefault="00426505" w:rsidP="00426505">
      <w:pPr>
        <w:pBdr>
          <w:bottom w:val="single" w:sz="12" w:space="1" w:color="auto"/>
        </w:pBdr>
        <w:tabs>
          <w:tab w:val="left" w:pos="288"/>
          <w:tab w:val="left" w:pos="6390"/>
        </w:tabs>
        <w:jc w:val="left"/>
        <w:rPr>
          <w:caps/>
          <w:color w:val="000000" w:themeColor="text1"/>
        </w:rPr>
      </w:pPr>
      <w:r w:rsidRPr="00426505">
        <w:rPr>
          <w:caps/>
          <w:color w:val="000000" w:themeColor="text1"/>
        </w:rPr>
        <w:t xml:space="preserve">NAME: </w:t>
      </w:r>
      <w:r w:rsidR="00AC4A9C">
        <w:rPr>
          <w:caps/>
          <w:color w:val="000000" w:themeColor="text1"/>
        </w:rPr>
        <w:t xml:space="preserve"> </w:t>
      </w:r>
      <w:r>
        <w:rPr>
          <w:caps/>
          <w:color w:val="000000" w:themeColor="text1"/>
        </w:rPr>
        <w:tab/>
      </w:r>
      <w:r w:rsidRPr="00426505">
        <w:rPr>
          <w:caps/>
          <w:color w:val="000000" w:themeColor="text1"/>
        </w:rPr>
        <w:t xml:space="preserve">BRANCH OF SERVICE: Army                                                         </w:t>
      </w:r>
    </w:p>
    <w:p w:rsidR="00426505" w:rsidRDefault="00426505" w:rsidP="00426505">
      <w:pPr>
        <w:pBdr>
          <w:bottom w:val="single" w:sz="12" w:space="1" w:color="auto"/>
        </w:pBdr>
        <w:tabs>
          <w:tab w:val="left" w:pos="288"/>
          <w:tab w:val="left" w:pos="6390"/>
        </w:tabs>
        <w:jc w:val="left"/>
        <w:rPr>
          <w:caps/>
          <w:color w:val="000000" w:themeColor="text1"/>
        </w:rPr>
      </w:pPr>
      <w:r w:rsidRPr="00426505">
        <w:rPr>
          <w:caps/>
          <w:color w:val="000000" w:themeColor="text1"/>
        </w:rPr>
        <w:t>CASE NUMBER:  PD1100497</w:t>
      </w:r>
      <w:r>
        <w:rPr>
          <w:caps/>
          <w:color w:val="000000" w:themeColor="text1"/>
        </w:rPr>
        <w:tab/>
      </w:r>
      <w:r w:rsidRPr="00426505">
        <w:rPr>
          <w:caps/>
          <w:color w:val="000000" w:themeColor="text1"/>
        </w:rPr>
        <w:t>SEPARATION DATE:</w:t>
      </w:r>
      <w:r>
        <w:rPr>
          <w:caps/>
          <w:color w:val="000000" w:themeColor="text1"/>
        </w:rPr>
        <w:t xml:space="preserve"> </w:t>
      </w:r>
      <w:r w:rsidRPr="00426505">
        <w:rPr>
          <w:caps/>
          <w:color w:val="000000" w:themeColor="text1"/>
        </w:rPr>
        <w:t>20040920</w:t>
      </w:r>
    </w:p>
    <w:p w:rsidR="00426505" w:rsidRPr="00426505" w:rsidRDefault="0097750D" w:rsidP="00426505">
      <w:pPr>
        <w:pBdr>
          <w:bottom w:val="single" w:sz="12" w:space="1" w:color="auto"/>
        </w:pBdr>
        <w:tabs>
          <w:tab w:val="left" w:pos="288"/>
          <w:tab w:val="left" w:pos="2700"/>
        </w:tabs>
        <w:jc w:val="both"/>
        <w:rPr>
          <w:caps/>
          <w:color w:val="000000" w:themeColor="text1"/>
        </w:rPr>
      </w:pPr>
      <w:r>
        <w:rPr>
          <w:caps/>
          <w:color w:val="000000" w:themeColor="text1"/>
        </w:rPr>
        <w:t>BOARD DATE:  2012</w:t>
      </w:r>
      <w:r w:rsidR="000143CB">
        <w:rPr>
          <w:caps/>
          <w:color w:val="000000" w:themeColor="text1"/>
        </w:rPr>
        <w:t>0201</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426505">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426505" w:rsidRPr="00426505">
        <w:rPr>
          <w:color w:val="000000" w:themeColor="text1"/>
        </w:rPr>
        <w:t>Data extracted from the available evidence of record reflects that this covered individual (CI) was an active duty member, SFC/E7 (63H</w:t>
      </w:r>
      <w:r w:rsidR="00426505">
        <w:rPr>
          <w:color w:val="000000" w:themeColor="text1"/>
        </w:rPr>
        <w:t xml:space="preserve">, </w:t>
      </w:r>
      <w:r w:rsidR="00426505" w:rsidRPr="00426505">
        <w:rPr>
          <w:color w:val="000000" w:themeColor="text1"/>
        </w:rPr>
        <w:t xml:space="preserve">Track Vehicle Repairer), medically separated for </w:t>
      </w:r>
      <w:r w:rsidR="0097750D">
        <w:rPr>
          <w:color w:val="000000" w:themeColor="text1"/>
        </w:rPr>
        <w:t>a lumbar spine condition</w:t>
      </w:r>
      <w:r w:rsidR="00426505" w:rsidRPr="00426505">
        <w:rPr>
          <w:i/>
          <w:color w:val="000000" w:themeColor="text1"/>
        </w:rPr>
        <w:t>.</w:t>
      </w:r>
      <w:r w:rsidR="00426505" w:rsidRPr="00426505">
        <w:rPr>
          <w:color w:val="000000" w:themeColor="text1"/>
        </w:rPr>
        <w:t xml:space="preserve">  </w:t>
      </w:r>
      <w:r w:rsidR="00C24CA7">
        <w:rPr>
          <w:color w:val="000000" w:themeColor="text1"/>
        </w:rPr>
        <w:t>In 2004 the CI</w:t>
      </w:r>
      <w:r w:rsidR="00426505" w:rsidRPr="00426505">
        <w:rPr>
          <w:color w:val="000000" w:themeColor="text1"/>
        </w:rPr>
        <w:t xml:space="preserve"> </w:t>
      </w:r>
      <w:r w:rsidR="0097750D">
        <w:rPr>
          <w:color w:val="000000" w:themeColor="text1"/>
        </w:rPr>
        <w:t xml:space="preserve">experienced an </w:t>
      </w:r>
      <w:r w:rsidR="00050677">
        <w:rPr>
          <w:color w:val="000000" w:themeColor="text1"/>
        </w:rPr>
        <w:t xml:space="preserve">onset of back pain </w:t>
      </w:r>
      <w:r w:rsidR="0097750D">
        <w:rPr>
          <w:color w:val="000000" w:themeColor="text1"/>
        </w:rPr>
        <w:t>with</w:t>
      </w:r>
      <w:r w:rsidR="00C24CA7">
        <w:rPr>
          <w:color w:val="000000" w:themeColor="text1"/>
        </w:rPr>
        <w:t xml:space="preserve"> lifting; and was diagnosed with </w:t>
      </w:r>
      <w:r w:rsidR="005C4018">
        <w:rPr>
          <w:color w:val="000000" w:themeColor="text1"/>
        </w:rPr>
        <w:t>Scheuermann's d</w:t>
      </w:r>
      <w:r w:rsidR="00C24CA7" w:rsidRPr="00426505">
        <w:rPr>
          <w:color w:val="000000" w:themeColor="text1"/>
        </w:rPr>
        <w:t>isease</w:t>
      </w:r>
      <w:r w:rsidR="00C24CA7">
        <w:rPr>
          <w:color w:val="000000" w:themeColor="text1"/>
        </w:rPr>
        <w:t xml:space="preserve"> (acquired abnormal curvature, i.e., kyphosis) of the lumbar spine.</w:t>
      </w:r>
      <w:r w:rsidR="00050677">
        <w:rPr>
          <w:color w:val="000000" w:themeColor="text1"/>
        </w:rPr>
        <w:t xml:space="preserve"> </w:t>
      </w:r>
      <w:r w:rsidR="00C24CA7">
        <w:rPr>
          <w:color w:val="000000" w:themeColor="text1"/>
        </w:rPr>
        <w:t xml:space="preserve">  The condition was not operative; and, </w:t>
      </w:r>
      <w:r w:rsidR="00050677">
        <w:rPr>
          <w:color w:val="000000" w:themeColor="text1"/>
        </w:rPr>
        <w:t>despite extensive conservative therapy</w:t>
      </w:r>
      <w:r w:rsidR="00C24CA7">
        <w:rPr>
          <w:color w:val="000000" w:themeColor="text1"/>
        </w:rPr>
        <w:t>, he</w:t>
      </w:r>
      <w:r w:rsidR="00050677">
        <w:rPr>
          <w:color w:val="000000" w:themeColor="text1"/>
        </w:rPr>
        <w:t xml:space="preserve"> </w:t>
      </w:r>
      <w:r w:rsidR="00426505" w:rsidRPr="00426505">
        <w:rPr>
          <w:color w:val="000000" w:themeColor="text1"/>
        </w:rPr>
        <w:t xml:space="preserve">did not respond adequately to </w:t>
      </w:r>
      <w:r w:rsidR="00426505">
        <w:rPr>
          <w:color w:val="000000" w:themeColor="text1"/>
        </w:rPr>
        <w:t>fully</w:t>
      </w:r>
      <w:r w:rsidR="00426505" w:rsidRPr="00426505">
        <w:rPr>
          <w:color w:val="000000" w:themeColor="text1"/>
        </w:rPr>
        <w:t xml:space="preserve"> perform within his Military Occupational Specialty (</w:t>
      </w:r>
      <w:r w:rsidR="00426505">
        <w:rPr>
          <w:color w:val="000000" w:themeColor="text1"/>
        </w:rPr>
        <w:t>MOS</w:t>
      </w:r>
      <w:r w:rsidR="00426505" w:rsidRPr="00426505">
        <w:rPr>
          <w:color w:val="000000" w:themeColor="text1"/>
        </w:rPr>
        <w:t xml:space="preserve">) or meet physical fitness standards.  He was issued a permanent P3 profile and </w:t>
      </w:r>
      <w:r w:rsidR="00C24CA7">
        <w:rPr>
          <w:color w:val="000000" w:themeColor="text1"/>
        </w:rPr>
        <w:t>referred for</w:t>
      </w:r>
      <w:r w:rsidR="00426505" w:rsidRPr="00426505">
        <w:rPr>
          <w:color w:val="000000" w:themeColor="text1"/>
        </w:rPr>
        <w:t xml:space="preserve"> a Medical Evaluation Board (MEB).  Lumbar Scheuermann's Disease was forwarded to the Physical Evaluation Board (PEB) as medically unacceptable IAW AR 40-501.  No other conditions appeared on the MEB’s submission.  Other conditions included in the Disability Evaluation System (DES) </w:t>
      </w:r>
      <w:r w:rsidR="00426505">
        <w:rPr>
          <w:color w:val="000000" w:themeColor="text1"/>
        </w:rPr>
        <w:t>file</w:t>
      </w:r>
      <w:r w:rsidR="00426505" w:rsidRPr="00426505">
        <w:rPr>
          <w:color w:val="000000" w:themeColor="text1"/>
        </w:rPr>
        <w:t xml:space="preserve"> will be discussed below.  The PEB adjudicated the </w:t>
      </w:r>
      <w:r w:rsidR="00050677">
        <w:rPr>
          <w:color w:val="000000" w:themeColor="text1"/>
        </w:rPr>
        <w:t>chronic back pain</w:t>
      </w:r>
      <w:r w:rsidR="00426505" w:rsidRPr="00426505">
        <w:rPr>
          <w:color w:val="000000" w:themeColor="text1"/>
        </w:rPr>
        <w:t xml:space="preserve"> condition as unfitting, rated 10%, with application of the US Army Physical Disability Agency (USAPDA) pain policy.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426505">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426505" w:rsidRPr="001F29F9" w:rsidTr="0097750D">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426505" w:rsidRPr="00231FB3" w:rsidRDefault="00426505" w:rsidP="0097750D">
            <w:pPr>
              <w:contextualSpacing/>
              <w:rPr>
                <w:rFonts w:eastAsia="Calibri"/>
                <w:b/>
                <w:color w:val="auto"/>
                <w:sz w:val="20"/>
              </w:rPr>
            </w:pPr>
            <w:r w:rsidRPr="00231FB3">
              <w:rPr>
                <w:rFonts w:eastAsia="Calibri"/>
                <w:b/>
                <w:color w:val="auto"/>
                <w:sz w:val="20"/>
              </w:rPr>
              <w:t xml:space="preserve">Service </w:t>
            </w:r>
            <w:r>
              <w:rPr>
                <w:rFonts w:eastAsia="Calibri"/>
                <w:b/>
                <w:color w:val="auto"/>
                <w:sz w:val="20"/>
              </w:rPr>
              <w:t>I</w:t>
            </w:r>
            <w:r w:rsidRPr="00231FB3">
              <w:rPr>
                <w:rFonts w:eastAsia="Calibri"/>
                <w:b/>
                <w:color w:val="auto"/>
                <w:sz w:val="20"/>
              </w:rPr>
              <w:t>PEB – Dated 200</w:t>
            </w:r>
            <w:r>
              <w:rPr>
                <w:rFonts w:eastAsia="Calibri"/>
                <w:b/>
                <w:color w:val="auto"/>
                <w:sz w:val="20"/>
              </w:rPr>
              <w:t>40802</w:t>
            </w:r>
          </w:p>
        </w:tc>
        <w:tc>
          <w:tcPr>
            <w:tcW w:w="5220" w:type="dxa"/>
            <w:gridSpan w:val="4"/>
            <w:tcBorders>
              <w:left w:val="thinThickThinSmallGap" w:sz="24" w:space="0" w:color="auto"/>
            </w:tcBorders>
            <w:shd w:val="clear" w:color="auto" w:fill="D9D9D9" w:themeFill="background1" w:themeFillShade="D9"/>
            <w:vAlign w:val="center"/>
          </w:tcPr>
          <w:p w:rsidR="00426505" w:rsidRPr="00231FB3" w:rsidRDefault="00426505" w:rsidP="0097750D">
            <w:pPr>
              <w:contextualSpacing/>
              <w:rPr>
                <w:rFonts w:eastAsia="Calibri"/>
                <w:b/>
                <w:color w:val="auto"/>
                <w:sz w:val="20"/>
              </w:rPr>
            </w:pPr>
            <w:r w:rsidRPr="00231FB3">
              <w:rPr>
                <w:rFonts w:eastAsia="Calibri"/>
                <w:b/>
                <w:color w:val="auto"/>
                <w:sz w:val="20"/>
              </w:rPr>
              <w:t>VA (</w:t>
            </w:r>
            <w:r>
              <w:rPr>
                <w:rFonts w:eastAsia="Calibri"/>
                <w:b/>
                <w:color w:val="auto"/>
                <w:sz w:val="20"/>
              </w:rPr>
              <w:t>~1</w:t>
            </w:r>
            <w:r w:rsidRPr="00231FB3">
              <w:rPr>
                <w:rFonts w:eastAsia="Calibri"/>
                <w:b/>
                <w:color w:val="auto"/>
                <w:sz w:val="20"/>
              </w:rPr>
              <w:t xml:space="preserve"> Mo. </w:t>
            </w:r>
            <w:r w:rsidR="00050677">
              <w:rPr>
                <w:rFonts w:eastAsia="Calibri"/>
                <w:b/>
                <w:color w:val="auto"/>
                <w:sz w:val="20"/>
              </w:rPr>
              <w:t>Before</w:t>
            </w:r>
            <w:r w:rsidRPr="00231FB3">
              <w:rPr>
                <w:rFonts w:eastAsia="Calibri"/>
                <w:b/>
                <w:color w:val="auto"/>
                <w:sz w:val="20"/>
              </w:rPr>
              <w:t xml:space="preserve"> Separation) – All Effective 200</w:t>
            </w:r>
            <w:r>
              <w:rPr>
                <w:rFonts w:eastAsia="Calibri"/>
                <w:b/>
                <w:color w:val="auto"/>
                <w:sz w:val="20"/>
              </w:rPr>
              <w:t>40921</w:t>
            </w:r>
          </w:p>
        </w:tc>
      </w:tr>
      <w:tr w:rsidR="002B4E22" w:rsidRPr="001F29F9" w:rsidTr="0097750D">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426505" w:rsidRPr="001F29F9" w:rsidTr="0097750D">
        <w:trPr>
          <w:trHeight w:val="115"/>
          <w:jc w:val="center"/>
        </w:trPr>
        <w:tc>
          <w:tcPr>
            <w:tcW w:w="2178" w:type="dxa"/>
            <w:tcBorders>
              <w:right w:val="single" w:sz="4" w:space="0" w:color="auto"/>
            </w:tcBorders>
            <w:shd w:val="clear" w:color="auto" w:fill="FFFFFF" w:themeFill="background1"/>
            <w:vAlign w:val="center"/>
          </w:tcPr>
          <w:p w:rsidR="00426505" w:rsidRPr="001F29F9" w:rsidRDefault="001D7E10" w:rsidP="0097750D">
            <w:pPr>
              <w:spacing w:line="220" w:lineRule="exact"/>
              <w:contextualSpacing/>
              <w:jc w:val="left"/>
              <w:rPr>
                <w:rFonts w:ascii="Calibri" w:eastAsia="Times New Roman" w:hAnsi="Calibri" w:cs="Calibri"/>
                <w:color w:val="000000" w:themeColor="text1"/>
                <w:sz w:val="18"/>
                <w:szCs w:val="18"/>
              </w:rPr>
            </w:pPr>
            <w:r w:rsidRPr="004B3147">
              <w:rPr>
                <w:rFonts w:ascii="Calibri" w:hAnsi="Calibri" w:cs="Calibri"/>
                <w:color w:val="000000" w:themeColor="text1"/>
                <w:sz w:val="18"/>
                <w:szCs w:val="18"/>
              </w:rPr>
              <w:t>Lumbar Scheu</w:t>
            </w:r>
            <w:r w:rsidR="004161A6">
              <w:rPr>
                <w:rFonts w:ascii="Calibri" w:hAnsi="Calibri" w:cs="Calibri"/>
                <w:color w:val="000000" w:themeColor="text1"/>
                <w:sz w:val="18"/>
                <w:szCs w:val="18"/>
              </w:rPr>
              <w:t>e</w:t>
            </w:r>
            <w:r w:rsidRPr="004B3147">
              <w:rPr>
                <w:rFonts w:ascii="Calibri" w:hAnsi="Calibri" w:cs="Calibri"/>
                <w:color w:val="000000" w:themeColor="text1"/>
                <w:sz w:val="18"/>
                <w:szCs w:val="18"/>
              </w:rPr>
              <w:t>rmann's</w:t>
            </w:r>
          </w:p>
        </w:tc>
        <w:tc>
          <w:tcPr>
            <w:tcW w:w="1080" w:type="dxa"/>
            <w:tcBorders>
              <w:left w:val="single" w:sz="4" w:space="0" w:color="auto"/>
            </w:tcBorders>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5299-5237</w:t>
            </w:r>
          </w:p>
        </w:tc>
        <w:tc>
          <w:tcPr>
            <w:tcW w:w="900" w:type="dxa"/>
            <w:tcBorders>
              <w:right w:val="thinThickThinSmallGap" w:sz="24" w:space="0" w:color="auto"/>
            </w:tcBorders>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10%</w:t>
            </w:r>
          </w:p>
        </w:tc>
        <w:tc>
          <w:tcPr>
            <w:tcW w:w="2322" w:type="dxa"/>
            <w:tcBorders>
              <w:left w:val="thinThickThinSmallGap" w:sz="24" w:space="0" w:color="auto"/>
            </w:tcBorders>
            <w:shd w:val="clear" w:color="auto" w:fill="FFFFFF" w:themeFill="background1"/>
            <w:vAlign w:val="center"/>
          </w:tcPr>
          <w:p w:rsidR="00426505" w:rsidRPr="001F29F9" w:rsidRDefault="004B3147" w:rsidP="0097750D">
            <w:pPr>
              <w:spacing w:line="220" w:lineRule="exact"/>
              <w:contextualSpacing/>
              <w:jc w:val="left"/>
              <w:rPr>
                <w:rFonts w:ascii="Calibri" w:eastAsia="Times New Roman" w:hAnsi="Calibri" w:cs="Calibri"/>
                <w:color w:val="000000" w:themeColor="text1"/>
                <w:sz w:val="18"/>
                <w:szCs w:val="18"/>
              </w:rPr>
            </w:pPr>
            <w:r w:rsidRPr="004B3147">
              <w:rPr>
                <w:rFonts w:ascii="Calibri" w:hAnsi="Calibri" w:cs="Calibri"/>
                <w:color w:val="000000" w:themeColor="text1"/>
                <w:sz w:val="18"/>
                <w:szCs w:val="18"/>
              </w:rPr>
              <w:t>Lumbar Scheu</w:t>
            </w:r>
            <w:r w:rsidR="004161A6">
              <w:rPr>
                <w:rFonts w:ascii="Calibri" w:hAnsi="Calibri" w:cs="Calibri"/>
                <w:color w:val="000000" w:themeColor="text1"/>
                <w:sz w:val="18"/>
                <w:szCs w:val="18"/>
              </w:rPr>
              <w:t>e</w:t>
            </w:r>
            <w:r w:rsidRPr="004B3147">
              <w:rPr>
                <w:rFonts w:ascii="Calibri" w:hAnsi="Calibri" w:cs="Calibri"/>
                <w:color w:val="000000" w:themeColor="text1"/>
                <w:sz w:val="18"/>
                <w:szCs w:val="18"/>
              </w:rPr>
              <w:t>rmann's</w:t>
            </w:r>
          </w:p>
        </w:tc>
        <w:tc>
          <w:tcPr>
            <w:tcW w:w="1080" w:type="dxa"/>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5243-5237</w:t>
            </w:r>
          </w:p>
        </w:tc>
        <w:tc>
          <w:tcPr>
            <w:tcW w:w="828" w:type="dxa"/>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10%</w:t>
            </w:r>
          </w:p>
        </w:tc>
        <w:tc>
          <w:tcPr>
            <w:tcW w:w="990" w:type="dxa"/>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20040802</w:t>
            </w:r>
          </w:p>
        </w:tc>
      </w:tr>
      <w:tr w:rsidR="00426505" w:rsidRPr="001F29F9" w:rsidTr="0097750D">
        <w:trPr>
          <w:trHeight w:val="106"/>
          <w:jc w:val="center"/>
        </w:trPr>
        <w:tc>
          <w:tcPr>
            <w:tcW w:w="4158" w:type="dxa"/>
            <w:gridSpan w:val="3"/>
            <w:vMerge w:val="restart"/>
            <w:tcBorders>
              <w:right w:val="thinThickThinSmallGap" w:sz="24" w:space="0" w:color="auto"/>
            </w:tcBorders>
            <w:shd w:val="clear" w:color="auto" w:fill="FFFFFF" w:themeFill="background1"/>
          </w:tcPr>
          <w:p w:rsidR="00426505" w:rsidRPr="001F29F9" w:rsidRDefault="00426505" w:rsidP="0097750D">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426505" w:rsidRPr="001F29F9" w:rsidRDefault="004B3147" w:rsidP="0097750D">
            <w:pPr>
              <w:spacing w:line="220" w:lineRule="exact"/>
              <w:contextualSpacing/>
              <w:jc w:val="left"/>
              <w:rPr>
                <w:rFonts w:ascii="Calibri" w:eastAsia="Times New Roman" w:hAnsi="Calibri" w:cs="Calibri"/>
                <w:color w:val="000000" w:themeColor="text1"/>
                <w:sz w:val="18"/>
                <w:szCs w:val="18"/>
              </w:rPr>
            </w:pPr>
            <w:r w:rsidRPr="004B3147">
              <w:rPr>
                <w:rFonts w:ascii="Calibri" w:hAnsi="Calibri" w:cs="Calibri"/>
                <w:color w:val="000000" w:themeColor="text1"/>
                <w:sz w:val="18"/>
                <w:szCs w:val="18"/>
              </w:rPr>
              <w:t>Complex Migraines</w:t>
            </w:r>
          </w:p>
        </w:tc>
        <w:tc>
          <w:tcPr>
            <w:tcW w:w="1080" w:type="dxa"/>
            <w:tcBorders>
              <w:left w:val="single" w:sz="4" w:space="0" w:color="auto"/>
            </w:tcBorders>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8199-8100</w:t>
            </w:r>
          </w:p>
        </w:tc>
        <w:tc>
          <w:tcPr>
            <w:tcW w:w="828" w:type="dxa"/>
            <w:shd w:val="clear" w:color="auto" w:fill="FFFFFF" w:themeFill="background1"/>
            <w:vAlign w:val="center"/>
          </w:tcPr>
          <w:p w:rsidR="00426505" w:rsidRPr="00032447" w:rsidRDefault="001D7E10" w:rsidP="0097750D">
            <w:pPr>
              <w:spacing w:line="220" w:lineRule="exact"/>
              <w:contextualSpacing/>
              <w:rPr>
                <w:rFonts w:eastAsia="Calibri"/>
                <w:color w:val="auto"/>
                <w:sz w:val="18"/>
                <w:szCs w:val="18"/>
              </w:rPr>
            </w:pPr>
            <w:r>
              <w:rPr>
                <w:rFonts w:eastAsia="Calibri"/>
                <w:color w:val="auto"/>
                <w:sz w:val="18"/>
                <w:szCs w:val="18"/>
              </w:rPr>
              <w:t>3</w:t>
            </w:r>
            <w:r w:rsidR="00426505" w:rsidRPr="00032447">
              <w:rPr>
                <w:rFonts w:eastAsia="Calibri"/>
                <w:color w:val="auto"/>
                <w:sz w:val="18"/>
                <w:szCs w:val="18"/>
              </w:rPr>
              <w:t>0%</w:t>
            </w:r>
          </w:p>
        </w:tc>
        <w:tc>
          <w:tcPr>
            <w:tcW w:w="990" w:type="dxa"/>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20040802</w:t>
            </w:r>
          </w:p>
        </w:tc>
      </w:tr>
      <w:tr w:rsidR="00426505" w:rsidRPr="001F29F9" w:rsidTr="0097750D">
        <w:trPr>
          <w:trHeight w:val="97"/>
          <w:jc w:val="center"/>
        </w:trPr>
        <w:tc>
          <w:tcPr>
            <w:tcW w:w="4158" w:type="dxa"/>
            <w:gridSpan w:val="3"/>
            <w:vMerge/>
            <w:tcBorders>
              <w:right w:val="thinThickThinSmallGap" w:sz="24" w:space="0" w:color="auto"/>
            </w:tcBorders>
            <w:shd w:val="clear" w:color="auto" w:fill="FFFFFF" w:themeFill="background1"/>
            <w:vAlign w:val="center"/>
          </w:tcPr>
          <w:p w:rsidR="00426505" w:rsidRPr="001F29F9" w:rsidRDefault="00426505" w:rsidP="0097750D">
            <w:pPr>
              <w:spacing w:line="22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426505" w:rsidRPr="001F29F9" w:rsidRDefault="004B3147" w:rsidP="0097750D">
            <w:pPr>
              <w:spacing w:line="220" w:lineRule="exact"/>
              <w:contextualSpacing/>
              <w:jc w:val="left"/>
              <w:rPr>
                <w:rFonts w:ascii="Calibri" w:eastAsia="Times New Roman" w:hAnsi="Calibri" w:cs="Calibri"/>
                <w:color w:val="000000" w:themeColor="text1"/>
                <w:sz w:val="18"/>
                <w:szCs w:val="18"/>
              </w:rPr>
            </w:pPr>
            <w:r w:rsidRPr="004B3147">
              <w:rPr>
                <w:rFonts w:ascii="Calibri" w:eastAsia="Times New Roman" w:hAnsi="Calibri" w:cs="Calibri"/>
                <w:color w:val="000000" w:themeColor="text1"/>
                <w:sz w:val="18"/>
                <w:szCs w:val="18"/>
              </w:rPr>
              <w:t>Residuals Left Ankle Sprain</w:t>
            </w:r>
          </w:p>
        </w:tc>
        <w:tc>
          <w:tcPr>
            <w:tcW w:w="1080" w:type="dxa"/>
            <w:tcBorders>
              <w:left w:val="single" w:sz="4" w:space="0" w:color="auto"/>
            </w:tcBorders>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5299-5271</w:t>
            </w:r>
          </w:p>
        </w:tc>
        <w:tc>
          <w:tcPr>
            <w:tcW w:w="828" w:type="dxa"/>
            <w:shd w:val="clear" w:color="auto" w:fill="FFFFFF" w:themeFill="background1"/>
            <w:vAlign w:val="center"/>
          </w:tcPr>
          <w:p w:rsidR="00426505" w:rsidRPr="00032447" w:rsidRDefault="001D7E10" w:rsidP="0097750D">
            <w:pPr>
              <w:spacing w:line="220" w:lineRule="exact"/>
              <w:contextualSpacing/>
              <w:rPr>
                <w:rFonts w:eastAsia="Calibri"/>
                <w:color w:val="auto"/>
                <w:sz w:val="18"/>
                <w:szCs w:val="18"/>
              </w:rPr>
            </w:pPr>
            <w:r>
              <w:rPr>
                <w:rFonts w:eastAsia="Calibri"/>
                <w:color w:val="auto"/>
                <w:sz w:val="18"/>
                <w:szCs w:val="18"/>
              </w:rPr>
              <w:t>1</w:t>
            </w:r>
            <w:r w:rsidR="00426505" w:rsidRPr="00032447">
              <w:rPr>
                <w:rFonts w:eastAsia="Calibri"/>
                <w:color w:val="auto"/>
                <w:sz w:val="18"/>
                <w:szCs w:val="18"/>
              </w:rPr>
              <w:t>0%</w:t>
            </w:r>
          </w:p>
        </w:tc>
        <w:tc>
          <w:tcPr>
            <w:tcW w:w="990" w:type="dxa"/>
            <w:shd w:val="clear" w:color="auto" w:fill="FFFFFF" w:themeFill="background1"/>
            <w:vAlign w:val="center"/>
          </w:tcPr>
          <w:p w:rsidR="00426505" w:rsidRPr="00032447" w:rsidRDefault="00426505" w:rsidP="0097750D">
            <w:pPr>
              <w:spacing w:line="220" w:lineRule="exact"/>
              <w:contextualSpacing/>
              <w:rPr>
                <w:rFonts w:eastAsia="Calibri"/>
                <w:color w:val="auto"/>
                <w:sz w:val="18"/>
                <w:szCs w:val="18"/>
              </w:rPr>
            </w:pPr>
            <w:r w:rsidRPr="00032447">
              <w:rPr>
                <w:rFonts w:eastAsia="Calibri"/>
                <w:color w:val="auto"/>
                <w:sz w:val="18"/>
                <w:szCs w:val="18"/>
              </w:rPr>
              <w:t>20040802</w:t>
            </w:r>
          </w:p>
        </w:tc>
      </w:tr>
      <w:tr w:rsidR="007A65A9" w:rsidRPr="001F29F9" w:rsidTr="0097750D">
        <w:trPr>
          <w:trHeight w:val="133"/>
          <w:jc w:val="center"/>
        </w:trPr>
        <w:tc>
          <w:tcPr>
            <w:tcW w:w="4158" w:type="dxa"/>
            <w:gridSpan w:val="3"/>
            <w:vMerge/>
            <w:tcBorders>
              <w:right w:val="thinThickThinSmallGap" w:sz="24" w:space="0" w:color="auto"/>
            </w:tcBorders>
            <w:shd w:val="clear" w:color="auto" w:fill="FFFFFF" w:themeFill="background1"/>
            <w:vAlign w:val="center"/>
          </w:tcPr>
          <w:p w:rsidR="00BC5860" w:rsidRPr="001F29F9" w:rsidRDefault="00BC5860" w:rsidP="0097750D">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97750D">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426505">
              <w:rPr>
                <w:rFonts w:ascii="Calibri" w:hAnsi="Calibri" w:cs="Calibri"/>
                <w:color w:val="000000" w:themeColor="text1"/>
                <w:sz w:val="18"/>
                <w:szCs w:val="18"/>
              </w:rPr>
              <w:t xml:space="preserve">2 </w:t>
            </w:r>
            <w:r w:rsidRPr="001F29F9">
              <w:rPr>
                <w:rFonts w:ascii="Calibri" w:hAnsi="Calibri" w:cs="Calibri"/>
                <w:color w:val="000000" w:themeColor="text1"/>
                <w:sz w:val="18"/>
                <w:szCs w:val="18"/>
              </w:rPr>
              <w:t>/</w:t>
            </w:r>
            <w:r w:rsidR="00426505">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426505">
              <w:rPr>
                <w:rFonts w:ascii="Calibri" w:hAnsi="Calibri" w:cs="Calibri"/>
                <w:color w:val="000000" w:themeColor="text1"/>
                <w:sz w:val="18"/>
                <w:szCs w:val="18"/>
              </w:rPr>
              <w:t>1</w:t>
            </w:r>
          </w:p>
        </w:tc>
        <w:tc>
          <w:tcPr>
            <w:tcW w:w="990" w:type="dxa"/>
            <w:shd w:val="clear" w:color="auto" w:fill="FFFFFF" w:themeFill="background1"/>
            <w:vAlign w:val="center"/>
          </w:tcPr>
          <w:p w:rsidR="00BC5860" w:rsidRPr="001F29F9" w:rsidRDefault="00426505" w:rsidP="0097750D">
            <w:pPr>
              <w:spacing w:line="220" w:lineRule="exact"/>
              <w:contextualSpacing/>
              <w:rPr>
                <w:rFonts w:ascii="Calibri" w:eastAsia="Times New Roman" w:hAnsi="Calibri" w:cs="Calibri"/>
                <w:color w:val="000000" w:themeColor="text1"/>
                <w:sz w:val="18"/>
                <w:szCs w:val="18"/>
              </w:rPr>
            </w:pPr>
            <w:r w:rsidRPr="00426505">
              <w:rPr>
                <w:rFonts w:ascii="Calibri" w:hAnsi="Calibri" w:cs="Calibri"/>
                <w:color w:val="000000" w:themeColor="text1"/>
                <w:sz w:val="18"/>
                <w:szCs w:val="18"/>
              </w:rPr>
              <w:t>20040810</w:t>
            </w:r>
          </w:p>
        </w:tc>
      </w:tr>
      <w:tr w:rsidR="007A65A9" w:rsidRPr="001F29F9" w:rsidTr="0097750D">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426505">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97750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1D7E10">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426505">
      <w:pPr>
        <w:jc w:val="both"/>
        <w:rPr>
          <w:color w:val="000000" w:themeColor="text1"/>
          <w:szCs w:val="24"/>
          <w:u w:val="single"/>
        </w:rPr>
      </w:pPr>
    </w:p>
    <w:p w:rsidR="002C6E5B" w:rsidRPr="001F29F9" w:rsidRDefault="002C6E5B" w:rsidP="009369A6">
      <w:pPr>
        <w:jc w:val="left"/>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p>
    <w:p w:rsidR="003A76AB" w:rsidRPr="001F29F9" w:rsidRDefault="003A76AB" w:rsidP="00BF0E94">
      <w:pPr>
        <w:jc w:val="left"/>
        <w:rPr>
          <w:color w:val="000000" w:themeColor="text1"/>
          <w:szCs w:val="24"/>
          <w:highlight w:val="yellow"/>
        </w:rPr>
      </w:pPr>
    </w:p>
    <w:p w:rsidR="00C24CA7" w:rsidRDefault="00C24CA7" w:rsidP="005445AE">
      <w:pPr>
        <w:jc w:val="both"/>
        <w:rPr>
          <w:rFonts w:asciiTheme="minorHAnsi" w:hAnsiTheme="minorHAnsi" w:cs="Times New Roman"/>
          <w:color w:val="auto"/>
          <w:szCs w:val="24"/>
        </w:rPr>
      </w:pPr>
      <w:proofErr w:type="gramStart"/>
      <w:r>
        <w:rPr>
          <w:color w:val="000000" w:themeColor="text1"/>
          <w:szCs w:val="24"/>
          <w:u w:val="single"/>
        </w:rPr>
        <w:t>Lumbar Spine</w:t>
      </w:r>
      <w:r w:rsidR="0080588E" w:rsidRPr="004B3147">
        <w:rPr>
          <w:color w:val="000000" w:themeColor="text1"/>
          <w:szCs w:val="24"/>
          <w:u w:val="single"/>
        </w:rPr>
        <w:t xml:space="preserve"> </w:t>
      </w:r>
      <w:r w:rsidR="003F2EEE" w:rsidRPr="004B3147">
        <w:rPr>
          <w:color w:val="000000" w:themeColor="text1"/>
          <w:szCs w:val="24"/>
          <w:u w:val="single"/>
        </w:rPr>
        <w:t>Condition</w:t>
      </w:r>
      <w:r w:rsidR="003F2EEE" w:rsidRPr="004B3147">
        <w:rPr>
          <w:color w:val="000000" w:themeColor="text1"/>
          <w:szCs w:val="24"/>
        </w:rPr>
        <w:t>.</w:t>
      </w:r>
      <w:proofErr w:type="gramEnd"/>
      <w:r w:rsidR="003F2EEE" w:rsidRPr="004B3147">
        <w:rPr>
          <w:color w:val="000000" w:themeColor="text1"/>
          <w:szCs w:val="24"/>
        </w:rPr>
        <w:t xml:space="preserve">  </w:t>
      </w:r>
      <w:r w:rsidR="001D7E10">
        <w:rPr>
          <w:color w:val="000000" w:themeColor="text1"/>
          <w:szCs w:val="24"/>
        </w:rPr>
        <w:t xml:space="preserve">The </w:t>
      </w:r>
      <w:r>
        <w:rPr>
          <w:color w:val="000000" w:themeColor="text1"/>
          <w:szCs w:val="24"/>
        </w:rPr>
        <w:t xml:space="preserve">acute onset of back </w:t>
      </w:r>
      <w:r w:rsidR="001D7E10">
        <w:rPr>
          <w:color w:val="000000" w:themeColor="text1"/>
          <w:szCs w:val="24"/>
        </w:rPr>
        <w:t xml:space="preserve">pain </w:t>
      </w:r>
      <w:r>
        <w:rPr>
          <w:color w:val="000000" w:themeColor="text1"/>
          <w:szCs w:val="24"/>
        </w:rPr>
        <w:t>was</w:t>
      </w:r>
      <w:r w:rsidR="001D7E10">
        <w:rPr>
          <w:color w:val="000000" w:themeColor="text1"/>
          <w:szCs w:val="24"/>
        </w:rPr>
        <w:t xml:space="preserve"> nine months prior to separation</w:t>
      </w:r>
      <w:r>
        <w:rPr>
          <w:color w:val="000000" w:themeColor="text1"/>
          <w:szCs w:val="24"/>
        </w:rPr>
        <w:t xml:space="preserve">, with radiation and numbness of the left leg.  Imaging </w:t>
      </w:r>
      <w:r w:rsidR="002B59B8">
        <w:rPr>
          <w:color w:val="000000" w:themeColor="text1"/>
          <w:szCs w:val="24"/>
        </w:rPr>
        <w:t>revealed degenerative changes of the spine consist</w:t>
      </w:r>
      <w:r>
        <w:rPr>
          <w:color w:val="000000" w:themeColor="text1"/>
          <w:szCs w:val="24"/>
        </w:rPr>
        <w:t xml:space="preserve">ent with Scheuermann’s kyphosis; but, without </w:t>
      </w:r>
      <w:r w:rsidR="002B59B8">
        <w:rPr>
          <w:color w:val="000000" w:themeColor="text1"/>
          <w:szCs w:val="24"/>
        </w:rPr>
        <w:t xml:space="preserve">evidence of herniated disc </w:t>
      </w:r>
      <w:r>
        <w:rPr>
          <w:color w:val="000000" w:themeColor="text1"/>
          <w:szCs w:val="24"/>
        </w:rPr>
        <w:t>or</w:t>
      </w:r>
      <w:r w:rsidR="002B59B8">
        <w:rPr>
          <w:color w:val="000000" w:themeColor="text1"/>
          <w:szCs w:val="24"/>
        </w:rPr>
        <w:t xml:space="preserve"> surgical </w:t>
      </w:r>
      <w:r>
        <w:rPr>
          <w:color w:val="000000" w:themeColor="text1"/>
          <w:szCs w:val="24"/>
        </w:rPr>
        <w:t>indications</w:t>
      </w:r>
      <w:r w:rsidR="002B59B8">
        <w:rPr>
          <w:color w:val="000000" w:themeColor="text1"/>
          <w:szCs w:val="24"/>
        </w:rPr>
        <w:t>.</w:t>
      </w:r>
      <w:r w:rsidR="000D40C4">
        <w:rPr>
          <w:color w:val="000000" w:themeColor="text1"/>
          <w:szCs w:val="24"/>
        </w:rPr>
        <w:t xml:space="preserve">  </w:t>
      </w:r>
      <w:r>
        <w:rPr>
          <w:color w:val="000000" w:themeColor="text1"/>
          <w:szCs w:val="24"/>
        </w:rPr>
        <w:t xml:space="preserve"> The CI’s symptoms gradually improved w</w:t>
      </w:r>
      <w:r w:rsidR="000D40C4">
        <w:rPr>
          <w:color w:val="000000" w:themeColor="text1"/>
          <w:szCs w:val="24"/>
        </w:rPr>
        <w:t>ith activity</w:t>
      </w:r>
      <w:r>
        <w:rPr>
          <w:color w:val="000000" w:themeColor="text1"/>
          <w:szCs w:val="24"/>
        </w:rPr>
        <w:t xml:space="preserve"> limitation</w:t>
      </w:r>
      <w:r w:rsidR="000D40C4">
        <w:rPr>
          <w:color w:val="000000" w:themeColor="text1"/>
          <w:szCs w:val="24"/>
        </w:rPr>
        <w:t>, physical therapy and medication</w:t>
      </w:r>
      <w:r>
        <w:rPr>
          <w:color w:val="000000" w:themeColor="text1"/>
          <w:szCs w:val="24"/>
        </w:rPr>
        <w:t>;</w:t>
      </w:r>
      <w:r w:rsidR="000D40C4">
        <w:rPr>
          <w:color w:val="000000" w:themeColor="text1"/>
          <w:szCs w:val="24"/>
        </w:rPr>
        <w:t xml:space="preserve"> but not sufficiently to allow for the rigors of his MOS.  </w:t>
      </w:r>
      <w:r w:rsidR="00A57C35" w:rsidRPr="004B3147">
        <w:rPr>
          <w:color w:val="000000" w:themeColor="text1"/>
          <w:szCs w:val="24"/>
        </w:rPr>
        <w:t xml:space="preserve">There were </w:t>
      </w:r>
      <w:r>
        <w:rPr>
          <w:color w:val="000000" w:themeColor="text1"/>
          <w:szCs w:val="24"/>
        </w:rPr>
        <w:t>two</w:t>
      </w:r>
      <w:r w:rsidR="00A57C35" w:rsidRPr="004B3147">
        <w:rPr>
          <w:color w:val="000000" w:themeColor="text1"/>
          <w:szCs w:val="24"/>
        </w:rPr>
        <w:t xml:space="preserve"> goniometric range</w:t>
      </w:r>
      <w:r w:rsidR="005C4018">
        <w:rPr>
          <w:color w:val="000000" w:themeColor="text1"/>
          <w:szCs w:val="24"/>
        </w:rPr>
        <w:t>-</w:t>
      </w:r>
      <w:r w:rsidR="00A57C35" w:rsidRPr="004B3147">
        <w:rPr>
          <w:color w:val="000000" w:themeColor="text1"/>
          <w:szCs w:val="24"/>
        </w:rPr>
        <w:t>of</w:t>
      </w:r>
      <w:r w:rsidR="005C4018">
        <w:rPr>
          <w:color w:val="000000" w:themeColor="text1"/>
          <w:szCs w:val="24"/>
        </w:rPr>
        <w:t>-</w:t>
      </w:r>
      <w:r w:rsidR="00A57C35" w:rsidRPr="004B3147">
        <w:rPr>
          <w:color w:val="000000" w:themeColor="text1"/>
          <w:szCs w:val="24"/>
        </w:rPr>
        <w:t>motion (ROM) evaluations in evidence, with documentation of additional ratable criteria, which the Board weighed in arriving at its rating recommendation</w:t>
      </w:r>
      <w:r w:rsidR="003C53E8" w:rsidRPr="004B3147">
        <w:rPr>
          <w:rFonts w:asciiTheme="minorHAnsi" w:hAnsiTheme="minorHAnsi" w:cs="Times New Roman"/>
          <w:color w:val="auto"/>
          <w:szCs w:val="24"/>
        </w:rPr>
        <w:t>.</w:t>
      </w:r>
      <w:r>
        <w:rPr>
          <w:rFonts w:asciiTheme="minorHAnsi" w:hAnsiTheme="minorHAnsi" w:cs="Times New Roman"/>
          <w:color w:val="auto"/>
          <w:szCs w:val="24"/>
        </w:rPr>
        <w:t xml:space="preserve">  These exams are summarized in the chart below.</w:t>
      </w:r>
    </w:p>
    <w:p w:rsidR="005445AE" w:rsidRPr="003C53E8" w:rsidRDefault="00C24CA7" w:rsidP="00C24CA7">
      <w:pPr>
        <w:rPr>
          <w:rFonts w:asciiTheme="minorHAnsi" w:hAnsiTheme="minorHAnsi" w:cs="Times New Roman"/>
          <w:color w:val="auto"/>
          <w:szCs w:val="24"/>
        </w:rPr>
      </w:pPr>
      <w:r>
        <w:rPr>
          <w:rFonts w:asciiTheme="minorHAnsi" w:hAnsiTheme="minorHAnsi" w:cs="Times New Roman"/>
          <w:color w:val="auto"/>
          <w:szCs w:val="24"/>
        </w:rPr>
        <w:br w:type="page"/>
      </w:r>
    </w:p>
    <w:tbl>
      <w:tblPr>
        <w:tblW w:w="6615" w:type="dxa"/>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15"/>
        <w:gridCol w:w="2340"/>
      </w:tblGrid>
      <w:tr w:rsidR="003C53E8" w:rsidRPr="003C53E8" w:rsidTr="00E614DB">
        <w:trPr>
          <w:jc w:val="center"/>
        </w:trPr>
        <w:tc>
          <w:tcPr>
            <w:tcW w:w="2160" w:type="dxa"/>
            <w:shd w:val="clear" w:color="auto" w:fill="D9D9D9" w:themeFill="background1" w:themeFillShade="D9"/>
          </w:tcPr>
          <w:p w:rsidR="003C53E8" w:rsidRPr="003C53E8" w:rsidRDefault="003C53E8" w:rsidP="003C53E8">
            <w:pPr>
              <w:contextualSpacing/>
              <w:rPr>
                <w:rFonts w:eastAsia="Calibri" w:cs="Times New Roman"/>
                <w:color w:val="auto"/>
                <w:sz w:val="22"/>
                <w:szCs w:val="22"/>
              </w:rPr>
            </w:pPr>
            <w:r w:rsidRPr="003C53E8">
              <w:rPr>
                <w:rFonts w:eastAsia="Calibri" w:cs="Times New Roman"/>
                <w:color w:val="auto"/>
                <w:sz w:val="22"/>
                <w:szCs w:val="22"/>
              </w:rPr>
              <w:lastRenderedPageBreak/>
              <w:t>Thoracolumbar ROM</w:t>
            </w:r>
          </w:p>
        </w:tc>
        <w:tc>
          <w:tcPr>
            <w:tcW w:w="2115" w:type="dxa"/>
            <w:shd w:val="clear" w:color="auto" w:fill="D9D9D9" w:themeFill="background1" w:themeFillShade="D9"/>
          </w:tcPr>
          <w:p w:rsidR="003C53E8" w:rsidRPr="003C53E8" w:rsidRDefault="0097750D" w:rsidP="0097750D">
            <w:pPr>
              <w:contextualSpacing/>
              <w:rPr>
                <w:rFonts w:eastAsia="Calibri" w:cs="Times New Roman"/>
                <w:color w:val="auto"/>
                <w:sz w:val="22"/>
                <w:szCs w:val="22"/>
              </w:rPr>
            </w:pPr>
            <w:r>
              <w:rPr>
                <w:rFonts w:eastAsia="Calibri" w:cs="Times New Roman"/>
                <w:color w:val="auto"/>
                <w:sz w:val="22"/>
                <w:szCs w:val="22"/>
              </w:rPr>
              <w:t>MEB ~</w:t>
            </w:r>
            <w:r w:rsidR="007A51DF">
              <w:rPr>
                <w:rFonts w:eastAsia="Calibri" w:cs="Times New Roman"/>
                <w:color w:val="auto"/>
                <w:sz w:val="22"/>
                <w:szCs w:val="22"/>
              </w:rPr>
              <w:t>4</w:t>
            </w:r>
            <w:r w:rsidR="003C53E8" w:rsidRPr="003C53E8">
              <w:rPr>
                <w:rFonts w:eastAsia="Calibri" w:cs="Times New Roman"/>
                <w:color w:val="auto"/>
                <w:sz w:val="22"/>
                <w:szCs w:val="22"/>
              </w:rPr>
              <w:t xml:space="preserve"> </w:t>
            </w:r>
            <w:r>
              <w:rPr>
                <w:rFonts w:eastAsia="Calibri" w:cs="Times New Roman"/>
                <w:color w:val="auto"/>
                <w:sz w:val="22"/>
                <w:szCs w:val="22"/>
              </w:rPr>
              <w:t>Mo. Pre-</w:t>
            </w:r>
            <w:r w:rsidR="003C53E8" w:rsidRPr="003C53E8">
              <w:rPr>
                <w:rFonts w:eastAsia="Calibri" w:cs="Times New Roman"/>
                <w:color w:val="auto"/>
                <w:sz w:val="22"/>
                <w:szCs w:val="22"/>
              </w:rPr>
              <w:t>Sep</w:t>
            </w:r>
          </w:p>
        </w:tc>
        <w:tc>
          <w:tcPr>
            <w:tcW w:w="2340" w:type="dxa"/>
            <w:shd w:val="clear" w:color="auto" w:fill="D9D9D9" w:themeFill="background1" w:themeFillShade="D9"/>
          </w:tcPr>
          <w:p w:rsidR="003C53E8" w:rsidRPr="003C53E8" w:rsidRDefault="003C53E8" w:rsidP="007A51DF">
            <w:pPr>
              <w:contextualSpacing/>
              <w:rPr>
                <w:rFonts w:eastAsiaTheme="minorHAnsi" w:cstheme="minorBidi"/>
                <w:color w:val="auto"/>
                <w:sz w:val="22"/>
                <w:szCs w:val="22"/>
              </w:rPr>
            </w:pPr>
            <w:r w:rsidRPr="003C53E8">
              <w:rPr>
                <w:rFonts w:eastAsia="Calibri" w:cs="Times New Roman"/>
                <w:color w:val="auto"/>
                <w:sz w:val="22"/>
                <w:szCs w:val="22"/>
              </w:rPr>
              <w:t>VA</w:t>
            </w:r>
            <w:r w:rsidRPr="003C53E8">
              <w:rPr>
                <w:rFonts w:eastAsiaTheme="minorHAnsi" w:cstheme="minorBidi"/>
                <w:color w:val="auto"/>
                <w:sz w:val="22"/>
                <w:szCs w:val="22"/>
              </w:rPr>
              <w:t xml:space="preserve"> C&amp;P </w:t>
            </w:r>
            <w:r w:rsidR="0097750D">
              <w:rPr>
                <w:rFonts w:eastAsia="Calibri" w:cs="Times New Roman"/>
                <w:color w:val="auto"/>
                <w:sz w:val="22"/>
                <w:szCs w:val="22"/>
              </w:rPr>
              <w:t>~1</w:t>
            </w:r>
            <w:r w:rsidR="0097750D" w:rsidRPr="003C53E8">
              <w:rPr>
                <w:rFonts w:eastAsia="Calibri" w:cs="Times New Roman"/>
                <w:color w:val="auto"/>
                <w:sz w:val="22"/>
                <w:szCs w:val="22"/>
              </w:rPr>
              <w:t xml:space="preserve"> </w:t>
            </w:r>
            <w:r w:rsidR="0097750D">
              <w:rPr>
                <w:rFonts w:eastAsia="Calibri" w:cs="Times New Roman"/>
                <w:color w:val="auto"/>
                <w:sz w:val="22"/>
                <w:szCs w:val="22"/>
              </w:rPr>
              <w:t>Mo. Pre-</w:t>
            </w:r>
            <w:r w:rsidR="0097750D" w:rsidRPr="003C53E8">
              <w:rPr>
                <w:rFonts w:eastAsia="Calibri" w:cs="Times New Roman"/>
                <w:color w:val="auto"/>
                <w:sz w:val="22"/>
                <w:szCs w:val="22"/>
              </w:rPr>
              <w:t>Sep</w:t>
            </w:r>
          </w:p>
        </w:tc>
      </w:tr>
      <w:tr w:rsidR="003C53E8" w:rsidRPr="003C53E8" w:rsidTr="00E614DB">
        <w:trPr>
          <w:jc w:val="center"/>
        </w:trPr>
        <w:tc>
          <w:tcPr>
            <w:tcW w:w="2160" w:type="dxa"/>
          </w:tcPr>
          <w:p w:rsidR="003C53E8" w:rsidRPr="003C53E8" w:rsidRDefault="00E614DB" w:rsidP="003C53E8">
            <w:pPr>
              <w:contextualSpacing/>
              <w:rPr>
                <w:rFonts w:eastAsia="Calibri" w:cs="Times New Roman"/>
                <w:color w:val="auto"/>
                <w:sz w:val="22"/>
                <w:szCs w:val="22"/>
              </w:rPr>
            </w:pPr>
            <w:r>
              <w:rPr>
                <w:rFonts w:eastAsia="Calibri" w:cs="Times New Roman"/>
                <w:color w:val="auto"/>
                <w:sz w:val="22"/>
                <w:szCs w:val="22"/>
              </w:rPr>
              <w:t>Flexion (90⁰ N</w:t>
            </w:r>
            <w:r w:rsidR="003C53E8" w:rsidRPr="003C53E8">
              <w:rPr>
                <w:rFonts w:eastAsia="Calibri" w:cs="Times New Roman"/>
                <w:color w:val="auto"/>
                <w:sz w:val="22"/>
                <w:szCs w:val="22"/>
              </w:rPr>
              <w:t>ormal</w:t>
            </w:r>
            <w:r>
              <w:rPr>
                <w:rFonts w:eastAsia="Calibri" w:cs="Times New Roman"/>
                <w:color w:val="auto"/>
                <w:sz w:val="22"/>
                <w:szCs w:val="22"/>
              </w:rPr>
              <w:t>)</w:t>
            </w:r>
          </w:p>
        </w:tc>
        <w:tc>
          <w:tcPr>
            <w:tcW w:w="2115" w:type="dxa"/>
          </w:tcPr>
          <w:p w:rsidR="003C53E8" w:rsidRPr="003C53E8" w:rsidRDefault="00904083" w:rsidP="00904083">
            <w:pPr>
              <w:contextualSpacing/>
              <w:rPr>
                <w:rFonts w:eastAsia="Calibri" w:cs="Times New Roman"/>
                <w:color w:val="auto"/>
                <w:sz w:val="22"/>
                <w:szCs w:val="22"/>
              </w:rPr>
            </w:pPr>
            <w:r>
              <w:rPr>
                <w:rFonts w:eastAsia="Calibri" w:cs="Times New Roman"/>
                <w:color w:val="auto"/>
                <w:sz w:val="22"/>
                <w:szCs w:val="22"/>
              </w:rPr>
              <w:t>50</w:t>
            </w:r>
            <w:r w:rsidR="003C53E8" w:rsidRPr="003C53E8">
              <w:rPr>
                <w:rFonts w:eastAsia="Calibri" w:cs="Times New Roman"/>
                <w:color w:val="auto"/>
                <w:sz w:val="22"/>
                <w:szCs w:val="22"/>
              </w:rPr>
              <w:t>⁰</w:t>
            </w:r>
          </w:p>
        </w:tc>
        <w:tc>
          <w:tcPr>
            <w:tcW w:w="2340" w:type="dxa"/>
          </w:tcPr>
          <w:p w:rsidR="003C53E8" w:rsidRPr="003C53E8" w:rsidRDefault="00904083" w:rsidP="00904083">
            <w:pPr>
              <w:contextualSpacing/>
              <w:rPr>
                <w:rFonts w:eastAsia="Calibri" w:cs="Times New Roman"/>
                <w:color w:val="auto"/>
                <w:sz w:val="22"/>
                <w:szCs w:val="22"/>
              </w:rPr>
            </w:pPr>
            <w:r>
              <w:rPr>
                <w:rFonts w:eastAsia="Calibri" w:cs="Times New Roman"/>
                <w:color w:val="auto"/>
                <w:sz w:val="22"/>
                <w:szCs w:val="22"/>
              </w:rPr>
              <w:t>80</w:t>
            </w:r>
            <w:r w:rsidR="003C53E8" w:rsidRPr="003C53E8">
              <w:rPr>
                <w:rFonts w:eastAsia="Calibri" w:cs="Times New Roman"/>
                <w:color w:val="auto"/>
                <w:sz w:val="22"/>
                <w:szCs w:val="22"/>
              </w:rPr>
              <w:t>⁰</w:t>
            </w:r>
          </w:p>
        </w:tc>
      </w:tr>
      <w:tr w:rsidR="003C53E8" w:rsidRPr="003C53E8" w:rsidTr="00E614DB">
        <w:trPr>
          <w:jc w:val="center"/>
        </w:trPr>
        <w:tc>
          <w:tcPr>
            <w:tcW w:w="2160" w:type="dxa"/>
          </w:tcPr>
          <w:p w:rsidR="003C53E8" w:rsidRPr="003C53E8" w:rsidRDefault="003C53E8" w:rsidP="00E614DB">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E614DB">
              <w:rPr>
                <w:rFonts w:eastAsia="Calibri" w:cs="Times New Roman"/>
                <w:color w:val="auto"/>
                <w:sz w:val="22"/>
                <w:szCs w:val="22"/>
              </w:rPr>
              <w:t>(</w:t>
            </w:r>
            <w:r w:rsidRPr="003C53E8">
              <w:rPr>
                <w:rFonts w:eastAsia="Calibri" w:cs="Times New Roman"/>
                <w:color w:val="auto"/>
                <w:sz w:val="22"/>
                <w:szCs w:val="22"/>
              </w:rPr>
              <w:t>240⁰</w:t>
            </w:r>
            <w:r w:rsidR="00E614DB">
              <w:rPr>
                <w:rFonts w:eastAsia="Calibri" w:cs="Times New Roman"/>
                <w:color w:val="auto"/>
                <w:sz w:val="22"/>
                <w:szCs w:val="22"/>
              </w:rPr>
              <w:t>)</w:t>
            </w:r>
            <w:r w:rsidRPr="003C53E8">
              <w:rPr>
                <w:rFonts w:eastAsia="Calibri" w:cs="Times New Roman"/>
                <w:color w:val="auto"/>
                <w:sz w:val="22"/>
                <w:szCs w:val="22"/>
              </w:rPr>
              <w:t xml:space="preserve"> </w:t>
            </w:r>
          </w:p>
        </w:tc>
        <w:tc>
          <w:tcPr>
            <w:tcW w:w="2115" w:type="dxa"/>
          </w:tcPr>
          <w:p w:rsidR="003C53E8" w:rsidRPr="003C53E8" w:rsidRDefault="00904083" w:rsidP="003C53E8">
            <w:pPr>
              <w:contextualSpacing/>
              <w:rPr>
                <w:rFonts w:eastAsia="Calibri" w:cs="Times New Roman"/>
                <w:color w:val="auto"/>
                <w:sz w:val="22"/>
                <w:szCs w:val="22"/>
              </w:rPr>
            </w:pPr>
            <w:r>
              <w:rPr>
                <w:rFonts w:eastAsia="Calibri" w:cs="Times New Roman"/>
                <w:color w:val="auto"/>
                <w:sz w:val="22"/>
                <w:szCs w:val="22"/>
              </w:rPr>
              <w:t>175</w:t>
            </w:r>
            <w:r w:rsidR="003C53E8" w:rsidRPr="003C53E8">
              <w:rPr>
                <w:rFonts w:eastAsia="Calibri" w:cs="Times New Roman"/>
                <w:color w:val="auto"/>
                <w:sz w:val="22"/>
                <w:szCs w:val="22"/>
              </w:rPr>
              <w:t>⁰</w:t>
            </w:r>
          </w:p>
        </w:tc>
        <w:tc>
          <w:tcPr>
            <w:tcW w:w="2340" w:type="dxa"/>
          </w:tcPr>
          <w:p w:rsidR="003C53E8" w:rsidRPr="003C53E8" w:rsidRDefault="00336CFD" w:rsidP="003C53E8">
            <w:pPr>
              <w:contextualSpacing/>
              <w:rPr>
                <w:rFonts w:eastAsia="Calibri" w:cs="Times New Roman"/>
                <w:color w:val="auto"/>
                <w:sz w:val="22"/>
                <w:szCs w:val="22"/>
              </w:rPr>
            </w:pPr>
            <w:r>
              <w:rPr>
                <w:rFonts w:eastAsia="Calibri" w:cs="Times New Roman"/>
                <w:color w:val="auto"/>
                <w:sz w:val="22"/>
                <w:szCs w:val="22"/>
              </w:rPr>
              <w:t>19</w:t>
            </w:r>
            <w:r w:rsidR="00904083">
              <w:rPr>
                <w:rFonts w:eastAsia="Calibri" w:cs="Times New Roman"/>
                <w:color w:val="auto"/>
                <w:sz w:val="22"/>
                <w:szCs w:val="22"/>
              </w:rPr>
              <w:t>0</w:t>
            </w:r>
            <w:r w:rsidR="003C53E8" w:rsidRPr="003C53E8">
              <w:rPr>
                <w:rFonts w:eastAsia="Calibri" w:cs="Times New Roman"/>
                <w:color w:val="auto"/>
                <w:sz w:val="22"/>
                <w:szCs w:val="22"/>
              </w:rPr>
              <w:t>⁰</w:t>
            </w:r>
          </w:p>
        </w:tc>
      </w:tr>
      <w:tr w:rsidR="003C53E8" w:rsidRPr="003C53E8" w:rsidTr="00E614DB">
        <w:trPr>
          <w:jc w:val="center"/>
        </w:trPr>
        <w:tc>
          <w:tcPr>
            <w:tcW w:w="2160" w:type="dxa"/>
          </w:tcPr>
          <w:p w:rsidR="003C53E8" w:rsidRPr="003C53E8" w:rsidRDefault="003C53E8"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2115" w:type="dxa"/>
          </w:tcPr>
          <w:p w:rsidR="003C53E8" w:rsidRPr="003C53E8" w:rsidRDefault="00E614DB"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Neg. DeLuca.</w:t>
            </w:r>
          </w:p>
        </w:tc>
        <w:tc>
          <w:tcPr>
            <w:tcW w:w="2340" w:type="dxa"/>
          </w:tcPr>
          <w:p w:rsidR="003C53E8" w:rsidRPr="003C53E8" w:rsidRDefault="00E614DB" w:rsidP="003C53E8">
            <w:pPr>
              <w:tabs>
                <w:tab w:val="left" w:pos="288"/>
                <w:tab w:val="left" w:pos="4752"/>
              </w:tabs>
              <w:rPr>
                <w:rFonts w:asciiTheme="minorHAnsi" w:eastAsiaTheme="minorHAnsi" w:hAnsiTheme="minorHAnsi" w:cs="Times New Roman"/>
                <w:color w:val="auto"/>
                <w:sz w:val="22"/>
                <w:szCs w:val="22"/>
              </w:rPr>
            </w:pPr>
            <w:proofErr w:type="spellStart"/>
            <w:r>
              <w:rPr>
                <w:rFonts w:asciiTheme="minorHAnsi" w:eastAsiaTheme="minorHAnsi" w:hAnsiTheme="minorHAnsi" w:cs="Times New Roman"/>
                <w:color w:val="auto"/>
                <w:sz w:val="22"/>
                <w:szCs w:val="22"/>
              </w:rPr>
              <w:t>Nl</w:t>
            </w:r>
            <w:proofErr w:type="spellEnd"/>
            <w:r>
              <w:rPr>
                <w:rFonts w:asciiTheme="minorHAnsi" w:eastAsiaTheme="minorHAnsi" w:hAnsiTheme="minorHAnsi" w:cs="Times New Roman"/>
                <w:color w:val="auto"/>
                <w:sz w:val="22"/>
                <w:szCs w:val="22"/>
              </w:rPr>
              <w:t>. Gait; neg. DeLuca.</w:t>
            </w:r>
          </w:p>
        </w:tc>
      </w:tr>
      <w:tr w:rsidR="003C53E8" w:rsidRPr="003C53E8" w:rsidTr="00E614DB">
        <w:trPr>
          <w:trHeight w:val="70"/>
          <w:jc w:val="center"/>
        </w:trPr>
        <w:tc>
          <w:tcPr>
            <w:tcW w:w="2160" w:type="dxa"/>
          </w:tcPr>
          <w:p w:rsidR="003C53E8" w:rsidRPr="003C53E8" w:rsidRDefault="003C53E8"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115" w:type="dxa"/>
          </w:tcPr>
          <w:p w:rsidR="003C53E8" w:rsidRPr="003C53E8" w:rsidRDefault="00904083"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p>
        </w:tc>
        <w:tc>
          <w:tcPr>
            <w:tcW w:w="2340" w:type="dxa"/>
          </w:tcPr>
          <w:p w:rsidR="003C53E8" w:rsidRPr="003C53E8" w:rsidRDefault="00904083"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r>
    </w:tbl>
    <w:p w:rsidR="00050677" w:rsidRDefault="00050677" w:rsidP="003C53E8">
      <w:pPr>
        <w:tabs>
          <w:tab w:val="left" w:pos="288"/>
          <w:tab w:val="left" w:pos="4752"/>
        </w:tabs>
        <w:jc w:val="left"/>
        <w:rPr>
          <w:rFonts w:asciiTheme="minorHAnsi" w:hAnsiTheme="minorHAnsi" w:cs="Times New Roman"/>
          <w:color w:val="auto"/>
          <w:szCs w:val="24"/>
        </w:rPr>
      </w:pPr>
    </w:p>
    <w:p w:rsidR="0010426A" w:rsidRDefault="00336CFD" w:rsidP="00050677">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The MEB</w:t>
      </w:r>
      <w:r w:rsidR="00E614DB">
        <w:rPr>
          <w:rFonts w:asciiTheme="minorHAnsi" w:hAnsiTheme="minorHAnsi" w:cs="Times New Roman"/>
          <w:color w:val="auto"/>
          <w:szCs w:val="24"/>
        </w:rPr>
        <w:t>’s</w:t>
      </w:r>
      <w:r>
        <w:rPr>
          <w:rFonts w:asciiTheme="minorHAnsi" w:hAnsiTheme="minorHAnsi" w:cs="Times New Roman"/>
          <w:color w:val="auto"/>
          <w:szCs w:val="24"/>
        </w:rPr>
        <w:t xml:space="preserve"> narrative summary (NARSUM)</w:t>
      </w:r>
      <w:r w:rsidR="00E614DB">
        <w:rPr>
          <w:rFonts w:asciiTheme="minorHAnsi" w:hAnsiTheme="minorHAnsi" w:cs="Times New Roman"/>
          <w:color w:val="auto"/>
          <w:szCs w:val="24"/>
        </w:rPr>
        <w:t xml:space="preserve"> </w:t>
      </w:r>
      <w:r w:rsidR="00492637">
        <w:rPr>
          <w:rFonts w:asciiTheme="minorHAnsi" w:hAnsiTheme="minorHAnsi" w:cs="Times New Roman"/>
          <w:color w:val="auto"/>
          <w:szCs w:val="24"/>
        </w:rPr>
        <w:t>provides scant ratable data.</w:t>
      </w:r>
      <w:r>
        <w:rPr>
          <w:rFonts w:asciiTheme="minorHAnsi" w:hAnsiTheme="minorHAnsi" w:cs="Times New Roman"/>
          <w:color w:val="auto"/>
          <w:szCs w:val="24"/>
        </w:rPr>
        <w:t xml:space="preserve"> </w:t>
      </w:r>
      <w:r w:rsidR="00492637">
        <w:rPr>
          <w:rFonts w:asciiTheme="minorHAnsi" w:hAnsiTheme="minorHAnsi" w:cs="Times New Roman"/>
          <w:color w:val="auto"/>
          <w:szCs w:val="24"/>
        </w:rPr>
        <w:t xml:space="preserve"> ROM measurements conducted by </w:t>
      </w:r>
      <w:r w:rsidR="005C4018">
        <w:rPr>
          <w:rFonts w:asciiTheme="minorHAnsi" w:hAnsiTheme="minorHAnsi" w:cs="Times New Roman"/>
          <w:color w:val="auto"/>
          <w:szCs w:val="24"/>
        </w:rPr>
        <w:t>p</w:t>
      </w:r>
      <w:r w:rsidR="00A200E4">
        <w:rPr>
          <w:rFonts w:asciiTheme="minorHAnsi" w:hAnsiTheme="minorHAnsi" w:cs="Times New Roman"/>
          <w:color w:val="auto"/>
          <w:szCs w:val="24"/>
        </w:rPr>
        <w:t xml:space="preserve">hysical </w:t>
      </w:r>
      <w:r w:rsidR="005C4018">
        <w:rPr>
          <w:rFonts w:asciiTheme="minorHAnsi" w:hAnsiTheme="minorHAnsi" w:cs="Times New Roman"/>
          <w:color w:val="auto"/>
          <w:szCs w:val="24"/>
        </w:rPr>
        <w:t>t</w:t>
      </w:r>
      <w:r w:rsidR="00A200E4">
        <w:rPr>
          <w:rFonts w:asciiTheme="minorHAnsi" w:hAnsiTheme="minorHAnsi" w:cs="Times New Roman"/>
          <w:color w:val="auto"/>
          <w:szCs w:val="24"/>
        </w:rPr>
        <w:t>herapy (PT) specified</w:t>
      </w:r>
      <w:r w:rsidR="00492637">
        <w:rPr>
          <w:rFonts w:asciiTheme="minorHAnsi" w:hAnsiTheme="minorHAnsi" w:cs="Times New Roman"/>
          <w:color w:val="auto"/>
          <w:szCs w:val="24"/>
        </w:rPr>
        <w:t xml:space="preserve"> that the values </w:t>
      </w:r>
      <w:r w:rsidR="00E614DB">
        <w:rPr>
          <w:rFonts w:asciiTheme="minorHAnsi" w:hAnsiTheme="minorHAnsi" w:cs="Times New Roman"/>
          <w:color w:val="auto"/>
          <w:szCs w:val="24"/>
        </w:rPr>
        <w:t>were “limited by pain &amp; represents patient</w:t>
      </w:r>
      <w:r w:rsidR="00A200E4">
        <w:rPr>
          <w:rFonts w:asciiTheme="minorHAnsi" w:hAnsiTheme="minorHAnsi" w:cs="Times New Roman"/>
          <w:color w:val="auto"/>
          <w:szCs w:val="24"/>
        </w:rPr>
        <w:t>’s willingness to move through pain</w:t>
      </w:r>
      <w:r w:rsidR="005C4018">
        <w:rPr>
          <w:rFonts w:asciiTheme="minorHAnsi" w:hAnsiTheme="minorHAnsi" w:cs="Times New Roman"/>
          <w:color w:val="auto"/>
          <w:szCs w:val="24"/>
        </w:rPr>
        <w:t>;</w:t>
      </w:r>
      <w:r w:rsidR="00A200E4">
        <w:rPr>
          <w:rFonts w:asciiTheme="minorHAnsi" w:hAnsiTheme="minorHAnsi" w:cs="Times New Roman"/>
          <w:color w:val="auto"/>
          <w:szCs w:val="24"/>
        </w:rPr>
        <w:t>” therefore, they were</w:t>
      </w:r>
      <w:r w:rsidR="00492637">
        <w:rPr>
          <w:rFonts w:asciiTheme="minorHAnsi" w:hAnsiTheme="minorHAnsi" w:cs="Times New Roman"/>
          <w:color w:val="auto"/>
          <w:szCs w:val="24"/>
        </w:rPr>
        <w:t xml:space="preserve"> not VASRD compliant.  There was no mention of </w:t>
      </w:r>
      <w:r w:rsidR="00992426">
        <w:rPr>
          <w:rFonts w:asciiTheme="minorHAnsi" w:hAnsiTheme="minorHAnsi" w:cs="Times New Roman"/>
          <w:color w:val="auto"/>
          <w:szCs w:val="24"/>
        </w:rPr>
        <w:t xml:space="preserve">muscle spasm </w:t>
      </w:r>
      <w:r w:rsidR="00492637">
        <w:rPr>
          <w:rFonts w:asciiTheme="minorHAnsi" w:hAnsiTheme="minorHAnsi" w:cs="Times New Roman"/>
          <w:color w:val="auto"/>
          <w:szCs w:val="24"/>
        </w:rPr>
        <w:t>or</w:t>
      </w:r>
      <w:r w:rsidR="00992426">
        <w:rPr>
          <w:rFonts w:asciiTheme="minorHAnsi" w:hAnsiTheme="minorHAnsi" w:cs="Times New Roman"/>
          <w:color w:val="auto"/>
          <w:szCs w:val="24"/>
        </w:rPr>
        <w:t xml:space="preserve"> abnormal</w:t>
      </w:r>
      <w:r w:rsidR="00992426" w:rsidRPr="00992426">
        <w:rPr>
          <w:rFonts w:asciiTheme="minorHAnsi" w:hAnsiTheme="minorHAnsi" w:cs="Times New Roman"/>
          <w:color w:val="auto"/>
          <w:szCs w:val="24"/>
        </w:rPr>
        <w:t xml:space="preserve"> </w:t>
      </w:r>
      <w:r w:rsidR="00992426">
        <w:rPr>
          <w:rFonts w:asciiTheme="minorHAnsi" w:hAnsiTheme="minorHAnsi" w:cs="Times New Roman"/>
          <w:color w:val="auto"/>
          <w:szCs w:val="24"/>
        </w:rPr>
        <w:t>gait</w:t>
      </w:r>
      <w:r w:rsidR="00492637">
        <w:rPr>
          <w:rFonts w:asciiTheme="minorHAnsi" w:hAnsiTheme="minorHAnsi" w:cs="Times New Roman"/>
          <w:color w:val="auto"/>
          <w:szCs w:val="24"/>
        </w:rPr>
        <w:t xml:space="preserve">.  A </w:t>
      </w:r>
      <w:r w:rsidR="00C80569">
        <w:rPr>
          <w:rFonts w:asciiTheme="minorHAnsi" w:hAnsiTheme="minorHAnsi" w:cs="Times New Roman"/>
          <w:color w:val="auto"/>
          <w:szCs w:val="24"/>
        </w:rPr>
        <w:t xml:space="preserve">Physical Medicine and Rehabilitation (PM&amp;R) </w:t>
      </w:r>
      <w:r w:rsidR="00253EAD">
        <w:rPr>
          <w:rFonts w:asciiTheme="minorHAnsi" w:hAnsiTheme="minorHAnsi" w:cs="Times New Roman"/>
          <w:color w:val="auto"/>
          <w:szCs w:val="24"/>
        </w:rPr>
        <w:t>examination</w:t>
      </w:r>
      <w:r w:rsidR="00492637">
        <w:rPr>
          <w:rFonts w:asciiTheme="minorHAnsi" w:hAnsiTheme="minorHAnsi" w:cs="Times New Roman"/>
          <w:color w:val="auto"/>
          <w:szCs w:val="24"/>
        </w:rPr>
        <w:t xml:space="preserve"> </w:t>
      </w:r>
      <w:r w:rsidR="00A200E4">
        <w:rPr>
          <w:rFonts w:asciiTheme="minorHAnsi" w:hAnsiTheme="minorHAnsi" w:cs="Times New Roman"/>
          <w:color w:val="auto"/>
          <w:szCs w:val="24"/>
        </w:rPr>
        <w:t>contemporary with the PT evaluation</w:t>
      </w:r>
      <w:r w:rsidR="00492637">
        <w:rPr>
          <w:rFonts w:asciiTheme="minorHAnsi" w:hAnsiTheme="minorHAnsi" w:cs="Times New Roman"/>
          <w:color w:val="auto"/>
          <w:szCs w:val="24"/>
        </w:rPr>
        <w:t xml:space="preserve"> </w:t>
      </w:r>
      <w:r w:rsidR="00134EF9">
        <w:rPr>
          <w:rFonts w:asciiTheme="minorHAnsi" w:hAnsiTheme="minorHAnsi" w:cs="Times New Roman"/>
          <w:color w:val="auto"/>
          <w:szCs w:val="24"/>
        </w:rPr>
        <w:t>noted that the CI’s trunk mobility was “very limited” with flexion to 50</w:t>
      </w:r>
      <w:r w:rsidR="00134EF9" w:rsidRPr="00336CFD">
        <w:rPr>
          <w:rFonts w:asciiTheme="minorHAnsi" w:hAnsiTheme="minorHAnsi" w:cs="Times New Roman"/>
          <w:color w:val="auto"/>
          <w:szCs w:val="24"/>
        </w:rPr>
        <w:t>⁰</w:t>
      </w:r>
      <w:r w:rsidR="000143CB">
        <w:rPr>
          <w:rFonts w:asciiTheme="minorHAnsi" w:hAnsiTheme="minorHAnsi" w:cs="Times New Roman"/>
          <w:color w:val="auto"/>
          <w:szCs w:val="24"/>
        </w:rPr>
        <w:t>.  There was paraspinal</w:t>
      </w:r>
      <w:r w:rsidR="00134EF9">
        <w:rPr>
          <w:rFonts w:asciiTheme="minorHAnsi" w:hAnsiTheme="minorHAnsi" w:cs="Times New Roman"/>
          <w:color w:val="auto"/>
          <w:szCs w:val="24"/>
        </w:rPr>
        <w:t xml:space="preserve"> tenderness, but a normal motor and sensory exam of the lower extremities.  </w:t>
      </w:r>
      <w:r>
        <w:rPr>
          <w:rFonts w:asciiTheme="minorHAnsi" w:hAnsiTheme="minorHAnsi" w:cs="Times New Roman"/>
          <w:color w:val="auto"/>
          <w:szCs w:val="24"/>
        </w:rPr>
        <w:t xml:space="preserve">One month prior to separation a </w:t>
      </w:r>
      <w:r w:rsidR="0026557B">
        <w:rPr>
          <w:rFonts w:asciiTheme="minorHAnsi" w:hAnsiTheme="minorHAnsi" w:cs="Times New Roman"/>
          <w:color w:val="auto"/>
          <w:szCs w:val="24"/>
        </w:rPr>
        <w:t>Department of Veterans’ Affairs (</w:t>
      </w:r>
      <w:r w:rsidR="00893F39">
        <w:rPr>
          <w:rFonts w:asciiTheme="minorHAnsi" w:hAnsiTheme="minorHAnsi" w:cs="Times New Roman"/>
          <w:color w:val="auto"/>
          <w:szCs w:val="24"/>
        </w:rPr>
        <w:t>D</w:t>
      </w:r>
      <w:r w:rsidR="001F10B4" w:rsidRPr="003C53E8">
        <w:rPr>
          <w:rFonts w:asciiTheme="minorHAnsi" w:hAnsiTheme="minorHAnsi" w:cs="Times New Roman"/>
          <w:color w:val="auto"/>
          <w:szCs w:val="24"/>
        </w:rPr>
        <w:t>VA</w:t>
      </w:r>
      <w:r w:rsidR="0026557B">
        <w:rPr>
          <w:rFonts w:asciiTheme="minorHAnsi" w:hAnsiTheme="minorHAnsi" w:cs="Times New Roman"/>
          <w:color w:val="auto"/>
          <w:szCs w:val="24"/>
        </w:rPr>
        <w:t>)</w:t>
      </w:r>
      <w:r w:rsidR="001F10B4" w:rsidRPr="003C53E8">
        <w:rPr>
          <w:rFonts w:asciiTheme="minorHAnsi" w:hAnsiTheme="minorHAnsi" w:cs="Times New Roman"/>
          <w:color w:val="auto"/>
          <w:szCs w:val="24"/>
        </w:rPr>
        <w:t xml:space="preserve"> Compensation &amp; Pension (C&amp;P) exam</w:t>
      </w:r>
      <w:r w:rsidR="001F10B4">
        <w:rPr>
          <w:rFonts w:asciiTheme="minorHAnsi" w:hAnsiTheme="minorHAnsi" w:cs="Times New Roman"/>
          <w:color w:val="auto"/>
          <w:szCs w:val="24"/>
        </w:rPr>
        <w:t xml:space="preserve">iner </w:t>
      </w:r>
      <w:r>
        <w:rPr>
          <w:rFonts w:asciiTheme="minorHAnsi" w:hAnsiTheme="minorHAnsi" w:cs="Times New Roman"/>
          <w:color w:val="auto"/>
          <w:szCs w:val="24"/>
        </w:rPr>
        <w:t xml:space="preserve">documented a normal gait and </w:t>
      </w:r>
      <w:r w:rsidR="000143CB">
        <w:rPr>
          <w:rFonts w:asciiTheme="minorHAnsi" w:hAnsiTheme="minorHAnsi" w:cs="Times New Roman"/>
          <w:color w:val="auto"/>
          <w:szCs w:val="24"/>
        </w:rPr>
        <w:t xml:space="preserve">paraspinal </w:t>
      </w:r>
      <w:r>
        <w:rPr>
          <w:rFonts w:asciiTheme="minorHAnsi" w:hAnsiTheme="minorHAnsi" w:cs="Times New Roman"/>
          <w:color w:val="auto"/>
          <w:szCs w:val="24"/>
        </w:rPr>
        <w:t>tenderness without spasm.  Flexion was decreased to 80</w:t>
      </w:r>
      <w:r w:rsidRPr="00336CFD">
        <w:rPr>
          <w:rFonts w:asciiTheme="minorHAnsi" w:hAnsiTheme="minorHAnsi" w:cs="Times New Roman"/>
          <w:color w:val="auto"/>
          <w:szCs w:val="24"/>
        </w:rPr>
        <w:t>⁰</w:t>
      </w:r>
      <w:r>
        <w:rPr>
          <w:rFonts w:asciiTheme="minorHAnsi" w:hAnsiTheme="minorHAnsi" w:cs="Times New Roman"/>
          <w:color w:val="auto"/>
          <w:szCs w:val="24"/>
        </w:rPr>
        <w:t xml:space="preserve"> with pain beginning at 70</w:t>
      </w:r>
      <w:r w:rsidRPr="00336CFD">
        <w:rPr>
          <w:rFonts w:asciiTheme="minorHAnsi" w:hAnsiTheme="minorHAnsi" w:cs="Times New Roman"/>
          <w:color w:val="auto"/>
          <w:szCs w:val="24"/>
        </w:rPr>
        <w:t>⁰</w:t>
      </w:r>
      <w:r>
        <w:rPr>
          <w:rFonts w:asciiTheme="minorHAnsi" w:hAnsiTheme="minorHAnsi" w:cs="Times New Roman"/>
          <w:color w:val="auto"/>
          <w:szCs w:val="24"/>
        </w:rPr>
        <w:t>.  The lower extremity motor exam was normal without atrophy or loss of strength.  The neurologic exam was notable for normal reflexes, but decreased sensation in a non-dermatomal pattern</w:t>
      </w:r>
      <w:r w:rsidR="00FC61E1">
        <w:rPr>
          <w:rFonts w:asciiTheme="minorHAnsi" w:hAnsiTheme="minorHAnsi" w:cs="Times New Roman"/>
          <w:color w:val="auto"/>
          <w:szCs w:val="24"/>
        </w:rPr>
        <w:t xml:space="preserve"> of the “</w:t>
      </w:r>
      <w:r w:rsidR="003030F5">
        <w:rPr>
          <w:rFonts w:asciiTheme="minorHAnsi" w:hAnsiTheme="minorHAnsi" w:cs="Times New Roman"/>
          <w:color w:val="auto"/>
          <w:szCs w:val="24"/>
        </w:rPr>
        <w:t>entire lower extremity</w:t>
      </w:r>
      <w:r>
        <w:rPr>
          <w:rFonts w:asciiTheme="minorHAnsi" w:hAnsiTheme="minorHAnsi" w:cs="Times New Roman"/>
          <w:color w:val="auto"/>
          <w:szCs w:val="24"/>
        </w:rPr>
        <w:t>.</w:t>
      </w:r>
      <w:r w:rsidR="00FC61E1">
        <w:rPr>
          <w:rFonts w:asciiTheme="minorHAnsi" w:hAnsiTheme="minorHAnsi" w:cs="Times New Roman"/>
          <w:color w:val="auto"/>
          <w:szCs w:val="24"/>
        </w:rPr>
        <w:t>”</w:t>
      </w:r>
      <w:r>
        <w:rPr>
          <w:rFonts w:asciiTheme="minorHAnsi" w:hAnsiTheme="minorHAnsi" w:cs="Times New Roman"/>
          <w:color w:val="auto"/>
          <w:szCs w:val="24"/>
        </w:rPr>
        <w:t xml:space="preserve">  </w:t>
      </w:r>
      <w:r w:rsidR="00C80569">
        <w:rPr>
          <w:rFonts w:asciiTheme="minorHAnsi" w:hAnsiTheme="minorHAnsi" w:cs="Times New Roman"/>
          <w:color w:val="auto"/>
          <w:szCs w:val="24"/>
        </w:rPr>
        <w:t>The earliest follow-up</w:t>
      </w:r>
      <w:r w:rsidR="00992426">
        <w:rPr>
          <w:rFonts w:asciiTheme="minorHAnsi" w:hAnsiTheme="minorHAnsi" w:cs="Times New Roman"/>
          <w:color w:val="auto"/>
          <w:szCs w:val="24"/>
        </w:rPr>
        <w:t xml:space="preserve"> </w:t>
      </w:r>
      <w:r w:rsidR="00C80569">
        <w:rPr>
          <w:rFonts w:asciiTheme="minorHAnsi" w:hAnsiTheme="minorHAnsi" w:cs="Times New Roman"/>
          <w:color w:val="auto"/>
          <w:szCs w:val="24"/>
        </w:rPr>
        <w:t xml:space="preserve">evaluation by the VA was </w:t>
      </w:r>
      <w:r w:rsidR="00992426">
        <w:rPr>
          <w:rFonts w:asciiTheme="minorHAnsi" w:hAnsiTheme="minorHAnsi" w:cs="Times New Roman"/>
          <w:color w:val="auto"/>
          <w:szCs w:val="24"/>
        </w:rPr>
        <w:t>20 months after separation</w:t>
      </w:r>
      <w:r w:rsidR="00C80569">
        <w:rPr>
          <w:rFonts w:asciiTheme="minorHAnsi" w:hAnsiTheme="minorHAnsi" w:cs="Times New Roman"/>
          <w:color w:val="auto"/>
          <w:szCs w:val="24"/>
        </w:rPr>
        <w:t xml:space="preserve">, and thus is not directly probative; but, it did document similar findings to the C&amp;P evaluation proximate to separation.  </w:t>
      </w:r>
      <w:r w:rsidR="003C53E8" w:rsidRPr="00380A7F">
        <w:rPr>
          <w:rFonts w:asciiTheme="minorHAnsi" w:hAnsiTheme="minorHAnsi" w:cs="Times New Roman"/>
          <w:color w:val="auto"/>
          <w:szCs w:val="24"/>
        </w:rPr>
        <w:t xml:space="preserve">The PEB and VA chose </w:t>
      </w:r>
      <w:r w:rsidR="00380A7F" w:rsidRPr="00380A7F">
        <w:rPr>
          <w:rFonts w:asciiTheme="minorHAnsi" w:hAnsiTheme="minorHAnsi" w:cs="Times New Roman"/>
          <w:color w:val="auto"/>
          <w:szCs w:val="24"/>
        </w:rPr>
        <w:t>similar</w:t>
      </w:r>
      <w:r w:rsidR="003C53E8" w:rsidRPr="00380A7F">
        <w:rPr>
          <w:rFonts w:asciiTheme="minorHAnsi" w:hAnsiTheme="minorHAnsi" w:cs="Times New Roman"/>
          <w:color w:val="auto"/>
          <w:szCs w:val="24"/>
        </w:rPr>
        <w:t xml:space="preserve"> coding options for the condition.  The PEB’s DA Form 199 reflected application of the USAPDA pain policy for rating, </w:t>
      </w:r>
      <w:r w:rsidR="00380A7F" w:rsidRPr="00380A7F">
        <w:rPr>
          <w:rFonts w:asciiTheme="minorHAnsi" w:hAnsiTheme="minorHAnsi" w:cs="Times New Roman"/>
          <w:color w:val="auto"/>
          <w:szCs w:val="24"/>
        </w:rPr>
        <w:t>and</w:t>
      </w:r>
      <w:r w:rsidR="003C53E8" w:rsidRPr="00380A7F">
        <w:rPr>
          <w:rFonts w:asciiTheme="minorHAnsi" w:hAnsiTheme="minorHAnsi" w:cs="Times New Roman"/>
          <w:color w:val="auto"/>
          <w:szCs w:val="24"/>
        </w:rPr>
        <w:t xml:space="preserve"> its 10% determination was </w:t>
      </w:r>
      <w:r w:rsidR="00380A7F" w:rsidRPr="00380A7F">
        <w:rPr>
          <w:rFonts w:asciiTheme="minorHAnsi" w:hAnsiTheme="minorHAnsi" w:cs="Times New Roman"/>
          <w:color w:val="auto"/>
          <w:szCs w:val="24"/>
        </w:rPr>
        <w:t xml:space="preserve">not </w:t>
      </w:r>
      <w:r w:rsidR="003C53E8" w:rsidRPr="00380A7F">
        <w:rPr>
          <w:rFonts w:asciiTheme="minorHAnsi" w:hAnsiTheme="minorHAnsi" w:cs="Times New Roman"/>
          <w:color w:val="auto"/>
          <w:szCs w:val="24"/>
        </w:rPr>
        <w:t>consistent with §4.71a standards</w:t>
      </w:r>
      <w:r w:rsidR="00380A7F" w:rsidRPr="00380A7F">
        <w:rPr>
          <w:rFonts w:asciiTheme="minorHAnsi" w:hAnsiTheme="minorHAnsi" w:cs="Times New Roman"/>
          <w:color w:val="auto"/>
          <w:szCs w:val="24"/>
        </w:rPr>
        <w:t xml:space="preserve"> based on the available </w:t>
      </w:r>
      <w:r w:rsidR="00C80569">
        <w:rPr>
          <w:rFonts w:asciiTheme="minorHAnsi" w:hAnsiTheme="minorHAnsi" w:cs="Times New Roman"/>
          <w:color w:val="auto"/>
          <w:szCs w:val="24"/>
        </w:rPr>
        <w:t>evidence</w:t>
      </w:r>
      <w:r w:rsidR="003C53E8" w:rsidRPr="00380A7F">
        <w:rPr>
          <w:rFonts w:asciiTheme="minorHAnsi" w:hAnsiTheme="minorHAnsi" w:cs="Times New Roman"/>
          <w:color w:val="auto"/>
          <w:szCs w:val="24"/>
        </w:rPr>
        <w:t>.</w:t>
      </w:r>
      <w:r w:rsidR="00380A7F" w:rsidRPr="00380A7F">
        <w:rPr>
          <w:rFonts w:asciiTheme="minorHAnsi" w:hAnsiTheme="minorHAnsi" w:cs="Times New Roman"/>
          <w:color w:val="auto"/>
          <w:szCs w:val="24"/>
        </w:rPr>
        <w:t xml:space="preserve">  The VA</w:t>
      </w:r>
      <w:r w:rsidR="00380A7F">
        <w:rPr>
          <w:rFonts w:asciiTheme="minorHAnsi" w:hAnsiTheme="minorHAnsi" w:cs="Times New Roman"/>
          <w:color w:val="auto"/>
          <w:szCs w:val="24"/>
        </w:rPr>
        <w:t xml:space="preserve"> correctly rated the back condition based on the C&amp;P data.  Board deliberation centered on the assignment of probative value to the </w:t>
      </w:r>
      <w:r w:rsidR="00C80569">
        <w:rPr>
          <w:rFonts w:asciiTheme="minorHAnsi" w:hAnsiTheme="minorHAnsi" w:cs="Times New Roman"/>
          <w:color w:val="auto"/>
          <w:szCs w:val="24"/>
        </w:rPr>
        <w:t>disparate</w:t>
      </w:r>
      <w:r w:rsidR="00380A7F">
        <w:rPr>
          <w:rFonts w:asciiTheme="minorHAnsi" w:hAnsiTheme="minorHAnsi" w:cs="Times New Roman"/>
          <w:color w:val="auto"/>
          <w:szCs w:val="24"/>
        </w:rPr>
        <w:t xml:space="preserve"> </w:t>
      </w:r>
      <w:r w:rsidR="003A03E0">
        <w:rPr>
          <w:rFonts w:asciiTheme="minorHAnsi" w:hAnsiTheme="minorHAnsi" w:cs="Times New Roman"/>
          <w:color w:val="auto"/>
          <w:szCs w:val="24"/>
        </w:rPr>
        <w:t xml:space="preserve">MEB PT and VA goniometric </w:t>
      </w:r>
      <w:r w:rsidR="00C80569">
        <w:rPr>
          <w:rFonts w:asciiTheme="minorHAnsi" w:hAnsiTheme="minorHAnsi" w:cs="Times New Roman"/>
          <w:color w:val="auto"/>
          <w:szCs w:val="24"/>
        </w:rPr>
        <w:t>evaluations</w:t>
      </w:r>
      <w:r w:rsidR="00380A7F">
        <w:rPr>
          <w:rFonts w:asciiTheme="minorHAnsi" w:hAnsiTheme="minorHAnsi" w:cs="Times New Roman"/>
          <w:color w:val="auto"/>
          <w:szCs w:val="24"/>
        </w:rPr>
        <w:t xml:space="preserve">.  </w:t>
      </w:r>
      <w:r w:rsidR="00253EAD">
        <w:rPr>
          <w:rFonts w:asciiTheme="minorHAnsi" w:hAnsiTheme="minorHAnsi" w:cs="Times New Roman"/>
          <w:color w:val="auto"/>
          <w:szCs w:val="24"/>
        </w:rPr>
        <w:t>The Board noted that</w:t>
      </w:r>
      <w:r w:rsidR="00C80569">
        <w:rPr>
          <w:rFonts w:asciiTheme="minorHAnsi" w:hAnsiTheme="minorHAnsi" w:cs="Times New Roman"/>
          <w:color w:val="auto"/>
          <w:szCs w:val="24"/>
        </w:rPr>
        <w:t>,</w:t>
      </w:r>
      <w:r w:rsidR="00253EAD">
        <w:rPr>
          <w:rFonts w:asciiTheme="minorHAnsi" w:hAnsiTheme="minorHAnsi" w:cs="Times New Roman"/>
          <w:color w:val="auto"/>
          <w:szCs w:val="24"/>
        </w:rPr>
        <w:t xml:space="preserve"> although the </w:t>
      </w:r>
      <w:r w:rsidR="003A03E0">
        <w:rPr>
          <w:rFonts w:asciiTheme="minorHAnsi" w:hAnsiTheme="minorHAnsi" w:cs="Times New Roman"/>
          <w:color w:val="auto"/>
          <w:szCs w:val="24"/>
        </w:rPr>
        <w:t xml:space="preserve">MEB PT </w:t>
      </w:r>
      <w:r w:rsidR="00253EAD">
        <w:rPr>
          <w:rFonts w:asciiTheme="minorHAnsi" w:hAnsiTheme="minorHAnsi" w:cs="Times New Roman"/>
          <w:color w:val="auto"/>
          <w:szCs w:val="24"/>
        </w:rPr>
        <w:t xml:space="preserve">measurements were likely not VASRD compliant, </w:t>
      </w:r>
      <w:r w:rsidR="00141F82">
        <w:rPr>
          <w:rFonts w:asciiTheme="minorHAnsi" w:hAnsiTheme="minorHAnsi" w:cs="Times New Roman"/>
          <w:color w:val="auto"/>
          <w:szCs w:val="24"/>
        </w:rPr>
        <w:t>a similar ROM</w:t>
      </w:r>
      <w:r w:rsidR="00253EAD">
        <w:rPr>
          <w:rFonts w:asciiTheme="minorHAnsi" w:hAnsiTheme="minorHAnsi" w:cs="Times New Roman"/>
          <w:color w:val="auto"/>
          <w:szCs w:val="24"/>
        </w:rPr>
        <w:t xml:space="preserve"> </w:t>
      </w:r>
      <w:r w:rsidR="00141F82">
        <w:rPr>
          <w:rFonts w:asciiTheme="minorHAnsi" w:hAnsiTheme="minorHAnsi" w:cs="Times New Roman"/>
          <w:color w:val="auto"/>
          <w:szCs w:val="24"/>
        </w:rPr>
        <w:t>was</w:t>
      </w:r>
      <w:r w:rsidR="00253EAD">
        <w:rPr>
          <w:rFonts w:asciiTheme="minorHAnsi" w:hAnsiTheme="minorHAnsi" w:cs="Times New Roman"/>
          <w:color w:val="auto"/>
          <w:szCs w:val="24"/>
        </w:rPr>
        <w:t xml:space="preserve"> corroborated by the PM&amp;R examination one month earlier.  The Board also discussed the apparent trend toward improvement of the CI’s symptoms with </w:t>
      </w:r>
      <w:r w:rsidR="00141F82">
        <w:rPr>
          <w:rFonts w:asciiTheme="minorHAnsi" w:hAnsiTheme="minorHAnsi" w:cs="Times New Roman"/>
          <w:color w:val="auto"/>
          <w:szCs w:val="24"/>
        </w:rPr>
        <w:t xml:space="preserve">conservative measures, and noted that the C&amp;P exam </w:t>
      </w:r>
      <w:r w:rsidR="00253EAD">
        <w:rPr>
          <w:rFonts w:asciiTheme="minorHAnsi" w:hAnsiTheme="minorHAnsi" w:cs="Times New Roman"/>
          <w:color w:val="auto"/>
          <w:szCs w:val="24"/>
        </w:rPr>
        <w:t xml:space="preserve">three months </w:t>
      </w:r>
      <w:r w:rsidR="004B5B00">
        <w:rPr>
          <w:rFonts w:asciiTheme="minorHAnsi" w:hAnsiTheme="minorHAnsi" w:cs="Times New Roman"/>
          <w:color w:val="auto"/>
          <w:szCs w:val="24"/>
        </w:rPr>
        <w:t>after the PT measurements</w:t>
      </w:r>
      <w:r w:rsidR="00253EAD">
        <w:rPr>
          <w:rFonts w:asciiTheme="minorHAnsi" w:hAnsiTheme="minorHAnsi" w:cs="Times New Roman"/>
          <w:color w:val="auto"/>
          <w:szCs w:val="24"/>
        </w:rPr>
        <w:t xml:space="preserve"> may well have reflected this improvement</w:t>
      </w:r>
      <w:r w:rsidR="005C4018">
        <w:rPr>
          <w:rFonts w:asciiTheme="minorHAnsi" w:hAnsiTheme="minorHAnsi" w:cs="Times New Roman"/>
          <w:color w:val="auto"/>
          <w:szCs w:val="24"/>
        </w:rPr>
        <w:t>,</w:t>
      </w:r>
      <w:r w:rsidR="00141F82">
        <w:rPr>
          <w:rFonts w:asciiTheme="minorHAnsi" w:hAnsiTheme="minorHAnsi" w:cs="Times New Roman"/>
          <w:color w:val="auto"/>
          <w:szCs w:val="24"/>
        </w:rPr>
        <w:t xml:space="preserve"> especially considering the downstream VA evidence suggesting that the condition was stable at the time of separation</w:t>
      </w:r>
      <w:r w:rsidR="00253EAD">
        <w:rPr>
          <w:rFonts w:asciiTheme="minorHAnsi" w:hAnsiTheme="minorHAnsi" w:cs="Times New Roman"/>
          <w:color w:val="auto"/>
          <w:szCs w:val="24"/>
        </w:rPr>
        <w:t xml:space="preserve">.  </w:t>
      </w:r>
      <w:r w:rsidR="00B0709D">
        <w:rPr>
          <w:rFonts w:asciiTheme="minorHAnsi" w:hAnsiTheme="minorHAnsi" w:cs="Times New Roman"/>
          <w:color w:val="auto"/>
          <w:szCs w:val="24"/>
        </w:rPr>
        <w:t xml:space="preserve">The Board agreed therefore that the VA evidence, which was closest to separation, was likely most reflective of the overall clinical course; and, therefore most probative to the Board’s recommendation regarding disability at separation.  </w:t>
      </w:r>
      <w:r w:rsidR="003C53E8" w:rsidRPr="003C53E8">
        <w:rPr>
          <w:rFonts w:asciiTheme="minorHAnsi" w:hAnsiTheme="minorHAnsi" w:cs="Times New Roman"/>
          <w:color w:val="auto"/>
          <w:szCs w:val="24"/>
        </w:rPr>
        <w:t>There was no evidence of ratable peripheral</w:t>
      </w:r>
      <w:r w:rsidR="0010426A">
        <w:rPr>
          <w:rFonts w:asciiTheme="minorHAnsi" w:hAnsiTheme="minorHAnsi" w:cs="Times New Roman"/>
          <w:color w:val="auto"/>
          <w:szCs w:val="24"/>
        </w:rPr>
        <w:t xml:space="preserve"> nerve impairment in this case, since</w:t>
      </w:r>
      <w:r w:rsidR="003C53E8" w:rsidRPr="003C53E8">
        <w:rPr>
          <w:rFonts w:asciiTheme="minorHAnsi" w:hAnsiTheme="minorHAnsi" w:cs="Times New Roman"/>
          <w:color w:val="auto"/>
          <w:szCs w:val="24"/>
        </w:rPr>
        <w:t xml:space="preserve"> no motor weakness </w:t>
      </w:r>
      <w:r w:rsidR="0010426A">
        <w:rPr>
          <w:rFonts w:asciiTheme="minorHAnsi" w:hAnsiTheme="minorHAnsi" w:cs="Times New Roman"/>
          <w:color w:val="auto"/>
          <w:szCs w:val="24"/>
        </w:rPr>
        <w:t>was present</w:t>
      </w:r>
      <w:r w:rsidR="003C53E8" w:rsidRPr="003C53E8">
        <w:rPr>
          <w:rFonts w:asciiTheme="minorHAnsi" w:hAnsiTheme="minorHAnsi" w:cs="Times New Roman"/>
          <w:color w:val="auto"/>
          <w:szCs w:val="24"/>
        </w:rPr>
        <w:t xml:space="preserve"> and the sensory component had no functional implications.  </w:t>
      </w:r>
      <w:r w:rsidR="00380A7F" w:rsidRPr="003C53E8">
        <w:rPr>
          <w:rFonts w:asciiTheme="minorHAnsi" w:hAnsiTheme="minorHAnsi" w:cs="Times New Roman"/>
          <w:color w:val="auto"/>
          <w:szCs w:val="24"/>
        </w:rPr>
        <w:t>There was no evidence of</w:t>
      </w:r>
      <w:r w:rsidR="00380A7F">
        <w:rPr>
          <w:rFonts w:asciiTheme="minorHAnsi" w:hAnsiTheme="minorHAnsi" w:cs="Times New Roman"/>
          <w:color w:val="auto"/>
          <w:szCs w:val="24"/>
        </w:rPr>
        <w:t xml:space="preserve"> intervertebral disc disease or</w:t>
      </w:r>
      <w:r w:rsidR="00380A7F" w:rsidRPr="003C53E8">
        <w:rPr>
          <w:rFonts w:asciiTheme="minorHAnsi" w:hAnsiTheme="minorHAnsi" w:cs="Times New Roman"/>
          <w:color w:val="auto"/>
          <w:szCs w:val="24"/>
        </w:rPr>
        <w:t xml:space="preserve"> incapacitating episodes which would provide for higher rating</w:t>
      </w:r>
      <w:r w:rsidR="00380A7F">
        <w:rPr>
          <w:rFonts w:asciiTheme="minorHAnsi" w:hAnsiTheme="minorHAnsi" w:cs="Times New Roman"/>
          <w:color w:val="auto"/>
          <w:szCs w:val="24"/>
        </w:rPr>
        <w:t xml:space="preserve"> under the 5243 code</w:t>
      </w:r>
      <w:r w:rsidR="00380A7F" w:rsidRPr="003C53E8">
        <w:rPr>
          <w:rFonts w:asciiTheme="minorHAnsi" w:hAnsiTheme="minorHAnsi" w:cs="Times New Roman"/>
          <w:color w:val="auto"/>
          <w:szCs w:val="24"/>
        </w:rPr>
        <w:t>.</w:t>
      </w:r>
      <w:r w:rsidR="00253EAD">
        <w:rPr>
          <w:rFonts w:asciiTheme="minorHAnsi" w:hAnsiTheme="minorHAnsi" w:cs="Times New Roman"/>
          <w:color w:val="auto"/>
          <w:szCs w:val="24"/>
        </w:rPr>
        <w:t xml:space="preserve">  </w:t>
      </w:r>
      <w:r w:rsidR="006A3381" w:rsidRPr="003C53E8">
        <w:rPr>
          <w:rFonts w:asciiTheme="minorHAnsi" w:hAnsiTheme="minorHAnsi" w:cs="Times New Roman"/>
          <w:color w:val="auto"/>
          <w:szCs w:val="24"/>
        </w:rPr>
        <w:t>All evidence considered</w:t>
      </w:r>
      <w:proofErr w:type="gramStart"/>
      <w:r w:rsidR="006A3381" w:rsidRPr="003C53E8">
        <w:rPr>
          <w:rFonts w:asciiTheme="minorHAnsi" w:hAnsiTheme="minorHAnsi" w:cs="Times New Roman"/>
          <w:color w:val="auto"/>
          <w:szCs w:val="24"/>
        </w:rPr>
        <w:t>,</w:t>
      </w:r>
      <w:proofErr w:type="gramEnd"/>
      <w:r w:rsidR="006A3381" w:rsidRPr="003C53E8">
        <w:rPr>
          <w:rFonts w:asciiTheme="minorHAnsi" w:hAnsiTheme="minorHAnsi" w:cs="Times New Roman"/>
          <w:color w:val="auto"/>
          <w:szCs w:val="24"/>
        </w:rPr>
        <w:t xml:space="preserve"> there is </w:t>
      </w:r>
      <w:r w:rsidR="006A3381" w:rsidRPr="006A3381">
        <w:rPr>
          <w:rFonts w:asciiTheme="minorHAnsi" w:hAnsiTheme="minorHAnsi" w:cs="Times New Roman"/>
          <w:color w:val="auto"/>
          <w:szCs w:val="24"/>
        </w:rPr>
        <w:t xml:space="preserve">not reasonable doubt in the CI’s favor supporting a change from the PEB’s </w:t>
      </w:r>
      <w:r w:rsidR="0010426A">
        <w:rPr>
          <w:rFonts w:asciiTheme="minorHAnsi" w:hAnsiTheme="minorHAnsi" w:cs="Times New Roman"/>
          <w:color w:val="auto"/>
          <w:szCs w:val="24"/>
        </w:rPr>
        <w:t>adjudication</w:t>
      </w:r>
      <w:r w:rsidR="006A3381" w:rsidRPr="006A3381">
        <w:rPr>
          <w:rFonts w:asciiTheme="minorHAnsi" w:hAnsiTheme="minorHAnsi" w:cs="Times New Roman"/>
          <w:color w:val="auto"/>
          <w:szCs w:val="24"/>
        </w:rPr>
        <w:t xml:space="preserve"> </w:t>
      </w:r>
      <w:r w:rsidR="0010426A">
        <w:rPr>
          <w:rFonts w:asciiTheme="minorHAnsi" w:hAnsiTheme="minorHAnsi" w:cs="Times New Roman"/>
          <w:color w:val="auto"/>
          <w:szCs w:val="24"/>
        </w:rPr>
        <w:t>of</w:t>
      </w:r>
      <w:r w:rsidR="006A3381" w:rsidRPr="006A3381">
        <w:rPr>
          <w:rFonts w:asciiTheme="minorHAnsi" w:hAnsiTheme="minorHAnsi" w:cs="Times New Roman"/>
          <w:color w:val="auto"/>
          <w:szCs w:val="24"/>
        </w:rPr>
        <w:t xml:space="preserve"> the lumbar spine condition.</w:t>
      </w:r>
    </w:p>
    <w:p w:rsidR="003C53E8" w:rsidRPr="003C53E8" w:rsidRDefault="003C53E8" w:rsidP="003C53E8">
      <w:pPr>
        <w:jc w:val="left"/>
        <w:rPr>
          <w:rFonts w:asciiTheme="minorHAnsi" w:hAnsiTheme="minorHAnsi" w:cs="Times New Roman"/>
          <w:color w:val="FF0000"/>
          <w:szCs w:val="24"/>
        </w:rPr>
      </w:pPr>
    </w:p>
    <w:p w:rsidR="004C60A3" w:rsidRPr="001F29F9" w:rsidRDefault="00EC337D" w:rsidP="00050677">
      <w:pPr>
        <w:jc w:val="both"/>
        <w:rPr>
          <w:rFonts w:eastAsia="HiddenHorzOCR"/>
          <w:i/>
          <w:color w:val="000000" w:themeColor="text1"/>
          <w:sz w:val="20"/>
        </w:rPr>
      </w:pPr>
      <w:proofErr w:type="gramStart"/>
      <w:r w:rsidRPr="00050677">
        <w:rPr>
          <w:color w:val="000000" w:themeColor="text1"/>
          <w:szCs w:val="24"/>
          <w:u w:val="single"/>
        </w:rPr>
        <w:t>Remaining Conditions</w:t>
      </w:r>
      <w:r w:rsidRPr="00050677">
        <w:rPr>
          <w:color w:val="000000" w:themeColor="text1"/>
          <w:szCs w:val="24"/>
        </w:rPr>
        <w:t>.</w:t>
      </w:r>
      <w:proofErr w:type="gramEnd"/>
      <w:r w:rsidRPr="00050677">
        <w:rPr>
          <w:color w:val="000000" w:themeColor="text1"/>
          <w:szCs w:val="24"/>
        </w:rPr>
        <w:t xml:space="preserve">  </w:t>
      </w:r>
      <w:r w:rsidR="00904083" w:rsidRPr="00050677">
        <w:rPr>
          <w:color w:val="000000" w:themeColor="text1"/>
          <w:szCs w:val="24"/>
        </w:rPr>
        <w:t xml:space="preserve">Other conditions identified in the DES file were </w:t>
      </w:r>
      <w:r w:rsidR="006A3381" w:rsidRPr="00050677">
        <w:rPr>
          <w:color w:val="000000" w:themeColor="text1"/>
          <w:szCs w:val="24"/>
        </w:rPr>
        <w:t xml:space="preserve">chronic </w:t>
      </w:r>
      <w:r w:rsidR="00904083" w:rsidRPr="00050677">
        <w:rPr>
          <w:color w:val="000000" w:themeColor="text1"/>
          <w:szCs w:val="24"/>
        </w:rPr>
        <w:t xml:space="preserve">cough, </w:t>
      </w:r>
      <w:r w:rsidR="0010426A">
        <w:rPr>
          <w:color w:val="000000" w:themeColor="text1"/>
          <w:szCs w:val="24"/>
        </w:rPr>
        <w:t xml:space="preserve">a </w:t>
      </w:r>
      <w:r w:rsidR="00904083" w:rsidRPr="00050677">
        <w:rPr>
          <w:color w:val="000000" w:themeColor="text1"/>
          <w:szCs w:val="24"/>
        </w:rPr>
        <w:t xml:space="preserve">positive </w:t>
      </w:r>
      <w:r w:rsidR="0010426A">
        <w:rPr>
          <w:color w:val="000000" w:themeColor="text1"/>
          <w:szCs w:val="24"/>
        </w:rPr>
        <w:t>tuberculin skin test</w:t>
      </w:r>
      <w:r w:rsidR="00904083" w:rsidRPr="00050677">
        <w:rPr>
          <w:color w:val="000000" w:themeColor="text1"/>
          <w:szCs w:val="24"/>
        </w:rPr>
        <w:t xml:space="preserve">, left side pain, </w:t>
      </w:r>
      <w:r w:rsidR="006A3381" w:rsidRPr="00050677">
        <w:rPr>
          <w:color w:val="000000" w:themeColor="text1"/>
          <w:szCs w:val="24"/>
        </w:rPr>
        <w:t xml:space="preserve">and numbness of </w:t>
      </w:r>
      <w:r w:rsidR="0010426A">
        <w:rPr>
          <w:color w:val="000000" w:themeColor="text1"/>
          <w:szCs w:val="24"/>
        </w:rPr>
        <w:t>all extremities</w:t>
      </w:r>
      <w:r w:rsidR="00904083" w:rsidRPr="00050677">
        <w:rPr>
          <w:color w:val="000000" w:themeColor="text1"/>
          <w:szCs w:val="24"/>
        </w:rPr>
        <w:t xml:space="preserve">.  Several additional non-acute conditions or medical complaints were also documented.  </w:t>
      </w:r>
      <w:r w:rsidR="006A3381" w:rsidRPr="00050677">
        <w:rPr>
          <w:color w:val="000000" w:themeColor="text1"/>
          <w:szCs w:val="24"/>
        </w:rPr>
        <w:t>None of these conditions were significantly clinically or occupational</w:t>
      </w:r>
      <w:r w:rsidR="0010426A">
        <w:rPr>
          <w:color w:val="000000" w:themeColor="text1"/>
          <w:szCs w:val="24"/>
        </w:rPr>
        <w:t>ly active during the MEB period; none carried attached profiles;</w:t>
      </w:r>
      <w:r w:rsidR="006A3381" w:rsidRPr="00050677">
        <w:rPr>
          <w:color w:val="000000" w:themeColor="text1"/>
          <w:szCs w:val="24"/>
        </w:rPr>
        <w:t xml:space="preserve"> and</w:t>
      </w:r>
      <w:r w:rsidR="0010426A">
        <w:rPr>
          <w:color w:val="000000" w:themeColor="text1"/>
          <w:szCs w:val="24"/>
        </w:rPr>
        <w:t>,</w:t>
      </w:r>
      <w:r w:rsidR="006A3381" w:rsidRPr="00050677">
        <w:rPr>
          <w:color w:val="000000" w:themeColor="text1"/>
          <w:szCs w:val="24"/>
        </w:rPr>
        <w:t xml:space="preserve"> none were implicated in the commander’s statement.   </w:t>
      </w:r>
      <w:r w:rsidR="00904083" w:rsidRPr="00050677">
        <w:rPr>
          <w:color w:val="000000" w:themeColor="text1"/>
          <w:szCs w:val="24"/>
        </w:rPr>
        <w:t xml:space="preserve">These conditions were reviewed by the </w:t>
      </w:r>
      <w:r w:rsidR="005C4018">
        <w:rPr>
          <w:color w:val="000000" w:themeColor="text1"/>
          <w:szCs w:val="24"/>
        </w:rPr>
        <w:t>action o</w:t>
      </w:r>
      <w:r w:rsidR="0010426A" w:rsidRPr="00050677">
        <w:rPr>
          <w:color w:val="000000" w:themeColor="text1"/>
          <w:szCs w:val="24"/>
        </w:rPr>
        <w:t xml:space="preserve">fficer </w:t>
      </w:r>
      <w:r w:rsidR="00904083" w:rsidRPr="00050677">
        <w:rPr>
          <w:color w:val="000000" w:themeColor="text1"/>
          <w:szCs w:val="24"/>
        </w:rPr>
        <w:t xml:space="preserve">and considered by the Board.  It was determined that none could be argued as unfitting and subject to separation rating.  </w:t>
      </w:r>
      <w:r w:rsidR="0010426A">
        <w:rPr>
          <w:color w:val="000000" w:themeColor="text1"/>
          <w:szCs w:val="24"/>
        </w:rPr>
        <w:t>C</w:t>
      </w:r>
      <w:r w:rsidR="00904083" w:rsidRPr="00050677">
        <w:rPr>
          <w:color w:val="000000" w:themeColor="text1"/>
          <w:szCs w:val="24"/>
        </w:rPr>
        <w:t>omplex headaches</w:t>
      </w:r>
      <w:r w:rsidR="006A3381" w:rsidRPr="00050677">
        <w:rPr>
          <w:color w:val="000000" w:themeColor="text1"/>
          <w:szCs w:val="24"/>
        </w:rPr>
        <w:t xml:space="preserve">, </w:t>
      </w:r>
      <w:r w:rsidR="00904083" w:rsidRPr="00050677">
        <w:rPr>
          <w:color w:val="000000" w:themeColor="text1"/>
          <w:szCs w:val="24"/>
        </w:rPr>
        <w:t xml:space="preserve">residuals of left ankle sprain, and several other non-acute conditions were noted </w:t>
      </w:r>
      <w:r w:rsidR="003A03E0">
        <w:rPr>
          <w:color w:val="000000" w:themeColor="text1"/>
          <w:szCs w:val="24"/>
        </w:rPr>
        <w:t>from</w:t>
      </w:r>
      <w:r w:rsidR="00904083" w:rsidRPr="00050677">
        <w:rPr>
          <w:color w:val="000000" w:themeColor="text1"/>
          <w:szCs w:val="24"/>
        </w:rPr>
        <w:t xml:space="preserve"> the VA </w:t>
      </w:r>
      <w:r w:rsidR="003A03E0">
        <w:rPr>
          <w:color w:val="000000" w:themeColor="text1"/>
          <w:szCs w:val="24"/>
        </w:rPr>
        <w:t>C&amp;P evaluation</w:t>
      </w:r>
      <w:r w:rsidR="00904083" w:rsidRPr="00050677">
        <w:rPr>
          <w:color w:val="000000" w:themeColor="text1"/>
          <w:szCs w:val="24"/>
        </w:rPr>
        <w:t xml:space="preserve">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BE3FA7" w:rsidRDefault="00C56FC8" w:rsidP="00BE3FA7">
      <w:pPr>
        <w:jc w:val="both"/>
        <w:rPr>
          <w:rFonts w:eastAsiaTheme="minorHAnsi" w:cstheme="minorBidi"/>
          <w:color w:val="auto"/>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904083">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As discussed above, PEB reliance on the USAPDA pain policy for rating </w:t>
      </w:r>
      <w:r w:rsidR="00050677">
        <w:rPr>
          <w:rFonts w:asciiTheme="minorHAnsi" w:eastAsiaTheme="minorHAnsi" w:hAnsiTheme="minorHAnsi" w:cs="Times New Roman"/>
          <w:color w:val="auto"/>
          <w:szCs w:val="24"/>
        </w:rPr>
        <w:t>back pain</w:t>
      </w:r>
      <w:r w:rsidR="003C53E8" w:rsidRPr="003C53E8">
        <w:rPr>
          <w:rFonts w:asciiTheme="minorHAnsi" w:eastAsiaTheme="minorHAnsi" w:hAnsiTheme="minorHAnsi" w:cs="Times New Roman"/>
          <w:color w:val="auto"/>
          <w:szCs w:val="24"/>
        </w:rPr>
        <w:t xml:space="preserve"> was operant in this case and the condition was adjudicated independently of that policy </w:t>
      </w:r>
      <w:r w:rsidR="003C53E8" w:rsidRPr="00E45E30">
        <w:rPr>
          <w:rFonts w:asciiTheme="minorHAnsi" w:eastAsiaTheme="minorHAnsi" w:hAnsiTheme="minorHAnsi" w:cs="Times New Roman"/>
          <w:color w:val="auto"/>
          <w:szCs w:val="24"/>
        </w:rPr>
        <w:t xml:space="preserve">by the Board. </w:t>
      </w:r>
      <w:r w:rsidR="000A5432" w:rsidRPr="00E45E30">
        <w:rPr>
          <w:rFonts w:asciiTheme="minorHAnsi" w:eastAsiaTheme="minorHAnsi" w:hAnsiTheme="minorHAnsi" w:cs="Times New Roman"/>
          <w:color w:val="auto"/>
          <w:szCs w:val="24"/>
        </w:rPr>
        <w:t xml:space="preserve"> </w:t>
      </w:r>
      <w:r w:rsidR="00050677" w:rsidRPr="00E45E30">
        <w:rPr>
          <w:rFonts w:asciiTheme="minorHAnsi" w:eastAsiaTheme="minorHAnsi" w:hAnsiTheme="minorHAnsi" w:cs="Times New Roman"/>
          <w:color w:val="auto"/>
          <w:szCs w:val="24"/>
        </w:rPr>
        <w:t xml:space="preserve">In the matter of the </w:t>
      </w:r>
      <w:r w:rsidR="0010426A" w:rsidRPr="00E45E30">
        <w:rPr>
          <w:rFonts w:asciiTheme="minorHAnsi" w:eastAsiaTheme="minorHAnsi" w:hAnsiTheme="minorHAnsi" w:cs="Times New Roman"/>
          <w:color w:val="auto"/>
          <w:szCs w:val="24"/>
        </w:rPr>
        <w:t xml:space="preserve">lumbar spine </w:t>
      </w:r>
      <w:r w:rsidR="00050677" w:rsidRPr="00E45E30">
        <w:rPr>
          <w:rFonts w:asciiTheme="minorHAnsi" w:eastAsiaTheme="minorHAnsi" w:hAnsiTheme="minorHAnsi" w:cs="Times New Roman"/>
          <w:color w:val="auto"/>
          <w:szCs w:val="24"/>
        </w:rPr>
        <w:t xml:space="preserve">condition and </w:t>
      </w:r>
      <w:r w:rsidR="00050677" w:rsidRPr="00E45E30">
        <w:rPr>
          <w:rFonts w:asciiTheme="minorHAnsi" w:hAnsiTheme="minorHAnsi" w:cs="Times New Roman"/>
          <w:color w:val="auto"/>
          <w:szCs w:val="24"/>
        </w:rPr>
        <w:t>IAW VASRD §4.71a</w:t>
      </w:r>
      <w:r w:rsidR="00050677" w:rsidRPr="00E45E30">
        <w:rPr>
          <w:rFonts w:asciiTheme="minorHAnsi" w:eastAsiaTheme="minorHAnsi" w:hAnsiTheme="minorHAnsi" w:cs="Times New Roman"/>
          <w:color w:val="auto"/>
          <w:szCs w:val="24"/>
        </w:rPr>
        <w:t>, the Board unanimously recommends no change in the PEB adjudication</w:t>
      </w:r>
      <w:r w:rsidR="00050677" w:rsidRPr="00E45E30">
        <w:rPr>
          <w:rFonts w:asciiTheme="minorHAnsi" w:hAnsiTheme="minorHAnsi" w:cs="Times New Roman"/>
          <w:color w:val="auto"/>
          <w:szCs w:val="24"/>
        </w:rPr>
        <w:t xml:space="preserve">.  </w:t>
      </w:r>
      <w:r w:rsidR="00BE3FA7" w:rsidRPr="00E45E30">
        <w:rPr>
          <w:rFonts w:eastAsiaTheme="minorHAnsi" w:cstheme="minorBidi"/>
          <w:color w:val="auto"/>
          <w:szCs w:val="24"/>
        </w:rPr>
        <w:t>The Board unanimously agrees that there</w:t>
      </w:r>
      <w:r w:rsidR="00BE3FA7" w:rsidRPr="00BE3FA7">
        <w:rPr>
          <w:rFonts w:eastAsiaTheme="minorHAnsi" w:cstheme="minorBidi"/>
          <w:color w:val="auto"/>
          <w:szCs w:val="24"/>
        </w:rPr>
        <w:t xml:space="preserv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050677" w:rsidRPr="00050677">
        <w:rPr>
          <w:color w:val="000000" w:themeColor="text1"/>
          <w:szCs w:val="24"/>
        </w:rPr>
        <w:t xml:space="preserve"> </w:t>
      </w:r>
      <w:r w:rsidR="00050677">
        <w:rPr>
          <w:color w:val="000000" w:themeColor="text1"/>
          <w:szCs w:val="24"/>
        </w:rPr>
        <w:t xml:space="preserve"> </w:t>
      </w:r>
      <w:r w:rsidR="00050677" w:rsidRPr="001F29F9">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566"/>
        <w:gridCol w:w="1170"/>
      </w:tblGrid>
      <w:tr w:rsidR="00A95BBA" w:rsidRPr="001F29F9" w:rsidTr="00BE3FA7">
        <w:trPr>
          <w:trHeight w:val="233"/>
          <w:jc w:val="center"/>
        </w:trPr>
        <w:tc>
          <w:tcPr>
            <w:tcW w:w="658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66"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904083" w:rsidRPr="001F29F9" w:rsidTr="00BE3FA7">
        <w:trPr>
          <w:jc w:val="center"/>
        </w:trPr>
        <w:tc>
          <w:tcPr>
            <w:tcW w:w="6588" w:type="dxa"/>
            <w:vAlign w:val="center"/>
          </w:tcPr>
          <w:p w:rsidR="00904083" w:rsidRPr="00AF01B2" w:rsidRDefault="00904083" w:rsidP="00904083">
            <w:pPr>
              <w:tabs>
                <w:tab w:val="left" w:pos="288"/>
                <w:tab w:val="left" w:pos="4752"/>
              </w:tabs>
              <w:jc w:val="left"/>
              <w:rPr>
                <w:color w:val="auto"/>
                <w:szCs w:val="24"/>
              </w:rPr>
            </w:pPr>
            <w:proofErr w:type="spellStart"/>
            <w:r w:rsidRPr="00EF0EF6">
              <w:rPr>
                <w:color w:val="auto"/>
                <w:szCs w:val="24"/>
              </w:rPr>
              <w:t>Scheurmann's</w:t>
            </w:r>
            <w:proofErr w:type="spellEnd"/>
            <w:r w:rsidR="00BE3FA7" w:rsidRPr="00EF0EF6">
              <w:rPr>
                <w:color w:val="auto"/>
                <w:szCs w:val="24"/>
              </w:rPr>
              <w:t xml:space="preserve"> </w:t>
            </w:r>
            <w:r w:rsidR="00BE3FA7">
              <w:rPr>
                <w:color w:val="auto"/>
                <w:szCs w:val="24"/>
              </w:rPr>
              <w:t xml:space="preserve">Disease, </w:t>
            </w:r>
            <w:r w:rsidR="00BE3FA7" w:rsidRPr="00EF0EF6">
              <w:rPr>
                <w:color w:val="auto"/>
                <w:szCs w:val="24"/>
              </w:rPr>
              <w:t>Lumbar</w:t>
            </w:r>
            <w:r w:rsidR="00BE3FA7">
              <w:rPr>
                <w:color w:val="auto"/>
                <w:szCs w:val="24"/>
              </w:rPr>
              <w:t xml:space="preserve"> Spine</w:t>
            </w:r>
          </w:p>
        </w:tc>
        <w:tc>
          <w:tcPr>
            <w:tcW w:w="1566" w:type="dxa"/>
            <w:vAlign w:val="center"/>
          </w:tcPr>
          <w:p w:rsidR="00904083" w:rsidRPr="00AF01B2" w:rsidRDefault="00904083" w:rsidP="000A5432">
            <w:pPr>
              <w:tabs>
                <w:tab w:val="left" w:pos="288"/>
                <w:tab w:val="left" w:pos="4752"/>
              </w:tabs>
              <w:rPr>
                <w:color w:val="auto"/>
                <w:szCs w:val="24"/>
              </w:rPr>
            </w:pPr>
            <w:r w:rsidRPr="00EF0EF6">
              <w:rPr>
                <w:color w:val="auto"/>
                <w:szCs w:val="24"/>
              </w:rPr>
              <w:t>52</w:t>
            </w:r>
            <w:r w:rsidR="000A5432">
              <w:rPr>
                <w:color w:val="auto"/>
                <w:szCs w:val="24"/>
              </w:rPr>
              <w:t>99</w:t>
            </w:r>
            <w:r w:rsidRPr="00EF0EF6">
              <w:rPr>
                <w:color w:val="auto"/>
                <w:szCs w:val="24"/>
              </w:rPr>
              <w:t>-5237</w:t>
            </w:r>
          </w:p>
        </w:tc>
        <w:tc>
          <w:tcPr>
            <w:tcW w:w="1170" w:type="dxa"/>
            <w:vAlign w:val="center"/>
          </w:tcPr>
          <w:p w:rsidR="00904083" w:rsidRPr="00E45E30" w:rsidRDefault="00050677" w:rsidP="00E45E30">
            <w:pPr>
              <w:tabs>
                <w:tab w:val="left" w:pos="288"/>
                <w:tab w:val="left" w:pos="4752"/>
              </w:tabs>
              <w:rPr>
                <w:color w:val="000000" w:themeColor="text1"/>
                <w:szCs w:val="24"/>
              </w:rPr>
            </w:pPr>
            <w:r w:rsidRPr="00E45E30">
              <w:rPr>
                <w:color w:val="000000" w:themeColor="text1"/>
                <w:szCs w:val="24"/>
              </w:rPr>
              <w:t>10</w:t>
            </w:r>
            <w:r w:rsidR="00904083" w:rsidRPr="00E45E30">
              <w:rPr>
                <w:color w:val="000000" w:themeColor="text1"/>
                <w:szCs w:val="24"/>
              </w:rPr>
              <w:t>%</w:t>
            </w:r>
          </w:p>
        </w:tc>
      </w:tr>
      <w:tr w:rsidR="00904083" w:rsidRPr="001F29F9" w:rsidTr="00BE3FA7">
        <w:tblPrEx>
          <w:tblLook w:val="0000"/>
        </w:tblPrEx>
        <w:trPr>
          <w:gridBefore w:val="1"/>
          <w:wBefore w:w="6588" w:type="dxa"/>
          <w:trHeight w:val="152"/>
          <w:jc w:val="center"/>
        </w:trPr>
        <w:tc>
          <w:tcPr>
            <w:tcW w:w="1566" w:type="dxa"/>
            <w:tcBorders>
              <w:left w:val="single" w:sz="4" w:space="0" w:color="auto"/>
              <w:bottom w:val="single" w:sz="4" w:space="0" w:color="000000"/>
            </w:tcBorders>
            <w:shd w:val="clear" w:color="auto" w:fill="D9D9D9" w:themeFill="background1" w:themeFillShade="D9"/>
            <w:vAlign w:val="center"/>
          </w:tcPr>
          <w:p w:rsidR="00904083" w:rsidRPr="001F29F9" w:rsidRDefault="00904083"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904083" w:rsidRPr="00E45E30" w:rsidRDefault="00050677" w:rsidP="00E45E30">
            <w:pPr>
              <w:tabs>
                <w:tab w:val="left" w:pos="288"/>
                <w:tab w:val="left" w:pos="4752"/>
              </w:tabs>
              <w:rPr>
                <w:b/>
                <w:color w:val="000000" w:themeColor="text1"/>
                <w:szCs w:val="24"/>
              </w:rPr>
            </w:pPr>
            <w:r w:rsidRPr="00E45E30">
              <w:rPr>
                <w:b/>
                <w:color w:val="000000" w:themeColor="text1"/>
                <w:szCs w:val="24"/>
              </w:rPr>
              <w:t>10</w:t>
            </w:r>
            <w:r w:rsidR="00904083" w:rsidRPr="00E45E30">
              <w:rPr>
                <w:b/>
                <w:color w:val="000000" w:themeColor="text1"/>
                <w:szCs w:val="24"/>
              </w:rPr>
              <w:t>%</w:t>
            </w:r>
          </w:p>
        </w:tc>
      </w:tr>
    </w:tbl>
    <w:p w:rsidR="00BE3FA7" w:rsidRPr="001F29F9" w:rsidRDefault="00BE3FA7"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B3147">
        <w:rPr>
          <w:color w:val="000000" w:themeColor="text1"/>
          <w:szCs w:val="24"/>
        </w:rPr>
        <w:t>10706</w:t>
      </w:r>
      <w:r w:rsidR="005C4018">
        <w:rPr>
          <w:color w:val="000000" w:themeColor="text1"/>
        </w:rPr>
        <w:t>, w/</w:t>
      </w:r>
      <w:proofErr w:type="spellStart"/>
      <w:r w:rsidR="005C4018">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5C4018">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5C401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AC4A9C" w:rsidRDefault="00AC4A9C">
      <w:pPr>
        <w:rPr>
          <w:color w:val="000000" w:themeColor="text1"/>
          <w:szCs w:val="24"/>
        </w:rPr>
      </w:pPr>
      <w:r>
        <w:rPr>
          <w:color w:val="000000" w:themeColor="text1"/>
          <w:szCs w:val="24"/>
        </w:rPr>
        <w:br w:type="page"/>
      </w:r>
    </w:p>
    <w:p w:rsidR="00AC4A9C" w:rsidRPr="006754DE" w:rsidRDefault="00AC4A9C" w:rsidP="00AC4A9C">
      <w:pPr>
        <w:pStyle w:val="Header"/>
        <w:tabs>
          <w:tab w:val="clear" w:pos="4320"/>
          <w:tab w:val="clear" w:pos="8640"/>
        </w:tabs>
        <w:jc w:val="left"/>
        <w:rPr>
          <w:color w:val="auto"/>
        </w:rPr>
      </w:pPr>
      <w:r w:rsidRPr="006754DE">
        <w:rPr>
          <w:color w:val="auto"/>
        </w:rPr>
        <w:lastRenderedPageBreak/>
        <w:t>SFMR-RB</w:t>
      </w:r>
      <w:r w:rsidRPr="006754DE">
        <w:rPr>
          <w:color w:val="auto"/>
        </w:rPr>
        <w:tab/>
      </w:r>
      <w:r w:rsidRPr="006754DE">
        <w:rPr>
          <w:color w:val="auto"/>
        </w:rPr>
        <w:tab/>
      </w:r>
      <w:r w:rsidRPr="006754DE">
        <w:rPr>
          <w:color w:val="auto"/>
        </w:rPr>
        <w:tab/>
      </w:r>
      <w:r w:rsidRPr="006754DE">
        <w:rPr>
          <w:color w:val="auto"/>
        </w:rPr>
        <w:tab/>
      </w:r>
      <w:r w:rsidRPr="006754DE">
        <w:rPr>
          <w:color w:val="auto"/>
        </w:rPr>
        <w:tab/>
      </w:r>
      <w:r w:rsidRPr="006754DE">
        <w:rPr>
          <w:color w:val="auto"/>
        </w:rPr>
        <w:tab/>
      </w:r>
      <w:r w:rsidRPr="006754DE">
        <w:rPr>
          <w:color w:val="auto"/>
        </w:rPr>
        <w:tab/>
      </w:r>
      <w:r w:rsidRPr="006754DE">
        <w:rPr>
          <w:color w:val="auto"/>
        </w:rPr>
        <w:tab/>
      </w:r>
      <w:r w:rsidRPr="006754DE">
        <w:rPr>
          <w:color w:val="auto"/>
        </w:rPr>
        <w:tab/>
      </w:r>
    </w:p>
    <w:p w:rsidR="00AC4A9C" w:rsidRPr="006754DE" w:rsidRDefault="00AC4A9C" w:rsidP="00AC4A9C">
      <w:pPr>
        <w:pStyle w:val="Header"/>
        <w:tabs>
          <w:tab w:val="clear" w:pos="4320"/>
          <w:tab w:val="clear" w:pos="8640"/>
        </w:tabs>
        <w:jc w:val="left"/>
        <w:rPr>
          <w:color w:val="auto"/>
        </w:rPr>
      </w:pPr>
    </w:p>
    <w:p w:rsidR="00AC4A9C" w:rsidRPr="006754DE" w:rsidRDefault="00AC4A9C" w:rsidP="00AC4A9C">
      <w:pPr>
        <w:jc w:val="left"/>
        <w:rPr>
          <w:color w:val="auto"/>
        </w:rPr>
      </w:pPr>
    </w:p>
    <w:p w:rsidR="00AC4A9C" w:rsidRPr="006754DE" w:rsidRDefault="00AC4A9C" w:rsidP="00AC4A9C">
      <w:pPr>
        <w:jc w:val="left"/>
        <w:rPr>
          <w:color w:val="auto"/>
        </w:rPr>
      </w:pPr>
      <w:r w:rsidRPr="006754DE">
        <w:rPr>
          <w:color w:val="auto"/>
        </w:rPr>
        <w:t xml:space="preserve">MEMORANDUM FOR Commander, US Army Physical Disability Agency </w:t>
      </w:r>
    </w:p>
    <w:p w:rsidR="00AC4A9C" w:rsidRPr="006754DE" w:rsidRDefault="00AC4A9C" w:rsidP="00AC4A9C">
      <w:pPr>
        <w:jc w:val="left"/>
        <w:rPr>
          <w:color w:val="auto"/>
        </w:rPr>
      </w:pPr>
      <w:r w:rsidRPr="006754DE">
        <w:rPr>
          <w:color w:val="auto"/>
        </w:rPr>
        <w:t>Crystal Drive, Suite 300, Arlington, VA  22202</w:t>
      </w:r>
    </w:p>
    <w:p w:rsidR="00AC4A9C" w:rsidRPr="006754DE" w:rsidRDefault="00AC4A9C" w:rsidP="00AC4A9C">
      <w:pPr>
        <w:jc w:val="left"/>
        <w:rPr>
          <w:color w:val="auto"/>
        </w:rPr>
      </w:pPr>
    </w:p>
    <w:p w:rsidR="00AC4A9C" w:rsidRPr="006754DE" w:rsidRDefault="00AC4A9C" w:rsidP="00AC4A9C">
      <w:pPr>
        <w:ind w:right="-180"/>
        <w:jc w:val="left"/>
        <w:rPr>
          <w:color w:val="auto"/>
        </w:rPr>
      </w:pPr>
      <w:r w:rsidRPr="006754DE">
        <w:rPr>
          <w:color w:val="auto"/>
        </w:rPr>
        <w:t>SUBJECT:  Department of Defense Physical Disability Board of Review Recommendation for (PD201100497)</w:t>
      </w:r>
    </w:p>
    <w:p w:rsidR="00AC4A9C" w:rsidRPr="006754DE" w:rsidRDefault="00AC4A9C" w:rsidP="00AC4A9C">
      <w:pPr>
        <w:pStyle w:val="Header"/>
        <w:tabs>
          <w:tab w:val="clear" w:pos="4320"/>
          <w:tab w:val="clear" w:pos="8640"/>
        </w:tabs>
        <w:jc w:val="left"/>
        <w:rPr>
          <w:color w:val="auto"/>
        </w:rPr>
      </w:pPr>
    </w:p>
    <w:p w:rsidR="00AC4A9C" w:rsidRPr="006754DE" w:rsidRDefault="00AC4A9C" w:rsidP="00AC4A9C">
      <w:pPr>
        <w:jc w:val="left"/>
        <w:rPr>
          <w:color w:val="auto"/>
        </w:rPr>
      </w:pPr>
    </w:p>
    <w:p w:rsidR="00AC4A9C" w:rsidRPr="006754DE" w:rsidRDefault="00AC4A9C" w:rsidP="00AC4A9C">
      <w:pPr>
        <w:jc w:val="left"/>
        <w:rPr>
          <w:color w:val="auto"/>
        </w:rPr>
      </w:pPr>
      <w:r w:rsidRPr="006754DE">
        <w:rPr>
          <w:color w:val="auto"/>
        </w:rPr>
        <w:t>I have reviewed the enclosed Department of Defense Physical Disability Board of Review (</w:t>
      </w:r>
      <w:proofErr w:type="spellStart"/>
      <w:r w:rsidRPr="006754DE">
        <w:rPr>
          <w:color w:val="auto"/>
        </w:rPr>
        <w:t>DoD</w:t>
      </w:r>
      <w:proofErr w:type="spellEnd"/>
      <w:r w:rsidRPr="006754DE">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AC4A9C" w:rsidRPr="006754DE" w:rsidRDefault="00AC4A9C" w:rsidP="00AC4A9C">
      <w:pPr>
        <w:jc w:val="left"/>
        <w:rPr>
          <w:color w:val="auto"/>
        </w:rPr>
      </w:pPr>
      <w:r w:rsidRPr="006754DE">
        <w:rPr>
          <w:color w:val="auto"/>
        </w:rPr>
        <w:t>This decision is final.  The individual concerned, counsel (if any), and any Members of Congress who have shown interest in this application have been notified of this decision by mail.</w:t>
      </w:r>
    </w:p>
    <w:p w:rsidR="00AC4A9C" w:rsidRPr="006754DE" w:rsidRDefault="00AC4A9C" w:rsidP="00AC4A9C">
      <w:pPr>
        <w:jc w:val="left"/>
        <w:rPr>
          <w:color w:val="auto"/>
        </w:rPr>
      </w:pPr>
    </w:p>
    <w:p w:rsidR="00AC4A9C" w:rsidRPr="006754DE" w:rsidRDefault="00AC4A9C" w:rsidP="00AC4A9C">
      <w:pPr>
        <w:jc w:val="left"/>
        <w:rPr>
          <w:color w:val="auto"/>
        </w:rPr>
      </w:pPr>
      <w:r w:rsidRPr="006754DE">
        <w:rPr>
          <w:color w:val="auto"/>
        </w:rPr>
        <w:t xml:space="preserve"> BY ORDER OF THE SECRETARY OF THE ARMY:</w:t>
      </w:r>
    </w:p>
    <w:p w:rsidR="00AC4A9C" w:rsidRPr="006754DE" w:rsidRDefault="00AC4A9C" w:rsidP="00AC4A9C">
      <w:pPr>
        <w:jc w:val="left"/>
        <w:rPr>
          <w:color w:val="auto"/>
        </w:rPr>
      </w:pPr>
    </w:p>
    <w:p w:rsidR="00AC4A9C" w:rsidRPr="006754DE" w:rsidRDefault="00AC4A9C" w:rsidP="00AC4A9C">
      <w:pPr>
        <w:jc w:val="left"/>
        <w:rPr>
          <w:color w:val="auto"/>
        </w:rPr>
      </w:pPr>
    </w:p>
    <w:p w:rsidR="00AC4A9C" w:rsidRPr="006754DE" w:rsidRDefault="00AC4A9C" w:rsidP="00AC4A9C">
      <w:pPr>
        <w:pStyle w:val="Header"/>
        <w:tabs>
          <w:tab w:val="clear" w:pos="4320"/>
          <w:tab w:val="clear" w:pos="8640"/>
        </w:tabs>
        <w:jc w:val="left"/>
        <w:rPr>
          <w:color w:val="auto"/>
        </w:rPr>
      </w:pPr>
    </w:p>
    <w:p w:rsidR="00AC4A9C" w:rsidRPr="006754DE" w:rsidRDefault="00AC4A9C" w:rsidP="00AC4A9C">
      <w:pPr>
        <w:jc w:val="left"/>
        <w:rPr>
          <w:color w:val="auto"/>
        </w:rPr>
      </w:pPr>
    </w:p>
    <w:p w:rsidR="00AC4A9C" w:rsidRPr="006754DE" w:rsidRDefault="00AC4A9C" w:rsidP="00AC4A9C">
      <w:pPr>
        <w:jc w:val="left"/>
        <w:rPr>
          <w:color w:val="auto"/>
        </w:rPr>
      </w:pPr>
      <w:bookmarkStart w:id="0" w:name="OLE_LINK3"/>
      <w:bookmarkStart w:id="1" w:name="OLE_LINK4"/>
      <w:r w:rsidRPr="006754DE">
        <w:rPr>
          <w:color w:val="auto"/>
        </w:rPr>
        <w:t>Encl</w:t>
      </w:r>
      <w:r w:rsidRPr="006754DE">
        <w:rPr>
          <w:color w:val="auto"/>
        </w:rPr>
        <w:tab/>
      </w:r>
      <w:r w:rsidRPr="006754DE">
        <w:rPr>
          <w:color w:val="auto"/>
        </w:rPr>
        <w:tab/>
      </w:r>
      <w:r w:rsidRPr="006754DE">
        <w:rPr>
          <w:color w:val="auto"/>
        </w:rPr>
        <w:tab/>
      </w:r>
      <w:r w:rsidRPr="006754DE">
        <w:rPr>
          <w:color w:val="auto"/>
        </w:rPr>
        <w:tab/>
      </w:r>
      <w:r w:rsidRPr="006754DE">
        <w:rPr>
          <w:color w:val="auto"/>
        </w:rPr>
        <w:tab/>
      </w:r>
      <w:r w:rsidRPr="006754DE">
        <w:rPr>
          <w:color w:val="auto"/>
        </w:rPr>
        <w:tab/>
        <w:t xml:space="preserve">   </w:t>
      </w:r>
      <w:bookmarkEnd w:id="0"/>
      <w:bookmarkEnd w:id="1"/>
    </w:p>
    <w:p w:rsidR="00AC4A9C" w:rsidRPr="006754DE" w:rsidRDefault="00AC4A9C" w:rsidP="00AC4A9C">
      <w:pPr>
        <w:jc w:val="left"/>
        <w:rPr>
          <w:color w:val="auto"/>
        </w:rPr>
      </w:pPr>
    </w:p>
    <w:p w:rsidR="00AC4A9C" w:rsidRPr="006754DE" w:rsidRDefault="00AC4A9C" w:rsidP="00AC4A9C">
      <w:pPr>
        <w:jc w:val="left"/>
        <w:rPr>
          <w:color w:val="auto"/>
        </w:rPr>
      </w:pPr>
      <w:r w:rsidRPr="006754DE">
        <w:rPr>
          <w:color w:val="auto"/>
        </w:rPr>
        <w:t xml:space="preserve">CF: </w:t>
      </w:r>
    </w:p>
    <w:p w:rsidR="00AC4A9C" w:rsidRPr="006754DE" w:rsidRDefault="00AC4A9C" w:rsidP="00AC4A9C">
      <w:pPr>
        <w:jc w:val="left"/>
        <w:rPr>
          <w:color w:val="auto"/>
        </w:rPr>
      </w:pPr>
      <w:r w:rsidRPr="006754DE">
        <w:rPr>
          <w:color w:val="auto"/>
        </w:rPr>
        <w:t xml:space="preserve">(  ) </w:t>
      </w:r>
      <w:proofErr w:type="spellStart"/>
      <w:proofErr w:type="gramStart"/>
      <w:r w:rsidRPr="006754DE">
        <w:rPr>
          <w:color w:val="auto"/>
        </w:rPr>
        <w:t>DoD</w:t>
      </w:r>
      <w:proofErr w:type="spellEnd"/>
      <w:proofErr w:type="gramEnd"/>
      <w:r w:rsidRPr="006754DE">
        <w:rPr>
          <w:color w:val="auto"/>
        </w:rPr>
        <w:t xml:space="preserve"> PDBR</w:t>
      </w:r>
    </w:p>
    <w:p w:rsidR="00AC4A9C" w:rsidRPr="006754DE" w:rsidRDefault="00AC4A9C" w:rsidP="00AC4A9C">
      <w:pPr>
        <w:jc w:val="left"/>
        <w:rPr>
          <w:color w:val="auto"/>
        </w:rPr>
      </w:pPr>
      <w:r w:rsidRPr="006754DE">
        <w:rPr>
          <w:color w:val="auto"/>
        </w:rPr>
        <w:t>(  ) DVA</w:t>
      </w:r>
    </w:p>
    <w:p w:rsidR="00AC4A9C" w:rsidRDefault="00AC4A9C" w:rsidP="00AC4A9C"/>
    <w:p w:rsidR="00BE3FA7" w:rsidRDefault="00BE3FA7" w:rsidP="00BE3FA7">
      <w:pPr>
        <w:tabs>
          <w:tab w:val="left" w:pos="0"/>
          <w:tab w:val="left" w:pos="4320"/>
        </w:tabs>
        <w:jc w:val="both"/>
        <w:rPr>
          <w:color w:val="000000" w:themeColor="text1"/>
          <w:szCs w:val="24"/>
        </w:rPr>
      </w:pPr>
    </w:p>
    <w:p w:rsidR="00BE3FA7" w:rsidRDefault="00BE3FA7" w:rsidP="00E45E30">
      <w:pPr>
        <w:jc w:val="both"/>
        <w:rPr>
          <w:color w:val="000000" w:themeColor="text1"/>
          <w:szCs w:val="24"/>
          <w:u w:val="single"/>
        </w:rPr>
      </w:pPr>
    </w:p>
    <w:sectPr w:rsidR="00BE3FA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55" w:rsidRDefault="00A25E55">
      <w:r>
        <w:separator/>
      </w:r>
    </w:p>
  </w:endnote>
  <w:endnote w:type="continuationSeparator" w:id="0">
    <w:p w:rsidR="00A25E55" w:rsidRDefault="00A25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41F82" w:rsidRPr="00374247" w:rsidRDefault="00141F82" w:rsidP="00374247">
        <w:pPr>
          <w:pStyle w:val="Footer"/>
          <w:ind w:firstLine="4320"/>
          <w:rPr>
            <w:color w:val="auto"/>
            <w:szCs w:val="24"/>
          </w:rPr>
        </w:pPr>
        <w:r w:rsidRPr="00374247">
          <w:rPr>
            <w:color w:val="auto"/>
            <w:szCs w:val="24"/>
          </w:rPr>
          <w:t xml:space="preserve">   </w:t>
        </w:r>
        <w:r w:rsidR="000B5200" w:rsidRPr="00374247">
          <w:rPr>
            <w:color w:val="auto"/>
            <w:szCs w:val="24"/>
          </w:rPr>
          <w:fldChar w:fldCharType="begin"/>
        </w:r>
        <w:r w:rsidRPr="00374247">
          <w:rPr>
            <w:color w:val="auto"/>
            <w:szCs w:val="24"/>
          </w:rPr>
          <w:instrText xml:space="preserve"> PAGE   \* MERGEFORMAT </w:instrText>
        </w:r>
        <w:r w:rsidR="000B5200" w:rsidRPr="00374247">
          <w:rPr>
            <w:color w:val="auto"/>
            <w:szCs w:val="24"/>
          </w:rPr>
          <w:fldChar w:fldCharType="separate"/>
        </w:r>
        <w:r w:rsidR="006754DE" w:rsidRPr="006754DE">
          <w:rPr>
            <w:noProof/>
            <w:color w:val="auto"/>
          </w:rPr>
          <w:t>4</w:t>
        </w:r>
        <w:r w:rsidR="000B5200" w:rsidRPr="00374247">
          <w:rPr>
            <w:color w:val="auto"/>
            <w:szCs w:val="24"/>
          </w:rPr>
          <w:fldChar w:fldCharType="end"/>
        </w:r>
        <w:r w:rsidRPr="00374247">
          <w:rPr>
            <w:color w:val="auto"/>
            <w:szCs w:val="24"/>
          </w:rPr>
          <w:t xml:space="preserve">                                                           </w:t>
        </w:r>
        <w:r w:rsidRPr="004B3147">
          <w:rPr>
            <w:color w:val="auto"/>
            <w:szCs w:val="24"/>
          </w:rPr>
          <w:t>PD1100497</w:t>
        </w:r>
      </w:p>
    </w:sdtContent>
  </w:sdt>
  <w:p w:rsidR="00141F82" w:rsidRPr="00684CE6" w:rsidRDefault="00141F8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55" w:rsidRDefault="00A25E55">
      <w:r>
        <w:separator/>
      </w:r>
    </w:p>
  </w:footnote>
  <w:footnote w:type="continuationSeparator" w:id="0">
    <w:p w:rsidR="00A25E55" w:rsidRDefault="00A25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57D77"/>
    <w:multiLevelType w:val="multilevel"/>
    <w:tmpl w:val="3C7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7041"/>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912"/>
    <w:rsid w:val="00012428"/>
    <w:rsid w:val="00012733"/>
    <w:rsid w:val="00013417"/>
    <w:rsid w:val="000143CB"/>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67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8731D"/>
    <w:rsid w:val="00092619"/>
    <w:rsid w:val="00092C66"/>
    <w:rsid w:val="000949DD"/>
    <w:rsid w:val="00094E4F"/>
    <w:rsid w:val="000A2BCE"/>
    <w:rsid w:val="000A31E2"/>
    <w:rsid w:val="000A33C8"/>
    <w:rsid w:val="000A41E3"/>
    <w:rsid w:val="000A4BBA"/>
    <w:rsid w:val="000A5071"/>
    <w:rsid w:val="000A5432"/>
    <w:rsid w:val="000B0AD2"/>
    <w:rsid w:val="000B1022"/>
    <w:rsid w:val="000B2FB8"/>
    <w:rsid w:val="000B471C"/>
    <w:rsid w:val="000B4C99"/>
    <w:rsid w:val="000B5200"/>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0C4"/>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6A"/>
    <w:rsid w:val="001042D2"/>
    <w:rsid w:val="0010530E"/>
    <w:rsid w:val="00105C07"/>
    <w:rsid w:val="00106920"/>
    <w:rsid w:val="00106AD8"/>
    <w:rsid w:val="001078DB"/>
    <w:rsid w:val="001079FA"/>
    <w:rsid w:val="00107EC5"/>
    <w:rsid w:val="001103CD"/>
    <w:rsid w:val="00113D2A"/>
    <w:rsid w:val="00114ADE"/>
    <w:rsid w:val="00114F20"/>
    <w:rsid w:val="0011590B"/>
    <w:rsid w:val="001211AF"/>
    <w:rsid w:val="001215DF"/>
    <w:rsid w:val="001219DF"/>
    <w:rsid w:val="0012220B"/>
    <w:rsid w:val="00122ABE"/>
    <w:rsid w:val="001231DC"/>
    <w:rsid w:val="0012453A"/>
    <w:rsid w:val="0012489B"/>
    <w:rsid w:val="001269F8"/>
    <w:rsid w:val="001272AE"/>
    <w:rsid w:val="00130756"/>
    <w:rsid w:val="001315DD"/>
    <w:rsid w:val="00134EF9"/>
    <w:rsid w:val="0013525F"/>
    <w:rsid w:val="00135385"/>
    <w:rsid w:val="00136204"/>
    <w:rsid w:val="001364D1"/>
    <w:rsid w:val="001374C7"/>
    <w:rsid w:val="00140FA4"/>
    <w:rsid w:val="00141BC9"/>
    <w:rsid w:val="00141F82"/>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E10"/>
    <w:rsid w:val="001E15C0"/>
    <w:rsid w:val="001E18E0"/>
    <w:rsid w:val="001E18E2"/>
    <w:rsid w:val="001E19D0"/>
    <w:rsid w:val="001E2A30"/>
    <w:rsid w:val="001E2FF1"/>
    <w:rsid w:val="001E3FE1"/>
    <w:rsid w:val="001E41FE"/>
    <w:rsid w:val="001E635C"/>
    <w:rsid w:val="001F0297"/>
    <w:rsid w:val="001F10B4"/>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EAA"/>
    <w:rsid w:val="00253EAD"/>
    <w:rsid w:val="00255049"/>
    <w:rsid w:val="00257538"/>
    <w:rsid w:val="00257AFF"/>
    <w:rsid w:val="00257DE5"/>
    <w:rsid w:val="00260531"/>
    <w:rsid w:val="00260B9A"/>
    <w:rsid w:val="00262EA5"/>
    <w:rsid w:val="0026318D"/>
    <w:rsid w:val="00264148"/>
    <w:rsid w:val="0026557B"/>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6A8"/>
    <w:rsid w:val="00282DB6"/>
    <w:rsid w:val="002833CA"/>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904"/>
    <w:rsid w:val="002B59B8"/>
    <w:rsid w:val="002B6FA0"/>
    <w:rsid w:val="002B7710"/>
    <w:rsid w:val="002C0DEA"/>
    <w:rsid w:val="002C34F6"/>
    <w:rsid w:val="002C3B6D"/>
    <w:rsid w:val="002C3E96"/>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30F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CFD"/>
    <w:rsid w:val="00337351"/>
    <w:rsid w:val="003409FA"/>
    <w:rsid w:val="00341A54"/>
    <w:rsid w:val="00341C65"/>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A7F"/>
    <w:rsid w:val="00380FD4"/>
    <w:rsid w:val="00381E16"/>
    <w:rsid w:val="003821E1"/>
    <w:rsid w:val="003840F6"/>
    <w:rsid w:val="00384866"/>
    <w:rsid w:val="003851BA"/>
    <w:rsid w:val="00385564"/>
    <w:rsid w:val="003857D4"/>
    <w:rsid w:val="00385D6F"/>
    <w:rsid w:val="00385F52"/>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01EC"/>
    <w:rsid w:val="003A03E0"/>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703"/>
    <w:rsid w:val="00405BCF"/>
    <w:rsid w:val="004068E0"/>
    <w:rsid w:val="00406CC5"/>
    <w:rsid w:val="00406FCA"/>
    <w:rsid w:val="004074A4"/>
    <w:rsid w:val="004101B2"/>
    <w:rsid w:val="004123D7"/>
    <w:rsid w:val="00412658"/>
    <w:rsid w:val="004129DA"/>
    <w:rsid w:val="00415EA4"/>
    <w:rsid w:val="0041604B"/>
    <w:rsid w:val="004161A6"/>
    <w:rsid w:val="004172DB"/>
    <w:rsid w:val="004174F0"/>
    <w:rsid w:val="00420A1D"/>
    <w:rsid w:val="00420B1E"/>
    <w:rsid w:val="004211FD"/>
    <w:rsid w:val="00421485"/>
    <w:rsid w:val="004216DA"/>
    <w:rsid w:val="00421DEA"/>
    <w:rsid w:val="00422B75"/>
    <w:rsid w:val="00424612"/>
    <w:rsid w:val="0042528C"/>
    <w:rsid w:val="00425672"/>
    <w:rsid w:val="00425A6A"/>
    <w:rsid w:val="00426505"/>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575"/>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2637"/>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147"/>
    <w:rsid w:val="004B46D7"/>
    <w:rsid w:val="004B5B00"/>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2B4"/>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257"/>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038"/>
    <w:rsid w:val="00542B34"/>
    <w:rsid w:val="00542C9A"/>
    <w:rsid w:val="005436C2"/>
    <w:rsid w:val="005442D4"/>
    <w:rsid w:val="005445AE"/>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01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5F1D"/>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54DE"/>
    <w:rsid w:val="006770AA"/>
    <w:rsid w:val="0068098E"/>
    <w:rsid w:val="006810BD"/>
    <w:rsid w:val="00682486"/>
    <w:rsid w:val="006833A7"/>
    <w:rsid w:val="00684C8C"/>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78A"/>
    <w:rsid w:val="00695DEF"/>
    <w:rsid w:val="00696476"/>
    <w:rsid w:val="00696C74"/>
    <w:rsid w:val="00697C9B"/>
    <w:rsid w:val="006A10FA"/>
    <w:rsid w:val="006A12E0"/>
    <w:rsid w:val="006A3381"/>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F1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1DF"/>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0E39"/>
    <w:rsid w:val="007C11E9"/>
    <w:rsid w:val="007C196B"/>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AF5"/>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07D"/>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8D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661"/>
    <w:rsid w:val="00882CC2"/>
    <w:rsid w:val="00883103"/>
    <w:rsid w:val="0088325A"/>
    <w:rsid w:val="00883930"/>
    <w:rsid w:val="00884535"/>
    <w:rsid w:val="008902BE"/>
    <w:rsid w:val="0089038F"/>
    <w:rsid w:val="00890CDA"/>
    <w:rsid w:val="00891BBA"/>
    <w:rsid w:val="00892079"/>
    <w:rsid w:val="00892B90"/>
    <w:rsid w:val="00893F39"/>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083"/>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80E"/>
    <w:rsid w:val="009672CD"/>
    <w:rsid w:val="00971810"/>
    <w:rsid w:val="00972996"/>
    <w:rsid w:val="009730B4"/>
    <w:rsid w:val="0097320E"/>
    <w:rsid w:val="009732B8"/>
    <w:rsid w:val="00974647"/>
    <w:rsid w:val="0097514A"/>
    <w:rsid w:val="0097589F"/>
    <w:rsid w:val="009759C2"/>
    <w:rsid w:val="00975C72"/>
    <w:rsid w:val="00976869"/>
    <w:rsid w:val="00976BFB"/>
    <w:rsid w:val="0097750D"/>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42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0E4"/>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E55"/>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3CB"/>
    <w:rsid w:val="00A768E2"/>
    <w:rsid w:val="00A82C52"/>
    <w:rsid w:val="00A838E8"/>
    <w:rsid w:val="00A83C15"/>
    <w:rsid w:val="00A84EC4"/>
    <w:rsid w:val="00A86CB6"/>
    <w:rsid w:val="00A90D55"/>
    <w:rsid w:val="00A9225E"/>
    <w:rsid w:val="00A944D8"/>
    <w:rsid w:val="00A953E2"/>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A9C"/>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38D"/>
    <w:rsid w:val="00AF41EE"/>
    <w:rsid w:val="00AF4FA5"/>
    <w:rsid w:val="00AF5BB4"/>
    <w:rsid w:val="00AF6ECC"/>
    <w:rsid w:val="00B02145"/>
    <w:rsid w:val="00B022DC"/>
    <w:rsid w:val="00B04562"/>
    <w:rsid w:val="00B0472F"/>
    <w:rsid w:val="00B0543B"/>
    <w:rsid w:val="00B06930"/>
    <w:rsid w:val="00B0709D"/>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7E1"/>
    <w:rsid w:val="00B43BA2"/>
    <w:rsid w:val="00B449EE"/>
    <w:rsid w:val="00B454AE"/>
    <w:rsid w:val="00B5019A"/>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FA7"/>
    <w:rsid w:val="00BE4039"/>
    <w:rsid w:val="00BE6365"/>
    <w:rsid w:val="00BF01B7"/>
    <w:rsid w:val="00BF0B7F"/>
    <w:rsid w:val="00BF0E94"/>
    <w:rsid w:val="00BF2988"/>
    <w:rsid w:val="00BF2D31"/>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4B28"/>
    <w:rsid w:val="00C24CA7"/>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569"/>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5CF3"/>
    <w:rsid w:val="00DB626D"/>
    <w:rsid w:val="00DB6365"/>
    <w:rsid w:val="00DB756C"/>
    <w:rsid w:val="00DC07B7"/>
    <w:rsid w:val="00DC0BF1"/>
    <w:rsid w:val="00DC1607"/>
    <w:rsid w:val="00DC17F2"/>
    <w:rsid w:val="00DC4001"/>
    <w:rsid w:val="00DC41C3"/>
    <w:rsid w:val="00DC4A3C"/>
    <w:rsid w:val="00DC4FA4"/>
    <w:rsid w:val="00DC5076"/>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3D5"/>
    <w:rsid w:val="00DF5C84"/>
    <w:rsid w:val="00DF5EC0"/>
    <w:rsid w:val="00DF6EF8"/>
    <w:rsid w:val="00DF6EFE"/>
    <w:rsid w:val="00E00A69"/>
    <w:rsid w:val="00E017BC"/>
    <w:rsid w:val="00E017F0"/>
    <w:rsid w:val="00E01A0E"/>
    <w:rsid w:val="00E025FE"/>
    <w:rsid w:val="00E0346A"/>
    <w:rsid w:val="00E041E4"/>
    <w:rsid w:val="00E046B2"/>
    <w:rsid w:val="00E04AEE"/>
    <w:rsid w:val="00E0549A"/>
    <w:rsid w:val="00E06BBD"/>
    <w:rsid w:val="00E100E3"/>
    <w:rsid w:val="00E1012B"/>
    <w:rsid w:val="00E103C8"/>
    <w:rsid w:val="00E1085B"/>
    <w:rsid w:val="00E12F0E"/>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2A"/>
    <w:rsid w:val="00E405EA"/>
    <w:rsid w:val="00E408B7"/>
    <w:rsid w:val="00E412EB"/>
    <w:rsid w:val="00E41637"/>
    <w:rsid w:val="00E42789"/>
    <w:rsid w:val="00E43F59"/>
    <w:rsid w:val="00E45E30"/>
    <w:rsid w:val="00E464F0"/>
    <w:rsid w:val="00E46EF3"/>
    <w:rsid w:val="00E47370"/>
    <w:rsid w:val="00E473E9"/>
    <w:rsid w:val="00E47B47"/>
    <w:rsid w:val="00E50BEB"/>
    <w:rsid w:val="00E53460"/>
    <w:rsid w:val="00E548FA"/>
    <w:rsid w:val="00E55CD9"/>
    <w:rsid w:val="00E57703"/>
    <w:rsid w:val="00E57ED4"/>
    <w:rsid w:val="00E57FED"/>
    <w:rsid w:val="00E6092F"/>
    <w:rsid w:val="00E614DB"/>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A51"/>
    <w:rsid w:val="00E71DAB"/>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1E1"/>
    <w:rsid w:val="00FC6285"/>
    <w:rsid w:val="00FC78FB"/>
    <w:rsid w:val="00FC7DBC"/>
    <w:rsid w:val="00FD076A"/>
    <w:rsid w:val="00FD0AA0"/>
    <w:rsid w:val="00FD1D5A"/>
    <w:rsid w:val="00FD261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AC4A9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59080024">
      <w:bodyDiv w:val="1"/>
      <w:marLeft w:val="0"/>
      <w:marRight w:val="0"/>
      <w:marTop w:val="0"/>
      <w:marBottom w:val="0"/>
      <w:divBdr>
        <w:top w:val="none" w:sz="0" w:space="0" w:color="auto"/>
        <w:left w:val="none" w:sz="0" w:space="0" w:color="auto"/>
        <w:bottom w:val="none" w:sz="0" w:space="0" w:color="auto"/>
        <w:right w:val="none" w:sz="0" w:space="0" w:color="auto"/>
      </w:divBdr>
      <w:divsChild>
        <w:div w:id="1107390606">
          <w:marLeft w:val="0"/>
          <w:marRight w:val="1"/>
          <w:marTop w:val="0"/>
          <w:marBottom w:val="0"/>
          <w:divBdr>
            <w:top w:val="none" w:sz="0" w:space="0" w:color="auto"/>
            <w:left w:val="none" w:sz="0" w:space="0" w:color="auto"/>
            <w:bottom w:val="none" w:sz="0" w:space="0" w:color="auto"/>
            <w:right w:val="none" w:sz="0" w:space="0" w:color="auto"/>
          </w:divBdr>
          <w:divsChild>
            <w:div w:id="1613321610">
              <w:marLeft w:val="240"/>
              <w:marRight w:val="0"/>
              <w:marTop w:val="0"/>
              <w:marBottom w:val="0"/>
              <w:divBdr>
                <w:top w:val="none" w:sz="0" w:space="0" w:color="auto"/>
                <w:left w:val="none" w:sz="0" w:space="0" w:color="auto"/>
                <w:bottom w:val="none" w:sz="0" w:space="0" w:color="auto"/>
                <w:right w:val="none" w:sz="0" w:space="0" w:color="auto"/>
              </w:divBdr>
              <w:divsChild>
                <w:div w:id="635841315">
                  <w:marLeft w:val="0"/>
                  <w:marRight w:val="1"/>
                  <w:marTop w:val="0"/>
                  <w:marBottom w:val="0"/>
                  <w:divBdr>
                    <w:top w:val="none" w:sz="0" w:space="0" w:color="auto"/>
                    <w:left w:val="none" w:sz="0" w:space="0" w:color="auto"/>
                    <w:bottom w:val="none" w:sz="0" w:space="0" w:color="auto"/>
                    <w:right w:val="none" w:sz="0" w:space="0" w:color="auto"/>
                  </w:divBdr>
                  <w:divsChild>
                    <w:div w:id="1632711561">
                      <w:marLeft w:val="0"/>
                      <w:marRight w:val="0"/>
                      <w:marTop w:val="0"/>
                      <w:marBottom w:val="0"/>
                      <w:divBdr>
                        <w:top w:val="none" w:sz="0" w:space="0" w:color="auto"/>
                        <w:left w:val="none" w:sz="0" w:space="0" w:color="auto"/>
                        <w:bottom w:val="none" w:sz="0" w:space="0" w:color="auto"/>
                        <w:right w:val="none" w:sz="0" w:space="0" w:color="auto"/>
                      </w:divBdr>
                      <w:divsChild>
                        <w:div w:id="1962835209">
                          <w:marLeft w:val="0"/>
                          <w:marRight w:val="0"/>
                          <w:marTop w:val="0"/>
                          <w:marBottom w:val="0"/>
                          <w:divBdr>
                            <w:top w:val="none" w:sz="0" w:space="0" w:color="auto"/>
                            <w:left w:val="none" w:sz="0" w:space="0" w:color="auto"/>
                            <w:bottom w:val="none" w:sz="0" w:space="0" w:color="auto"/>
                            <w:right w:val="none" w:sz="0" w:space="0" w:color="auto"/>
                          </w:divBdr>
                          <w:divsChild>
                            <w:div w:id="395125924">
                              <w:marLeft w:val="0"/>
                              <w:marRight w:val="0"/>
                              <w:marTop w:val="0"/>
                              <w:marBottom w:val="0"/>
                              <w:divBdr>
                                <w:top w:val="none" w:sz="0" w:space="0" w:color="auto"/>
                                <w:left w:val="none" w:sz="0" w:space="0" w:color="auto"/>
                                <w:bottom w:val="none" w:sz="0" w:space="0" w:color="auto"/>
                                <w:right w:val="none" w:sz="0" w:space="0" w:color="auto"/>
                              </w:divBdr>
                              <w:divsChild>
                                <w:div w:id="588739399">
                                  <w:marLeft w:val="0"/>
                                  <w:marRight w:val="0"/>
                                  <w:marTop w:val="0"/>
                                  <w:marBottom w:val="0"/>
                                  <w:divBdr>
                                    <w:top w:val="none" w:sz="0" w:space="0" w:color="auto"/>
                                    <w:left w:val="none" w:sz="0" w:space="0" w:color="auto"/>
                                    <w:bottom w:val="none" w:sz="0" w:space="0" w:color="auto"/>
                                    <w:right w:val="none" w:sz="0" w:space="0" w:color="auto"/>
                                  </w:divBdr>
                                </w:div>
                              </w:divsChild>
                            </w:div>
                            <w:div w:id="737828650">
                              <w:marLeft w:val="0"/>
                              <w:marRight w:val="0"/>
                              <w:marTop w:val="0"/>
                              <w:marBottom w:val="0"/>
                              <w:divBdr>
                                <w:top w:val="none" w:sz="0" w:space="0" w:color="auto"/>
                                <w:left w:val="none" w:sz="0" w:space="0" w:color="auto"/>
                                <w:bottom w:val="none" w:sz="0" w:space="0" w:color="auto"/>
                                <w:right w:val="none" w:sz="0" w:space="0" w:color="auto"/>
                              </w:divBdr>
                              <w:divsChild>
                                <w:div w:id="21345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58276903">
      <w:bodyDiv w:val="1"/>
      <w:marLeft w:val="0"/>
      <w:marRight w:val="0"/>
      <w:marTop w:val="0"/>
      <w:marBottom w:val="0"/>
      <w:divBdr>
        <w:top w:val="none" w:sz="0" w:space="0" w:color="auto"/>
        <w:left w:val="none" w:sz="0" w:space="0" w:color="auto"/>
        <w:bottom w:val="none" w:sz="0" w:space="0" w:color="auto"/>
        <w:right w:val="none" w:sz="0" w:space="0" w:color="auto"/>
      </w:divBdr>
      <w:divsChild>
        <w:div w:id="1237742636">
          <w:marLeft w:val="0"/>
          <w:marRight w:val="1"/>
          <w:marTop w:val="0"/>
          <w:marBottom w:val="0"/>
          <w:divBdr>
            <w:top w:val="none" w:sz="0" w:space="0" w:color="auto"/>
            <w:left w:val="none" w:sz="0" w:space="0" w:color="auto"/>
            <w:bottom w:val="none" w:sz="0" w:space="0" w:color="auto"/>
            <w:right w:val="none" w:sz="0" w:space="0" w:color="auto"/>
          </w:divBdr>
          <w:divsChild>
            <w:div w:id="1275091449">
              <w:marLeft w:val="172"/>
              <w:marRight w:val="0"/>
              <w:marTop w:val="0"/>
              <w:marBottom w:val="0"/>
              <w:divBdr>
                <w:top w:val="none" w:sz="0" w:space="0" w:color="auto"/>
                <w:left w:val="none" w:sz="0" w:space="0" w:color="auto"/>
                <w:bottom w:val="none" w:sz="0" w:space="0" w:color="auto"/>
                <w:right w:val="none" w:sz="0" w:space="0" w:color="auto"/>
              </w:divBdr>
              <w:divsChild>
                <w:div w:id="118651344">
                  <w:marLeft w:val="0"/>
                  <w:marRight w:val="1"/>
                  <w:marTop w:val="0"/>
                  <w:marBottom w:val="0"/>
                  <w:divBdr>
                    <w:top w:val="none" w:sz="0" w:space="0" w:color="auto"/>
                    <w:left w:val="none" w:sz="0" w:space="0" w:color="auto"/>
                    <w:bottom w:val="none" w:sz="0" w:space="0" w:color="auto"/>
                    <w:right w:val="none" w:sz="0" w:space="0" w:color="auto"/>
                  </w:divBdr>
                  <w:divsChild>
                    <w:div w:id="736975518">
                      <w:marLeft w:val="0"/>
                      <w:marRight w:val="0"/>
                      <w:marTop w:val="0"/>
                      <w:marBottom w:val="0"/>
                      <w:divBdr>
                        <w:top w:val="none" w:sz="0" w:space="0" w:color="auto"/>
                        <w:left w:val="none" w:sz="0" w:space="0" w:color="auto"/>
                        <w:bottom w:val="none" w:sz="0" w:space="0" w:color="auto"/>
                        <w:right w:val="none" w:sz="0" w:space="0" w:color="auto"/>
                      </w:divBdr>
                      <w:divsChild>
                        <w:div w:id="1829974494">
                          <w:marLeft w:val="0"/>
                          <w:marRight w:val="0"/>
                          <w:marTop w:val="0"/>
                          <w:marBottom w:val="0"/>
                          <w:divBdr>
                            <w:top w:val="none" w:sz="0" w:space="0" w:color="auto"/>
                            <w:left w:val="none" w:sz="0" w:space="0" w:color="auto"/>
                            <w:bottom w:val="none" w:sz="0" w:space="0" w:color="auto"/>
                            <w:right w:val="none" w:sz="0" w:space="0" w:color="auto"/>
                          </w:divBdr>
                          <w:divsChild>
                            <w:div w:id="136605555">
                              <w:marLeft w:val="0"/>
                              <w:marRight w:val="0"/>
                              <w:marTop w:val="0"/>
                              <w:marBottom w:val="0"/>
                              <w:divBdr>
                                <w:top w:val="none" w:sz="0" w:space="0" w:color="auto"/>
                                <w:left w:val="none" w:sz="0" w:space="0" w:color="auto"/>
                                <w:bottom w:val="none" w:sz="0" w:space="0" w:color="auto"/>
                                <w:right w:val="none" w:sz="0" w:space="0" w:color="auto"/>
                              </w:divBdr>
                              <w:divsChild>
                                <w:div w:id="793133951">
                                  <w:marLeft w:val="0"/>
                                  <w:marRight w:val="0"/>
                                  <w:marTop w:val="0"/>
                                  <w:marBottom w:val="0"/>
                                  <w:divBdr>
                                    <w:top w:val="none" w:sz="0" w:space="0" w:color="auto"/>
                                    <w:left w:val="none" w:sz="0" w:space="0" w:color="auto"/>
                                    <w:bottom w:val="none" w:sz="0" w:space="0" w:color="auto"/>
                                    <w:right w:val="none" w:sz="0" w:space="0" w:color="auto"/>
                                  </w:divBdr>
                                </w:div>
                              </w:divsChild>
                            </w:div>
                            <w:div w:id="792479088">
                              <w:marLeft w:val="0"/>
                              <w:marRight w:val="0"/>
                              <w:marTop w:val="0"/>
                              <w:marBottom w:val="0"/>
                              <w:divBdr>
                                <w:top w:val="none" w:sz="0" w:space="0" w:color="auto"/>
                                <w:left w:val="none" w:sz="0" w:space="0" w:color="auto"/>
                                <w:bottom w:val="none" w:sz="0" w:space="0" w:color="auto"/>
                                <w:right w:val="none" w:sz="0" w:space="0" w:color="auto"/>
                              </w:divBdr>
                              <w:divsChild>
                                <w:div w:id="3967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48A0-4884-4552-BFA1-7BCB46A9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1315</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13</cp:revision>
  <cp:lastPrinted>2012-02-02T17:29:00Z</cp:lastPrinted>
  <dcterms:created xsi:type="dcterms:W3CDTF">2012-02-01T14:30:00Z</dcterms:created>
  <dcterms:modified xsi:type="dcterms:W3CDTF">2012-03-02T13:33:00Z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