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702765" w:rsidRDefault="00F629C0" w:rsidP="00EB429E">
      <w:pPr>
        <w:tabs>
          <w:tab w:val="left" w:pos="288"/>
          <w:tab w:val="left" w:pos="4752"/>
          <w:tab w:val="left" w:pos="5130"/>
          <w:tab w:val="left" w:pos="5580"/>
          <w:tab w:val="left" w:pos="5940"/>
          <w:tab w:val="left" w:pos="6120"/>
          <w:tab w:val="left" w:pos="9270"/>
        </w:tabs>
        <w:jc w:val="both"/>
        <w:rPr>
          <w:caps/>
          <w:color w:val="000000" w:themeColor="text1"/>
        </w:rPr>
      </w:pPr>
      <w:r w:rsidRPr="001F29F9">
        <w:rPr>
          <w:caps/>
          <w:color w:val="000000" w:themeColor="text1"/>
        </w:rPr>
        <w:t xml:space="preserve">NAME:  </w:t>
      </w:r>
      <w:r w:rsidR="00D915DB">
        <w:rPr>
          <w:caps/>
          <w:color w:val="000000" w:themeColor="text1"/>
        </w:rPr>
        <w:t xml:space="preserve"> </w:t>
      </w:r>
      <w:r w:rsidR="00AA4251">
        <w:rPr>
          <w:caps/>
          <w:color w:val="000000" w:themeColor="text1"/>
        </w:rPr>
        <w:tab/>
      </w:r>
      <w:r w:rsidR="00AA4251">
        <w:rPr>
          <w:caps/>
          <w:color w:val="000000" w:themeColor="text1"/>
        </w:rPr>
        <w:tab/>
        <w:t xml:space="preserve">                      </w:t>
      </w:r>
      <w:r w:rsidR="007F771D">
        <w:rPr>
          <w:caps/>
          <w:color w:val="000000" w:themeColor="text1"/>
        </w:rPr>
        <w:t xml:space="preserve"> </w:t>
      </w:r>
      <w:r w:rsidRPr="001F29F9">
        <w:rPr>
          <w:caps/>
          <w:color w:val="000000" w:themeColor="text1"/>
        </w:rPr>
        <w:t>BRANCH OF SERVICE</w:t>
      </w:r>
      <w:r w:rsidRPr="00702765">
        <w:rPr>
          <w:caps/>
          <w:color w:val="000000" w:themeColor="text1"/>
        </w:rPr>
        <w:t xml:space="preserve">: </w:t>
      </w:r>
      <w:r w:rsidR="004C24C5" w:rsidRPr="00702765">
        <w:rPr>
          <w:caps/>
          <w:color w:val="000000" w:themeColor="text1"/>
        </w:rPr>
        <w:t xml:space="preserve"> </w:t>
      </w:r>
      <w:r w:rsidR="004216DA" w:rsidRPr="00702765">
        <w:rPr>
          <w:caps/>
          <w:color w:val="000000" w:themeColor="text1"/>
        </w:rPr>
        <w:t>navy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702765">
        <w:rPr>
          <w:caps/>
          <w:color w:val="000000" w:themeColor="text1"/>
        </w:rPr>
        <w:t>C</w:t>
      </w:r>
      <w:r w:rsidR="00DE3AAD" w:rsidRPr="00702765">
        <w:rPr>
          <w:caps/>
          <w:color w:val="000000" w:themeColor="text1"/>
        </w:rPr>
        <w:t>ASE NUMBER:  PD</w:t>
      </w:r>
      <w:r w:rsidR="008F58E1" w:rsidRPr="00702765">
        <w:rPr>
          <w:caps/>
          <w:color w:val="000000" w:themeColor="text1"/>
        </w:rPr>
        <w:t>11</w:t>
      </w:r>
      <w:r w:rsidR="00DE3AAD" w:rsidRPr="00702765">
        <w:rPr>
          <w:caps/>
          <w:color w:val="000000" w:themeColor="text1"/>
        </w:rPr>
        <w:t>00</w:t>
      </w:r>
      <w:r w:rsidR="007705CE" w:rsidRPr="00702765">
        <w:rPr>
          <w:caps/>
          <w:color w:val="000000" w:themeColor="text1"/>
        </w:rPr>
        <w:t>494</w:t>
      </w:r>
      <w:r w:rsidR="00DE3AAD" w:rsidRPr="00702765">
        <w:rPr>
          <w:color w:val="000000" w:themeColor="text1"/>
        </w:rPr>
        <w:tab/>
      </w:r>
      <w:r w:rsidR="0068098E" w:rsidRPr="00702765">
        <w:rPr>
          <w:color w:val="000000" w:themeColor="text1"/>
        </w:rPr>
        <w:tab/>
      </w:r>
      <w:r w:rsidR="00AA4251">
        <w:rPr>
          <w:color w:val="000000" w:themeColor="text1"/>
        </w:rPr>
        <w:tab/>
      </w:r>
      <w:r w:rsidR="00DE3AAD" w:rsidRPr="00702765">
        <w:rPr>
          <w:color w:val="000000" w:themeColor="text1"/>
        </w:rPr>
        <w:t xml:space="preserve">  </w:t>
      </w:r>
      <w:r w:rsidR="00EB429E">
        <w:rPr>
          <w:color w:val="000000" w:themeColor="text1"/>
        </w:rPr>
        <w:t xml:space="preserve">                  </w:t>
      </w:r>
      <w:r w:rsidR="00E0346A" w:rsidRPr="00702765">
        <w:rPr>
          <w:color w:val="000000" w:themeColor="text1"/>
        </w:rPr>
        <w:t xml:space="preserve"> </w:t>
      </w:r>
      <w:r w:rsidR="006C1267">
        <w:rPr>
          <w:color w:val="000000" w:themeColor="text1"/>
        </w:rPr>
        <w:t xml:space="preserve">  </w:t>
      </w:r>
      <w:r w:rsidR="00DE3AAD" w:rsidRPr="00702765">
        <w:rPr>
          <w:color w:val="000000" w:themeColor="text1"/>
        </w:rPr>
        <w:t>SEPARATION DATE:  200</w:t>
      </w:r>
      <w:r w:rsidR="00D66310" w:rsidRPr="00702765">
        <w:rPr>
          <w:color w:val="000000" w:themeColor="text1"/>
        </w:rPr>
        <w:t>60421</w:t>
      </w:r>
    </w:p>
    <w:p w:rsidR="003B2143" w:rsidRPr="001F29F9" w:rsidRDefault="004F3639" w:rsidP="00BF0E94">
      <w:pPr>
        <w:tabs>
          <w:tab w:val="left" w:pos="288"/>
          <w:tab w:val="left" w:pos="5130"/>
        </w:tabs>
        <w:jc w:val="both"/>
        <w:rPr>
          <w:color w:val="000000" w:themeColor="text1"/>
        </w:rPr>
      </w:pPr>
      <w:r w:rsidRPr="001F29F9">
        <w:rPr>
          <w:caps/>
          <w:color w:val="000000" w:themeColor="text1"/>
        </w:rPr>
        <w:t xml:space="preserve">BOARD DATE:  </w:t>
      </w:r>
      <w:r w:rsidRPr="00702765">
        <w:rPr>
          <w:caps/>
          <w:color w:val="000000" w:themeColor="text1"/>
        </w:rPr>
        <w:t>201</w:t>
      </w:r>
      <w:r w:rsidR="00AA4251">
        <w:rPr>
          <w:caps/>
          <w:color w:val="000000" w:themeColor="text1"/>
        </w:rPr>
        <w:t>2</w:t>
      </w:r>
      <w:r w:rsidR="00DA4B03">
        <w:rPr>
          <w:caps/>
          <w:color w:val="000000" w:themeColor="text1"/>
        </w:rPr>
        <w:t>0224</w:t>
      </w:r>
    </w:p>
    <w:p w:rsidR="00D70D77" w:rsidRPr="001F29F9" w:rsidRDefault="00D70D77" w:rsidP="00D70D77">
      <w:pPr>
        <w:pBdr>
          <w:bottom w:val="single" w:sz="12" w:space="1" w:color="auto"/>
        </w:pBdr>
        <w:tabs>
          <w:tab w:val="left" w:pos="288"/>
          <w:tab w:val="left" w:pos="4752"/>
        </w:tabs>
        <w:jc w:val="both"/>
        <w:rPr>
          <w:color w:val="000000" w:themeColor="text1"/>
        </w:rPr>
      </w:pPr>
    </w:p>
    <w:p w:rsidR="009369A6" w:rsidRPr="00DB3B28" w:rsidRDefault="009369A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DB3B28">
        <w:rPr>
          <w:color w:val="000000" w:themeColor="text1"/>
          <w:u w:val="single"/>
        </w:rPr>
        <w:t>SUMMARY OF CASE</w:t>
      </w:r>
      <w:r w:rsidRPr="00DB3B28">
        <w:rPr>
          <w:color w:val="000000" w:themeColor="text1"/>
        </w:rPr>
        <w:t xml:space="preserve">:  </w:t>
      </w:r>
      <w:r w:rsidR="009759C2" w:rsidRPr="00DB3B28">
        <w:rPr>
          <w:color w:val="000000" w:themeColor="text1"/>
        </w:rPr>
        <w:t>Data extracted from the available evidence of record reflects that this covered individual (CI)</w:t>
      </w:r>
      <w:r w:rsidR="00570754" w:rsidRPr="00DB3B28">
        <w:rPr>
          <w:color w:val="000000" w:themeColor="text1"/>
        </w:rPr>
        <w:t xml:space="preserve"> </w:t>
      </w:r>
      <w:r w:rsidR="002C6E5B" w:rsidRPr="00DB3B28">
        <w:rPr>
          <w:color w:val="000000" w:themeColor="text1"/>
          <w:szCs w:val="24"/>
        </w:rPr>
        <w:t xml:space="preserve">was </w:t>
      </w:r>
      <w:r w:rsidR="00E322F7" w:rsidRPr="007E364B">
        <w:rPr>
          <w:color w:val="000000" w:themeColor="text1"/>
          <w:szCs w:val="24"/>
        </w:rPr>
        <w:t>an active duty</w:t>
      </w:r>
      <w:r w:rsidR="002E65E6" w:rsidRPr="007E364B">
        <w:rPr>
          <w:color w:val="000000" w:themeColor="text1"/>
          <w:szCs w:val="24"/>
        </w:rPr>
        <w:t xml:space="preserve"> </w:t>
      </w:r>
      <w:r w:rsidR="003355C9" w:rsidRPr="007E364B">
        <w:rPr>
          <w:color w:val="000000" w:themeColor="text1"/>
          <w:szCs w:val="24"/>
        </w:rPr>
        <w:t>ABE1</w:t>
      </w:r>
      <w:r w:rsidR="00661BA2" w:rsidRPr="007E364B">
        <w:rPr>
          <w:color w:val="000000" w:themeColor="text1"/>
          <w:szCs w:val="24"/>
        </w:rPr>
        <w:t>/E-</w:t>
      </w:r>
      <w:r w:rsidR="003355C9" w:rsidRPr="007E364B">
        <w:rPr>
          <w:color w:val="000000" w:themeColor="text1"/>
          <w:szCs w:val="24"/>
        </w:rPr>
        <w:t>6</w:t>
      </w:r>
      <w:r w:rsidR="00705C40" w:rsidRPr="007E364B">
        <w:rPr>
          <w:color w:val="000000" w:themeColor="text1"/>
          <w:szCs w:val="24"/>
        </w:rPr>
        <w:t xml:space="preserve"> (</w:t>
      </w:r>
      <w:r w:rsidR="00C75F3D" w:rsidRPr="007E364B">
        <w:rPr>
          <w:color w:val="000000" w:themeColor="text1"/>
          <w:szCs w:val="24"/>
        </w:rPr>
        <w:t>A</w:t>
      </w:r>
      <w:r w:rsidR="003355C9" w:rsidRPr="007E364B">
        <w:rPr>
          <w:color w:val="000000" w:themeColor="text1"/>
          <w:szCs w:val="24"/>
        </w:rPr>
        <w:t xml:space="preserve">viation Boatswain’s Mate </w:t>
      </w:r>
      <w:r w:rsidR="006604D0" w:rsidRPr="007E364B">
        <w:rPr>
          <w:color w:val="000000" w:themeColor="text1"/>
          <w:szCs w:val="24"/>
        </w:rPr>
        <w:t>[</w:t>
      </w:r>
      <w:r w:rsidR="003355C9" w:rsidRPr="007E364B">
        <w:rPr>
          <w:color w:val="000000" w:themeColor="text1"/>
          <w:szCs w:val="24"/>
        </w:rPr>
        <w:t>Equipment</w:t>
      </w:r>
      <w:r w:rsidR="006604D0" w:rsidRPr="007E364B">
        <w:rPr>
          <w:color w:val="000000" w:themeColor="text1"/>
          <w:szCs w:val="24"/>
        </w:rPr>
        <w:t>]</w:t>
      </w:r>
      <w:r w:rsidR="003355C9" w:rsidRPr="007E364B">
        <w:rPr>
          <w:color w:val="000000" w:themeColor="text1"/>
          <w:szCs w:val="24"/>
        </w:rPr>
        <w:t xml:space="preserve"> First Class</w:t>
      </w:r>
      <w:r w:rsidR="00E322F7" w:rsidRPr="007E364B">
        <w:rPr>
          <w:color w:val="000000" w:themeColor="text1"/>
          <w:szCs w:val="24"/>
        </w:rPr>
        <w:t>)</w:t>
      </w:r>
      <w:r w:rsidR="00C75F3D" w:rsidRPr="007E364B">
        <w:rPr>
          <w:color w:val="000000" w:themeColor="text1"/>
          <w:szCs w:val="24"/>
        </w:rPr>
        <w:t xml:space="preserve">, </w:t>
      </w:r>
      <w:r w:rsidR="002C6E5B" w:rsidRPr="007E364B">
        <w:rPr>
          <w:color w:val="000000" w:themeColor="text1"/>
          <w:szCs w:val="24"/>
        </w:rPr>
        <w:t xml:space="preserve">medically separated for </w:t>
      </w:r>
      <w:r w:rsidR="003355C9" w:rsidRPr="007E364B">
        <w:rPr>
          <w:color w:val="000000" w:themeColor="text1"/>
          <w:szCs w:val="24"/>
        </w:rPr>
        <w:t xml:space="preserve">left knee posttraumatic arthritis, status post left knee anterior </w:t>
      </w:r>
      <w:proofErr w:type="spellStart"/>
      <w:r w:rsidR="003355C9" w:rsidRPr="007E364B">
        <w:rPr>
          <w:color w:val="000000" w:themeColor="text1"/>
          <w:szCs w:val="24"/>
        </w:rPr>
        <w:t>cruciate</w:t>
      </w:r>
      <w:proofErr w:type="spellEnd"/>
      <w:r w:rsidR="003355C9" w:rsidRPr="007E364B">
        <w:rPr>
          <w:color w:val="000000" w:themeColor="text1"/>
          <w:szCs w:val="24"/>
        </w:rPr>
        <w:t xml:space="preserve"> ligament </w:t>
      </w:r>
      <w:r w:rsidR="006C1267" w:rsidRPr="007E364B">
        <w:rPr>
          <w:color w:val="000000" w:themeColor="text1"/>
          <w:szCs w:val="24"/>
        </w:rPr>
        <w:t xml:space="preserve">(ACL) </w:t>
      </w:r>
      <w:r w:rsidR="003355C9" w:rsidRPr="007E364B">
        <w:rPr>
          <w:color w:val="000000" w:themeColor="text1"/>
          <w:szCs w:val="24"/>
        </w:rPr>
        <w:t>reconstruction</w:t>
      </w:r>
      <w:r w:rsidR="00C75F3D" w:rsidRPr="007E364B">
        <w:rPr>
          <w:color w:val="000000" w:themeColor="text1"/>
          <w:szCs w:val="24"/>
        </w:rPr>
        <w:t>.</w:t>
      </w:r>
      <w:r w:rsidR="003355C9" w:rsidRPr="007E364B">
        <w:rPr>
          <w:color w:val="000000" w:themeColor="text1"/>
          <w:szCs w:val="24"/>
        </w:rPr>
        <w:t xml:space="preserve">  </w:t>
      </w:r>
      <w:r w:rsidR="0036189B" w:rsidRPr="007E364B">
        <w:rPr>
          <w:color w:val="000000" w:themeColor="text1"/>
          <w:szCs w:val="24"/>
        </w:rPr>
        <w:t xml:space="preserve">The CI injured his left knee in 1998 while playing basketball.  Two months later, he underwent an ACL repair and partial medial </w:t>
      </w:r>
      <w:proofErr w:type="spellStart"/>
      <w:r w:rsidR="0036189B" w:rsidRPr="007E364B">
        <w:rPr>
          <w:color w:val="000000" w:themeColor="text1"/>
          <w:szCs w:val="24"/>
        </w:rPr>
        <w:t>meniscectomy</w:t>
      </w:r>
      <w:proofErr w:type="spellEnd"/>
      <w:r w:rsidR="0036189B" w:rsidRPr="007E364B">
        <w:rPr>
          <w:color w:val="000000" w:themeColor="text1"/>
          <w:szCs w:val="24"/>
        </w:rPr>
        <w:t xml:space="preserve">.  </w:t>
      </w:r>
      <w:r w:rsidR="007B4989" w:rsidRPr="007E364B">
        <w:rPr>
          <w:color w:val="000000" w:themeColor="text1"/>
          <w:szCs w:val="24"/>
        </w:rPr>
        <w:t>He under</w:t>
      </w:r>
      <w:r w:rsidR="00AA4251" w:rsidRPr="007E364B">
        <w:rPr>
          <w:color w:val="000000" w:themeColor="text1"/>
          <w:szCs w:val="24"/>
        </w:rPr>
        <w:t>went</w:t>
      </w:r>
      <w:r w:rsidR="007B4989" w:rsidRPr="007E364B">
        <w:rPr>
          <w:color w:val="000000" w:themeColor="text1"/>
          <w:szCs w:val="24"/>
        </w:rPr>
        <w:t xml:space="preserve"> a Medical Evaluation Board (MEB) and was subsequently returned to full duty</w:t>
      </w:r>
      <w:r w:rsidR="00AA4251" w:rsidRPr="007E364B">
        <w:rPr>
          <w:color w:val="000000" w:themeColor="text1"/>
          <w:szCs w:val="24"/>
        </w:rPr>
        <w:t xml:space="preserve"> </w:t>
      </w:r>
      <w:r w:rsidR="006C1267" w:rsidRPr="007E364B">
        <w:rPr>
          <w:color w:val="000000" w:themeColor="text1"/>
          <w:szCs w:val="24"/>
        </w:rPr>
        <w:t>in 1999</w:t>
      </w:r>
      <w:r w:rsidR="007B4989" w:rsidRPr="007E364B">
        <w:rPr>
          <w:color w:val="000000" w:themeColor="text1"/>
          <w:szCs w:val="24"/>
        </w:rPr>
        <w:t xml:space="preserve">.  </w:t>
      </w:r>
      <w:r w:rsidR="00F019F7" w:rsidRPr="007E364B">
        <w:rPr>
          <w:color w:val="000000" w:themeColor="text1"/>
          <w:szCs w:val="24"/>
        </w:rPr>
        <w:t xml:space="preserve">Several years later he noted increasing pain and swelling </w:t>
      </w:r>
      <w:r w:rsidR="007B4989" w:rsidRPr="007E364B">
        <w:rPr>
          <w:color w:val="000000" w:themeColor="text1"/>
          <w:szCs w:val="24"/>
        </w:rPr>
        <w:t xml:space="preserve">of the knee </w:t>
      </w:r>
      <w:r w:rsidR="00F019F7" w:rsidRPr="007E364B">
        <w:rPr>
          <w:color w:val="000000" w:themeColor="text1"/>
          <w:szCs w:val="24"/>
        </w:rPr>
        <w:t xml:space="preserve">with activity.  </w:t>
      </w:r>
      <w:r w:rsidR="00AA4251" w:rsidRPr="007E364B">
        <w:rPr>
          <w:color w:val="000000" w:themeColor="text1"/>
          <w:szCs w:val="24"/>
        </w:rPr>
        <w:t xml:space="preserve">Radiographs revealed </w:t>
      </w:r>
      <w:r w:rsidR="0080058D" w:rsidRPr="007E364B">
        <w:rPr>
          <w:color w:val="000000" w:themeColor="text1"/>
          <w:szCs w:val="24"/>
        </w:rPr>
        <w:t xml:space="preserve">degenerative changes and a possible loose body.  </w:t>
      </w:r>
      <w:r w:rsidR="00F019F7" w:rsidRPr="007E364B">
        <w:rPr>
          <w:color w:val="000000" w:themeColor="text1"/>
          <w:szCs w:val="24"/>
        </w:rPr>
        <w:t xml:space="preserve">His treatment included medications, physical therapy, and </w:t>
      </w:r>
      <w:proofErr w:type="spellStart"/>
      <w:r w:rsidR="00F019F7" w:rsidRPr="007E364B">
        <w:rPr>
          <w:color w:val="000000" w:themeColor="text1"/>
          <w:szCs w:val="24"/>
        </w:rPr>
        <w:t>intraarticular</w:t>
      </w:r>
      <w:proofErr w:type="spellEnd"/>
      <w:r w:rsidR="00F019F7" w:rsidRPr="007E364B">
        <w:rPr>
          <w:color w:val="000000" w:themeColor="text1"/>
          <w:szCs w:val="24"/>
        </w:rPr>
        <w:t xml:space="preserve"> steroid injection.  </w:t>
      </w:r>
      <w:r w:rsidR="00643C8F" w:rsidRPr="007E364B">
        <w:rPr>
          <w:color w:val="000000" w:themeColor="text1"/>
          <w:szCs w:val="24"/>
        </w:rPr>
        <w:t>He did not respond adequately to treatment and was unable to perform within his</w:t>
      </w:r>
      <w:r w:rsidR="003355C9" w:rsidRPr="007E364B">
        <w:rPr>
          <w:color w:val="000000" w:themeColor="text1"/>
          <w:szCs w:val="24"/>
        </w:rPr>
        <w:t xml:space="preserve"> </w:t>
      </w:r>
      <w:r w:rsidR="00643C8F" w:rsidRPr="007E364B">
        <w:rPr>
          <w:color w:val="000000" w:themeColor="text1"/>
          <w:szCs w:val="24"/>
        </w:rPr>
        <w:t>Rating or meet physical fitness standards.  He was placed on limited duty and underwent a</w:t>
      </w:r>
      <w:r w:rsidR="00EC6A7C" w:rsidRPr="007E364B">
        <w:rPr>
          <w:color w:val="000000" w:themeColor="text1"/>
          <w:szCs w:val="24"/>
        </w:rPr>
        <w:t>n MEB</w:t>
      </w:r>
      <w:r w:rsidR="00643C8F" w:rsidRPr="007E364B">
        <w:rPr>
          <w:color w:val="000000" w:themeColor="text1"/>
          <w:szCs w:val="24"/>
        </w:rPr>
        <w:t>.</w:t>
      </w:r>
      <w:r w:rsidR="00560D1F" w:rsidRPr="007E364B">
        <w:rPr>
          <w:color w:val="000000" w:themeColor="text1"/>
          <w:szCs w:val="24"/>
        </w:rPr>
        <w:t xml:space="preserve">  </w:t>
      </w:r>
      <w:r w:rsidR="00EC6A7C" w:rsidRPr="007E364B">
        <w:rPr>
          <w:color w:val="000000" w:themeColor="text1"/>
          <w:szCs w:val="24"/>
        </w:rPr>
        <w:t>“</w:t>
      </w:r>
      <w:r w:rsidR="00560D1F" w:rsidRPr="007E364B">
        <w:rPr>
          <w:color w:val="000000" w:themeColor="text1"/>
          <w:szCs w:val="24"/>
        </w:rPr>
        <w:t>Posttraumatic arthritis, left knee</w:t>
      </w:r>
      <w:r w:rsidR="00EC6A7C" w:rsidRPr="007E364B">
        <w:rPr>
          <w:color w:val="000000" w:themeColor="text1"/>
          <w:szCs w:val="24"/>
        </w:rPr>
        <w:t>”</w:t>
      </w:r>
      <w:r w:rsidR="00560D1F" w:rsidRPr="007E364B">
        <w:rPr>
          <w:color w:val="000000" w:themeColor="text1"/>
          <w:szCs w:val="24"/>
        </w:rPr>
        <w:t xml:space="preserve"> and </w:t>
      </w:r>
      <w:r w:rsidR="00EC6A7C" w:rsidRPr="007E364B">
        <w:rPr>
          <w:color w:val="000000" w:themeColor="text1"/>
          <w:szCs w:val="24"/>
        </w:rPr>
        <w:t>“</w:t>
      </w:r>
      <w:r w:rsidR="00560D1F" w:rsidRPr="007E364B">
        <w:rPr>
          <w:color w:val="000000" w:themeColor="text1"/>
          <w:szCs w:val="24"/>
        </w:rPr>
        <w:t xml:space="preserve">possible </w:t>
      </w:r>
      <w:proofErr w:type="spellStart"/>
      <w:r w:rsidR="00560D1F" w:rsidRPr="007E364B">
        <w:rPr>
          <w:color w:val="000000" w:themeColor="text1"/>
          <w:szCs w:val="24"/>
        </w:rPr>
        <w:t>labral</w:t>
      </w:r>
      <w:proofErr w:type="spellEnd"/>
      <w:r w:rsidR="00560D1F" w:rsidRPr="007E364B">
        <w:rPr>
          <w:color w:val="000000" w:themeColor="text1"/>
          <w:szCs w:val="24"/>
        </w:rPr>
        <w:t xml:space="preserve"> tear, left shoulder</w:t>
      </w:r>
      <w:r w:rsidR="00EC6A7C" w:rsidRPr="007E364B">
        <w:rPr>
          <w:color w:val="000000" w:themeColor="text1"/>
          <w:szCs w:val="24"/>
        </w:rPr>
        <w:t>”</w:t>
      </w:r>
      <w:r w:rsidR="00560D1F" w:rsidRPr="007E364B">
        <w:rPr>
          <w:color w:val="000000" w:themeColor="text1"/>
          <w:szCs w:val="24"/>
        </w:rPr>
        <w:t xml:space="preserve"> </w:t>
      </w:r>
      <w:proofErr w:type="gramStart"/>
      <w:r w:rsidR="00560D1F" w:rsidRPr="007E364B">
        <w:rPr>
          <w:color w:val="000000" w:themeColor="text1"/>
          <w:szCs w:val="24"/>
        </w:rPr>
        <w:t>w</w:t>
      </w:r>
      <w:r w:rsidR="000A33C8" w:rsidRPr="007E364B">
        <w:rPr>
          <w:color w:val="000000" w:themeColor="text1"/>
          <w:szCs w:val="24"/>
        </w:rPr>
        <w:t>ere</w:t>
      </w:r>
      <w:proofErr w:type="gramEnd"/>
      <w:r w:rsidR="000A33C8" w:rsidRPr="007E364B">
        <w:rPr>
          <w:color w:val="000000" w:themeColor="text1"/>
          <w:szCs w:val="24"/>
        </w:rPr>
        <w:t xml:space="preserve"> forwarded to the Physical Evaluation Board (PEB) IAW </w:t>
      </w:r>
      <w:r w:rsidR="00AB1F8D" w:rsidRPr="007E364B">
        <w:rPr>
          <w:color w:val="000000" w:themeColor="text1"/>
          <w:szCs w:val="24"/>
        </w:rPr>
        <w:t>SECNAVINST 1850.4E</w:t>
      </w:r>
      <w:r w:rsidR="00560D1F" w:rsidRPr="007E364B">
        <w:rPr>
          <w:color w:val="000000" w:themeColor="text1"/>
          <w:szCs w:val="24"/>
        </w:rPr>
        <w:t>.  No</w:t>
      </w:r>
      <w:r w:rsidR="001A5E62" w:rsidRPr="007E364B">
        <w:rPr>
          <w:color w:val="000000" w:themeColor="text1"/>
          <w:szCs w:val="24"/>
        </w:rPr>
        <w:t xml:space="preserve"> other conditions appeared on the MEB’s submission.  Other conditions included in the</w:t>
      </w:r>
      <w:r w:rsidR="00DC17F2" w:rsidRPr="007E364B">
        <w:rPr>
          <w:color w:val="000000" w:themeColor="text1"/>
          <w:szCs w:val="24"/>
        </w:rPr>
        <w:t xml:space="preserve"> </w:t>
      </w:r>
      <w:r w:rsidR="00555C66" w:rsidRPr="007E364B">
        <w:rPr>
          <w:color w:val="000000" w:themeColor="text1"/>
          <w:szCs w:val="24"/>
        </w:rPr>
        <w:t xml:space="preserve">Disability Evaluation System (DES) </w:t>
      </w:r>
      <w:r w:rsidR="00A00AFE" w:rsidRPr="007E364B">
        <w:rPr>
          <w:color w:val="000000" w:themeColor="text1"/>
          <w:szCs w:val="24"/>
        </w:rPr>
        <w:t>file are</w:t>
      </w:r>
      <w:r w:rsidR="001A5E62" w:rsidRPr="007E364B">
        <w:rPr>
          <w:color w:val="000000" w:themeColor="text1"/>
          <w:szCs w:val="24"/>
        </w:rPr>
        <w:t xml:space="preserve"> discussed below.</w:t>
      </w:r>
      <w:r w:rsidR="00560D1F" w:rsidRPr="007E364B">
        <w:rPr>
          <w:color w:val="000000" w:themeColor="text1"/>
          <w:szCs w:val="24"/>
        </w:rPr>
        <w:t xml:space="preserve">  </w:t>
      </w:r>
      <w:r w:rsidR="00842BAA" w:rsidRPr="007E364B">
        <w:rPr>
          <w:color w:val="000000" w:themeColor="text1"/>
          <w:szCs w:val="24"/>
        </w:rPr>
        <w:t xml:space="preserve">The Informal PEB (IPEB) adjudicated the </w:t>
      </w:r>
      <w:r w:rsidR="00AD566B" w:rsidRPr="007E364B">
        <w:rPr>
          <w:color w:val="000000" w:themeColor="text1"/>
          <w:szCs w:val="24"/>
        </w:rPr>
        <w:t xml:space="preserve">left knee posttraumatic </w:t>
      </w:r>
      <w:proofErr w:type="gramStart"/>
      <w:r w:rsidR="00AD566B" w:rsidRPr="007E364B">
        <w:rPr>
          <w:color w:val="000000" w:themeColor="text1"/>
          <w:szCs w:val="24"/>
        </w:rPr>
        <w:t>arthritis,</w:t>
      </w:r>
      <w:proofErr w:type="gramEnd"/>
      <w:r w:rsidR="00AD566B" w:rsidRPr="007E364B">
        <w:rPr>
          <w:color w:val="000000" w:themeColor="text1"/>
          <w:szCs w:val="24"/>
        </w:rPr>
        <w:t xml:space="preserve"> status post left knee anterior </w:t>
      </w:r>
      <w:proofErr w:type="spellStart"/>
      <w:r w:rsidR="00AD566B" w:rsidRPr="007E364B">
        <w:rPr>
          <w:color w:val="000000" w:themeColor="text1"/>
          <w:szCs w:val="24"/>
        </w:rPr>
        <w:t>cruciate</w:t>
      </w:r>
      <w:proofErr w:type="spellEnd"/>
      <w:r w:rsidR="00AD566B" w:rsidRPr="00DB3B28">
        <w:rPr>
          <w:color w:val="000000" w:themeColor="text1"/>
          <w:szCs w:val="24"/>
        </w:rPr>
        <w:t xml:space="preserve"> ligament reconstruction </w:t>
      </w:r>
      <w:r w:rsidR="00842BAA" w:rsidRPr="00DB3B28">
        <w:rPr>
          <w:color w:val="000000" w:themeColor="text1"/>
          <w:szCs w:val="24"/>
        </w:rPr>
        <w:t xml:space="preserve">condition as unfitting, rated </w:t>
      </w:r>
      <w:r w:rsidR="00AD566B" w:rsidRPr="00DB3B28">
        <w:rPr>
          <w:color w:val="000000" w:themeColor="text1"/>
          <w:szCs w:val="24"/>
        </w:rPr>
        <w:t>20</w:t>
      </w:r>
      <w:r w:rsidR="00842BAA" w:rsidRPr="00DB3B28">
        <w:rPr>
          <w:color w:val="000000" w:themeColor="text1"/>
          <w:szCs w:val="24"/>
        </w:rPr>
        <w:t xml:space="preserve">% with </w:t>
      </w:r>
      <w:r w:rsidR="00842BAA" w:rsidRPr="007B62E6">
        <w:rPr>
          <w:color w:val="000000" w:themeColor="text1"/>
          <w:szCs w:val="24"/>
        </w:rPr>
        <w:t xml:space="preserve">application of </w:t>
      </w:r>
      <w:r w:rsidR="007B62E6" w:rsidRPr="007B62E6">
        <w:rPr>
          <w:color w:val="000000" w:themeColor="text1"/>
          <w:szCs w:val="24"/>
        </w:rPr>
        <w:t xml:space="preserve">the </w:t>
      </w:r>
      <w:r w:rsidR="007B62E6" w:rsidRPr="007B62E6">
        <w:rPr>
          <w:rFonts w:asciiTheme="minorHAnsi" w:hAnsiTheme="minorHAnsi"/>
          <w:color w:val="auto"/>
          <w:szCs w:val="24"/>
        </w:rPr>
        <w:t>Veterans’ Administration Schedule for Rating Disabilities (VASRD)</w:t>
      </w:r>
      <w:r w:rsidR="00842BAA" w:rsidRPr="007B62E6">
        <w:rPr>
          <w:color w:val="000000" w:themeColor="text1"/>
          <w:szCs w:val="24"/>
        </w:rPr>
        <w:t>.</w:t>
      </w:r>
      <w:r w:rsidR="00EE15C4" w:rsidRPr="007B62E6">
        <w:rPr>
          <w:color w:val="000000" w:themeColor="text1"/>
          <w:szCs w:val="24"/>
        </w:rPr>
        <w:t xml:space="preserve">  </w:t>
      </w:r>
      <w:r w:rsidR="00B20624" w:rsidRPr="007B62E6">
        <w:rPr>
          <w:color w:val="000000" w:themeColor="text1"/>
        </w:rPr>
        <w:t xml:space="preserve">The CI </w:t>
      </w:r>
      <w:r w:rsidR="00EC6A7C">
        <w:rPr>
          <w:color w:val="000000" w:themeColor="text1"/>
        </w:rPr>
        <w:t>did not appeal for a formal PEB</w:t>
      </w:r>
      <w:r w:rsidR="00190E48" w:rsidRPr="001F29F9">
        <w:rPr>
          <w:color w:val="000000" w:themeColor="text1"/>
        </w:rPr>
        <w:t xml:space="preserve">, </w:t>
      </w:r>
      <w:r w:rsidR="00B20624" w:rsidRPr="001F29F9">
        <w:rPr>
          <w:color w:val="000000" w:themeColor="text1"/>
        </w:rPr>
        <w:t xml:space="preserve">and was medically separated with a </w:t>
      </w:r>
      <w:r w:rsidR="007D200E">
        <w:rPr>
          <w:color w:val="000000" w:themeColor="text1"/>
        </w:rPr>
        <w:t>20</w:t>
      </w:r>
      <w:r w:rsidR="00B20624"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702765">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1E7B73">
        <w:rPr>
          <w:color w:val="000000" w:themeColor="text1"/>
        </w:rPr>
        <w:t xml:space="preserve">  “I was </w:t>
      </w:r>
      <w:r w:rsidR="001E7B73" w:rsidRPr="007E364B">
        <w:rPr>
          <w:color w:val="000000" w:themeColor="text1"/>
        </w:rPr>
        <w:t xml:space="preserve">discharged at 20% for severe left knee post-traumatic </w:t>
      </w:r>
      <w:proofErr w:type="gramStart"/>
      <w:r w:rsidR="001E7B73" w:rsidRPr="007E364B">
        <w:rPr>
          <w:color w:val="000000" w:themeColor="text1"/>
        </w:rPr>
        <w:t>arthritis,</w:t>
      </w:r>
      <w:proofErr w:type="gramEnd"/>
      <w:r w:rsidR="001E7B73" w:rsidRPr="007E364B">
        <w:rPr>
          <w:color w:val="000000" w:themeColor="text1"/>
        </w:rPr>
        <w:t xml:space="preserve"> status post left knee anterior </w:t>
      </w:r>
      <w:proofErr w:type="spellStart"/>
      <w:r w:rsidR="001E7B73" w:rsidRPr="007E364B">
        <w:rPr>
          <w:color w:val="000000" w:themeColor="text1"/>
        </w:rPr>
        <w:t>cruciate</w:t>
      </w:r>
      <w:proofErr w:type="spellEnd"/>
      <w:r w:rsidR="001E7B73" w:rsidRPr="007E364B">
        <w:rPr>
          <w:color w:val="000000" w:themeColor="text1"/>
        </w:rPr>
        <w:t xml:space="preserve"> ligament reconstruction.  It was determined th</w:t>
      </w:r>
      <w:r w:rsidR="001F2BDA" w:rsidRPr="007E364B">
        <w:rPr>
          <w:color w:val="000000" w:themeColor="text1"/>
        </w:rPr>
        <w:t>a</w:t>
      </w:r>
      <w:r w:rsidR="001E7B73" w:rsidRPr="007E364B">
        <w:rPr>
          <w:color w:val="000000" w:themeColor="text1"/>
        </w:rPr>
        <w:t xml:space="preserve">t my disability is permanent and this condition has not gotten any better.  It has been documented by a VA doctor (Dr. </w:t>
      </w:r>
      <w:r w:rsidR="007042CA">
        <w:rPr>
          <w:color w:val="000000" w:themeColor="text1"/>
        </w:rPr>
        <w:t>M.</w:t>
      </w:r>
      <w:r w:rsidR="001E7B73" w:rsidRPr="007E364B">
        <w:rPr>
          <w:color w:val="000000" w:themeColor="text1"/>
        </w:rPr>
        <w:t xml:space="preserve"> Orthopedics) that </w:t>
      </w:r>
      <w:r w:rsidR="00702765" w:rsidRPr="007E364B">
        <w:rPr>
          <w:color w:val="000000" w:themeColor="text1"/>
        </w:rPr>
        <w:t>a total knee replacement is necessary, however, I am too young and if performed at this age, a second knee replacement would be required at a later date.  Furthermore, months after I was discharged from Active Duty service</w:t>
      </w:r>
      <w:r w:rsidR="001F2BDA" w:rsidRPr="007E364B">
        <w:rPr>
          <w:color w:val="000000" w:themeColor="text1"/>
        </w:rPr>
        <w:t>,</w:t>
      </w:r>
      <w:r w:rsidR="007042CA">
        <w:rPr>
          <w:color w:val="000000" w:themeColor="text1"/>
        </w:rPr>
        <w:t xml:space="preserve"> I had surgery by Dr. K.</w:t>
      </w:r>
      <w:r w:rsidR="00702765" w:rsidRPr="007E364B">
        <w:rPr>
          <w:color w:val="000000" w:themeColor="text1"/>
        </w:rPr>
        <w:t xml:space="preserve"> of the Andrews </w:t>
      </w:r>
      <w:proofErr w:type="spellStart"/>
      <w:r w:rsidR="00702765" w:rsidRPr="007E364B">
        <w:rPr>
          <w:color w:val="000000" w:themeColor="text1"/>
        </w:rPr>
        <w:t>lnstitute</w:t>
      </w:r>
      <w:proofErr w:type="spellEnd"/>
      <w:r w:rsidR="00702765" w:rsidRPr="007E364B">
        <w:rPr>
          <w:color w:val="000000" w:themeColor="text1"/>
        </w:rPr>
        <w:t xml:space="preserve"> in Gulf Breeze, FL and it was discovered that I had much loose body in my knee. </w:t>
      </w:r>
      <w:r w:rsidR="006C1267" w:rsidRPr="007E364B">
        <w:rPr>
          <w:color w:val="000000" w:themeColor="text1"/>
        </w:rPr>
        <w:t xml:space="preserve"> </w:t>
      </w:r>
      <w:r w:rsidR="00702765" w:rsidRPr="007E364B">
        <w:rPr>
          <w:color w:val="000000" w:themeColor="text1"/>
        </w:rPr>
        <w:t>As you review my previous records, it is respectfully requested that you pay close attention to the remarks an</w:t>
      </w:r>
      <w:r w:rsidR="007042CA">
        <w:rPr>
          <w:color w:val="000000" w:themeColor="text1"/>
        </w:rPr>
        <w:t>d interpretations of Dr. K.</w:t>
      </w:r>
      <w:r w:rsidR="00702765" w:rsidRPr="007E364B">
        <w:rPr>
          <w:color w:val="000000" w:themeColor="text1"/>
        </w:rPr>
        <w:t>, Dr. D</w:t>
      </w:r>
      <w:r w:rsidR="007042CA">
        <w:rPr>
          <w:color w:val="000000" w:themeColor="text1"/>
        </w:rPr>
        <w:t>.</w:t>
      </w:r>
      <w:r w:rsidR="00702765" w:rsidRPr="007E364B">
        <w:rPr>
          <w:color w:val="000000" w:themeColor="text1"/>
        </w:rPr>
        <w:t xml:space="preserve"> (Emerald Coast Orthopedics and Star </w:t>
      </w:r>
      <w:r w:rsidR="007042CA">
        <w:rPr>
          <w:color w:val="000000" w:themeColor="text1"/>
        </w:rPr>
        <w:t>Sports Medicine), and Dr. M</w:t>
      </w:r>
      <w:r w:rsidR="00702765" w:rsidRPr="007E364B">
        <w:rPr>
          <w:color w:val="000000" w:themeColor="text1"/>
        </w:rPr>
        <w:t xml:space="preserve">. </w:t>
      </w:r>
      <w:r w:rsidR="001F2BDA" w:rsidRPr="007E364B">
        <w:rPr>
          <w:color w:val="000000" w:themeColor="text1"/>
        </w:rPr>
        <w:t xml:space="preserve"> </w:t>
      </w:r>
      <w:r w:rsidR="00702765" w:rsidRPr="007E364B">
        <w:rPr>
          <w:color w:val="000000" w:themeColor="text1"/>
        </w:rPr>
        <w:t>In addition to the</w:t>
      </w:r>
      <w:r w:rsidR="007042CA">
        <w:rPr>
          <w:color w:val="000000" w:themeColor="text1"/>
        </w:rPr>
        <w:t xml:space="preserve"> left knee condition, Dr. M.</w:t>
      </w:r>
      <w:r w:rsidR="00702765" w:rsidRPr="007E364B">
        <w:rPr>
          <w:color w:val="000000" w:themeColor="text1"/>
        </w:rPr>
        <w:t xml:space="preserve"> has concurred that this same condition has now caused me to have </w:t>
      </w:r>
      <w:proofErr w:type="spellStart"/>
      <w:r w:rsidR="00702765" w:rsidRPr="007E364B">
        <w:rPr>
          <w:color w:val="000000" w:themeColor="text1"/>
        </w:rPr>
        <w:t>trendelenburg</w:t>
      </w:r>
      <w:proofErr w:type="spellEnd"/>
      <w:r w:rsidR="00702765" w:rsidRPr="007E364B">
        <w:rPr>
          <w:color w:val="000000" w:themeColor="text1"/>
        </w:rPr>
        <w:t xml:space="preserve"> gait which now I am requesting secondary condition to my left knee. </w:t>
      </w:r>
      <w:r w:rsidR="001F2BDA" w:rsidRPr="007E364B">
        <w:rPr>
          <w:color w:val="000000" w:themeColor="text1"/>
        </w:rPr>
        <w:t xml:space="preserve"> </w:t>
      </w:r>
      <w:r w:rsidR="00702765" w:rsidRPr="007E364B">
        <w:rPr>
          <w:color w:val="000000" w:themeColor="text1"/>
        </w:rPr>
        <w:t>As you review my records, I believe you will</w:t>
      </w:r>
      <w:r w:rsidR="00702765" w:rsidRPr="00702765">
        <w:rPr>
          <w:color w:val="000000" w:themeColor="text1"/>
        </w:rPr>
        <w:t xml:space="preserve"> see</w:t>
      </w:r>
      <w:r w:rsidR="00702765">
        <w:rPr>
          <w:color w:val="000000" w:themeColor="text1"/>
        </w:rPr>
        <w:t xml:space="preserve"> </w:t>
      </w:r>
      <w:r w:rsidR="00702765" w:rsidRPr="00702765">
        <w:rPr>
          <w:color w:val="000000" w:themeColor="text1"/>
        </w:rPr>
        <w:t xml:space="preserve">much evidence is available </w:t>
      </w:r>
      <w:r w:rsidR="00702765">
        <w:rPr>
          <w:color w:val="000000" w:themeColor="text1"/>
        </w:rPr>
        <w:t>to</w:t>
      </w:r>
      <w:r w:rsidR="00702765" w:rsidRPr="00702765">
        <w:rPr>
          <w:color w:val="000000" w:themeColor="text1"/>
        </w:rPr>
        <w:t xml:space="preserve"> grant me a medical retirement</w:t>
      </w:r>
      <w:r w:rsidR="00702765">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F019F7" w:rsidRDefault="00F019F7" w:rsidP="00F019F7">
      <w:pPr>
        <w:jc w:val="left"/>
        <w:rPr>
          <w:color w:val="000000" w:themeColor="text1"/>
        </w:rPr>
      </w:pPr>
    </w:p>
    <w:p w:rsidR="007F771D" w:rsidRDefault="007F771D">
      <w:pPr>
        <w:rPr>
          <w:color w:val="000000" w:themeColor="text1"/>
          <w:u w:val="single"/>
        </w:rPr>
      </w:pPr>
      <w:r>
        <w:rPr>
          <w:color w:val="000000" w:themeColor="text1"/>
          <w:u w:val="single"/>
        </w:rPr>
        <w:br w:type="page"/>
      </w:r>
    </w:p>
    <w:p w:rsidR="002151AB" w:rsidRPr="007F771D" w:rsidRDefault="007F0AB7" w:rsidP="007F771D">
      <w:pPr>
        <w:contextualSpacing/>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r w:rsidR="00FA0C1B">
        <w:rPr>
          <w:color w:val="000000" w:themeColor="text1"/>
        </w:rPr>
        <w:t xml:space="preserve"> </w:t>
      </w:r>
    </w:p>
    <w:p w:rsidR="00F019F7" w:rsidRPr="007F771D" w:rsidRDefault="00F019F7" w:rsidP="00F019F7">
      <w:pPr>
        <w:spacing w:line="180" w:lineRule="exact"/>
        <w:contextualSpacing/>
        <w:jc w:val="left"/>
        <w:rPr>
          <w:color w:val="auto"/>
        </w:rPr>
      </w:pPr>
    </w:p>
    <w:tbl>
      <w:tblPr>
        <w:tblStyle w:val="TableGrid"/>
        <w:tblW w:w="9378" w:type="dxa"/>
        <w:jc w:val="center"/>
        <w:tblLayout w:type="fixed"/>
        <w:tblLook w:val="04A0"/>
      </w:tblPr>
      <w:tblGrid>
        <w:gridCol w:w="2178"/>
        <w:gridCol w:w="1080"/>
        <w:gridCol w:w="900"/>
        <w:gridCol w:w="2322"/>
        <w:gridCol w:w="1080"/>
        <w:gridCol w:w="819"/>
        <w:gridCol w:w="999"/>
      </w:tblGrid>
      <w:tr w:rsidR="002B4E22" w:rsidRPr="007F771D" w:rsidTr="006C1267">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7F771D" w:rsidRDefault="00B731E4"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 xml:space="preserve">Service </w:t>
            </w:r>
            <w:r w:rsidR="00313538" w:rsidRPr="007F771D">
              <w:rPr>
                <w:rFonts w:ascii="Calibri" w:hAnsi="Calibri" w:cs="Calibri"/>
                <w:b/>
                <w:color w:val="auto"/>
                <w:sz w:val="18"/>
                <w:szCs w:val="18"/>
              </w:rPr>
              <w:t>I</w:t>
            </w:r>
            <w:r w:rsidRPr="007F771D">
              <w:rPr>
                <w:rFonts w:ascii="Calibri" w:hAnsi="Calibri" w:cs="Calibri"/>
                <w:b/>
                <w:color w:val="auto"/>
                <w:sz w:val="18"/>
                <w:szCs w:val="18"/>
              </w:rPr>
              <w:t>PEB – Dated 200</w:t>
            </w:r>
            <w:r w:rsidR="00313538" w:rsidRPr="007F771D">
              <w:rPr>
                <w:rFonts w:ascii="Calibri" w:hAnsi="Calibri" w:cs="Calibri"/>
                <w:b/>
                <w:color w:val="auto"/>
                <w:sz w:val="18"/>
                <w:szCs w:val="18"/>
              </w:rPr>
              <w:t>60126</w:t>
            </w:r>
          </w:p>
        </w:tc>
        <w:tc>
          <w:tcPr>
            <w:tcW w:w="5220" w:type="dxa"/>
            <w:gridSpan w:val="4"/>
            <w:tcBorders>
              <w:left w:val="thinThickThinSmallGap" w:sz="24" w:space="0" w:color="auto"/>
            </w:tcBorders>
            <w:shd w:val="clear" w:color="auto" w:fill="D9D9D9" w:themeFill="background1" w:themeFillShade="D9"/>
            <w:vAlign w:val="center"/>
          </w:tcPr>
          <w:p w:rsidR="002B4E22" w:rsidRPr="007F771D" w:rsidRDefault="002B4E22"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VA (</w:t>
            </w:r>
            <w:r w:rsidR="0096055F" w:rsidRPr="007F771D">
              <w:rPr>
                <w:rFonts w:ascii="Calibri" w:hAnsi="Calibri" w:cs="Calibri"/>
                <w:b/>
                <w:color w:val="auto"/>
                <w:sz w:val="18"/>
                <w:szCs w:val="18"/>
              </w:rPr>
              <w:t>2</w:t>
            </w:r>
            <w:r w:rsidR="0079154B" w:rsidRPr="007F771D">
              <w:rPr>
                <w:rFonts w:ascii="Calibri" w:hAnsi="Calibri" w:cs="Calibri"/>
                <w:b/>
                <w:color w:val="auto"/>
                <w:sz w:val="18"/>
                <w:szCs w:val="18"/>
              </w:rPr>
              <w:t xml:space="preserve"> </w:t>
            </w:r>
            <w:r w:rsidR="0096055F" w:rsidRPr="007F771D">
              <w:rPr>
                <w:rFonts w:ascii="Calibri" w:hAnsi="Calibri" w:cs="Calibri"/>
                <w:b/>
                <w:color w:val="auto"/>
                <w:sz w:val="18"/>
                <w:szCs w:val="18"/>
              </w:rPr>
              <w:t>Wks</w:t>
            </w:r>
            <w:r w:rsidRPr="007F771D">
              <w:rPr>
                <w:rFonts w:ascii="Calibri" w:hAnsi="Calibri" w:cs="Calibri"/>
                <w:b/>
                <w:color w:val="auto"/>
                <w:sz w:val="18"/>
                <w:szCs w:val="18"/>
              </w:rPr>
              <w:t xml:space="preserve">. </w:t>
            </w:r>
            <w:r w:rsidR="0096055F" w:rsidRPr="007F771D">
              <w:rPr>
                <w:rFonts w:ascii="Calibri" w:hAnsi="Calibri" w:cs="Calibri"/>
                <w:b/>
                <w:color w:val="auto"/>
                <w:sz w:val="18"/>
                <w:szCs w:val="18"/>
              </w:rPr>
              <w:t>Pre</w:t>
            </w:r>
            <w:r w:rsidRPr="007F771D">
              <w:rPr>
                <w:rFonts w:ascii="Calibri" w:hAnsi="Calibri" w:cs="Calibri"/>
                <w:b/>
                <w:color w:val="auto"/>
                <w:sz w:val="18"/>
                <w:szCs w:val="18"/>
              </w:rPr>
              <w:t xml:space="preserve"> Separation) – All Effective </w:t>
            </w:r>
            <w:r w:rsidR="002D08F3" w:rsidRPr="007F771D">
              <w:rPr>
                <w:rFonts w:ascii="Calibri" w:hAnsi="Calibri" w:cs="Calibri"/>
                <w:b/>
                <w:color w:val="auto"/>
                <w:sz w:val="18"/>
                <w:szCs w:val="18"/>
              </w:rPr>
              <w:t>200</w:t>
            </w:r>
            <w:r w:rsidR="00BE670C" w:rsidRPr="007F771D">
              <w:rPr>
                <w:rFonts w:ascii="Calibri" w:hAnsi="Calibri" w:cs="Calibri"/>
                <w:b/>
                <w:color w:val="auto"/>
                <w:sz w:val="18"/>
                <w:szCs w:val="18"/>
              </w:rPr>
              <w:t>60422</w:t>
            </w:r>
          </w:p>
        </w:tc>
      </w:tr>
      <w:tr w:rsidR="002B4E22" w:rsidRPr="007F771D" w:rsidTr="0096055F">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7F771D" w:rsidRDefault="002B4E22"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7F771D" w:rsidRDefault="002B4E22"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7F771D" w:rsidRDefault="002B4E22"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F771D" w:rsidRDefault="002B4E22"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7F771D" w:rsidRDefault="002B4E22"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Code</w:t>
            </w:r>
          </w:p>
        </w:tc>
        <w:tc>
          <w:tcPr>
            <w:tcW w:w="819" w:type="dxa"/>
            <w:tcBorders>
              <w:bottom w:val="single" w:sz="4" w:space="0" w:color="000000" w:themeColor="text1"/>
            </w:tcBorders>
            <w:shd w:val="clear" w:color="auto" w:fill="D9D9D9" w:themeFill="background1" w:themeFillShade="D9"/>
            <w:vAlign w:val="center"/>
          </w:tcPr>
          <w:p w:rsidR="002B4E22" w:rsidRPr="007F771D" w:rsidRDefault="002B4E22"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Rating</w:t>
            </w:r>
          </w:p>
        </w:tc>
        <w:tc>
          <w:tcPr>
            <w:tcW w:w="999" w:type="dxa"/>
            <w:tcBorders>
              <w:bottom w:val="single" w:sz="4" w:space="0" w:color="000000" w:themeColor="text1"/>
            </w:tcBorders>
            <w:shd w:val="clear" w:color="auto" w:fill="D9D9D9" w:themeFill="background1" w:themeFillShade="D9"/>
            <w:vAlign w:val="center"/>
          </w:tcPr>
          <w:p w:rsidR="002B4E22" w:rsidRPr="007F771D" w:rsidRDefault="002B4E22"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Exam</w:t>
            </w:r>
          </w:p>
        </w:tc>
      </w:tr>
      <w:tr w:rsidR="00C03C21" w:rsidRPr="007F771D" w:rsidTr="0096055F">
        <w:trPr>
          <w:trHeight w:val="287"/>
          <w:jc w:val="center"/>
        </w:trPr>
        <w:tc>
          <w:tcPr>
            <w:tcW w:w="2178" w:type="dxa"/>
            <w:tcBorders>
              <w:right w:val="single" w:sz="4" w:space="0" w:color="auto"/>
            </w:tcBorders>
            <w:shd w:val="clear" w:color="auto" w:fill="FFFFFF" w:themeFill="background1"/>
            <w:vAlign w:val="center"/>
          </w:tcPr>
          <w:p w:rsidR="00BC5860" w:rsidRPr="007F771D" w:rsidRDefault="00313538" w:rsidP="007F771D">
            <w:pPr>
              <w:spacing w:line="180" w:lineRule="exact"/>
              <w:contextualSpacing/>
              <w:jc w:val="left"/>
              <w:rPr>
                <w:rFonts w:ascii="Calibri" w:eastAsia="Times New Roman" w:hAnsi="Calibri" w:cs="Calibri"/>
                <w:color w:val="auto"/>
                <w:sz w:val="18"/>
                <w:szCs w:val="18"/>
              </w:rPr>
            </w:pPr>
            <w:r w:rsidRPr="007F771D">
              <w:rPr>
                <w:rFonts w:ascii="Calibri" w:hAnsi="Calibri" w:cs="Calibri"/>
                <w:color w:val="auto"/>
                <w:sz w:val="18"/>
                <w:szCs w:val="18"/>
              </w:rPr>
              <w:t>L Knee Posttraumatic Arthritis</w:t>
            </w:r>
          </w:p>
        </w:tc>
        <w:tc>
          <w:tcPr>
            <w:tcW w:w="1080" w:type="dxa"/>
            <w:tcBorders>
              <w:left w:val="single" w:sz="4" w:space="0" w:color="auto"/>
            </w:tcBorders>
            <w:shd w:val="clear" w:color="auto" w:fill="FFFFFF" w:themeFill="background1"/>
            <w:vAlign w:val="center"/>
          </w:tcPr>
          <w:p w:rsidR="00BC5860" w:rsidRPr="007F771D" w:rsidRDefault="00313538" w:rsidP="007F771D">
            <w:pPr>
              <w:spacing w:line="180" w:lineRule="exact"/>
              <w:contextualSpacing/>
              <w:rPr>
                <w:rFonts w:ascii="Calibri" w:eastAsia="Times New Roman" w:hAnsi="Calibri" w:cs="Calibri"/>
                <w:color w:val="auto"/>
                <w:sz w:val="18"/>
                <w:szCs w:val="18"/>
              </w:rPr>
            </w:pPr>
            <w:r w:rsidRPr="007F771D">
              <w:rPr>
                <w:rFonts w:ascii="Calibri" w:hAnsi="Calibri" w:cs="Calibri"/>
                <w:color w:val="auto"/>
                <w:sz w:val="18"/>
                <w:szCs w:val="18"/>
              </w:rPr>
              <w:t>5299-5262</w:t>
            </w:r>
          </w:p>
        </w:tc>
        <w:tc>
          <w:tcPr>
            <w:tcW w:w="900" w:type="dxa"/>
            <w:tcBorders>
              <w:right w:val="thinThickThinSmallGap" w:sz="24" w:space="0" w:color="auto"/>
            </w:tcBorders>
            <w:shd w:val="clear" w:color="auto" w:fill="FFFFFF" w:themeFill="background1"/>
            <w:vAlign w:val="center"/>
          </w:tcPr>
          <w:p w:rsidR="00BC5860" w:rsidRPr="007F771D" w:rsidRDefault="00313538" w:rsidP="007F771D">
            <w:pPr>
              <w:spacing w:line="180" w:lineRule="exact"/>
              <w:rPr>
                <w:rFonts w:ascii="Calibri" w:eastAsia="Times New Roman" w:hAnsi="Calibri" w:cs="Calibri"/>
                <w:color w:val="auto"/>
                <w:sz w:val="18"/>
                <w:szCs w:val="18"/>
              </w:rPr>
            </w:pPr>
            <w:r w:rsidRPr="007F771D">
              <w:rPr>
                <w:rFonts w:ascii="Calibri" w:hAnsi="Calibri" w:cs="Calibri"/>
                <w:color w:val="auto"/>
                <w:sz w:val="18"/>
                <w:szCs w:val="18"/>
              </w:rPr>
              <w:t>20</w:t>
            </w:r>
            <w:r w:rsidR="00C03C21" w:rsidRPr="007F771D">
              <w:rPr>
                <w:rFonts w:ascii="Calibri" w:hAnsi="Calibri" w:cs="Calibri"/>
                <w:color w:val="auto"/>
                <w:sz w:val="18"/>
                <w:szCs w:val="18"/>
              </w:rPr>
              <w:t>%</w:t>
            </w:r>
          </w:p>
        </w:tc>
        <w:tc>
          <w:tcPr>
            <w:tcW w:w="2322" w:type="dxa"/>
            <w:tcBorders>
              <w:left w:val="thinThickThinSmallGap" w:sz="24" w:space="0" w:color="auto"/>
            </w:tcBorders>
            <w:shd w:val="clear" w:color="auto" w:fill="FFFFFF" w:themeFill="background1"/>
            <w:vAlign w:val="center"/>
          </w:tcPr>
          <w:p w:rsidR="00BC5860" w:rsidRPr="007F771D" w:rsidRDefault="009624FF" w:rsidP="007F771D">
            <w:pPr>
              <w:spacing w:line="180" w:lineRule="exact"/>
              <w:contextualSpacing/>
              <w:jc w:val="left"/>
              <w:rPr>
                <w:rFonts w:ascii="Calibri" w:eastAsia="Times New Roman" w:hAnsi="Calibri" w:cs="Calibri"/>
                <w:color w:val="auto"/>
                <w:sz w:val="18"/>
                <w:szCs w:val="18"/>
              </w:rPr>
            </w:pPr>
            <w:r w:rsidRPr="007F771D">
              <w:rPr>
                <w:rFonts w:ascii="Calibri" w:hAnsi="Calibri" w:cs="Calibri"/>
                <w:color w:val="auto"/>
                <w:sz w:val="18"/>
                <w:szCs w:val="18"/>
              </w:rPr>
              <w:t>L</w:t>
            </w:r>
            <w:r w:rsidR="00041D84" w:rsidRPr="007F771D">
              <w:rPr>
                <w:rFonts w:ascii="Calibri" w:hAnsi="Calibri" w:cs="Calibri"/>
                <w:color w:val="auto"/>
                <w:sz w:val="18"/>
                <w:szCs w:val="18"/>
              </w:rPr>
              <w:t xml:space="preserve"> </w:t>
            </w:r>
            <w:r w:rsidRPr="007F771D">
              <w:rPr>
                <w:rFonts w:ascii="Calibri" w:hAnsi="Calibri" w:cs="Calibri"/>
                <w:color w:val="auto"/>
                <w:sz w:val="18"/>
                <w:szCs w:val="18"/>
              </w:rPr>
              <w:t>K</w:t>
            </w:r>
            <w:r w:rsidR="00041D84" w:rsidRPr="007F771D">
              <w:rPr>
                <w:rFonts w:ascii="Calibri" w:hAnsi="Calibri" w:cs="Calibri"/>
                <w:color w:val="auto"/>
                <w:sz w:val="18"/>
                <w:szCs w:val="18"/>
              </w:rPr>
              <w:t xml:space="preserve">nee </w:t>
            </w:r>
            <w:r w:rsidR="006C1267" w:rsidRPr="007F771D">
              <w:rPr>
                <w:rFonts w:ascii="Calibri" w:hAnsi="Calibri" w:cs="Calibri"/>
                <w:color w:val="auto"/>
                <w:sz w:val="18"/>
                <w:szCs w:val="18"/>
              </w:rPr>
              <w:t xml:space="preserve">S/P ACL Repair </w:t>
            </w:r>
            <w:r w:rsidR="00041D84" w:rsidRPr="007F771D">
              <w:rPr>
                <w:rFonts w:ascii="Calibri" w:hAnsi="Calibri" w:cs="Calibri"/>
                <w:color w:val="auto"/>
                <w:sz w:val="18"/>
                <w:szCs w:val="18"/>
              </w:rPr>
              <w:t xml:space="preserve">w/ </w:t>
            </w:r>
            <w:r w:rsidRPr="007F771D">
              <w:rPr>
                <w:rFonts w:ascii="Calibri" w:hAnsi="Calibri" w:cs="Calibri"/>
                <w:color w:val="auto"/>
                <w:sz w:val="18"/>
                <w:szCs w:val="18"/>
              </w:rPr>
              <w:t>D</w:t>
            </w:r>
            <w:r w:rsidR="00041D84" w:rsidRPr="007F771D">
              <w:rPr>
                <w:rFonts w:ascii="Calibri" w:hAnsi="Calibri" w:cs="Calibri"/>
                <w:color w:val="auto"/>
                <w:sz w:val="18"/>
                <w:szCs w:val="18"/>
              </w:rPr>
              <w:t xml:space="preserve">egenerative </w:t>
            </w:r>
            <w:r w:rsidRPr="007F771D">
              <w:rPr>
                <w:rFonts w:ascii="Calibri" w:hAnsi="Calibri" w:cs="Calibri"/>
                <w:color w:val="auto"/>
                <w:sz w:val="18"/>
                <w:szCs w:val="18"/>
              </w:rPr>
              <w:t>C</w:t>
            </w:r>
            <w:r w:rsidR="00041D84" w:rsidRPr="007F771D">
              <w:rPr>
                <w:rFonts w:ascii="Calibri" w:hAnsi="Calibri" w:cs="Calibri"/>
                <w:color w:val="auto"/>
                <w:sz w:val="18"/>
                <w:szCs w:val="18"/>
              </w:rPr>
              <w:t>hanges</w:t>
            </w:r>
          </w:p>
        </w:tc>
        <w:tc>
          <w:tcPr>
            <w:tcW w:w="1080" w:type="dxa"/>
            <w:shd w:val="clear" w:color="auto" w:fill="FFFFFF" w:themeFill="background1"/>
            <w:vAlign w:val="center"/>
          </w:tcPr>
          <w:p w:rsidR="00BC5860" w:rsidRPr="007F771D" w:rsidRDefault="00041D84" w:rsidP="007F771D">
            <w:pPr>
              <w:spacing w:line="180" w:lineRule="exact"/>
              <w:contextualSpacing/>
              <w:rPr>
                <w:rFonts w:ascii="Calibri" w:eastAsia="Times New Roman" w:hAnsi="Calibri" w:cs="Calibri"/>
                <w:color w:val="auto"/>
                <w:sz w:val="18"/>
                <w:szCs w:val="18"/>
              </w:rPr>
            </w:pPr>
            <w:r w:rsidRPr="007F771D">
              <w:rPr>
                <w:rFonts w:ascii="Calibri" w:hAnsi="Calibri" w:cs="Calibri"/>
                <w:color w:val="auto"/>
                <w:sz w:val="18"/>
                <w:szCs w:val="18"/>
              </w:rPr>
              <w:t>5010</w:t>
            </w:r>
          </w:p>
        </w:tc>
        <w:tc>
          <w:tcPr>
            <w:tcW w:w="819" w:type="dxa"/>
            <w:shd w:val="clear" w:color="auto" w:fill="FFFFFF" w:themeFill="background1"/>
            <w:vAlign w:val="center"/>
          </w:tcPr>
          <w:p w:rsidR="00BC5860" w:rsidRPr="007F771D" w:rsidRDefault="00041D84" w:rsidP="007F771D">
            <w:pPr>
              <w:spacing w:line="180" w:lineRule="exact"/>
              <w:contextualSpacing/>
              <w:rPr>
                <w:rFonts w:ascii="Calibri" w:eastAsia="Times New Roman" w:hAnsi="Calibri" w:cs="Calibri"/>
                <w:color w:val="auto"/>
                <w:sz w:val="18"/>
                <w:szCs w:val="18"/>
              </w:rPr>
            </w:pPr>
            <w:r w:rsidRPr="007F771D">
              <w:rPr>
                <w:rFonts w:ascii="Calibri" w:hAnsi="Calibri" w:cs="Calibri"/>
                <w:color w:val="auto"/>
                <w:sz w:val="18"/>
                <w:szCs w:val="18"/>
              </w:rPr>
              <w:t>10</w:t>
            </w:r>
            <w:r w:rsidR="00C03C21" w:rsidRPr="007F771D">
              <w:rPr>
                <w:rFonts w:ascii="Calibri" w:hAnsi="Calibri" w:cs="Calibri"/>
                <w:color w:val="auto"/>
                <w:sz w:val="18"/>
                <w:szCs w:val="18"/>
              </w:rPr>
              <w:t>%</w:t>
            </w:r>
            <w:r w:rsidR="00DC1ED5" w:rsidRPr="007F771D">
              <w:rPr>
                <w:rFonts w:ascii="Calibri" w:hAnsi="Calibri" w:cs="Calibri"/>
                <w:color w:val="auto"/>
                <w:sz w:val="18"/>
                <w:szCs w:val="18"/>
              </w:rPr>
              <w:t>*</w:t>
            </w:r>
          </w:p>
        </w:tc>
        <w:tc>
          <w:tcPr>
            <w:tcW w:w="999" w:type="dxa"/>
            <w:shd w:val="clear" w:color="auto" w:fill="FFFFFF" w:themeFill="background1"/>
            <w:vAlign w:val="center"/>
          </w:tcPr>
          <w:p w:rsidR="00BC5860" w:rsidRPr="007F771D" w:rsidRDefault="00C03C21" w:rsidP="007F771D">
            <w:pPr>
              <w:spacing w:line="180" w:lineRule="exact"/>
              <w:contextualSpacing/>
              <w:rPr>
                <w:rFonts w:ascii="Calibri" w:eastAsia="Times New Roman" w:hAnsi="Calibri" w:cs="Calibri"/>
                <w:color w:val="auto"/>
                <w:sz w:val="18"/>
                <w:szCs w:val="18"/>
              </w:rPr>
            </w:pPr>
            <w:r w:rsidRPr="007F771D">
              <w:rPr>
                <w:rFonts w:ascii="Calibri" w:hAnsi="Calibri" w:cs="Calibri"/>
                <w:color w:val="auto"/>
                <w:sz w:val="18"/>
                <w:szCs w:val="18"/>
              </w:rPr>
              <w:t>200</w:t>
            </w:r>
            <w:r w:rsidR="00BE670C" w:rsidRPr="007F771D">
              <w:rPr>
                <w:rFonts w:ascii="Calibri" w:hAnsi="Calibri" w:cs="Calibri"/>
                <w:color w:val="auto"/>
                <w:sz w:val="18"/>
                <w:szCs w:val="18"/>
              </w:rPr>
              <w:t>60410</w:t>
            </w:r>
          </w:p>
        </w:tc>
      </w:tr>
      <w:tr w:rsidR="000A4D6A" w:rsidRPr="007F771D" w:rsidTr="0096055F">
        <w:trPr>
          <w:trHeight w:val="287"/>
          <w:jc w:val="center"/>
        </w:trPr>
        <w:tc>
          <w:tcPr>
            <w:tcW w:w="2178" w:type="dxa"/>
            <w:tcBorders>
              <w:right w:val="single" w:sz="4" w:space="0" w:color="auto"/>
            </w:tcBorders>
            <w:shd w:val="clear" w:color="auto" w:fill="FFFFFF" w:themeFill="background1"/>
            <w:vAlign w:val="center"/>
          </w:tcPr>
          <w:p w:rsidR="000A4D6A" w:rsidRPr="007F771D" w:rsidRDefault="006C1267" w:rsidP="007F771D">
            <w:pPr>
              <w:spacing w:line="180" w:lineRule="exact"/>
              <w:contextualSpacing/>
              <w:jc w:val="left"/>
              <w:rPr>
                <w:rFonts w:ascii="Calibri" w:eastAsia="Times New Roman" w:hAnsi="Calibri" w:cs="Calibri"/>
                <w:color w:val="auto"/>
                <w:sz w:val="18"/>
                <w:szCs w:val="18"/>
              </w:rPr>
            </w:pPr>
            <w:r w:rsidRPr="007F771D">
              <w:rPr>
                <w:rFonts w:ascii="Calibri" w:hAnsi="Calibri" w:cs="Calibri"/>
                <w:color w:val="auto"/>
                <w:sz w:val="18"/>
                <w:szCs w:val="18"/>
              </w:rPr>
              <w:t xml:space="preserve">L Shoulder, </w:t>
            </w:r>
            <w:r w:rsidR="000A4D6A" w:rsidRPr="007F771D">
              <w:rPr>
                <w:rFonts w:ascii="Calibri" w:hAnsi="Calibri" w:cs="Calibri"/>
                <w:color w:val="auto"/>
                <w:sz w:val="18"/>
                <w:szCs w:val="18"/>
              </w:rPr>
              <w:t>Possible Superior Labrum Anterior and Posterior Tear</w:t>
            </w:r>
          </w:p>
        </w:tc>
        <w:tc>
          <w:tcPr>
            <w:tcW w:w="1980" w:type="dxa"/>
            <w:gridSpan w:val="2"/>
            <w:tcBorders>
              <w:left w:val="single" w:sz="4" w:space="0" w:color="auto"/>
              <w:right w:val="thinThickThinSmallGap" w:sz="24" w:space="0" w:color="auto"/>
            </w:tcBorders>
            <w:shd w:val="clear" w:color="auto" w:fill="FFFFFF" w:themeFill="background1"/>
            <w:vAlign w:val="center"/>
          </w:tcPr>
          <w:p w:rsidR="000A4D6A" w:rsidRPr="007F771D" w:rsidRDefault="000A4D6A" w:rsidP="007F771D">
            <w:pPr>
              <w:spacing w:line="180" w:lineRule="exact"/>
              <w:contextualSpacing/>
              <w:rPr>
                <w:rFonts w:ascii="Calibri" w:eastAsia="Times New Roman" w:hAnsi="Calibri" w:cs="Calibri"/>
                <w:color w:val="auto"/>
                <w:sz w:val="18"/>
                <w:szCs w:val="18"/>
              </w:rPr>
            </w:pPr>
            <w:r w:rsidRPr="007F771D">
              <w:rPr>
                <w:rFonts w:ascii="Calibri" w:hAnsi="Calibri" w:cs="Calibri"/>
                <w:color w:val="auto"/>
                <w:sz w:val="18"/>
                <w:szCs w:val="18"/>
              </w:rPr>
              <w:t>Cat III</w:t>
            </w:r>
          </w:p>
        </w:tc>
        <w:tc>
          <w:tcPr>
            <w:tcW w:w="2322" w:type="dxa"/>
            <w:tcBorders>
              <w:left w:val="thinThickThinSmallGap" w:sz="24" w:space="0" w:color="auto"/>
              <w:right w:val="single" w:sz="4" w:space="0" w:color="auto"/>
            </w:tcBorders>
            <w:shd w:val="clear" w:color="auto" w:fill="FFFFFF" w:themeFill="background1"/>
            <w:vAlign w:val="center"/>
          </w:tcPr>
          <w:p w:rsidR="000A4D6A" w:rsidRPr="007F771D" w:rsidRDefault="000A4D6A" w:rsidP="007F771D">
            <w:pPr>
              <w:spacing w:line="180" w:lineRule="exact"/>
              <w:contextualSpacing/>
              <w:jc w:val="left"/>
              <w:rPr>
                <w:rFonts w:cs="Calibri"/>
                <w:color w:val="auto"/>
                <w:sz w:val="18"/>
                <w:szCs w:val="18"/>
              </w:rPr>
            </w:pPr>
            <w:r w:rsidRPr="007F771D">
              <w:rPr>
                <w:rFonts w:cs="Calibri"/>
                <w:color w:val="auto"/>
                <w:sz w:val="18"/>
                <w:szCs w:val="18"/>
              </w:rPr>
              <w:t>DJD, L Shoulder</w:t>
            </w:r>
          </w:p>
        </w:tc>
        <w:tc>
          <w:tcPr>
            <w:tcW w:w="1080" w:type="dxa"/>
            <w:tcBorders>
              <w:left w:val="single" w:sz="4" w:space="0" w:color="auto"/>
              <w:right w:val="single" w:sz="4" w:space="0" w:color="auto"/>
            </w:tcBorders>
            <w:shd w:val="clear" w:color="auto" w:fill="FFFFFF" w:themeFill="background1"/>
            <w:vAlign w:val="center"/>
          </w:tcPr>
          <w:p w:rsidR="000A4D6A" w:rsidRPr="007F771D" w:rsidRDefault="000A4D6A" w:rsidP="007F771D">
            <w:pPr>
              <w:spacing w:line="180" w:lineRule="exact"/>
              <w:contextualSpacing/>
              <w:rPr>
                <w:rFonts w:cs="Calibri"/>
                <w:color w:val="auto"/>
                <w:sz w:val="18"/>
                <w:szCs w:val="18"/>
              </w:rPr>
            </w:pPr>
            <w:r w:rsidRPr="007F771D">
              <w:rPr>
                <w:rFonts w:cs="Calibri"/>
                <w:color w:val="auto"/>
                <w:sz w:val="18"/>
                <w:szCs w:val="18"/>
              </w:rPr>
              <w:t>5201</w:t>
            </w:r>
          </w:p>
        </w:tc>
        <w:tc>
          <w:tcPr>
            <w:tcW w:w="819" w:type="dxa"/>
            <w:tcBorders>
              <w:left w:val="single" w:sz="4" w:space="0" w:color="auto"/>
            </w:tcBorders>
            <w:shd w:val="clear" w:color="auto" w:fill="FFFFFF" w:themeFill="background1"/>
            <w:vAlign w:val="center"/>
          </w:tcPr>
          <w:p w:rsidR="000A4D6A" w:rsidRPr="007F771D" w:rsidRDefault="00FA0C1B" w:rsidP="007F771D">
            <w:pPr>
              <w:spacing w:line="180" w:lineRule="exact"/>
              <w:contextualSpacing/>
              <w:rPr>
                <w:rFonts w:cs="Calibri"/>
                <w:color w:val="auto"/>
                <w:sz w:val="18"/>
                <w:szCs w:val="18"/>
              </w:rPr>
            </w:pPr>
            <w:r w:rsidRPr="007F771D">
              <w:rPr>
                <w:rFonts w:cs="Calibri"/>
                <w:color w:val="auto"/>
                <w:sz w:val="18"/>
                <w:szCs w:val="18"/>
              </w:rPr>
              <w:t>NSC</w:t>
            </w:r>
            <w:r w:rsidR="00DC1ED5" w:rsidRPr="007F771D">
              <w:rPr>
                <w:rFonts w:cs="Calibri"/>
                <w:color w:val="auto"/>
                <w:sz w:val="18"/>
                <w:szCs w:val="18"/>
              </w:rPr>
              <w:t>*</w:t>
            </w:r>
          </w:p>
        </w:tc>
        <w:tc>
          <w:tcPr>
            <w:tcW w:w="999" w:type="dxa"/>
            <w:shd w:val="clear" w:color="auto" w:fill="FFFFFF" w:themeFill="background1"/>
            <w:vAlign w:val="center"/>
          </w:tcPr>
          <w:p w:rsidR="000A4D6A" w:rsidRPr="007F771D" w:rsidRDefault="00FA0C1B" w:rsidP="007F771D">
            <w:pPr>
              <w:spacing w:line="180" w:lineRule="exact"/>
              <w:contextualSpacing/>
              <w:rPr>
                <w:rFonts w:cs="Calibri"/>
                <w:color w:val="auto"/>
                <w:sz w:val="18"/>
                <w:szCs w:val="18"/>
              </w:rPr>
            </w:pPr>
            <w:r w:rsidRPr="007F771D">
              <w:rPr>
                <w:rFonts w:cs="Calibri"/>
                <w:color w:val="auto"/>
                <w:sz w:val="18"/>
                <w:szCs w:val="18"/>
              </w:rPr>
              <w:t>20060410</w:t>
            </w:r>
          </w:p>
        </w:tc>
      </w:tr>
      <w:tr w:rsidR="00C456D9" w:rsidRPr="007F771D" w:rsidTr="0096055F">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C456D9" w:rsidRPr="007F771D" w:rsidRDefault="00EE15C4" w:rsidP="007F771D">
            <w:pPr>
              <w:spacing w:line="180" w:lineRule="exact"/>
              <w:contextualSpacing/>
              <w:rPr>
                <w:rFonts w:cs="Calibri"/>
                <w:color w:val="auto"/>
                <w:sz w:val="18"/>
                <w:szCs w:val="18"/>
              </w:rPr>
            </w:pPr>
            <w:r w:rsidRPr="007F771D">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C456D9" w:rsidRPr="007F771D" w:rsidRDefault="00CC7212" w:rsidP="007F771D">
            <w:pPr>
              <w:spacing w:line="180" w:lineRule="exact"/>
              <w:contextualSpacing/>
              <w:rPr>
                <w:rFonts w:cs="Calibri"/>
                <w:color w:val="auto"/>
                <w:sz w:val="18"/>
                <w:szCs w:val="18"/>
              </w:rPr>
            </w:pPr>
            <w:r w:rsidRPr="007F771D">
              <w:rPr>
                <w:rFonts w:cs="Calibri"/>
                <w:color w:val="auto"/>
                <w:sz w:val="18"/>
                <w:szCs w:val="18"/>
              </w:rPr>
              <w:t>S</w:t>
            </w:r>
            <w:r w:rsidR="00F019F7" w:rsidRPr="007F771D">
              <w:rPr>
                <w:rFonts w:cs="Calibri"/>
                <w:color w:val="auto"/>
                <w:sz w:val="18"/>
                <w:szCs w:val="18"/>
              </w:rPr>
              <w:t>/P</w:t>
            </w:r>
            <w:r w:rsidRPr="007F771D">
              <w:rPr>
                <w:rFonts w:cs="Calibri"/>
                <w:color w:val="auto"/>
                <w:sz w:val="18"/>
                <w:szCs w:val="18"/>
              </w:rPr>
              <w:t xml:space="preserve"> Avulsion </w:t>
            </w:r>
            <w:proofErr w:type="spellStart"/>
            <w:r w:rsidRPr="007F771D">
              <w:rPr>
                <w:rFonts w:cs="Calibri"/>
                <w:color w:val="auto"/>
                <w:sz w:val="18"/>
                <w:szCs w:val="18"/>
              </w:rPr>
              <w:t>F</w:t>
            </w:r>
            <w:r w:rsidR="00F019F7" w:rsidRPr="007F771D">
              <w:rPr>
                <w:rFonts w:cs="Calibri"/>
                <w:color w:val="auto"/>
                <w:sz w:val="18"/>
                <w:szCs w:val="18"/>
              </w:rPr>
              <w:t>x</w:t>
            </w:r>
            <w:proofErr w:type="spellEnd"/>
            <w:r w:rsidRPr="007F771D">
              <w:rPr>
                <w:rFonts w:cs="Calibri"/>
                <w:color w:val="auto"/>
                <w:sz w:val="18"/>
                <w:szCs w:val="18"/>
              </w:rPr>
              <w:t xml:space="preserve"> R Distal Tibia</w:t>
            </w:r>
          </w:p>
        </w:tc>
        <w:tc>
          <w:tcPr>
            <w:tcW w:w="1080" w:type="dxa"/>
            <w:tcBorders>
              <w:left w:val="single" w:sz="4" w:space="0" w:color="auto"/>
              <w:right w:val="single" w:sz="4" w:space="0" w:color="auto"/>
            </w:tcBorders>
            <w:shd w:val="clear" w:color="auto" w:fill="FFFFFF" w:themeFill="background1"/>
            <w:vAlign w:val="center"/>
          </w:tcPr>
          <w:p w:rsidR="00C456D9" w:rsidRPr="007F771D" w:rsidRDefault="00CC7212" w:rsidP="007F771D">
            <w:pPr>
              <w:spacing w:line="180" w:lineRule="exact"/>
              <w:contextualSpacing/>
              <w:rPr>
                <w:rFonts w:cs="Calibri"/>
                <w:color w:val="auto"/>
                <w:sz w:val="18"/>
                <w:szCs w:val="18"/>
              </w:rPr>
            </w:pPr>
            <w:r w:rsidRPr="007F771D">
              <w:rPr>
                <w:rFonts w:cs="Calibri"/>
                <w:color w:val="auto"/>
                <w:sz w:val="18"/>
                <w:szCs w:val="18"/>
              </w:rPr>
              <w:t>5271</w:t>
            </w:r>
          </w:p>
        </w:tc>
        <w:tc>
          <w:tcPr>
            <w:tcW w:w="819" w:type="dxa"/>
            <w:tcBorders>
              <w:left w:val="single" w:sz="4" w:space="0" w:color="auto"/>
            </w:tcBorders>
            <w:shd w:val="clear" w:color="auto" w:fill="FFFFFF" w:themeFill="background1"/>
            <w:vAlign w:val="center"/>
          </w:tcPr>
          <w:p w:rsidR="00C456D9" w:rsidRPr="007F771D" w:rsidRDefault="00CC7212" w:rsidP="007F771D">
            <w:pPr>
              <w:spacing w:line="180" w:lineRule="exact"/>
              <w:contextualSpacing/>
              <w:rPr>
                <w:rFonts w:cs="Calibri"/>
                <w:color w:val="auto"/>
                <w:sz w:val="18"/>
                <w:szCs w:val="18"/>
              </w:rPr>
            </w:pPr>
            <w:r w:rsidRPr="007F771D">
              <w:rPr>
                <w:rFonts w:cs="Calibri"/>
                <w:color w:val="auto"/>
                <w:sz w:val="18"/>
                <w:szCs w:val="18"/>
              </w:rPr>
              <w:t>10%</w:t>
            </w:r>
          </w:p>
        </w:tc>
        <w:tc>
          <w:tcPr>
            <w:tcW w:w="999" w:type="dxa"/>
            <w:shd w:val="clear" w:color="auto" w:fill="FFFFFF" w:themeFill="background1"/>
            <w:vAlign w:val="center"/>
          </w:tcPr>
          <w:p w:rsidR="00C456D9" w:rsidRPr="007F771D" w:rsidRDefault="00CC7212" w:rsidP="007F771D">
            <w:pPr>
              <w:spacing w:line="180" w:lineRule="exact"/>
              <w:contextualSpacing/>
              <w:rPr>
                <w:rFonts w:cs="Calibri"/>
                <w:color w:val="auto"/>
                <w:sz w:val="18"/>
                <w:szCs w:val="18"/>
              </w:rPr>
            </w:pPr>
            <w:r w:rsidRPr="007F771D">
              <w:rPr>
                <w:rFonts w:cs="Calibri"/>
                <w:color w:val="auto"/>
                <w:sz w:val="18"/>
                <w:szCs w:val="18"/>
              </w:rPr>
              <w:t>20060410</w:t>
            </w:r>
          </w:p>
        </w:tc>
      </w:tr>
      <w:tr w:rsidR="000A4D6A" w:rsidRPr="007F771D" w:rsidTr="0096055F">
        <w:trPr>
          <w:trHeight w:val="287"/>
          <w:jc w:val="center"/>
        </w:trPr>
        <w:tc>
          <w:tcPr>
            <w:tcW w:w="4158" w:type="dxa"/>
            <w:gridSpan w:val="3"/>
            <w:vMerge/>
            <w:tcBorders>
              <w:right w:val="thinThickThinSmallGap" w:sz="24" w:space="0" w:color="auto"/>
            </w:tcBorders>
            <w:shd w:val="clear" w:color="auto" w:fill="FFFFFF" w:themeFill="background1"/>
            <w:vAlign w:val="center"/>
          </w:tcPr>
          <w:p w:rsidR="000A4D6A" w:rsidRPr="007F771D" w:rsidRDefault="000A4D6A" w:rsidP="007F771D">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tcPr>
          <w:p w:rsidR="000A4D6A" w:rsidRPr="007F771D" w:rsidRDefault="000A4D6A" w:rsidP="007F771D">
            <w:pPr>
              <w:spacing w:line="180" w:lineRule="exact"/>
              <w:contextualSpacing/>
              <w:jc w:val="left"/>
              <w:rPr>
                <w:rFonts w:ascii="Calibri" w:eastAsia="Times New Roman" w:hAnsi="Calibri" w:cs="Calibri"/>
                <w:color w:val="auto"/>
                <w:sz w:val="18"/>
                <w:szCs w:val="18"/>
              </w:rPr>
            </w:pPr>
            <w:r w:rsidRPr="007F771D">
              <w:rPr>
                <w:rFonts w:ascii="Calibri" w:eastAsia="Times New Roman" w:hAnsi="Calibri" w:cs="Calibri"/>
                <w:color w:val="auto"/>
                <w:sz w:val="18"/>
                <w:szCs w:val="18"/>
              </w:rPr>
              <w:t>S</w:t>
            </w:r>
            <w:r w:rsidR="00F019F7" w:rsidRPr="007F771D">
              <w:rPr>
                <w:rFonts w:ascii="Calibri" w:eastAsia="Times New Roman" w:hAnsi="Calibri" w:cs="Calibri"/>
                <w:color w:val="auto"/>
                <w:sz w:val="18"/>
                <w:szCs w:val="18"/>
              </w:rPr>
              <w:t>/P</w:t>
            </w:r>
            <w:r w:rsidRPr="007F771D">
              <w:rPr>
                <w:rFonts w:ascii="Calibri" w:eastAsia="Times New Roman" w:hAnsi="Calibri" w:cs="Calibri"/>
                <w:color w:val="auto"/>
                <w:sz w:val="18"/>
                <w:szCs w:val="18"/>
              </w:rPr>
              <w:t xml:space="preserve"> Open Reduction Internal Fixation R Wrist</w:t>
            </w:r>
          </w:p>
        </w:tc>
        <w:tc>
          <w:tcPr>
            <w:tcW w:w="1080" w:type="dxa"/>
            <w:tcBorders>
              <w:left w:val="single" w:sz="4" w:space="0" w:color="auto"/>
              <w:right w:val="single" w:sz="4" w:space="0" w:color="auto"/>
            </w:tcBorders>
            <w:shd w:val="clear" w:color="auto" w:fill="FFFFFF" w:themeFill="background1"/>
            <w:vAlign w:val="center"/>
          </w:tcPr>
          <w:p w:rsidR="000A4D6A" w:rsidRPr="007F771D" w:rsidRDefault="000A4D6A" w:rsidP="007F771D">
            <w:pPr>
              <w:spacing w:line="180" w:lineRule="exact"/>
              <w:contextualSpacing/>
              <w:rPr>
                <w:rFonts w:ascii="Calibri" w:eastAsia="Times New Roman" w:hAnsi="Calibri" w:cs="Calibri"/>
                <w:color w:val="auto"/>
                <w:sz w:val="18"/>
                <w:szCs w:val="18"/>
              </w:rPr>
            </w:pPr>
            <w:r w:rsidRPr="007F771D">
              <w:rPr>
                <w:rFonts w:ascii="Calibri" w:eastAsia="Times New Roman" w:hAnsi="Calibri" w:cs="Calibri"/>
                <w:color w:val="auto"/>
                <w:sz w:val="18"/>
                <w:szCs w:val="18"/>
              </w:rPr>
              <w:t>5215</w:t>
            </w:r>
          </w:p>
        </w:tc>
        <w:tc>
          <w:tcPr>
            <w:tcW w:w="819" w:type="dxa"/>
            <w:tcBorders>
              <w:left w:val="single" w:sz="4" w:space="0" w:color="auto"/>
            </w:tcBorders>
            <w:shd w:val="clear" w:color="auto" w:fill="FFFFFF" w:themeFill="background1"/>
            <w:vAlign w:val="center"/>
          </w:tcPr>
          <w:p w:rsidR="000A4D6A" w:rsidRPr="007F771D" w:rsidRDefault="000A4D6A" w:rsidP="007F771D">
            <w:pPr>
              <w:spacing w:line="180" w:lineRule="exact"/>
              <w:contextualSpacing/>
              <w:rPr>
                <w:rFonts w:ascii="Calibri" w:eastAsia="Times New Roman" w:hAnsi="Calibri" w:cs="Calibri"/>
                <w:color w:val="auto"/>
                <w:sz w:val="18"/>
                <w:szCs w:val="18"/>
              </w:rPr>
            </w:pPr>
            <w:r w:rsidRPr="007F771D">
              <w:rPr>
                <w:rFonts w:ascii="Calibri" w:eastAsia="Times New Roman" w:hAnsi="Calibri" w:cs="Calibri"/>
                <w:color w:val="auto"/>
                <w:sz w:val="18"/>
                <w:szCs w:val="18"/>
              </w:rPr>
              <w:t>10%</w:t>
            </w:r>
          </w:p>
        </w:tc>
        <w:tc>
          <w:tcPr>
            <w:tcW w:w="999" w:type="dxa"/>
            <w:shd w:val="clear" w:color="auto" w:fill="FFFFFF" w:themeFill="background1"/>
            <w:vAlign w:val="center"/>
          </w:tcPr>
          <w:p w:rsidR="000A4D6A" w:rsidRPr="007F771D" w:rsidRDefault="000A4D6A" w:rsidP="007F771D">
            <w:pPr>
              <w:spacing w:line="180" w:lineRule="exact"/>
              <w:contextualSpacing/>
              <w:rPr>
                <w:rFonts w:ascii="Calibri" w:eastAsia="Times New Roman" w:hAnsi="Calibri" w:cs="Calibri"/>
                <w:color w:val="auto"/>
                <w:sz w:val="18"/>
                <w:szCs w:val="18"/>
              </w:rPr>
            </w:pPr>
            <w:r w:rsidRPr="007F771D">
              <w:rPr>
                <w:rFonts w:ascii="Calibri" w:hAnsi="Calibri" w:cs="Calibri"/>
                <w:color w:val="auto"/>
                <w:sz w:val="18"/>
                <w:szCs w:val="18"/>
              </w:rPr>
              <w:t>20060410</w:t>
            </w:r>
          </w:p>
        </w:tc>
      </w:tr>
      <w:tr w:rsidR="0096055F" w:rsidRPr="007F771D" w:rsidTr="0096055F">
        <w:trPr>
          <w:trHeight w:val="294"/>
          <w:jc w:val="center"/>
        </w:trPr>
        <w:tc>
          <w:tcPr>
            <w:tcW w:w="4158" w:type="dxa"/>
            <w:gridSpan w:val="3"/>
            <w:vMerge/>
            <w:tcBorders>
              <w:right w:val="thinThickThinSmallGap" w:sz="24" w:space="0" w:color="auto"/>
            </w:tcBorders>
            <w:shd w:val="clear" w:color="auto" w:fill="FFFFFF" w:themeFill="background1"/>
            <w:vAlign w:val="center"/>
          </w:tcPr>
          <w:p w:rsidR="0096055F" w:rsidRPr="007F771D" w:rsidRDefault="0096055F" w:rsidP="007F771D">
            <w:pPr>
              <w:spacing w:line="180" w:lineRule="exact"/>
              <w:contextualSpacing/>
              <w:rPr>
                <w:rFonts w:ascii="Calibri" w:eastAsia="Times New Roman" w:hAnsi="Calibri" w:cs="Calibri"/>
                <w:color w:val="auto"/>
                <w:sz w:val="18"/>
                <w:szCs w:val="18"/>
              </w:rPr>
            </w:pPr>
          </w:p>
        </w:tc>
        <w:tc>
          <w:tcPr>
            <w:tcW w:w="4221" w:type="dxa"/>
            <w:gridSpan w:val="3"/>
            <w:tcBorders>
              <w:left w:val="thinThickThinSmallGap" w:sz="24" w:space="0" w:color="auto"/>
              <w:right w:val="single" w:sz="4" w:space="0" w:color="auto"/>
            </w:tcBorders>
            <w:shd w:val="clear" w:color="auto" w:fill="FFFFFF" w:themeFill="background1"/>
            <w:vAlign w:val="center"/>
          </w:tcPr>
          <w:p w:rsidR="0096055F" w:rsidRPr="007F771D" w:rsidRDefault="0096055F" w:rsidP="007F771D">
            <w:pPr>
              <w:spacing w:line="180" w:lineRule="exact"/>
              <w:contextualSpacing/>
              <w:rPr>
                <w:rFonts w:ascii="Calibri" w:hAnsi="Calibri" w:cs="Calibri"/>
                <w:color w:val="auto"/>
                <w:sz w:val="18"/>
                <w:szCs w:val="18"/>
              </w:rPr>
            </w:pPr>
            <w:r w:rsidRPr="007F771D">
              <w:rPr>
                <w:rFonts w:ascii="Calibri" w:hAnsi="Calibri" w:cs="Calibri"/>
                <w:color w:val="auto"/>
                <w:sz w:val="18"/>
                <w:szCs w:val="18"/>
              </w:rPr>
              <w:t>0% x 0 / Not Service Connected x 6</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55F" w:rsidRPr="007F771D" w:rsidRDefault="0096055F" w:rsidP="007F771D">
            <w:pPr>
              <w:spacing w:line="180" w:lineRule="exact"/>
              <w:contextualSpacing/>
              <w:rPr>
                <w:rFonts w:cs="Calibri"/>
                <w:color w:val="auto"/>
                <w:sz w:val="18"/>
                <w:szCs w:val="18"/>
              </w:rPr>
            </w:pPr>
            <w:r w:rsidRPr="007F771D">
              <w:rPr>
                <w:rFonts w:ascii="Calibri" w:hAnsi="Calibri" w:cs="Calibri"/>
                <w:color w:val="auto"/>
                <w:sz w:val="18"/>
                <w:szCs w:val="18"/>
              </w:rPr>
              <w:t>20060410</w:t>
            </w:r>
          </w:p>
        </w:tc>
      </w:tr>
      <w:tr w:rsidR="000A4D6A" w:rsidRPr="007F771D" w:rsidTr="006C1267">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0A4D6A" w:rsidRPr="007F771D" w:rsidRDefault="000A4D6A"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0A4D6A" w:rsidRPr="007F771D" w:rsidRDefault="000A4D6A" w:rsidP="007F771D">
            <w:pPr>
              <w:spacing w:line="180" w:lineRule="exact"/>
              <w:contextualSpacing/>
              <w:rPr>
                <w:rFonts w:ascii="Calibri" w:hAnsi="Calibri" w:cs="Calibri"/>
                <w:b/>
                <w:color w:val="auto"/>
                <w:sz w:val="18"/>
                <w:szCs w:val="18"/>
              </w:rPr>
            </w:pPr>
            <w:r w:rsidRPr="007F771D">
              <w:rPr>
                <w:rFonts w:ascii="Calibri" w:hAnsi="Calibri" w:cs="Calibri"/>
                <w:b/>
                <w:color w:val="auto"/>
                <w:sz w:val="18"/>
                <w:szCs w:val="18"/>
              </w:rPr>
              <w:t>Combined:  30%</w:t>
            </w:r>
            <w:r w:rsidR="00FA0C1B" w:rsidRPr="007F771D">
              <w:rPr>
                <w:rFonts w:ascii="Calibri" w:hAnsi="Calibri" w:cs="Calibri"/>
                <w:b/>
                <w:color w:val="auto"/>
                <w:sz w:val="18"/>
                <w:szCs w:val="18"/>
              </w:rPr>
              <w:t>*</w:t>
            </w:r>
          </w:p>
        </w:tc>
      </w:tr>
    </w:tbl>
    <w:p w:rsidR="00A97CD9" w:rsidRPr="007F771D" w:rsidRDefault="00AA4251" w:rsidP="006C1267">
      <w:pPr>
        <w:pBdr>
          <w:bottom w:val="single" w:sz="12" w:space="1" w:color="auto"/>
        </w:pBdr>
        <w:tabs>
          <w:tab w:val="left" w:pos="288"/>
          <w:tab w:val="left" w:pos="4752"/>
        </w:tabs>
        <w:spacing w:line="200" w:lineRule="exact"/>
        <w:jc w:val="both"/>
        <w:rPr>
          <w:color w:val="auto"/>
          <w:sz w:val="20"/>
        </w:rPr>
      </w:pPr>
      <w:r w:rsidRPr="007F771D">
        <w:rPr>
          <w:color w:val="auto"/>
          <w:sz w:val="20"/>
        </w:rPr>
        <w:t>*</w:t>
      </w:r>
      <w:r w:rsidR="00DC1ED5" w:rsidRPr="007F771D">
        <w:rPr>
          <w:color w:val="auto"/>
          <w:sz w:val="20"/>
        </w:rPr>
        <w:t xml:space="preserve">L knee 5010 </w:t>
      </w:r>
      <w:r w:rsidR="00FA0C1B" w:rsidRPr="007F771D">
        <w:rPr>
          <w:color w:val="auto"/>
          <w:sz w:val="20"/>
        </w:rPr>
        <w:t>temporary</w:t>
      </w:r>
      <w:r w:rsidR="00DC1ED5" w:rsidRPr="007F771D">
        <w:rPr>
          <w:color w:val="auto"/>
          <w:sz w:val="20"/>
        </w:rPr>
        <w:t xml:space="preserve"> 100% </w:t>
      </w:r>
      <w:r w:rsidR="00FA0C1B" w:rsidRPr="007F771D">
        <w:rPr>
          <w:color w:val="auto"/>
          <w:sz w:val="20"/>
        </w:rPr>
        <w:t xml:space="preserve">from </w:t>
      </w:r>
      <w:r w:rsidR="00DC1ED5" w:rsidRPr="007F771D">
        <w:rPr>
          <w:color w:val="auto"/>
          <w:sz w:val="20"/>
        </w:rPr>
        <w:t>20071003</w:t>
      </w:r>
      <w:r w:rsidR="00FA0C1B" w:rsidRPr="007F771D">
        <w:rPr>
          <w:color w:val="auto"/>
          <w:sz w:val="20"/>
        </w:rPr>
        <w:t>-</w:t>
      </w:r>
      <w:r w:rsidR="00DC1ED5" w:rsidRPr="007F771D">
        <w:rPr>
          <w:color w:val="auto"/>
          <w:sz w:val="20"/>
        </w:rPr>
        <w:t>20071201</w:t>
      </w:r>
      <w:r w:rsidR="00FA0C1B" w:rsidRPr="007F771D">
        <w:rPr>
          <w:color w:val="auto"/>
          <w:sz w:val="20"/>
        </w:rPr>
        <w:t>, then 10%</w:t>
      </w:r>
      <w:r w:rsidR="00DC1ED5" w:rsidRPr="007F771D">
        <w:rPr>
          <w:color w:val="auto"/>
          <w:sz w:val="20"/>
        </w:rPr>
        <w:t>; L shoulder 5010-5201 added at 10% effective 20071015</w:t>
      </w:r>
      <w:r w:rsidR="00FA0C1B" w:rsidRPr="007F771D">
        <w:rPr>
          <w:color w:val="auto"/>
          <w:sz w:val="20"/>
        </w:rPr>
        <w:t xml:space="preserve"> (exam 20080410) with temporary 100% from 20090707-20090901, then 10%; combined 40% effective 20090901</w:t>
      </w:r>
    </w:p>
    <w:p w:rsidR="00DC1ED5" w:rsidRPr="001F29F9" w:rsidRDefault="00DC1ED5" w:rsidP="00A97CD9">
      <w:pPr>
        <w:pBdr>
          <w:bottom w:val="single" w:sz="12" w:space="1" w:color="auto"/>
        </w:pBdr>
        <w:tabs>
          <w:tab w:val="left" w:pos="288"/>
          <w:tab w:val="left" w:pos="4752"/>
        </w:tabs>
        <w:jc w:val="both"/>
        <w:rPr>
          <w:color w:val="000000" w:themeColor="text1"/>
          <w:szCs w:val="24"/>
        </w:rPr>
      </w:pPr>
    </w:p>
    <w:p w:rsidR="009369A6" w:rsidRPr="001F29F9" w:rsidRDefault="009369A6" w:rsidP="00275EE7">
      <w:pPr>
        <w:jc w:val="both"/>
        <w:rPr>
          <w:color w:val="000000" w:themeColor="text1"/>
          <w:szCs w:val="24"/>
          <w:u w:val="single"/>
        </w:rPr>
      </w:pPr>
    </w:p>
    <w:p w:rsidR="00EE15C4" w:rsidRPr="00B505E9" w:rsidRDefault="002C6E5B" w:rsidP="00EE15C4">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EE15C4">
        <w:rPr>
          <w:color w:val="000000" w:themeColor="text1"/>
          <w:szCs w:val="24"/>
        </w:rPr>
        <w:t xml:space="preserve">  </w:t>
      </w:r>
      <w:r w:rsidR="00EE15C4" w:rsidRPr="00B505E9">
        <w:rPr>
          <w:color w:val="000000" w:themeColor="text1"/>
          <w:szCs w:val="24"/>
        </w:rPr>
        <w:t xml:space="preserve">The Board </w:t>
      </w:r>
      <w:r w:rsidR="00EE15C4" w:rsidRPr="007E364B">
        <w:rPr>
          <w:color w:val="000000" w:themeColor="text1"/>
          <w:szCs w:val="24"/>
        </w:rPr>
        <w:t xml:space="preserve">acknowledges the sentiment expressed in the CI’s application regarding the significant 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 Affairs (DVA).  The DVA, operating under a different set of laws (Title 38, United States Code), is </w:t>
      </w:r>
      <w:r w:rsidR="007042CA">
        <w:rPr>
          <w:color w:val="000000" w:themeColor="text1"/>
          <w:szCs w:val="24"/>
        </w:rPr>
        <w:t>empowered to compensate service-</w:t>
      </w:r>
      <w:r w:rsidR="00EE15C4" w:rsidRPr="007E364B">
        <w:rPr>
          <w:color w:val="000000" w:themeColor="text1"/>
          <w:szCs w:val="24"/>
        </w:rPr>
        <w:t>connected conditions and to periodically re</w:t>
      </w:r>
      <w:r w:rsidR="00EE15C4" w:rsidRPr="007F771D">
        <w:rPr>
          <w:color w:val="000000" w:themeColor="text1"/>
          <w:szCs w:val="24"/>
        </w:rPr>
        <w:t>-evaluate said conditions for the purpose of adjusting the veteran’s disability rating should his degree of impairment vary over time.  The Board utilizes VA evidence proxima</w:t>
      </w:r>
      <w:r w:rsidR="00DA4B03" w:rsidRPr="007F771D">
        <w:rPr>
          <w:color w:val="000000" w:themeColor="text1"/>
          <w:szCs w:val="24"/>
        </w:rPr>
        <w:t>te</w:t>
      </w:r>
      <w:r w:rsidR="00EE15C4" w:rsidRPr="007F771D">
        <w:rPr>
          <w:color w:val="000000" w:themeColor="text1"/>
          <w:szCs w:val="24"/>
        </w:rPr>
        <w:t xml:space="preserve"> to separation in arriving at its recommendations; and, DoDI 6040.44 defines a 12</w:t>
      </w:r>
      <w:r w:rsidR="007042CA">
        <w:rPr>
          <w:color w:val="000000" w:themeColor="text1"/>
          <w:szCs w:val="24"/>
        </w:rPr>
        <w:t>-</w:t>
      </w:r>
      <w:r w:rsidR="00EE15C4" w:rsidRPr="007F771D">
        <w:rPr>
          <w:color w:val="000000" w:themeColor="text1"/>
          <w:szCs w:val="24"/>
        </w:rPr>
        <w:t xml:space="preserve">month interval for special consideration to post-separation evidence. </w:t>
      </w:r>
      <w:r w:rsidR="00AB0F51" w:rsidRPr="007F771D">
        <w:rPr>
          <w:color w:val="000000" w:themeColor="text1"/>
          <w:szCs w:val="24"/>
        </w:rPr>
        <w:t xml:space="preserve"> </w:t>
      </w:r>
      <w:r w:rsidR="00EE15C4" w:rsidRPr="007F771D">
        <w:rPr>
          <w:color w:val="000000" w:themeColor="text1"/>
          <w:szCs w:val="24"/>
        </w:rPr>
        <w:t>The Board’s authority as defined in DoDI 604</w:t>
      </w:r>
      <w:r w:rsidR="00DA4B03" w:rsidRPr="007F771D">
        <w:rPr>
          <w:color w:val="000000" w:themeColor="text1"/>
          <w:szCs w:val="24"/>
        </w:rPr>
        <w:t>0</w:t>
      </w:r>
      <w:r w:rsidR="00EE15C4" w:rsidRPr="007F771D">
        <w:rPr>
          <w:color w:val="000000" w:themeColor="text1"/>
          <w:szCs w:val="24"/>
        </w:rPr>
        <w:t>.4</w:t>
      </w:r>
      <w:r w:rsidR="00DA4B03" w:rsidRPr="007F771D">
        <w:rPr>
          <w:color w:val="000000" w:themeColor="text1"/>
          <w:szCs w:val="24"/>
        </w:rPr>
        <w:t>4</w:t>
      </w:r>
      <w:r w:rsidR="00EE15C4" w:rsidRPr="007F771D">
        <w:rPr>
          <w:color w:val="000000" w:themeColor="text1"/>
          <w:szCs w:val="24"/>
        </w:rPr>
        <w:t xml:space="preserve">, however, resides in evaluating the fairness of DES fitness determinations and rating decisions for disability at the time of separation. </w:t>
      </w:r>
      <w:r w:rsidR="00AB0F51" w:rsidRPr="007F771D">
        <w:rPr>
          <w:color w:val="000000" w:themeColor="text1"/>
          <w:szCs w:val="24"/>
        </w:rPr>
        <w:t xml:space="preserve"> </w:t>
      </w:r>
      <w:r w:rsidR="00EE15C4" w:rsidRPr="007F771D">
        <w:rPr>
          <w:color w:val="000000" w:themeColor="text1"/>
          <w:szCs w:val="24"/>
        </w:rPr>
        <w:t>Post-separation evidence therefore is probative only to the extent</w:t>
      </w:r>
      <w:r w:rsidR="00EE15C4" w:rsidRPr="00B505E9">
        <w:rPr>
          <w:color w:val="000000" w:themeColor="text1"/>
          <w:szCs w:val="24"/>
        </w:rPr>
        <w:t xml:space="preserve"> that it reasonably reflects the disability and fitness implications at the time of separation.</w:t>
      </w:r>
    </w:p>
    <w:p w:rsidR="002C6E5B" w:rsidRPr="001F29F9" w:rsidRDefault="002C6E5B" w:rsidP="009369A6">
      <w:pPr>
        <w:jc w:val="left"/>
        <w:rPr>
          <w:color w:val="000000" w:themeColor="text1"/>
          <w:szCs w:val="24"/>
          <w:u w:val="single"/>
        </w:rPr>
      </w:pPr>
    </w:p>
    <w:p w:rsidR="00B57793" w:rsidRPr="007F771D" w:rsidRDefault="00B57793" w:rsidP="00B57793">
      <w:pPr>
        <w:tabs>
          <w:tab w:val="left" w:pos="2980"/>
        </w:tabs>
        <w:jc w:val="both"/>
        <w:rPr>
          <w:rFonts w:asciiTheme="minorHAnsi" w:hAnsiTheme="minorHAnsi"/>
          <w:color w:val="auto"/>
          <w:szCs w:val="24"/>
        </w:rPr>
      </w:pPr>
      <w:r w:rsidRPr="00F63046">
        <w:rPr>
          <w:rFonts w:asciiTheme="minorHAnsi" w:hAnsiTheme="minorHAnsi"/>
          <w:color w:val="auto"/>
          <w:szCs w:val="24"/>
          <w:u w:val="single"/>
        </w:rPr>
        <w:t>Left Knee Condition</w:t>
      </w:r>
      <w:r w:rsidRPr="00F63046">
        <w:rPr>
          <w:rFonts w:asciiTheme="minorHAnsi" w:hAnsiTheme="minorHAnsi"/>
          <w:color w:val="auto"/>
          <w:szCs w:val="24"/>
        </w:rPr>
        <w:t xml:space="preserve">:  There </w:t>
      </w:r>
      <w:r w:rsidRPr="007E364B">
        <w:rPr>
          <w:rFonts w:asciiTheme="minorHAnsi" w:hAnsiTheme="minorHAnsi"/>
          <w:color w:val="auto"/>
          <w:szCs w:val="24"/>
        </w:rPr>
        <w:t xml:space="preserve">were </w:t>
      </w:r>
      <w:r w:rsidR="00171718" w:rsidRPr="007E364B">
        <w:rPr>
          <w:rFonts w:asciiTheme="minorHAnsi" w:hAnsiTheme="minorHAnsi"/>
          <w:color w:val="auto"/>
          <w:szCs w:val="24"/>
        </w:rPr>
        <w:t>three</w:t>
      </w:r>
      <w:r w:rsidRPr="007E364B">
        <w:rPr>
          <w:rFonts w:asciiTheme="minorHAnsi" w:hAnsiTheme="minorHAnsi"/>
          <w:color w:val="auto"/>
          <w:szCs w:val="24"/>
        </w:rPr>
        <w:t xml:space="preserve"> knee examinations</w:t>
      </w:r>
      <w:r w:rsidRPr="00F63046">
        <w:rPr>
          <w:rFonts w:asciiTheme="minorHAnsi" w:hAnsiTheme="minorHAnsi"/>
          <w:color w:val="auto"/>
          <w:szCs w:val="24"/>
        </w:rPr>
        <w:t xml:space="preserve"> proximate to separation, including goniometric range-of-motion (ROM) measurements</w:t>
      </w:r>
      <w:r>
        <w:rPr>
          <w:rFonts w:asciiTheme="minorHAnsi" w:hAnsiTheme="minorHAnsi"/>
          <w:color w:val="auto"/>
          <w:szCs w:val="24"/>
        </w:rPr>
        <w:t xml:space="preserve"> and</w:t>
      </w:r>
      <w:r w:rsidRPr="00C160B2">
        <w:rPr>
          <w:color w:val="000000" w:themeColor="text1"/>
          <w:szCs w:val="24"/>
        </w:rPr>
        <w:t xml:space="preserve"> additional ratable criteria, </w:t>
      </w:r>
      <w:r w:rsidRPr="00F63046">
        <w:rPr>
          <w:rFonts w:asciiTheme="minorHAnsi" w:hAnsiTheme="minorHAnsi"/>
          <w:color w:val="auto"/>
          <w:szCs w:val="24"/>
        </w:rPr>
        <w:t>in evidence which the Board weighed in arriving at its rating recommendation.  These exams are summarized in the chart below.</w:t>
      </w:r>
    </w:p>
    <w:p w:rsidR="004C60A3" w:rsidRPr="007F771D" w:rsidRDefault="004C60A3" w:rsidP="00B57793">
      <w:pPr>
        <w:jc w:val="both"/>
        <w:rPr>
          <w:color w:val="auto"/>
          <w:szCs w:val="24"/>
        </w:rPr>
      </w:pPr>
    </w:p>
    <w:tbl>
      <w:tblPr>
        <w:tblW w:w="8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9"/>
        <w:gridCol w:w="2225"/>
        <w:gridCol w:w="2308"/>
        <w:gridCol w:w="2308"/>
      </w:tblGrid>
      <w:tr w:rsidR="0080058D" w:rsidRPr="007F771D" w:rsidTr="0080058D">
        <w:trPr>
          <w:jc w:val="center"/>
        </w:trPr>
        <w:tc>
          <w:tcPr>
            <w:tcW w:w="2129" w:type="dxa"/>
            <w:shd w:val="clear" w:color="auto" w:fill="D9D9D9" w:themeFill="background1" w:themeFillShade="D9"/>
            <w:vAlign w:val="center"/>
          </w:tcPr>
          <w:p w:rsidR="0080058D" w:rsidRPr="007F771D" w:rsidRDefault="0080058D" w:rsidP="006F0CB8">
            <w:pPr>
              <w:spacing w:line="180" w:lineRule="exact"/>
              <w:contextualSpacing/>
              <w:rPr>
                <w:rFonts w:eastAsia="Calibri"/>
                <w:color w:val="auto"/>
                <w:sz w:val="18"/>
                <w:szCs w:val="18"/>
              </w:rPr>
            </w:pPr>
            <w:r w:rsidRPr="007F771D">
              <w:rPr>
                <w:rFonts w:eastAsia="Calibri"/>
                <w:color w:val="auto"/>
                <w:sz w:val="18"/>
                <w:szCs w:val="18"/>
              </w:rPr>
              <w:t>Goniometric ROM –</w:t>
            </w:r>
          </w:p>
          <w:p w:rsidR="0080058D" w:rsidRPr="007F771D" w:rsidRDefault="0080058D" w:rsidP="006F0CB8">
            <w:pPr>
              <w:spacing w:line="180" w:lineRule="exact"/>
              <w:contextualSpacing/>
              <w:rPr>
                <w:rFonts w:eastAsia="Calibri"/>
                <w:color w:val="auto"/>
                <w:sz w:val="18"/>
                <w:szCs w:val="18"/>
              </w:rPr>
            </w:pPr>
            <w:r w:rsidRPr="007F771D">
              <w:rPr>
                <w:rFonts w:eastAsia="Calibri"/>
                <w:color w:val="auto"/>
                <w:sz w:val="18"/>
                <w:szCs w:val="18"/>
              </w:rPr>
              <w:t>L Knee</w:t>
            </w:r>
          </w:p>
        </w:tc>
        <w:tc>
          <w:tcPr>
            <w:tcW w:w="2225" w:type="dxa"/>
            <w:shd w:val="clear" w:color="auto" w:fill="D9D9D9" w:themeFill="background1" w:themeFillShade="D9"/>
            <w:vAlign w:val="center"/>
          </w:tcPr>
          <w:p w:rsidR="0080058D" w:rsidRPr="007F771D" w:rsidRDefault="0080058D" w:rsidP="007E364B">
            <w:pPr>
              <w:spacing w:line="180" w:lineRule="exact"/>
              <w:contextualSpacing/>
              <w:rPr>
                <w:rFonts w:asciiTheme="minorHAnsi" w:eastAsia="Calibri" w:hAnsiTheme="minorHAnsi"/>
                <w:color w:val="auto"/>
                <w:sz w:val="18"/>
                <w:szCs w:val="18"/>
              </w:rPr>
            </w:pPr>
            <w:r w:rsidRPr="007F771D">
              <w:rPr>
                <w:rFonts w:eastAsia="Calibri"/>
                <w:color w:val="auto"/>
                <w:sz w:val="18"/>
                <w:szCs w:val="18"/>
              </w:rPr>
              <w:t>MEB ~ 4 Mo. Pre-Sep</w:t>
            </w:r>
          </w:p>
        </w:tc>
        <w:tc>
          <w:tcPr>
            <w:tcW w:w="2308" w:type="dxa"/>
            <w:shd w:val="clear" w:color="auto" w:fill="D9D9D9" w:themeFill="background1" w:themeFillShade="D9"/>
            <w:vAlign w:val="center"/>
          </w:tcPr>
          <w:p w:rsidR="0080058D" w:rsidRPr="007F771D" w:rsidRDefault="0080058D" w:rsidP="007E364B">
            <w:pPr>
              <w:spacing w:line="180" w:lineRule="exact"/>
              <w:contextualSpacing/>
              <w:rPr>
                <w:rFonts w:asciiTheme="minorHAnsi" w:eastAsia="Calibri" w:hAnsiTheme="minorHAnsi"/>
                <w:color w:val="auto"/>
                <w:sz w:val="18"/>
                <w:szCs w:val="18"/>
              </w:rPr>
            </w:pPr>
            <w:r w:rsidRPr="007F771D">
              <w:rPr>
                <w:rFonts w:eastAsia="Calibri"/>
                <w:color w:val="auto"/>
                <w:sz w:val="18"/>
                <w:szCs w:val="18"/>
              </w:rPr>
              <w:t>Ortho ~ 3 Mo. Pre-Sep</w:t>
            </w:r>
          </w:p>
        </w:tc>
        <w:tc>
          <w:tcPr>
            <w:tcW w:w="2308" w:type="dxa"/>
            <w:shd w:val="clear" w:color="auto" w:fill="D9D9D9" w:themeFill="background1" w:themeFillShade="D9"/>
            <w:vAlign w:val="center"/>
          </w:tcPr>
          <w:p w:rsidR="0080058D" w:rsidRPr="007F771D" w:rsidRDefault="0080058D" w:rsidP="007E364B">
            <w:pPr>
              <w:spacing w:line="180" w:lineRule="exact"/>
              <w:contextualSpacing/>
              <w:rPr>
                <w:rFonts w:asciiTheme="minorHAnsi" w:eastAsia="Calibri" w:hAnsiTheme="minorHAnsi"/>
                <w:color w:val="auto"/>
                <w:sz w:val="18"/>
                <w:szCs w:val="18"/>
              </w:rPr>
            </w:pPr>
            <w:r w:rsidRPr="007F771D">
              <w:rPr>
                <w:rFonts w:eastAsia="Calibri"/>
                <w:color w:val="auto"/>
                <w:sz w:val="18"/>
                <w:szCs w:val="18"/>
              </w:rPr>
              <w:t>VA</w:t>
            </w:r>
            <w:r w:rsidRPr="007F771D">
              <w:rPr>
                <w:rFonts w:eastAsiaTheme="minorHAnsi"/>
                <w:color w:val="auto"/>
                <w:sz w:val="18"/>
                <w:szCs w:val="18"/>
              </w:rPr>
              <w:t xml:space="preserve"> C&amp;P </w:t>
            </w:r>
            <w:r w:rsidRPr="007F771D">
              <w:rPr>
                <w:rFonts w:eastAsia="Calibri"/>
                <w:color w:val="auto"/>
                <w:sz w:val="18"/>
                <w:szCs w:val="18"/>
              </w:rPr>
              <w:t>~ 11 Days Pre-Sep</w:t>
            </w:r>
          </w:p>
        </w:tc>
      </w:tr>
      <w:tr w:rsidR="00167E6E" w:rsidRPr="007F771D" w:rsidTr="0080058D">
        <w:trPr>
          <w:jc w:val="center"/>
        </w:trPr>
        <w:tc>
          <w:tcPr>
            <w:tcW w:w="2129" w:type="dxa"/>
            <w:vAlign w:val="center"/>
          </w:tcPr>
          <w:p w:rsidR="00167E6E" w:rsidRPr="007F771D" w:rsidRDefault="00167E6E" w:rsidP="006F0CB8">
            <w:pPr>
              <w:spacing w:line="180" w:lineRule="exact"/>
              <w:contextualSpacing/>
              <w:rPr>
                <w:rFonts w:eastAsia="Calibri"/>
                <w:color w:val="auto"/>
                <w:sz w:val="18"/>
                <w:szCs w:val="18"/>
              </w:rPr>
            </w:pPr>
            <w:r w:rsidRPr="007F771D">
              <w:rPr>
                <w:rFonts w:eastAsia="Calibri"/>
                <w:color w:val="auto"/>
                <w:sz w:val="18"/>
                <w:szCs w:val="18"/>
              </w:rPr>
              <w:t>Flexion (140⁰ normal)</w:t>
            </w:r>
          </w:p>
        </w:tc>
        <w:tc>
          <w:tcPr>
            <w:tcW w:w="2225" w:type="dxa"/>
            <w:vMerge w:val="restart"/>
            <w:vAlign w:val="center"/>
          </w:tcPr>
          <w:p w:rsidR="00167E6E" w:rsidRPr="007F771D" w:rsidRDefault="00167E6E" w:rsidP="006F0CB8">
            <w:pPr>
              <w:spacing w:line="180" w:lineRule="exact"/>
              <w:contextualSpacing/>
              <w:rPr>
                <w:rFonts w:eastAsia="Calibri"/>
                <w:color w:val="auto"/>
                <w:sz w:val="18"/>
                <w:szCs w:val="18"/>
              </w:rPr>
            </w:pPr>
            <w:r w:rsidRPr="007F771D">
              <w:rPr>
                <w:rFonts w:eastAsia="Calibri"/>
                <w:color w:val="auto"/>
                <w:sz w:val="18"/>
                <w:szCs w:val="18"/>
              </w:rPr>
              <w:t>“approximately 0 to 125⁰”</w:t>
            </w:r>
          </w:p>
        </w:tc>
        <w:tc>
          <w:tcPr>
            <w:tcW w:w="2308" w:type="dxa"/>
            <w:vAlign w:val="center"/>
          </w:tcPr>
          <w:p w:rsidR="00167E6E" w:rsidRPr="007F771D" w:rsidRDefault="00167E6E" w:rsidP="006F0CB8">
            <w:pPr>
              <w:spacing w:line="180" w:lineRule="exact"/>
              <w:contextualSpacing/>
              <w:rPr>
                <w:rFonts w:eastAsia="Calibri"/>
                <w:color w:val="auto"/>
                <w:sz w:val="18"/>
                <w:szCs w:val="18"/>
              </w:rPr>
            </w:pPr>
            <w:r w:rsidRPr="007F771D">
              <w:rPr>
                <w:rFonts w:eastAsia="Calibri"/>
                <w:color w:val="auto"/>
                <w:sz w:val="18"/>
                <w:szCs w:val="18"/>
              </w:rPr>
              <w:t>100⁰</w:t>
            </w:r>
          </w:p>
        </w:tc>
        <w:tc>
          <w:tcPr>
            <w:tcW w:w="2308" w:type="dxa"/>
            <w:vAlign w:val="center"/>
          </w:tcPr>
          <w:p w:rsidR="00167E6E" w:rsidRPr="007F771D" w:rsidRDefault="00167E6E" w:rsidP="006F0CB8">
            <w:pPr>
              <w:spacing w:line="180" w:lineRule="exact"/>
              <w:contextualSpacing/>
              <w:rPr>
                <w:rFonts w:eastAsia="Calibri"/>
                <w:color w:val="auto"/>
                <w:sz w:val="18"/>
                <w:szCs w:val="18"/>
              </w:rPr>
            </w:pPr>
            <w:r w:rsidRPr="007F771D">
              <w:rPr>
                <w:rFonts w:eastAsia="Calibri"/>
                <w:color w:val="auto"/>
                <w:sz w:val="18"/>
                <w:szCs w:val="18"/>
              </w:rPr>
              <w:t>110⁰</w:t>
            </w:r>
          </w:p>
        </w:tc>
      </w:tr>
      <w:tr w:rsidR="00167E6E" w:rsidRPr="007F771D" w:rsidTr="0080058D">
        <w:trPr>
          <w:jc w:val="center"/>
        </w:trPr>
        <w:tc>
          <w:tcPr>
            <w:tcW w:w="2129" w:type="dxa"/>
            <w:tcBorders>
              <w:bottom w:val="single" w:sz="4" w:space="0" w:color="auto"/>
            </w:tcBorders>
            <w:vAlign w:val="center"/>
          </w:tcPr>
          <w:p w:rsidR="00167E6E" w:rsidRPr="007F771D" w:rsidRDefault="00167E6E" w:rsidP="006F0CB8">
            <w:pPr>
              <w:spacing w:line="180" w:lineRule="exact"/>
              <w:contextualSpacing/>
              <w:rPr>
                <w:rFonts w:eastAsia="Calibri"/>
                <w:color w:val="auto"/>
                <w:sz w:val="18"/>
                <w:szCs w:val="18"/>
              </w:rPr>
            </w:pPr>
            <w:r w:rsidRPr="007F771D">
              <w:rPr>
                <w:rFonts w:eastAsia="Calibri"/>
                <w:color w:val="auto"/>
                <w:sz w:val="18"/>
                <w:szCs w:val="18"/>
              </w:rPr>
              <w:t>Extension (0⁰ normal)</w:t>
            </w:r>
          </w:p>
        </w:tc>
        <w:tc>
          <w:tcPr>
            <w:tcW w:w="2225" w:type="dxa"/>
            <w:vMerge/>
            <w:tcBorders>
              <w:bottom w:val="single" w:sz="4" w:space="0" w:color="auto"/>
            </w:tcBorders>
            <w:vAlign w:val="center"/>
          </w:tcPr>
          <w:p w:rsidR="00167E6E" w:rsidRPr="007F771D" w:rsidRDefault="00167E6E" w:rsidP="006F0CB8">
            <w:pPr>
              <w:spacing w:line="180" w:lineRule="exact"/>
              <w:contextualSpacing/>
              <w:rPr>
                <w:rFonts w:eastAsia="Calibri"/>
                <w:color w:val="auto"/>
                <w:sz w:val="18"/>
                <w:szCs w:val="18"/>
              </w:rPr>
            </w:pPr>
          </w:p>
        </w:tc>
        <w:tc>
          <w:tcPr>
            <w:tcW w:w="2308" w:type="dxa"/>
            <w:tcBorders>
              <w:bottom w:val="single" w:sz="4" w:space="0" w:color="auto"/>
            </w:tcBorders>
            <w:vAlign w:val="center"/>
          </w:tcPr>
          <w:p w:rsidR="00167E6E" w:rsidRPr="007F771D" w:rsidRDefault="00167E6E" w:rsidP="006F0CB8">
            <w:pPr>
              <w:spacing w:line="180" w:lineRule="exact"/>
              <w:contextualSpacing/>
              <w:rPr>
                <w:rFonts w:eastAsia="Calibri"/>
                <w:color w:val="auto"/>
                <w:sz w:val="18"/>
                <w:szCs w:val="18"/>
              </w:rPr>
            </w:pPr>
            <w:r w:rsidRPr="007F771D">
              <w:rPr>
                <w:rFonts w:eastAsia="Calibri"/>
                <w:color w:val="auto"/>
                <w:sz w:val="18"/>
                <w:szCs w:val="18"/>
              </w:rPr>
              <w:t>0⁰</w:t>
            </w:r>
          </w:p>
        </w:tc>
        <w:tc>
          <w:tcPr>
            <w:tcW w:w="2308" w:type="dxa"/>
            <w:tcBorders>
              <w:bottom w:val="single" w:sz="4" w:space="0" w:color="auto"/>
            </w:tcBorders>
            <w:vAlign w:val="center"/>
          </w:tcPr>
          <w:p w:rsidR="00167E6E" w:rsidRPr="007F771D" w:rsidRDefault="00167E6E" w:rsidP="006F0CB8">
            <w:pPr>
              <w:spacing w:line="180" w:lineRule="exact"/>
              <w:contextualSpacing/>
              <w:rPr>
                <w:rFonts w:eastAsia="Calibri"/>
                <w:color w:val="auto"/>
                <w:sz w:val="18"/>
                <w:szCs w:val="18"/>
              </w:rPr>
            </w:pPr>
            <w:r w:rsidRPr="007F771D">
              <w:rPr>
                <w:rFonts w:eastAsia="Calibri"/>
                <w:color w:val="auto"/>
                <w:sz w:val="18"/>
                <w:szCs w:val="18"/>
              </w:rPr>
              <w:t>0⁰</w:t>
            </w:r>
          </w:p>
        </w:tc>
      </w:tr>
      <w:tr w:rsidR="0080058D" w:rsidRPr="007F771D" w:rsidTr="0080058D">
        <w:trPr>
          <w:jc w:val="center"/>
        </w:trPr>
        <w:tc>
          <w:tcPr>
            <w:tcW w:w="2129" w:type="dxa"/>
            <w:tcBorders>
              <w:top w:val="single" w:sz="4" w:space="0" w:color="auto"/>
              <w:left w:val="single" w:sz="4" w:space="0" w:color="auto"/>
              <w:bottom w:val="single" w:sz="4" w:space="0" w:color="auto"/>
              <w:right w:val="single" w:sz="4" w:space="0" w:color="auto"/>
            </w:tcBorders>
            <w:vAlign w:val="center"/>
          </w:tcPr>
          <w:p w:rsidR="0080058D" w:rsidRPr="007F771D" w:rsidRDefault="0080058D" w:rsidP="006F0CB8">
            <w:pPr>
              <w:tabs>
                <w:tab w:val="left" w:pos="288"/>
                <w:tab w:val="left" w:pos="4752"/>
              </w:tabs>
              <w:spacing w:line="180" w:lineRule="exact"/>
              <w:rPr>
                <w:rFonts w:eastAsiaTheme="minorHAnsi"/>
                <w:color w:val="auto"/>
                <w:sz w:val="18"/>
                <w:szCs w:val="18"/>
              </w:rPr>
            </w:pPr>
            <w:r w:rsidRPr="007F771D">
              <w:rPr>
                <w:rFonts w:eastAsiaTheme="minorHAnsi"/>
                <w:color w:val="auto"/>
                <w:sz w:val="18"/>
                <w:szCs w:val="18"/>
              </w:rPr>
              <w:t>Comment</w:t>
            </w:r>
          </w:p>
        </w:tc>
        <w:tc>
          <w:tcPr>
            <w:tcW w:w="2225" w:type="dxa"/>
            <w:tcBorders>
              <w:top w:val="single" w:sz="4" w:space="0" w:color="auto"/>
              <w:left w:val="single" w:sz="4" w:space="0" w:color="auto"/>
              <w:bottom w:val="single" w:sz="4" w:space="0" w:color="auto"/>
              <w:right w:val="single" w:sz="4" w:space="0" w:color="auto"/>
            </w:tcBorders>
            <w:vAlign w:val="center"/>
          </w:tcPr>
          <w:p w:rsidR="0080058D" w:rsidRPr="007F771D" w:rsidRDefault="0080058D" w:rsidP="006F0CB8">
            <w:pPr>
              <w:tabs>
                <w:tab w:val="left" w:pos="288"/>
                <w:tab w:val="left" w:pos="4752"/>
              </w:tabs>
              <w:spacing w:line="180" w:lineRule="exact"/>
              <w:jc w:val="left"/>
              <w:rPr>
                <w:rFonts w:eastAsiaTheme="minorHAnsi"/>
                <w:color w:val="auto"/>
                <w:sz w:val="18"/>
                <w:szCs w:val="18"/>
              </w:rPr>
            </w:pPr>
            <w:proofErr w:type="spellStart"/>
            <w:r w:rsidRPr="007F771D">
              <w:rPr>
                <w:rFonts w:eastAsiaTheme="minorHAnsi"/>
                <w:color w:val="auto"/>
                <w:sz w:val="18"/>
                <w:szCs w:val="18"/>
              </w:rPr>
              <w:t>Varus</w:t>
            </w:r>
            <w:proofErr w:type="spellEnd"/>
            <w:r w:rsidRPr="007F771D">
              <w:rPr>
                <w:rFonts w:eastAsiaTheme="minorHAnsi"/>
                <w:color w:val="auto"/>
                <w:sz w:val="18"/>
                <w:szCs w:val="18"/>
              </w:rPr>
              <w:t xml:space="preserve"> deformity, palpable femoral osteophytes, scar, crepitus, TTP, no instability (including </w:t>
            </w:r>
            <w:proofErr w:type="spellStart"/>
            <w:r w:rsidRPr="007F771D">
              <w:rPr>
                <w:rFonts w:eastAsiaTheme="minorHAnsi"/>
                <w:color w:val="auto"/>
                <w:sz w:val="18"/>
                <w:szCs w:val="18"/>
              </w:rPr>
              <w:t>Lachman’s</w:t>
            </w:r>
            <w:proofErr w:type="spellEnd"/>
            <w:r w:rsidRPr="007F771D">
              <w:rPr>
                <w:rFonts w:eastAsiaTheme="minorHAnsi"/>
                <w:color w:val="auto"/>
                <w:sz w:val="18"/>
                <w:szCs w:val="18"/>
              </w:rPr>
              <w:t xml:space="preserve">), </w:t>
            </w:r>
            <w:proofErr w:type="spellStart"/>
            <w:r w:rsidRPr="007F771D">
              <w:rPr>
                <w:rFonts w:eastAsiaTheme="minorHAnsi"/>
                <w:color w:val="auto"/>
                <w:sz w:val="18"/>
                <w:szCs w:val="18"/>
              </w:rPr>
              <w:t>neg</w:t>
            </w:r>
            <w:proofErr w:type="spellEnd"/>
            <w:r w:rsidRPr="007F771D">
              <w:rPr>
                <w:rFonts w:eastAsiaTheme="minorHAnsi"/>
                <w:color w:val="auto"/>
                <w:sz w:val="18"/>
                <w:szCs w:val="18"/>
              </w:rPr>
              <w:t xml:space="preserve"> McMurray’s, mildly pos patellar grind</w:t>
            </w:r>
          </w:p>
        </w:tc>
        <w:tc>
          <w:tcPr>
            <w:tcW w:w="2308" w:type="dxa"/>
            <w:tcBorders>
              <w:top w:val="single" w:sz="4" w:space="0" w:color="auto"/>
              <w:left w:val="single" w:sz="4" w:space="0" w:color="auto"/>
              <w:bottom w:val="single" w:sz="4" w:space="0" w:color="auto"/>
              <w:right w:val="single" w:sz="4" w:space="0" w:color="auto"/>
            </w:tcBorders>
            <w:vAlign w:val="center"/>
          </w:tcPr>
          <w:p w:rsidR="0080058D" w:rsidRPr="007F771D" w:rsidRDefault="0080058D" w:rsidP="006F0CB8">
            <w:pPr>
              <w:tabs>
                <w:tab w:val="left" w:pos="288"/>
                <w:tab w:val="left" w:pos="4752"/>
              </w:tabs>
              <w:spacing w:line="180" w:lineRule="exact"/>
              <w:jc w:val="left"/>
              <w:rPr>
                <w:rFonts w:eastAsiaTheme="minorHAnsi"/>
                <w:color w:val="auto"/>
                <w:sz w:val="18"/>
                <w:szCs w:val="18"/>
              </w:rPr>
            </w:pPr>
            <w:r w:rsidRPr="007F771D">
              <w:rPr>
                <w:rFonts w:eastAsiaTheme="minorHAnsi"/>
                <w:color w:val="auto"/>
                <w:sz w:val="18"/>
                <w:szCs w:val="18"/>
              </w:rPr>
              <w:t xml:space="preserve">3+ effusion, TTP (medial joint line &amp; lat </w:t>
            </w:r>
            <w:proofErr w:type="spellStart"/>
            <w:r w:rsidRPr="007F771D">
              <w:rPr>
                <w:rFonts w:eastAsiaTheme="minorHAnsi"/>
                <w:color w:val="auto"/>
                <w:sz w:val="18"/>
                <w:szCs w:val="18"/>
              </w:rPr>
              <w:t>epicondyle</w:t>
            </w:r>
            <w:proofErr w:type="spellEnd"/>
            <w:r w:rsidRPr="007F771D">
              <w:rPr>
                <w:rFonts w:eastAsiaTheme="minorHAnsi"/>
                <w:color w:val="auto"/>
                <w:sz w:val="18"/>
                <w:szCs w:val="18"/>
              </w:rPr>
              <w:t xml:space="preserve">), 30 ml normal joint fluid aspirated, steroid injected; </w:t>
            </w:r>
            <w:proofErr w:type="spellStart"/>
            <w:r w:rsidRPr="007F771D">
              <w:rPr>
                <w:rFonts w:eastAsiaTheme="minorHAnsi"/>
                <w:color w:val="auto"/>
                <w:sz w:val="18"/>
                <w:szCs w:val="18"/>
              </w:rPr>
              <w:t>Hx</w:t>
            </w:r>
            <w:proofErr w:type="spellEnd"/>
            <w:r w:rsidRPr="007F771D">
              <w:rPr>
                <w:rFonts w:eastAsiaTheme="minorHAnsi"/>
                <w:color w:val="auto"/>
                <w:sz w:val="18"/>
                <w:szCs w:val="18"/>
              </w:rPr>
              <w:t xml:space="preserve"> </w:t>
            </w:r>
            <w:proofErr w:type="spellStart"/>
            <w:r w:rsidRPr="007F771D">
              <w:rPr>
                <w:rFonts w:eastAsiaTheme="minorHAnsi"/>
                <w:color w:val="auto"/>
                <w:sz w:val="18"/>
                <w:szCs w:val="18"/>
              </w:rPr>
              <w:t>incr</w:t>
            </w:r>
            <w:proofErr w:type="spellEnd"/>
            <w:r w:rsidRPr="007F771D">
              <w:rPr>
                <w:rFonts w:eastAsiaTheme="minorHAnsi"/>
                <w:color w:val="auto"/>
                <w:sz w:val="18"/>
                <w:szCs w:val="18"/>
              </w:rPr>
              <w:t xml:space="preserve"> pain &amp; effusion due to moving over last 2-3 wks, no locking</w:t>
            </w:r>
          </w:p>
        </w:tc>
        <w:tc>
          <w:tcPr>
            <w:tcW w:w="2308" w:type="dxa"/>
            <w:tcBorders>
              <w:top w:val="single" w:sz="4" w:space="0" w:color="auto"/>
              <w:left w:val="single" w:sz="4" w:space="0" w:color="auto"/>
              <w:bottom w:val="single" w:sz="4" w:space="0" w:color="auto"/>
              <w:right w:val="single" w:sz="4" w:space="0" w:color="auto"/>
            </w:tcBorders>
            <w:vAlign w:val="center"/>
          </w:tcPr>
          <w:p w:rsidR="0080058D" w:rsidRPr="007F771D" w:rsidRDefault="0080058D" w:rsidP="006F0CB8">
            <w:pPr>
              <w:tabs>
                <w:tab w:val="left" w:pos="288"/>
                <w:tab w:val="left" w:pos="4752"/>
              </w:tabs>
              <w:spacing w:line="180" w:lineRule="exact"/>
              <w:jc w:val="left"/>
              <w:rPr>
                <w:rFonts w:eastAsiaTheme="minorHAnsi"/>
                <w:color w:val="auto"/>
                <w:sz w:val="18"/>
                <w:szCs w:val="18"/>
              </w:rPr>
            </w:pPr>
            <w:r w:rsidRPr="007F771D">
              <w:rPr>
                <w:rFonts w:eastAsiaTheme="minorHAnsi"/>
                <w:color w:val="auto"/>
                <w:sz w:val="18"/>
                <w:szCs w:val="18"/>
              </w:rPr>
              <w:t xml:space="preserve">Painful motion, </w:t>
            </w:r>
            <w:proofErr w:type="spellStart"/>
            <w:r w:rsidRPr="007F771D">
              <w:rPr>
                <w:rFonts w:eastAsiaTheme="minorHAnsi"/>
                <w:color w:val="auto"/>
                <w:sz w:val="18"/>
                <w:szCs w:val="18"/>
              </w:rPr>
              <w:t>crepitus</w:t>
            </w:r>
            <w:proofErr w:type="spellEnd"/>
            <w:r w:rsidRPr="007F771D">
              <w:rPr>
                <w:rFonts w:eastAsiaTheme="minorHAnsi"/>
                <w:color w:val="auto"/>
                <w:sz w:val="18"/>
                <w:szCs w:val="18"/>
              </w:rPr>
              <w:t xml:space="preserve">, scar </w:t>
            </w:r>
            <w:proofErr w:type="spellStart"/>
            <w:r w:rsidRPr="007F771D">
              <w:rPr>
                <w:rFonts w:eastAsiaTheme="minorHAnsi"/>
                <w:color w:val="auto"/>
                <w:sz w:val="18"/>
                <w:szCs w:val="18"/>
              </w:rPr>
              <w:t>nontender</w:t>
            </w:r>
            <w:proofErr w:type="spellEnd"/>
            <w:r w:rsidRPr="007F771D">
              <w:rPr>
                <w:rFonts w:eastAsiaTheme="minorHAnsi"/>
                <w:color w:val="auto"/>
                <w:sz w:val="18"/>
                <w:szCs w:val="18"/>
              </w:rPr>
              <w:t xml:space="preserve">, no instability (including </w:t>
            </w:r>
            <w:proofErr w:type="spellStart"/>
            <w:r w:rsidRPr="007F771D">
              <w:rPr>
                <w:rFonts w:eastAsiaTheme="minorHAnsi"/>
                <w:color w:val="auto"/>
                <w:sz w:val="18"/>
                <w:szCs w:val="18"/>
              </w:rPr>
              <w:t>Lachman’s</w:t>
            </w:r>
            <w:proofErr w:type="spellEnd"/>
            <w:r w:rsidRPr="007F771D">
              <w:rPr>
                <w:rFonts w:eastAsiaTheme="minorHAnsi"/>
                <w:color w:val="auto"/>
                <w:sz w:val="18"/>
                <w:szCs w:val="18"/>
              </w:rPr>
              <w:t xml:space="preserve">), </w:t>
            </w:r>
            <w:proofErr w:type="spellStart"/>
            <w:r w:rsidRPr="007F771D">
              <w:rPr>
                <w:rFonts w:eastAsiaTheme="minorHAnsi"/>
                <w:color w:val="auto"/>
                <w:sz w:val="18"/>
                <w:szCs w:val="18"/>
              </w:rPr>
              <w:t>neg</w:t>
            </w:r>
            <w:proofErr w:type="spellEnd"/>
            <w:r w:rsidRPr="007F771D">
              <w:rPr>
                <w:rFonts w:eastAsiaTheme="minorHAnsi"/>
                <w:color w:val="auto"/>
                <w:sz w:val="18"/>
                <w:szCs w:val="18"/>
              </w:rPr>
              <w:t xml:space="preserve"> McMurray’s, </w:t>
            </w:r>
            <w:proofErr w:type="spellStart"/>
            <w:r w:rsidRPr="007F771D">
              <w:rPr>
                <w:rFonts w:eastAsiaTheme="minorHAnsi"/>
                <w:color w:val="auto"/>
                <w:sz w:val="18"/>
                <w:szCs w:val="18"/>
              </w:rPr>
              <w:t>neg</w:t>
            </w:r>
            <w:proofErr w:type="spellEnd"/>
            <w:r w:rsidRPr="007F771D">
              <w:rPr>
                <w:rFonts w:eastAsiaTheme="minorHAnsi"/>
                <w:color w:val="auto"/>
                <w:sz w:val="18"/>
                <w:szCs w:val="18"/>
              </w:rPr>
              <w:t xml:space="preserve"> grind, no change with repetitive motion</w:t>
            </w:r>
            <w:r w:rsidR="006D16B8" w:rsidRPr="007F771D">
              <w:rPr>
                <w:rFonts w:eastAsiaTheme="minorHAnsi"/>
                <w:color w:val="auto"/>
                <w:sz w:val="18"/>
                <w:szCs w:val="18"/>
              </w:rPr>
              <w:t>; 5</w:t>
            </w:r>
            <w:r w:rsidR="006D16B8" w:rsidRPr="007F771D">
              <w:rPr>
                <w:rFonts w:eastAsiaTheme="minorHAnsi" w:cs="Calibri"/>
                <w:color w:val="auto"/>
                <w:sz w:val="18"/>
                <w:szCs w:val="18"/>
              </w:rPr>
              <w:t>°</w:t>
            </w:r>
            <w:r w:rsidR="006D16B8" w:rsidRPr="007F771D">
              <w:rPr>
                <w:rFonts w:eastAsiaTheme="minorHAnsi"/>
                <w:color w:val="auto"/>
                <w:sz w:val="18"/>
                <w:szCs w:val="18"/>
              </w:rPr>
              <w:t xml:space="preserve"> </w:t>
            </w:r>
            <w:proofErr w:type="spellStart"/>
            <w:r w:rsidR="006D16B8" w:rsidRPr="007F771D">
              <w:rPr>
                <w:rFonts w:eastAsiaTheme="minorHAnsi"/>
                <w:color w:val="auto"/>
                <w:sz w:val="18"/>
                <w:szCs w:val="18"/>
              </w:rPr>
              <w:t>valgus</w:t>
            </w:r>
            <w:proofErr w:type="spellEnd"/>
            <w:r w:rsidR="006D16B8" w:rsidRPr="007F771D">
              <w:rPr>
                <w:rFonts w:eastAsiaTheme="minorHAnsi"/>
                <w:color w:val="auto"/>
                <w:sz w:val="18"/>
                <w:szCs w:val="18"/>
              </w:rPr>
              <w:t xml:space="preserve"> deformity on </w:t>
            </w:r>
            <w:proofErr w:type="spellStart"/>
            <w:r w:rsidR="006D16B8" w:rsidRPr="007F771D">
              <w:rPr>
                <w:rFonts w:eastAsiaTheme="minorHAnsi"/>
                <w:color w:val="auto"/>
                <w:sz w:val="18"/>
                <w:szCs w:val="18"/>
              </w:rPr>
              <w:t>weightbearing</w:t>
            </w:r>
            <w:proofErr w:type="spellEnd"/>
          </w:p>
        </w:tc>
      </w:tr>
      <w:tr w:rsidR="0080058D" w:rsidRPr="007F771D" w:rsidTr="0080058D">
        <w:trPr>
          <w:jc w:val="center"/>
        </w:trPr>
        <w:tc>
          <w:tcPr>
            <w:tcW w:w="2129" w:type="dxa"/>
            <w:tcBorders>
              <w:top w:val="single" w:sz="4" w:space="0" w:color="auto"/>
              <w:left w:val="single" w:sz="4" w:space="0" w:color="auto"/>
              <w:bottom w:val="single" w:sz="4" w:space="0" w:color="auto"/>
              <w:right w:val="single" w:sz="4" w:space="0" w:color="auto"/>
            </w:tcBorders>
            <w:vAlign w:val="center"/>
          </w:tcPr>
          <w:p w:rsidR="0080058D" w:rsidRPr="007F771D" w:rsidRDefault="0080058D" w:rsidP="006F0CB8">
            <w:pPr>
              <w:tabs>
                <w:tab w:val="left" w:pos="288"/>
                <w:tab w:val="left" w:pos="4752"/>
              </w:tabs>
              <w:spacing w:line="180" w:lineRule="exact"/>
              <w:rPr>
                <w:rFonts w:eastAsiaTheme="minorHAnsi"/>
                <w:color w:val="auto"/>
                <w:sz w:val="18"/>
                <w:szCs w:val="18"/>
              </w:rPr>
            </w:pPr>
            <w:r w:rsidRPr="007F771D">
              <w:rPr>
                <w:rFonts w:eastAsiaTheme="minorHAnsi"/>
                <w:color w:val="auto"/>
                <w:sz w:val="18"/>
                <w:szCs w:val="18"/>
              </w:rPr>
              <w:t>§4.71a Rating</w:t>
            </w:r>
          </w:p>
        </w:tc>
        <w:tc>
          <w:tcPr>
            <w:tcW w:w="2225" w:type="dxa"/>
            <w:tcBorders>
              <w:top w:val="single" w:sz="4" w:space="0" w:color="auto"/>
              <w:left w:val="single" w:sz="4" w:space="0" w:color="auto"/>
              <w:bottom w:val="single" w:sz="4" w:space="0" w:color="auto"/>
              <w:right w:val="single" w:sz="4" w:space="0" w:color="auto"/>
            </w:tcBorders>
            <w:vAlign w:val="center"/>
          </w:tcPr>
          <w:p w:rsidR="0080058D" w:rsidRPr="007F771D" w:rsidRDefault="0080058D" w:rsidP="006F0CB8">
            <w:pPr>
              <w:tabs>
                <w:tab w:val="left" w:pos="288"/>
                <w:tab w:val="left" w:pos="4752"/>
              </w:tabs>
              <w:spacing w:line="180" w:lineRule="exact"/>
              <w:rPr>
                <w:rFonts w:eastAsiaTheme="minorHAnsi"/>
                <w:color w:val="auto"/>
                <w:sz w:val="18"/>
                <w:szCs w:val="18"/>
              </w:rPr>
            </w:pPr>
            <w:r w:rsidRPr="007F771D">
              <w:rPr>
                <w:rFonts w:eastAsiaTheme="minorHAnsi"/>
                <w:color w:val="auto"/>
                <w:sz w:val="18"/>
                <w:szCs w:val="18"/>
              </w:rPr>
              <w:t>20%</w:t>
            </w:r>
          </w:p>
        </w:tc>
        <w:tc>
          <w:tcPr>
            <w:tcW w:w="2308" w:type="dxa"/>
            <w:tcBorders>
              <w:top w:val="single" w:sz="4" w:space="0" w:color="auto"/>
              <w:left w:val="single" w:sz="4" w:space="0" w:color="auto"/>
              <w:bottom w:val="single" w:sz="4" w:space="0" w:color="auto"/>
              <w:right w:val="single" w:sz="4" w:space="0" w:color="auto"/>
            </w:tcBorders>
            <w:vAlign w:val="center"/>
          </w:tcPr>
          <w:p w:rsidR="0080058D" w:rsidRPr="007F771D" w:rsidRDefault="0080058D" w:rsidP="006F0CB8">
            <w:pPr>
              <w:tabs>
                <w:tab w:val="left" w:pos="288"/>
                <w:tab w:val="left" w:pos="4752"/>
              </w:tabs>
              <w:spacing w:line="180" w:lineRule="exact"/>
              <w:rPr>
                <w:rFonts w:eastAsiaTheme="minorHAnsi"/>
                <w:color w:val="auto"/>
                <w:sz w:val="18"/>
                <w:szCs w:val="18"/>
              </w:rPr>
            </w:pPr>
            <w:r w:rsidRPr="007F771D">
              <w:rPr>
                <w:rFonts w:eastAsiaTheme="minorHAnsi"/>
                <w:color w:val="auto"/>
                <w:sz w:val="18"/>
                <w:szCs w:val="18"/>
              </w:rPr>
              <w:t>20%</w:t>
            </w:r>
          </w:p>
        </w:tc>
        <w:tc>
          <w:tcPr>
            <w:tcW w:w="2308" w:type="dxa"/>
            <w:tcBorders>
              <w:top w:val="single" w:sz="4" w:space="0" w:color="auto"/>
              <w:left w:val="single" w:sz="4" w:space="0" w:color="auto"/>
              <w:bottom w:val="single" w:sz="4" w:space="0" w:color="auto"/>
              <w:right w:val="single" w:sz="4" w:space="0" w:color="auto"/>
            </w:tcBorders>
            <w:vAlign w:val="center"/>
          </w:tcPr>
          <w:p w:rsidR="0080058D" w:rsidRPr="007F771D" w:rsidRDefault="00035A1C" w:rsidP="006F0CB8">
            <w:pPr>
              <w:tabs>
                <w:tab w:val="left" w:pos="288"/>
                <w:tab w:val="left" w:pos="4752"/>
              </w:tabs>
              <w:spacing w:line="180" w:lineRule="exact"/>
              <w:rPr>
                <w:rFonts w:eastAsiaTheme="minorHAnsi"/>
                <w:color w:val="auto"/>
                <w:sz w:val="18"/>
                <w:szCs w:val="18"/>
              </w:rPr>
            </w:pPr>
            <w:r w:rsidRPr="007F771D">
              <w:rPr>
                <w:rFonts w:eastAsiaTheme="minorHAnsi"/>
                <w:color w:val="auto"/>
                <w:sz w:val="18"/>
                <w:szCs w:val="18"/>
              </w:rPr>
              <w:t xml:space="preserve">10-20% </w:t>
            </w:r>
            <w:r w:rsidR="0080058D" w:rsidRPr="007F771D">
              <w:rPr>
                <w:rFonts w:eastAsiaTheme="minorHAnsi"/>
                <w:color w:val="auto"/>
                <w:sz w:val="18"/>
                <w:szCs w:val="18"/>
              </w:rPr>
              <w:t>(VA 10%)</w:t>
            </w:r>
          </w:p>
        </w:tc>
      </w:tr>
    </w:tbl>
    <w:p w:rsidR="00B57793" w:rsidRPr="007F771D" w:rsidRDefault="00B57793" w:rsidP="00D270FE">
      <w:pPr>
        <w:jc w:val="both"/>
        <w:rPr>
          <w:color w:val="auto"/>
          <w:szCs w:val="24"/>
          <w:u w:val="single"/>
        </w:rPr>
      </w:pPr>
    </w:p>
    <w:p w:rsidR="00171718" w:rsidRDefault="00171718" w:rsidP="00F96663">
      <w:pPr>
        <w:jc w:val="both"/>
        <w:rPr>
          <w:rFonts w:asciiTheme="minorHAnsi" w:hAnsiTheme="minorHAnsi"/>
          <w:color w:val="auto"/>
          <w:szCs w:val="24"/>
        </w:rPr>
      </w:pPr>
      <w:r w:rsidRPr="007F771D">
        <w:rPr>
          <w:rFonts w:asciiTheme="minorHAnsi" w:hAnsiTheme="minorHAnsi"/>
          <w:color w:val="auto"/>
          <w:szCs w:val="24"/>
        </w:rPr>
        <w:t>The Service treatment record contained multiple orthopedic entries wit</w:t>
      </w:r>
      <w:r w:rsidRPr="00702CA3">
        <w:rPr>
          <w:rFonts w:asciiTheme="minorHAnsi" w:hAnsiTheme="minorHAnsi"/>
          <w:color w:val="auto"/>
          <w:szCs w:val="24"/>
        </w:rPr>
        <w:t xml:space="preserve">hin one year </w:t>
      </w:r>
      <w:r>
        <w:rPr>
          <w:rFonts w:asciiTheme="minorHAnsi" w:hAnsiTheme="minorHAnsi"/>
          <w:color w:val="auto"/>
          <w:szCs w:val="24"/>
        </w:rPr>
        <w:t xml:space="preserve">of separation (for brevity not included in above chart).  ROMs were mildly reduced </w:t>
      </w:r>
      <w:r w:rsidR="00AD77FB" w:rsidRPr="00F63046">
        <w:rPr>
          <w:rFonts w:asciiTheme="minorHAnsi" w:hAnsiTheme="minorHAnsi"/>
          <w:color w:val="auto"/>
          <w:szCs w:val="24"/>
        </w:rPr>
        <w:t xml:space="preserve">(non-compensable </w:t>
      </w:r>
      <w:r w:rsidR="006F0CB8">
        <w:rPr>
          <w:rFonts w:asciiTheme="minorHAnsi" w:hAnsiTheme="minorHAnsi"/>
          <w:color w:val="auto"/>
          <w:szCs w:val="24"/>
        </w:rPr>
        <w:t>under specific knee ROM coding</w:t>
      </w:r>
      <w:r w:rsidR="00AD77FB" w:rsidRPr="00F63046">
        <w:rPr>
          <w:rFonts w:asciiTheme="minorHAnsi" w:hAnsiTheme="minorHAnsi"/>
          <w:color w:val="auto"/>
          <w:szCs w:val="24"/>
        </w:rPr>
        <w:t>)</w:t>
      </w:r>
      <w:r w:rsidR="00AD77FB">
        <w:rPr>
          <w:rFonts w:asciiTheme="minorHAnsi" w:hAnsiTheme="minorHAnsi"/>
          <w:color w:val="auto"/>
          <w:szCs w:val="24"/>
        </w:rPr>
        <w:t xml:space="preserve">, but significant knee pathology </w:t>
      </w:r>
      <w:r w:rsidR="00035A1C">
        <w:rPr>
          <w:rFonts w:asciiTheme="minorHAnsi" w:hAnsiTheme="minorHAnsi"/>
          <w:color w:val="auto"/>
          <w:szCs w:val="24"/>
        </w:rPr>
        <w:t xml:space="preserve">was </w:t>
      </w:r>
      <w:r w:rsidR="00AD77FB">
        <w:rPr>
          <w:rFonts w:asciiTheme="minorHAnsi" w:hAnsiTheme="minorHAnsi"/>
          <w:color w:val="auto"/>
          <w:szCs w:val="24"/>
        </w:rPr>
        <w:t xml:space="preserve">documented, including palpable osteophytes, crepitus, effusion, joint line tenderness, and a </w:t>
      </w:r>
      <w:r w:rsidR="00AD77FB">
        <w:rPr>
          <w:rFonts w:asciiTheme="minorHAnsi" w:hAnsiTheme="minorHAnsi"/>
          <w:color w:val="auto"/>
          <w:szCs w:val="24"/>
        </w:rPr>
        <w:lastRenderedPageBreak/>
        <w:t xml:space="preserve">history of locking/catching.  In an outpatient </w:t>
      </w:r>
      <w:r w:rsidR="00192D61">
        <w:rPr>
          <w:rFonts w:asciiTheme="minorHAnsi" w:hAnsiTheme="minorHAnsi"/>
          <w:color w:val="auto"/>
          <w:szCs w:val="24"/>
        </w:rPr>
        <w:t>entry 10 months pr</w:t>
      </w:r>
      <w:r w:rsidR="007042CA">
        <w:rPr>
          <w:rFonts w:asciiTheme="minorHAnsi" w:hAnsiTheme="minorHAnsi"/>
          <w:color w:val="auto"/>
          <w:szCs w:val="24"/>
        </w:rPr>
        <w:t xml:space="preserve">ior to </w:t>
      </w:r>
      <w:r w:rsidR="00192D61">
        <w:rPr>
          <w:rFonts w:asciiTheme="minorHAnsi" w:hAnsiTheme="minorHAnsi"/>
          <w:color w:val="auto"/>
          <w:szCs w:val="24"/>
        </w:rPr>
        <w:t>separation, the CI’s</w:t>
      </w:r>
      <w:r w:rsidR="00AD77FB">
        <w:rPr>
          <w:rFonts w:asciiTheme="minorHAnsi" w:hAnsiTheme="minorHAnsi"/>
          <w:color w:val="auto"/>
          <w:szCs w:val="24"/>
        </w:rPr>
        <w:t xml:space="preserve"> MEB orthopedist stated</w:t>
      </w:r>
      <w:r w:rsidR="00192D61">
        <w:rPr>
          <w:rFonts w:asciiTheme="minorHAnsi" w:hAnsiTheme="minorHAnsi"/>
          <w:color w:val="auto"/>
          <w:szCs w:val="24"/>
        </w:rPr>
        <w:t xml:space="preserve"> “</w:t>
      </w:r>
      <w:r w:rsidR="00192D61" w:rsidRPr="003026E4">
        <w:rPr>
          <w:rFonts w:asciiTheme="minorHAnsi" w:hAnsiTheme="minorHAnsi"/>
          <w:color w:val="auto"/>
          <w:szCs w:val="24"/>
        </w:rPr>
        <w:t xml:space="preserve">he will likely require an HTO [high </w:t>
      </w:r>
      <w:proofErr w:type="spellStart"/>
      <w:r w:rsidR="00192D61" w:rsidRPr="003026E4">
        <w:rPr>
          <w:rFonts w:asciiTheme="minorHAnsi" w:hAnsiTheme="minorHAnsi"/>
          <w:color w:val="auto"/>
          <w:szCs w:val="24"/>
        </w:rPr>
        <w:t>tibial</w:t>
      </w:r>
      <w:proofErr w:type="spellEnd"/>
      <w:r w:rsidR="00192D61" w:rsidRPr="003026E4">
        <w:rPr>
          <w:rFonts w:asciiTheme="minorHAnsi" w:hAnsiTheme="minorHAnsi"/>
          <w:color w:val="auto"/>
          <w:szCs w:val="24"/>
        </w:rPr>
        <w:t xml:space="preserve"> </w:t>
      </w:r>
      <w:proofErr w:type="spellStart"/>
      <w:r w:rsidR="00192D61" w:rsidRPr="003026E4">
        <w:rPr>
          <w:rFonts w:asciiTheme="minorHAnsi" w:hAnsiTheme="minorHAnsi"/>
          <w:color w:val="auto"/>
          <w:szCs w:val="24"/>
        </w:rPr>
        <w:t>osteotomy</w:t>
      </w:r>
      <w:proofErr w:type="spellEnd"/>
      <w:r w:rsidR="00192D61" w:rsidRPr="003026E4">
        <w:rPr>
          <w:rFonts w:asciiTheme="minorHAnsi" w:hAnsiTheme="minorHAnsi"/>
          <w:color w:val="auto"/>
          <w:szCs w:val="24"/>
        </w:rPr>
        <w:t xml:space="preserve">] in the near future,” and he recommended an arthroscopy to assess for loose bodies (suggested on radiographs 11 months </w:t>
      </w:r>
      <w:r w:rsidR="007042CA">
        <w:rPr>
          <w:rFonts w:asciiTheme="minorHAnsi" w:hAnsiTheme="minorHAnsi"/>
          <w:color w:val="auto"/>
          <w:szCs w:val="24"/>
        </w:rPr>
        <w:t xml:space="preserve">prior to </w:t>
      </w:r>
      <w:r w:rsidR="00192D61" w:rsidRPr="003026E4">
        <w:rPr>
          <w:rFonts w:asciiTheme="minorHAnsi" w:hAnsiTheme="minorHAnsi"/>
          <w:color w:val="auto"/>
          <w:szCs w:val="24"/>
        </w:rPr>
        <w:t>separation).  At a follow</w:t>
      </w:r>
      <w:r w:rsidR="006F0CB8" w:rsidRPr="003026E4">
        <w:rPr>
          <w:rFonts w:asciiTheme="minorHAnsi" w:hAnsiTheme="minorHAnsi"/>
          <w:color w:val="auto"/>
          <w:szCs w:val="24"/>
        </w:rPr>
        <w:t>-</w:t>
      </w:r>
      <w:r w:rsidR="00192D61" w:rsidRPr="003026E4">
        <w:rPr>
          <w:rFonts w:asciiTheme="minorHAnsi" w:hAnsiTheme="minorHAnsi"/>
          <w:color w:val="auto"/>
          <w:szCs w:val="24"/>
        </w:rPr>
        <w:t>up visit two months later, the examiner documented that the CI did not desire the surgery, “even though</w:t>
      </w:r>
      <w:r w:rsidR="00192D61">
        <w:rPr>
          <w:rFonts w:asciiTheme="minorHAnsi" w:hAnsiTheme="minorHAnsi"/>
          <w:color w:val="auto"/>
          <w:szCs w:val="24"/>
        </w:rPr>
        <w:t xml:space="preserve"> symptoms are getting worse.”</w:t>
      </w:r>
    </w:p>
    <w:p w:rsidR="00171718" w:rsidRDefault="00171718" w:rsidP="00F96663">
      <w:pPr>
        <w:jc w:val="both"/>
        <w:rPr>
          <w:rFonts w:asciiTheme="minorHAnsi" w:hAnsiTheme="minorHAnsi"/>
          <w:color w:val="auto"/>
          <w:szCs w:val="24"/>
        </w:rPr>
      </w:pPr>
    </w:p>
    <w:p w:rsidR="00171718" w:rsidRDefault="003A3A53" w:rsidP="00F96663">
      <w:pPr>
        <w:jc w:val="both"/>
        <w:rPr>
          <w:color w:val="000000" w:themeColor="text1"/>
          <w:szCs w:val="24"/>
          <w:u w:val="single"/>
        </w:rPr>
      </w:pPr>
      <w:r w:rsidRPr="00F63046">
        <w:rPr>
          <w:rFonts w:asciiTheme="minorHAnsi" w:hAnsiTheme="minorHAnsi"/>
          <w:color w:val="auto"/>
          <w:szCs w:val="24"/>
        </w:rPr>
        <w:t xml:space="preserve">The </w:t>
      </w:r>
      <w:r>
        <w:rPr>
          <w:rFonts w:asciiTheme="minorHAnsi" w:hAnsiTheme="minorHAnsi"/>
          <w:color w:val="auto"/>
          <w:szCs w:val="24"/>
        </w:rPr>
        <w:t xml:space="preserve">narrative </w:t>
      </w:r>
      <w:r w:rsidRPr="003026E4">
        <w:rPr>
          <w:rFonts w:asciiTheme="minorHAnsi" w:hAnsiTheme="minorHAnsi"/>
          <w:color w:val="auto"/>
          <w:szCs w:val="24"/>
        </w:rPr>
        <w:t xml:space="preserve">summary (NARSUM), dated four months </w:t>
      </w:r>
      <w:r w:rsidR="007042CA">
        <w:rPr>
          <w:rFonts w:asciiTheme="minorHAnsi" w:hAnsiTheme="minorHAnsi"/>
          <w:color w:val="auto"/>
          <w:szCs w:val="24"/>
        </w:rPr>
        <w:t xml:space="preserve">prior to </w:t>
      </w:r>
      <w:r w:rsidRPr="003026E4">
        <w:rPr>
          <w:rFonts w:asciiTheme="minorHAnsi" w:hAnsiTheme="minorHAnsi"/>
          <w:color w:val="auto"/>
          <w:szCs w:val="24"/>
        </w:rPr>
        <w:t>separation, documented mild ROM limitations wit</w:t>
      </w:r>
      <w:r w:rsidR="005355C6" w:rsidRPr="003026E4">
        <w:rPr>
          <w:rFonts w:asciiTheme="minorHAnsi" w:hAnsiTheme="minorHAnsi"/>
          <w:color w:val="auto"/>
          <w:szCs w:val="24"/>
        </w:rPr>
        <w:t xml:space="preserve">h a </w:t>
      </w:r>
      <w:proofErr w:type="spellStart"/>
      <w:r w:rsidR="005355C6" w:rsidRPr="003026E4">
        <w:rPr>
          <w:rFonts w:asciiTheme="minorHAnsi" w:hAnsiTheme="minorHAnsi"/>
          <w:color w:val="auto"/>
          <w:szCs w:val="24"/>
        </w:rPr>
        <w:t>varus</w:t>
      </w:r>
      <w:proofErr w:type="spellEnd"/>
      <w:r w:rsidR="005355C6" w:rsidRPr="003026E4">
        <w:rPr>
          <w:rFonts w:asciiTheme="minorHAnsi" w:hAnsiTheme="minorHAnsi"/>
          <w:color w:val="auto"/>
          <w:szCs w:val="24"/>
        </w:rPr>
        <w:t xml:space="preserve"> deformity, palpable femoral osteophytes, </w:t>
      </w:r>
      <w:r w:rsidR="00D270FE" w:rsidRPr="003026E4">
        <w:rPr>
          <w:rFonts w:asciiTheme="minorHAnsi" w:hAnsiTheme="minorHAnsi"/>
          <w:color w:val="auto"/>
          <w:szCs w:val="24"/>
        </w:rPr>
        <w:t xml:space="preserve">patellofemoral </w:t>
      </w:r>
      <w:r w:rsidR="005355C6" w:rsidRPr="003026E4">
        <w:rPr>
          <w:rFonts w:asciiTheme="minorHAnsi" w:hAnsiTheme="minorHAnsi"/>
          <w:color w:val="auto"/>
          <w:szCs w:val="24"/>
        </w:rPr>
        <w:t xml:space="preserve">crepitus, </w:t>
      </w:r>
      <w:r w:rsidR="00D270FE" w:rsidRPr="003026E4">
        <w:rPr>
          <w:rFonts w:asciiTheme="minorHAnsi" w:hAnsiTheme="minorHAnsi"/>
          <w:color w:val="auto"/>
          <w:szCs w:val="24"/>
        </w:rPr>
        <w:t>a mildly positive patellar grind, tenderness of the patella and medial joint line</w:t>
      </w:r>
      <w:r w:rsidR="005355C6" w:rsidRPr="003026E4">
        <w:rPr>
          <w:rFonts w:asciiTheme="minorHAnsi" w:hAnsiTheme="minorHAnsi"/>
          <w:color w:val="auto"/>
          <w:szCs w:val="24"/>
        </w:rPr>
        <w:t xml:space="preserve">, and a well-healed surgical scar.  There was no instability (including </w:t>
      </w:r>
      <w:proofErr w:type="spellStart"/>
      <w:r w:rsidR="005355C6" w:rsidRPr="003026E4">
        <w:rPr>
          <w:rFonts w:asciiTheme="minorHAnsi" w:hAnsiTheme="minorHAnsi"/>
          <w:color w:val="auto"/>
          <w:szCs w:val="24"/>
        </w:rPr>
        <w:t>Lachman’s</w:t>
      </w:r>
      <w:proofErr w:type="spellEnd"/>
      <w:r w:rsidR="005355C6" w:rsidRPr="003026E4">
        <w:rPr>
          <w:rFonts w:asciiTheme="minorHAnsi" w:hAnsiTheme="minorHAnsi"/>
          <w:color w:val="auto"/>
          <w:szCs w:val="24"/>
        </w:rPr>
        <w:t>), and McMurray’s test was negative.</w:t>
      </w:r>
      <w:r w:rsidR="00D270FE" w:rsidRPr="003026E4">
        <w:rPr>
          <w:rFonts w:asciiTheme="minorHAnsi" w:hAnsiTheme="minorHAnsi"/>
          <w:color w:val="auto"/>
          <w:szCs w:val="24"/>
        </w:rPr>
        <w:t xml:space="preserve">  The examiner reported a history of increasing knee pain </w:t>
      </w:r>
      <w:r w:rsidR="006F0CB8" w:rsidRPr="003026E4">
        <w:rPr>
          <w:rFonts w:asciiTheme="minorHAnsi" w:hAnsiTheme="minorHAnsi"/>
          <w:color w:val="auto"/>
          <w:szCs w:val="24"/>
        </w:rPr>
        <w:t xml:space="preserve">with </w:t>
      </w:r>
      <w:r w:rsidR="00D270FE" w:rsidRPr="003026E4">
        <w:rPr>
          <w:rFonts w:asciiTheme="minorHAnsi" w:hAnsiTheme="minorHAnsi"/>
          <w:color w:val="auto"/>
          <w:szCs w:val="24"/>
        </w:rPr>
        <w:t>“occasional catching symptoms.”</w:t>
      </w:r>
      <w:r w:rsidR="00F96663" w:rsidRPr="003026E4">
        <w:rPr>
          <w:rFonts w:asciiTheme="minorHAnsi" w:hAnsiTheme="minorHAnsi"/>
          <w:color w:val="auto"/>
          <w:szCs w:val="24"/>
        </w:rPr>
        <w:t xml:space="preserve">  Knee radiographs revealed </w:t>
      </w:r>
      <w:r w:rsidR="0080058D" w:rsidRPr="003026E4">
        <w:rPr>
          <w:rFonts w:asciiTheme="minorHAnsi" w:hAnsiTheme="minorHAnsi"/>
          <w:color w:val="auto"/>
          <w:szCs w:val="24"/>
        </w:rPr>
        <w:t>degenerative changes (</w:t>
      </w:r>
      <w:r w:rsidR="00F96663" w:rsidRPr="003026E4">
        <w:rPr>
          <w:rFonts w:asciiTheme="minorHAnsi" w:hAnsiTheme="minorHAnsi"/>
          <w:color w:val="auto"/>
          <w:szCs w:val="24"/>
        </w:rPr>
        <w:t xml:space="preserve">femoral and patellar osteophytes and “significant narrowing of the medial compartment with </w:t>
      </w:r>
      <w:proofErr w:type="spellStart"/>
      <w:r w:rsidR="00F96663" w:rsidRPr="003026E4">
        <w:rPr>
          <w:rFonts w:asciiTheme="minorHAnsi" w:hAnsiTheme="minorHAnsi"/>
          <w:color w:val="auto"/>
          <w:szCs w:val="24"/>
        </w:rPr>
        <w:t>osteophyte</w:t>
      </w:r>
      <w:proofErr w:type="spellEnd"/>
      <w:r w:rsidR="00F96663" w:rsidRPr="003026E4">
        <w:rPr>
          <w:rFonts w:asciiTheme="minorHAnsi" w:hAnsiTheme="minorHAnsi"/>
          <w:color w:val="auto"/>
          <w:szCs w:val="24"/>
        </w:rPr>
        <w:t xml:space="preserve"> formation and </w:t>
      </w:r>
      <w:proofErr w:type="spellStart"/>
      <w:r w:rsidR="00F96663" w:rsidRPr="003026E4">
        <w:rPr>
          <w:rFonts w:asciiTheme="minorHAnsi" w:hAnsiTheme="minorHAnsi"/>
          <w:color w:val="auto"/>
          <w:szCs w:val="24"/>
        </w:rPr>
        <w:t>subchondral</w:t>
      </w:r>
      <w:proofErr w:type="spellEnd"/>
      <w:r w:rsidR="00F96663" w:rsidRPr="003026E4">
        <w:rPr>
          <w:rFonts w:asciiTheme="minorHAnsi" w:hAnsiTheme="minorHAnsi"/>
          <w:color w:val="auto"/>
          <w:szCs w:val="24"/>
        </w:rPr>
        <w:t xml:space="preserve"> sclerosis”</w:t>
      </w:r>
      <w:r w:rsidR="0080058D" w:rsidRPr="003026E4">
        <w:rPr>
          <w:rFonts w:asciiTheme="minorHAnsi" w:hAnsiTheme="minorHAnsi"/>
          <w:color w:val="auto"/>
          <w:szCs w:val="24"/>
        </w:rPr>
        <w:t>) and a possible loose body.</w:t>
      </w:r>
      <w:r w:rsidR="00F96663" w:rsidRPr="003026E4">
        <w:rPr>
          <w:rFonts w:asciiTheme="minorHAnsi" w:hAnsiTheme="minorHAnsi"/>
          <w:color w:val="auto"/>
          <w:szCs w:val="24"/>
        </w:rPr>
        <w:t xml:space="preserve">  </w:t>
      </w:r>
      <w:r w:rsidR="00171718" w:rsidRPr="003026E4">
        <w:rPr>
          <w:rFonts w:asciiTheme="minorHAnsi" w:hAnsiTheme="minorHAnsi"/>
          <w:color w:val="auto"/>
          <w:szCs w:val="24"/>
        </w:rPr>
        <w:t xml:space="preserve">An orthopedic outpatient entry at three months </w:t>
      </w:r>
      <w:r w:rsidR="007042CA">
        <w:rPr>
          <w:rFonts w:asciiTheme="minorHAnsi" w:hAnsiTheme="minorHAnsi"/>
          <w:color w:val="auto"/>
          <w:szCs w:val="24"/>
        </w:rPr>
        <w:t xml:space="preserve">prior to </w:t>
      </w:r>
      <w:r w:rsidR="00171718" w:rsidRPr="003026E4">
        <w:rPr>
          <w:rFonts w:asciiTheme="minorHAnsi" w:hAnsiTheme="minorHAnsi"/>
          <w:color w:val="auto"/>
          <w:szCs w:val="24"/>
        </w:rPr>
        <w:t xml:space="preserve">separation stated the CI experienced increased pain and effusion due to moving over the previous two to three weeks.  Exam revealed reduced knee flexion (100°), “3+ </w:t>
      </w:r>
      <w:proofErr w:type="gramStart"/>
      <w:r w:rsidR="00171718" w:rsidRPr="003026E4">
        <w:rPr>
          <w:rFonts w:asciiTheme="minorHAnsi" w:hAnsiTheme="minorHAnsi"/>
          <w:color w:val="auto"/>
          <w:szCs w:val="24"/>
        </w:rPr>
        <w:t>effusion</w:t>
      </w:r>
      <w:proofErr w:type="gramEnd"/>
      <w:r w:rsidR="00171718" w:rsidRPr="003026E4">
        <w:rPr>
          <w:rFonts w:asciiTheme="minorHAnsi" w:hAnsiTheme="minorHAnsi"/>
          <w:color w:val="auto"/>
          <w:szCs w:val="24"/>
        </w:rPr>
        <w:t xml:space="preserve">,” and tenderness over the medial joint line and lateral </w:t>
      </w:r>
      <w:proofErr w:type="spellStart"/>
      <w:r w:rsidR="00171718" w:rsidRPr="003026E4">
        <w:rPr>
          <w:rFonts w:asciiTheme="minorHAnsi" w:hAnsiTheme="minorHAnsi"/>
          <w:color w:val="auto"/>
          <w:szCs w:val="24"/>
        </w:rPr>
        <w:t>epicondyle</w:t>
      </w:r>
      <w:proofErr w:type="spellEnd"/>
      <w:r w:rsidR="00171718" w:rsidRPr="003026E4">
        <w:rPr>
          <w:rFonts w:asciiTheme="minorHAnsi" w:hAnsiTheme="minorHAnsi"/>
          <w:color w:val="auto"/>
          <w:szCs w:val="24"/>
        </w:rPr>
        <w:t>.  The examiner aspirated 30 ml of normal joint fluid and injected a local anesthetic and corticosteroid, which provided immediate pain relief.</w:t>
      </w:r>
      <w:r w:rsidR="00171718">
        <w:rPr>
          <w:rFonts w:asciiTheme="minorHAnsi" w:hAnsiTheme="minorHAnsi"/>
          <w:color w:val="auto"/>
          <w:szCs w:val="24"/>
        </w:rPr>
        <w:t xml:space="preserve">  </w:t>
      </w:r>
    </w:p>
    <w:p w:rsidR="00B57793" w:rsidRDefault="00B57793" w:rsidP="00D270FE">
      <w:pPr>
        <w:jc w:val="both"/>
        <w:rPr>
          <w:color w:val="000000" w:themeColor="text1"/>
          <w:szCs w:val="24"/>
          <w:u w:val="single"/>
        </w:rPr>
      </w:pPr>
    </w:p>
    <w:p w:rsidR="00B57793" w:rsidRDefault="006F0CB8" w:rsidP="00D270FE">
      <w:pPr>
        <w:jc w:val="both"/>
        <w:rPr>
          <w:rFonts w:asciiTheme="minorHAnsi" w:hAnsiTheme="minorHAnsi"/>
          <w:color w:val="auto"/>
          <w:szCs w:val="24"/>
        </w:rPr>
      </w:pPr>
      <w:r w:rsidRPr="003026E4">
        <w:rPr>
          <w:rFonts w:asciiTheme="minorHAnsi" w:hAnsiTheme="minorHAnsi"/>
          <w:color w:val="auto"/>
          <w:szCs w:val="24"/>
        </w:rPr>
        <w:t>The</w:t>
      </w:r>
      <w:r w:rsidR="003A3A53" w:rsidRPr="003026E4">
        <w:rPr>
          <w:rFonts w:asciiTheme="minorHAnsi" w:hAnsiTheme="minorHAnsi"/>
          <w:color w:val="auto"/>
          <w:szCs w:val="24"/>
        </w:rPr>
        <w:t xml:space="preserve"> VA exam</w:t>
      </w:r>
      <w:r w:rsidR="003A3A53" w:rsidRPr="003026E4">
        <w:rPr>
          <w:rFonts w:asciiTheme="minorHAnsi" w:hAnsiTheme="minorHAnsi"/>
          <w:i/>
          <w:color w:val="auto"/>
          <w:sz w:val="20"/>
          <w:szCs w:val="24"/>
        </w:rPr>
        <w:t>,</w:t>
      </w:r>
      <w:r w:rsidR="003A3A53" w:rsidRPr="003026E4">
        <w:rPr>
          <w:rFonts w:asciiTheme="minorHAnsi" w:hAnsiTheme="minorHAnsi"/>
          <w:color w:val="auto"/>
          <w:sz w:val="20"/>
          <w:szCs w:val="24"/>
        </w:rPr>
        <w:t xml:space="preserve"> </w:t>
      </w:r>
      <w:r w:rsidR="00D270FE" w:rsidRPr="003026E4">
        <w:rPr>
          <w:rFonts w:asciiTheme="minorHAnsi" w:hAnsiTheme="minorHAnsi"/>
          <w:color w:val="auto"/>
          <w:szCs w:val="24"/>
        </w:rPr>
        <w:t>eleven</w:t>
      </w:r>
      <w:r w:rsidR="003A3A53" w:rsidRPr="003026E4">
        <w:rPr>
          <w:rFonts w:asciiTheme="minorHAnsi" w:hAnsiTheme="minorHAnsi"/>
          <w:color w:val="auto"/>
          <w:szCs w:val="24"/>
        </w:rPr>
        <w:t xml:space="preserve"> days </w:t>
      </w:r>
      <w:r w:rsidR="007042CA">
        <w:rPr>
          <w:rFonts w:asciiTheme="minorHAnsi" w:hAnsiTheme="minorHAnsi"/>
          <w:color w:val="auto"/>
          <w:szCs w:val="24"/>
        </w:rPr>
        <w:t xml:space="preserve">prior to </w:t>
      </w:r>
      <w:r w:rsidR="003A3A53" w:rsidRPr="003026E4">
        <w:rPr>
          <w:rFonts w:asciiTheme="minorHAnsi" w:hAnsiTheme="minorHAnsi"/>
          <w:color w:val="auto"/>
          <w:szCs w:val="24"/>
        </w:rPr>
        <w:t>separation, revealed decre</w:t>
      </w:r>
      <w:r w:rsidR="00035A1C" w:rsidRPr="003026E4">
        <w:rPr>
          <w:rFonts w:asciiTheme="minorHAnsi" w:hAnsiTheme="minorHAnsi"/>
          <w:color w:val="auto"/>
          <w:szCs w:val="24"/>
        </w:rPr>
        <w:t>ased</w:t>
      </w:r>
      <w:r w:rsidR="003A3A53" w:rsidRPr="003026E4">
        <w:rPr>
          <w:rFonts w:asciiTheme="minorHAnsi" w:hAnsiTheme="minorHAnsi"/>
          <w:color w:val="auto"/>
          <w:szCs w:val="24"/>
        </w:rPr>
        <w:t xml:space="preserve"> knee flexion (non-compensable </w:t>
      </w:r>
      <w:r w:rsidRPr="003026E4">
        <w:rPr>
          <w:rFonts w:asciiTheme="minorHAnsi" w:hAnsiTheme="minorHAnsi"/>
          <w:color w:val="auto"/>
          <w:szCs w:val="24"/>
        </w:rPr>
        <w:t>under specific knee ROM coding</w:t>
      </w:r>
      <w:r w:rsidR="003A3A53" w:rsidRPr="003026E4">
        <w:rPr>
          <w:rFonts w:asciiTheme="minorHAnsi" w:hAnsiTheme="minorHAnsi"/>
          <w:color w:val="auto"/>
          <w:szCs w:val="24"/>
        </w:rPr>
        <w:t xml:space="preserve">), </w:t>
      </w:r>
      <w:r w:rsidR="00D270FE" w:rsidRPr="003026E4">
        <w:rPr>
          <w:rFonts w:asciiTheme="minorHAnsi" w:hAnsiTheme="minorHAnsi"/>
          <w:color w:val="auto"/>
          <w:szCs w:val="24"/>
        </w:rPr>
        <w:t xml:space="preserve">with </w:t>
      </w:r>
      <w:r w:rsidR="00CF6E6E" w:rsidRPr="003026E4">
        <w:rPr>
          <w:rFonts w:asciiTheme="minorHAnsi" w:hAnsiTheme="minorHAnsi"/>
          <w:color w:val="auto"/>
          <w:szCs w:val="24"/>
        </w:rPr>
        <w:t xml:space="preserve">painful motion, </w:t>
      </w:r>
      <w:proofErr w:type="spellStart"/>
      <w:r w:rsidR="00CF6E6E" w:rsidRPr="003026E4">
        <w:rPr>
          <w:rFonts w:asciiTheme="minorHAnsi" w:hAnsiTheme="minorHAnsi"/>
          <w:color w:val="auto"/>
          <w:szCs w:val="24"/>
        </w:rPr>
        <w:t>crepitus</w:t>
      </w:r>
      <w:proofErr w:type="spellEnd"/>
      <w:r w:rsidR="00CF6E6E" w:rsidRPr="003026E4">
        <w:rPr>
          <w:rFonts w:asciiTheme="minorHAnsi" w:hAnsiTheme="minorHAnsi"/>
          <w:color w:val="auto"/>
          <w:szCs w:val="24"/>
        </w:rPr>
        <w:t xml:space="preserve">, and a </w:t>
      </w:r>
      <w:proofErr w:type="spellStart"/>
      <w:r w:rsidR="00CF6E6E" w:rsidRPr="003026E4">
        <w:rPr>
          <w:rFonts w:asciiTheme="minorHAnsi" w:hAnsiTheme="minorHAnsi"/>
          <w:color w:val="auto"/>
          <w:szCs w:val="24"/>
        </w:rPr>
        <w:t>nontender</w:t>
      </w:r>
      <w:proofErr w:type="spellEnd"/>
      <w:r w:rsidR="00CF6E6E" w:rsidRPr="003026E4">
        <w:rPr>
          <w:rFonts w:asciiTheme="minorHAnsi" w:hAnsiTheme="minorHAnsi"/>
          <w:color w:val="auto"/>
          <w:szCs w:val="24"/>
        </w:rPr>
        <w:t xml:space="preserve"> surgical scar.  There was no instability, and McMurray’s and patellar grind tests were negative.  </w:t>
      </w:r>
      <w:r w:rsidR="00255EF7" w:rsidRPr="003026E4">
        <w:rPr>
          <w:rFonts w:asciiTheme="minorHAnsi" w:hAnsiTheme="minorHAnsi"/>
          <w:color w:val="auto"/>
          <w:szCs w:val="24"/>
        </w:rPr>
        <w:t xml:space="preserve">There was no change in ROM or pain with repetition, and gait was normal.  </w:t>
      </w:r>
      <w:r w:rsidR="00702CA3" w:rsidRPr="003026E4">
        <w:rPr>
          <w:rFonts w:asciiTheme="minorHAnsi" w:hAnsiTheme="minorHAnsi"/>
          <w:color w:val="auto"/>
          <w:szCs w:val="24"/>
        </w:rPr>
        <w:t xml:space="preserve">There was a noted 5 degree </w:t>
      </w:r>
      <w:proofErr w:type="spellStart"/>
      <w:r w:rsidR="00702CA3" w:rsidRPr="003026E4">
        <w:rPr>
          <w:rFonts w:asciiTheme="minorHAnsi" w:hAnsiTheme="minorHAnsi"/>
          <w:color w:val="auto"/>
          <w:szCs w:val="24"/>
        </w:rPr>
        <w:t>valgus</w:t>
      </w:r>
      <w:proofErr w:type="spellEnd"/>
      <w:r w:rsidR="00702CA3" w:rsidRPr="003026E4">
        <w:rPr>
          <w:rFonts w:asciiTheme="minorHAnsi" w:hAnsiTheme="minorHAnsi"/>
          <w:color w:val="auto"/>
          <w:szCs w:val="24"/>
        </w:rPr>
        <w:t xml:space="preserve"> deformity with weight bearing.  </w:t>
      </w:r>
      <w:r w:rsidR="00255EF7" w:rsidRPr="003026E4">
        <w:rPr>
          <w:rFonts w:asciiTheme="minorHAnsi" w:hAnsiTheme="minorHAnsi"/>
          <w:color w:val="auto"/>
          <w:szCs w:val="24"/>
        </w:rPr>
        <w:t>During this exam, t</w:t>
      </w:r>
      <w:r w:rsidR="00CF6E6E" w:rsidRPr="003026E4">
        <w:rPr>
          <w:rFonts w:asciiTheme="minorHAnsi" w:hAnsiTheme="minorHAnsi"/>
          <w:color w:val="auto"/>
          <w:szCs w:val="24"/>
        </w:rPr>
        <w:t>he CI endorsed a history of locking and swelling</w:t>
      </w:r>
      <w:r w:rsidR="00702CA3" w:rsidRPr="003026E4">
        <w:rPr>
          <w:rFonts w:asciiTheme="minorHAnsi" w:hAnsiTheme="minorHAnsi"/>
          <w:color w:val="auto"/>
          <w:szCs w:val="24"/>
        </w:rPr>
        <w:t xml:space="preserve"> without specified frequency and “he feels it is unstable, but he has never fallen.” </w:t>
      </w:r>
      <w:r w:rsidR="00CF6E6E" w:rsidRPr="003026E4">
        <w:rPr>
          <w:rFonts w:asciiTheme="minorHAnsi" w:hAnsiTheme="minorHAnsi"/>
          <w:color w:val="auto"/>
          <w:szCs w:val="24"/>
        </w:rPr>
        <w:t xml:space="preserve"> </w:t>
      </w:r>
      <w:r w:rsidR="008C0DDF" w:rsidRPr="003026E4">
        <w:rPr>
          <w:rFonts w:asciiTheme="minorHAnsi" w:hAnsiTheme="minorHAnsi"/>
          <w:color w:val="auto"/>
          <w:szCs w:val="24"/>
        </w:rPr>
        <w:t>Radiographs showed degenerative changes (cartilage loss, spurring) in the medial compartment and patellofemoral joint.</w:t>
      </w:r>
      <w:r w:rsidRPr="003026E4">
        <w:rPr>
          <w:rFonts w:asciiTheme="minorHAnsi" w:hAnsiTheme="minorHAnsi"/>
          <w:color w:val="auto"/>
          <w:szCs w:val="24"/>
        </w:rPr>
        <w:t xml:space="preserve">  </w:t>
      </w:r>
      <w:r w:rsidR="000B1C2F" w:rsidRPr="003026E4">
        <w:rPr>
          <w:rFonts w:asciiTheme="minorHAnsi" w:hAnsiTheme="minorHAnsi"/>
          <w:color w:val="auto"/>
          <w:szCs w:val="24"/>
        </w:rPr>
        <w:t xml:space="preserve">The record indicated the CI underwent a second </w:t>
      </w:r>
      <w:r w:rsidRPr="003026E4">
        <w:rPr>
          <w:rFonts w:asciiTheme="minorHAnsi" w:hAnsiTheme="minorHAnsi"/>
          <w:color w:val="auto"/>
          <w:szCs w:val="24"/>
        </w:rPr>
        <w:t xml:space="preserve">left </w:t>
      </w:r>
      <w:r w:rsidR="000B1C2F" w:rsidRPr="003026E4">
        <w:rPr>
          <w:rFonts w:asciiTheme="minorHAnsi" w:hAnsiTheme="minorHAnsi"/>
          <w:color w:val="auto"/>
          <w:szCs w:val="24"/>
        </w:rPr>
        <w:t xml:space="preserve">knee surgery at 18 months </w:t>
      </w:r>
      <w:r w:rsidR="007042CA">
        <w:rPr>
          <w:rFonts w:asciiTheme="minorHAnsi" w:hAnsiTheme="minorHAnsi"/>
          <w:color w:val="auto"/>
          <w:szCs w:val="24"/>
        </w:rPr>
        <w:t xml:space="preserve">after </w:t>
      </w:r>
      <w:r w:rsidR="000B1C2F" w:rsidRPr="003026E4">
        <w:rPr>
          <w:rFonts w:asciiTheme="minorHAnsi" w:hAnsiTheme="minorHAnsi"/>
          <w:color w:val="auto"/>
          <w:szCs w:val="24"/>
        </w:rPr>
        <w:t xml:space="preserve">separation, which found a medial meniscal tear, a large (over one centimeter) loose body, an ACL tear, and </w:t>
      </w:r>
      <w:r w:rsidR="002822FC" w:rsidRPr="003026E4">
        <w:rPr>
          <w:rFonts w:asciiTheme="minorHAnsi" w:hAnsiTheme="minorHAnsi"/>
          <w:color w:val="auto"/>
          <w:szCs w:val="24"/>
        </w:rPr>
        <w:t>extensive degenerative changes (grade IV chondromalacia)</w:t>
      </w:r>
      <w:r w:rsidR="003A3A53" w:rsidRPr="003026E4">
        <w:rPr>
          <w:rFonts w:asciiTheme="minorHAnsi" w:hAnsiTheme="minorHAnsi"/>
          <w:color w:val="auto"/>
          <w:szCs w:val="24"/>
        </w:rPr>
        <w:t xml:space="preserve">.  </w:t>
      </w:r>
      <w:r w:rsidRPr="003026E4">
        <w:rPr>
          <w:rFonts w:asciiTheme="minorHAnsi" w:hAnsiTheme="minorHAnsi"/>
          <w:color w:val="auto"/>
          <w:szCs w:val="24"/>
        </w:rPr>
        <w:t>Post surgical recovery was good and the knee was re-</w:t>
      </w:r>
      <w:proofErr w:type="spellStart"/>
      <w:r w:rsidRPr="003026E4">
        <w:rPr>
          <w:rFonts w:asciiTheme="minorHAnsi" w:hAnsiTheme="minorHAnsi"/>
          <w:color w:val="auto"/>
          <w:szCs w:val="24"/>
        </w:rPr>
        <w:t>assesed</w:t>
      </w:r>
      <w:proofErr w:type="spellEnd"/>
      <w:r w:rsidRPr="003026E4">
        <w:rPr>
          <w:rFonts w:asciiTheme="minorHAnsi" w:hAnsiTheme="minorHAnsi"/>
          <w:color w:val="auto"/>
          <w:szCs w:val="24"/>
        </w:rPr>
        <w:t xml:space="preserve"> by the VA at 10% by later exam</w:t>
      </w:r>
      <w:r w:rsidR="00702CA3" w:rsidRPr="003026E4">
        <w:rPr>
          <w:rFonts w:asciiTheme="minorHAnsi" w:hAnsiTheme="minorHAnsi"/>
          <w:color w:val="auto"/>
          <w:szCs w:val="24"/>
        </w:rPr>
        <w:t>s</w:t>
      </w:r>
      <w:r w:rsidRPr="003026E4">
        <w:rPr>
          <w:rFonts w:asciiTheme="minorHAnsi" w:hAnsiTheme="minorHAnsi"/>
          <w:color w:val="auto"/>
          <w:szCs w:val="24"/>
        </w:rPr>
        <w:t xml:space="preserve"> and rating determinations.</w:t>
      </w:r>
      <w:r>
        <w:rPr>
          <w:rFonts w:asciiTheme="minorHAnsi" w:hAnsiTheme="minorHAnsi"/>
          <w:color w:val="auto"/>
          <w:szCs w:val="24"/>
        </w:rPr>
        <w:t xml:space="preserve">  </w:t>
      </w:r>
    </w:p>
    <w:p w:rsidR="00D270FE" w:rsidRDefault="00D270FE" w:rsidP="00D270FE">
      <w:pPr>
        <w:jc w:val="both"/>
        <w:rPr>
          <w:rFonts w:asciiTheme="minorHAnsi" w:hAnsiTheme="minorHAnsi"/>
          <w:color w:val="auto"/>
          <w:szCs w:val="24"/>
        </w:rPr>
      </w:pPr>
    </w:p>
    <w:p w:rsidR="008F71C7" w:rsidRPr="00821A21" w:rsidRDefault="00094968" w:rsidP="00167E6E">
      <w:pPr>
        <w:jc w:val="both"/>
        <w:rPr>
          <w:color w:val="000000" w:themeColor="text1"/>
          <w:szCs w:val="24"/>
        </w:rPr>
      </w:pPr>
      <w:r w:rsidRPr="003026E4">
        <w:rPr>
          <w:color w:val="000000" w:themeColor="text1"/>
          <w:szCs w:val="24"/>
        </w:rPr>
        <w:t xml:space="preserve">The Board considered rating options and the possibility of dual coding for the left knee condition. </w:t>
      </w:r>
      <w:r w:rsidR="00D37BE7" w:rsidRPr="003026E4">
        <w:rPr>
          <w:color w:val="000000" w:themeColor="text1"/>
          <w:szCs w:val="24"/>
        </w:rPr>
        <w:t xml:space="preserve"> Both</w:t>
      </w:r>
      <w:r w:rsidR="003A3A53" w:rsidRPr="003026E4">
        <w:rPr>
          <w:color w:val="000000" w:themeColor="text1"/>
          <w:szCs w:val="24"/>
        </w:rPr>
        <w:t xml:space="preserve"> exams proximate to separation noted an absence of ligament laxity or mechanical instability, so coding under 5257, for recurrent </w:t>
      </w:r>
      <w:proofErr w:type="spellStart"/>
      <w:r w:rsidR="003A3A53" w:rsidRPr="003026E4">
        <w:rPr>
          <w:color w:val="000000" w:themeColor="text1"/>
          <w:szCs w:val="24"/>
        </w:rPr>
        <w:t>subluxation</w:t>
      </w:r>
      <w:proofErr w:type="spellEnd"/>
      <w:r w:rsidR="003A3A53" w:rsidRPr="003026E4">
        <w:rPr>
          <w:color w:val="000000" w:themeColor="text1"/>
          <w:szCs w:val="24"/>
        </w:rPr>
        <w:t xml:space="preserve"> or lateral instability, was not warranted.  </w:t>
      </w:r>
      <w:proofErr w:type="spellStart"/>
      <w:r w:rsidR="008F71C7" w:rsidRPr="003026E4">
        <w:rPr>
          <w:color w:val="000000" w:themeColor="text1"/>
          <w:szCs w:val="24"/>
        </w:rPr>
        <w:t>Occacional</w:t>
      </w:r>
      <w:proofErr w:type="spellEnd"/>
      <w:r w:rsidR="008F71C7" w:rsidRPr="003026E4">
        <w:rPr>
          <w:color w:val="000000" w:themeColor="text1"/>
          <w:szCs w:val="24"/>
        </w:rPr>
        <w:t xml:space="preserve"> l</w:t>
      </w:r>
      <w:r w:rsidR="003A3A53" w:rsidRPr="003026E4">
        <w:rPr>
          <w:color w:val="000000" w:themeColor="text1"/>
          <w:szCs w:val="24"/>
        </w:rPr>
        <w:t xml:space="preserve">ocking </w:t>
      </w:r>
      <w:r w:rsidR="00D37BE7" w:rsidRPr="003026E4">
        <w:rPr>
          <w:color w:val="000000" w:themeColor="text1"/>
          <w:szCs w:val="24"/>
        </w:rPr>
        <w:t xml:space="preserve">or “catching” </w:t>
      </w:r>
      <w:r w:rsidR="003A3A53" w:rsidRPr="003026E4">
        <w:rPr>
          <w:color w:val="000000" w:themeColor="text1"/>
          <w:szCs w:val="24"/>
        </w:rPr>
        <w:t xml:space="preserve">of the left knee </w:t>
      </w:r>
      <w:r w:rsidR="006F0CB8" w:rsidRPr="003026E4">
        <w:rPr>
          <w:color w:val="000000" w:themeColor="text1"/>
          <w:szCs w:val="24"/>
        </w:rPr>
        <w:t xml:space="preserve">history </w:t>
      </w:r>
      <w:r w:rsidR="003A3A53" w:rsidRPr="003026E4">
        <w:rPr>
          <w:color w:val="000000" w:themeColor="text1"/>
          <w:szCs w:val="24"/>
        </w:rPr>
        <w:t xml:space="preserve">was noted </w:t>
      </w:r>
      <w:r w:rsidR="00FE3C08" w:rsidRPr="003026E4">
        <w:rPr>
          <w:color w:val="000000" w:themeColor="text1"/>
          <w:szCs w:val="24"/>
        </w:rPr>
        <w:t>by</w:t>
      </w:r>
      <w:r w:rsidR="00D37BE7" w:rsidRPr="003026E4">
        <w:rPr>
          <w:color w:val="000000" w:themeColor="text1"/>
          <w:szCs w:val="24"/>
        </w:rPr>
        <w:t xml:space="preserve"> both exam</w:t>
      </w:r>
      <w:r w:rsidR="00FE3C08" w:rsidRPr="003026E4">
        <w:rPr>
          <w:color w:val="000000" w:themeColor="text1"/>
          <w:szCs w:val="24"/>
        </w:rPr>
        <w:t>iner</w:t>
      </w:r>
      <w:r w:rsidR="00D37BE7" w:rsidRPr="003026E4">
        <w:rPr>
          <w:color w:val="000000" w:themeColor="text1"/>
          <w:szCs w:val="24"/>
        </w:rPr>
        <w:t xml:space="preserve">s proximate to separation, and </w:t>
      </w:r>
      <w:r w:rsidR="009161E8" w:rsidRPr="003026E4">
        <w:rPr>
          <w:color w:val="000000" w:themeColor="text1"/>
          <w:szCs w:val="24"/>
        </w:rPr>
        <w:t xml:space="preserve">in multiple (at least four) Service treatment record entries within a year of separation.  </w:t>
      </w:r>
      <w:r w:rsidR="00FE3C08" w:rsidRPr="003026E4">
        <w:rPr>
          <w:color w:val="000000" w:themeColor="text1"/>
          <w:szCs w:val="24"/>
        </w:rPr>
        <w:t>E</w:t>
      </w:r>
      <w:r w:rsidR="003A3A53" w:rsidRPr="003026E4">
        <w:rPr>
          <w:color w:val="000000" w:themeColor="text1"/>
          <w:szCs w:val="24"/>
        </w:rPr>
        <w:t xml:space="preserve">ffusions were </w:t>
      </w:r>
      <w:r w:rsidR="00EA10E2" w:rsidRPr="003026E4">
        <w:rPr>
          <w:color w:val="000000" w:themeColor="text1"/>
          <w:szCs w:val="24"/>
        </w:rPr>
        <w:t xml:space="preserve">not </w:t>
      </w:r>
      <w:r w:rsidR="003A3A53" w:rsidRPr="003026E4">
        <w:rPr>
          <w:color w:val="000000" w:themeColor="text1"/>
          <w:szCs w:val="24"/>
        </w:rPr>
        <w:t xml:space="preserve">noted </w:t>
      </w:r>
      <w:r w:rsidR="00EA10E2" w:rsidRPr="003026E4">
        <w:rPr>
          <w:color w:val="000000" w:themeColor="text1"/>
          <w:szCs w:val="24"/>
        </w:rPr>
        <w:t xml:space="preserve">in the NARSUM or VA exams, but were reported in three clinical entries in the Service medical record during the third month pre-separation.  Several entries noted </w:t>
      </w:r>
      <w:r w:rsidR="000B1C2F" w:rsidRPr="003026E4">
        <w:rPr>
          <w:color w:val="000000" w:themeColor="text1"/>
          <w:szCs w:val="24"/>
        </w:rPr>
        <w:t xml:space="preserve">medial joint line tenderness, and one noted </w:t>
      </w:r>
      <w:r w:rsidR="00EA10E2" w:rsidRPr="003026E4">
        <w:rPr>
          <w:color w:val="000000" w:themeColor="text1"/>
          <w:szCs w:val="24"/>
        </w:rPr>
        <w:t>positive</w:t>
      </w:r>
      <w:r w:rsidR="000B1C2F" w:rsidRPr="003026E4">
        <w:rPr>
          <w:color w:val="000000" w:themeColor="text1"/>
          <w:szCs w:val="24"/>
        </w:rPr>
        <w:t xml:space="preserve"> McMurray’s test (indications of meniscal tear).  </w:t>
      </w:r>
      <w:r w:rsidR="00FE3C08" w:rsidRPr="003026E4">
        <w:rPr>
          <w:color w:val="000000" w:themeColor="text1"/>
          <w:szCs w:val="24"/>
        </w:rPr>
        <w:t>C</w:t>
      </w:r>
      <w:r w:rsidR="003A3A53" w:rsidRPr="003026E4">
        <w:rPr>
          <w:color w:val="000000" w:themeColor="text1"/>
          <w:szCs w:val="24"/>
        </w:rPr>
        <w:t xml:space="preserve">oding under 5258, </w:t>
      </w:r>
      <w:r w:rsidR="00821A21" w:rsidRPr="003026E4">
        <w:rPr>
          <w:color w:val="000000" w:themeColor="text1"/>
          <w:szCs w:val="24"/>
        </w:rPr>
        <w:t xml:space="preserve">dislocated meniscus, </w:t>
      </w:r>
      <w:r w:rsidR="003A3A53" w:rsidRPr="003026E4">
        <w:rPr>
          <w:color w:val="000000" w:themeColor="text1"/>
          <w:szCs w:val="24"/>
        </w:rPr>
        <w:t xml:space="preserve">which requires “frequent episodes of ‘locking,’ pain, and effusion into the joint,” </w:t>
      </w:r>
      <w:r w:rsidR="00FE3C08" w:rsidRPr="003026E4">
        <w:rPr>
          <w:color w:val="000000" w:themeColor="text1"/>
          <w:szCs w:val="24"/>
        </w:rPr>
        <w:t>(</w:t>
      </w:r>
      <w:r w:rsidR="00821A21" w:rsidRPr="003026E4">
        <w:rPr>
          <w:color w:val="000000" w:themeColor="text1"/>
          <w:szCs w:val="24"/>
        </w:rPr>
        <w:t>20%</w:t>
      </w:r>
      <w:r w:rsidR="00FE3C08" w:rsidRPr="003026E4">
        <w:rPr>
          <w:color w:val="000000" w:themeColor="text1"/>
          <w:szCs w:val="24"/>
        </w:rPr>
        <w:t>), was not supported by the evidence</w:t>
      </w:r>
      <w:r w:rsidR="00EA10E2" w:rsidRPr="003026E4">
        <w:rPr>
          <w:color w:val="000000" w:themeColor="text1"/>
          <w:szCs w:val="24"/>
        </w:rPr>
        <w:t xml:space="preserve">.  The history of partial </w:t>
      </w:r>
      <w:proofErr w:type="spellStart"/>
      <w:r w:rsidR="00EA10E2" w:rsidRPr="003026E4">
        <w:rPr>
          <w:color w:val="000000" w:themeColor="text1"/>
          <w:szCs w:val="24"/>
        </w:rPr>
        <w:t>meniscectomy</w:t>
      </w:r>
      <w:proofErr w:type="spellEnd"/>
      <w:r w:rsidR="00EA10E2" w:rsidRPr="003026E4">
        <w:rPr>
          <w:color w:val="000000" w:themeColor="text1"/>
          <w:szCs w:val="24"/>
        </w:rPr>
        <w:t xml:space="preserve">, </w:t>
      </w:r>
      <w:r w:rsidR="00C72066" w:rsidRPr="003026E4">
        <w:rPr>
          <w:color w:val="000000" w:themeColor="text1"/>
          <w:szCs w:val="24"/>
        </w:rPr>
        <w:t>coupled with the documented meniscal symptoms (locking or “catching,” popping, effusions)</w:t>
      </w:r>
      <w:r w:rsidR="003A3A53" w:rsidRPr="003026E4">
        <w:rPr>
          <w:color w:val="000000" w:themeColor="text1"/>
          <w:szCs w:val="24"/>
        </w:rPr>
        <w:t>, s</w:t>
      </w:r>
      <w:r w:rsidR="00FE3C08" w:rsidRPr="003026E4">
        <w:rPr>
          <w:color w:val="000000" w:themeColor="text1"/>
          <w:szCs w:val="24"/>
        </w:rPr>
        <w:t xml:space="preserve">upported </w:t>
      </w:r>
      <w:r w:rsidR="003A3A53" w:rsidRPr="003026E4">
        <w:rPr>
          <w:color w:val="000000" w:themeColor="text1"/>
          <w:szCs w:val="24"/>
        </w:rPr>
        <w:t xml:space="preserve">the 5259 post-menisectomy code </w:t>
      </w:r>
      <w:r w:rsidR="00821A21" w:rsidRPr="003026E4">
        <w:rPr>
          <w:color w:val="000000" w:themeColor="text1"/>
          <w:szCs w:val="24"/>
        </w:rPr>
        <w:t xml:space="preserve">(10%) </w:t>
      </w:r>
      <w:r w:rsidR="003A3A53" w:rsidRPr="003026E4">
        <w:rPr>
          <w:color w:val="000000" w:themeColor="text1"/>
          <w:szCs w:val="24"/>
        </w:rPr>
        <w:t xml:space="preserve">coding option.  </w:t>
      </w:r>
      <w:r w:rsidR="008F71C7" w:rsidRPr="003026E4">
        <w:rPr>
          <w:color w:val="000000" w:themeColor="text1"/>
          <w:szCs w:val="24"/>
        </w:rPr>
        <w:t xml:space="preserve">This could be coupled with a </w:t>
      </w:r>
      <w:r w:rsidR="00FE3C08" w:rsidRPr="003026E4">
        <w:rPr>
          <w:color w:val="000000" w:themeColor="text1"/>
          <w:szCs w:val="24"/>
        </w:rPr>
        <w:t xml:space="preserve">separate </w:t>
      </w:r>
      <w:r w:rsidR="008F71C7" w:rsidRPr="003026E4">
        <w:rPr>
          <w:color w:val="000000" w:themeColor="text1"/>
          <w:szCs w:val="24"/>
        </w:rPr>
        <w:t xml:space="preserve">10% rating under 5003, degenerative arthritis, given the </w:t>
      </w:r>
      <w:r w:rsidR="00FE3C08" w:rsidRPr="003026E4">
        <w:rPr>
          <w:color w:val="000000" w:themeColor="text1"/>
          <w:szCs w:val="24"/>
        </w:rPr>
        <w:t>pain-</w:t>
      </w:r>
      <w:r w:rsidR="008F71C7" w:rsidRPr="003026E4">
        <w:rPr>
          <w:color w:val="000000" w:themeColor="text1"/>
          <w:szCs w:val="24"/>
        </w:rPr>
        <w:t xml:space="preserve">limited ROM and clinical and radiographic evidence.  </w:t>
      </w:r>
      <w:r w:rsidR="00C937CC" w:rsidRPr="003026E4">
        <w:rPr>
          <w:color w:val="000000" w:themeColor="text1"/>
          <w:szCs w:val="24"/>
        </w:rPr>
        <w:t xml:space="preserve">The PEB’s analogous coding to 5262 (impairment of tibia and fibula) </w:t>
      </w:r>
      <w:r w:rsidR="00FE3C08" w:rsidRPr="003026E4">
        <w:rPr>
          <w:color w:val="000000" w:themeColor="text1"/>
          <w:szCs w:val="24"/>
        </w:rPr>
        <w:t xml:space="preserve">considered both degenerative changes and meniscal symptoms and </w:t>
      </w:r>
      <w:r w:rsidR="00C937CC" w:rsidRPr="003026E4">
        <w:rPr>
          <w:color w:val="000000" w:themeColor="text1"/>
          <w:szCs w:val="24"/>
        </w:rPr>
        <w:t xml:space="preserve">was </w:t>
      </w:r>
      <w:r w:rsidR="00FE3C08" w:rsidRPr="003026E4">
        <w:rPr>
          <w:color w:val="000000" w:themeColor="text1"/>
          <w:szCs w:val="24"/>
        </w:rPr>
        <w:t>appropriate</w:t>
      </w:r>
      <w:r w:rsidR="00C937CC" w:rsidRPr="003026E4">
        <w:rPr>
          <w:color w:val="000000" w:themeColor="text1"/>
          <w:szCs w:val="24"/>
        </w:rPr>
        <w:t xml:space="preserve">; the Board considered </w:t>
      </w:r>
      <w:proofErr w:type="spellStart"/>
      <w:r w:rsidR="00C937CC" w:rsidRPr="003026E4">
        <w:rPr>
          <w:color w:val="000000" w:themeColor="text1"/>
          <w:szCs w:val="24"/>
        </w:rPr>
        <w:t>wheter</w:t>
      </w:r>
      <w:proofErr w:type="spellEnd"/>
      <w:r w:rsidR="00C937CC" w:rsidRPr="003026E4">
        <w:rPr>
          <w:color w:val="000000" w:themeColor="text1"/>
          <w:szCs w:val="24"/>
        </w:rPr>
        <w:t xml:space="preserve"> the CI’s knee disability would most </w:t>
      </w:r>
      <w:r w:rsidR="00FE3C08" w:rsidRPr="003026E4">
        <w:rPr>
          <w:color w:val="000000" w:themeColor="text1"/>
          <w:szCs w:val="24"/>
        </w:rPr>
        <w:t>closely</w:t>
      </w:r>
      <w:r w:rsidR="00C937CC" w:rsidRPr="003026E4">
        <w:rPr>
          <w:color w:val="000000" w:themeColor="text1"/>
          <w:szCs w:val="24"/>
        </w:rPr>
        <w:t xml:space="preserve"> be considered “moderate” (20%) or “marked” (30%).  </w:t>
      </w:r>
      <w:r w:rsidR="003A3A53" w:rsidRPr="003026E4">
        <w:rPr>
          <w:color w:val="000000" w:themeColor="text1"/>
          <w:szCs w:val="24"/>
        </w:rPr>
        <w:t>The Board determined that</w:t>
      </w:r>
      <w:r w:rsidR="008F71C7" w:rsidRPr="003026E4">
        <w:rPr>
          <w:color w:val="000000" w:themeColor="text1"/>
          <w:szCs w:val="24"/>
        </w:rPr>
        <w:t xml:space="preserve"> the preponderance of evidence favored a “moderate” </w:t>
      </w:r>
      <w:r w:rsidR="00167E6E" w:rsidRPr="003026E4">
        <w:rPr>
          <w:color w:val="000000" w:themeColor="text1"/>
          <w:szCs w:val="24"/>
        </w:rPr>
        <w:t xml:space="preserve">(20%) rating.  Although a combined </w:t>
      </w:r>
      <w:r w:rsidR="00FE3C08" w:rsidRPr="003026E4">
        <w:rPr>
          <w:color w:val="000000" w:themeColor="text1"/>
          <w:szCs w:val="24"/>
        </w:rPr>
        <w:t xml:space="preserve">coding of </w:t>
      </w:r>
      <w:r w:rsidR="00167E6E" w:rsidRPr="003026E4">
        <w:rPr>
          <w:color w:val="000000" w:themeColor="text1"/>
          <w:szCs w:val="24"/>
        </w:rPr>
        <w:t xml:space="preserve">5259 at 10% and 5003 at 10% was an option, </w:t>
      </w:r>
      <w:r w:rsidR="003A3A53" w:rsidRPr="003026E4">
        <w:rPr>
          <w:color w:val="000000" w:themeColor="text1"/>
          <w:szCs w:val="24"/>
        </w:rPr>
        <w:t xml:space="preserve">there </w:t>
      </w:r>
      <w:r w:rsidR="00167E6E" w:rsidRPr="003026E4">
        <w:rPr>
          <w:color w:val="000000" w:themeColor="text1"/>
          <w:szCs w:val="24"/>
        </w:rPr>
        <w:t>was</w:t>
      </w:r>
      <w:r w:rsidR="003A3A53" w:rsidRPr="003026E4">
        <w:rPr>
          <w:color w:val="000000" w:themeColor="text1"/>
          <w:szCs w:val="24"/>
        </w:rPr>
        <w:t xml:space="preserve"> no route to higher than a </w:t>
      </w:r>
      <w:r w:rsidR="00C937CC" w:rsidRPr="003026E4">
        <w:rPr>
          <w:color w:val="000000" w:themeColor="text1"/>
          <w:szCs w:val="24"/>
        </w:rPr>
        <w:t>2</w:t>
      </w:r>
      <w:r w:rsidR="003A3A53" w:rsidRPr="003026E4">
        <w:rPr>
          <w:color w:val="000000" w:themeColor="text1"/>
          <w:szCs w:val="24"/>
        </w:rPr>
        <w:t xml:space="preserve">0% rating under any other applicable codes.  </w:t>
      </w:r>
      <w:r w:rsidR="00167E6E" w:rsidRPr="003026E4">
        <w:rPr>
          <w:rFonts w:asciiTheme="minorHAnsi" w:hAnsiTheme="minorHAnsi"/>
          <w:color w:val="auto"/>
          <w:szCs w:val="24"/>
        </w:rPr>
        <w:t xml:space="preserve">All </w:t>
      </w:r>
      <w:r w:rsidR="00167E6E" w:rsidRPr="003026E4">
        <w:rPr>
          <w:rFonts w:asciiTheme="minorHAnsi" w:hAnsiTheme="minorHAnsi"/>
          <w:color w:val="auto"/>
          <w:szCs w:val="24"/>
        </w:rPr>
        <w:lastRenderedPageBreak/>
        <w:t>evidence considered</w:t>
      </w:r>
      <w:proofErr w:type="gramStart"/>
      <w:r w:rsidR="00167E6E" w:rsidRPr="003026E4">
        <w:rPr>
          <w:rFonts w:asciiTheme="minorHAnsi" w:hAnsiTheme="minorHAnsi"/>
          <w:color w:val="auto"/>
          <w:szCs w:val="24"/>
        </w:rPr>
        <w:t>,</w:t>
      </w:r>
      <w:proofErr w:type="gramEnd"/>
      <w:r w:rsidR="00167E6E" w:rsidRPr="003026E4">
        <w:rPr>
          <w:rFonts w:asciiTheme="minorHAnsi" w:hAnsiTheme="minorHAnsi"/>
          <w:color w:val="auto"/>
          <w:szCs w:val="24"/>
        </w:rPr>
        <w:t xml:space="preserve"> there is not </w:t>
      </w:r>
      <w:r w:rsidR="00FE3C08" w:rsidRPr="003026E4">
        <w:rPr>
          <w:rFonts w:asciiTheme="minorHAnsi" w:hAnsiTheme="minorHAnsi"/>
          <w:color w:val="auto"/>
          <w:szCs w:val="24"/>
        </w:rPr>
        <w:t>sufficient reasonable doubt</w:t>
      </w:r>
      <w:r w:rsidR="00167E6E" w:rsidRPr="003026E4">
        <w:rPr>
          <w:rFonts w:asciiTheme="minorHAnsi" w:hAnsiTheme="minorHAnsi"/>
          <w:color w:val="auto"/>
          <w:szCs w:val="24"/>
        </w:rPr>
        <w:t xml:space="preserve"> in the CI’s favor supporting a change from the PEB’s rating decision for the left knee condition</w:t>
      </w:r>
      <w:r w:rsidR="00167E6E">
        <w:rPr>
          <w:rFonts w:asciiTheme="minorHAnsi" w:hAnsiTheme="minorHAnsi"/>
          <w:color w:val="auto"/>
          <w:szCs w:val="24"/>
        </w:rPr>
        <w:t xml:space="preserve">. </w:t>
      </w:r>
      <w:r w:rsidR="00167E6E" w:rsidRPr="00821A21">
        <w:rPr>
          <w:color w:val="000000" w:themeColor="text1"/>
          <w:szCs w:val="24"/>
        </w:rPr>
        <w:t xml:space="preserve"> </w:t>
      </w:r>
    </w:p>
    <w:p w:rsidR="00B57793" w:rsidRPr="00B57793" w:rsidRDefault="00B57793" w:rsidP="00EB4DF9">
      <w:pPr>
        <w:jc w:val="both"/>
        <w:rPr>
          <w:color w:val="000000" w:themeColor="text1"/>
          <w:szCs w:val="24"/>
        </w:rPr>
      </w:pPr>
    </w:p>
    <w:p w:rsidR="008C3223" w:rsidRPr="001F29F9" w:rsidRDefault="004C60A3" w:rsidP="00EB4DF9">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1131FB">
        <w:rPr>
          <w:color w:val="000000" w:themeColor="text1"/>
          <w:szCs w:val="24"/>
        </w:rPr>
        <w:t xml:space="preserve">The other condition </w:t>
      </w:r>
      <w:r w:rsidR="008C3223" w:rsidRPr="00E91DDE">
        <w:rPr>
          <w:color w:val="000000" w:themeColor="text1"/>
          <w:szCs w:val="24"/>
        </w:rPr>
        <w:t>forwarded by the MEB and adjudicated as not unfitting by the PEB w</w:t>
      </w:r>
      <w:r w:rsidR="00FE3C08" w:rsidRPr="00E91DDE">
        <w:rPr>
          <w:color w:val="000000" w:themeColor="text1"/>
          <w:szCs w:val="24"/>
        </w:rPr>
        <w:t>as</w:t>
      </w:r>
      <w:r w:rsidR="008C3223" w:rsidRPr="00E91DDE">
        <w:rPr>
          <w:color w:val="000000" w:themeColor="text1"/>
          <w:szCs w:val="24"/>
        </w:rPr>
        <w:t xml:space="preserve"> </w:t>
      </w:r>
      <w:r w:rsidR="00B7192E" w:rsidRPr="00E91DDE">
        <w:rPr>
          <w:color w:val="000000" w:themeColor="text1"/>
          <w:szCs w:val="24"/>
        </w:rPr>
        <w:t>possible superior labrum anterior and posterior tear of the left shoulder</w:t>
      </w:r>
      <w:r w:rsidR="00EB4DF9" w:rsidRPr="00E91DDE">
        <w:rPr>
          <w:color w:val="000000" w:themeColor="text1"/>
          <w:szCs w:val="24"/>
        </w:rPr>
        <w:t>.  The</w:t>
      </w:r>
      <w:r w:rsidR="001131FB" w:rsidRPr="00E91DDE">
        <w:rPr>
          <w:color w:val="000000" w:themeColor="text1"/>
          <w:szCs w:val="24"/>
        </w:rPr>
        <w:t xml:space="preserve"> NARSUM </w:t>
      </w:r>
      <w:r w:rsidR="00EB4DF9" w:rsidRPr="00E91DDE">
        <w:rPr>
          <w:color w:val="000000" w:themeColor="text1"/>
          <w:szCs w:val="24"/>
        </w:rPr>
        <w:t>stated</w:t>
      </w:r>
      <w:r w:rsidR="001131FB" w:rsidRPr="00E91DDE">
        <w:rPr>
          <w:color w:val="000000" w:themeColor="text1"/>
          <w:szCs w:val="24"/>
        </w:rPr>
        <w:t xml:space="preserve"> </w:t>
      </w:r>
      <w:r w:rsidR="00FE3C08" w:rsidRPr="00E91DDE">
        <w:rPr>
          <w:color w:val="000000" w:themeColor="text1"/>
          <w:szCs w:val="24"/>
        </w:rPr>
        <w:t>the CI had had symptoms for five years</w:t>
      </w:r>
      <w:r w:rsidR="00A772CA" w:rsidRPr="00E91DDE">
        <w:rPr>
          <w:color w:val="000000" w:themeColor="text1"/>
          <w:szCs w:val="24"/>
        </w:rPr>
        <w:t xml:space="preserve"> with no recent treatment for the shoulder</w:t>
      </w:r>
      <w:r w:rsidR="00FE3C08" w:rsidRPr="00E91DDE">
        <w:rPr>
          <w:color w:val="000000" w:themeColor="text1"/>
          <w:szCs w:val="24"/>
        </w:rPr>
        <w:t xml:space="preserve">.  </w:t>
      </w:r>
      <w:r w:rsidR="00A772CA" w:rsidRPr="00E91DDE">
        <w:rPr>
          <w:color w:val="000000" w:themeColor="text1"/>
          <w:szCs w:val="24"/>
        </w:rPr>
        <w:t xml:space="preserve">The exam indicated that </w:t>
      </w:r>
      <w:r w:rsidR="001131FB" w:rsidRPr="00E91DDE">
        <w:rPr>
          <w:color w:val="000000" w:themeColor="text1"/>
          <w:szCs w:val="24"/>
        </w:rPr>
        <w:t xml:space="preserve">the CI had full </w:t>
      </w:r>
      <w:r w:rsidR="00FE3C08" w:rsidRPr="00E91DDE">
        <w:rPr>
          <w:color w:val="000000" w:themeColor="text1"/>
          <w:szCs w:val="24"/>
        </w:rPr>
        <w:t>ROM</w:t>
      </w:r>
      <w:r w:rsidR="001131FB" w:rsidRPr="00E91DDE">
        <w:rPr>
          <w:color w:val="000000" w:themeColor="text1"/>
          <w:szCs w:val="24"/>
        </w:rPr>
        <w:t xml:space="preserve">, </w:t>
      </w:r>
      <w:r w:rsidR="008657D9" w:rsidRPr="00E91DDE">
        <w:rPr>
          <w:color w:val="000000" w:themeColor="text1"/>
          <w:szCs w:val="24"/>
        </w:rPr>
        <w:t>normal muscle strength,</w:t>
      </w:r>
      <w:r w:rsidR="001131FB" w:rsidRPr="00E91DDE">
        <w:rPr>
          <w:color w:val="000000" w:themeColor="text1"/>
          <w:szCs w:val="24"/>
        </w:rPr>
        <w:t xml:space="preserve"> a </w:t>
      </w:r>
      <w:r w:rsidR="00255EF7" w:rsidRPr="00E91DDE">
        <w:rPr>
          <w:color w:val="000000" w:themeColor="text1"/>
          <w:szCs w:val="24"/>
        </w:rPr>
        <w:t>mildly positive Speed</w:t>
      </w:r>
      <w:r w:rsidR="00CA3247" w:rsidRPr="00E91DDE">
        <w:rPr>
          <w:color w:val="000000" w:themeColor="text1"/>
          <w:szCs w:val="24"/>
        </w:rPr>
        <w:t>’s</w:t>
      </w:r>
      <w:r w:rsidR="00255EF7" w:rsidRPr="00E91DDE">
        <w:rPr>
          <w:color w:val="000000" w:themeColor="text1"/>
          <w:szCs w:val="24"/>
        </w:rPr>
        <w:t xml:space="preserve"> and O’Brien</w:t>
      </w:r>
      <w:r w:rsidR="00CA3247" w:rsidRPr="00E91DDE">
        <w:rPr>
          <w:color w:val="000000" w:themeColor="text1"/>
          <w:szCs w:val="24"/>
        </w:rPr>
        <w:t>’s</w:t>
      </w:r>
      <w:r w:rsidR="001A104F" w:rsidRPr="00E91DDE">
        <w:rPr>
          <w:color w:val="000000" w:themeColor="text1"/>
          <w:szCs w:val="24"/>
        </w:rPr>
        <w:t xml:space="preserve"> test</w:t>
      </w:r>
      <w:r w:rsidR="00255EF7" w:rsidRPr="00E91DDE">
        <w:rPr>
          <w:color w:val="000000" w:themeColor="text1"/>
          <w:szCs w:val="24"/>
        </w:rPr>
        <w:t xml:space="preserve">, and deep tenderness </w:t>
      </w:r>
      <w:proofErr w:type="spellStart"/>
      <w:r w:rsidR="00255EF7" w:rsidRPr="00E91DDE">
        <w:rPr>
          <w:color w:val="000000" w:themeColor="text1"/>
          <w:szCs w:val="24"/>
        </w:rPr>
        <w:t>anteriorly</w:t>
      </w:r>
      <w:proofErr w:type="spellEnd"/>
      <w:r w:rsidR="00255EF7" w:rsidRPr="00E91DDE">
        <w:rPr>
          <w:color w:val="000000" w:themeColor="text1"/>
          <w:szCs w:val="24"/>
        </w:rPr>
        <w:t xml:space="preserve">.  Negative tests included </w:t>
      </w:r>
      <w:proofErr w:type="spellStart"/>
      <w:r w:rsidR="00255EF7" w:rsidRPr="00E91DDE">
        <w:rPr>
          <w:color w:val="000000" w:themeColor="text1"/>
          <w:szCs w:val="24"/>
        </w:rPr>
        <w:t>Neer</w:t>
      </w:r>
      <w:r w:rsidR="00CA3247" w:rsidRPr="00E91DDE">
        <w:rPr>
          <w:color w:val="000000" w:themeColor="text1"/>
          <w:szCs w:val="24"/>
        </w:rPr>
        <w:t>’s</w:t>
      </w:r>
      <w:proofErr w:type="spellEnd"/>
      <w:r w:rsidR="00255EF7" w:rsidRPr="00E91DDE">
        <w:rPr>
          <w:color w:val="000000" w:themeColor="text1"/>
          <w:szCs w:val="24"/>
        </w:rPr>
        <w:t>, Hawkins</w:t>
      </w:r>
      <w:r w:rsidR="00CA3247" w:rsidRPr="00E91DDE">
        <w:rPr>
          <w:color w:val="000000" w:themeColor="text1"/>
          <w:szCs w:val="24"/>
        </w:rPr>
        <w:t>’</w:t>
      </w:r>
      <w:r w:rsidR="00255EF7" w:rsidRPr="00E91DDE">
        <w:rPr>
          <w:color w:val="000000" w:themeColor="text1"/>
          <w:szCs w:val="24"/>
        </w:rPr>
        <w:t xml:space="preserve">, cross-arm abduction, lift-off, and </w:t>
      </w:r>
      <w:proofErr w:type="spellStart"/>
      <w:r w:rsidR="00255EF7" w:rsidRPr="00E91DDE">
        <w:rPr>
          <w:color w:val="000000" w:themeColor="text1"/>
          <w:szCs w:val="24"/>
        </w:rPr>
        <w:t>Jobe</w:t>
      </w:r>
      <w:r w:rsidR="00CA3247" w:rsidRPr="00E91DDE">
        <w:rPr>
          <w:color w:val="000000" w:themeColor="text1"/>
          <w:szCs w:val="24"/>
        </w:rPr>
        <w:t>’s</w:t>
      </w:r>
      <w:proofErr w:type="spellEnd"/>
      <w:r w:rsidR="001131FB" w:rsidRPr="00E91DDE">
        <w:rPr>
          <w:color w:val="000000" w:themeColor="text1"/>
          <w:szCs w:val="24"/>
        </w:rPr>
        <w:t>.</w:t>
      </w:r>
      <w:r w:rsidR="001131FB" w:rsidRPr="001131FB">
        <w:rPr>
          <w:color w:val="000000" w:themeColor="text1"/>
          <w:szCs w:val="24"/>
        </w:rPr>
        <w:t xml:space="preserve">  </w:t>
      </w:r>
      <w:r w:rsidR="00255EF7">
        <w:rPr>
          <w:color w:val="000000" w:themeColor="text1"/>
          <w:szCs w:val="24"/>
        </w:rPr>
        <w:t xml:space="preserve">Radiographs of the shoulder showed a type II </w:t>
      </w:r>
      <w:proofErr w:type="spellStart"/>
      <w:r w:rsidR="00255EF7" w:rsidRPr="007F771D">
        <w:rPr>
          <w:color w:val="000000" w:themeColor="text1"/>
          <w:szCs w:val="24"/>
        </w:rPr>
        <w:t>acromion</w:t>
      </w:r>
      <w:proofErr w:type="spellEnd"/>
      <w:r w:rsidR="00D75CAB" w:rsidRPr="007F771D">
        <w:rPr>
          <w:color w:val="000000" w:themeColor="text1"/>
          <w:szCs w:val="24"/>
        </w:rPr>
        <w:t>, but otherwise normal</w:t>
      </w:r>
      <w:r w:rsidR="00255EF7" w:rsidRPr="007F771D">
        <w:rPr>
          <w:color w:val="000000" w:themeColor="text1"/>
          <w:szCs w:val="24"/>
        </w:rPr>
        <w:t xml:space="preserve">.  </w:t>
      </w:r>
      <w:r w:rsidR="00E91DDE" w:rsidRPr="007F771D">
        <w:rPr>
          <w:color w:val="000000" w:themeColor="text1"/>
          <w:szCs w:val="24"/>
        </w:rPr>
        <w:t>A</w:t>
      </w:r>
      <w:r w:rsidR="00FE3C08" w:rsidRPr="007F771D">
        <w:rPr>
          <w:color w:val="000000" w:themeColor="text1"/>
          <w:szCs w:val="24"/>
        </w:rPr>
        <w:t>n MRI</w:t>
      </w:r>
      <w:r w:rsidR="00FE3C08" w:rsidRPr="00E91DDE">
        <w:rPr>
          <w:color w:val="000000" w:themeColor="text1"/>
          <w:szCs w:val="24"/>
        </w:rPr>
        <w:t xml:space="preserve"> revealed “findings suspicious for tear of the posterior </w:t>
      </w:r>
      <w:proofErr w:type="spellStart"/>
      <w:r w:rsidR="00FE3C08" w:rsidRPr="00E91DDE">
        <w:rPr>
          <w:color w:val="000000" w:themeColor="text1"/>
          <w:szCs w:val="24"/>
        </w:rPr>
        <w:t>glenoid</w:t>
      </w:r>
      <w:proofErr w:type="spellEnd"/>
      <w:r w:rsidR="00FE3C08" w:rsidRPr="00E91DDE">
        <w:rPr>
          <w:color w:val="000000" w:themeColor="text1"/>
          <w:szCs w:val="24"/>
        </w:rPr>
        <w:t xml:space="preserve"> labrum.”  </w:t>
      </w:r>
      <w:r w:rsidR="00255EF7" w:rsidRPr="00E91DDE">
        <w:rPr>
          <w:color w:val="000000" w:themeColor="text1"/>
          <w:szCs w:val="24"/>
        </w:rPr>
        <w:t xml:space="preserve">The </w:t>
      </w:r>
      <w:r w:rsidR="008C0DDF" w:rsidRPr="00E91DDE">
        <w:rPr>
          <w:color w:val="000000" w:themeColor="text1"/>
          <w:szCs w:val="24"/>
        </w:rPr>
        <w:t>VA exam reported mildly reduced ROMs (</w:t>
      </w:r>
      <w:proofErr w:type="spellStart"/>
      <w:r w:rsidR="008C0DDF" w:rsidRPr="00E91DDE">
        <w:rPr>
          <w:color w:val="000000" w:themeColor="text1"/>
          <w:szCs w:val="24"/>
        </w:rPr>
        <w:t>noncompensible</w:t>
      </w:r>
      <w:proofErr w:type="spellEnd"/>
      <w:r w:rsidR="008C0DDF" w:rsidRPr="00E91DDE">
        <w:rPr>
          <w:color w:val="000000" w:themeColor="text1"/>
          <w:szCs w:val="24"/>
        </w:rPr>
        <w:t xml:space="preserve"> absent painful motion), pain with internal and external rotation, and negative Hawkins</w:t>
      </w:r>
      <w:r w:rsidR="00CA3247" w:rsidRPr="00E91DDE">
        <w:rPr>
          <w:color w:val="000000" w:themeColor="text1"/>
          <w:szCs w:val="24"/>
        </w:rPr>
        <w:t>’</w:t>
      </w:r>
      <w:r w:rsidR="008C0DDF" w:rsidRPr="00E91DDE">
        <w:rPr>
          <w:color w:val="000000" w:themeColor="text1"/>
          <w:szCs w:val="24"/>
        </w:rPr>
        <w:t xml:space="preserve"> and empty can tests (for rotator cuff pathology).  </w:t>
      </w:r>
      <w:r w:rsidR="001A104F" w:rsidRPr="00E91DDE">
        <w:rPr>
          <w:color w:val="000000" w:themeColor="text1"/>
          <w:szCs w:val="24"/>
        </w:rPr>
        <w:t xml:space="preserve">The VA denied service connection for the shoulder condition at separation, but later granted a 10% rating effective 18 months </w:t>
      </w:r>
      <w:r w:rsidR="007042CA">
        <w:rPr>
          <w:color w:val="000000" w:themeColor="text1"/>
          <w:szCs w:val="24"/>
        </w:rPr>
        <w:t xml:space="preserve">after </w:t>
      </w:r>
      <w:r w:rsidR="001A104F" w:rsidRPr="00E91DDE">
        <w:rPr>
          <w:color w:val="000000" w:themeColor="text1"/>
          <w:szCs w:val="24"/>
        </w:rPr>
        <w:t xml:space="preserve">separation.  </w:t>
      </w:r>
      <w:r w:rsidR="00CA3247" w:rsidRPr="00E91DDE">
        <w:rPr>
          <w:color w:val="000000" w:themeColor="text1"/>
          <w:szCs w:val="24"/>
        </w:rPr>
        <w:t>Although remote from separation,</w:t>
      </w:r>
      <w:r w:rsidR="008C0DDF" w:rsidRPr="00E91DDE">
        <w:rPr>
          <w:color w:val="000000" w:themeColor="text1"/>
          <w:szCs w:val="24"/>
        </w:rPr>
        <w:t xml:space="preserve"> the CI </w:t>
      </w:r>
      <w:r w:rsidR="001A104F" w:rsidRPr="00E91DDE">
        <w:rPr>
          <w:color w:val="000000" w:themeColor="text1"/>
          <w:szCs w:val="24"/>
        </w:rPr>
        <w:t xml:space="preserve">underwent left shoulder surgery (SLAP repair and debridement of </w:t>
      </w:r>
      <w:proofErr w:type="spellStart"/>
      <w:r w:rsidR="001A104F" w:rsidRPr="00E91DDE">
        <w:rPr>
          <w:color w:val="000000" w:themeColor="text1"/>
          <w:szCs w:val="24"/>
        </w:rPr>
        <w:t>glenohumeral</w:t>
      </w:r>
      <w:proofErr w:type="spellEnd"/>
      <w:r w:rsidR="001A104F" w:rsidRPr="00E91DDE">
        <w:rPr>
          <w:color w:val="000000" w:themeColor="text1"/>
          <w:szCs w:val="24"/>
        </w:rPr>
        <w:t xml:space="preserve"> and </w:t>
      </w:r>
      <w:proofErr w:type="spellStart"/>
      <w:r w:rsidR="001A104F" w:rsidRPr="00E91DDE">
        <w:rPr>
          <w:color w:val="000000" w:themeColor="text1"/>
          <w:szCs w:val="24"/>
        </w:rPr>
        <w:t>subacromial</w:t>
      </w:r>
      <w:proofErr w:type="spellEnd"/>
      <w:r w:rsidR="001A104F" w:rsidRPr="00E91DDE">
        <w:rPr>
          <w:color w:val="000000" w:themeColor="text1"/>
          <w:szCs w:val="24"/>
        </w:rPr>
        <w:t xml:space="preserve"> spaces) at 27 months </w:t>
      </w:r>
      <w:r w:rsidR="007042CA">
        <w:rPr>
          <w:color w:val="000000" w:themeColor="text1"/>
          <w:szCs w:val="24"/>
        </w:rPr>
        <w:t xml:space="preserve">after </w:t>
      </w:r>
      <w:r w:rsidR="001A104F" w:rsidRPr="00E91DDE">
        <w:rPr>
          <w:color w:val="000000" w:themeColor="text1"/>
          <w:szCs w:val="24"/>
        </w:rPr>
        <w:t xml:space="preserve">separation (July 2008), and the VA </w:t>
      </w:r>
      <w:proofErr w:type="spellStart"/>
      <w:r w:rsidR="001A104F" w:rsidRPr="00E91DDE">
        <w:rPr>
          <w:color w:val="000000" w:themeColor="text1"/>
          <w:szCs w:val="24"/>
        </w:rPr>
        <w:t>temporarly</w:t>
      </w:r>
      <w:proofErr w:type="spellEnd"/>
      <w:r w:rsidR="001A104F" w:rsidRPr="00E91DDE">
        <w:rPr>
          <w:color w:val="000000" w:themeColor="text1"/>
          <w:szCs w:val="24"/>
        </w:rPr>
        <w:t xml:space="preserve"> increased the shoulder rating to 100% for the convalescent period</w:t>
      </w:r>
      <w:r w:rsidR="00CA3247" w:rsidRPr="00E91DDE">
        <w:rPr>
          <w:color w:val="000000" w:themeColor="text1"/>
          <w:szCs w:val="24"/>
        </w:rPr>
        <w:t>, resuming their 10% evaluation thereafter</w:t>
      </w:r>
      <w:r w:rsidR="001A104F" w:rsidRPr="00E91DDE">
        <w:rPr>
          <w:color w:val="000000" w:themeColor="text1"/>
          <w:szCs w:val="24"/>
        </w:rPr>
        <w:t>.</w:t>
      </w:r>
      <w:r w:rsidR="001A104F">
        <w:rPr>
          <w:color w:val="000000" w:themeColor="text1"/>
          <w:szCs w:val="24"/>
        </w:rPr>
        <w:t xml:space="preserve">  </w:t>
      </w:r>
      <w:r w:rsidR="001131FB" w:rsidRPr="001131FB">
        <w:rPr>
          <w:color w:val="000000" w:themeColor="text1"/>
          <w:szCs w:val="24"/>
        </w:rPr>
        <w:t>This</w:t>
      </w:r>
      <w:r w:rsidR="008C3223" w:rsidRPr="001131FB">
        <w:rPr>
          <w:color w:val="000000" w:themeColor="text1"/>
          <w:szCs w:val="24"/>
        </w:rPr>
        <w:t xml:space="preserve"> condition </w:t>
      </w:r>
      <w:r w:rsidR="001131FB" w:rsidRPr="001131FB">
        <w:rPr>
          <w:color w:val="000000" w:themeColor="text1"/>
          <w:szCs w:val="24"/>
        </w:rPr>
        <w:t xml:space="preserve">was </w:t>
      </w:r>
      <w:r w:rsidR="001131FB" w:rsidRPr="00E91DDE">
        <w:rPr>
          <w:color w:val="000000" w:themeColor="text1"/>
          <w:szCs w:val="24"/>
        </w:rPr>
        <w:t>not</w:t>
      </w:r>
      <w:r w:rsidR="008C3223" w:rsidRPr="00E91DDE">
        <w:rPr>
          <w:color w:val="000000" w:themeColor="text1"/>
          <w:szCs w:val="24"/>
        </w:rPr>
        <w:t xml:space="preserve"> </w:t>
      </w:r>
      <w:r w:rsidR="001A104F" w:rsidRPr="00E91DDE">
        <w:rPr>
          <w:color w:val="000000" w:themeColor="text1"/>
          <w:szCs w:val="24"/>
        </w:rPr>
        <w:t>a basis for duty restrictions</w:t>
      </w:r>
      <w:r w:rsidR="008C3223" w:rsidRPr="00E91DDE">
        <w:rPr>
          <w:color w:val="000000" w:themeColor="text1"/>
          <w:szCs w:val="24"/>
        </w:rPr>
        <w:t xml:space="preserve">, implicated in the non-medical assessment (NMA) or noted as failing retention standards.  </w:t>
      </w:r>
      <w:r w:rsidR="00EB4DF9" w:rsidRPr="00E91DDE">
        <w:rPr>
          <w:color w:val="000000" w:themeColor="text1"/>
          <w:szCs w:val="24"/>
        </w:rPr>
        <w:t>It was</w:t>
      </w:r>
      <w:r w:rsidR="008C3223" w:rsidRPr="00E91DDE">
        <w:rPr>
          <w:color w:val="000000" w:themeColor="text1"/>
          <w:szCs w:val="24"/>
        </w:rPr>
        <w:t xml:space="preserve"> reviewed by the </w:t>
      </w:r>
      <w:r w:rsidR="0080588E" w:rsidRPr="00E91DDE">
        <w:rPr>
          <w:color w:val="000000" w:themeColor="text1"/>
          <w:szCs w:val="24"/>
        </w:rPr>
        <w:t xml:space="preserve">action officer </w:t>
      </w:r>
      <w:r w:rsidR="008C3223" w:rsidRPr="00E91DDE">
        <w:rPr>
          <w:color w:val="000000" w:themeColor="text1"/>
          <w:szCs w:val="24"/>
        </w:rPr>
        <w:t xml:space="preserve">and considered by the Board.  There was no indication from the record that </w:t>
      </w:r>
      <w:r w:rsidR="00EB4DF9" w:rsidRPr="00E91DDE">
        <w:rPr>
          <w:color w:val="000000" w:themeColor="text1"/>
          <w:szCs w:val="24"/>
        </w:rPr>
        <w:t>the</w:t>
      </w:r>
      <w:r w:rsidR="008C3223" w:rsidRPr="00E91DDE">
        <w:rPr>
          <w:color w:val="000000" w:themeColor="text1"/>
          <w:szCs w:val="24"/>
        </w:rPr>
        <w:t xml:space="preserve"> condition significantly interfered with satisfactory </w:t>
      </w:r>
      <w:r w:rsidR="0080588E" w:rsidRPr="00E91DDE">
        <w:rPr>
          <w:color w:val="000000" w:themeColor="text1"/>
          <w:szCs w:val="24"/>
        </w:rPr>
        <w:t xml:space="preserve">duty </w:t>
      </w:r>
      <w:r w:rsidR="008C3223" w:rsidRPr="00E91DDE">
        <w:rPr>
          <w:color w:val="000000" w:themeColor="text1"/>
          <w:szCs w:val="24"/>
        </w:rPr>
        <w:t>performance.  All evidence considered</w:t>
      </w:r>
      <w:proofErr w:type="gramStart"/>
      <w:r w:rsidR="008C3223" w:rsidRPr="00E91DDE">
        <w:rPr>
          <w:color w:val="000000" w:themeColor="text1"/>
          <w:szCs w:val="24"/>
        </w:rPr>
        <w:t>,</w:t>
      </w:r>
      <w:proofErr w:type="gramEnd"/>
      <w:r w:rsidR="008C3223" w:rsidRPr="00E91DDE">
        <w:rPr>
          <w:color w:val="000000" w:themeColor="text1"/>
          <w:szCs w:val="24"/>
        </w:rPr>
        <w:t xml:space="preserve"> there is not </w:t>
      </w:r>
      <w:r w:rsidR="008F71C7" w:rsidRPr="00E91DDE">
        <w:rPr>
          <w:color w:val="000000" w:themeColor="text1"/>
          <w:szCs w:val="24"/>
        </w:rPr>
        <w:t>a preponderance of evidence</w:t>
      </w:r>
      <w:r w:rsidR="008C3223" w:rsidRPr="00E91DDE">
        <w:rPr>
          <w:color w:val="000000" w:themeColor="text1"/>
          <w:szCs w:val="24"/>
        </w:rPr>
        <w:t xml:space="preserve"> in the CI’s favor supporting recharacterization of the PEB fitness adjudication for the </w:t>
      </w:r>
      <w:r w:rsidR="007F771D">
        <w:rPr>
          <w:color w:val="000000" w:themeColor="text1"/>
          <w:szCs w:val="24"/>
        </w:rPr>
        <w:t>shoulder</w:t>
      </w:r>
      <w:r w:rsidR="008C3223" w:rsidRPr="00E91DDE">
        <w:rPr>
          <w:color w:val="000000" w:themeColor="text1"/>
          <w:szCs w:val="24"/>
        </w:rPr>
        <w:t xml:space="preserve"> condition</w:t>
      </w:r>
      <w:r w:rsidR="008C3223" w:rsidRPr="001F29F9">
        <w:rPr>
          <w:color w:val="000000" w:themeColor="text1"/>
          <w:szCs w:val="24"/>
        </w:rPr>
        <w:t>.</w:t>
      </w:r>
    </w:p>
    <w:p w:rsidR="00EC337D" w:rsidRPr="001F29F9" w:rsidRDefault="00EC337D" w:rsidP="00EB4DF9">
      <w:pPr>
        <w:jc w:val="both"/>
        <w:rPr>
          <w:rFonts w:eastAsia="HiddenHorzOCR"/>
          <w:color w:val="000000" w:themeColor="text1"/>
          <w:szCs w:val="24"/>
        </w:rPr>
      </w:pPr>
    </w:p>
    <w:p w:rsidR="00A02AA8" w:rsidRPr="001F29F9" w:rsidRDefault="00A02AA8" w:rsidP="00EB4DF9">
      <w:pPr>
        <w:jc w:val="both"/>
        <w:rPr>
          <w:color w:val="000000" w:themeColor="text1"/>
          <w:szCs w:val="24"/>
        </w:rPr>
      </w:pPr>
      <w:proofErr w:type="gramStart"/>
      <w:r w:rsidRPr="00A772CA">
        <w:rPr>
          <w:color w:val="000000" w:themeColor="text1"/>
          <w:szCs w:val="24"/>
          <w:u w:val="single"/>
        </w:rPr>
        <w:t>Remaining Conditions</w:t>
      </w:r>
      <w:r w:rsidRPr="00A772CA">
        <w:rPr>
          <w:color w:val="000000" w:themeColor="text1"/>
          <w:szCs w:val="24"/>
        </w:rPr>
        <w:t>.</w:t>
      </w:r>
      <w:proofErr w:type="gramEnd"/>
      <w:r w:rsidRPr="00A772CA">
        <w:rPr>
          <w:color w:val="000000" w:themeColor="text1"/>
          <w:szCs w:val="24"/>
        </w:rPr>
        <w:t xml:space="preserve">  </w:t>
      </w:r>
      <w:r w:rsidRPr="00E91DDE">
        <w:rPr>
          <w:color w:val="000000" w:themeColor="text1"/>
          <w:szCs w:val="24"/>
        </w:rPr>
        <w:t xml:space="preserve">Other conditions identified in the DES file were </w:t>
      </w:r>
      <w:r w:rsidR="00B166FC" w:rsidRPr="00E91DDE">
        <w:rPr>
          <w:color w:val="000000" w:themeColor="text1"/>
          <w:szCs w:val="24"/>
        </w:rPr>
        <w:t>right ankle sprain (VA 10% for status post avulsion fracture of the right distal tibia), right forearm injury requiring surgery (</w:t>
      </w:r>
      <w:proofErr w:type="spellStart"/>
      <w:r w:rsidR="00B166FC" w:rsidRPr="00E91DDE">
        <w:rPr>
          <w:color w:val="000000" w:themeColor="text1"/>
          <w:szCs w:val="24"/>
        </w:rPr>
        <w:t>Galeazzi</w:t>
      </w:r>
      <w:proofErr w:type="spellEnd"/>
      <w:r w:rsidR="00B166FC" w:rsidRPr="00E91DDE">
        <w:rPr>
          <w:color w:val="000000" w:themeColor="text1"/>
          <w:szCs w:val="24"/>
        </w:rPr>
        <w:t xml:space="preserve"> fracture</w:t>
      </w:r>
      <w:r w:rsidR="00B166FC" w:rsidRPr="00E91DDE">
        <w:rPr>
          <w:color w:val="000000" w:themeColor="text1"/>
          <w:sz w:val="18"/>
          <w:szCs w:val="24"/>
        </w:rPr>
        <w:t xml:space="preserve"> </w:t>
      </w:r>
      <w:r w:rsidR="00B166FC" w:rsidRPr="00E91DDE">
        <w:rPr>
          <w:color w:val="000000" w:themeColor="text1"/>
          <w:szCs w:val="24"/>
        </w:rPr>
        <w:t xml:space="preserve">in 2000 with MEB and return to full duty; VA 10% for status post open reduction internal fixation of the right wrist), </w:t>
      </w:r>
      <w:r w:rsidR="000A4D6A" w:rsidRPr="00E91DDE">
        <w:rPr>
          <w:color w:val="000000" w:themeColor="text1"/>
          <w:szCs w:val="24"/>
        </w:rPr>
        <w:t>constant headaches</w:t>
      </w:r>
      <w:r w:rsidRPr="00E91DDE">
        <w:rPr>
          <w:color w:val="000000" w:themeColor="text1"/>
          <w:szCs w:val="24"/>
        </w:rPr>
        <w:t xml:space="preserve">, </w:t>
      </w:r>
      <w:r w:rsidR="00CA3247" w:rsidRPr="00E91DDE">
        <w:rPr>
          <w:color w:val="000000" w:themeColor="text1"/>
          <w:szCs w:val="24"/>
        </w:rPr>
        <w:t xml:space="preserve">head injury (2003), </w:t>
      </w:r>
      <w:r w:rsidR="000A4D6A" w:rsidRPr="00E91DDE">
        <w:rPr>
          <w:color w:val="000000" w:themeColor="text1"/>
          <w:szCs w:val="24"/>
        </w:rPr>
        <w:t>anger management</w:t>
      </w:r>
      <w:r w:rsidR="00CA3247" w:rsidRPr="00E91DDE">
        <w:rPr>
          <w:color w:val="000000" w:themeColor="text1"/>
          <w:szCs w:val="24"/>
        </w:rPr>
        <w:t xml:space="preserve"> counseling</w:t>
      </w:r>
      <w:r w:rsidR="000A4D6A" w:rsidRPr="00E91DDE">
        <w:rPr>
          <w:color w:val="000000" w:themeColor="text1"/>
          <w:szCs w:val="24"/>
        </w:rPr>
        <w:t>, eczema,</w:t>
      </w:r>
      <w:r w:rsidRPr="00E91DDE">
        <w:rPr>
          <w:color w:val="000000" w:themeColor="text1"/>
          <w:szCs w:val="24"/>
        </w:rPr>
        <w:t xml:space="preserve"> </w:t>
      </w:r>
      <w:r w:rsidR="000A4D6A" w:rsidRPr="00E91DDE">
        <w:rPr>
          <w:color w:val="000000" w:themeColor="text1"/>
          <w:szCs w:val="24"/>
        </w:rPr>
        <w:t>low back pai</w:t>
      </w:r>
      <w:r w:rsidR="00CA3247" w:rsidRPr="00E91DDE">
        <w:rPr>
          <w:color w:val="000000" w:themeColor="text1"/>
          <w:szCs w:val="24"/>
        </w:rPr>
        <w:t>n, and herpes simplex virus infection</w:t>
      </w:r>
      <w:r w:rsidRPr="00E91DDE">
        <w:rPr>
          <w:color w:val="000000" w:themeColor="text1"/>
          <w:szCs w:val="24"/>
        </w:rPr>
        <w:t xml:space="preserve">.  Several additional non-acute conditions or medical complaints were also documented.  None of these conditions were </w:t>
      </w:r>
      <w:r w:rsidR="00EB4DF9" w:rsidRPr="00E91DDE">
        <w:rPr>
          <w:color w:val="000000" w:themeColor="text1"/>
          <w:szCs w:val="24"/>
        </w:rPr>
        <w:t>occupationally</w:t>
      </w:r>
      <w:r w:rsidR="00EB4DF9" w:rsidRPr="000A4D6A">
        <w:rPr>
          <w:color w:val="000000" w:themeColor="text1"/>
          <w:szCs w:val="24"/>
        </w:rPr>
        <w:t xml:space="preserve"> </w:t>
      </w:r>
      <w:r w:rsidRPr="000A4D6A">
        <w:rPr>
          <w:color w:val="000000" w:themeColor="text1"/>
          <w:szCs w:val="24"/>
        </w:rPr>
        <w:t>significant</w:t>
      </w:r>
      <w:r w:rsidRPr="001F29F9">
        <w:rPr>
          <w:color w:val="000000" w:themeColor="text1"/>
          <w:szCs w:val="24"/>
        </w:rPr>
        <w:t xml:space="preserve"> during the MEB period</w:t>
      </w:r>
      <w:r w:rsidR="0080588E" w:rsidRPr="001F29F9">
        <w:rPr>
          <w:color w:val="000000" w:themeColor="text1"/>
          <w:szCs w:val="24"/>
        </w:rPr>
        <w:t>,</w:t>
      </w:r>
      <w:r w:rsidRPr="001F29F9">
        <w:rPr>
          <w:color w:val="000000" w:themeColor="text1"/>
          <w:szCs w:val="24"/>
        </w:rPr>
        <w:t xml:space="preserve"> </w:t>
      </w:r>
      <w:r w:rsidRPr="000A4D6A">
        <w:rPr>
          <w:color w:val="000000" w:themeColor="text1"/>
          <w:szCs w:val="24"/>
        </w:rPr>
        <w:t>none</w:t>
      </w:r>
      <w:r w:rsidR="007B62E6">
        <w:rPr>
          <w:color w:val="000000" w:themeColor="text1"/>
          <w:szCs w:val="24"/>
        </w:rPr>
        <w:t xml:space="preserve"> </w:t>
      </w:r>
      <w:r w:rsidRPr="000A4D6A">
        <w:rPr>
          <w:color w:val="000000" w:themeColor="text1"/>
          <w:szCs w:val="24"/>
        </w:rPr>
        <w:t>carried attached duty limitations</w:t>
      </w:r>
      <w:r w:rsidR="0080588E" w:rsidRPr="000A4D6A">
        <w:rPr>
          <w:color w:val="000000" w:themeColor="text1"/>
          <w:szCs w:val="24"/>
        </w:rPr>
        <w:t>,</w:t>
      </w:r>
      <w:r w:rsidRPr="000A4D6A">
        <w:rPr>
          <w:color w:val="000000" w:themeColor="text1"/>
          <w:szCs w:val="24"/>
        </w:rPr>
        <w:t xml:space="preserve"> and none were implicated in the</w:t>
      </w:r>
      <w:r w:rsidR="0080588E" w:rsidRPr="000A4D6A">
        <w:rPr>
          <w:color w:val="000000" w:themeColor="text1"/>
          <w:szCs w:val="24"/>
        </w:rPr>
        <w:t xml:space="preserve"> non-medical assessment</w:t>
      </w:r>
      <w:r w:rsidRPr="000A4D6A">
        <w:rPr>
          <w:color w:val="000000" w:themeColor="text1"/>
          <w:szCs w:val="24"/>
        </w:rPr>
        <w:t>.</w:t>
      </w:r>
      <w:r w:rsidRPr="001F29F9">
        <w:rPr>
          <w:color w:val="000000" w:themeColor="text1"/>
          <w:szCs w:val="24"/>
        </w:rPr>
        <w:t xml:space="preserve"> </w:t>
      </w:r>
      <w:r w:rsidR="007B62E6">
        <w:rPr>
          <w:color w:val="000000" w:themeColor="text1"/>
          <w:szCs w:val="24"/>
        </w:rPr>
        <w:t xml:space="preserve"> </w:t>
      </w:r>
      <w:r w:rsidRPr="001F29F9">
        <w:rPr>
          <w:color w:val="000000" w:themeColor="text1"/>
          <w:szCs w:val="24"/>
        </w:rPr>
        <w:t xml:space="preserve">These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It was determined that none could be argued as unfitting and subject to separation rating.  </w:t>
      </w:r>
      <w:r w:rsidR="00B166FC" w:rsidRPr="00F6196E">
        <w:rPr>
          <w:rFonts w:asciiTheme="minorHAnsi" w:hAnsiTheme="minorHAnsi"/>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1031F4" w:rsidRPr="001F29F9" w:rsidRDefault="001031F4" w:rsidP="00EB4DF9">
      <w:pPr>
        <w:pBdr>
          <w:bottom w:val="single" w:sz="12" w:space="1" w:color="auto"/>
        </w:pBdr>
        <w:tabs>
          <w:tab w:val="left" w:pos="288"/>
          <w:tab w:val="left" w:pos="4752"/>
        </w:tabs>
        <w:jc w:val="both"/>
        <w:rPr>
          <w:color w:val="000000" w:themeColor="text1"/>
        </w:rPr>
      </w:pPr>
    </w:p>
    <w:p w:rsidR="00F1737C" w:rsidRPr="001F29F9" w:rsidRDefault="00F1737C" w:rsidP="00EB4DF9">
      <w:pPr>
        <w:jc w:val="both"/>
        <w:rPr>
          <w:color w:val="000000" w:themeColor="text1"/>
          <w:szCs w:val="24"/>
        </w:rPr>
      </w:pPr>
    </w:p>
    <w:p w:rsidR="007B4989" w:rsidRPr="00396779" w:rsidRDefault="00C56FC8" w:rsidP="007B4989">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B62E6">
        <w:rPr>
          <w:rFonts w:eastAsiaTheme="minorHAnsi"/>
          <w:color w:val="000000" w:themeColor="text1"/>
          <w:szCs w:val="24"/>
        </w:rPr>
        <w:t xml:space="preserve">  </w:t>
      </w:r>
      <w:r w:rsidR="007B62E6" w:rsidRPr="00396779">
        <w:rPr>
          <w:rFonts w:asciiTheme="minorHAnsi" w:eastAsiaTheme="minorHAnsi" w:hAnsiTheme="minorHAnsi"/>
          <w:color w:val="auto"/>
          <w:szCs w:val="24"/>
        </w:rPr>
        <w:t>The Board did not surmise from the record or PEB ruling in this case that any prerogatives outside the VASRD were exercised.</w:t>
      </w:r>
      <w:r w:rsidR="007B62E6">
        <w:rPr>
          <w:rFonts w:asciiTheme="minorHAnsi" w:eastAsiaTheme="minorHAnsi" w:hAnsiTheme="minorHAnsi"/>
          <w:color w:val="auto"/>
          <w:szCs w:val="24"/>
        </w:rPr>
        <w:t xml:space="preserve">  </w:t>
      </w:r>
      <w:r w:rsidR="007B62E6" w:rsidRPr="00E91DDE">
        <w:rPr>
          <w:rFonts w:asciiTheme="minorHAnsi" w:eastAsiaTheme="minorHAnsi" w:hAnsiTheme="minorHAnsi"/>
          <w:color w:val="auto"/>
          <w:szCs w:val="24"/>
        </w:rPr>
        <w:t xml:space="preserve">In the matter of the left knee condition </w:t>
      </w:r>
      <w:r w:rsidR="00AE27CD" w:rsidRPr="00E91DDE">
        <w:rPr>
          <w:rFonts w:asciiTheme="minorHAnsi" w:eastAsiaTheme="minorHAnsi" w:hAnsiTheme="minorHAnsi"/>
          <w:color w:val="auto"/>
          <w:szCs w:val="24"/>
        </w:rPr>
        <w:t xml:space="preserve">and </w:t>
      </w:r>
      <w:r w:rsidR="00AE27CD" w:rsidRPr="00E91DDE">
        <w:rPr>
          <w:rFonts w:asciiTheme="minorHAnsi" w:hAnsiTheme="minorHAnsi"/>
          <w:color w:val="auto"/>
          <w:szCs w:val="24"/>
        </w:rPr>
        <w:t>IAW VASRD §4.71a</w:t>
      </w:r>
      <w:r w:rsidR="00AE27CD" w:rsidRPr="00E91DDE">
        <w:rPr>
          <w:rFonts w:asciiTheme="minorHAnsi" w:eastAsiaTheme="minorHAnsi" w:hAnsiTheme="minorHAnsi"/>
          <w:color w:val="auto"/>
          <w:szCs w:val="24"/>
        </w:rPr>
        <w:t>, the Board unanimously recommends no change in the PEB adjudication</w:t>
      </w:r>
      <w:r w:rsidR="00AE27CD" w:rsidRPr="00E91DDE">
        <w:rPr>
          <w:rFonts w:asciiTheme="minorHAnsi" w:hAnsiTheme="minorHAnsi"/>
          <w:color w:val="auto"/>
          <w:szCs w:val="24"/>
        </w:rPr>
        <w:t>.</w:t>
      </w:r>
      <w:r w:rsidR="007B62E6" w:rsidRPr="00E91DDE">
        <w:rPr>
          <w:rFonts w:asciiTheme="minorHAnsi" w:hAnsiTheme="minorHAnsi"/>
          <w:color w:val="auto"/>
          <w:szCs w:val="24"/>
        </w:rPr>
        <w:t xml:space="preserve">  In the matter of the left shoulder condition, the Board unanimously recommends no change from the PEB adjudication </w:t>
      </w:r>
      <w:r w:rsidR="007B4989" w:rsidRPr="00E91DDE">
        <w:rPr>
          <w:rFonts w:asciiTheme="minorHAnsi" w:hAnsiTheme="minorHAnsi"/>
          <w:color w:val="auto"/>
          <w:szCs w:val="24"/>
        </w:rPr>
        <w:t xml:space="preserve">as </w:t>
      </w:r>
      <w:r w:rsidR="007B62E6" w:rsidRPr="00E91DDE">
        <w:rPr>
          <w:rFonts w:asciiTheme="minorHAnsi" w:hAnsiTheme="minorHAnsi"/>
          <w:color w:val="auto"/>
          <w:szCs w:val="24"/>
        </w:rPr>
        <w:t>Category III, not unfitting.</w:t>
      </w:r>
      <w:r w:rsidR="007B4989" w:rsidRPr="00E91DDE">
        <w:rPr>
          <w:rFonts w:asciiTheme="minorHAnsi" w:hAnsiTheme="minorHAnsi"/>
          <w:color w:val="auto"/>
          <w:szCs w:val="24"/>
        </w:rPr>
        <w:t xml:space="preserve">  In the matter of </w:t>
      </w:r>
      <w:r w:rsidR="00B166FC" w:rsidRPr="00E91DDE">
        <w:rPr>
          <w:rFonts w:asciiTheme="minorHAnsi" w:hAnsiTheme="minorHAnsi"/>
          <w:color w:val="auto"/>
          <w:szCs w:val="24"/>
        </w:rPr>
        <w:t>the right ankle condition, right forearm/wrist condition</w:t>
      </w:r>
      <w:r w:rsidR="00A772CA" w:rsidRPr="00E91DDE">
        <w:rPr>
          <w:rFonts w:asciiTheme="minorHAnsi" w:hAnsiTheme="minorHAnsi"/>
          <w:color w:val="auto"/>
          <w:szCs w:val="24"/>
        </w:rPr>
        <w:t xml:space="preserve"> or</w:t>
      </w:r>
      <w:r w:rsidR="00B166FC" w:rsidRPr="00E91DDE">
        <w:rPr>
          <w:rFonts w:asciiTheme="minorHAnsi" w:hAnsiTheme="minorHAnsi"/>
          <w:color w:val="auto"/>
          <w:szCs w:val="24"/>
        </w:rPr>
        <w:t xml:space="preserve"> </w:t>
      </w:r>
      <w:r w:rsidR="007B4989" w:rsidRPr="00E91DDE">
        <w:rPr>
          <w:rFonts w:asciiTheme="minorHAnsi" w:hAnsiTheme="minorHAnsi"/>
          <w:color w:val="auto"/>
          <w:szCs w:val="24"/>
        </w:rPr>
        <w:t>any other medical conditions eligible for Board consideration; the Board unanimously agrees</w:t>
      </w:r>
      <w:r w:rsidR="007B4989" w:rsidRPr="00396779">
        <w:rPr>
          <w:rFonts w:asciiTheme="minorHAnsi" w:hAnsiTheme="minorHAnsi"/>
          <w:color w:val="auto"/>
          <w:szCs w:val="24"/>
        </w:rPr>
        <w:t xml:space="preserve"> that it cannot</w:t>
      </w:r>
      <w:r w:rsidR="007B4989" w:rsidRPr="00396779">
        <w:rPr>
          <w:rFonts w:asciiTheme="minorHAnsi" w:hAnsiTheme="minorHAnsi"/>
          <w:color w:val="000080"/>
          <w:szCs w:val="24"/>
        </w:rPr>
        <w:t xml:space="preserve"> </w:t>
      </w:r>
      <w:r w:rsidR="007B4989" w:rsidRPr="00396779">
        <w:rPr>
          <w:rFonts w:asciiTheme="minorHAnsi" w:hAnsiTheme="minorHAnsi"/>
          <w:color w:val="auto"/>
          <w:szCs w:val="24"/>
        </w:rPr>
        <w:t>recommend any findings of unfit for additional rating at separation.</w:t>
      </w:r>
    </w:p>
    <w:p w:rsidR="00F1737C" w:rsidRPr="001F29F9" w:rsidRDefault="00F1737C" w:rsidP="00EB4DF9">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7F771D" w:rsidRDefault="00C56FC8" w:rsidP="00167E6E">
      <w:pPr>
        <w:jc w:val="left"/>
        <w:rPr>
          <w:color w:val="auto"/>
        </w:rPr>
      </w:pPr>
      <w:r w:rsidRPr="001F29F9">
        <w:rPr>
          <w:color w:val="000000" w:themeColor="text1"/>
          <w:szCs w:val="24"/>
          <w:u w:val="single"/>
        </w:rPr>
        <w:lastRenderedPageBreak/>
        <w:t>RECOMMENDATION</w:t>
      </w:r>
      <w:r w:rsidRPr="001F29F9">
        <w:rPr>
          <w:color w:val="000000" w:themeColor="text1"/>
          <w:szCs w:val="24"/>
        </w:rPr>
        <w:t>:</w:t>
      </w:r>
      <w:r w:rsidR="00167E6E">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w:t>
      </w:r>
      <w:r w:rsidRPr="007F771D">
        <w:rPr>
          <w:color w:val="auto"/>
          <w:szCs w:val="24"/>
        </w:rPr>
        <w:t>there be no recharacterization of the CI’s disability and separation determination</w:t>
      </w:r>
      <w:r w:rsidR="008C3FD0" w:rsidRPr="007F771D">
        <w:rPr>
          <w:color w:val="auto"/>
          <w:szCs w:val="24"/>
        </w:rPr>
        <w:t>,</w:t>
      </w:r>
      <w:r w:rsidR="00BD2A49" w:rsidRPr="007F771D">
        <w:rPr>
          <w:color w:val="auto"/>
          <w:szCs w:val="24"/>
        </w:rPr>
        <w:t xml:space="preserve"> as follows:</w:t>
      </w:r>
      <w:r w:rsidR="003604A5" w:rsidRPr="007F771D">
        <w:rPr>
          <w:color w:val="auto"/>
          <w:szCs w:val="24"/>
        </w:rPr>
        <w:t xml:space="preserve"> </w:t>
      </w:r>
    </w:p>
    <w:p w:rsidR="00BA6A9C" w:rsidRPr="007F771D"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7F771D" w:rsidTr="0080588E">
        <w:trPr>
          <w:trHeight w:val="233"/>
          <w:jc w:val="center"/>
        </w:trPr>
        <w:tc>
          <w:tcPr>
            <w:tcW w:w="6282" w:type="dxa"/>
            <w:shd w:val="clear" w:color="auto" w:fill="D9D9D9"/>
            <w:vAlign w:val="center"/>
          </w:tcPr>
          <w:p w:rsidR="00A95BBA" w:rsidRPr="007F771D" w:rsidRDefault="00A95BBA" w:rsidP="00BF0E94">
            <w:pPr>
              <w:tabs>
                <w:tab w:val="left" w:pos="288"/>
                <w:tab w:val="left" w:pos="4752"/>
              </w:tabs>
              <w:rPr>
                <w:b/>
                <w:color w:val="auto"/>
                <w:szCs w:val="24"/>
              </w:rPr>
            </w:pPr>
            <w:r w:rsidRPr="007F771D">
              <w:rPr>
                <w:b/>
                <w:color w:val="auto"/>
                <w:szCs w:val="24"/>
              </w:rPr>
              <w:t>UNFITTING CONDITION</w:t>
            </w:r>
          </w:p>
        </w:tc>
        <w:tc>
          <w:tcPr>
            <w:tcW w:w="1710" w:type="dxa"/>
            <w:shd w:val="clear" w:color="auto" w:fill="D9D9D9"/>
            <w:vAlign w:val="center"/>
          </w:tcPr>
          <w:p w:rsidR="00A95BBA" w:rsidRPr="007F771D" w:rsidRDefault="00A95BBA" w:rsidP="00BF0E94">
            <w:pPr>
              <w:tabs>
                <w:tab w:val="left" w:pos="288"/>
                <w:tab w:val="left" w:pos="4752"/>
              </w:tabs>
              <w:rPr>
                <w:b/>
                <w:color w:val="auto"/>
                <w:szCs w:val="24"/>
              </w:rPr>
            </w:pPr>
            <w:r w:rsidRPr="007F771D">
              <w:rPr>
                <w:b/>
                <w:color w:val="auto"/>
                <w:szCs w:val="24"/>
              </w:rPr>
              <w:t>VASRD CODE</w:t>
            </w:r>
          </w:p>
        </w:tc>
        <w:tc>
          <w:tcPr>
            <w:tcW w:w="1170" w:type="dxa"/>
            <w:shd w:val="clear" w:color="auto" w:fill="D9D9D9"/>
            <w:vAlign w:val="center"/>
          </w:tcPr>
          <w:p w:rsidR="00A95BBA" w:rsidRPr="007F771D" w:rsidRDefault="00A95BBA" w:rsidP="00BF0E94">
            <w:pPr>
              <w:tabs>
                <w:tab w:val="left" w:pos="288"/>
                <w:tab w:val="left" w:pos="4752"/>
              </w:tabs>
              <w:rPr>
                <w:b/>
                <w:color w:val="auto"/>
                <w:szCs w:val="24"/>
              </w:rPr>
            </w:pPr>
            <w:r w:rsidRPr="007F771D">
              <w:rPr>
                <w:b/>
                <w:color w:val="auto"/>
                <w:szCs w:val="24"/>
              </w:rPr>
              <w:t>RATING</w:t>
            </w:r>
          </w:p>
        </w:tc>
      </w:tr>
      <w:tr w:rsidR="00A95BBA" w:rsidRPr="007F771D" w:rsidTr="0080588E">
        <w:trPr>
          <w:jc w:val="center"/>
        </w:trPr>
        <w:tc>
          <w:tcPr>
            <w:tcW w:w="6282" w:type="dxa"/>
            <w:vAlign w:val="center"/>
          </w:tcPr>
          <w:p w:rsidR="00A95BBA" w:rsidRPr="007F771D" w:rsidRDefault="00CF0107" w:rsidP="00BF0E94">
            <w:pPr>
              <w:tabs>
                <w:tab w:val="left" w:pos="288"/>
                <w:tab w:val="left" w:pos="4752"/>
              </w:tabs>
              <w:jc w:val="left"/>
              <w:rPr>
                <w:color w:val="auto"/>
                <w:szCs w:val="24"/>
              </w:rPr>
            </w:pPr>
            <w:r w:rsidRPr="007F771D">
              <w:rPr>
                <w:color w:val="auto"/>
                <w:szCs w:val="24"/>
              </w:rPr>
              <w:t>Left Knee Posttraumatic Arthritis</w:t>
            </w:r>
          </w:p>
        </w:tc>
        <w:tc>
          <w:tcPr>
            <w:tcW w:w="1710" w:type="dxa"/>
            <w:vAlign w:val="center"/>
          </w:tcPr>
          <w:p w:rsidR="00A95BBA" w:rsidRPr="007F771D" w:rsidRDefault="00CF0107" w:rsidP="00BF0E94">
            <w:pPr>
              <w:tabs>
                <w:tab w:val="left" w:pos="288"/>
                <w:tab w:val="left" w:pos="4752"/>
              </w:tabs>
              <w:rPr>
                <w:color w:val="auto"/>
                <w:szCs w:val="24"/>
              </w:rPr>
            </w:pPr>
            <w:r w:rsidRPr="007F771D">
              <w:rPr>
                <w:color w:val="auto"/>
                <w:szCs w:val="24"/>
              </w:rPr>
              <w:t>5299-5262</w:t>
            </w:r>
          </w:p>
        </w:tc>
        <w:tc>
          <w:tcPr>
            <w:tcW w:w="1170" w:type="dxa"/>
            <w:vAlign w:val="center"/>
          </w:tcPr>
          <w:p w:rsidR="00A95BBA" w:rsidRPr="007F771D" w:rsidRDefault="00167E6E" w:rsidP="00BF0E94">
            <w:pPr>
              <w:tabs>
                <w:tab w:val="left" w:pos="288"/>
                <w:tab w:val="left" w:pos="4752"/>
              </w:tabs>
              <w:rPr>
                <w:color w:val="auto"/>
                <w:szCs w:val="24"/>
              </w:rPr>
            </w:pPr>
            <w:r w:rsidRPr="007F771D">
              <w:rPr>
                <w:color w:val="auto"/>
                <w:szCs w:val="24"/>
              </w:rPr>
              <w:t>2</w:t>
            </w:r>
            <w:r w:rsidR="00A95BBA" w:rsidRPr="007F771D">
              <w:rPr>
                <w:color w:val="auto"/>
                <w:szCs w:val="24"/>
              </w:rPr>
              <w:t>0%</w:t>
            </w:r>
          </w:p>
        </w:tc>
      </w:tr>
      <w:tr w:rsidR="00A95BBA" w:rsidRPr="007F771D"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7F771D" w:rsidRDefault="00A95BBA" w:rsidP="00BF0E94">
            <w:pPr>
              <w:tabs>
                <w:tab w:val="left" w:pos="288"/>
                <w:tab w:val="left" w:pos="4752"/>
              </w:tabs>
              <w:rPr>
                <w:b/>
                <w:color w:val="auto"/>
                <w:szCs w:val="24"/>
              </w:rPr>
            </w:pPr>
            <w:r w:rsidRPr="007F771D">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7F771D" w:rsidRDefault="00167E6E" w:rsidP="00BF0E94">
            <w:pPr>
              <w:tabs>
                <w:tab w:val="left" w:pos="288"/>
                <w:tab w:val="left" w:pos="4752"/>
              </w:tabs>
              <w:rPr>
                <w:b/>
                <w:color w:val="auto"/>
                <w:szCs w:val="24"/>
              </w:rPr>
            </w:pPr>
            <w:r w:rsidRPr="007F771D">
              <w:rPr>
                <w:b/>
                <w:color w:val="auto"/>
                <w:szCs w:val="24"/>
              </w:rPr>
              <w:t>2</w:t>
            </w:r>
            <w:r w:rsidR="00A95BBA" w:rsidRPr="007F771D">
              <w:rPr>
                <w:b/>
                <w:color w:val="auto"/>
                <w:szCs w:val="24"/>
              </w:rPr>
              <w:t>0%</w:t>
            </w:r>
          </w:p>
        </w:tc>
      </w:tr>
    </w:tbl>
    <w:p w:rsidR="005B1D09" w:rsidRPr="007F771D" w:rsidRDefault="005B1D09" w:rsidP="00A772CA">
      <w:pPr>
        <w:pBdr>
          <w:bottom w:val="single" w:sz="12" w:space="1" w:color="auto"/>
        </w:pBdr>
        <w:tabs>
          <w:tab w:val="left" w:pos="288"/>
          <w:tab w:val="left" w:pos="4752"/>
        </w:tabs>
        <w:jc w:val="both"/>
        <w:rPr>
          <w:color w:val="auto"/>
        </w:rPr>
      </w:pPr>
    </w:p>
    <w:p w:rsidR="005B1D09" w:rsidRPr="007F771D" w:rsidRDefault="005B1D09" w:rsidP="00A772CA">
      <w:pPr>
        <w:jc w:val="both"/>
        <w:rPr>
          <w:color w:val="auto"/>
          <w:szCs w:val="24"/>
        </w:rPr>
      </w:pPr>
    </w:p>
    <w:p w:rsidR="00D91DA6" w:rsidRPr="007F771D" w:rsidRDefault="00FB1725" w:rsidP="00A772CA">
      <w:pPr>
        <w:tabs>
          <w:tab w:val="left" w:pos="288"/>
          <w:tab w:val="left" w:pos="4752"/>
        </w:tabs>
        <w:jc w:val="both"/>
        <w:rPr>
          <w:color w:val="auto"/>
        </w:rPr>
      </w:pPr>
      <w:r w:rsidRPr="007F771D">
        <w:rPr>
          <w:color w:val="auto"/>
        </w:rPr>
        <w:t>The following documentary evidence was considered:</w:t>
      </w:r>
    </w:p>
    <w:p w:rsidR="00EB5EFD" w:rsidRPr="001F29F9" w:rsidRDefault="00EB5EFD" w:rsidP="00A772CA">
      <w:pPr>
        <w:tabs>
          <w:tab w:val="left" w:pos="288"/>
          <w:tab w:val="left" w:pos="4752"/>
        </w:tabs>
        <w:jc w:val="both"/>
        <w:rPr>
          <w:color w:val="000000" w:themeColor="text1"/>
        </w:rPr>
      </w:pPr>
    </w:p>
    <w:p w:rsidR="00114F20" w:rsidRPr="001F29F9" w:rsidRDefault="00FB1725" w:rsidP="00A772CA">
      <w:pPr>
        <w:tabs>
          <w:tab w:val="left" w:pos="288"/>
          <w:tab w:val="left" w:pos="4752"/>
        </w:tabs>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E23557">
        <w:rPr>
          <w:color w:val="000000" w:themeColor="text1"/>
          <w:szCs w:val="24"/>
        </w:rPr>
        <w:t>10605</w:t>
      </w:r>
      <w:r w:rsidRPr="001F29F9">
        <w:rPr>
          <w:color w:val="000000" w:themeColor="text1"/>
        </w:rPr>
        <w:t>, w/</w:t>
      </w:r>
      <w:proofErr w:type="spellStart"/>
      <w:r w:rsidRPr="001F29F9">
        <w:rPr>
          <w:color w:val="000000" w:themeColor="text1"/>
        </w:rPr>
        <w:t>atchs</w:t>
      </w:r>
      <w:proofErr w:type="spellEnd"/>
      <w:r w:rsidRPr="001F29F9">
        <w:rPr>
          <w:color w:val="000000" w:themeColor="text1"/>
        </w:rPr>
        <w:t>.</w:t>
      </w:r>
    </w:p>
    <w:p w:rsidR="00114F20" w:rsidRPr="001F29F9" w:rsidRDefault="00FB1725" w:rsidP="00A772CA">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A772CA">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A772CA">
      <w:pPr>
        <w:tabs>
          <w:tab w:val="left" w:pos="288"/>
          <w:tab w:val="left" w:pos="4752"/>
        </w:tabs>
        <w:jc w:val="both"/>
        <w:rPr>
          <w:color w:val="000000" w:themeColor="text1"/>
        </w:rPr>
      </w:pPr>
    </w:p>
    <w:p w:rsidR="00114F20" w:rsidRPr="001F29F9" w:rsidRDefault="00114F20" w:rsidP="00A772CA">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915DB"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915DB" w:rsidRDefault="00D915DB">
      <w:pPr>
        <w:rPr>
          <w:color w:val="000000" w:themeColor="text1"/>
          <w:szCs w:val="24"/>
        </w:rPr>
      </w:pPr>
      <w:r>
        <w:rPr>
          <w:color w:val="000000" w:themeColor="text1"/>
          <w:szCs w:val="24"/>
        </w:rPr>
        <w:br w:type="page"/>
      </w:r>
    </w:p>
    <w:p w:rsidR="00D915DB" w:rsidRPr="00A53314" w:rsidRDefault="00D915DB" w:rsidP="00D915DB">
      <w:pPr>
        <w:ind w:left="-360"/>
        <w:jc w:val="left"/>
        <w:rPr>
          <w:rFonts w:cs="Calibri"/>
          <w:color w:val="auto"/>
        </w:rPr>
      </w:pPr>
      <w:r w:rsidRPr="00A53314">
        <w:rPr>
          <w:rFonts w:cs="Calibri"/>
          <w:color w:val="auto"/>
        </w:rPr>
        <w:lastRenderedPageBreak/>
        <w:t xml:space="preserve">MEMORANDUM FOR DIRECTOR, SECRETARY OF THE NAVY COUNCIL OF REVIEW                  </w:t>
      </w:r>
    </w:p>
    <w:p w:rsidR="00D915DB" w:rsidRPr="00A53314" w:rsidRDefault="00D915DB" w:rsidP="00D915DB">
      <w:pPr>
        <w:tabs>
          <w:tab w:val="left" w:pos="2070"/>
        </w:tabs>
        <w:ind w:left="-360"/>
        <w:jc w:val="left"/>
        <w:rPr>
          <w:rFonts w:cs="Calibri"/>
          <w:color w:val="auto"/>
        </w:rPr>
      </w:pPr>
      <w:r w:rsidRPr="00A53314">
        <w:rPr>
          <w:rFonts w:cs="Calibri"/>
          <w:color w:val="auto"/>
        </w:rPr>
        <w:t xml:space="preserve">                                        </w:t>
      </w:r>
      <w:r w:rsidRPr="00A53314">
        <w:rPr>
          <w:rFonts w:cs="Calibri"/>
          <w:color w:val="auto"/>
        </w:rPr>
        <w:tab/>
        <w:t xml:space="preserve">BOARDS </w:t>
      </w:r>
    </w:p>
    <w:p w:rsidR="00D915DB" w:rsidRPr="00A53314" w:rsidRDefault="00D915DB" w:rsidP="00D915DB">
      <w:pPr>
        <w:jc w:val="left"/>
        <w:rPr>
          <w:rFonts w:cs="Calibri"/>
          <w:color w:val="auto"/>
        </w:rPr>
      </w:pPr>
    </w:p>
    <w:p w:rsidR="00D915DB" w:rsidRPr="00A53314" w:rsidRDefault="00D915DB" w:rsidP="00D915DB">
      <w:pPr>
        <w:ind w:left="-360"/>
        <w:jc w:val="left"/>
        <w:rPr>
          <w:rFonts w:cs="Calibri"/>
          <w:color w:val="auto"/>
        </w:rPr>
      </w:pPr>
      <w:proofErr w:type="spellStart"/>
      <w:r w:rsidRPr="00A53314">
        <w:rPr>
          <w:rFonts w:cs="Calibri"/>
          <w:color w:val="auto"/>
        </w:rPr>
        <w:t>Subj</w:t>
      </w:r>
      <w:proofErr w:type="spellEnd"/>
      <w:r w:rsidRPr="00A53314">
        <w:rPr>
          <w:rFonts w:cs="Calibri"/>
          <w:color w:val="auto"/>
        </w:rPr>
        <w:t>:  PHYSICAL DISABILITY BOARD OF REVIEW (PDBR) RECOMMENDATIONS</w:t>
      </w:r>
    </w:p>
    <w:p w:rsidR="00D915DB" w:rsidRPr="00A53314" w:rsidRDefault="00D915DB" w:rsidP="00D915DB">
      <w:pPr>
        <w:jc w:val="left"/>
        <w:rPr>
          <w:rFonts w:cs="Calibri"/>
          <w:color w:val="auto"/>
        </w:rPr>
      </w:pPr>
    </w:p>
    <w:p w:rsidR="00D915DB" w:rsidRPr="00A53314" w:rsidRDefault="00D915DB" w:rsidP="00D915DB">
      <w:pPr>
        <w:ind w:left="-360"/>
        <w:jc w:val="left"/>
        <w:rPr>
          <w:rFonts w:cs="Calibri"/>
          <w:color w:val="auto"/>
        </w:rPr>
      </w:pPr>
      <w:r w:rsidRPr="00A53314">
        <w:rPr>
          <w:rFonts w:cs="Calibri"/>
          <w:color w:val="auto"/>
        </w:rPr>
        <w:t xml:space="preserve">Ref:   (a) </w:t>
      </w:r>
      <w:proofErr w:type="spellStart"/>
      <w:r w:rsidRPr="00A53314">
        <w:rPr>
          <w:rFonts w:cs="Calibri"/>
          <w:color w:val="auto"/>
        </w:rPr>
        <w:t>DoDI</w:t>
      </w:r>
      <w:proofErr w:type="spellEnd"/>
      <w:r w:rsidRPr="00A53314">
        <w:rPr>
          <w:rFonts w:cs="Calibri"/>
          <w:color w:val="auto"/>
        </w:rPr>
        <w:t xml:space="preserve"> 6040.44</w:t>
      </w:r>
    </w:p>
    <w:p w:rsidR="00D915DB" w:rsidRPr="00A53314" w:rsidRDefault="00D915DB" w:rsidP="00D915DB">
      <w:pPr>
        <w:ind w:left="-540"/>
        <w:jc w:val="left"/>
        <w:rPr>
          <w:rFonts w:cs="Calibri"/>
          <w:color w:val="auto"/>
        </w:rPr>
      </w:pPr>
      <w:r w:rsidRPr="00A53314">
        <w:rPr>
          <w:rFonts w:cs="Calibri"/>
          <w:color w:val="auto"/>
        </w:rPr>
        <w:t xml:space="preserve">             (b) CORB letter </w:t>
      </w:r>
      <w:proofErr w:type="spellStart"/>
      <w:r w:rsidRPr="00A53314">
        <w:rPr>
          <w:rFonts w:cs="Calibri"/>
          <w:color w:val="auto"/>
        </w:rPr>
        <w:t>dtd</w:t>
      </w:r>
      <w:proofErr w:type="spellEnd"/>
      <w:r w:rsidRPr="00A53314">
        <w:rPr>
          <w:rFonts w:cs="Calibri"/>
          <w:color w:val="auto"/>
        </w:rPr>
        <w:t xml:space="preserve"> 6 Mar 12</w:t>
      </w:r>
    </w:p>
    <w:p w:rsidR="00D915DB" w:rsidRPr="00A53314" w:rsidRDefault="00D915DB" w:rsidP="00D915DB">
      <w:pPr>
        <w:ind w:left="-540"/>
        <w:jc w:val="left"/>
        <w:rPr>
          <w:rFonts w:cs="Calibri"/>
          <w:color w:val="auto"/>
        </w:rPr>
      </w:pPr>
    </w:p>
    <w:p w:rsidR="00D915DB" w:rsidRPr="00A53314" w:rsidRDefault="00D915DB" w:rsidP="00D915DB">
      <w:pPr>
        <w:ind w:left="-360"/>
        <w:jc w:val="left"/>
        <w:rPr>
          <w:rFonts w:cs="Calibri"/>
          <w:color w:val="auto"/>
        </w:rPr>
      </w:pPr>
      <w:r w:rsidRPr="00A53314">
        <w:rPr>
          <w:rFonts w:cs="Calibri"/>
          <w:color w:val="auto"/>
        </w:rPr>
        <w:t xml:space="preserve">      In accordance with reference (a), I have reviewed the cases forwarded by reference (b), and, for the reasons provided in their forwarding memorandum, approve the recommendations of the </w:t>
      </w:r>
      <w:proofErr w:type="gramStart"/>
      <w:r w:rsidRPr="00A53314">
        <w:rPr>
          <w:rFonts w:cs="Calibri"/>
          <w:color w:val="auto"/>
        </w:rPr>
        <w:t>PDBR  the</w:t>
      </w:r>
      <w:proofErr w:type="gramEnd"/>
      <w:r w:rsidRPr="00A53314">
        <w:rPr>
          <w:rFonts w:cs="Calibri"/>
          <w:color w:val="auto"/>
        </w:rPr>
        <w:t xml:space="preserve"> following individuals’ records not be corrected to reflect a change in either characterization of separation or in the disability rating previously assigned by the Department of the Navy’s Physical Evaluation Board:</w:t>
      </w:r>
    </w:p>
    <w:p w:rsidR="00D915DB" w:rsidRPr="00A53314" w:rsidRDefault="00D915DB" w:rsidP="00D915DB">
      <w:pPr>
        <w:ind w:left="1080"/>
        <w:jc w:val="left"/>
        <w:rPr>
          <w:rFonts w:cs="Calibri"/>
          <w:color w:val="auto"/>
        </w:rPr>
      </w:pPr>
    </w:p>
    <w:p w:rsidR="00D915DB" w:rsidRPr="00A53314" w:rsidRDefault="00D915DB" w:rsidP="00D915DB">
      <w:pPr>
        <w:ind w:left="1080"/>
        <w:jc w:val="left"/>
        <w:rPr>
          <w:rFonts w:cs="Calibri"/>
          <w:color w:val="auto"/>
        </w:rPr>
      </w:pPr>
    </w:p>
    <w:p w:rsidR="00D915DB" w:rsidRPr="00A53314" w:rsidRDefault="00D915DB" w:rsidP="00D915DB">
      <w:pPr>
        <w:ind w:left="1080"/>
        <w:jc w:val="left"/>
        <w:rPr>
          <w:rFonts w:cs="Calibri"/>
          <w:color w:val="auto"/>
        </w:rPr>
      </w:pPr>
    </w:p>
    <w:p w:rsidR="00D915DB" w:rsidRPr="00A53314" w:rsidRDefault="00D915DB" w:rsidP="00D915DB">
      <w:pPr>
        <w:ind w:left="720"/>
        <w:jc w:val="left"/>
        <w:rPr>
          <w:rFonts w:cs="Calibri"/>
          <w:color w:val="auto"/>
        </w:rPr>
      </w:pPr>
    </w:p>
    <w:p w:rsidR="00D915DB" w:rsidRPr="00A53314" w:rsidRDefault="00D915DB" w:rsidP="00D915DB">
      <w:pPr>
        <w:tabs>
          <w:tab w:val="left" w:pos="4680"/>
        </w:tabs>
        <w:jc w:val="left"/>
        <w:rPr>
          <w:rFonts w:cs="Calibri"/>
          <w:color w:val="auto"/>
        </w:rPr>
      </w:pPr>
      <w:r w:rsidRPr="00A53314">
        <w:rPr>
          <w:rFonts w:cs="Calibri"/>
          <w:color w:val="auto"/>
        </w:rPr>
        <w:tab/>
      </w:r>
    </w:p>
    <w:p w:rsidR="00D915DB" w:rsidRPr="00A53314" w:rsidRDefault="00D915DB" w:rsidP="00D915DB">
      <w:pPr>
        <w:tabs>
          <w:tab w:val="left" w:pos="4680"/>
        </w:tabs>
        <w:jc w:val="left"/>
        <w:rPr>
          <w:rFonts w:cs="Calibri"/>
          <w:color w:val="auto"/>
        </w:rPr>
      </w:pPr>
      <w:r w:rsidRPr="00A53314">
        <w:rPr>
          <w:rFonts w:cs="Calibri"/>
          <w:color w:val="auto"/>
        </w:rPr>
        <w:tab/>
        <w:t>Assistant General Counsel</w:t>
      </w:r>
    </w:p>
    <w:p w:rsidR="00D915DB" w:rsidRPr="00A53314" w:rsidRDefault="00D915DB" w:rsidP="00D915DB">
      <w:pPr>
        <w:tabs>
          <w:tab w:val="left" w:pos="4680"/>
        </w:tabs>
        <w:jc w:val="left"/>
        <w:rPr>
          <w:rFonts w:cs="Calibri"/>
          <w:color w:val="auto"/>
        </w:rPr>
      </w:pPr>
      <w:r w:rsidRPr="00A53314">
        <w:rPr>
          <w:rFonts w:cs="Calibri"/>
          <w:color w:val="auto"/>
        </w:rPr>
        <w:tab/>
        <w:t xml:space="preserve">  (Manpower &amp; Reserve Affairs)</w:t>
      </w:r>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C2" w:rsidRDefault="00555BC2">
      <w:r>
        <w:separator/>
      </w:r>
    </w:p>
  </w:endnote>
  <w:endnote w:type="continuationSeparator" w:id="0">
    <w:p w:rsidR="00555BC2" w:rsidRDefault="00555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E3C08" w:rsidRPr="00374247" w:rsidRDefault="00FE3C08" w:rsidP="00374247">
        <w:pPr>
          <w:pStyle w:val="Footer"/>
          <w:ind w:firstLine="4320"/>
          <w:rPr>
            <w:color w:val="auto"/>
            <w:szCs w:val="24"/>
          </w:rPr>
        </w:pPr>
        <w:r w:rsidRPr="00374247">
          <w:rPr>
            <w:color w:val="auto"/>
            <w:szCs w:val="24"/>
          </w:rPr>
          <w:t xml:space="preserve">   </w:t>
        </w:r>
        <w:r w:rsidR="00765CE5" w:rsidRPr="00D856CC">
          <w:rPr>
            <w:color w:val="auto"/>
            <w:szCs w:val="24"/>
          </w:rPr>
          <w:fldChar w:fldCharType="begin"/>
        </w:r>
        <w:r w:rsidRPr="00D856CC">
          <w:rPr>
            <w:color w:val="auto"/>
            <w:szCs w:val="24"/>
          </w:rPr>
          <w:instrText xml:space="preserve"> PAGE   \* MERGEFORMAT </w:instrText>
        </w:r>
        <w:r w:rsidR="00765CE5" w:rsidRPr="00D856CC">
          <w:rPr>
            <w:color w:val="auto"/>
            <w:szCs w:val="24"/>
          </w:rPr>
          <w:fldChar w:fldCharType="separate"/>
        </w:r>
        <w:r w:rsidR="00D915DB" w:rsidRPr="00D915DB">
          <w:rPr>
            <w:noProof/>
            <w:color w:val="auto"/>
          </w:rPr>
          <w:t>6</w:t>
        </w:r>
        <w:r w:rsidR="00765CE5" w:rsidRPr="00D856CC">
          <w:rPr>
            <w:color w:val="auto"/>
            <w:szCs w:val="24"/>
          </w:rPr>
          <w:fldChar w:fldCharType="end"/>
        </w:r>
        <w:r w:rsidRPr="00D856CC">
          <w:rPr>
            <w:color w:val="auto"/>
            <w:szCs w:val="24"/>
          </w:rPr>
          <w:t xml:space="preserve">                                                           PD1100494</w:t>
        </w:r>
      </w:p>
    </w:sdtContent>
  </w:sdt>
  <w:p w:rsidR="00FE3C08" w:rsidRPr="00684CE6" w:rsidRDefault="00FE3C0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C2" w:rsidRDefault="00555BC2">
      <w:r>
        <w:separator/>
      </w:r>
    </w:p>
  </w:footnote>
  <w:footnote w:type="continuationSeparator" w:id="0">
    <w:p w:rsidR="00555BC2" w:rsidRDefault="00555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87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A1C"/>
    <w:rsid w:val="00035C3A"/>
    <w:rsid w:val="00036E4B"/>
    <w:rsid w:val="00037929"/>
    <w:rsid w:val="000379D0"/>
    <w:rsid w:val="00040FC4"/>
    <w:rsid w:val="000416F8"/>
    <w:rsid w:val="00041D84"/>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7783C"/>
    <w:rsid w:val="000806AD"/>
    <w:rsid w:val="00080BDF"/>
    <w:rsid w:val="00080C57"/>
    <w:rsid w:val="00082482"/>
    <w:rsid w:val="00082CA0"/>
    <w:rsid w:val="00084CF2"/>
    <w:rsid w:val="00085D7B"/>
    <w:rsid w:val="0008708B"/>
    <w:rsid w:val="00092619"/>
    <w:rsid w:val="00092C66"/>
    <w:rsid w:val="00094968"/>
    <w:rsid w:val="000949DD"/>
    <w:rsid w:val="00094E4F"/>
    <w:rsid w:val="000972C5"/>
    <w:rsid w:val="000A2BCE"/>
    <w:rsid w:val="000A31E2"/>
    <w:rsid w:val="000A33C8"/>
    <w:rsid w:val="000A41E3"/>
    <w:rsid w:val="000A4BBA"/>
    <w:rsid w:val="000A4D6A"/>
    <w:rsid w:val="000A5071"/>
    <w:rsid w:val="000B0AD2"/>
    <w:rsid w:val="000B1022"/>
    <w:rsid w:val="000B1C2F"/>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1FB"/>
    <w:rsid w:val="00113D2A"/>
    <w:rsid w:val="00114F20"/>
    <w:rsid w:val="0011590B"/>
    <w:rsid w:val="00117CA8"/>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4743D"/>
    <w:rsid w:val="00150B8A"/>
    <w:rsid w:val="00150DCB"/>
    <w:rsid w:val="00151912"/>
    <w:rsid w:val="00153740"/>
    <w:rsid w:val="001537D8"/>
    <w:rsid w:val="00153D88"/>
    <w:rsid w:val="001541C5"/>
    <w:rsid w:val="001554E4"/>
    <w:rsid w:val="0015623F"/>
    <w:rsid w:val="00156585"/>
    <w:rsid w:val="00156BA9"/>
    <w:rsid w:val="00161642"/>
    <w:rsid w:val="00161761"/>
    <w:rsid w:val="00166182"/>
    <w:rsid w:val="001665A7"/>
    <w:rsid w:val="00167E6E"/>
    <w:rsid w:val="0017038B"/>
    <w:rsid w:val="00170C94"/>
    <w:rsid w:val="0017139A"/>
    <w:rsid w:val="00171718"/>
    <w:rsid w:val="001724C8"/>
    <w:rsid w:val="001732C4"/>
    <w:rsid w:val="001745DD"/>
    <w:rsid w:val="00174FDE"/>
    <w:rsid w:val="00174FE3"/>
    <w:rsid w:val="00176D63"/>
    <w:rsid w:val="00177659"/>
    <w:rsid w:val="00177702"/>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2D61"/>
    <w:rsid w:val="00193814"/>
    <w:rsid w:val="00193AAB"/>
    <w:rsid w:val="00193AD5"/>
    <w:rsid w:val="00194930"/>
    <w:rsid w:val="00195AAC"/>
    <w:rsid w:val="001A025E"/>
    <w:rsid w:val="001A08CD"/>
    <w:rsid w:val="001A0A1E"/>
    <w:rsid w:val="001A104F"/>
    <w:rsid w:val="001A1283"/>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5076"/>
    <w:rsid w:val="001D64F3"/>
    <w:rsid w:val="001D68CF"/>
    <w:rsid w:val="001D6A8C"/>
    <w:rsid w:val="001D7A56"/>
    <w:rsid w:val="001E15C0"/>
    <w:rsid w:val="001E18E0"/>
    <w:rsid w:val="001E18E2"/>
    <w:rsid w:val="001E19D0"/>
    <w:rsid w:val="001E2A30"/>
    <w:rsid w:val="001E2FF1"/>
    <w:rsid w:val="001E3FE1"/>
    <w:rsid w:val="001E41FE"/>
    <w:rsid w:val="001E635C"/>
    <w:rsid w:val="001E7B73"/>
    <w:rsid w:val="001F0297"/>
    <w:rsid w:val="001F29F9"/>
    <w:rsid w:val="001F2BDA"/>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5EF7"/>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5EE7"/>
    <w:rsid w:val="002769AF"/>
    <w:rsid w:val="00276C86"/>
    <w:rsid w:val="00276FD0"/>
    <w:rsid w:val="00277217"/>
    <w:rsid w:val="002810A4"/>
    <w:rsid w:val="002822FC"/>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6E4"/>
    <w:rsid w:val="00305856"/>
    <w:rsid w:val="00305867"/>
    <w:rsid w:val="0030678B"/>
    <w:rsid w:val="00306D16"/>
    <w:rsid w:val="00307595"/>
    <w:rsid w:val="00307DA6"/>
    <w:rsid w:val="00310CD7"/>
    <w:rsid w:val="00313538"/>
    <w:rsid w:val="00313C3A"/>
    <w:rsid w:val="00313D7A"/>
    <w:rsid w:val="00314789"/>
    <w:rsid w:val="0031512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5C9"/>
    <w:rsid w:val="0033601F"/>
    <w:rsid w:val="00336805"/>
    <w:rsid w:val="00337351"/>
    <w:rsid w:val="00341A54"/>
    <w:rsid w:val="00344A4F"/>
    <w:rsid w:val="00344D17"/>
    <w:rsid w:val="00345243"/>
    <w:rsid w:val="0034669F"/>
    <w:rsid w:val="003470C4"/>
    <w:rsid w:val="0035055D"/>
    <w:rsid w:val="00351498"/>
    <w:rsid w:val="00352B22"/>
    <w:rsid w:val="00352CBF"/>
    <w:rsid w:val="00354547"/>
    <w:rsid w:val="003549F5"/>
    <w:rsid w:val="00355ACB"/>
    <w:rsid w:val="003567DE"/>
    <w:rsid w:val="003574F3"/>
    <w:rsid w:val="00357831"/>
    <w:rsid w:val="003604A5"/>
    <w:rsid w:val="0036114B"/>
    <w:rsid w:val="0036189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099"/>
    <w:rsid w:val="0039251E"/>
    <w:rsid w:val="00393651"/>
    <w:rsid w:val="00394926"/>
    <w:rsid w:val="00394FF9"/>
    <w:rsid w:val="00395651"/>
    <w:rsid w:val="00395E12"/>
    <w:rsid w:val="003962A8"/>
    <w:rsid w:val="00396779"/>
    <w:rsid w:val="00397DB7"/>
    <w:rsid w:val="003A27B2"/>
    <w:rsid w:val="003A2AF9"/>
    <w:rsid w:val="003A3A53"/>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5201"/>
    <w:rsid w:val="004761CC"/>
    <w:rsid w:val="004766C9"/>
    <w:rsid w:val="00480D4A"/>
    <w:rsid w:val="00481DA1"/>
    <w:rsid w:val="004824E8"/>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6DE"/>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0B0"/>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55C6"/>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BC2"/>
    <w:rsid w:val="00555C66"/>
    <w:rsid w:val="005569EF"/>
    <w:rsid w:val="00556BDE"/>
    <w:rsid w:val="00560D1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5F3D"/>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4D0"/>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267"/>
    <w:rsid w:val="006C1D6E"/>
    <w:rsid w:val="006C2EF6"/>
    <w:rsid w:val="006C3A68"/>
    <w:rsid w:val="006C3B08"/>
    <w:rsid w:val="006C6AB1"/>
    <w:rsid w:val="006C6E6B"/>
    <w:rsid w:val="006C73D4"/>
    <w:rsid w:val="006D145F"/>
    <w:rsid w:val="006D16B8"/>
    <w:rsid w:val="006D2000"/>
    <w:rsid w:val="006D2D39"/>
    <w:rsid w:val="006D2F31"/>
    <w:rsid w:val="006D4250"/>
    <w:rsid w:val="006D4E0E"/>
    <w:rsid w:val="006D5861"/>
    <w:rsid w:val="006D5CE2"/>
    <w:rsid w:val="006D7854"/>
    <w:rsid w:val="006E06D1"/>
    <w:rsid w:val="006E122E"/>
    <w:rsid w:val="006E1313"/>
    <w:rsid w:val="006E2DC8"/>
    <w:rsid w:val="006E57E1"/>
    <w:rsid w:val="006E58CB"/>
    <w:rsid w:val="006E6B68"/>
    <w:rsid w:val="006E7356"/>
    <w:rsid w:val="006E77C8"/>
    <w:rsid w:val="006F0CB8"/>
    <w:rsid w:val="006F0F9C"/>
    <w:rsid w:val="006F149D"/>
    <w:rsid w:val="006F1A46"/>
    <w:rsid w:val="006F45A0"/>
    <w:rsid w:val="006F4F06"/>
    <w:rsid w:val="006F5A4E"/>
    <w:rsid w:val="006F5D37"/>
    <w:rsid w:val="006F6005"/>
    <w:rsid w:val="007005EA"/>
    <w:rsid w:val="00700D54"/>
    <w:rsid w:val="0070220D"/>
    <w:rsid w:val="00702765"/>
    <w:rsid w:val="00702CA3"/>
    <w:rsid w:val="00703B6C"/>
    <w:rsid w:val="00703BB0"/>
    <w:rsid w:val="007042CA"/>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677"/>
    <w:rsid w:val="00750C82"/>
    <w:rsid w:val="00750E3A"/>
    <w:rsid w:val="00752035"/>
    <w:rsid w:val="0076100C"/>
    <w:rsid w:val="007612A5"/>
    <w:rsid w:val="00763CAE"/>
    <w:rsid w:val="00763F95"/>
    <w:rsid w:val="007651ED"/>
    <w:rsid w:val="00765CE5"/>
    <w:rsid w:val="00766C87"/>
    <w:rsid w:val="007705CE"/>
    <w:rsid w:val="00771043"/>
    <w:rsid w:val="0077272B"/>
    <w:rsid w:val="00773AF7"/>
    <w:rsid w:val="00774FFD"/>
    <w:rsid w:val="00780378"/>
    <w:rsid w:val="0078078F"/>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0BF2"/>
    <w:rsid w:val="007A0E7D"/>
    <w:rsid w:val="007A14A4"/>
    <w:rsid w:val="007A168F"/>
    <w:rsid w:val="007A2346"/>
    <w:rsid w:val="007A28E4"/>
    <w:rsid w:val="007A3BB3"/>
    <w:rsid w:val="007A3F91"/>
    <w:rsid w:val="007A3F9C"/>
    <w:rsid w:val="007A5AD1"/>
    <w:rsid w:val="007A5B7B"/>
    <w:rsid w:val="007A65A9"/>
    <w:rsid w:val="007A684A"/>
    <w:rsid w:val="007A7FD8"/>
    <w:rsid w:val="007B0128"/>
    <w:rsid w:val="007B0635"/>
    <w:rsid w:val="007B0A06"/>
    <w:rsid w:val="007B0B24"/>
    <w:rsid w:val="007B0F8B"/>
    <w:rsid w:val="007B1C83"/>
    <w:rsid w:val="007B1D88"/>
    <w:rsid w:val="007B4181"/>
    <w:rsid w:val="007B4989"/>
    <w:rsid w:val="007B5746"/>
    <w:rsid w:val="007B5C5C"/>
    <w:rsid w:val="007B62E6"/>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00E"/>
    <w:rsid w:val="007D21AC"/>
    <w:rsid w:val="007D24B0"/>
    <w:rsid w:val="007D3882"/>
    <w:rsid w:val="007D39E4"/>
    <w:rsid w:val="007D3FE7"/>
    <w:rsid w:val="007D4CFC"/>
    <w:rsid w:val="007D568A"/>
    <w:rsid w:val="007D574E"/>
    <w:rsid w:val="007D57C0"/>
    <w:rsid w:val="007D67CB"/>
    <w:rsid w:val="007D6BFE"/>
    <w:rsid w:val="007E176C"/>
    <w:rsid w:val="007E2046"/>
    <w:rsid w:val="007E364B"/>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71D"/>
    <w:rsid w:val="0080058D"/>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3CD"/>
    <w:rsid w:val="00817572"/>
    <w:rsid w:val="00817713"/>
    <w:rsid w:val="008208C3"/>
    <w:rsid w:val="00821A21"/>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65C"/>
    <w:rsid w:val="00860869"/>
    <w:rsid w:val="00860E60"/>
    <w:rsid w:val="0086102A"/>
    <w:rsid w:val="0086162B"/>
    <w:rsid w:val="00861710"/>
    <w:rsid w:val="00861D5C"/>
    <w:rsid w:val="00861E7C"/>
    <w:rsid w:val="0086429C"/>
    <w:rsid w:val="00865207"/>
    <w:rsid w:val="008656A7"/>
    <w:rsid w:val="008657D9"/>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DDF"/>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1C7"/>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29CA"/>
    <w:rsid w:val="00914ADB"/>
    <w:rsid w:val="009161E8"/>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47C7"/>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55F"/>
    <w:rsid w:val="0096168C"/>
    <w:rsid w:val="00961840"/>
    <w:rsid w:val="009624FF"/>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3C9"/>
    <w:rsid w:val="009A1643"/>
    <w:rsid w:val="009A215A"/>
    <w:rsid w:val="009A26B9"/>
    <w:rsid w:val="009A49D3"/>
    <w:rsid w:val="009A4CBF"/>
    <w:rsid w:val="009A4F1B"/>
    <w:rsid w:val="009A66C5"/>
    <w:rsid w:val="009A66E7"/>
    <w:rsid w:val="009A79BA"/>
    <w:rsid w:val="009B10F9"/>
    <w:rsid w:val="009B14D1"/>
    <w:rsid w:val="009B1534"/>
    <w:rsid w:val="009B440D"/>
    <w:rsid w:val="009B4963"/>
    <w:rsid w:val="009B4A3B"/>
    <w:rsid w:val="009B6023"/>
    <w:rsid w:val="009B69D3"/>
    <w:rsid w:val="009B721E"/>
    <w:rsid w:val="009B7867"/>
    <w:rsid w:val="009B7BA7"/>
    <w:rsid w:val="009B7C01"/>
    <w:rsid w:val="009C0938"/>
    <w:rsid w:val="009C0C22"/>
    <w:rsid w:val="009C15D9"/>
    <w:rsid w:val="009C1A1D"/>
    <w:rsid w:val="009C22C8"/>
    <w:rsid w:val="009C3F82"/>
    <w:rsid w:val="009C582A"/>
    <w:rsid w:val="009C5C56"/>
    <w:rsid w:val="009C72DD"/>
    <w:rsid w:val="009C74CB"/>
    <w:rsid w:val="009C78FD"/>
    <w:rsid w:val="009C7DF5"/>
    <w:rsid w:val="009D056C"/>
    <w:rsid w:val="009D060F"/>
    <w:rsid w:val="009D1ADE"/>
    <w:rsid w:val="009D21D9"/>
    <w:rsid w:val="009D297C"/>
    <w:rsid w:val="009D3652"/>
    <w:rsid w:val="009D37CA"/>
    <w:rsid w:val="009D4229"/>
    <w:rsid w:val="009D4268"/>
    <w:rsid w:val="009D59A9"/>
    <w:rsid w:val="009D5DE9"/>
    <w:rsid w:val="009E09D0"/>
    <w:rsid w:val="009E1181"/>
    <w:rsid w:val="009E1283"/>
    <w:rsid w:val="009E3A7F"/>
    <w:rsid w:val="009E4C9B"/>
    <w:rsid w:val="009E4DFC"/>
    <w:rsid w:val="009E5789"/>
    <w:rsid w:val="009E57B1"/>
    <w:rsid w:val="009E6379"/>
    <w:rsid w:val="009F020F"/>
    <w:rsid w:val="009F1953"/>
    <w:rsid w:val="009F3B63"/>
    <w:rsid w:val="009F43E2"/>
    <w:rsid w:val="009F6292"/>
    <w:rsid w:val="009F7809"/>
    <w:rsid w:val="009F7822"/>
    <w:rsid w:val="009F7AF5"/>
    <w:rsid w:val="00A00613"/>
    <w:rsid w:val="00A006F1"/>
    <w:rsid w:val="00A007A7"/>
    <w:rsid w:val="00A00AFE"/>
    <w:rsid w:val="00A00D14"/>
    <w:rsid w:val="00A01408"/>
    <w:rsid w:val="00A02457"/>
    <w:rsid w:val="00A02AA8"/>
    <w:rsid w:val="00A03190"/>
    <w:rsid w:val="00A03A9E"/>
    <w:rsid w:val="00A03B33"/>
    <w:rsid w:val="00A0404B"/>
    <w:rsid w:val="00A06F66"/>
    <w:rsid w:val="00A0798C"/>
    <w:rsid w:val="00A07BDD"/>
    <w:rsid w:val="00A07F12"/>
    <w:rsid w:val="00A1105B"/>
    <w:rsid w:val="00A1213C"/>
    <w:rsid w:val="00A130E8"/>
    <w:rsid w:val="00A14DF5"/>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5FC5"/>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2CA"/>
    <w:rsid w:val="00A82C52"/>
    <w:rsid w:val="00A838E8"/>
    <w:rsid w:val="00A83C15"/>
    <w:rsid w:val="00A84EC4"/>
    <w:rsid w:val="00A86CB6"/>
    <w:rsid w:val="00A90D55"/>
    <w:rsid w:val="00A9225E"/>
    <w:rsid w:val="00A944D8"/>
    <w:rsid w:val="00A947D4"/>
    <w:rsid w:val="00A959E7"/>
    <w:rsid w:val="00A95BBA"/>
    <w:rsid w:val="00A961EE"/>
    <w:rsid w:val="00A96559"/>
    <w:rsid w:val="00A97B11"/>
    <w:rsid w:val="00A97CD9"/>
    <w:rsid w:val="00AA020A"/>
    <w:rsid w:val="00AA04B3"/>
    <w:rsid w:val="00AA1253"/>
    <w:rsid w:val="00AA1ED0"/>
    <w:rsid w:val="00AA1F5B"/>
    <w:rsid w:val="00AA28EF"/>
    <w:rsid w:val="00AA2C8D"/>
    <w:rsid w:val="00AA3593"/>
    <w:rsid w:val="00AA38CA"/>
    <w:rsid w:val="00AA4251"/>
    <w:rsid w:val="00AA493E"/>
    <w:rsid w:val="00AA73AF"/>
    <w:rsid w:val="00AB062D"/>
    <w:rsid w:val="00AB0A8A"/>
    <w:rsid w:val="00AB0F51"/>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66B"/>
    <w:rsid w:val="00AD5771"/>
    <w:rsid w:val="00AD6870"/>
    <w:rsid w:val="00AD68C5"/>
    <w:rsid w:val="00AD77FB"/>
    <w:rsid w:val="00AD7F8F"/>
    <w:rsid w:val="00AE0BF9"/>
    <w:rsid w:val="00AE1273"/>
    <w:rsid w:val="00AE18C5"/>
    <w:rsid w:val="00AE2540"/>
    <w:rsid w:val="00AE27CD"/>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4DF9"/>
    <w:rsid w:val="00B06930"/>
    <w:rsid w:val="00B0773A"/>
    <w:rsid w:val="00B07955"/>
    <w:rsid w:val="00B1176B"/>
    <w:rsid w:val="00B140B8"/>
    <w:rsid w:val="00B14FAA"/>
    <w:rsid w:val="00B15BED"/>
    <w:rsid w:val="00B15D30"/>
    <w:rsid w:val="00B15F09"/>
    <w:rsid w:val="00B166FC"/>
    <w:rsid w:val="00B16D18"/>
    <w:rsid w:val="00B177DE"/>
    <w:rsid w:val="00B20624"/>
    <w:rsid w:val="00B21F2F"/>
    <w:rsid w:val="00B23436"/>
    <w:rsid w:val="00B237F1"/>
    <w:rsid w:val="00B23C50"/>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793"/>
    <w:rsid w:val="00B57921"/>
    <w:rsid w:val="00B57E78"/>
    <w:rsid w:val="00B57EB8"/>
    <w:rsid w:val="00B609F6"/>
    <w:rsid w:val="00B60E75"/>
    <w:rsid w:val="00B643A6"/>
    <w:rsid w:val="00B64DD6"/>
    <w:rsid w:val="00B658B5"/>
    <w:rsid w:val="00B66505"/>
    <w:rsid w:val="00B6710C"/>
    <w:rsid w:val="00B67E84"/>
    <w:rsid w:val="00B7192E"/>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61D2"/>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6EBC"/>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E670C"/>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0B2"/>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2B0C"/>
    <w:rsid w:val="00C34168"/>
    <w:rsid w:val="00C34247"/>
    <w:rsid w:val="00C34326"/>
    <w:rsid w:val="00C34CEB"/>
    <w:rsid w:val="00C36201"/>
    <w:rsid w:val="00C368E8"/>
    <w:rsid w:val="00C36C3D"/>
    <w:rsid w:val="00C36E2C"/>
    <w:rsid w:val="00C372C7"/>
    <w:rsid w:val="00C376A7"/>
    <w:rsid w:val="00C40124"/>
    <w:rsid w:val="00C42443"/>
    <w:rsid w:val="00C42CBA"/>
    <w:rsid w:val="00C4338C"/>
    <w:rsid w:val="00C43C2B"/>
    <w:rsid w:val="00C456D9"/>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2066"/>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37CC"/>
    <w:rsid w:val="00C94CB6"/>
    <w:rsid w:val="00C95299"/>
    <w:rsid w:val="00C95A72"/>
    <w:rsid w:val="00C9650E"/>
    <w:rsid w:val="00C97000"/>
    <w:rsid w:val="00C975BD"/>
    <w:rsid w:val="00CA068D"/>
    <w:rsid w:val="00CA08DF"/>
    <w:rsid w:val="00CA1228"/>
    <w:rsid w:val="00CA1C73"/>
    <w:rsid w:val="00CA1CE4"/>
    <w:rsid w:val="00CA282D"/>
    <w:rsid w:val="00CA3247"/>
    <w:rsid w:val="00CA3F73"/>
    <w:rsid w:val="00CA4670"/>
    <w:rsid w:val="00CA5F89"/>
    <w:rsid w:val="00CA6B1A"/>
    <w:rsid w:val="00CB0C1F"/>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212"/>
    <w:rsid w:val="00CC78A2"/>
    <w:rsid w:val="00CC7DF8"/>
    <w:rsid w:val="00CD15BE"/>
    <w:rsid w:val="00CD1EF2"/>
    <w:rsid w:val="00CD1F6F"/>
    <w:rsid w:val="00CD32BD"/>
    <w:rsid w:val="00CD34C7"/>
    <w:rsid w:val="00CD5653"/>
    <w:rsid w:val="00CD5E6D"/>
    <w:rsid w:val="00CD63C8"/>
    <w:rsid w:val="00CD76F8"/>
    <w:rsid w:val="00CD78A5"/>
    <w:rsid w:val="00CE02E8"/>
    <w:rsid w:val="00CE069E"/>
    <w:rsid w:val="00CE0DE0"/>
    <w:rsid w:val="00CE2CC2"/>
    <w:rsid w:val="00CE3722"/>
    <w:rsid w:val="00CF0107"/>
    <w:rsid w:val="00CF070E"/>
    <w:rsid w:val="00CF158D"/>
    <w:rsid w:val="00CF2166"/>
    <w:rsid w:val="00CF4340"/>
    <w:rsid w:val="00CF4394"/>
    <w:rsid w:val="00CF48B4"/>
    <w:rsid w:val="00CF5C12"/>
    <w:rsid w:val="00CF6E6E"/>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07F24"/>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6F33"/>
    <w:rsid w:val="00D270FE"/>
    <w:rsid w:val="00D27C99"/>
    <w:rsid w:val="00D31683"/>
    <w:rsid w:val="00D33452"/>
    <w:rsid w:val="00D336C8"/>
    <w:rsid w:val="00D339E8"/>
    <w:rsid w:val="00D33FDD"/>
    <w:rsid w:val="00D3654A"/>
    <w:rsid w:val="00D3662E"/>
    <w:rsid w:val="00D373F1"/>
    <w:rsid w:val="00D37567"/>
    <w:rsid w:val="00D37BE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E64"/>
    <w:rsid w:val="00D60483"/>
    <w:rsid w:val="00D61ABB"/>
    <w:rsid w:val="00D62D5C"/>
    <w:rsid w:val="00D63577"/>
    <w:rsid w:val="00D66310"/>
    <w:rsid w:val="00D67FD7"/>
    <w:rsid w:val="00D704E4"/>
    <w:rsid w:val="00D70D77"/>
    <w:rsid w:val="00D72410"/>
    <w:rsid w:val="00D73D53"/>
    <w:rsid w:val="00D7402C"/>
    <w:rsid w:val="00D7408A"/>
    <w:rsid w:val="00D74261"/>
    <w:rsid w:val="00D7441B"/>
    <w:rsid w:val="00D75589"/>
    <w:rsid w:val="00D75CAB"/>
    <w:rsid w:val="00D76AB2"/>
    <w:rsid w:val="00D80490"/>
    <w:rsid w:val="00D828F9"/>
    <w:rsid w:val="00D829AD"/>
    <w:rsid w:val="00D82EE2"/>
    <w:rsid w:val="00D83D1B"/>
    <w:rsid w:val="00D84133"/>
    <w:rsid w:val="00D84B8D"/>
    <w:rsid w:val="00D8545C"/>
    <w:rsid w:val="00D856CC"/>
    <w:rsid w:val="00D86AB5"/>
    <w:rsid w:val="00D86E57"/>
    <w:rsid w:val="00D876AD"/>
    <w:rsid w:val="00D87788"/>
    <w:rsid w:val="00D877C8"/>
    <w:rsid w:val="00D91040"/>
    <w:rsid w:val="00D910C2"/>
    <w:rsid w:val="00D915DB"/>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4B03"/>
    <w:rsid w:val="00DA5564"/>
    <w:rsid w:val="00DA6B55"/>
    <w:rsid w:val="00DA6B97"/>
    <w:rsid w:val="00DA6CEE"/>
    <w:rsid w:val="00DB0015"/>
    <w:rsid w:val="00DB0359"/>
    <w:rsid w:val="00DB0ABB"/>
    <w:rsid w:val="00DB2AAD"/>
    <w:rsid w:val="00DB3B28"/>
    <w:rsid w:val="00DB44E2"/>
    <w:rsid w:val="00DB4A6D"/>
    <w:rsid w:val="00DB5941"/>
    <w:rsid w:val="00DB626D"/>
    <w:rsid w:val="00DB6365"/>
    <w:rsid w:val="00DB756C"/>
    <w:rsid w:val="00DC07B7"/>
    <w:rsid w:val="00DC0BF1"/>
    <w:rsid w:val="00DC17F2"/>
    <w:rsid w:val="00DC1ED5"/>
    <w:rsid w:val="00DC4001"/>
    <w:rsid w:val="00DC41C3"/>
    <w:rsid w:val="00DC4A3C"/>
    <w:rsid w:val="00DC4FA4"/>
    <w:rsid w:val="00DC5B37"/>
    <w:rsid w:val="00DD286D"/>
    <w:rsid w:val="00DD2CAF"/>
    <w:rsid w:val="00DD3593"/>
    <w:rsid w:val="00DD64E0"/>
    <w:rsid w:val="00DD6AC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3557"/>
    <w:rsid w:val="00E2421B"/>
    <w:rsid w:val="00E242AF"/>
    <w:rsid w:val="00E24849"/>
    <w:rsid w:val="00E2536E"/>
    <w:rsid w:val="00E25A64"/>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1DDE"/>
    <w:rsid w:val="00E9265E"/>
    <w:rsid w:val="00E956DB"/>
    <w:rsid w:val="00E9763D"/>
    <w:rsid w:val="00EA10E2"/>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29E"/>
    <w:rsid w:val="00EB47D8"/>
    <w:rsid w:val="00EB4DF9"/>
    <w:rsid w:val="00EB57D3"/>
    <w:rsid w:val="00EB5EFD"/>
    <w:rsid w:val="00EB679F"/>
    <w:rsid w:val="00EB76E4"/>
    <w:rsid w:val="00EC0E65"/>
    <w:rsid w:val="00EC1251"/>
    <w:rsid w:val="00EC2938"/>
    <w:rsid w:val="00EC337D"/>
    <w:rsid w:val="00EC38EF"/>
    <w:rsid w:val="00EC50C9"/>
    <w:rsid w:val="00EC58B4"/>
    <w:rsid w:val="00EC5BB2"/>
    <w:rsid w:val="00EC6A7C"/>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5C4"/>
    <w:rsid w:val="00EE23DE"/>
    <w:rsid w:val="00EE48BB"/>
    <w:rsid w:val="00EE6FE0"/>
    <w:rsid w:val="00EE704A"/>
    <w:rsid w:val="00EE7840"/>
    <w:rsid w:val="00EF2E75"/>
    <w:rsid w:val="00EF4C74"/>
    <w:rsid w:val="00EF5268"/>
    <w:rsid w:val="00EF608E"/>
    <w:rsid w:val="00EF6C4A"/>
    <w:rsid w:val="00F0044B"/>
    <w:rsid w:val="00F00E60"/>
    <w:rsid w:val="00F019F7"/>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EEF"/>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2C98"/>
    <w:rsid w:val="00F93C74"/>
    <w:rsid w:val="00F93CE7"/>
    <w:rsid w:val="00F93DCC"/>
    <w:rsid w:val="00F9435D"/>
    <w:rsid w:val="00F9621E"/>
    <w:rsid w:val="00F96663"/>
    <w:rsid w:val="00F966F9"/>
    <w:rsid w:val="00F96F61"/>
    <w:rsid w:val="00F97740"/>
    <w:rsid w:val="00FA0C1B"/>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A32"/>
    <w:rsid w:val="00FC78FB"/>
    <w:rsid w:val="00FC7DBC"/>
    <w:rsid w:val="00FD076A"/>
    <w:rsid w:val="00FD0AA0"/>
    <w:rsid w:val="00FD1D5A"/>
    <w:rsid w:val="00FD5059"/>
    <w:rsid w:val="00FD554D"/>
    <w:rsid w:val="00FD5BCC"/>
    <w:rsid w:val="00FD7B23"/>
    <w:rsid w:val="00FE2A48"/>
    <w:rsid w:val="00FE2DEF"/>
    <w:rsid w:val="00FE323C"/>
    <w:rsid w:val="00FE3A27"/>
    <w:rsid w:val="00FE3C08"/>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E38A-C64B-49E5-BD4A-29C4B5C2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2012-02-27T14:07:00Z</dcterms:created>
  <dcterms:modified xsi:type="dcterms:W3CDTF">2012-04-06T15:25:00Z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