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Pr="0028047A" w:rsidRDefault="00F629C0" w:rsidP="00E0346A">
      <w:pPr>
        <w:tabs>
          <w:tab w:val="left" w:pos="288"/>
          <w:tab w:val="left" w:pos="4752"/>
          <w:tab w:val="left" w:pos="5130"/>
          <w:tab w:val="left" w:pos="9270"/>
        </w:tabs>
        <w:spacing w:line="240" w:lineRule="exact"/>
        <w:jc w:val="both"/>
        <w:rPr>
          <w:caps/>
          <w:color w:val="auto"/>
        </w:rPr>
      </w:pPr>
      <w:r w:rsidRPr="00FD6C41">
        <w:rPr>
          <w:caps/>
          <w:color w:val="auto"/>
        </w:rPr>
        <w:t xml:space="preserve">NAME: </w:t>
      </w:r>
      <w:r>
        <w:rPr>
          <w:caps/>
          <w:color w:val="auto"/>
        </w:rPr>
        <w:t xml:space="preserve"> </w:t>
      </w:r>
      <w:r w:rsidR="005325BC">
        <w:rPr>
          <w:caps/>
          <w:color w:val="auto"/>
        </w:rPr>
        <w:t>XXXXXXXXXXXXXX</w:t>
      </w:r>
      <w:r w:rsidR="00D43197" w:rsidRPr="0028047A">
        <w:rPr>
          <w:caps/>
          <w:color w:val="auto"/>
        </w:rPr>
        <w:t xml:space="preserve"> </w:t>
      </w:r>
      <w:r w:rsidR="004216DA" w:rsidRPr="0028047A">
        <w:rPr>
          <w:caps/>
          <w:color w:val="auto"/>
        </w:rPr>
        <w:t xml:space="preserve">             </w:t>
      </w:r>
      <w:r w:rsidR="00332DE3" w:rsidRPr="0028047A">
        <w:rPr>
          <w:caps/>
          <w:color w:val="auto"/>
        </w:rPr>
        <w:t xml:space="preserve"> </w:t>
      </w:r>
      <w:r w:rsidR="004216DA" w:rsidRPr="0028047A">
        <w:rPr>
          <w:caps/>
          <w:color w:val="auto"/>
        </w:rPr>
        <w:t xml:space="preserve">  </w:t>
      </w:r>
      <w:r w:rsidR="00D43197" w:rsidRPr="0028047A">
        <w:rPr>
          <w:caps/>
          <w:color w:val="auto"/>
        </w:rPr>
        <w:t xml:space="preserve">                     </w:t>
      </w:r>
      <w:r w:rsidR="00FE7F68" w:rsidRPr="0028047A">
        <w:rPr>
          <w:caps/>
          <w:color w:val="auto"/>
        </w:rPr>
        <w:t xml:space="preserve">                               </w:t>
      </w:r>
      <w:r w:rsidR="00D21035" w:rsidRPr="0028047A">
        <w:rPr>
          <w:caps/>
          <w:color w:val="auto"/>
        </w:rPr>
        <w:t xml:space="preserve">  </w:t>
      </w:r>
      <w:r w:rsidR="00A96097" w:rsidRPr="0028047A">
        <w:rPr>
          <w:caps/>
          <w:color w:val="auto"/>
        </w:rPr>
        <w:t>B</w:t>
      </w:r>
      <w:r w:rsidRPr="0028047A">
        <w:rPr>
          <w:caps/>
          <w:color w:val="auto"/>
        </w:rPr>
        <w:t xml:space="preserve">RANCH OF SERVICE: </w:t>
      </w:r>
      <w:r w:rsidR="004C24C5" w:rsidRPr="0028047A">
        <w:rPr>
          <w:caps/>
          <w:color w:val="auto"/>
        </w:rPr>
        <w:t xml:space="preserve"> </w:t>
      </w:r>
      <w:r w:rsidR="00FE7F68" w:rsidRPr="0028047A">
        <w:rPr>
          <w:caps/>
          <w:color w:val="auto"/>
        </w:rPr>
        <w:t>Army</w:t>
      </w:r>
    </w:p>
    <w:p w:rsidR="00DE3AAD" w:rsidRPr="0028047A" w:rsidRDefault="00012733" w:rsidP="00E0346A">
      <w:pPr>
        <w:tabs>
          <w:tab w:val="left" w:pos="288"/>
          <w:tab w:val="left" w:pos="4752"/>
          <w:tab w:val="left" w:pos="5130"/>
          <w:tab w:val="left" w:pos="9270"/>
        </w:tabs>
        <w:spacing w:line="240" w:lineRule="exact"/>
        <w:jc w:val="both"/>
        <w:rPr>
          <w:caps/>
          <w:color w:val="auto"/>
        </w:rPr>
      </w:pPr>
      <w:r w:rsidRPr="0028047A">
        <w:rPr>
          <w:caps/>
          <w:color w:val="auto"/>
        </w:rPr>
        <w:t>C</w:t>
      </w:r>
      <w:r w:rsidR="00DE3AAD" w:rsidRPr="0028047A">
        <w:rPr>
          <w:caps/>
          <w:color w:val="auto"/>
        </w:rPr>
        <w:t xml:space="preserve">ASE NUMBER:  </w:t>
      </w:r>
      <w:r w:rsidR="004B2582" w:rsidRPr="0028047A">
        <w:rPr>
          <w:caps/>
          <w:color w:val="auto"/>
        </w:rPr>
        <w:t>2011</w:t>
      </w:r>
      <w:r w:rsidR="00DE3AAD" w:rsidRPr="0028047A">
        <w:rPr>
          <w:caps/>
          <w:color w:val="auto"/>
        </w:rPr>
        <w:t>00</w:t>
      </w:r>
      <w:r w:rsidR="00D43197" w:rsidRPr="0028047A">
        <w:rPr>
          <w:caps/>
          <w:color w:val="auto"/>
        </w:rPr>
        <w:t>491</w:t>
      </w:r>
      <w:r w:rsidR="00DE3AAD" w:rsidRPr="0028047A">
        <w:rPr>
          <w:color w:val="auto"/>
        </w:rPr>
        <w:t xml:space="preserve"> </w:t>
      </w:r>
      <w:r w:rsidR="00DE3AAD" w:rsidRPr="0028047A">
        <w:rPr>
          <w:color w:val="auto"/>
        </w:rPr>
        <w:tab/>
        <w:t xml:space="preserve">         </w:t>
      </w:r>
      <w:r w:rsidR="00E0346A" w:rsidRPr="0028047A">
        <w:rPr>
          <w:color w:val="auto"/>
        </w:rPr>
        <w:t xml:space="preserve">                  </w:t>
      </w:r>
      <w:r w:rsidR="00A96097" w:rsidRPr="0028047A">
        <w:rPr>
          <w:color w:val="auto"/>
        </w:rPr>
        <w:t xml:space="preserve"> </w:t>
      </w:r>
      <w:r w:rsidR="00E0346A" w:rsidRPr="0028047A">
        <w:rPr>
          <w:color w:val="auto"/>
        </w:rPr>
        <w:t xml:space="preserve">  </w:t>
      </w:r>
      <w:r w:rsidR="00DE3AAD" w:rsidRPr="0028047A">
        <w:rPr>
          <w:color w:val="auto"/>
        </w:rPr>
        <w:t>SEPARATION DATE:  200</w:t>
      </w:r>
      <w:r w:rsidR="005F1332" w:rsidRPr="0028047A">
        <w:rPr>
          <w:color w:val="auto"/>
        </w:rPr>
        <w:t>41211</w:t>
      </w:r>
    </w:p>
    <w:p w:rsidR="00B022DC" w:rsidRDefault="004F3639" w:rsidP="00510F9C">
      <w:pPr>
        <w:tabs>
          <w:tab w:val="left" w:pos="288"/>
          <w:tab w:val="left" w:pos="5130"/>
        </w:tabs>
        <w:spacing w:line="240" w:lineRule="exact"/>
        <w:jc w:val="both"/>
        <w:rPr>
          <w:color w:val="auto"/>
        </w:rPr>
      </w:pPr>
      <w:r w:rsidRPr="0028047A">
        <w:rPr>
          <w:caps/>
          <w:color w:val="auto"/>
        </w:rPr>
        <w:t>BOARD DATE:  201</w:t>
      </w:r>
      <w:r w:rsidR="005F1332" w:rsidRPr="0028047A">
        <w:rPr>
          <w:caps/>
          <w:color w:val="auto"/>
        </w:rPr>
        <w:t>2</w:t>
      </w:r>
      <w:r w:rsidR="0028047A" w:rsidRPr="0028047A">
        <w:rPr>
          <w:caps/>
          <w:color w:val="auto"/>
        </w:rPr>
        <w:t>0308</w:t>
      </w:r>
    </w:p>
    <w:p w:rsidR="008E0D8F" w:rsidRDefault="008E0D8F" w:rsidP="00510F9C">
      <w:pPr>
        <w:pBdr>
          <w:bottom w:val="single" w:sz="12" w:space="1" w:color="auto"/>
        </w:pBdr>
        <w:tabs>
          <w:tab w:val="left" w:pos="288"/>
          <w:tab w:val="left" w:pos="4752"/>
        </w:tabs>
        <w:spacing w:line="240" w:lineRule="exact"/>
        <w:jc w:val="both"/>
        <w:rPr>
          <w:color w:val="auto"/>
          <w:u w:val="single"/>
        </w:rPr>
      </w:pPr>
    </w:p>
    <w:p w:rsidR="003F1206" w:rsidRDefault="003F1206" w:rsidP="00510F9C">
      <w:pPr>
        <w:tabs>
          <w:tab w:val="left" w:pos="288"/>
          <w:tab w:val="left" w:pos="4752"/>
        </w:tabs>
        <w:spacing w:line="240" w:lineRule="exact"/>
        <w:jc w:val="both"/>
        <w:rPr>
          <w:color w:val="auto"/>
        </w:rPr>
      </w:pPr>
    </w:p>
    <w:p w:rsidR="002F2981" w:rsidRDefault="00FB0E80"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w:t>
      </w:r>
      <w:r w:rsidR="009759C2" w:rsidRPr="00EC337D">
        <w:rPr>
          <w:color w:val="auto"/>
        </w:rPr>
        <w:t>Data extracted from the available evidence of record reflects that this covered individual (CI)</w:t>
      </w:r>
      <w:r w:rsidR="00570754" w:rsidRPr="00EC337D">
        <w:rPr>
          <w:color w:val="auto"/>
        </w:rPr>
        <w:t xml:space="preserve"> </w:t>
      </w:r>
      <w:r w:rsidR="002C6E5B" w:rsidRPr="00AD7F8F">
        <w:rPr>
          <w:color w:val="auto"/>
          <w:szCs w:val="24"/>
        </w:rPr>
        <w:t xml:space="preserve">was </w:t>
      </w:r>
      <w:r w:rsidR="00E322F7" w:rsidRPr="00AD7F8F">
        <w:rPr>
          <w:color w:val="auto"/>
          <w:szCs w:val="24"/>
        </w:rPr>
        <w:t>a</w:t>
      </w:r>
      <w:r w:rsidR="009B18E5">
        <w:rPr>
          <w:color w:val="auto"/>
          <w:szCs w:val="24"/>
        </w:rPr>
        <w:t xml:space="preserve"> mobilized </w:t>
      </w:r>
      <w:r w:rsidR="009B18E5" w:rsidRPr="0028047A">
        <w:rPr>
          <w:color w:val="auto"/>
          <w:szCs w:val="24"/>
        </w:rPr>
        <w:t>N</w:t>
      </w:r>
      <w:r w:rsidR="006D4E0E" w:rsidRPr="0028047A">
        <w:rPr>
          <w:color w:val="auto"/>
          <w:szCs w:val="24"/>
        </w:rPr>
        <w:t>ational Guard</w:t>
      </w:r>
      <w:r w:rsidR="009B18E5" w:rsidRPr="0028047A">
        <w:rPr>
          <w:color w:val="auto"/>
          <w:szCs w:val="24"/>
        </w:rPr>
        <w:t xml:space="preserve"> </w:t>
      </w:r>
      <w:r w:rsidR="002E65E6" w:rsidRPr="0028047A">
        <w:rPr>
          <w:color w:val="auto"/>
          <w:szCs w:val="24"/>
        </w:rPr>
        <w:t>member,</w:t>
      </w:r>
      <w:r w:rsidR="006D4E0E" w:rsidRPr="0028047A">
        <w:rPr>
          <w:color w:val="auto"/>
          <w:szCs w:val="24"/>
        </w:rPr>
        <w:t xml:space="preserve"> </w:t>
      </w:r>
      <w:r w:rsidR="00F2013D" w:rsidRPr="0028047A">
        <w:rPr>
          <w:color w:val="auto"/>
          <w:szCs w:val="24"/>
        </w:rPr>
        <w:t>SPC/E-4</w:t>
      </w:r>
      <w:r w:rsidR="009B18E5" w:rsidRPr="0028047A">
        <w:rPr>
          <w:color w:val="auto"/>
          <w:szCs w:val="24"/>
        </w:rPr>
        <w:t xml:space="preserve">, </w:t>
      </w:r>
      <w:r w:rsidR="00A96097" w:rsidRPr="0028047A">
        <w:rPr>
          <w:color w:val="auto"/>
          <w:szCs w:val="24"/>
        </w:rPr>
        <w:t>(</w:t>
      </w:r>
      <w:r w:rsidR="009B18E5" w:rsidRPr="0028047A">
        <w:rPr>
          <w:color w:val="auto"/>
          <w:szCs w:val="24"/>
        </w:rPr>
        <w:t>62E, Heavy Construction Equipment Operator</w:t>
      </w:r>
      <w:r w:rsidR="00A96097" w:rsidRPr="0028047A">
        <w:rPr>
          <w:color w:val="auto"/>
          <w:szCs w:val="24"/>
        </w:rPr>
        <w:t>)</w:t>
      </w:r>
      <w:r w:rsidR="00C75F3D" w:rsidRPr="0028047A">
        <w:rPr>
          <w:color w:val="auto"/>
          <w:szCs w:val="24"/>
        </w:rPr>
        <w:t xml:space="preserve">, </w:t>
      </w:r>
      <w:r w:rsidR="002C6E5B" w:rsidRPr="0028047A">
        <w:rPr>
          <w:color w:val="auto"/>
          <w:szCs w:val="24"/>
        </w:rPr>
        <w:t xml:space="preserve">medically separated for </w:t>
      </w:r>
      <w:r w:rsidR="009B18E5" w:rsidRPr="0028047A">
        <w:rPr>
          <w:color w:val="auto"/>
          <w:szCs w:val="24"/>
        </w:rPr>
        <w:t xml:space="preserve">chronic obstructive </w:t>
      </w:r>
      <w:r w:rsidR="00A96097" w:rsidRPr="0028047A">
        <w:rPr>
          <w:color w:val="auto"/>
          <w:szCs w:val="24"/>
        </w:rPr>
        <w:t>p</w:t>
      </w:r>
      <w:r w:rsidR="009B18E5" w:rsidRPr="0028047A">
        <w:rPr>
          <w:color w:val="auto"/>
          <w:szCs w:val="24"/>
        </w:rPr>
        <w:t xml:space="preserve">ulmonary </w:t>
      </w:r>
      <w:r w:rsidR="00A96097" w:rsidRPr="0028047A">
        <w:rPr>
          <w:color w:val="auto"/>
          <w:szCs w:val="24"/>
        </w:rPr>
        <w:t>d</w:t>
      </w:r>
      <w:r w:rsidR="009B18E5" w:rsidRPr="0028047A">
        <w:rPr>
          <w:color w:val="auto"/>
          <w:szCs w:val="24"/>
        </w:rPr>
        <w:t>isease</w:t>
      </w:r>
      <w:r w:rsidR="00F2013D" w:rsidRPr="0028047A">
        <w:rPr>
          <w:color w:val="auto"/>
          <w:szCs w:val="24"/>
        </w:rPr>
        <w:t xml:space="preserve"> (COPD)</w:t>
      </w:r>
      <w:r w:rsidR="009B18E5" w:rsidRPr="0028047A">
        <w:rPr>
          <w:color w:val="auto"/>
          <w:szCs w:val="24"/>
        </w:rPr>
        <w:t>.</w:t>
      </w:r>
      <w:r w:rsidR="00A96097" w:rsidRPr="0028047A">
        <w:rPr>
          <w:color w:val="auto"/>
          <w:szCs w:val="24"/>
        </w:rPr>
        <w:t xml:space="preserve">  </w:t>
      </w:r>
      <w:r w:rsidR="00860979" w:rsidRPr="0028047A">
        <w:rPr>
          <w:color w:val="auto"/>
          <w:szCs w:val="24"/>
        </w:rPr>
        <w:t xml:space="preserve">The CI developed symptoms of shortness of breath </w:t>
      </w:r>
      <w:r w:rsidR="00124010" w:rsidRPr="0028047A">
        <w:rPr>
          <w:color w:val="auto"/>
          <w:szCs w:val="24"/>
        </w:rPr>
        <w:t>associated with an</w:t>
      </w:r>
      <w:r w:rsidR="00860979" w:rsidRPr="0028047A">
        <w:rPr>
          <w:color w:val="auto"/>
          <w:szCs w:val="24"/>
        </w:rPr>
        <w:t xml:space="preserve"> acute </w:t>
      </w:r>
      <w:r w:rsidR="00C13A3D" w:rsidRPr="0028047A">
        <w:rPr>
          <w:color w:val="auto"/>
          <w:szCs w:val="24"/>
        </w:rPr>
        <w:t xml:space="preserve">upper </w:t>
      </w:r>
      <w:r w:rsidR="00860979" w:rsidRPr="0028047A">
        <w:rPr>
          <w:color w:val="auto"/>
          <w:szCs w:val="24"/>
        </w:rPr>
        <w:t xml:space="preserve">respiratory illness </w:t>
      </w:r>
      <w:r w:rsidR="00FE7F68" w:rsidRPr="0028047A">
        <w:rPr>
          <w:color w:val="auto"/>
          <w:szCs w:val="24"/>
        </w:rPr>
        <w:t xml:space="preserve">(URI) </w:t>
      </w:r>
      <w:r w:rsidR="00124010" w:rsidRPr="0028047A">
        <w:rPr>
          <w:color w:val="auto"/>
          <w:szCs w:val="24"/>
        </w:rPr>
        <w:t>in</w:t>
      </w:r>
      <w:r w:rsidR="00860979" w:rsidRPr="0028047A">
        <w:rPr>
          <w:color w:val="auto"/>
          <w:szCs w:val="24"/>
        </w:rPr>
        <w:t xml:space="preserve"> March 2004.</w:t>
      </w:r>
      <w:r w:rsidR="001A2C6D" w:rsidRPr="0028047A">
        <w:rPr>
          <w:color w:val="auto"/>
          <w:szCs w:val="24"/>
        </w:rPr>
        <w:t xml:space="preserve"> </w:t>
      </w:r>
      <w:r w:rsidR="00124010" w:rsidRPr="0028047A">
        <w:rPr>
          <w:color w:val="auto"/>
          <w:szCs w:val="24"/>
        </w:rPr>
        <w:t xml:space="preserve"> </w:t>
      </w:r>
      <w:r w:rsidR="008E2B23" w:rsidRPr="0028047A">
        <w:rPr>
          <w:color w:val="auto"/>
          <w:szCs w:val="24"/>
        </w:rPr>
        <w:t>The</w:t>
      </w:r>
      <w:r w:rsidR="00124010" w:rsidRPr="0028047A">
        <w:rPr>
          <w:color w:val="auto"/>
          <w:szCs w:val="24"/>
        </w:rPr>
        <w:t xml:space="preserve"> URI symptoms </w:t>
      </w:r>
      <w:r w:rsidR="008E2B23" w:rsidRPr="0028047A">
        <w:rPr>
          <w:color w:val="auto"/>
          <w:szCs w:val="24"/>
        </w:rPr>
        <w:t xml:space="preserve">eventually </w:t>
      </w:r>
      <w:r w:rsidR="00124010" w:rsidRPr="0028047A">
        <w:rPr>
          <w:color w:val="auto"/>
          <w:szCs w:val="24"/>
        </w:rPr>
        <w:t xml:space="preserve">resolved, </w:t>
      </w:r>
      <w:r w:rsidR="008E2B23" w:rsidRPr="0028047A">
        <w:rPr>
          <w:color w:val="auto"/>
          <w:szCs w:val="24"/>
        </w:rPr>
        <w:t>however</w:t>
      </w:r>
      <w:r w:rsidR="00FE7F68" w:rsidRPr="0028047A">
        <w:rPr>
          <w:color w:val="auto"/>
          <w:szCs w:val="24"/>
        </w:rPr>
        <w:t>,</w:t>
      </w:r>
      <w:r w:rsidR="008E2B23" w:rsidRPr="0028047A">
        <w:rPr>
          <w:color w:val="auto"/>
          <w:szCs w:val="24"/>
        </w:rPr>
        <w:t xml:space="preserve"> </w:t>
      </w:r>
      <w:r w:rsidR="00124010" w:rsidRPr="0028047A">
        <w:rPr>
          <w:color w:val="auto"/>
          <w:szCs w:val="24"/>
        </w:rPr>
        <w:t>the CI continued to complain of shortness of breath with</w:t>
      </w:r>
      <w:r w:rsidR="001A2C6D" w:rsidRPr="0028047A">
        <w:rPr>
          <w:color w:val="auto"/>
          <w:szCs w:val="24"/>
        </w:rPr>
        <w:t xml:space="preserve"> </w:t>
      </w:r>
      <w:r w:rsidR="00124010" w:rsidRPr="0028047A">
        <w:rPr>
          <w:color w:val="auto"/>
          <w:szCs w:val="24"/>
        </w:rPr>
        <w:t>exertion</w:t>
      </w:r>
      <w:r w:rsidR="00124010">
        <w:rPr>
          <w:color w:val="auto"/>
          <w:szCs w:val="24"/>
        </w:rPr>
        <w:t xml:space="preserve">.  </w:t>
      </w:r>
      <w:r w:rsidR="001A2C6D">
        <w:rPr>
          <w:color w:val="auto"/>
          <w:szCs w:val="24"/>
        </w:rPr>
        <w:t>P</w:t>
      </w:r>
      <w:r w:rsidR="00860979">
        <w:rPr>
          <w:color w:val="auto"/>
          <w:szCs w:val="24"/>
        </w:rPr>
        <w:t xml:space="preserve">ulmonary function studies </w:t>
      </w:r>
      <w:r w:rsidR="00FE7F68">
        <w:rPr>
          <w:color w:val="auto"/>
          <w:szCs w:val="24"/>
        </w:rPr>
        <w:t xml:space="preserve">(PFTs) </w:t>
      </w:r>
      <w:r w:rsidR="00860979">
        <w:rPr>
          <w:color w:val="auto"/>
          <w:szCs w:val="24"/>
        </w:rPr>
        <w:t xml:space="preserve">documented </w:t>
      </w:r>
      <w:r w:rsidR="001A2C6D">
        <w:rPr>
          <w:color w:val="auto"/>
          <w:szCs w:val="24"/>
        </w:rPr>
        <w:t xml:space="preserve">mild obstructive lung disease.  Treatment with inhaled bronchodilators and inhaled steroids produced some temporary </w:t>
      </w:r>
      <w:r w:rsidR="00FE7F68">
        <w:rPr>
          <w:color w:val="auto"/>
          <w:szCs w:val="24"/>
        </w:rPr>
        <w:t>relief;</w:t>
      </w:r>
      <w:r w:rsidR="001A2C6D">
        <w:rPr>
          <w:color w:val="auto"/>
          <w:szCs w:val="24"/>
        </w:rPr>
        <w:t xml:space="preserve"> however</w:t>
      </w:r>
      <w:r w:rsidR="00FE7F68">
        <w:rPr>
          <w:color w:val="auto"/>
          <w:szCs w:val="24"/>
        </w:rPr>
        <w:t>,</w:t>
      </w:r>
      <w:r w:rsidR="001A2C6D">
        <w:rPr>
          <w:color w:val="auto"/>
          <w:szCs w:val="24"/>
        </w:rPr>
        <w:t xml:space="preserve"> the CI’s symptoms persisted.  He did not respond adequately</w:t>
      </w:r>
      <w:r w:rsidR="00C75F3D" w:rsidRPr="00F96A91">
        <w:rPr>
          <w:color w:val="auto"/>
          <w:szCs w:val="24"/>
        </w:rPr>
        <w:t xml:space="preserve"> to </w:t>
      </w:r>
      <w:r w:rsidR="00E322F7" w:rsidRPr="00F96A91">
        <w:rPr>
          <w:color w:val="auto"/>
          <w:szCs w:val="24"/>
        </w:rPr>
        <w:t xml:space="preserve">perform within his </w:t>
      </w:r>
      <w:r w:rsidR="009020ED" w:rsidRPr="00F96A91">
        <w:rPr>
          <w:color w:val="auto"/>
          <w:szCs w:val="24"/>
        </w:rPr>
        <w:t>Military O</w:t>
      </w:r>
      <w:r w:rsidR="00705C40" w:rsidRPr="00F96A91">
        <w:rPr>
          <w:color w:val="auto"/>
          <w:szCs w:val="24"/>
        </w:rPr>
        <w:t xml:space="preserve">ccupational </w:t>
      </w:r>
      <w:r w:rsidR="009020ED" w:rsidRPr="00F96A91">
        <w:rPr>
          <w:color w:val="auto"/>
          <w:szCs w:val="24"/>
        </w:rPr>
        <w:t>S</w:t>
      </w:r>
      <w:r w:rsidR="003A40B4" w:rsidRPr="00F96A91">
        <w:rPr>
          <w:color w:val="auto"/>
          <w:szCs w:val="24"/>
        </w:rPr>
        <w:t>pecialty</w:t>
      </w:r>
      <w:r w:rsidR="002752AE" w:rsidRPr="00F96A91">
        <w:rPr>
          <w:color w:val="auto"/>
          <w:szCs w:val="24"/>
        </w:rPr>
        <w:t xml:space="preserve"> (MOS)</w:t>
      </w:r>
      <w:r w:rsidR="009B18E5" w:rsidRPr="00F96A91">
        <w:rPr>
          <w:color w:val="auto"/>
          <w:szCs w:val="24"/>
        </w:rPr>
        <w:t xml:space="preserve">. </w:t>
      </w:r>
      <w:r w:rsidR="00C13A3D">
        <w:rPr>
          <w:color w:val="auto"/>
          <w:szCs w:val="24"/>
        </w:rPr>
        <w:t xml:space="preserve"> </w:t>
      </w:r>
      <w:r w:rsidR="00555C66" w:rsidRPr="00F96A91">
        <w:rPr>
          <w:color w:val="auto"/>
          <w:szCs w:val="24"/>
        </w:rPr>
        <w:t>He was issued</w:t>
      </w:r>
      <w:r w:rsidR="00E322F7" w:rsidRPr="00F96A91">
        <w:rPr>
          <w:color w:val="auto"/>
          <w:szCs w:val="24"/>
        </w:rPr>
        <w:t xml:space="preserve"> a permanent </w:t>
      </w:r>
      <w:r w:rsidR="00F96A91" w:rsidRPr="00F96A91">
        <w:rPr>
          <w:color w:val="auto"/>
          <w:szCs w:val="24"/>
        </w:rPr>
        <w:t>P3</w:t>
      </w:r>
      <w:r w:rsidR="002C5AD0">
        <w:rPr>
          <w:color w:val="auto"/>
          <w:szCs w:val="24"/>
        </w:rPr>
        <w:t xml:space="preserve"> </w:t>
      </w:r>
      <w:r w:rsidR="00E322F7" w:rsidRPr="00F96A91">
        <w:rPr>
          <w:color w:val="auto"/>
          <w:szCs w:val="24"/>
        </w:rPr>
        <w:t>profile</w:t>
      </w:r>
      <w:r w:rsidR="00F96A91" w:rsidRPr="00F96A91">
        <w:rPr>
          <w:color w:val="auto"/>
          <w:szCs w:val="24"/>
        </w:rPr>
        <w:t xml:space="preserve"> </w:t>
      </w:r>
      <w:r w:rsidR="00E322F7" w:rsidRPr="00F96A91">
        <w:rPr>
          <w:color w:val="auto"/>
          <w:szCs w:val="24"/>
        </w:rPr>
        <w:t xml:space="preserve">and underwent a </w:t>
      </w:r>
      <w:r w:rsidR="00705C40" w:rsidRPr="00F96A91">
        <w:rPr>
          <w:color w:val="auto"/>
          <w:szCs w:val="24"/>
        </w:rPr>
        <w:t>Medical</w:t>
      </w:r>
      <w:r w:rsidR="00705C40" w:rsidRPr="00C472C7">
        <w:rPr>
          <w:color w:val="auto"/>
          <w:szCs w:val="24"/>
        </w:rPr>
        <w:t xml:space="preserve"> Evaluation Board (</w:t>
      </w:r>
      <w:r w:rsidR="00E322F7" w:rsidRPr="00C472C7">
        <w:rPr>
          <w:color w:val="auto"/>
          <w:szCs w:val="24"/>
        </w:rPr>
        <w:t>MEB</w:t>
      </w:r>
      <w:r w:rsidR="00705C40" w:rsidRPr="00C472C7">
        <w:rPr>
          <w:color w:val="auto"/>
          <w:szCs w:val="24"/>
        </w:rPr>
        <w:t>)</w:t>
      </w:r>
      <w:r w:rsidR="00E322F7" w:rsidRPr="00C472C7">
        <w:rPr>
          <w:color w:val="auto"/>
          <w:szCs w:val="24"/>
        </w:rPr>
        <w:t>.</w:t>
      </w:r>
      <w:r w:rsidR="00A96097">
        <w:rPr>
          <w:color w:val="auto"/>
          <w:szCs w:val="24"/>
        </w:rPr>
        <w:t xml:space="preserve">  </w:t>
      </w:r>
      <w:r w:rsidR="00F2013D">
        <w:rPr>
          <w:color w:val="auto"/>
          <w:szCs w:val="24"/>
        </w:rPr>
        <w:t>COPD</w:t>
      </w:r>
      <w:r w:rsidR="00A96097" w:rsidRPr="00F96A91">
        <w:rPr>
          <w:color w:val="auto"/>
          <w:szCs w:val="24"/>
        </w:rPr>
        <w:t xml:space="preserve"> </w:t>
      </w:r>
      <w:r w:rsidR="00F96A91" w:rsidRPr="00F96A91">
        <w:rPr>
          <w:color w:val="auto"/>
          <w:szCs w:val="24"/>
        </w:rPr>
        <w:t xml:space="preserve">was </w:t>
      </w:r>
      <w:r w:rsidR="000A33C8" w:rsidRPr="00F96A91">
        <w:rPr>
          <w:color w:val="auto"/>
          <w:szCs w:val="24"/>
        </w:rPr>
        <w:t>forwarded to the Physical Evaluation Board (PEB) as medically unacceptable IAW AR 40-501</w:t>
      </w:r>
      <w:r w:rsidR="00376E08" w:rsidRPr="00F96A91">
        <w:rPr>
          <w:color w:val="auto"/>
          <w:szCs w:val="24"/>
        </w:rPr>
        <w:t>.</w:t>
      </w:r>
      <w:r w:rsidR="00A96097">
        <w:rPr>
          <w:color w:val="auto"/>
          <w:szCs w:val="24"/>
        </w:rPr>
        <w:t xml:space="preserve">  </w:t>
      </w:r>
      <w:r w:rsidR="001A5E62" w:rsidRPr="00C472C7">
        <w:rPr>
          <w:color w:val="auto"/>
          <w:szCs w:val="24"/>
        </w:rPr>
        <w:t xml:space="preserve">No other conditions appeared on the MEB’s submission.  </w:t>
      </w:r>
      <w:r w:rsidR="00B20624" w:rsidRPr="00995444">
        <w:rPr>
          <w:color w:val="auto"/>
          <w:szCs w:val="24"/>
        </w:rPr>
        <w:t>The PEB</w:t>
      </w:r>
      <w:r w:rsidR="007828B4" w:rsidRPr="00995444">
        <w:rPr>
          <w:color w:val="auto"/>
          <w:szCs w:val="24"/>
        </w:rPr>
        <w:t xml:space="preserve"> </w:t>
      </w:r>
      <w:r w:rsidR="00B20624" w:rsidRPr="00995444">
        <w:rPr>
          <w:color w:val="auto"/>
          <w:szCs w:val="24"/>
        </w:rPr>
        <w:t xml:space="preserve">adjudicated </w:t>
      </w:r>
      <w:r w:rsidR="00B20624" w:rsidRPr="0028047A">
        <w:rPr>
          <w:color w:val="auto"/>
          <w:szCs w:val="24"/>
        </w:rPr>
        <w:t xml:space="preserve">the </w:t>
      </w:r>
      <w:r w:rsidR="00FE7F68" w:rsidRPr="0028047A">
        <w:rPr>
          <w:color w:val="auto"/>
          <w:szCs w:val="24"/>
        </w:rPr>
        <w:t>COPD</w:t>
      </w:r>
      <w:r w:rsidR="00F96A91" w:rsidRPr="0028047A">
        <w:rPr>
          <w:color w:val="auto"/>
          <w:szCs w:val="24"/>
        </w:rPr>
        <w:t xml:space="preserve"> </w:t>
      </w:r>
      <w:proofErr w:type="gramStart"/>
      <w:r w:rsidR="00F96A91" w:rsidRPr="0028047A">
        <w:rPr>
          <w:color w:val="auto"/>
          <w:szCs w:val="24"/>
        </w:rPr>
        <w:t>as</w:t>
      </w:r>
      <w:proofErr w:type="gramEnd"/>
      <w:r w:rsidR="00F96A91" w:rsidRPr="0028047A">
        <w:rPr>
          <w:color w:val="auto"/>
          <w:szCs w:val="24"/>
        </w:rPr>
        <w:t xml:space="preserve"> </w:t>
      </w:r>
      <w:r w:rsidR="006D6F3C" w:rsidRPr="0028047A">
        <w:rPr>
          <w:color w:val="auto"/>
          <w:szCs w:val="24"/>
        </w:rPr>
        <w:t>existed prior to service</w:t>
      </w:r>
      <w:r w:rsidR="00F96A91" w:rsidRPr="0028047A">
        <w:rPr>
          <w:color w:val="auto"/>
          <w:szCs w:val="24"/>
        </w:rPr>
        <w:t xml:space="preserve"> </w:t>
      </w:r>
      <w:r w:rsidR="006D6F3C" w:rsidRPr="0028047A">
        <w:rPr>
          <w:color w:val="auto"/>
          <w:szCs w:val="24"/>
        </w:rPr>
        <w:t>(</w:t>
      </w:r>
      <w:r w:rsidR="00F96A91" w:rsidRPr="0028047A">
        <w:rPr>
          <w:color w:val="auto"/>
          <w:szCs w:val="24"/>
        </w:rPr>
        <w:t>EPTS</w:t>
      </w:r>
      <w:r w:rsidR="006D6F3C" w:rsidRPr="0028047A">
        <w:rPr>
          <w:color w:val="auto"/>
          <w:szCs w:val="24"/>
        </w:rPr>
        <w:t>)</w:t>
      </w:r>
      <w:r w:rsidR="00F96A91" w:rsidRPr="0028047A">
        <w:rPr>
          <w:color w:val="auto"/>
          <w:szCs w:val="24"/>
        </w:rPr>
        <w:t xml:space="preserve"> </w:t>
      </w:r>
      <w:r w:rsidR="006D6F3C" w:rsidRPr="0028047A">
        <w:rPr>
          <w:color w:val="auto"/>
          <w:szCs w:val="24"/>
        </w:rPr>
        <w:t>and was not</w:t>
      </w:r>
      <w:r w:rsidR="00F96A91" w:rsidRPr="0028047A">
        <w:rPr>
          <w:color w:val="auto"/>
          <w:szCs w:val="24"/>
        </w:rPr>
        <w:t xml:space="preserve"> permanent</w:t>
      </w:r>
      <w:r w:rsidR="006D6F3C" w:rsidRPr="0028047A">
        <w:rPr>
          <w:color w:val="auto"/>
          <w:szCs w:val="24"/>
        </w:rPr>
        <w:t>ly</w:t>
      </w:r>
      <w:r w:rsidR="00F96A91" w:rsidRPr="0028047A">
        <w:rPr>
          <w:color w:val="auto"/>
          <w:szCs w:val="24"/>
        </w:rPr>
        <w:t xml:space="preserve"> </w:t>
      </w:r>
      <w:r w:rsidR="006D6F3C" w:rsidRPr="0028047A">
        <w:rPr>
          <w:color w:val="auto"/>
          <w:szCs w:val="24"/>
        </w:rPr>
        <w:t xml:space="preserve">aggravated by service.  </w:t>
      </w:r>
      <w:r w:rsidR="00FE7F68" w:rsidRPr="0028047A">
        <w:rPr>
          <w:color w:val="auto"/>
          <w:szCs w:val="24"/>
        </w:rPr>
        <w:t>N</w:t>
      </w:r>
      <w:r w:rsidR="006D6F3C" w:rsidRPr="0028047A">
        <w:rPr>
          <w:color w:val="auto"/>
          <w:szCs w:val="24"/>
        </w:rPr>
        <w:t>o rating</w:t>
      </w:r>
      <w:r w:rsidR="00FE7F68" w:rsidRPr="0028047A">
        <w:rPr>
          <w:color w:val="auto"/>
          <w:szCs w:val="24"/>
        </w:rPr>
        <w:t xml:space="preserve"> was assigned IAW</w:t>
      </w:r>
      <w:r w:rsidR="003A5958" w:rsidRPr="0028047A">
        <w:rPr>
          <w:color w:val="auto"/>
          <w:szCs w:val="24"/>
        </w:rPr>
        <w:t xml:space="preserve"> </w:t>
      </w:r>
      <w:r w:rsidR="00763CAE" w:rsidRPr="0028047A">
        <w:rPr>
          <w:color w:val="auto"/>
          <w:szCs w:val="24"/>
        </w:rPr>
        <w:t>Department of Defense Instruction (</w:t>
      </w:r>
      <w:r w:rsidR="00B20624" w:rsidRPr="0028047A">
        <w:rPr>
          <w:color w:val="auto"/>
          <w:szCs w:val="24"/>
        </w:rPr>
        <w:t>DoDI</w:t>
      </w:r>
      <w:r w:rsidR="00763CAE" w:rsidRPr="0028047A">
        <w:rPr>
          <w:color w:val="auto"/>
          <w:szCs w:val="24"/>
        </w:rPr>
        <w:t>)</w:t>
      </w:r>
      <w:r w:rsidR="00B20624" w:rsidRPr="0028047A">
        <w:rPr>
          <w:color w:val="auto"/>
          <w:szCs w:val="24"/>
        </w:rPr>
        <w:t xml:space="preserve"> 1332.39.</w:t>
      </w:r>
      <w:r w:rsidR="00A96097" w:rsidRPr="0028047A">
        <w:rPr>
          <w:color w:val="auto"/>
          <w:szCs w:val="24"/>
        </w:rPr>
        <w:t xml:space="preserve">  </w:t>
      </w:r>
      <w:r w:rsidR="00437D77" w:rsidRPr="0028047A">
        <w:rPr>
          <w:color w:val="auto"/>
        </w:rPr>
        <w:t xml:space="preserve">The CI appealed to </w:t>
      </w:r>
      <w:r w:rsidR="00F96A91" w:rsidRPr="0028047A">
        <w:rPr>
          <w:color w:val="auto"/>
        </w:rPr>
        <w:t xml:space="preserve">the </w:t>
      </w:r>
      <w:r w:rsidR="004A2E67">
        <w:rPr>
          <w:color w:val="auto"/>
        </w:rPr>
        <w:t>F</w:t>
      </w:r>
      <w:r w:rsidR="00124010" w:rsidRPr="0028047A">
        <w:rPr>
          <w:color w:val="auto"/>
        </w:rPr>
        <w:t>ormal PEB (</w:t>
      </w:r>
      <w:r w:rsidR="00437D77" w:rsidRPr="0028047A">
        <w:rPr>
          <w:color w:val="auto"/>
        </w:rPr>
        <w:t>FPEB</w:t>
      </w:r>
      <w:r w:rsidR="00124010" w:rsidRPr="0028047A">
        <w:rPr>
          <w:color w:val="auto"/>
        </w:rPr>
        <w:t>)</w:t>
      </w:r>
      <w:r w:rsidR="006D6F3C" w:rsidRPr="0028047A">
        <w:rPr>
          <w:color w:val="auto"/>
        </w:rPr>
        <w:t xml:space="preserve"> which adjudicated the condition as EPTS with subsequent service aggravation which rendered the soldier unfit.  The FPEB rated the condition at 0%</w:t>
      </w:r>
      <w:r w:rsidR="00CE0330" w:rsidRPr="0028047A">
        <w:rPr>
          <w:color w:val="auto"/>
        </w:rPr>
        <w:t xml:space="preserve">, with likely application of </w:t>
      </w:r>
      <w:r w:rsidR="00CE0330" w:rsidRPr="0028047A">
        <w:rPr>
          <w:rFonts w:eastAsia="Calibri"/>
          <w:color w:val="auto"/>
          <w:szCs w:val="24"/>
        </w:rPr>
        <w:t>DoDI 1332.39</w:t>
      </w:r>
      <w:r w:rsidR="006D6F3C" w:rsidRPr="0028047A">
        <w:rPr>
          <w:color w:val="auto"/>
        </w:rPr>
        <w:t>.  The CI made</w:t>
      </w:r>
      <w:r w:rsidR="006D6F3C" w:rsidRPr="00FE7F68">
        <w:rPr>
          <w:color w:val="auto"/>
        </w:rPr>
        <w:t xml:space="preserve"> no fu</w:t>
      </w:r>
      <w:r w:rsidR="006D6F3C">
        <w:rPr>
          <w:color w:val="auto"/>
        </w:rPr>
        <w:t xml:space="preserve">rther appeals and </w:t>
      </w:r>
      <w:r w:rsidR="00124010">
        <w:rPr>
          <w:color w:val="auto"/>
        </w:rPr>
        <w:t>was</w:t>
      </w:r>
      <w:r w:rsidR="00437D77" w:rsidRPr="00C472C7">
        <w:rPr>
          <w:color w:val="auto"/>
        </w:rPr>
        <w:t xml:space="preserve"> medically separated with a </w:t>
      </w:r>
      <w:r w:rsidR="00F96A91">
        <w:rPr>
          <w:color w:val="auto"/>
        </w:rPr>
        <w:t>0</w:t>
      </w:r>
      <w:r w:rsidR="00437D77" w:rsidRPr="00C472C7">
        <w:rPr>
          <w:color w:val="auto"/>
        </w:rPr>
        <w:t>% disability rating.</w:t>
      </w:r>
    </w:p>
    <w:p w:rsidR="008E0D8F" w:rsidRDefault="008E0D8F" w:rsidP="00DA1B42">
      <w:pPr>
        <w:pBdr>
          <w:bottom w:val="single" w:sz="12" w:space="1" w:color="auto"/>
        </w:pBdr>
        <w:tabs>
          <w:tab w:val="left" w:pos="6418"/>
        </w:tabs>
        <w:spacing w:line="240" w:lineRule="exact"/>
        <w:jc w:val="both"/>
        <w:rPr>
          <w:color w:val="auto"/>
        </w:rPr>
      </w:pPr>
    </w:p>
    <w:p w:rsidR="00612FB0" w:rsidRDefault="00612FB0" w:rsidP="00510F9C">
      <w:pPr>
        <w:tabs>
          <w:tab w:val="left" w:pos="288"/>
          <w:tab w:val="left" w:pos="4752"/>
        </w:tabs>
        <w:spacing w:line="240" w:lineRule="exact"/>
        <w:jc w:val="both"/>
        <w:rPr>
          <w:color w:val="auto"/>
          <w:u w:val="single"/>
        </w:rPr>
      </w:pPr>
    </w:p>
    <w:p w:rsidR="007C3DDC" w:rsidRPr="0028047A" w:rsidRDefault="003E053B" w:rsidP="00CE0330">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sidR="00F96A91">
        <w:rPr>
          <w:color w:val="auto"/>
        </w:rPr>
        <w:t xml:space="preserve">  “I was forced ou</w:t>
      </w:r>
      <w:r w:rsidR="004A2E67">
        <w:rPr>
          <w:color w:val="auto"/>
        </w:rPr>
        <w:t>t of the military for a service-</w:t>
      </w:r>
      <w:r w:rsidR="00F96A91">
        <w:rPr>
          <w:color w:val="auto"/>
        </w:rPr>
        <w:t>connected disability.</w:t>
      </w:r>
      <w:r w:rsidR="00074F49">
        <w:rPr>
          <w:color w:val="auto"/>
        </w:rPr>
        <w:t>”</w:t>
      </w:r>
      <w:r w:rsidR="00F96A91">
        <w:rPr>
          <w:color w:val="auto"/>
        </w:rPr>
        <w:t xml:space="preserve">  </w:t>
      </w:r>
      <w:r w:rsidR="00ED5284" w:rsidRPr="00597067">
        <w:rPr>
          <w:rFonts w:eastAsia="Calibri"/>
          <w:color w:val="auto"/>
          <w:szCs w:val="24"/>
        </w:rPr>
        <w:t xml:space="preserve">He </w:t>
      </w:r>
      <w:r w:rsidR="0028047A">
        <w:rPr>
          <w:rFonts w:eastAsia="Calibri"/>
          <w:color w:val="auto"/>
          <w:szCs w:val="24"/>
        </w:rPr>
        <w:t>provided an additional memo and elaborated</w:t>
      </w:r>
      <w:r w:rsidR="00ED5284" w:rsidRPr="005C4D72">
        <w:rPr>
          <w:rFonts w:eastAsia="Calibri"/>
          <w:color w:val="auto"/>
          <w:szCs w:val="24"/>
        </w:rPr>
        <w:t xml:space="preserve"> no specific contentions regarding </w:t>
      </w:r>
      <w:r w:rsidR="00ED5284" w:rsidRPr="0028047A">
        <w:rPr>
          <w:color w:val="auto"/>
        </w:rPr>
        <w:t>rating or coding</w:t>
      </w:r>
      <w:r w:rsidR="00074F49" w:rsidRPr="0028047A">
        <w:rPr>
          <w:color w:val="auto"/>
        </w:rPr>
        <w:t>.</w:t>
      </w:r>
      <w:r w:rsidR="00597067" w:rsidRPr="0028047A">
        <w:rPr>
          <w:color w:val="auto"/>
        </w:rPr>
        <w:t xml:space="preserve"> </w:t>
      </w:r>
      <w:r w:rsidR="00CE0330" w:rsidRPr="0028047A">
        <w:rPr>
          <w:color w:val="auto"/>
        </w:rPr>
        <w:t xml:space="preserve"> </w:t>
      </w:r>
    </w:p>
    <w:p w:rsidR="0028047A" w:rsidRDefault="0028047A" w:rsidP="0028047A">
      <w:pPr>
        <w:pBdr>
          <w:bottom w:val="single" w:sz="12" w:space="1" w:color="auto"/>
        </w:pBdr>
        <w:tabs>
          <w:tab w:val="left" w:pos="6418"/>
        </w:tabs>
        <w:spacing w:line="240" w:lineRule="exact"/>
        <w:jc w:val="both"/>
        <w:rPr>
          <w:color w:val="auto"/>
        </w:rPr>
      </w:pPr>
    </w:p>
    <w:p w:rsidR="0028047A" w:rsidRDefault="0028047A" w:rsidP="0028047A">
      <w:pPr>
        <w:tabs>
          <w:tab w:val="left" w:pos="288"/>
          <w:tab w:val="left" w:pos="4752"/>
        </w:tabs>
        <w:spacing w:line="240" w:lineRule="exact"/>
        <w:jc w:val="both"/>
        <w:rPr>
          <w:color w:val="auto"/>
          <w:u w:val="single"/>
        </w:rPr>
      </w:pPr>
    </w:p>
    <w:p w:rsidR="002338CA" w:rsidRPr="00E87A59" w:rsidRDefault="007F0AB7" w:rsidP="00510F9C">
      <w:pPr>
        <w:spacing w:line="240" w:lineRule="exact"/>
        <w:rPr>
          <w:color w:val="auto"/>
        </w:rPr>
      </w:pPr>
      <w:r>
        <w:rPr>
          <w:color w:val="auto"/>
          <w:u w:val="single"/>
        </w:rPr>
        <w:t>R</w:t>
      </w:r>
      <w:r w:rsidR="002C6E5B" w:rsidRPr="00326C08">
        <w:rPr>
          <w:color w:val="auto"/>
          <w:u w:val="single"/>
        </w:rPr>
        <w:t>ATING COMPARISON</w:t>
      </w:r>
      <w:r w:rsidR="002C6E5B" w:rsidRPr="00326C08">
        <w:rPr>
          <w:color w:val="auto"/>
        </w:rPr>
        <w:t>:</w:t>
      </w:r>
      <w:r w:rsidR="00124010">
        <w:rPr>
          <w:color w:val="auto"/>
        </w:rPr>
        <w:t xml:space="preserve">  </w:t>
      </w:r>
    </w:p>
    <w:p w:rsidR="000F0928" w:rsidRPr="00E87A59" w:rsidRDefault="000F0928"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2B4E22" w:rsidRPr="00E87A59" w:rsidTr="004939FE">
        <w:trPr>
          <w:trHeight w:val="233"/>
          <w:jc w:val="center"/>
        </w:trPr>
        <w:tc>
          <w:tcPr>
            <w:tcW w:w="4158" w:type="dxa"/>
            <w:gridSpan w:val="3"/>
            <w:tcBorders>
              <w:right w:val="thinThickThinSmallGap" w:sz="24" w:space="0" w:color="auto"/>
            </w:tcBorders>
            <w:shd w:val="clear" w:color="auto" w:fill="D9D9D9"/>
            <w:vAlign w:val="center"/>
          </w:tcPr>
          <w:p w:rsidR="002B4E22" w:rsidRPr="00E87A59" w:rsidRDefault="00B731E4" w:rsidP="00E87A59">
            <w:pPr>
              <w:spacing w:line="180" w:lineRule="exact"/>
              <w:contextualSpacing/>
              <w:jc w:val="center"/>
              <w:rPr>
                <w:rFonts w:eastAsia="Calibri"/>
                <w:b/>
                <w:color w:val="auto"/>
                <w:sz w:val="20"/>
              </w:rPr>
            </w:pPr>
            <w:r w:rsidRPr="00E87A59">
              <w:rPr>
                <w:rFonts w:eastAsia="Calibri"/>
                <w:b/>
                <w:color w:val="auto"/>
                <w:sz w:val="20"/>
              </w:rPr>
              <w:t xml:space="preserve">Service </w:t>
            </w:r>
            <w:r w:rsidR="00F96A91" w:rsidRPr="00E87A59">
              <w:rPr>
                <w:rFonts w:eastAsia="Calibri"/>
                <w:b/>
                <w:color w:val="auto"/>
                <w:sz w:val="20"/>
              </w:rPr>
              <w:t>F</w:t>
            </w:r>
            <w:r w:rsidRPr="00E87A59">
              <w:rPr>
                <w:rFonts w:eastAsia="Calibri"/>
                <w:b/>
                <w:color w:val="auto"/>
                <w:sz w:val="20"/>
              </w:rPr>
              <w:t>PEB – Dated 200</w:t>
            </w:r>
            <w:r w:rsidR="00F96A91" w:rsidRPr="00E87A59">
              <w:rPr>
                <w:rFonts w:eastAsia="Calibri"/>
                <w:b/>
                <w:color w:val="auto"/>
                <w:sz w:val="20"/>
              </w:rPr>
              <w:t>41130</w:t>
            </w:r>
          </w:p>
        </w:tc>
        <w:tc>
          <w:tcPr>
            <w:tcW w:w="5418" w:type="dxa"/>
            <w:gridSpan w:val="4"/>
            <w:tcBorders>
              <w:left w:val="thinThickThinSmallGap" w:sz="24" w:space="0" w:color="auto"/>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VA (</w:t>
            </w:r>
            <w:r w:rsidR="00597067" w:rsidRPr="00E87A59">
              <w:rPr>
                <w:rFonts w:eastAsia="Calibri"/>
                <w:b/>
                <w:color w:val="auto"/>
                <w:sz w:val="20"/>
              </w:rPr>
              <w:t>2</w:t>
            </w:r>
            <w:r w:rsidR="0079154B" w:rsidRPr="00E87A59">
              <w:rPr>
                <w:rFonts w:eastAsia="Calibri"/>
                <w:b/>
                <w:color w:val="auto"/>
                <w:sz w:val="20"/>
              </w:rPr>
              <w:t xml:space="preserve"> </w:t>
            </w:r>
            <w:r w:rsidRPr="00E87A59">
              <w:rPr>
                <w:rFonts w:eastAsia="Calibri"/>
                <w:b/>
                <w:color w:val="auto"/>
                <w:sz w:val="20"/>
              </w:rPr>
              <w:t>Mo.</w:t>
            </w:r>
            <w:r w:rsidR="00665CEB">
              <w:rPr>
                <w:rFonts w:eastAsia="Calibri"/>
                <w:b/>
                <w:color w:val="auto"/>
                <w:sz w:val="20"/>
              </w:rPr>
              <w:t xml:space="preserve"> </w:t>
            </w:r>
            <w:r w:rsidRPr="00E87A59">
              <w:rPr>
                <w:rFonts w:eastAsia="Calibri"/>
                <w:b/>
                <w:color w:val="auto"/>
                <w:sz w:val="20"/>
              </w:rPr>
              <w:t xml:space="preserve">After Separation) – All Effective Date </w:t>
            </w:r>
            <w:r w:rsidR="002D08F3" w:rsidRPr="00E87A59">
              <w:rPr>
                <w:rFonts w:eastAsia="Calibri"/>
                <w:b/>
                <w:color w:val="auto"/>
                <w:sz w:val="20"/>
              </w:rPr>
              <w:t>200</w:t>
            </w:r>
            <w:r w:rsidR="00A60CEE" w:rsidRPr="00E87A59">
              <w:rPr>
                <w:rFonts w:eastAsia="Calibri"/>
                <w:b/>
                <w:color w:val="auto"/>
                <w:sz w:val="20"/>
              </w:rPr>
              <w:t>41212</w:t>
            </w:r>
          </w:p>
        </w:tc>
      </w:tr>
      <w:tr w:rsidR="004B2582" w:rsidRPr="00E87A59" w:rsidTr="004939FE">
        <w:trPr>
          <w:trHeight w:val="278"/>
          <w:jc w:val="center"/>
        </w:trPr>
        <w:tc>
          <w:tcPr>
            <w:tcW w:w="2196" w:type="dxa"/>
            <w:tcBorders>
              <w:bottom w:val="single" w:sz="4" w:space="0" w:color="000000"/>
              <w:right w:val="single" w:sz="4" w:space="0" w:color="auto"/>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Condition</w:t>
            </w:r>
          </w:p>
        </w:tc>
        <w:tc>
          <w:tcPr>
            <w:tcW w:w="1062" w:type="dxa"/>
            <w:tcBorders>
              <w:bottom w:val="single" w:sz="4" w:space="0" w:color="000000"/>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Code</w:t>
            </w:r>
          </w:p>
        </w:tc>
        <w:tc>
          <w:tcPr>
            <w:tcW w:w="828" w:type="dxa"/>
            <w:tcBorders>
              <w:bottom w:val="single" w:sz="4" w:space="0" w:color="000000"/>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Rating</w:t>
            </w:r>
          </w:p>
        </w:tc>
        <w:tc>
          <w:tcPr>
            <w:tcW w:w="990" w:type="dxa"/>
            <w:tcBorders>
              <w:bottom w:val="single" w:sz="4" w:space="0" w:color="000000"/>
            </w:tcBorders>
            <w:shd w:val="clear" w:color="auto" w:fill="D9D9D9"/>
            <w:vAlign w:val="center"/>
          </w:tcPr>
          <w:p w:rsidR="002B4E22" w:rsidRPr="00E87A59" w:rsidRDefault="002B4E22" w:rsidP="00E87A59">
            <w:pPr>
              <w:spacing w:line="180" w:lineRule="exact"/>
              <w:contextualSpacing/>
              <w:jc w:val="center"/>
              <w:rPr>
                <w:rFonts w:eastAsia="Calibri"/>
                <w:b/>
                <w:color w:val="auto"/>
                <w:sz w:val="20"/>
              </w:rPr>
            </w:pPr>
            <w:r w:rsidRPr="00E87A59">
              <w:rPr>
                <w:rFonts w:eastAsia="Calibri"/>
                <w:b/>
                <w:color w:val="auto"/>
                <w:sz w:val="20"/>
              </w:rPr>
              <w:t>Exam</w:t>
            </w:r>
          </w:p>
        </w:tc>
      </w:tr>
      <w:tr w:rsidR="004B2582" w:rsidRPr="00E87A59" w:rsidTr="004939FE">
        <w:trPr>
          <w:trHeight w:val="287"/>
          <w:jc w:val="center"/>
        </w:trPr>
        <w:tc>
          <w:tcPr>
            <w:tcW w:w="2196" w:type="dxa"/>
            <w:tcBorders>
              <w:right w:val="single" w:sz="4" w:space="0" w:color="auto"/>
            </w:tcBorders>
            <w:shd w:val="clear" w:color="auto" w:fill="FFFFFF"/>
            <w:vAlign w:val="center"/>
          </w:tcPr>
          <w:p w:rsidR="002D08F3" w:rsidRPr="00E87A59" w:rsidRDefault="00976C4B" w:rsidP="00E87A59">
            <w:pPr>
              <w:spacing w:line="180" w:lineRule="exact"/>
              <w:contextualSpacing/>
              <w:rPr>
                <w:rFonts w:eastAsia="Calibri"/>
                <w:color w:val="auto"/>
                <w:sz w:val="18"/>
                <w:szCs w:val="18"/>
              </w:rPr>
            </w:pPr>
            <w:r w:rsidRPr="00E87A59">
              <w:rPr>
                <w:rFonts w:eastAsia="Calibri"/>
                <w:color w:val="auto"/>
                <w:sz w:val="18"/>
                <w:szCs w:val="18"/>
              </w:rPr>
              <w:t>COPD</w:t>
            </w:r>
          </w:p>
        </w:tc>
        <w:tc>
          <w:tcPr>
            <w:tcW w:w="1062" w:type="dxa"/>
            <w:tcBorders>
              <w:left w:val="single" w:sz="4" w:space="0" w:color="auto"/>
            </w:tcBorders>
            <w:shd w:val="clear" w:color="auto" w:fill="FFFFFF"/>
            <w:vAlign w:val="center"/>
          </w:tcPr>
          <w:p w:rsidR="002D08F3" w:rsidRPr="00E87A59" w:rsidRDefault="00F96A91" w:rsidP="00E87A59">
            <w:pPr>
              <w:spacing w:line="180" w:lineRule="exact"/>
              <w:contextualSpacing/>
              <w:jc w:val="center"/>
              <w:rPr>
                <w:rFonts w:eastAsia="Calibri"/>
                <w:color w:val="auto"/>
                <w:sz w:val="18"/>
                <w:szCs w:val="18"/>
              </w:rPr>
            </w:pPr>
            <w:r w:rsidRPr="00E87A59">
              <w:rPr>
                <w:rFonts w:eastAsia="Calibri"/>
                <w:color w:val="auto"/>
                <w:sz w:val="18"/>
                <w:szCs w:val="18"/>
              </w:rPr>
              <w:t>6604</w:t>
            </w:r>
          </w:p>
        </w:tc>
        <w:tc>
          <w:tcPr>
            <w:tcW w:w="900" w:type="dxa"/>
            <w:tcBorders>
              <w:right w:val="thinThickThinSmallGap" w:sz="24" w:space="0" w:color="auto"/>
            </w:tcBorders>
            <w:shd w:val="clear" w:color="auto" w:fill="FFFFFF"/>
            <w:vAlign w:val="center"/>
          </w:tcPr>
          <w:p w:rsidR="002D08F3" w:rsidRPr="00E87A59" w:rsidRDefault="00F96A91" w:rsidP="00E87A59">
            <w:pPr>
              <w:spacing w:line="180" w:lineRule="exact"/>
              <w:contextualSpacing/>
              <w:jc w:val="center"/>
              <w:rPr>
                <w:rFonts w:eastAsia="Calibri"/>
                <w:color w:val="auto"/>
                <w:sz w:val="18"/>
                <w:szCs w:val="18"/>
              </w:rPr>
            </w:pPr>
            <w:r w:rsidRPr="00E87A59">
              <w:rPr>
                <w:rFonts w:eastAsia="Calibri"/>
                <w:color w:val="auto"/>
                <w:sz w:val="18"/>
                <w:szCs w:val="18"/>
              </w:rPr>
              <w:t>0%</w:t>
            </w:r>
          </w:p>
        </w:tc>
        <w:tc>
          <w:tcPr>
            <w:tcW w:w="2538" w:type="dxa"/>
            <w:tcBorders>
              <w:left w:val="thinThickThinSmallGap" w:sz="24" w:space="0" w:color="auto"/>
            </w:tcBorders>
            <w:shd w:val="clear" w:color="auto" w:fill="FFFFFF"/>
            <w:vAlign w:val="center"/>
          </w:tcPr>
          <w:p w:rsidR="002D08F3" w:rsidRPr="00E87A59" w:rsidRDefault="00976C4B" w:rsidP="00E87A59">
            <w:pPr>
              <w:spacing w:line="180" w:lineRule="exact"/>
              <w:contextualSpacing/>
              <w:rPr>
                <w:rFonts w:eastAsia="Calibri"/>
                <w:color w:val="auto"/>
                <w:sz w:val="18"/>
                <w:szCs w:val="18"/>
              </w:rPr>
            </w:pPr>
            <w:r w:rsidRPr="00E87A59">
              <w:rPr>
                <w:rFonts w:eastAsia="Calibri"/>
                <w:color w:val="auto"/>
                <w:sz w:val="18"/>
                <w:szCs w:val="18"/>
              </w:rPr>
              <w:t>COPD</w:t>
            </w:r>
          </w:p>
        </w:tc>
        <w:tc>
          <w:tcPr>
            <w:tcW w:w="1062" w:type="dxa"/>
            <w:shd w:val="clear" w:color="auto" w:fill="FFFFFF"/>
            <w:vAlign w:val="center"/>
          </w:tcPr>
          <w:p w:rsidR="002D08F3" w:rsidRPr="00E87A59" w:rsidRDefault="00A60CEE" w:rsidP="00E87A59">
            <w:pPr>
              <w:spacing w:line="180" w:lineRule="exact"/>
              <w:contextualSpacing/>
              <w:jc w:val="center"/>
              <w:rPr>
                <w:rFonts w:eastAsia="Calibri"/>
                <w:color w:val="auto"/>
                <w:sz w:val="18"/>
                <w:szCs w:val="18"/>
              </w:rPr>
            </w:pPr>
            <w:r w:rsidRPr="00E87A59">
              <w:rPr>
                <w:rFonts w:eastAsia="Calibri"/>
                <w:color w:val="auto"/>
                <w:sz w:val="18"/>
                <w:szCs w:val="18"/>
              </w:rPr>
              <w:t>6604</w:t>
            </w:r>
            <w:r w:rsidR="00895CA9" w:rsidRPr="00E87A59">
              <w:rPr>
                <w:rFonts w:eastAsia="Calibri"/>
                <w:color w:val="auto"/>
                <w:sz w:val="18"/>
                <w:szCs w:val="18"/>
              </w:rPr>
              <w:t>*</w:t>
            </w:r>
          </w:p>
        </w:tc>
        <w:tc>
          <w:tcPr>
            <w:tcW w:w="828" w:type="dxa"/>
            <w:shd w:val="clear" w:color="auto" w:fill="FFFFFF"/>
            <w:vAlign w:val="center"/>
          </w:tcPr>
          <w:p w:rsidR="002D08F3" w:rsidRPr="00E87A59" w:rsidRDefault="00A60CEE" w:rsidP="00E87A59">
            <w:pPr>
              <w:spacing w:line="180" w:lineRule="exact"/>
              <w:contextualSpacing/>
              <w:jc w:val="center"/>
              <w:rPr>
                <w:rFonts w:eastAsia="Calibri"/>
                <w:color w:val="auto"/>
                <w:sz w:val="18"/>
                <w:szCs w:val="18"/>
              </w:rPr>
            </w:pPr>
            <w:r w:rsidRPr="00E87A59">
              <w:rPr>
                <w:rFonts w:eastAsia="Calibri"/>
                <w:color w:val="auto"/>
                <w:sz w:val="18"/>
                <w:szCs w:val="18"/>
              </w:rPr>
              <w:t>10%</w:t>
            </w:r>
          </w:p>
        </w:tc>
        <w:tc>
          <w:tcPr>
            <w:tcW w:w="990" w:type="dxa"/>
            <w:shd w:val="clear" w:color="auto" w:fill="FFFFFF"/>
            <w:vAlign w:val="center"/>
          </w:tcPr>
          <w:p w:rsidR="002D08F3" w:rsidRPr="00E87A59" w:rsidRDefault="002D08F3" w:rsidP="00E87A59">
            <w:pPr>
              <w:spacing w:line="180" w:lineRule="exact"/>
              <w:contextualSpacing/>
              <w:jc w:val="center"/>
              <w:rPr>
                <w:rFonts w:eastAsia="Calibri"/>
                <w:color w:val="auto"/>
                <w:sz w:val="18"/>
                <w:szCs w:val="18"/>
              </w:rPr>
            </w:pPr>
            <w:r w:rsidRPr="00E87A59">
              <w:rPr>
                <w:rFonts w:eastAsia="Calibri"/>
                <w:color w:val="auto"/>
                <w:sz w:val="18"/>
                <w:szCs w:val="18"/>
              </w:rPr>
              <w:t>200</w:t>
            </w:r>
            <w:r w:rsidR="00597067" w:rsidRPr="00E87A59">
              <w:rPr>
                <w:rFonts w:eastAsia="Calibri"/>
                <w:color w:val="auto"/>
                <w:sz w:val="18"/>
                <w:szCs w:val="18"/>
              </w:rPr>
              <w:t>50204</w:t>
            </w:r>
          </w:p>
        </w:tc>
      </w:tr>
      <w:tr w:rsidR="004B2582" w:rsidRPr="00E87A59" w:rsidTr="00671C97">
        <w:trPr>
          <w:trHeight w:val="260"/>
          <w:jc w:val="center"/>
        </w:trPr>
        <w:tc>
          <w:tcPr>
            <w:tcW w:w="4158" w:type="dxa"/>
            <w:gridSpan w:val="3"/>
            <w:tcBorders>
              <w:right w:val="thinThickThinSmallGap" w:sz="24" w:space="0" w:color="auto"/>
            </w:tcBorders>
            <w:shd w:val="clear" w:color="auto" w:fill="FFFFFF"/>
            <w:vAlign w:val="center"/>
          </w:tcPr>
          <w:p w:rsidR="007A65A9" w:rsidRPr="00E87A59" w:rsidRDefault="00F2013D" w:rsidP="00671C97">
            <w:pPr>
              <w:spacing w:line="180" w:lineRule="exact"/>
              <w:contextualSpacing/>
              <w:jc w:val="center"/>
              <w:rPr>
                <w:rFonts w:eastAsia="Calibri"/>
                <w:color w:val="auto"/>
                <w:sz w:val="18"/>
                <w:szCs w:val="18"/>
              </w:rPr>
            </w:pPr>
            <w:r w:rsidRPr="00E87A59">
              <w:rPr>
                <w:rFonts w:eastAsia="Calibri"/>
                <w:color w:val="auto"/>
                <w:sz w:val="18"/>
                <w:szCs w:val="18"/>
              </w:rPr>
              <w:t>↓No Additional MEB/PEB Entries↓</w:t>
            </w:r>
          </w:p>
        </w:tc>
        <w:tc>
          <w:tcPr>
            <w:tcW w:w="4428" w:type="dxa"/>
            <w:gridSpan w:val="3"/>
            <w:tcBorders>
              <w:left w:val="thinThickThinSmallGap" w:sz="24" w:space="0" w:color="auto"/>
            </w:tcBorders>
            <w:shd w:val="clear" w:color="auto" w:fill="FFFFFF"/>
            <w:vAlign w:val="center"/>
          </w:tcPr>
          <w:p w:rsidR="007A65A9" w:rsidRPr="00E87A59" w:rsidRDefault="007A65A9" w:rsidP="00E87A59">
            <w:pPr>
              <w:spacing w:line="180" w:lineRule="exact"/>
              <w:contextualSpacing/>
              <w:jc w:val="center"/>
              <w:rPr>
                <w:rFonts w:eastAsia="Calibri"/>
                <w:color w:val="auto"/>
                <w:sz w:val="18"/>
                <w:szCs w:val="18"/>
              </w:rPr>
            </w:pPr>
            <w:r w:rsidRPr="00E87A59">
              <w:rPr>
                <w:rFonts w:eastAsia="Calibri"/>
                <w:color w:val="auto"/>
                <w:sz w:val="18"/>
                <w:szCs w:val="18"/>
              </w:rPr>
              <w:t xml:space="preserve">0% </w:t>
            </w:r>
            <w:r w:rsidR="00374EA1" w:rsidRPr="00E87A59">
              <w:rPr>
                <w:rFonts w:eastAsia="Calibri"/>
                <w:color w:val="auto"/>
                <w:sz w:val="18"/>
                <w:szCs w:val="18"/>
              </w:rPr>
              <w:t>x</w:t>
            </w:r>
            <w:r w:rsidRPr="00E87A59">
              <w:rPr>
                <w:rFonts w:eastAsia="Calibri"/>
                <w:color w:val="auto"/>
                <w:sz w:val="18"/>
                <w:szCs w:val="18"/>
              </w:rPr>
              <w:t xml:space="preserve"> </w:t>
            </w:r>
            <w:r w:rsidR="00A60CEE" w:rsidRPr="00E87A59">
              <w:rPr>
                <w:rFonts w:eastAsia="Calibri"/>
                <w:color w:val="auto"/>
                <w:sz w:val="18"/>
                <w:szCs w:val="18"/>
              </w:rPr>
              <w:t>2</w:t>
            </w:r>
            <w:r w:rsidRPr="00E87A59">
              <w:rPr>
                <w:rFonts w:eastAsia="Calibri"/>
                <w:color w:val="auto"/>
                <w:sz w:val="18"/>
                <w:szCs w:val="18"/>
              </w:rPr>
              <w:t xml:space="preserve">/Not Service Connected </w:t>
            </w:r>
            <w:r w:rsidR="00374EA1" w:rsidRPr="00E87A59">
              <w:rPr>
                <w:rFonts w:eastAsia="Calibri"/>
                <w:color w:val="auto"/>
                <w:sz w:val="18"/>
                <w:szCs w:val="18"/>
              </w:rPr>
              <w:t>x</w:t>
            </w:r>
            <w:r w:rsidRPr="00E87A59">
              <w:rPr>
                <w:rFonts w:eastAsia="Calibri"/>
                <w:color w:val="auto"/>
                <w:sz w:val="18"/>
                <w:szCs w:val="18"/>
              </w:rPr>
              <w:t xml:space="preserve"> </w:t>
            </w:r>
            <w:r w:rsidR="00A60CEE" w:rsidRPr="00E87A59">
              <w:rPr>
                <w:rFonts w:eastAsia="Calibri"/>
                <w:color w:val="auto"/>
                <w:sz w:val="18"/>
                <w:szCs w:val="18"/>
              </w:rPr>
              <w:t>0</w:t>
            </w:r>
          </w:p>
        </w:tc>
        <w:tc>
          <w:tcPr>
            <w:tcW w:w="990" w:type="dxa"/>
            <w:shd w:val="clear" w:color="auto" w:fill="FFFFFF"/>
            <w:vAlign w:val="center"/>
          </w:tcPr>
          <w:p w:rsidR="007A65A9" w:rsidRPr="00E87A59" w:rsidRDefault="002D08F3" w:rsidP="00E87A59">
            <w:pPr>
              <w:spacing w:line="180" w:lineRule="exact"/>
              <w:contextualSpacing/>
              <w:jc w:val="center"/>
              <w:rPr>
                <w:rFonts w:eastAsia="Calibri"/>
                <w:color w:val="auto"/>
                <w:sz w:val="18"/>
                <w:szCs w:val="18"/>
                <w:highlight w:val="yellow"/>
              </w:rPr>
            </w:pPr>
            <w:r w:rsidRPr="00E87A59">
              <w:rPr>
                <w:rFonts w:eastAsia="Calibri"/>
                <w:color w:val="auto"/>
                <w:sz w:val="18"/>
                <w:szCs w:val="18"/>
              </w:rPr>
              <w:t>200</w:t>
            </w:r>
            <w:r w:rsidR="00A60CEE" w:rsidRPr="00E87A59">
              <w:rPr>
                <w:rFonts w:eastAsia="Calibri"/>
                <w:color w:val="auto"/>
                <w:sz w:val="18"/>
                <w:szCs w:val="18"/>
              </w:rPr>
              <w:t>50204</w:t>
            </w:r>
          </w:p>
        </w:tc>
      </w:tr>
      <w:tr w:rsidR="007A65A9" w:rsidRPr="00E87A59" w:rsidTr="004939FE">
        <w:trPr>
          <w:trHeight w:val="242"/>
          <w:jc w:val="center"/>
        </w:trPr>
        <w:tc>
          <w:tcPr>
            <w:tcW w:w="4158" w:type="dxa"/>
            <w:gridSpan w:val="3"/>
            <w:tcBorders>
              <w:right w:val="thinThickThinSmallGap" w:sz="24" w:space="0" w:color="auto"/>
            </w:tcBorders>
            <w:shd w:val="clear" w:color="auto" w:fill="D9D9D9"/>
            <w:vAlign w:val="center"/>
          </w:tcPr>
          <w:p w:rsidR="007A65A9" w:rsidRPr="00E87A59" w:rsidRDefault="007A65A9" w:rsidP="00E87A59">
            <w:pPr>
              <w:spacing w:line="180" w:lineRule="exact"/>
              <w:contextualSpacing/>
              <w:jc w:val="center"/>
              <w:rPr>
                <w:rFonts w:eastAsia="Calibri"/>
                <w:b/>
                <w:color w:val="auto"/>
                <w:sz w:val="20"/>
              </w:rPr>
            </w:pPr>
            <w:r w:rsidRPr="00E87A59">
              <w:rPr>
                <w:rFonts w:eastAsia="Calibri"/>
                <w:b/>
                <w:color w:val="auto"/>
                <w:sz w:val="20"/>
              </w:rPr>
              <w:t xml:space="preserve">Combined: </w:t>
            </w:r>
            <w:r w:rsidR="006458FD" w:rsidRPr="00E87A59">
              <w:rPr>
                <w:rFonts w:eastAsia="Calibri"/>
                <w:b/>
                <w:color w:val="auto"/>
                <w:sz w:val="20"/>
              </w:rPr>
              <w:t xml:space="preserve"> </w:t>
            </w:r>
            <w:r w:rsidR="00995444" w:rsidRPr="00E87A59">
              <w:rPr>
                <w:rFonts w:eastAsia="Calibri"/>
                <w:b/>
                <w:color w:val="auto"/>
                <w:sz w:val="20"/>
              </w:rPr>
              <w:t>0</w:t>
            </w:r>
            <w:r w:rsidRPr="00E87A59">
              <w:rPr>
                <w:rFonts w:eastAsia="Calibri"/>
                <w:b/>
                <w:color w:val="auto"/>
                <w:sz w:val="20"/>
              </w:rPr>
              <w:t>%</w:t>
            </w:r>
          </w:p>
        </w:tc>
        <w:tc>
          <w:tcPr>
            <w:tcW w:w="5418" w:type="dxa"/>
            <w:gridSpan w:val="4"/>
            <w:tcBorders>
              <w:left w:val="thinThickThinSmallGap" w:sz="24" w:space="0" w:color="auto"/>
            </w:tcBorders>
            <w:shd w:val="clear" w:color="auto" w:fill="D9D9D9"/>
            <w:vAlign w:val="center"/>
          </w:tcPr>
          <w:p w:rsidR="007A65A9" w:rsidRPr="00E87A59" w:rsidRDefault="007A65A9" w:rsidP="00E87A59">
            <w:pPr>
              <w:spacing w:line="180" w:lineRule="exact"/>
              <w:contextualSpacing/>
              <w:jc w:val="center"/>
              <w:rPr>
                <w:rFonts w:eastAsia="Calibri"/>
                <w:b/>
                <w:color w:val="auto"/>
                <w:sz w:val="20"/>
              </w:rPr>
            </w:pPr>
            <w:r w:rsidRPr="00E87A59">
              <w:rPr>
                <w:rFonts w:eastAsia="Calibri"/>
                <w:b/>
                <w:color w:val="auto"/>
                <w:sz w:val="20"/>
              </w:rPr>
              <w:t xml:space="preserve">Combined:  </w:t>
            </w:r>
            <w:r w:rsidR="00A60CEE" w:rsidRPr="00E87A59">
              <w:rPr>
                <w:rFonts w:eastAsia="Calibri"/>
                <w:b/>
                <w:color w:val="auto"/>
                <w:sz w:val="20"/>
              </w:rPr>
              <w:t>10</w:t>
            </w:r>
            <w:r w:rsidRPr="00E87A59">
              <w:rPr>
                <w:rFonts w:eastAsia="Calibri"/>
                <w:b/>
                <w:color w:val="auto"/>
                <w:sz w:val="20"/>
              </w:rPr>
              <w:t>%</w:t>
            </w:r>
          </w:p>
        </w:tc>
      </w:tr>
    </w:tbl>
    <w:p w:rsidR="00F1737C" w:rsidRPr="00E87A59" w:rsidRDefault="00895CA9" w:rsidP="00FE7F68">
      <w:pPr>
        <w:pBdr>
          <w:bottom w:val="single" w:sz="12" w:space="1" w:color="auto"/>
        </w:pBdr>
        <w:tabs>
          <w:tab w:val="left" w:pos="288"/>
          <w:tab w:val="left" w:pos="4752"/>
        </w:tabs>
        <w:spacing w:line="200" w:lineRule="exact"/>
        <w:jc w:val="both"/>
        <w:rPr>
          <w:color w:val="auto"/>
          <w:sz w:val="20"/>
          <w:szCs w:val="18"/>
        </w:rPr>
      </w:pPr>
      <w:r w:rsidRPr="00E87A59">
        <w:rPr>
          <w:color w:val="auto"/>
          <w:sz w:val="20"/>
          <w:szCs w:val="18"/>
        </w:rPr>
        <w:t>*COPD, 6604, increased to 30% effective 20090304</w:t>
      </w:r>
      <w:r w:rsidR="00FE7F68" w:rsidRPr="00E87A59">
        <w:rPr>
          <w:color w:val="auto"/>
          <w:sz w:val="20"/>
          <w:szCs w:val="18"/>
        </w:rPr>
        <w:t xml:space="preserve"> (combined 40%)</w:t>
      </w:r>
    </w:p>
    <w:p w:rsidR="00DA1B42" w:rsidRPr="00E906E7" w:rsidRDefault="00DA1B42" w:rsidP="00510F9C">
      <w:pPr>
        <w:pBdr>
          <w:bottom w:val="single" w:sz="12" w:space="1" w:color="auto"/>
        </w:pBdr>
        <w:tabs>
          <w:tab w:val="left" w:pos="288"/>
          <w:tab w:val="left" w:pos="4752"/>
        </w:tabs>
        <w:spacing w:line="240" w:lineRule="exact"/>
        <w:jc w:val="both"/>
        <w:rPr>
          <w:color w:val="auto"/>
          <w:szCs w:val="18"/>
        </w:rPr>
      </w:pPr>
    </w:p>
    <w:p w:rsidR="00766075" w:rsidRDefault="00766075" w:rsidP="00C6170B">
      <w:pPr>
        <w:rPr>
          <w:color w:val="auto"/>
          <w:szCs w:val="24"/>
          <w:u w:val="single"/>
        </w:rPr>
      </w:pPr>
    </w:p>
    <w:p w:rsidR="00766075" w:rsidRDefault="002C6E5B" w:rsidP="0028047A">
      <w:pPr>
        <w:spacing w:line="240" w:lineRule="exact"/>
        <w:jc w:val="both"/>
        <w:rPr>
          <w:color w:val="auto"/>
          <w:szCs w:val="24"/>
        </w:rPr>
      </w:pPr>
      <w:r w:rsidRPr="00396779">
        <w:rPr>
          <w:color w:val="auto"/>
          <w:szCs w:val="24"/>
          <w:u w:val="single"/>
        </w:rPr>
        <w:t>ANALYSIS SUMMARY</w:t>
      </w:r>
      <w:r w:rsidRPr="00396779">
        <w:rPr>
          <w:color w:val="auto"/>
          <w:szCs w:val="24"/>
        </w:rPr>
        <w:t>:</w:t>
      </w:r>
    </w:p>
    <w:p w:rsidR="0028047A" w:rsidRDefault="0028047A" w:rsidP="0028047A">
      <w:pPr>
        <w:spacing w:line="240" w:lineRule="exact"/>
        <w:jc w:val="both"/>
        <w:rPr>
          <w:color w:val="auto"/>
          <w:szCs w:val="24"/>
          <w:u w:val="single"/>
        </w:rPr>
      </w:pPr>
    </w:p>
    <w:p w:rsidR="001B1B9F" w:rsidRPr="001F29F9" w:rsidRDefault="00995444" w:rsidP="001B1B9F">
      <w:pPr>
        <w:autoSpaceDE w:val="0"/>
        <w:autoSpaceDN w:val="0"/>
        <w:adjustRightInd w:val="0"/>
        <w:spacing w:line="240" w:lineRule="exact"/>
        <w:jc w:val="both"/>
        <w:rPr>
          <w:color w:val="000000"/>
          <w:szCs w:val="24"/>
        </w:rPr>
      </w:pPr>
      <w:proofErr w:type="gramStart"/>
      <w:r>
        <w:rPr>
          <w:color w:val="auto"/>
          <w:szCs w:val="24"/>
          <w:u w:val="single"/>
        </w:rPr>
        <w:t>Chronic Obstructive Pulmonary Disease</w:t>
      </w:r>
      <w:r w:rsidR="002C5AD0" w:rsidRPr="00731E36">
        <w:rPr>
          <w:color w:val="auto"/>
          <w:szCs w:val="24"/>
        </w:rPr>
        <w:t>.</w:t>
      </w:r>
      <w:proofErr w:type="gramEnd"/>
      <w:r w:rsidR="002C5AD0">
        <w:rPr>
          <w:color w:val="auto"/>
          <w:szCs w:val="24"/>
        </w:rPr>
        <w:t xml:space="preserve">  </w:t>
      </w:r>
      <w:r w:rsidR="00507804">
        <w:rPr>
          <w:color w:val="auto"/>
          <w:szCs w:val="24"/>
        </w:rPr>
        <w:t xml:space="preserve">The CI developed symptoms of head congestion, productive cough and chills </w:t>
      </w:r>
      <w:r w:rsidR="00F5791B">
        <w:rPr>
          <w:color w:val="auto"/>
          <w:szCs w:val="24"/>
        </w:rPr>
        <w:t>in March 2004 (</w:t>
      </w:r>
      <w:r w:rsidR="00507804">
        <w:rPr>
          <w:color w:val="auto"/>
          <w:szCs w:val="24"/>
        </w:rPr>
        <w:t>approximately</w:t>
      </w:r>
      <w:r w:rsidR="00F063A7">
        <w:rPr>
          <w:color w:val="auto"/>
          <w:szCs w:val="24"/>
        </w:rPr>
        <w:t xml:space="preserve"> </w:t>
      </w:r>
      <w:r w:rsidR="004A2E67">
        <w:rPr>
          <w:color w:val="auto"/>
          <w:szCs w:val="24"/>
        </w:rPr>
        <w:t>two</w:t>
      </w:r>
      <w:r w:rsidR="00F063A7">
        <w:rPr>
          <w:color w:val="auto"/>
          <w:szCs w:val="24"/>
        </w:rPr>
        <w:t xml:space="preserve"> weeks after being activated and 11 days after receiving a series of pre-deployment inoculations</w:t>
      </w:r>
      <w:r w:rsidR="00F5791B">
        <w:rPr>
          <w:color w:val="auto"/>
          <w:szCs w:val="24"/>
        </w:rPr>
        <w:t>)</w:t>
      </w:r>
      <w:r w:rsidR="00F063A7">
        <w:rPr>
          <w:color w:val="auto"/>
          <w:szCs w:val="24"/>
        </w:rPr>
        <w:t xml:space="preserve">. </w:t>
      </w:r>
      <w:r w:rsidR="00507804">
        <w:rPr>
          <w:color w:val="auto"/>
          <w:szCs w:val="24"/>
        </w:rPr>
        <w:t xml:space="preserve"> </w:t>
      </w:r>
      <w:r w:rsidR="00F063A7">
        <w:rPr>
          <w:color w:val="auto"/>
          <w:szCs w:val="24"/>
        </w:rPr>
        <w:t xml:space="preserve">The URI symptoms resolved, however, the CI </w:t>
      </w:r>
      <w:r w:rsidR="00F5791B">
        <w:rPr>
          <w:color w:val="auto"/>
          <w:szCs w:val="24"/>
        </w:rPr>
        <w:t>continued to have residual</w:t>
      </w:r>
      <w:r w:rsidR="00507804">
        <w:rPr>
          <w:color w:val="auto"/>
          <w:szCs w:val="24"/>
        </w:rPr>
        <w:t xml:space="preserve"> shortness of breath, wheezing and chest tightness</w:t>
      </w:r>
      <w:r w:rsidR="00F5791B">
        <w:rPr>
          <w:color w:val="auto"/>
          <w:szCs w:val="24"/>
        </w:rPr>
        <w:t xml:space="preserve">.  Pulmonary function tests were consistent with mild chronic obstructive pulmonary disease and the CI was treated with inhaled beta agonist </w:t>
      </w:r>
      <w:r w:rsidR="00F5791B" w:rsidRPr="00E87A59">
        <w:rPr>
          <w:color w:val="auto"/>
          <w:szCs w:val="24"/>
        </w:rPr>
        <w:t>(bronchodilator)</w:t>
      </w:r>
      <w:r w:rsidR="00F5791B">
        <w:rPr>
          <w:color w:val="auto"/>
          <w:szCs w:val="24"/>
        </w:rPr>
        <w:t xml:space="preserve"> therapy and inhaled steroid </w:t>
      </w:r>
      <w:r w:rsidR="00F5791B" w:rsidRPr="00E87A59">
        <w:rPr>
          <w:color w:val="auto"/>
          <w:szCs w:val="24"/>
        </w:rPr>
        <w:t>(anti-inflammatory)</w:t>
      </w:r>
      <w:r w:rsidR="00F5791B">
        <w:rPr>
          <w:color w:val="auto"/>
          <w:szCs w:val="24"/>
        </w:rPr>
        <w:t xml:space="preserve"> therapy with some improvement in his symptoms.  The treating provider noted </w:t>
      </w:r>
      <w:r w:rsidR="00F5791B">
        <w:rPr>
          <w:color w:val="auto"/>
          <w:szCs w:val="24"/>
        </w:rPr>
        <w:lastRenderedPageBreak/>
        <w:t>the CI’s</w:t>
      </w:r>
      <w:r w:rsidR="00A81284">
        <w:rPr>
          <w:color w:val="auto"/>
          <w:szCs w:val="24"/>
        </w:rPr>
        <w:t xml:space="preserve"> past history </w:t>
      </w:r>
      <w:r w:rsidR="00A81284" w:rsidRPr="00BE027C">
        <w:rPr>
          <w:color w:val="auto"/>
          <w:szCs w:val="24"/>
        </w:rPr>
        <w:t xml:space="preserve">of smoking </w:t>
      </w:r>
      <w:r w:rsidR="00EA0369" w:rsidRPr="00BE027C">
        <w:rPr>
          <w:color w:val="auto"/>
          <w:szCs w:val="24"/>
        </w:rPr>
        <w:t xml:space="preserve">(quit 2002) </w:t>
      </w:r>
      <w:r w:rsidR="00A81284" w:rsidRPr="00BE027C">
        <w:rPr>
          <w:color w:val="auto"/>
          <w:szCs w:val="24"/>
        </w:rPr>
        <w:t>as well as his history of childhood asthma</w:t>
      </w:r>
      <w:r w:rsidR="00EA0369" w:rsidRPr="00BE027C">
        <w:rPr>
          <w:color w:val="auto"/>
          <w:szCs w:val="24"/>
        </w:rPr>
        <w:t xml:space="preserve"> (denied by CI’s mother in written statement in November 2004)</w:t>
      </w:r>
      <w:r w:rsidR="00A81284" w:rsidRPr="00BE027C">
        <w:rPr>
          <w:color w:val="auto"/>
          <w:szCs w:val="24"/>
        </w:rPr>
        <w:t>, but</w:t>
      </w:r>
      <w:r w:rsidR="00A81284">
        <w:rPr>
          <w:color w:val="auto"/>
          <w:szCs w:val="24"/>
        </w:rPr>
        <w:t xml:space="preserve"> could not definitively exclude the vaccinations as a cause of the CI’s illness.  </w:t>
      </w:r>
      <w:r w:rsidR="001B1B9F" w:rsidRPr="001F29F9">
        <w:rPr>
          <w:color w:val="000000"/>
          <w:szCs w:val="24"/>
        </w:rPr>
        <w:t xml:space="preserve">There were </w:t>
      </w:r>
      <w:r w:rsidR="00A81284">
        <w:rPr>
          <w:color w:val="000000"/>
          <w:szCs w:val="24"/>
        </w:rPr>
        <w:t>three</w:t>
      </w:r>
      <w:r w:rsidR="001B1B9F" w:rsidRPr="001F29F9">
        <w:rPr>
          <w:color w:val="000000"/>
          <w:szCs w:val="24"/>
        </w:rPr>
        <w:t xml:space="preserve"> pulmonary evaluations in evidence which the Board weighed in arriving at its ra</w:t>
      </w:r>
      <w:r w:rsidR="00A81284">
        <w:rPr>
          <w:color w:val="000000"/>
          <w:szCs w:val="24"/>
        </w:rPr>
        <w:t>ting recommendation.  The examination finding</w:t>
      </w:r>
      <w:r w:rsidR="001B1B9F" w:rsidRPr="001F29F9">
        <w:rPr>
          <w:color w:val="000000"/>
          <w:szCs w:val="24"/>
        </w:rPr>
        <w:t>s are summarized in the chart below:</w:t>
      </w:r>
    </w:p>
    <w:p w:rsidR="004C60A3" w:rsidRPr="00FE7F68" w:rsidRDefault="004C60A3" w:rsidP="001B1B9F">
      <w:pPr>
        <w:spacing w:line="240" w:lineRule="exact"/>
        <w:rPr>
          <w:color w:val="auto"/>
          <w:szCs w:val="24"/>
        </w:rPr>
      </w:pPr>
    </w:p>
    <w:tbl>
      <w:tblPr>
        <w:tblW w:w="8776" w:type="dxa"/>
        <w:jc w:val="center"/>
        <w:tblCellMar>
          <w:left w:w="0" w:type="dxa"/>
          <w:right w:w="0" w:type="dxa"/>
        </w:tblCellMar>
        <w:tblLook w:val="04A0"/>
      </w:tblPr>
      <w:tblGrid>
        <w:gridCol w:w="1430"/>
        <w:gridCol w:w="931"/>
        <w:gridCol w:w="2161"/>
        <w:gridCol w:w="2029"/>
        <w:gridCol w:w="2225"/>
      </w:tblGrid>
      <w:tr w:rsidR="0081542E" w:rsidRPr="00BE027C" w:rsidTr="00BE027C">
        <w:trPr>
          <w:trHeight w:val="449"/>
          <w:jc w:val="center"/>
        </w:trPr>
        <w:tc>
          <w:tcPr>
            <w:tcW w:w="236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3F7769" w:rsidRPr="00BE027C" w:rsidRDefault="003F7769" w:rsidP="00FE7F68">
            <w:pPr>
              <w:spacing w:line="180" w:lineRule="exact"/>
              <w:rPr>
                <w:rFonts w:eastAsia="Calibri"/>
                <w:color w:val="auto"/>
                <w:sz w:val="18"/>
                <w:szCs w:val="18"/>
              </w:rPr>
            </w:pPr>
            <w:r w:rsidRPr="00BE027C">
              <w:rPr>
                <w:color w:val="auto"/>
                <w:sz w:val="18"/>
                <w:szCs w:val="18"/>
              </w:rPr>
              <w:t>Spirometry</w:t>
            </w:r>
          </w:p>
        </w:tc>
        <w:tc>
          <w:tcPr>
            <w:tcW w:w="216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3F7769" w:rsidRPr="00BE027C" w:rsidRDefault="00B2477C" w:rsidP="00FE7F68">
            <w:pPr>
              <w:spacing w:line="180" w:lineRule="exact"/>
              <w:jc w:val="center"/>
              <w:rPr>
                <w:color w:val="auto"/>
                <w:sz w:val="18"/>
                <w:szCs w:val="18"/>
              </w:rPr>
            </w:pPr>
            <w:r w:rsidRPr="00BE027C">
              <w:rPr>
                <w:color w:val="auto"/>
                <w:sz w:val="18"/>
                <w:szCs w:val="18"/>
              </w:rPr>
              <w:t>PFT</w:t>
            </w:r>
            <w:r w:rsidR="003F7769" w:rsidRPr="00BE027C">
              <w:rPr>
                <w:color w:val="auto"/>
                <w:sz w:val="18"/>
                <w:szCs w:val="18"/>
              </w:rPr>
              <w:t xml:space="preserve"> ~</w:t>
            </w:r>
            <w:r w:rsidR="008E2B23" w:rsidRPr="00BE027C">
              <w:rPr>
                <w:color w:val="auto"/>
                <w:sz w:val="18"/>
                <w:szCs w:val="18"/>
              </w:rPr>
              <w:t xml:space="preserve">8 Mos. </w:t>
            </w:r>
            <w:r w:rsidR="003F7769" w:rsidRPr="00BE027C">
              <w:rPr>
                <w:color w:val="auto"/>
                <w:sz w:val="18"/>
                <w:szCs w:val="18"/>
              </w:rPr>
              <w:t>Pre Sep</w:t>
            </w:r>
          </w:p>
          <w:p w:rsidR="003F7769" w:rsidRPr="00BE027C" w:rsidRDefault="003F7769" w:rsidP="00FE7F68">
            <w:pPr>
              <w:spacing w:line="180" w:lineRule="exact"/>
              <w:jc w:val="center"/>
              <w:rPr>
                <w:rFonts w:eastAsia="Calibri"/>
                <w:color w:val="auto"/>
                <w:sz w:val="18"/>
                <w:szCs w:val="18"/>
              </w:rPr>
            </w:pPr>
            <w:r w:rsidRPr="00BE027C">
              <w:rPr>
                <w:rFonts w:eastAsia="Calibri"/>
                <w:color w:val="auto"/>
                <w:sz w:val="18"/>
                <w:szCs w:val="18"/>
              </w:rPr>
              <w:t>(200</w:t>
            </w:r>
            <w:r w:rsidR="008E2B23" w:rsidRPr="00BE027C">
              <w:rPr>
                <w:rFonts w:eastAsia="Calibri"/>
                <w:color w:val="auto"/>
                <w:sz w:val="18"/>
                <w:szCs w:val="18"/>
              </w:rPr>
              <w:t>40426</w:t>
            </w:r>
            <w:r w:rsidRPr="00BE027C">
              <w:rPr>
                <w:rFonts w:eastAsia="Calibri"/>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3F7769" w:rsidRPr="00BE027C" w:rsidRDefault="00B2477C" w:rsidP="00FE7F68">
            <w:pPr>
              <w:spacing w:line="180" w:lineRule="exact"/>
              <w:jc w:val="center"/>
              <w:rPr>
                <w:color w:val="auto"/>
                <w:sz w:val="18"/>
                <w:szCs w:val="18"/>
              </w:rPr>
            </w:pPr>
            <w:r w:rsidRPr="00BE027C">
              <w:rPr>
                <w:color w:val="auto"/>
                <w:sz w:val="18"/>
                <w:szCs w:val="18"/>
              </w:rPr>
              <w:t>MEB</w:t>
            </w:r>
            <w:r w:rsidR="003F7769" w:rsidRPr="00BE027C">
              <w:rPr>
                <w:color w:val="auto"/>
                <w:sz w:val="18"/>
                <w:szCs w:val="18"/>
              </w:rPr>
              <w:t xml:space="preserve"> ~</w:t>
            </w:r>
            <w:r w:rsidR="00C10692" w:rsidRPr="00BE027C">
              <w:rPr>
                <w:color w:val="auto"/>
                <w:sz w:val="18"/>
                <w:szCs w:val="18"/>
              </w:rPr>
              <w:t xml:space="preserve">2 Mos. </w:t>
            </w:r>
            <w:r w:rsidR="003F7769" w:rsidRPr="00BE027C">
              <w:rPr>
                <w:color w:val="auto"/>
                <w:sz w:val="18"/>
                <w:szCs w:val="18"/>
              </w:rPr>
              <w:t>Pre-Sep</w:t>
            </w:r>
          </w:p>
          <w:p w:rsidR="003F7769" w:rsidRPr="00BE027C" w:rsidRDefault="003F7769" w:rsidP="00FE7F68">
            <w:pPr>
              <w:spacing w:line="180" w:lineRule="exact"/>
              <w:jc w:val="center"/>
              <w:rPr>
                <w:rFonts w:eastAsia="Calibri"/>
                <w:color w:val="auto"/>
                <w:sz w:val="18"/>
                <w:szCs w:val="18"/>
              </w:rPr>
            </w:pPr>
            <w:r w:rsidRPr="00BE027C">
              <w:rPr>
                <w:rFonts w:eastAsia="Calibri"/>
                <w:color w:val="auto"/>
                <w:sz w:val="18"/>
                <w:szCs w:val="18"/>
              </w:rPr>
              <w:t>(200</w:t>
            </w:r>
            <w:r w:rsidR="00C10692" w:rsidRPr="00BE027C">
              <w:rPr>
                <w:rFonts w:eastAsia="Calibri"/>
                <w:color w:val="auto"/>
                <w:sz w:val="18"/>
                <w:szCs w:val="18"/>
              </w:rPr>
              <w:t>41006</w:t>
            </w:r>
            <w:r w:rsidRPr="00BE027C">
              <w:rPr>
                <w:rFonts w:eastAsia="Calibri"/>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3F7769" w:rsidRPr="00BE027C" w:rsidRDefault="003F7769" w:rsidP="00FE7F68">
            <w:pPr>
              <w:spacing w:line="180" w:lineRule="exact"/>
              <w:jc w:val="center"/>
              <w:rPr>
                <w:color w:val="auto"/>
                <w:sz w:val="18"/>
                <w:szCs w:val="18"/>
              </w:rPr>
            </w:pPr>
            <w:r w:rsidRPr="00BE027C">
              <w:rPr>
                <w:color w:val="auto"/>
                <w:sz w:val="18"/>
                <w:szCs w:val="18"/>
              </w:rPr>
              <w:t>C&amp;P ~2 Mo</w:t>
            </w:r>
            <w:r w:rsidR="00C10692" w:rsidRPr="00BE027C">
              <w:rPr>
                <w:color w:val="auto"/>
                <w:sz w:val="18"/>
                <w:szCs w:val="18"/>
              </w:rPr>
              <w:t>s</w:t>
            </w:r>
            <w:r w:rsidRPr="00BE027C">
              <w:rPr>
                <w:color w:val="auto"/>
                <w:sz w:val="18"/>
                <w:szCs w:val="18"/>
              </w:rPr>
              <w:t xml:space="preserve">. </w:t>
            </w:r>
            <w:r w:rsidR="00C10692" w:rsidRPr="00BE027C">
              <w:rPr>
                <w:color w:val="auto"/>
                <w:sz w:val="18"/>
                <w:szCs w:val="18"/>
              </w:rPr>
              <w:t>Post</w:t>
            </w:r>
            <w:r w:rsidRPr="00BE027C">
              <w:rPr>
                <w:color w:val="auto"/>
                <w:sz w:val="18"/>
                <w:szCs w:val="18"/>
              </w:rPr>
              <w:t xml:space="preserve"> Sep</w:t>
            </w:r>
          </w:p>
          <w:p w:rsidR="003F7769" w:rsidRPr="00BE027C" w:rsidRDefault="003F7769" w:rsidP="00FE7F68">
            <w:pPr>
              <w:spacing w:line="180" w:lineRule="exact"/>
              <w:jc w:val="center"/>
              <w:rPr>
                <w:rFonts w:eastAsia="Calibri"/>
                <w:color w:val="auto"/>
                <w:sz w:val="18"/>
                <w:szCs w:val="18"/>
              </w:rPr>
            </w:pPr>
            <w:r w:rsidRPr="00BE027C">
              <w:rPr>
                <w:rFonts w:eastAsia="Calibri"/>
                <w:color w:val="auto"/>
                <w:sz w:val="18"/>
                <w:szCs w:val="18"/>
              </w:rPr>
              <w:t>(20050204)</w:t>
            </w:r>
          </w:p>
        </w:tc>
      </w:tr>
      <w:tr w:rsidR="0081542E" w:rsidRPr="00BE027C" w:rsidTr="00BE027C">
        <w:trPr>
          <w:trHeight w:val="225"/>
          <w:jc w:val="center"/>
        </w:trPr>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FE7F68">
            <w:pPr>
              <w:spacing w:line="180" w:lineRule="exact"/>
              <w:rPr>
                <w:rFonts w:eastAsia="Calibri"/>
                <w:color w:val="auto"/>
                <w:sz w:val="18"/>
                <w:szCs w:val="18"/>
              </w:rPr>
            </w:pPr>
            <w:r w:rsidRPr="00BE027C">
              <w:rPr>
                <w:color w:val="auto"/>
                <w:sz w:val="18"/>
                <w:szCs w:val="18"/>
              </w:rPr>
              <w:t>Pre-Bronchodilator</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FVC</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4.16</w:t>
            </w:r>
            <w:r w:rsidR="003F7769" w:rsidRPr="00BE027C">
              <w:rPr>
                <w:color w:val="auto"/>
                <w:sz w:val="18"/>
                <w:szCs w:val="18"/>
              </w:rPr>
              <w:t xml:space="preserve"> (</w:t>
            </w:r>
            <w:r w:rsidRPr="00BE027C">
              <w:rPr>
                <w:color w:val="auto"/>
                <w:sz w:val="18"/>
                <w:szCs w:val="18"/>
              </w:rPr>
              <w:t>97</w:t>
            </w:r>
            <w:r w:rsidR="003F7769"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4.03</w:t>
            </w:r>
            <w:r w:rsidR="003F7769" w:rsidRPr="00BE027C">
              <w:rPr>
                <w:color w:val="auto"/>
                <w:sz w:val="18"/>
                <w:szCs w:val="18"/>
              </w:rPr>
              <w:t xml:space="preserve"> (</w:t>
            </w:r>
            <w:r w:rsidRPr="00BE027C">
              <w:rPr>
                <w:color w:val="auto"/>
                <w:sz w:val="18"/>
                <w:szCs w:val="18"/>
              </w:rPr>
              <w:t>94</w:t>
            </w:r>
            <w:r w:rsidR="003F7769"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3.80 (97%)</w:t>
            </w:r>
          </w:p>
        </w:tc>
      </w:tr>
      <w:tr w:rsidR="0081542E" w:rsidRPr="00BE027C" w:rsidTr="00BE027C">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69" w:rsidRPr="00BE027C" w:rsidRDefault="003F7769" w:rsidP="00FE7F68">
            <w:pPr>
              <w:spacing w:line="180" w:lineRule="exact"/>
              <w:rPr>
                <w:rFonts w:eastAsia="Calibri"/>
                <w:color w:val="auto"/>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FEV1</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2.78</w:t>
            </w:r>
            <w:r w:rsidR="003F7769" w:rsidRPr="00BE027C">
              <w:rPr>
                <w:color w:val="auto"/>
                <w:sz w:val="18"/>
                <w:szCs w:val="18"/>
              </w:rPr>
              <w:t xml:space="preserve"> (</w:t>
            </w:r>
            <w:r w:rsidRPr="00BE027C">
              <w:rPr>
                <w:color w:val="auto"/>
                <w:sz w:val="18"/>
                <w:szCs w:val="18"/>
              </w:rPr>
              <w:t>87</w:t>
            </w:r>
            <w:r w:rsidR="003F7769"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3.0</w:t>
            </w:r>
            <w:r w:rsidR="003F7769" w:rsidRPr="00BE027C">
              <w:rPr>
                <w:color w:val="auto"/>
                <w:sz w:val="18"/>
                <w:szCs w:val="18"/>
              </w:rPr>
              <w:t xml:space="preserve"> (</w:t>
            </w:r>
            <w:r w:rsidRPr="00BE027C">
              <w:rPr>
                <w:color w:val="auto"/>
                <w:sz w:val="18"/>
                <w:szCs w:val="18"/>
              </w:rPr>
              <w:t>94</w:t>
            </w:r>
            <w:r w:rsidR="003F7769"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2.60 (76%)</w:t>
            </w:r>
          </w:p>
        </w:tc>
      </w:tr>
      <w:tr w:rsidR="0081542E" w:rsidRPr="00BE027C" w:rsidTr="00BE027C">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69" w:rsidRPr="00BE027C" w:rsidRDefault="003F7769" w:rsidP="00FE7F68">
            <w:pPr>
              <w:spacing w:line="180" w:lineRule="exact"/>
              <w:rPr>
                <w:rFonts w:eastAsia="Calibri"/>
                <w:color w:val="auto"/>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FEV1/FVC</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67</w:t>
            </w:r>
            <w:r w:rsidR="003F7769"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74</w:t>
            </w:r>
            <w:r w:rsidR="003F7769"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63%</w:t>
            </w:r>
          </w:p>
        </w:tc>
      </w:tr>
      <w:tr w:rsidR="0081542E" w:rsidRPr="00BE027C" w:rsidTr="00BE027C">
        <w:trPr>
          <w:trHeight w:val="225"/>
          <w:jc w:val="center"/>
        </w:trPr>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FE7F68">
            <w:pPr>
              <w:spacing w:line="180" w:lineRule="exact"/>
              <w:rPr>
                <w:rFonts w:eastAsia="Calibri"/>
                <w:color w:val="auto"/>
                <w:sz w:val="18"/>
                <w:szCs w:val="18"/>
              </w:rPr>
            </w:pPr>
            <w:r w:rsidRPr="00BE027C">
              <w:rPr>
                <w:color w:val="auto"/>
                <w:sz w:val="18"/>
                <w:szCs w:val="18"/>
              </w:rPr>
              <w:t>Post-Inhaled steroid</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FVC</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3.98 (93</w:t>
            </w:r>
            <w:r w:rsidR="003F7769" w:rsidRPr="00BE027C">
              <w:rPr>
                <w:color w:val="auto"/>
                <w:sz w:val="18"/>
                <w:szCs w:val="18"/>
              </w:rPr>
              <w:t>%</w:t>
            </w:r>
            <w:r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4.16 (97</w:t>
            </w:r>
            <w:r w:rsidR="003F7769" w:rsidRPr="00BE027C">
              <w:rPr>
                <w:color w:val="auto"/>
                <w:sz w:val="18"/>
                <w:szCs w:val="18"/>
              </w:rPr>
              <w:t>%</w:t>
            </w:r>
            <w:r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4.03 (103%)</w:t>
            </w:r>
          </w:p>
        </w:tc>
      </w:tr>
      <w:tr w:rsidR="0081542E" w:rsidRPr="00BE027C" w:rsidTr="00BE027C">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69" w:rsidRPr="00BE027C" w:rsidRDefault="003F7769" w:rsidP="00FE7F68">
            <w:pPr>
              <w:spacing w:line="180" w:lineRule="exact"/>
              <w:rPr>
                <w:rFonts w:eastAsia="Calibri"/>
                <w:color w:val="auto"/>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FEV1</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2.91 (91</w:t>
            </w:r>
            <w:r w:rsidR="003F7769" w:rsidRPr="00BE027C">
              <w:rPr>
                <w:color w:val="auto"/>
                <w:sz w:val="18"/>
                <w:szCs w:val="18"/>
              </w:rPr>
              <w:t>%</w:t>
            </w:r>
            <w:r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3.05 (95</w:t>
            </w:r>
            <w:r w:rsidR="003F7769" w:rsidRPr="00BE027C">
              <w:rPr>
                <w:color w:val="auto"/>
                <w:sz w:val="18"/>
                <w:szCs w:val="18"/>
              </w:rPr>
              <w:t>%</w:t>
            </w:r>
            <w:r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3.06 (97%)</w:t>
            </w:r>
          </w:p>
        </w:tc>
      </w:tr>
      <w:tr w:rsidR="0081542E" w:rsidRPr="00BE027C" w:rsidTr="00BE027C">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69" w:rsidRPr="00BE027C" w:rsidRDefault="003F7769" w:rsidP="00FE7F68">
            <w:pPr>
              <w:spacing w:line="180" w:lineRule="exact"/>
              <w:rPr>
                <w:rFonts w:eastAsia="Calibri"/>
                <w:color w:val="auto"/>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671C97">
            <w:pPr>
              <w:spacing w:line="180" w:lineRule="exact"/>
              <w:rPr>
                <w:rFonts w:eastAsia="Calibri"/>
                <w:color w:val="auto"/>
                <w:sz w:val="18"/>
                <w:szCs w:val="18"/>
              </w:rPr>
            </w:pPr>
            <w:r w:rsidRPr="00BE027C">
              <w:rPr>
                <w:color w:val="auto"/>
                <w:sz w:val="18"/>
                <w:szCs w:val="18"/>
              </w:rPr>
              <w:t>FEV1/FVC</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73</w:t>
            </w:r>
            <w:r w:rsidR="003F7769" w:rsidRPr="00BE027C">
              <w:rPr>
                <w:color w:val="auto"/>
                <w:sz w:val="18"/>
                <w:szCs w:val="18"/>
              </w:rPr>
              <w:t>%</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73</w:t>
            </w:r>
            <w:r w:rsidR="003F7769" w:rsidRPr="00BE027C">
              <w:rPr>
                <w:color w:val="auto"/>
                <w:sz w:val="18"/>
                <w:szCs w:val="18"/>
              </w:rPr>
              <w: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3F7769" w:rsidP="00FE7F68">
            <w:pPr>
              <w:spacing w:line="180" w:lineRule="exact"/>
              <w:jc w:val="center"/>
              <w:rPr>
                <w:rFonts w:eastAsia="Calibri"/>
                <w:color w:val="auto"/>
                <w:sz w:val="18"/>
                <w:szCs w:val="18"/>
              </w:rPr>
            </w:pPr>
            <w:r w:rsidRPr="00BE027C">
              <w:rPr>
                <w:color w:val="auto"/>
                <w:sz w:val="18"/>
                <w:szCs w:val="18"/>
              </w:rPr>
              <w:t>76%</w:t>
            </w:r>
          </w:p>
        </w:tc>
      </w:tr>
      <w:tr w:rsidR="0081542E" w:rsidRPr="00BE027C" w:rsidTr="00BE027C">
        <w:trPr>
          <w:trHeight w:val="449"/>
          <w:jc w:val="center"/>
        </w:trPr>
        <w:tc>
          <w:tcPr>
            <w:tcW w:w="23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FE7F68">
            <w:pPr>
              <w:spacing w:line="180" w:lineRule="exact"/>
              <w:rPr>
                <w:rFonts w:eastAsia="Calibri"/>
                <w:color w:val="auto"/>
                <w:sz w:val="18"/>
                <w:szCs w:val="18"/>
              </w:rPr>
            </w:pPr>
            <w:r w:rsidRPr="00BE027C">
              <w:rPr>
                <w:color w:val="auto"/>
                <w:sz w:val="18"/>
                <w:szCs w:val="18"/>
              </w:rPr>
              <w:t>Comments</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1542E" w:rsidP="00FE7F68">
            <w:pPr>
              <w:spacing w:line="180" w:lineRule="exact"/>
              <w:rPr>
                <w:rFonts w:eastAsia="Calibri"/>
                <w:color w:val="auto"/>
                <w:sz w:val="18"/>
                <w:szCs w:val="18"/>
              </w:rPr>
            </w:pPr>
            <w:r w:rsidRPr="00BE027C">
              <w:rPr>
                <w:color w:val="auto"/>
                <w:sz w:val="18"/>
                <w:szCs w:val="18"/>
              </w:rPr>
              <w:t>Mild obstructive disease</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E73662" w:rsidP="00FE7F68">
            <w:pPr>
              <w:spacing w:line="180" w:lineRule="exact"/>
              <w:rPr>
                <w:rFonts w:eastAsia="Calibri"/>
                <w:color w:val="auto"/>
                <w:sz w:val="18"/>
                <w:szCs w:val="18"/>
              </w:rPr>
            </w:pPr>
            <w:r w:rsidRPr="00BE027C">
              <w:rPr>
                <w:color w:val="auto"/>
                <w:sz w:val="18"/>
                <w:szCs w:val="18"/>
              </w:rPr>
              <w:t>Normal lung exam; m</w:t>
            </w:r>
            <w:r w:rsidR="006E1269" w:rsidRPr="00BE027C">
              <w:rPr>
                <w:color w:val="auto"/>
                <w:sz w:val="18"/>
                <w:szCs w:val="18"/>
              </w:rPr>
              <w:t>ild obstructive disease; no change post-bronchodilator</w:t>
            </w:r>
            <w:r w:rsidR="0081542E" w:rsidRPr="00BE027C">
              <w:rPr>
                <w:color w:val="auto"/>
                <w:sz w:val="18"/>
                <w:szCs w:val="18"/>
              </w:rPr>
              <w:t>; meds -Advair diskus and Combivent</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E73662" w:rsidP="00FE7F68">
            <w:pPr>
              <w:spacing w:line="180" w:lineRule="exact"/>
              <w:rPr>
                <w:rFonts w:eastAsia="Calibri"/>
                <w:color w:val="auto"/>
                <w:sz w:val="18"/>
                <w:szCs w:val="18"/>
              </w:rPr>
            </w:pPr>
            <w:r w:rsidRPr="00BE027C">
              <w:rPr>
                <w:color w:val="auto"/>
                <w:sz w:val="18"/>
                <w:szCs w:val="18"/>
              </w:rPr>
              <w:t>Normal lung exam; m</w:t>
            </w:r>
            <w:r w:rsidR="00370E66" w:rsidRPr="00BE027C">
              <w:rPr>
                <w:color w:val="auto"/>
                <w:sz w:val="18"/>
                <w:szCs w:val="18"/>
              </w:rPr>
              <w:t>ild obstructive ventilator</w:t>
            </w:r>
            <w:r w:rsidRPr="00BE027C">
              <w:rPr>
                <w:color w:val="auto"/>
                <w:sz w:val="18"/>
                <w:szCs w:val="18"/>
              </w:rPr>
              <w:t>y</w:t>
            </w:r>
            <w:r w:rsidR="00370E66" w:rsidRPr="00BE027C">
              <w:rPr>
                <w:color w:val="auto"/>
                <w:sz w:val="18"/>
                <w:szCs w:val="18"/>
              </w:rPr>
              <w:t xml:space="preserve"> impairment; significantly improved post-bronchodilator; </w:t>
            </w:r>
            <w:r w:rsidR="003F7769" w:rsidRPr="00BE027C">
              <w:rPr>
                <w:color w:val="auto"/>
                <w:sz w:val="18"/>
                <w:szCs w:val="18"/>
              </w:rPr>
              <w:t>DLCO – 85%</w:t>
            </w:r>
            <w:r w:rsidR="00370E66" w:rsidRPr="00BE027C">
              <w:rPr>
                <w:color w:val="auto"/>
                <w:sz w:val="18"/>
                <w:szCs w:val="18"/>
              </w:rPr>
              <w:t xml:space="preserve"> Predicted (</w:t>
            </w:r>
            <w:r w:rsidR="003F7769" w:rsidRPr="00BE027C">
              <w:rPr>
                <w:color w:val="auto"/>
                <w:sz w:val="18"/>
                <w:szCs w:val="18"/>
              </w:rPr>
              <w:t>“normal”</w:t>
            </w:r>
            <w:r w:rsidR="00370E66" w:rsidRPr="00BE027C">
              <w:rPr>
                <w:color w:val="auto"/>
                <w:sz w:val="18"/>
                <w:szCs w:val="18"/>
              </w:rPr>
              <w:t>)</w:t>
            </w:r>
          </w:p>
        </w:tc>
      </w:tr>
      <w:tr w:rsidR="0081542E" w:rsidRPr="00BE027C" w:rsidTr="00BE027C">
        <w:trPr>
          <w:trHeight w:val="225"/>
          <w:jc w:val="center"/>
        </w:trPr>
        <w:tc>
          <w:tcPr>
            <w:tcW w:w="23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F7769" w:rsidRPr="00BE027C" w:rsidRDefault="003F7769" w:rsidP="00EA0369">
            <w:pPr>
              <w:spacing w:line="180" w:lineRule="exact"/>
              <w:jc w:val="center"/>
              <w:rPr>
                <w:rFonts w:eastAsia="Calibri"/>
                <w:color w:val="auto"/>
                <w:sz w:val="18"/>
                <w:szCs w:val="18"/>
              </w:rPr>
            </w:pPr>
            <w:r w:rsidRPr="00BE027C">
              <w:rPr>
                <w:color w:val="auto"/>
                <w:sz w:val="18"/>
                <w:szCs w:val="18"/>
              </w:rPr>
              <w:t>§4.97 Rating</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8E2B23" w:rsidP="00FE7F68">
            <w:pPr>
              <w:spacing w:line="180" w:lineRule="exact"/>
              <w:jc w:val="center"/>
              <w:rPr>
                <w:rFonts w:eastAsia="Calibri"/>
                <w:color w:val="auto"/>
                <w:sz w:val="18"/>
                <w:szCs w:val="18"/>
              </w:rPr>
            </w:pPr>
            <w:r w:rsidRPr="00BE027C">
              <w:rPr>
                <w:color w:val="auto"/>
                <w:sz w:val="18"/>
                <w:szCs w:val="18"/>
              </w:rPr>
              <w:t>1</w:t>
            </w:r>
            <w:r w:rsidR="003F7769" w:rsidRPr="00BE027C">
              <w:rPr>
                <w:color w:val="auto"/>
                <w:sz w:val="18"/>
                <w:szCs w:val="18"/>
              </w:rPr>
              <w:t>0%</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10</w:t>
            </w:r>
            <w:r w:rsidR="003F7769" w:rsidRPr="00BE027C">
              <w:rPr>
                <w:color w:val="auto"/>
                <w:sz w:val="18"/>
                <w:szCs w:val="18"/>
              </w:rPr>
              <w:t>%</w:t>
            </w:r>
            <w:r w:rsidRPr="00BE027C">
              <w:rPr>
                <w:color w:val="auto"/>
                <w:sz w:val="18"/>
                <w:szCs w:val="18"/>
              </w:rPr>
              <w:t xml:space="preserve"> (PEB 0%)</w:t>
            </w:r>
          </w:p>
        </w:tc>
        <w:tc>
          <w:tcPr>
            <w:tcW w:w="2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7769" w:rsidRPr="00BE027C" w:rsidRDefault="00C10692" w:rsidP="00FE7F68">
            <w:pPr>
              <w:spacing w:line="180" w:lineRule="exact"/>
              <w:jc w:val="center"/>
              <w:rPr>
                <w:rFonts w:eastAsia="Calibri"/>
                <w:color w:val="auto"/>
                <w:sz w:val="18"/>
                <w:szCs w:val="18"/>
              </w:rPr>
            </w:pPr>
            <w:r w:rsidRPr="00BE027C">
              <w:rPr>
                <w:color w:val="auto"/>
                <w:sz w:val="18"/>
                <w:szCs w:val="18"/>
              </w:rPr>
              <w:t>1</w:t>
            </w:r>
            <w:r w:rsidR="003F7769" w:rsidRPr="00BE027C">
              <w:rPr>
                <w:color w:val="auto"/>
                <w:sz w:val="18"/>
                <w:szCs w:val="18"/>
              </w:rPr>
              <w:t>0%</w:t>
            </w:r>
          </w:p>
        </w:tc>
      </w:tr>
    </w:tbl>
    <w:p w:rsidR="005C045A" w:rsidRPr="00BE027C" w:rsidRDefault="005C045A" w:rsidP="00510F9C">
      <w:pPr>
        <w:spacing w:line="240" w:lineRule="exact"/>
        <w:rPr>
          <w:color w:val="auto"/>
          <w:szCs w:val="24"/>
        </w:rPr>
      </w:pPr>
    </w:p>
    <w:p w:rsidR="00EA0369" w:rsidRDefault="00A81284" w:rsidP="00EA0369">
      <w:pPr>
        <w:spacing w:line="240" w:lineRule="exact"/>
        <w:jc w:val="both"/>
        <w:rPr>
          <w:color w:val="auto"/>
          <w:szCs w:val="24"/>
        </w:rPr>
      </w:pPr>
      <w:r w:rsidRPr="00BE027C">
        <w:rPr>
          <w:color w:val="auto"/>
          <w:szCs w:val="24"/>
        </w:rPr>
        <w:t xml:space="preserve">All of the </w:t>
      </w:r>
      <w:r w:rsidR="00B2477C" w:rsidRPr="00BE027C">
        <w:rPr>
          <w:color w:val="auto"/>
          <w:szCs w:val="24"/>
        </w:rPr>
        <w:t xml:space="preserve">lung </w:t>
      </w:r>
      <w:r w:rsidRPr="00BE027C">
        <w:rPr>
          <w:color w:val="auto"/>
          <w:szCs w:val="24"/>
        </w:rPr>
        <w:t xml:space="preserve">exams documented normal breath sounds </w:t>
      </w:r>
      <w:r w:rsidR="00B2477C" w:rsidRPr="00BE027C">
        <w:rPr>
          <w:color w:val="auto"/>
          <w:szCs w:val="24"/>
        </w:rPr>
        <w:t>with</w:t>
      </w:r>
      <w:r w:rsidR="00B2477C" w:rsidRPr="00FE7F68">
        <w:rPr>
          <w:color w:val="auto"/>
          <w:szCs w:val="24"/>
        </w:rPr>
        <w:t xml:space="preserve"> normal chest exp</w:t>
      </w:r>
      <w:r w:rsidR="00B2477C">
        <w:rPr>
          <w:color w:val="auto"/>
          <w:szCs w:val="24"/>
        </w:rPr>
        <w:t>ansion.  The forced vital capacity (FVC) and the forced expiratory volume (FEV1) documented on all three pulmonary function tests</w:t>
      </w:r>
      <w:r w:rsidR="00EE6A04">
        <w:rPr>
          <w:color w:val="auto"/>
          <w:szCs w:val="24"/>
        </w:rPr>
        <w:t xml:space="preserve"> (PFTs)</w:t>
      </w:r>
      <w:r w:rsidR="00B2477C" w:rsidRPr="00B2477C">
        <w:rPr>
          <w:color w:val="auto"/>
          <w:szCs w:val="24"/>
        </w:rPr>
        <w:t xml:space="preserve"> </w:t>
      </w:r>
      <w:r w:rsidR="00B2477C">
        <w:rPr>
          <w:color w:val="auto"/>
          <w:szCs w:val="24"/>
        </w:rPr>
        <w:t xml:space="preserve">exceeded 80% of the predicted value.  </w:t>
      </w:r>
      <w:r w:rsidR="00EE6A04">
        <w:rPr>
          <w:color w:val="auto"/>
          <w:szCs w:val="24"/>
        </w:rPr>
        <w:t>The</w:t>
      </w:r>
      <w:r w:rsidR="00B2477C">
        <w:rPr>
          <w:color w:val="auto"/>
          <w:szCs w:val="24"/>
        </w:rPr>
        <w:t xml:space="preserve"> </w:t>
      </w:r>
      <w:r w:rsidR="00EE6A04">
        <w:rPr>
          <w:color w:val="auto"/>
          <w:szCs w:val="24"/>
        </w:rPr>
        <w:t xml:space="preserve">calculated </w:t>
      </w:r>
      <w:r w:rsidR="00B2477C">
        <w:rPr>
          <w:color w:val="auto"/>
          <w:szCs w:val="24"/>
        </w:rPr>
        <w:t>FEV1/FVC ratio</w:t>
      </w:r>
      <w:r w:rsidR="00EE6A04">
        <w:rPr>
          <w:color w:val="auto"/>
          <w:szCs w:val="24"/>
        </w:rPr>
        <w:t xml:space="preserve">s on all exams ranged from 73% to 76%, consistent with mild obstructive disease.  </w:t>
      </w:r>
      <w:r w:rsidR="000C2E26">
        <w:rPr>
          <w:color w:val="auto"/>
          <w:szCs w:val="24"/>
        </w:rPr>
        <w:t xml:space="preserve">Neither of the service exams documented significant response to bronchodilator </w:t>
      </w:r>
      <w:r w:rsidR="00FE7F68">
        <w:rPr>
          <w:color w:val="auto"/>
          <w:szCs w:val="24"/>
        </w:rPr>
        <w:t>therapy;</w:t>
      </w:r>
      <w:r w:rsidR="000C2E26">
        <w:rPr>
          <w:color w:val="auto"/>
          <w:szCs w:val="24"/>
        </w:rPr>
        <w:t xml:space="preserve"> however the </w:t>
      </w:r>
      <w:r w:rsidR="004A2E67">
        <w:rPr>
          <w:color w:val="auto"/>
          <w:szCs w:val="24"/>
        </w:rPr>
        <w:t>Department of Veterans’ Affairs (D</w:t>
      </w:r>
      <w:r w:rsidR="00EE6A04">
        <w:rPr>
          <w:color w:val="auto"/>
          <w:szCs w:val="24"/>
        </w:rPr>
        <w:t>VA</w:t>
      </w:r>
      <w:r w:rsidR="004A2E67">
        <w:rPr>
          <w:color w:val="auto"/>
          <w:szCs w:val="24"/>
        </w:rPr>
        <w:t>) Compensation and Pension</w:t>
      </w:r>
      <w:r w:rsidR="00EE6A04">
        <w:rPr>
          <w:color w:val="auto"/>
          <w:szCs w:val="24"/>
        </w:rPr>
        <w:t xml:space="preserve"> </w:t>
      </w:r>
      <w:r w:rsidR="004A2E67">
        <w:rPr>
          <w:color w:val="auto"/>
          <w:szCs w:val="24"/>
        </w:rPr>
        <w:t>(</w:t>
      </w:r>
      <w:r w:rsidR="00EE6A04">
        <w:rPr>
          <w:color w:val="auto"/>
          <w:szCs w:val="24"/>
        </w:rPr>
        <w:t>C&amp;P</w:t>
      </w:r>
      <w:r w:rsidR="004A2E67">
        <w:rPr>
          <w:color w:val="auto"/>
          <w:szCs w:val="24"/>
        </w:rPr>
        <w:t>)</w:t>
      </w:r>
      <w:r w:rsidR="00EE6A04">
        <w:rPr>
          <w:color w:val="auto"/>
          <w:szCs w:val="24"/>
        </w:rPr>
        <w:t xml:space="preserve"> exam </w:t>
      </w:r>
      <w:r w:rsidR="000C2E26">
        <w:rPr>
          <w:color w:val="auto"/>
          <w:szCs w:val="24"/>
        </w:rPr>
        <w:t>did find</w:t>
      </w:r>
      <w:r w:rsidR="00EE6A04">
        <w:rPr>
          <w:color w:val="auto"/>
          <w:szCs w:val="24"/>
        </w:rPr>
        <w:t xml:space="preserve"> significant improvement </w:t>
      </w:r>
      <w:r w:rsidR="000C2E26">
        <w:rPr>
          <w:color w:val="auto"/>
          <w:szCs w:val="24"/>
        </w:rPr>
        <w:t>post-bronchodilator</w:t>
      </w:r>
      <w:r w:rsidR="00EE6A04">
        <w:rPr>
          <w:color w:val="auto"/>
          <w:szCs w:val="24"/>
        </w:rPr>
        <w:t xml:space="preserve">.  </w:t>
      </w:r>
      <w:r w:rsidR="001361F3">
        <w:rPr>
          <w:color w:val="auto"/>
          <w:szCs w:val="24"/>
        </w:rPr>
        <w:t>The MEB examiner noted that the CI was only able to ambulate for 30 minutes before becoming short of breath.  The permanent profile</w:t>
      </w:r>
      <w:r w:rsidR="00AE01AF">
        <w:rPr>
          <w:color w:val="auto"/>
          <w:szCs w:val="24"/>
        </w:rPr>
        <w:t xml:space="preserve"> stated that the CI was unable to perform the two-mile run, move with a fighting load, wear a protective mask or chemical defense equipment, construct an individual fighting position, or perform three to five second rushes.  The commander’s statement noted the CI’s “breathing problems” and commented that he was performing at the level expected while assigned to the medical hold unit.</w:t>
      </w:r>
      <w:r w:rsidR="0028047A">
        <w:rPr>
          <w:color w:val="auto"/>
          <w:szCs w:val="24"/>
        </w:rPr>
        <w:t xml:space="preserve">  </w:t>
      </w:r>
      <w:r w:rsidR="00EA0369" w:rsidRPr="009C446C">
        <w:rPr>
          <w:color w:val="auto"/>
          <w:szCs w:val="24"/>
        </w:rPr>
        <w:t xml:space="preserve">The </w:t>
      </w:r>
      <w:r w:rsidR="004A2E67">
        <w:rPr>
          <w:color w:val="auto"/>
          <w:szCs w:val="24"/>
        </w:rPr>
        <w:t>D</w:t>
      </w:r>
      <w:r w:rsidR="00EA0369" w:rsidRPr="009C446C">
        <w:rPr>
          <w:color w:val="auto"/>
          <w:szCs w:val="24"/>
        </w:rPr>
        <w:t xml:space="preserve">VA </w:t>
      </w:r>
      <w:r w:rsidR="00EA0369">
        <w:rPr>
          <w:color w:val="auto"/>
          <w:szCs w:val="24"/>
        </w:rPr>
        <w:t xml:space="preserve">exam, two months </w:t>
      </w:r>
      <w:r w:rsidR="004A2E67">
        <w:rPr>
          <w:color w:val="auto"/>
          <w:szCs w:val="24"/>
        </w:rPr>
        <w:t xml:space="preserve">after </w:t>
      </w:r>
      <w:r w:rsidR="00EA0369">
        <w:rPr>
          <w:color w:val="auto"/>
          <w:szCs w:val="24"/>
        </w:rPr>
        <w:t xml:space="preserve">separation, is charted above and demonstrated significant response to bronchodilators and normal lung diffusion capacity (DLCO).  The </w:t>
      </w:r>
      <w:r w:rsidR="004A2E67">
        <w:rPr>
          <w:color w:val="auto"/>
          <w:szCs w:val="24"/>
        </w:rPr>
        <w:t>D</w:t>
      </w:r>
      <w:r w:rsidR="00EA0369">
        <w:rPr>
          <w:color w:val="auto"/>
          <w:szCs w:val="24"/>
        </w:rPr>
        <w:t xml:space="preserve">VA assigned a rating of 10% for COPD based on the FEV1/FVC ratio of 76%.  </w:t>
      </w:r>
      <w:r w:rsidR="004A2E67">
        <w:rPr>
          <w:color w:val="auto"/>
          <w:szCs w:val="24"/>
        </w:rPr>
        <w:t>D</w:t>
      </w:r>
      <w:r w:rsidR="00EA0369">
        <w:rPr>
          <w:color w:val="auto"/>
          <w:szCs w:val="24"/>
        </w:rPr>
        <w:t xml:space="preserve">VA exam remote from separation in 2009 documented decreased PFTs and the </w:t>
      </w:r>
      <w:r w:rsidR="004A2E67">
        <w:rPr>
          <w:color w:val="auto"/>
          <w:szCs w:val="24"/>
        </w:rPr>
        <w:t>D</w:t>
      </w:r>
      <w:r w:rsidR="00EA0369">
        <w:rPr>
          <w:color w:val="auto"/>
          <w:szCs w:val="24"/>
        </w:rPr>
        <w:t xml:space="preserve">VA increased the CI’ rating effective March 2009.  This was adjudged </w:t>
      </w:r>
      <w:r w:rsidR="004A2E67">
        <w:rPr>
          <w:color w:val="auto"/>
          <w:szCs w:val="24"/>
        </w:rPr>
        <w:t xml:space="preserve">after </w:t>
      </w:r>
      <w:r w:rsidR="00EA0369">
        <w:rPr>
          <w:color w:val="auto"/>
          <w:szCs w:val="24"/>
        </w:rPr>
        <w:t>separation worsening and not indicative of the CI’s condition at separation.</w:t>
      </w:r>
      <w:r w:rsidR="00E906E7">
        <w:rPr>
          <w:color w:val="auto"/>
          <w:szCs w:val="24"/>
        </w:rPr>
        <w:t xml:space="preserve">  </w:t>
      </w:r>
    </w:p>
    <w:p w:rsidR="00EA0369" w:rsidRDefault="00EA0369" w:rsidP="00FB1B50">
      <w:pPr>
        <w:spacing w:line="240" w:lineRule="exact"/>
        <w:jc w:val="both"/>
        <w:rPr>
          <w:color w:val="auto"/>
          <w:szCs w:val="24"/>
        </w:rPr>
      </w:pPr>
    </w:p>
    <w:p w:rsidR="00E87A59" w:rsidRPr="00BE027C" w:rsidRDefault="00700B2E" w:rsidP="00FB1B50">
      <w:pPr>
        <w:spacing w:line="240" w:lineRule="exact"/>
        <w:jc w:val="both"/>
        <w:rPr>
          <w:color w:val="auto"/>
          <w:szCs w:val="24"/>
        </w:rPr>
      </w:pPr>
      <w:r>
        <w:rPr>
          <w:color w:val="auto"/>
          <w:szCs w:val="24"/>
        </w:rPr>
        <w:t>The PEB and the VA used the same coding</w:t>
      </w:r>
      <w:r w:rsidR="00FE7F68">
        <w:rPr>
          <w:color w:val="auto"/>
          <w:szCs w:val="24"/>
        </w:rPr>
        <w:t>,</w:t>
      </w:r>
      <w:r>
        <w:rPr>
          <w:color w:val="auto"/>
          <w:szCs w:val="24"/>
        </w:rPr>
        <w:t xml:space="preserve"> but arrived at different ratings for the condition.  The </w:t>
      </w:r>
      <w:r w:rsidR="00852B73">
        <w:rPr>
          <w:color w:val="auto"/>
          <w:szCs w:val="24"/>
        </w:rPr>
        <w:t>F</w:t>
      </w:r>
      <w:r>
        <w:rPr>
          <w:color w:val="auto"/>
          <w:szCs w:val="24"/>
        </w:rPr>
        <w:t xml:space="preserve">PEB noted </w:t>
      </w:r>
      <w:r w:rsidR="00852B73">
        <w:rPr>
          <w:color w:val="auto"/>
          <w:szCs w:val="24"/>
        </w:rPr>
        <w:t xml:space="preserve">the </w:t>
      </w:r>
      <w:r>
        <w:rPr>
          <w:color w:val="auto"/>
          <w:szCs w:val="24"/>
        </w:rPr>
        <w:t>FEV-1 of 94% and rated at 0%.</w:t>
      </w:r>
      <w:r w:rsidR="00852B73">
        <w:rPr>
          <w:color w:val="auto"/>
          <w:szCs w:val="24"/>
        </w:rPr>
        <w:t xml:space="preserve">  Th</w:t>
      </w:r>
      <w:r w:rsidR="00895598">
        <w:rPr>
          <w:color w:val="auto"/>
          <w:szCs w:val="24"/>
        </w:rPr>
        <w:t xml:space="preserve">e FPEB did not comment on the FEV1/FVC ratio.  </w:t>
      </w:r>
      <w:r w:rsidR="0017340E">
        <w:rPr>
          <w:color w:val="auto"/>
          <w:szCs w:val="24"/>
        </w:rPr>
        <w:t xml:space="preserve">There was </w:t>
      </w:r>
      <w:r w:rsidR="00FE7F68">
        <w:rPr>
          <w:color w:val="auto"/>
          <w:szCs w:val="24"/>
        </w:rPr>
        <w:t>no</w:t>
      </w:r>
      <w:r w:rsidR="0017340E">
        <w:rPr>
          <w:color w:val="auto"/>
          <w:szCs w:val="24"/>
        </w:rPr>
        <w:t xml:space="preserve"> </w:t>
      </w:r>
      <w:r w:rsidR="000C2E26">
        <w:rPr>
          <w:color w:val="auto"/>
          <w:szCs w:val="24"/>
        </w:rPr>
        <w:t xml:space="preserve">specific </w:t>
      </w:r>
      <w:r w:rsidR="0017340E">
        <w:rPr>
          <w:color w:val="auto"/>
          <w:szCs w:val="24"/>
        </w:rPr>
        <w:t xml:space="preserve">deduction </w:t>
      </w:r>
      <w:r w:rsidR="00FD5B4F">
        <w:rPr>
          <w:color w:val="auto"/>
          <w:szCs w:val="24"/>
        </w:rPr>
        <w:t xml:space="preserve">applied </w:t>
      </w:r>
      <w:r w:rsidR="0017340E">
        <w:rPr>
          <w:color w:val="auto"/>
          <w:szCs w:val="24"/>
        </w:rPr>
        <w:t>due to EPTS in the FPEB’s rating discussion.  The</w:t>
      </w:r>
      <w:r w:rsidR="00895598">
        <w:rPr>
          <w:color w:val="auto"/>
          <w:szCs w:val="24"/>
        </w:rPr>
        <w:t xml:space="preserve"> FPEB con</w:t>
      </w:r>
      <w:r w:rsidR="0017340E">
        <w:rPr>
          <w:color w:val="auto"/>
          <w:szCs w:val="24"/>
        </w:rPr>
        <w:t>ceded</w:t>
      </w:r>
      <w:r w:rsidR="0017340E" w:rsidRPr="0017340E">
        <w:rPr>
          <w:color w:val="auto"/>
          <w:szCs w:val="24"/>
        </w:rPr>
        <w:t xml:space="preserve"> </w:t>
      </w:r>
      <w:r w:rsidR="0017340E">
        <w:rPr>
          <w:color w:val="auto"/>
          <w:szCs w:val="24"/>
        </w:rPr>
        <w:t>that</w:t>
      </w:r>
      <w:r w:rsidR="004A2E67">
        <w:rPr>
          <w:color w:val="auto"/>
          <w:szCs w:val="24"/>
        </w:rPr>
        <w:t xml:space="preserve"> the CI’s condition was service-</w:t>
      </w:r>
      <w:r w:rsidR="0017340E">
        <w:rPr>
          <w:color w:val="auto"/>
          <w:szCs w:val="24"/>
        </w:rPr>
        <w:t xml:space="preserve">aggravated </w:t>
      </w:r>
      <w:r w:rsidR="00E87A59">
        <w:rPr>
          <w:color w:val="auto"/>
          <w:szCs w:val="24"/>
        </w:rPr>
        <w:t xml:space="preserve">(potentially </w:t>
      </w:r>
      <w:r w:rsidR="0017340E">
        <w:rPr>
          <w:color w:val="auto"/>
          <w:szCs w:val="24"/>
        </w:rPr>
        <w:t>by his inoculations</w:t>
      </w:r>
      <w:r w:rsidR="00E87A59">
        <w:rPr>
          <w:color w:val="auto"/>
          <w:szCs w:val="24"/>
        </w:rPr>
        <w:t>)</w:t>
      </w:r>
      <w:r w:rsidR="0017340E">
        <w:rPr>
          <w:color w:val="auto"/>
          <w:szCs w:val="24"/>
        </w:rPr>
        <w:t xml:space="preserve"> and </w:t>
      </w:r>
      <w:r w:rsidR="00E87A59">
        <w:rPr>
          <w:color w:val="auto"/>
          <w:szCs w:val="24"/>
        </w:rPr>
        <w:t>stated</w:t>
      </w:r>
      <w:r w:rsidR="0017340E">
        <w:rPr>
          <w:color w:val="auto"/>
          <w:szCs w:val="24"/>
        </w:rPr>
        <w:t>,</w:t>
      </w:r>
      <w:r w:rsidR="004A2E67">
        <w:rPr>
          <w:color w:val="auto"/>
          <w:szCs w:val="24"/>
        </w:rPr>
        <w:t xml:space="preserve"> “t</w:t>
      </w:r>
      <w:r w:rsidR="00895598">
        <w:rPr>
          <w:color w:val="auto"/>
          <w:szCs w:val="24"/>
        </w:rPr>
        <w:t xml:space="preserve">here is sufficient evidence to support a finding that the current impairment </w:t>
      </w:r>
      <w:r w:rsidR="004A2E67">
        <w:rPr>
          <w:color w:val="auto"/>
          <w:szCs w:val="24"/>
        </w:rPr>
        <w:t>EPTS</w:t>
      </w:r>
      <w:r w:rsidR="00895598" w:rsidRPr="00BE027C">
        <w:rPr>
          <w:color w:val="auto"/>
          <w:szCs w:val="24"/>
        </w:rPr>
        <w:t>, was subsequently aggravated by such service, and rendered the Soldier unfit.”</w:t>
      </w:r>
      <w:r w:rsidR="0017340E" w:rsidRPr="00BE027C">
        <w:rPr>
          <w:color w:val="auto"/>
          <w:szCs w:val="24"/>
        </w:rPr>
        <w:t xml:space="preserve"> </w:t>
      </w:r>
      <w:r w:rsidR="00895598" w:rsidRPr="00BE027C">
        <w:rPr>
          <w:color w:val="auto"/>
          <w:szCs w:val="24"/>
        </w:rPr>
        <w:t xml:space="preserve"> </w:t>
      </w:r>
    </w:p>
    <w:p w:rsidR="00E87A59" w:rsidRPr="00BE027C" w:rsidRDefault="00E87A59" w:rsidP="00FB1B50">
      <w:pPr>
        <w:spacing w:line="240" w:lineRule="exact"/>
        <w:jc w:val="both"/>
        <w:rPr>
          <w:color w:val="auto"/>
          <w:szCs w:val="24"/>
        </w:rPr>
      </w:pPr>
    </w:p>
    <w:p w:rsidR="005C045A" w:rsidRPr="00BE027C" w:rsidRDefault="00EA0369" w:rsidP="00FB1B50">
      <w:pPr>
        <w:spacing w:line="240" w:lineRule="exact"/>
        <w:jc w:val="both"/>
        <w:rPr>
          <w:color w:val="auto"/>
          <w:szCs w:val="24"/>
        </w:rPr>
      </w:pPr>
      <w:r w:rsidRPr="00BE027C">
        <w:rPr>
          <w:color w:val="auto"/>
          <w:szCs w:val="24"/>
        </w:rPr>
        <w:t>S</w:t>
      </w:r>
      <w:r w:rsidR="00731E36" w:rsidRPr="00BE027C">
        <w:rPr>
          <w:color w:val="auto"/>
          <w:szCs w:val="24"/>
        </w:rPr>
        <w:t xml:space="preserve">ervice notes proximate to separation, the DES file, and the VA exam proximate to separation all indicate a diagnosis of COPD.  There was not sufficient evidence of record to consider coding under 6602 (Asthma).  </w:t>
      </w:r>
      <w:r w:rsidR="00852B73" w:rsidRPr="00BE027C">
        <w:rPr>
          <w:color w:val="auto"/>
          <w:szCs w:val="24"/>
        </w:rPr>
        <w:t>The pulmonary</w:t>
      </w:r>
      <w:r w:rsidR="00852B73">
        <w:rPr>
          <w:color w:val="auto"/>
          <w:szCs w:val="24"/>
        </w:rPr>
        <w:t xml:space="preserve"> function studies </w:t>
      </w:r>
      <w:r w:rsidR="0017340E">
        <w:rPr>
          <w:color w:val="auto"/>
          <w:szCs w:val="24"/>
        </w:rPr>
        <w:t xml:space="preserve">documented </w:t>
      </w:r>
      <w:r w:rsidR="000C2E26">
        <w:rPr>
          <w:color w:val="auto"/>
          <w:szCs w:val="24"/>
        </w:rPr>
        <w:t>in</w:t>
      </w:r>
      <w:r w:rsidR="0017340E">
        <w:rPr>
          <w:color w:val="auto"/>
          <w:szCs w:val="24"/>
        </w:rPr>
        <w:t xml:space="preserve"> the service </w:t>
      </w:r>
      <w:r w:rsidR="000B085C">
        <w:rPr>
          <w:color w:val="auto"/>
          <w:szCs w:val="24"/>
        </w:rPr>
        <w:t xml:space="preserve">exams </w:t>
      </w:r>
      <w:r w:rsidR="0017340E">
        <w:rPr>
          <w:color w:val="auto"/>
          <w:szCs w:val="24"/>
        </w:rPr>
        <w:t xml:space="preserve">and at the VA C&amp;P exam were all consistent with </w:t>
      </w:r>
      <w:r w:rsidR="00852B73">
        <w:rPr>
          <w:color w:val="auto"/>
          <w:szCs w:val="24"/>
        </w:rPr>
        <w:t xml:space="preserve">the </w:t>
      </w:r>
      <w:r w:rsidR="005C045A">
        <w:rPr>
          <w:color w:val="auto"/>
          <w:szCs w:val="24"/>
        </w:rPr>
        <w:t>10% rating’s “</w:t>
      </w:r>
      <w:r w:rsidR="005C045A" w:rsidRPr="005C045A">
        <w:rPr>
          <w:color w:val="auto"/>
          <w:szCs w:val="24"/>
        </w:rPr>
        <w:t>FEV-1/FVC of 71 to 80 percent</w:t>
      </w:r>
      <w:r w:rsidR="0017340E">
        <w:rPr>
          <w:color w:val="auto"/>
          <w:szCs w:val="24"/>
        </w:rPr>
        <w:t>.</w:t>
      </w:r>
      <w:r w:rsidR="005C045A">
        <w:rPr>
          <w:color w:val="auto"/>
          <w:szCs w:val="24"/>
        </w:rPr>
        <w:t>”</w:t>
      </w:r>
      <w:r w:rsidR="0017340E">
        <w:rPr>
          <w:color w:val="auto"/>
          <w:szCs w:val="24"/>
        </w:rPr>
        <w:t xml:space="preserve">  There was no </w:t>
      </w:r>
      <w:r w:rsidR="000C2E26">
        <w:rPr>
          <w:color w:val="auto"/>
          <w:szCs w:val="24"/>
        </w:rPr>
        <w:t>finding</w:t>
      </w:r>
      <w:r w:rsidR="0017340E">
        <w:rPr>
          <w:color w:val="auto"/>
          <w:szCs w:val="24"/>
        </w:rPr>
        <w:t xml:space="preserve"> of </w:t>
      </w:r>
      <w:r w:rsidR="000C2E26">
        <w:rPr>
          <w:color w:val="auto"/>
          <w:szCs w:val="24"/>
        </w:rPr>
        <w:t xml:space="preserve">impaired diffusion capacity and there was no evidence of </w:t>
      </w:r>
      <w:r w:rsidR="0017340E">
        <w:rPr>
          <w:color w:val="auto"/>
          <w:szCs w:val="24"/>
        </w:rPr>
        <w:t>more severe impairment in the FEV1 or the FEV1/FVC ratio</w:t>
      </w:r>
      <w:r w:rsidR="005E54FE">
        <w:rPr>
          <w:color w:val="auto"/>
          <w:szCs w:val="24"/>
        </w:rPr>
        <w:t xml:space="preserve"> to justify a higher rating</w:t>
      </w:r>
      <w:r w:rsidR="000B085C">
        <w:rPr>
          <w:color w:val="auto"/>
          <w:szCs w:val="24"/>
        </w:rPr>
        <w:t>.  Additionally,</w:t>
      </w:r>
      <w:r w:rsidR="0017340E">
        <w:rPr>
          <w:color w:val="auto"/>
          <w:szCs w:val="24"/>
        </w:rPr>
        <w:t xml:space="preserve"> the</w:t>
      </w:r>
      <w:r w:rsidR="000C2E26">
        <w:rPr>
          <w:color w:val="auto"/>
          <w:szCs w:val="24"/>
        </w:rPr>
        <w:t xml:space="preserve"> CI did not have a </w:t>
      </w:r>
      <w:r w:rsidR="0017340E">
        <w:rPr>
          <w:color w:val="auto"/>
          <w:szCs w:val="24"/>
        </w:rPr>
        <w:t>requirement for oxygen</w:t>
      </w:r>
      <w:r w:rsidR="00FD5B4F">
        <w:rPr>
          <w:color w:val="auto"/>
          <w:szCs w:val="24"/>
        </w:rPr>
        <w:t>,</w:t>
      </w:r>
      <w:r w:rsidR="000C2E26">
        <w:rPr>
          <w:color w:val="auto"/>
          <w:szCs w:val="24"/>
        </w:rPr>
        <w:t xml:space="preserve"> </w:t>
      </w:r>
      <w:r w:rsidR="0017340E">
        <w:rPr>
          <w:color w:val="auto"/>
          <w:szCs w:val="24"/>
        </w:rPr>
        <w:t xml:space="preserve">no episodes of </w:t>
      </w:r>
      <w:r w:rsidR="000B085C">
        <w:rPr>
          <w:color w:val="auto"/>
          <w:szCs w:val="24"/>
        </w:rPr>
        <w:t xml:space="preserve">acute </w:t>
      </w:r>
      <w:r w:rsidR="0017340E">
        <w:rPr>
          <w:color w:val="auto"/>
          <w:szCs w:val="24"/>
        </w:rPr>
        <w:t>respiratory failure</w:t>
      </w:r>
      <w:r w:rsidR="00FD5B4F">
        <w:rPr>
          <w:color w:val="auto"/>
          <w:szCs w:val="24"/>
        </w:rPr>
        <w:t xml:space="preserve">, </w:t>
      </w:r>
      <w:r w:rsidR="00E87A59">
        <w:rPr>
          <w:color w:val="auto"/>
          <w:szCs w:val="24"/>
        </w:rPr>
        <w:t xml:space="preserve">and there was no </w:t>
      </w:r>
      <w:r w:rsidR="00135DF2">
        <w:rPr>
          <w:color w:val="auto"/>
          <w:szCs w:val="24"/>
        </w:rPr>
        <w:t xml:space="preserve">right ventricular </w:t>
      </w:r>
      <w:r w:rsidR="00E87A59">
        <w:rPr>
          <w:color w:val="auto"/>
          <w:szCs w:val="24"/>
        </w:rPr>
        <w:t>hypertrophy</w:t>
      </w:r>
      <w:r w:rsidR="00FD5B4F">
        <w:rPr>
          <w:color w:val="auto"/>
          <w:szCs w:val="24"/>
        </w:rPr>
        <w:t xml:space="preserve"> </w:t>
      </w:r>
      <w:r w:rsidR="00135DF2" w:rsidRPr="00E906E7">
        <w:rPr>
          <w:color w:val="auto"/>
          <w:szCs w:val="24"/>
        </w:rPr>
        <w:t>(</w:t>
      </w:r>
      <w:r w:rsidR="0028047A" w:rsidRPr="00E906E7">
        <w:rPr>
          <w:color w:val="auto"/>
          <w:szCs w:val="24"/>
        </w:rPr>
        <w:t>a</w:t>
      </w:r>
      <w:r w:rsidR="00E906E7" w:rsidRPr="00E906E7">
        <w:rPr>
          <w:color w:val="auto"/>
          <w:szCs w:val="24"/>
        </w:rPr>
        <w:t>n</w:t>
      </w:r>
      <w:r w:rsidR="0028047A" w:rsidRPr="00E906E7">
        <w:rPr>
          <w:color w:val="auto"/>
          <w:szCs w:val="24"/>
        </w:rPr>
        <w:t xml:space="preserve"> electrocardiogram with </w:t>
      </w:r>
      <w:r w:rsidR="00135DF2" w:rsidRPr="00E906E7">
        <w:rPr>
          <w:color w:val="auto"/>
          <w:szCs w:val="24"/>
        </w:rPr>
        <w:t xml:space="preserve">voltage </w:t>
      </w:r>
      <w:r w:rsidR="0028047A" w:rsidRPr="00E906E7">
        <w:rPr>
          <w:color w:val="auto"/>
          <w:szCs w:val="24"/>
        </w:rPr>
        <w:t xml:space="preserve">criteria </w:t>
      </w:r>
      <w:r w:rsidR="00135DF2" w:rsidRPr="00E906E7">
        <w:rPr>
          <w:color w:val="auto"/>
          <w:szCs w:val="24"/>
        </w:rPr>
        <w:t xml:space="preserve">for </w:t>
      </w:r>
      <w:r w:rsidR="0028047A" w:rsidRPr="00E906E7">
        <w:rPr>
          <w:color w:val="auto"/>
          <w:szCs w:val="24"/>
        </w:rPr>
        <w:t xml:space="preserve">left ventricular </w:t>
      </w:r>
      <w:r w:rsidR="0028047A" w:rsidRPr="00E906E7">
        <w:rPr>
          <w:color w:val="auto"/>
          <w:szCs w:val="24"/>
        </w:rPr>
        <w:lastRenderedPageBreak/>
        <w:t>hypertrophy</w:t>
      </w:r>
      <w:r w:rsidR="00E906E7" w:rsidRPr="00E906E7">
        <w:rPr>
          <w:color w:val="auto"/>
          <w:szCs w:val="24"/>
        </w:rPr>
        <w:t xml:space="preserve"> was noted</w:t>
      </w:r>
      <w:r w:rsidR="00135DF2" w:rsidRPr="00E906E7">
        <w:rPr>
          <w:color w:val="auto"/>
          <w:szCs w:val="24"/>
        </w:rPr>
        <w:t>)</w:t>
      </w:r>
      <w:r w:rsidR="00135DF2">
        <w:rPr>
          <w:color w:val="auto"/>
          <w:szCs w:val="24"/>
        </w:rPr>
        <w:t xml:space="preserve"> </w:t>
      </w:r>
      <w:r w:rsidR="00FD5B4F">
        <w:rPr>
          <w:color w:val="auto"/>
          <w:szCs w:val="24"/>
        </w:rPr>
        <w:t>or pulmonary hypertension</w:t>
      </w:r>
      <w:r w:rsidR="000B085C">
        <w:rPr>
          <w:color w:val="auto"/>
          <w:szCs w:val="24"/>
        </w:rPr>
        <w:t xml:space="preserve"> to meet </w:t>
      </w:r>
      <w:r w:rsidR="000C2E26">
        <w:rPr>
          <w:color w:val="auto"/>
          <w:szCs w:val="24"/>
        </w:rPr>
        <w:t xml:space="preserve">criteria for </w:t>
      </w:r>
      <w:r w:rsidR="000B085C">
        <w:rPr>
          <w:color w:val="auto"/>
          <w:szCs w:val="24"/>
        </w:rPr>
        <w:t xml:space="preserve">rating greater than 10%.  </w:t>
      </w:r>
      <w:r w:rsidR="0036773C" w:rsidRPr="0036773C">
        <w:rPr>
          <w:color w:val="auto"/>
          <w:szCs w:val="24"/>
        </w:rPr>
        <w:t xml:space="preserve">After due deliberation, considering all of the evidence and mindful of VASRD §4.3 (reasonable doubt), the Board recommends a </w:t>
      </w:r>
      <w:r w:rsidR="0036773C" w:rsidRPr="00BE027C">
        <w:rPr>
          <w:color w:val="auto"/>
          <w:szCs w:val="24"/>
        </w:rPr>
        <w:t xml:space="preserve">separation rating of 10% for the </w:t>
      </w:r>
      <w:r w:rsidR="00731E36" w:rsidRPr="00BE027C">
        <w:rPr>
          <w:color w:val="auto"/>
          <w:szCs w:val="24"/>
        </w:rPr>
        <w:t>COPD</w:t>
      </w:r>
      <w:r w:rsidR="0036773C" w:rsidRPr="00BE027C">
        <w:rPr>
          <w:color w:val="auto"/>
          <w:szCs w:val="24"/>
        </w:rPr>
        <w:t xml:space="preserve"> condition.</w:t>
      </w:r>
      <w:r w:rsidR="004859D5" w:rsidRPr="00BE027C">
        <w:rPr>
          <w:color w:val="auto"/>
          <w:szCs w:val="24"/>
        </w:rPr>
        <w:t xml:space="preserve">  </w:t>
      </w:r>
    </w:p>
    <w:p w:rsidR="00895598" w:rsidRPr="00BE027C" w:rsidRDefault="00895598" w:rsidP="00055409">
      <w:pPr>
        <w:spacing w:line="240" w:lineRule="exact"/>
        <w:jc w:val="both"/>
        <w:rPr>
          <w:color w:val="auto"/>
          <w:szCs w:val="24"/>
          <w:u w:val="single"/>
        </w:rPr>
      </w:pPr>
    </w:p>
    <w:p w:rsidR="00AA36DC" w:rsidRDefault="00EC337D" w:rsidP="00055409">
      <w:pPr>
        <w:spacing w:line="240" w:lineRule="exact"/>
        <w:jc w:val="both"/>
        <w:rPr>
          <w:color w:val="auto"/>
          <w:szCs w:val="24"/>
        </w:rPr>
      </w:pPr>
      <w:proofErr w:type="gramStart"/>
      <w:r w:rsidRPr="00BE027C">
        <w:rPr>
          <w:color w:val="auto"/>
          <w:szCs w:val="24"/>
          <w:u w:val="single"/>
        </w:rPr>
        <w:t>Remaining Conditions</w:t>
      </w:r>
      <w:r w:rsidRPr="00BE027C">
        <w:rPr>
          <w:color w:val="auto"/>
          <w:szCs w:val="24"/>
        </w:rPr>
        <w:t>.</w:t>
      </w:r>
      <w:proofErr w:type="gramEnd"/>
      <w:r w:rsidRPr="00BE027C">
        <w:rPr>
          <w:color w:val="auto"/>
          <w:szCs w:val="24"/>
        </w:rPr>
        <w:t xml:space="preserve">  </w:t>
      </w:r>
      <w:r w:rsidR="004859D5" w:rsidRPr="00BE027C">
        <w:rPr>
          <w:color w:val="auto"/>
          <w:szCs w:val="24"/>
        </w:rPr>
        <w:t>No o</w:t>
      </w:r>
      <w:r w:rsidRPr="00BE027C">
        <w:rPr>
          <w:color w:val="auto"/>
          <w:szCs w:val="24"/>
        </w:rPr>
        <w:t xml:space="preserve">ther </w:t>
      </w:r>
      <w:r w:rsidR="004859D5" w:rsidRPr="00BE027C">
        <w:rPr>
          <w:color w:val="auto"/>
          <w:szCs w:val="24"/>
        </w:rPr>
        <w:t xml:space="preserve">compensable </w:t>
      </w:r>
      <w:r w:rsidRPr="00BE027C">
        <w:rPr>
          <w:color w:val="auto"/>
          <w:szCs w:val="24"/>
        </w:rPr>
        <w:t>condition</w:t>
      </w:r>
      <w:r w:rsidR="004859D5" w:rsidRPr="00BE027C">
        <w:rPr>
          <w:color w:val="auto"/>
          <w:szCs w:val="24"/>
        </w:rPr>
        <w:t>s</w:t>
      </w:r>
      <w:r w:rsidRPr="00BE027C">
        <w:rPr>
          <w:color w:val="auto"/>
          <w:szCs w:val="24"/>
        </w:rPr>
        <w:t xml:space="preserve"> </w:t>
      </w:r>
      <w:r w:rsidR="004859D5" w:rsidRPr="00BE027C">
        <w:rPr>
          <w:color w:val="auto"/>
          <w:szCs w:val="24"/>
        </w:rPr>
        <w:t xml:space="preserve">were </w:t>
      </w:r>
      <w:r w:rsidRPr="00BE027C">
        <w:rPr>
          <w:color w:val="auto"/>
          <w:szCs w:val="24"/>
        </w:rPr>
        <w:t xml:space="preserve">identified in the </w:t>
      </w:r>
      <w:r w:rsidR="004859D5" w:rsidRPr="00BE027C">
        <w:rPr>
          <w:color w:val="auto"/>
          <w:szCs w:val="24"/>
        </w:rPr>
        <w:t xml:space="preserve">VARD within 12 months </w:t>
      </w:r>
      <w:r w:rsidR="00731E36" w:rsidRPr="00BE027C">
        <w:rPr>
          <w:color w:val="auto"/>
          <w:szCs w:val="24"/>
        </w:rPr>
        <w:t>of</w:t>
      </w:r>
      <w:r w:rsidR="004859D5" w:rsidRPr="00BE027C">
        <w:rPr>
          <w:color w:val="auto"/>
          <w:szCs w:val="24"/>
        </w:rPr>
        <w:t xml:space="preserve"> separation</w:t>
      </w:r>
      <w:r w:rsidRPr="00BE027C">
        <w:rPr>
          <w:color w:val="auto"/>
          <w:szCs w:val="24"/>
        </w:rPr>
        <w:t xml:space="preserve">.  </w:t>
      </w:r>
      <w:r w:rsidR="004859D5" w:rsidRPr="00BE027C">
        <w:rPr>
          <w:color w:val="auto"/>
          <w:szCs w:val="24"/>
        </w:rPr>
        <w:t>The condition of bilateral plantar fibromatosis was identified in the DES</w:t>
      </w:r>
      <w:r w:rsidR="00AA36DC" w:rsidRPr="00BE027C">
        <w:rPr>
          <w:color w:val="auto"/>
          <w:szCs w:val="24"/>
        </w:rPr>
        <w:t>, but did not receive a compensable rating from the VA within 12 months of se</w:t>
      </w:r>
      <w:r w:rsidR="00AA36DC" w:rsidRPr="001361F3">
        <w:rPr>
          <w:color w:val="auto"/>
          <w:szCs w:val="24"/>
        </w:rPr>
        <w:t>paration</w:t>
      </w:r>
      <w:r w:rsidR="004859D5" w:rsidRPr="001361F3">
        <w:rPr>
          <w:color w:val="auto"/>
          <w:szCs w:val="24"/>
        </w:rPr>
        <w:t xml:space="preserve">.  This condition </w:t>
      </w:r>
      <w:r w:rsidR="00153E54" w:rsidRPr="001361F3">
        <w:rPr>
          <w:color w:val="auto"/>
          <w:szCs w:val="24"/>
        </w:rPr>
        <w:t xml:space="preserve">was </w:t>
      </w:r>
      <w:r w:rsidR="00D76580" w:rsidRPr="001361F3">
        <w:rPr>
          <w:color w:val="auto"/>
          <w:szCs w:val="24"/>
        </w:rPr>
        <w:t xml:space="preserve">clinically active during the MEB </w:t>
      </w:r>
      <w:r w:rsidR="00153E54" w:rsidRPr="001361F3">
        <w:rPr>
          <w:color w:val="auto"/>
          <w:szCs w:val="24"/>
        </w:rPr>
        <w:t>period</w:t>
      </w:r>
      <w:r w:rsidR="00D76580" w:rsidRPr="001361F3">
        <w:rPr>
          <w:color w:val="auto"/>
          <w:szCs w:val="24"/>
        </w:rPr>
        <w:t xml:space="preserve"> and did result in temporary profiles for wear of soft shoes and avoidance of running, jumping and </w:t>
      </w:r>
      <w:r w:rsidR="003C5E6B" w:rsidRPr="001361F3">
        <w:rPr>
          <w:color w:val="auto"/>
          <w:szCs w:val="24"/>
        </w:rPr>
        <w:t>prolonged standing</w:t>
      </w:r>
      <w:r w:rsidR="00D76580" w:rsidRPr="001361F3">
        <w:rPr>
          <w:color w:val="auto"/>
          <w:szCs w:val="24"/>
        </w:rPr>
        <w:t xml:space="preserve">.  </w:t>
      </w:r>
      <w:r w:rsidR="003C5E6B" w:rsidRPr="001361F3">
        <w:rPr>
          <w:color w:val="auto"/>
          <w:szCs w:val="24"/>
        </w:rPr>
        <w:t xml:space="preserve">The CI’s last temporary profile for bilateral plantar fibromatosis </w:t>
      </w:r>
      <w:r w:rsidR="003C5E6B" w:rsidRPr="00731E36">
        <w:rPr>
          <w:color w:val="auto"/>
          <w:szCs w:val="24"/>
        </w:rPr>
        <w:t>expired in October 2004</w:t>
      </w:r>
      <w:r w:rsidR="00731E36" w:rsidRPr="00731E36">
        <w:rPr>
          <w:color w:val="auto"/>
          <w:szCs w:val="24"/>
        </w:rPr>
        <w:t xml:space="preserve">, </w:t>
      </w:r>
      <w:r w:rsidR="00731E36" w:rsidRPr="00BE027C">
        <w:rPr>
          <w:color w:val="auto"/>
          <w:szCs w:val="24"/>
        </w:rPr>
        <w:t>two months prior to separation</w:t>
      </w:r>
      <w:r w:rsidR="003C5E6B" w:rsidRPr="001361F3">
        <w:rPr>
          <w:color w:val="auto"/>
          <w:szCs w:val="24"/>
        </w:rPr>
        <w:t>.  The available evidence suggests that this condition was well-controlled with</w:t>
      </w:r>
      <w:r w:rsidR="00153E54" w:rsidRPr="001361F3">
        <w:rPr>
          <w:color w:val="auto"/>
          <w:szCs w:val="24"/>
        </w:rPr>
        <w:t xml:space="preserve"> steroid injections</w:t>
      </w:r>
      <w:r w:rsidR="00D76580" w:rsidRPr="001361F3">
        <w:rPr>
          <w:color w:val="auto"/>
          <w:szCs w:val="24"/>
        </w:rPr>
        <w:t xml:space="preserve"> and </w:t>
      </w:r>
      <w:r w:rsidR="00153E54" w:rsidRPr="001361F3">
        <w:rPr>
          <w:color w:val="auto"/>
          <w:szCs w:val="24"/>
        </w:rPr>
        <w:t>physical therapy modalities</w:t>
      </w:r>
      <w:r w:rsidR="003C5E6B" w:rsidRPr="001361F3">
        <w:rPr>
          <w:color w:val="auto"/>
          <w:szCs w:val="24"/>
        </w:rPr>
        <w:t xml:space="preserve"> at time of separation</w:t>
      </w:r>
      <w:r w:rsidR="00AA36DC" w:rsidRPr="001361F3">
        <w:rPr>
          <w:color w:val="auto"/>
          <w:szCs w:val="24"/>
        </w:rPr>
        <w:t xml:space="preserve">.  </w:t>
      </w:r>
      <w:r w:rsidR="001361F3">
        <w:rPr>
          <w:color w:val="auto"/>
          <w:szCs w:val="24"/>
        </w:rPr>
        <w:t>At the time of the VA C&amp;P exam</w:t>
      </w:r>
      <w:r w:rsidR="00BE027C">
        <w:rPr>
          <w:color w:val="auto"/>
          <w:szCs w:val="24"/>
        </w:rPr>
        <w:t>,</w:t>
      </w:r>
      <w:r w:rsidR="001361F3">
        <w:rPr>
          <w:color w:val="auto"/>
          <w:szCs w:val="24"/>
        </w:rPr>
        <w:t xml:space="preserve"> </w:t>
      </w:r>
      <w:r w:rsidR="001361F3" w:rsidRPr="00BE027C">
        <w:rPr>
          <w:color w:val="auto"/>
          <w:szCs w:val="24"/>
        </w:rPr>
        <w:t>two months post-separation</w:t>
      </w:r>
      <w:r w:rsidR="001361F3">
        <w:rPr>
          <w:color w:val="auto"/>
          <w:szCs w:val="24"/>
        </w:rPr>
        <w:t xml:space="preserve">, the CI noted that the foot pain was not affecting his activities of daily living or his job as a mail carrier.  </w:t>
      </w:r>
      <w:r w:rsidR="00171009">
        <w:rPr>
          <w:color w:val="auto"/>
          <w:szCs w:val="24"/>
        </w:rPr>
        <w:t xml:space="preserve">The limitations on running and walking documented in the permanent profile were clearly attributed to the CI’s </w:t>
      </w:r>
      <w:r w:rsidR="001361F3">
        <w:rPr>
          <w:color w:val="auto"/>
          <w:szCs w:val="24"/>
        </w:rPr>
        <w:t xml:space="preserve">unfitting COPD condition and were based on his </w:t>
      </w:r>
      <w:r w:rsidR="00171009">
        <w:rPr>
          <w:color w:val="auto"/>
          <w:szCs w:val="24"/>
        </w:rPr>
        <w:t>inability to ambulate for longer than 30 minutes without becoming short of breath.  The</w:t>
      </w:r>
      <w:r w:rsidR="00AA36DC">
        <w:rPr>
          <w:color w:val="auto"/>
          <w:szCs w:val="24"/>
        </w:rPr>
        <w:t xml:space="preserve"> condition </w:t>
      </w:r>
      <w:r w:rsidR="00171009">
        <w:rPr>
          <w:color w:val="auto"/>
          <w:szCs w:val="24"/>
        </w:rPr>
        <w:t xml:space="preserve">of bilateral plantar fibromatosis </w:t>
      </w:r>
      <w:r w:rsidR="00AA36DC">
        <w:rPr>
          <w:color w:val="auto"/>
          <w:szCs w:val="24"/>
        </w:rPr>
        <w:t>was not implicated in the commander’s statement</w:t>
      </w:r>
      <w:r w:rsidR="004859D5">
        <w:rPr>
          <w:color w:val="auto"/>
          <w:szCs w:val="24"/>
        </w:rPr>
        <w:t xml:space="preserve"> </w:t>
      </w:r>
      <w:r w:rsidR="00AA36DC">
        <w:rPr>
          <w:color w:val="auto"/>
          <w:szCs w:val="24"/>
        </w:rPr>
        <w:t xml:space="preserve">and there was insufficient evidence </w:t>
      </w:r>
      <w:r w:rsidR="00171009">
        <w:rPr>
          <w:color w:val="auto"/>
          <w:szCs w:val="24"/>
        </w:rPr>
        <w:t>to argue that this condition w</w:t>
      </w:r>
      <w:r w:rsidR="00AA36DC">
        <w:rPr>
          <w:color w:val="auto"/>
          <w:szCs w:val="24"/>
        </w:rPr>
        <w:t xml:space="preserve">as separately unfitting. </w:t>
      </w:r>
      <w:r w:rsidR="004859D5">
        <w:rPr>
          <w:color w:val="auto"/>
          <w:szCs w:val="24"/>
        </w:rPr>
        <w:t xml:space="preserve"> </w:t>
      </w:r>
    </w:p>
    <w:p w:rsidR="00AA36DC" w:rsidRDefault="00AA36DC" w:rsidP="00055409">
      <w:pPr>
        <w:spacing w:line="240" w:lineRule="exact"/>
        <w:jc w:val="both"/>
        <w:rPr>
          <w:color w:val="auto"/>
          <w:szCs w:val="24"/>
        </w:rPr>
      </w:pPr>
    </w:p>
    <w:p w:rsidR="00EC337D" w:rsidRPr="004859D5" w:rsidRDefault="00EC337D" w:rsidP="00055409">
      <w:pPr>
        <w:spacing w:line="240" w:lineRule="exact"/>
        <w:jc w:val="both"/>
        <w:rPr>
          <w:color w:val="auto"/>
          <w:szCs w:val="24"/>
        </w:rPr>
      </w:pPr>
      <w:r w:rsidRPr="00711350">
        <w:rPr>
          <w:color w:val="auto"/>
          <w:szCs w:val="24"/>
        </w:rPr>
        <w:t xml:space="preserve">Several additional non-acute conditions or medical complaints were </w:t>
      </w:r>
      <w:r w:rsidRPr="00055409">
        <w:rPr>
          <w:color w:val="auto"/>
          <w:szCs w:val="24"/>
        </w:rPr>
        <w:t>documented</w:t>
      </w:r>
      <w:r w:rsidR="004859D5">
        <w:rPr>
          <w:color w:val="auto"/>
          <w:szCs w:val="24"/>
        </w:rPr>
        <w:t xml:space="preserve"> in the MEB history and physical</w:t>
      </w:r>
      <w:r w:rsidR="00BE027C">
        <w:rPr>
          <w:color w:val="auto"/>
          <w:szCs w:val="24"/>
        </w:rPr>
        <w:t>.</w:t>
      </w:r>
      <w:r w:rsidRPr="00055409">
        <w:rPr>
          <w:color w:val="auto"/>
          <w:szCs w:val="24"/>
        </w:rPr>
        <w:t xml:space="preserve">  </w:t>
      </w:r>
      <w:r w:rsidR="00055409" w:rsidRPr="00055409">
        <w:rPr>
          <w:color w:val="auto"/>
          <w:szCs w:val="24"/>
        </w:rPr>
        <w:t>Th</w:t>
      </w:r>
      <w:r w:rsidR="00171009">
        <w:rPr>
          <w:color w:val="auto"/>
          <w:szCs w:val="24"/>
        </w:rPr>
        <w:t>ese</w:t>
      </w:r>
      <w:r w:rsidRPr="00055409">
        <w:rPr>
          <w:color w:val="auto"/>
          <w:szCs w:val="24"/>
        </w:rPr>
        <w:t xml:space="preserve"> condition</w:t>
      </w:r>
      <w:r w:rsidR="00171009">
        <w:rPr>
          <w:color w:val="auto"/>
          <w:szCs w:val="24"/>
        </w:rPr>
        <w:t>s</w:t>
      </w:r>
      <w:r w:rsidRPr="00055409">
        <w:rPr>
          <w:color w:val="auto"/>
          <w:szCs w:val="24"/>
        </w:rPr>
        <w:t xml:space="preserve"> w</w:t>
      </w:r>
      <w:r w:rsidR="00171009">
        <w:rPr>
          <w:color w:val="auto"/>
          <w:szCs w:val="24"/>
        </w:rPr>
        <w:t>ere</w:t>
      </w:r>
      <w:r w:rsidRPr="00055409">
        <w:rPr>
          <w:color w:val="auto"/>
          <w:szCs w:val="24"/>
        </w:rPr>
        <w:t xml:space="preserve"> </w:t>
      </w:r>
      <w:r w:rsidR="00171009">
        <w:rPr>
          <w:color w:val="auto"/>
          <w:szCs w:val="24"/>
        </w:rPr>
        <w:t xml:space="preserve">not significantly </w:t>
      </w:r>
      <w:r w:rsidRPr="00055409">
        <w:rPr>
          <w:color w:val="auto"/>
          <w:szCs w:val="24"/>
        </w:rPr>
        <w:t xml:space="preserve">clinically </w:t>
      </w:r>
      <w:r w:rsidR="00171009">
        <w:rPr>
          <w:color w:val="auto"/>
          <w:szCs w:val="24"/>
        </w:rPr>
        <w:t xml:space="preserve">or occupationally </w:t>
      </w:r>
      <w:r w:rsidRPr="00055409">
        <w:rPr>
          <w:color w:val="auto"/>
          <w:szCs w:val="24"/>
        </w:rPr>
        <w:t>active during the MEB period</w:t>
      </w:r>
      <w:r w:rsidR="00171009">
        <w:rPr>
          <w:color w:val="auto"/>
          <w:szCs w:val="24"/>
        </w:rPr>
        <w:t>.  None</w:t>
      </w:r>
      <w:r w:rsidR="00055409" w:rsidRPr="00055409">
        <w:rPr>
          <w:color w:val="auto"/>
          <w:szCs w:val="24"/>
        </w:rPr>
        <w:t xml:space="preserve"> </w:t>
      </w:r>
      <w:r w:rsidR="00171009">
        <w:rPr>
          <w:color w:val="auto"/>
          <w:szCs w:val="24"/>
        </w:rPr>
        <w:t>carried</w:t>
      </w:r>
      <w:r w:rsidR="00055409" w:rsidRPr="00055409">
        <w:rPr>
          <w:color w:val="auto"/>
          <w:szCs w:val="24"/>
        </w:rPr>
        <w:t xml:space="preserve"> </w:t>
      </w:r>
      <w:r w:rsidRPr="00055409">
        <w:rPr>
          <w:color w:val="auto"/>
          <w:szCs w:val="24"/>
        </w:rPr>
        <w:t>attached profiles</w:t>
      </w:r>
      <w:r w:rsidR="00055409">
        <w:rPr>
          <w:color w:val="auto"/>
          <w:szCs w:val="24"/>
        </w:rPr>
        <w:t xml:space="preserve"> </w:t>
      </w:r>
      <w:r w:rsidR="00171009">
        <w:rPr>
          <w:color w:val="auto"/>
          <w:szCs w:val="24"/>
        </w:rPr>
        <w:t xml:space="preserve">and </w:t>
      </w:r>
      <w:r w:rsidRPr="00055409">
        <w:rPr>
          <w:color w:val="auto"/>
          <w:szCs w:val="24"/>
        </w:rPr>
        <w:t xml:space="preserve">none </w:t>
      </w:r>
      <w:r w:rsidR="00405BCF" w:rsidRPr="00055409">
        <w:rPr>
          <w:color w:val="auto"/>
          <w:szCs w:val="24"/>
        </w:rPr>
        <w:t>w</w:t>
      </w:r>
      <w:r w:rsidR="00171009">
        <w:rPr>
          <w:color w:val="auto"/>
          <w:szCs w:val="24"/>
        </w:rPr>
        <w:t>ere</w:t>
      </w:r>
      <w:r w:rsidRPr="00055409">
        <w:rPr>
          <w:color w:val="auto"/>
          <w:szCs w:val="24"/>
        </w:rPr>
        <w:t xml:space="preserve"> implicated in the </w:t>
      </w:r>
      <w:r w:rsidR="00B5646A" w:rsidRPr="00055409">
        <w:rPr>
          <w:color w:val="auto"/>
          <w:szCs w:val="24"/>
        </w:rPr>
        <w:t>c</w:t>
      </w:r>
      <w:r w:rsidRPr="00055409">
        <w:rPr>
          <w:color w:val="auto"/>
          <w:szCs w:val="24"/>
        </w:rPr>
        <w:t>ommander’s</w:t>
      </w:r>
      <w:r w:rsidR="00774FFD" w:rsidRPr="00055409">
        <w:rPr>
          <w:color w:val="auto"/>
          <w:szCs w:val="24"/>
        </w:rPr>
        <w:t xml:space="preserve"> statement</w:t>
      </w:r>
      <w:r w:rsidRPr="00055409">
        <w:rPr>
          <w:color w:val="auto"/>
          <w:szCs w:val="24"/>
        </w:rPr>
        <w:t xml:space="preserve">.  These conditions were reviewed by the </w:t>
      </w:r>
      <w:r w:rsidR="003B4319" w:rsidRPr="00055409">
        <w:rPr>
          <w:color w:val="auto"/>
          <w:szCs w:val="24"/>
        </w:rPr>
        <w:t>a</w:t>
      </w:r>
      <w:r w:rsidRPr="00055409">
        <w:rPr>
          <w:color w:val="auto"/>
          <w:szCs w:val="24"/>
        </w:rPr>
        <w:t xml:space="preserve">ction </w:t>
      </w:r>
      <w:r w:rsidR="003B4319" w:rsidRPr="00055409">
        <w:rPr>
          <w:color w:val="auto"/>
          <w:szCs w:val="24"/>
        </w:rPr>
        <w:t>o</w:t>
      </w:r>
      <w:r w:rsidRPr="00055409">
        <w:rPr>
          <w:color w:val="auto"/>
          <w:szCs w:val="24"/>
        </w:rPr>
        <w:t xml:space="preserve">fficer and considered by the Board.  It was determined that none could be argued as unfitting and subject to separation rating.  </w:t>
      </w:r>
      <w:r w:rsidR="00D6141F" w:rsidRPr="00D6141F">
        <w:rPr>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D6141F" w:rsidRPr="009C78FD" w:rsidRDefault="00C56FC8" w:rsidP="00510F9C">
      <w:pPr>
        <w:spacing w:line="240" w:lineRule="exact"/>
        <w:jc w:val="both"/>
        <w:rPr>
          <w:rFonts w:eastAsia="Calibri"/>
          <w:color w:val="auto"/>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w:t>
      </w:r>
      <w:r w:rsidRPr="00BE027C">
        <w:rPr>
          <w:rFonts w:eastAsia="Calibri"/>
          <w:color w:val="auto"/>
          <w:szCs w:val="24"/>
        </w:rPr>
        <w:t>the PEB will not be considered by the Board to the extent they were inconsistent with the VASRD in effect at the time of the adjudication.</w:t>
      </w:r>
      <w:r w:rsidR="00CE0330" w:rsidRPr="00BE027C">
        <w:rPr>
          <w:rFonts w:eastAsia="Calibri"/>
          <w:color w:val="auto"/>
          <w:szCs w:val="24"/>
        </w:rPr>
        <w:t xml:space="preserve">  As discussed above, PEB reliance on DoDI 1332.39 for rating </w:t>
      </w:r>
      <w:r w:rsidR="00731E36" w:rsidRPr="00BE027C">
        <w:rPr>
          <w:rFonts w:eastAsia="Calibri"/>
          <w:color w:val="auto"/>
          <w:szCs w:val="24"/>
        </w:rPr>
        <w:t xml:space="preserve">chronic obstructive pulmonary disease </w:t>
      </w:r>
      <w:r w:rsidR="00CE0330" w:rsidRPr="00BE027C">
        <w:rPr>
          <w:rFonts w:eastAsia="Calibri"/>
          <w:color w:val="auto"/>
          <w:szCs w:val="24"/>
        </w:rPr>
        <w:t xml:space="preserve">was likely operant in this case and the condition was adjudicated independently of that instruction by the Board.  </w:t>
      </w:r>
      <w:r w:rsidR="00D6141F" w:rsidRPr="00BE027C">
        <w:rPr>
          <w:rFonts w:eastAsia="Calibri"/>
          <w:color w:val="auto"/>
          <w:szCs w:val="24"/>
        </w:rPr>
        <w:t>In the matter of the chronic obstructive pulmonary disease condition, the Board unanimously recommends a permanent service disability rating of 10%, coded 6604 IAW VASRD§4.97.  In the matter of the bilateral plantar fibromatosis condition or any other medical conditions eligible for Board consideration, 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C56FC8" w:rsidRPr="00C17A55" w:rsidRDefault="00E906E7" w:rsidP="00D6141F">
      <w:pPr>
        <w:spacing w:line="240" w:lineRule="exact"/>
        <w:jc w:val="both"/>
        <w:rPr>
          <w:color w:val="auto"/>
        </w:rPr>
      </w:pPr>
      <w:r>
        <w:rPr>
          <w:color w:val="auto"/>
          <w:szCs w:val="24"/>
          <w:u w:val="single"/>
        </w:rPr>
        <w:br w:type="page"/>
      </w:r>
      <w:r w:rsidR="00C56FC8" w:rsidRPr="00396779">
        <w:rPr>
          <w:color w:val="auto"/>
          <w:szCs w:val="24"/>
          <w:u w:val="single"/>
        </w:rPr>
        <w:lastRenderedPageBreak/>
        <w:t>RECOMMENDATION</w:t>
      </w:r>
      <w:r w:rsidR="00C56FC8" w:rsidRPr="00396779">
        <w:rPr>
          <w:color w:val="auto"/>
          <w:szCs w:val="24"/>
        </w:rPr>
        <w:t>:</w:t>
      </w:r>
      <w:r w:rsidR="00C56FC8" w:rsidRPr="00396779">
        <w:rPr>
          <w:color w:val="000080"/>
          <w:szCs w:val="24"/>
        </w:rPr>
        <w:t xml:space="preserve"> </w:t>
      </w:r>
      <w:r w:rsidR="00C17A55">
        <w:rPr>
          <w:color w:val="000080"/>
          <w:szCs w:val="24"/>
        </w:rPr>
        <w:t xml:space="preserve"> </w:t>
      </w:r>
      <w:r w:rsidR="00C56FC8" w:rsidRPr="00396779">
        <w:rPr>
          <w:color w:val="auto"/>
          <w:szCs w:val="24"/>
        </w:rPr>
        <w:t xml:space="preserve">The Board recommends that the CI’s prior determination be modified </w:t>
      </w:r>
      <w:r w:rsidR="00C56FC8" w:rsidRPr="00B427BB">
        <w:rPr>
          <w:color w:val="auto"/>
          <w:szCs w:val="24"/>
        </w:rPr>
        <w:t>as follows, effective as of the date of his</w:t>
      </w:r>
      <w:r w:rsidR="00911B11">
        <w:rPr>
          <w:color w:val="auto"/>
          <w:szCs w:val="24"/>
        </w:rPr>
        <w:t xml:space="preserve"> prior medical separation:</w:t>
      </w:r>
    </w:p>
    <w:p w:rsidR="004101B2" w:rsidRPr="00C17A55" w:rsidRDefault="004101B2" w:rsidP="00510F9C">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906E7" w:rsidTr="00103948">
        <w:trPr>
          <w:trHeight w:val="233"/>
          <w:jc w:val="center"/>
        </w:trPr>
        <w:tc>
          <w:tcPr>
            <w:tcW w:w="6480" w:type="dxa"/>
            <w:shd w:val="clear" w:color="auto" w:fill="D9D9D9"/>
            <w:vAlign w:val="center"/>
          </w:tcPr>
          <w:p w:rsidR="00A95BBA" w:rsidRPr="00E906E7" w:rsidRDefault="00A95BBA" w:rsidP="00103948">
            <w:pPr>
              <w:tabs>
                <w:tab w:val="left" w:pos="288"/>
                <w:tab w:val="left" w:pos="4752"/>
              </w:tabs>
              <w:spacing w:line="240" w:lineRule="exact"/>
              <w:jc w:val="center"/>
              <w:rPr>
                <w:b/>
                <w:color w:val="auto"/>
                <w:szCs w:val="24"/>
              </w:rPr>
            </w:pPr>
            <w:r w:rsidRPr="00E906E7">
              <w:rPr>
                <w:b/>
                <w:color w:val="auto"/>
                <w:szCs w:val="24"/>
              </w:rPr>
              <w:t>UNFITTING CONDITION</w:t>
            </w:r>
          </w:p>
        </w:tc>
        <w:tc>
          <w:tcPr>
            <w:tcW w:w="1710" w:type="dxa"/>
            <w:shd w:val="clear" w:color="auto" w:fill="D9D9D9"/>
            <w:vAlign w:val="center"/>
          </w:tcPr>
          <w:p w:rsidR="00A95BBA" w:rsidRPr="00E906E7" w:rsidRDefault="00A95BBA" w:rsidP="00103948">
            <w:pPr>
              <w:tabs>
                <w:tab w:val="left" w:pos="288"/>
                <w:tab w:val="left" w:pos="4752"/>
              </w:tabs>
              <w:spacing w:line="240" w:lineRule="exact"/>
              <w:jc w:val="center"/>
              <w:rPr>
                <w:b/>
                <w:color w:val="auto"/>
                <w:szCs w:val="24"/>
              </w:rPr>
            </w:pPr>
            <w:r w:rsidRPr="00E906E7">
              <w:rPr>
                <w:b/>
                <w:color w:val="auto"/>
                <w:szCs w:val="24"/>
              </w:rPr>
              <w:t>VASRD CODE</w:t>
            </w:r>
          </w:p>
        </w:tc>
        <w:tc>
          <w:tcPr>
            <w:tcW w:w="1170" w:type="dxa"/>
            <w:shd w:val="clear" w:color="auto" w:fill="D9D9D9"/>
            <w:vAlign w:val="center"/>
          </w:tcPr>
          <w:p w:rsidR="00A95BBA" w:rsidRPr="00E906E7" w:rsidRDefault="00A95BBA" w:rsidP="00103948">
            <w:pPr>
              <w:tabs>
                <w:tab w:val="left" w:pos="288"/>
                <w:tab w:val="left" w:pos="4752"/>
              </w:tabs>
              <w:spacing w:line="240" w:lineRule="exact"/>
              <w:jc w:val="center"/>
              <w:rPr>
                <w:b/>
                <w:color w:val="auto"/>
                <w:szCs w:val="24"/>
              </w:rPr>
            </w:pPr>
            <w:r w:rsidRPr="00E906E7">
              <w:rPr>
                <w:b/>
                <w:color w:val="auto"/>
                <w:szCs w:val="24"/>
              </w:rPr>
              <w:t>RATING</w:t>
            </w:r>
          </w:p>
        </w:tc>
      </w:tr>
      <w:tr w:rsidR="00A95BBA" w:rsidRPr="00E906E7" w:rsidTr="00103948">
        <w:trPr>
          <w:jc w:val="center"/>
        </w:trPr>
        <w:tc>
          <w:tcPr>
            <w:tcW w:w="6480" w:type="dxa"/>
            <w:vAlign w:val="center"/>
          </w:tcPr>
          <w:p w:rsidR="00A95BBA" w:rsidRPr="00E906E7" w:rsidRDefault="0036773C" w:rsidP="0036773C">
            <w:pPr>
              <w:tabs>
                <w:tab w:val="left" w:pos="288"/>
                <w:tab w:val="left" w:pos="4752"/>
              </w:tabs>
              <w:spacing w:line="240" w:lineRule="exact"/>
              <w:rPr>
                <w:color w:val="auto"/>
                <w:szCs w:val="24"/>
              </w:rPr>
            </w:pPr>
            <w:r w:rsidRPr="00E906E7">
              <w:rPr>
                <w:color w:val="auto"/>
                <w:szCs w:val="24"/>
              </w:rPr>
              <w:t>Chronic Obstructive Pulmonary Disease</w:t>
            </w:r>
            <w:r w:rsidR="004A2E67">
              <w:rPr>
                <w:color w:val="auto"/>
                <w:szCs w:val="24"/>
              </w:rPr>
              <w:t xml:space="preserve"> (COPD)</w:t>
            </w:r>
          </w:p>
        </w:tc>
        <w:tc>
          <w:tcPr>
            <w:tcW w:w="1710" w:type="dxa"/>
            <w:vAlign w:val="center"/>
          </w:tcPr>
          <w:p w:rsidR="00A95BBA" w:rsidRPr="00E906E7" w:rsidRDefault="009C446C" w:rsidP="00103948">
            <w:pPr>
              <w:tabs>
                <w:tab w:val="left" w:pos="288"/>
                <w:tab w:val="left" w:pos="4752"/>
              </w:tabs>
              <w:spacing w:line="240" w:lineRule="exact"/>
              <w:jc w:val="center"/>
              <w:rPr>
                <w:color w:val="auto"/>
                <w:szCs w:val="24"/>
              </w:rPr>
            </w:pPr>
            <w:r w:rsidRPr="00E906E7">
              <w:rPr>
                <w:color w:val="auto"/>
                <w:szCs w:val="24"/>
              </w:rPr>
              <w:t>6604</w:t>
            </w:r>
          </w:p>
        </w:tc>
        <w:tc>
          <w:tcPr>
            <w:tcW w:w="1170" w:type="dxa"/>
            <w:vAlign w:val="center"/>
          </w:tcPr>
          <w:p w:rsidR="00A95BBA" w:rsidRPr="00E906E7" w:rsidRDefault="009C446C" w:rsidP="00103948">
            <w:pPr>
              <w:tabs>
                <w:tab w:val="left" w:pos="288"/>
                <w:tab w:val="left" w:pos="4752"/>
              </w:tabs>
              <w:spacing w:line="240" w:lineRule="exact"/>
              <w:jc w:val="center"/>
              <w:rPr>
                <w:color w:val="auto"/>
                <w:szCs w:val="24"/>
              </w:rPr>
            </w:pPr>
            <w:r w:rsidRPr="00E906E7">
              <w:rPr>
                <w:color w:val="auto"/>
                <w:szCs w:val="24"/>
              </w:rPr>
              <w:t>1</w:t>
            </w:r>
            <w:r w:rsidR="00A95BBA" w:rsidRPr="00E906E7">
              <w:rPr>
                <w:color w:val="auto"/>
                <w:szCs w:val="24"/>
              </w:rPr>
              <w:t>0%</w:t>
            </w:r>
          </w:p>
        </w:tc>
      </w:tr>
      <w:tr w:rsidR="00A95BBA" w:rsidRPr="00E906E7"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A95BBA" w:rsidRPr="00E906E7" w:rsidRDefault="00A95BBA" w:rsidP="00103948">
            <w:pPr>
              <w:tabs>
                <w:tab w:val="left" w:pos="288"/>
                <w:tab w:val="left" w:pos="4752"/>
              </w:tabs>
              <w:spacing w:line="240" w:lineRule="exact"/>
              <w:jc w:val="center"/>
              <w:rPr>
                <w:b/>
                <w:color w:val="auto"/>
                <w:szCs w:val="24"/>
              </w:rPr>
            </w:pPr>
            <w:r w:rsidRPr="00E906E7">
              <w:rPr>
                <w:b/>
                <w:color w:val="auto"/>
                <w:szCs w:val="24"/>
              </w:rPr>
              <w:t>COMBINED</w:t>
            </w:r>
          </w:p>
        </w:tc>
        <w:tc>
          <w:tcPr>
            <w:tcW w:w="1170" w:type="dxa"/>
            <w:tcBorders>
              <w:bottom w:val="single" w:sz="4" w:space="0" w:color="000000"/>
            </w:tcBorders>
            <w:shd w:val="clear" w:color="auto" w:fill="D9D9D9"/>
            <w:vAlign w:val="center"/>
          </w:tcPr>
          <w:p w:rsidR="00A95BBA" w:rsidRPr="00E906E7" w:rsidRDefault="009C446C" w:rsidP="00103948">
            <w:pPr>
              <w:tabs>
                <w:tab w:val="left" w:pos="288"/>
                <w:tab w:val="left" w:pos="4752"/>
              </w:tabs>
              <w:spacing w:line="240" w:lineRule="exact"/>
              <w:jc w:val="center"/>
              <w:rPr>
                <w:b/>
                <w:color w:val="auto"/>
                <w:szCs w:val="24"/>
              </w:rPr>
            </w:pPr>
            <w:r w:rsidRPr="00E906E7">
              <w:rPr>
                <w:b/>
                <w:color w:val="auto"/>
                <w:szCs w:val="24"/>
              </w:rPr>
              <w:t>1</w:t>
            </w:r>
            <w:r w:rsidR="00A95BBA" w:rsidRPr="00E906E7">
              <w:rPr>
                <w:b/>
                <w:color w:val="auto"/>
                <w:szCs w:val="24"/>
              </w:rPr>
              <w:t>0%</w:t>
            </w:r>
          </w:p>
        </w:tc>
      </w:tr>
    </w:tbl>
    <w:p w:rsidR="00E906E7" w:rsidRPr="00391858" w:rsidRDefault="00E906E7" w:rsidP="00E906E7">
      <w:pPr>
        <w:pBdr>
          <w:bottom w:val="single" w:sz="12" w:space="1" w:color="auto"/>
        </w:pBdr>
        <w:tabs>
          <w:tab w:val="left" w:pos="288"/>
          <w:tab w:val="left" w:pos="4752"/>
        </w:tabs>
        <w:spacing w:line="240" w:lineRule="exact"/>
        <w:jc w:val="both"/>
        <w:rPr>
          <w:b/>
          <w:color w:val="auto"/>
          <w:u w:val="single"/>
        </w:rPr>
      </w:pPr>
    </w:p>
    <w:p w:rsidR="00E906E7" w:rsidRDefault="00E906E7" w:rsidP="00E906E7">
      <w:pPr>
        <w:spacing w:line="240" w:lineRule="exact"/>
        <w:rPr>
          <w:b/>
          <w:color w:val="auto"/>
          <w:szCs w:val="24"/>
          <w:u w:val="single"/>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Exhibit A.  DD Form 294, dated 20</w:t>
      </w:r>
      <w:r w:rsidR="00995444">
        <w:rPr>
          <w:color w:val="auto"/>
        </w:rPr>
        <w:t>110629</w:t>
      </w:r>
      <w:r w:rsidR="004A2E67">
        <w:rPr>
          <w:color w:val="auto"/>
        </w:rPr>
        <w:t>, w/</w:t>
      </w:r>
      <w:proofErr w:type="spellStart"/>
      <w:r w:rsidR="004A2E67">
        <w:rPr>
          <w:color w:val="auto"/>
        </w:rPr>
        <w:t>atchs</w:t>
      </w:r>
      <w:proofErr w:type="spellEnd"/>
    </w:p>
    <w:p w:rsidR="00114F20" w:rsidRPr="00006186" w:rsidRDefault="00FB1725" w:rsidP="00510F9C">
      <w:pPr>
        <w:tabs>
          <w:tab w:val="left" w:pos="288"/>
          <w:tab w:val="left" w:pos="4752"/>
        </w:tabs>
        <w:spacing w:line="240" w:lineRule="exact"/>
        <w:jc w:val="both"/>
        <w:rPr>
          <w:color w:val="auto"/>
        </w:rPr>
      </w:pPr>
      <w:r>
        <w:rPr>
          <w:color w:val="auto"/>
        </w:rPr>
        <w:t>Exhibit B.  Service Tr</w:t>
      </w:r>
      <w:r w:rsidR="004A2E67">
        <w:rPr>
          <w:color w:val="auto"/>
        </w:rPr>
        <w:t>eatment Record</w:t>
      </w:r>
    </w:p>
    <w:p w:rsidR="00114F20" w:rsidRPr="00006186" w:rsidRDefault="00FB1725" w:rsidP="00510F9C">
      <w:pPr>
        <w:tabs>
          <w:tab w:val="left" w:pos="288"/>
          <w:tab w:val="left" w:pos="4752"/>
        </w:tabs>
        <w:spacing w:line="240" w:lineRule="exact"/>
        <w:jc w:val="both"/>
        <w:rPr>
          <w:color w:val="auto"/>
        </w:rPr>
      </w:pPr>
      <w:r>
        <w:rPr>
          <w:color w:val="auto"/>
        </w:rPr>
        <w:t>Exhibit C.  Department of Vet</w:t>
      </w:r>
      <w:r w:rsidR="004A2E67">
        <w:rPr>
          <w:color w:val="auto"/>
        </w:rPr>
        <w:t>erans' Affairs Treatment Record</w:t>
      </w:r>
    </w:p>
    <w:p w:rsidR="00D91DA6" w:rsidRPr="00006186" w:rsidRDefault="00D91DA6"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D91DA6" w:rsidRDefault="00FB1725" w:rsidP="00055409">
      <w:pPr>
        <w:tabs>
          <w:tab w:val="left" w:pos="0"/>
          <w:tab w:val="left" w:pos="4320"/>
        </w:tabs>
        <w:spacing w:line="240" w:lineRule="exact"/>
        <w:jc w:val="both"/>
        <w:rPr>
          <w:color w:val="auto"/>
        </w:rPr>
      </w:pPr>
      <w:r>
        <w:rPr>
          <w:color w:val="auto"/>
        </w:rPr>
        <w:t xml:space="preserve">                             </w:t>
      </w:r>
      <w:r>
        <w:rPr>
          <w:color w:val="auto"/>
        </w:rPr>
        <w:tab/>
      </w:r>
      <w:r>
        <w:rPr>
          <w:color w:val="auto"/>
        </w:rPr>
        <w:tab/>
      </w:r>
      <w:r w:rsidR="005325BC">
        <w:rPr>
          <w:color w:val="auto"/>
        </w:rPr>
        <w:t>XXXXXXXXXXXXXXXXXXXX</w:t>
      </w:r>
    </w:p>
    <w:p w:rsidR="00055409" w:rsidRPr="00006186" w:rsidRDefault="00055409" w:rsidP="00055409">
      <w:pPr>
        <w:tabs>
          <w:tab w:val="left" w:pos="0"/>
          <w:tab w:val="left" w:pos="4320"/>
        </w:tabs>
        <w:spacing w:line="240" w:lineRule="exact"/>
        <w:jc w:val="both"/>
        <w:rPr>
          <w:color w:val="auto"/>
        </w:rPr>
      </w:pPr>
      <w:r>
        <w:rPr>
          <w:color w:val="auto"/>
        </w:rPr>
        <w:tab/>
      </w:r>
      <w:r>
        <w:rPr>
          <w:color w:val="auto"/>
        </w:rPr>
        <w:tab/>
        <w:t>President</w:t>
      </w:r>
    </w:p>
    <w:p w:rsidR="005325BC" w:rsidRDefault="00FB1725" w:rsidP="00510F9C">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5325BC" w:rsidRDefault="005325BC" w:rsidP="005325BC">
      <w:r>
        <w:rPr>
          <w:color w:val="auto"/>
        </w:rPr>
        <w:br w:type="page"/>
      </w:r>
      <w:r>
        <w:lastRenderedPageBreak/>
        <w:t>SFMR-RB</w:t>
      </w:r>
      <w:r>
        <w:tab/>
      </w:r>
      <w:r>
        <w:tab/>
      </w:r>
      <w:r>
        <w:tab/>
      </w:r>
      <w:r>
        <w:tab/>
      </w:r>
      <w:r>
        <w:tab/>
      </w:r>
      <w:r>
        <w:tab/>
      </w:r>
      <w:r>
        <w:tab/>
      </w:r>
      <w:r>
        <w:tab/>
      </w:r>
      <w:r>
        <w:tab/>
      </w:r>
    </w:p>
    <w:p w:rsidR="005325BC" w:rsidRDefault="005325BC" w:rsidP="005325BC">
      <w:pPr>
        <w:pStyle w:val="Header"/>
        <w:tabs>
          <w:tab w:val="left" w:pos="720"/>
        </w:tabs>
      </w:pPr>
    </w:p>
    <w:p w:rsidR="005325BC" w:rsidRDefault="005325BC" w:rsidP="005325BC"/>
    <w:p w:rsidR="005325BC" w:rsidRDefault="005325BC" w:rsidP="005325BC">
      <w:r>
        <w:t xml:space="preserve">MEMORANDUM FOR Commander, US Army Physical Disability Agency </w:t>
      </w:r>
    </w:p>
    <w:p w:rsidR="005325BC" w:rsidRDefault="005325BC" w:rsidP="005325BC">
      <w:r>
        <w:t xml:space="preserve">(TAPD-ZB </w:t>
      </w:r>
      <w:proofErr w:type="gramStart"/>
      <w:r>
        <w:t>/  )</w:t>
      </w:r>
      <w:proofErr w:type="gramEnd"/>
      <w:r>
        <w:t>, 2900 Crystal Drive, Suite 300, Arlington, VA  22202</w:t>
      </w:r>
    </w:p>
    <w:p w:rsidR="005325BC" w:rsidRDefault="005325BC" w:rsidP="005325BC"/>
    <w:p w:rsidR="005325BC" w:rsidRDefault="005325BC" w:rsidP="005325BC">
      <w:pPr>
        <w:ind w:right="-180"/>
      </w:pPr>
      <w:r>
        <w:t xml:space="preserve">SUBJECT:  Department of Defense Physical Disability Board of Review Recommendation </w:t>
      </w:r>
    </w:p>
    <w:p w:rsidR="005325BC" w:rsidRDefault="005325BC" w:rsidP="005325BC">
      <w:pPr>
        <w:pStyle w:val="Header"/>
        <w:tabs>
          <w:tab w:val="left" w:pos="720"/>
        </w:tabs>
      </w:pPr>
      <w:proofErr w:type="gramStart"/>
      <w:r>
        <w:t>for</w:t>
      </w:r>
      <w:proofErr w:type="gramEnd"/>
      <w:r>
        <w:t xml:space="preserve"> XXXXXXXXXXXXXXXXXXXXX, AR20120004766 (PD201100491)</w:t>
      </w:r>
    </w:p>
    <w:p w:rsidR="005325BC" w:rsidRDefault="005325BC" w:rsidP="005325BC">
      <w:pPr>
        <w:pStyle w:val="Header"/>
        <w:tabs>
          <w:tab w:val="left" w:pos="720"/>
        </w:tabs>
      </w:pPr>
    </w:p>
    <w:p w:rsidR="005325BC" w:rsidRDefault="005325BC" w:rsidP="005325BC"/>
    <w:p w:rsidR="005325BC" w:rsidRDefault="005325BC" w:rsidP="005325BC">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5325BC" w:rsidRDefault="005325BC" w:rsidP="005325BC"/>
    <w:p w:rsidR="005325BC" w:rsidRDefault="005325BC" w:rsidP="005325BC">
      <w:r>
        <w:t xml:space="preserve">2.  I direct that all the Department of the Army records of the individual concerned be corrected accordingly no later than 120 days from the date of this memorandum.   </w:t>
      </w:r>
    </w:p>
    <w:p w:rsidR="005325BC" w:rsidRDefault="005325BC" w:rsidP="005325BC"/>
    <w:p w:rsidR="005325BC" w:rsidRDefault="005325BC" w:rsidP="005325BC">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325BC" w:rsidRDefault="005325BC" w:rsidP="005325BC"/>
    <w:p w:rsidR="005325BC" w:rsidRDefault="005325BC" w:rsidP="005325BC">
      <w:r>
        <w:t xml:space="preserve"> BY ORDER OF THE SECRETARY OF THE ARMY:</w:t>
      </w:r>
    </w:p>
    <w:p w:rsidR="005325BC" w:rsidRDefault="005325BC" w:rsidP="005325BC"/>
    <w:p w:rsidR="005325BC" w:rsidRDefault="005325BC" w:rsidP="005325BC"/>
    <w:p w:rsidR="005325BC" w:rsidRDefault="005325BC" w:rsidP="005325BC">
      <w:pPr>
        <w:pStyle w:val="Header"/>
        <w:tabs>
          <w:tab w:val="left" w:pos="720"/>
        </w:tabs>
      </w:pPr>
    </w:p>
    <w:p w:rsidR="005325BC" w:rsidRDefault="005325BC" w:rsidP="005325BC"/>
    <w:p w:rsidR="005325BC" w:rsidRDefault="005325BC" w:rsidP="005325BC">
      <w:bookmarkStart w:id="0" w:name="OLE_LINK4"/>
      <w:bookmarkStart w:id="1" w:name="OLE_LINK3"/>
      <w:r>
        <w:t>Encl</w:t>
      </w:r>
      <w:r>
        <w:tab/>
      </w:r>
      <w:r>
        <w:tab/>
      </w:r>
      <w:r>
        <w:tab/>
      </w:r>
      <w:r>
        <w:tab/>
      </w:r>
      <w:r>
        <w:tab/>
      </w:r>
      <w:r>
        <w:tab/>
        <w:t xml:space="preserve">     XXXXXXXXXXXXXXXXXXXX</w:t>
      </w:r>
    </w:p>
    <w:p w:rsidR="005325BC" w:rsidRDefault="005325BC" w:rsidP="005325BC">
      <w:r>
        <w:tab/>
      </w:r>
      <w:r>
        <w:tab/>
      </w:r>
      <w:r>
        <w:tab/>
      </w:r>
      <w:r>
        <w:tab/>
      </w:r>
      <w:r>
        <w:tab/>
      </w:r>
      <w:r>
        <w:tab/>
        <w:t xml:space="preserve">     Deputy Assistant Secretary</w:t>
      </w:r>
    </w:p>
    <w:p w:rsidR="005325BC" w:rsidRDefault="005325BC" w:rsidP="005325BC">
      <w:r>
        <w:tab/>
      </w:r>
      <w:r>
        <w:tab/>
      </w:r>
      <w:r>
        <w:tab/>
      </w:r>
      <w:r>
        <w:tab/>
      </w:r>
      <w:r>
        <w:tab/>
      </w:r>
      <w:r>
        <w:tab/>
        <w:t xml:space="preserve">         (Army Review Boards)</w:t>
      </w:r>
      <w:bookmarkEnd w:id="0"/>
      <w:bookmarkEnd w:id="1"/>
    </w:p>
    <w:p w:rsidR="005325BC" w:rsidRDefault="005325BC" w:rsidP="005325BC"/>
    <w:p w:rsidR="005325BC" w:rsidRDefault="005325BC" w:rsidP="005325BC">
      <w:r>
        <w:t xml:space="preserve">CF: </w:t>
      </w:r>
    </w:p>
    <w:p w:rsidR="005325BC" w:rsidRDefault="005325BC" w:rsidP="005325BC">
      <w:r>
        <w:t xml:space="preserve">(  ) </w:t>
      </w:r>
      <w:proofErr w:type="spellStart"/>
      <w:proofErr w:type="gramStart"/>
      <w:r>
        <w:t>DoD</w:t>
      </w:r>
      <w:proofErr w:type="spellEnd"/>
      <w:proofErr w:type="gramEnd"/>
      <w:r>
        <w:t xml:space="preserve"> PDBR</w:t>
      </w:r>
    </w:p>
    <w:p w:rsidR="005325BC" w:rsidRDefault="005325BC" w:rsidP="005325BC">
      <w:r>
        <w:t>(  ) DVA</w:t>
      </w:r>
    </w:p>
    <w:p w:rsidR="00B522CD" w:rsidRPr="00006186" w:rsidRDefault="00B522CD" w:rsidP="00510F9C">
      <w:pPr>
        <w:tabs>
          <w:tab w:val="left" w:pos="288"/>
          <w:tab w:val="left" w:pos="4320"/>
          <w:tab w:val="left" w:pos="4410"/>
          <w:tab w:val="left" w:pos="4770"/>
          <w:tab w:val="left" w:pos="4860"/>
          <w:tab w:val="left" w:pos="5040"/>
        </w:tabs>
        <w:spacing w:line="240" w:lineRule="exact"/>
        <w:jc w:val="both"/>
        <w:rPr>
          <w:color w:val="auto"/>
        </w:rPr>
      </w:pPr>
    </w:p>
    <w:sectPr w:rsidR="00B522CD" w:rsidRPr="0000618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63" w:rsidRDefault="006B5C63">
      <w:r>
        <w:separator/>
      </w:r>
    </w:p>
  </w:endnote>
  <w:endnote w:type="continuationSeparator" w:id="0">
    <w:p w:rsidR="006B5C63" w:rsidRDefault="006B5C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7" w:rsidRPr="00684CE6" w:rsidRDefault="007F5E1E" w:rsidP="00F65ED5">
    <w:pPr>
      <w:pStyle w:val="Footer"/>
      <w:jc w:val="right"/>
      <w:rPr>
        <w:color w:val="auto"/>
      </w:rPr>
    </w:pPr>
    <w:r w:rsidRPr="00995444">
      <w:rPr>
        <w:color w:val="auto"/>
      </w:rPr>
      <w:fldChar w:fldCharType="begin"/>
    </w:r>
    <w:r w:rsidR="000F00D7" w:rsidRPr="00995444">
      <w:rPr>
        <w:color w:val="auto"/>
      </w:rPr>
      <w:instrText xml:space="preserve"> PAGE   \* MERGEFORMAT </w:instrText>
    </w:r>
    <w:r w:rsidRPr="00995444">
      <w:rPr>
        <w:color w:val="auto"/>
      </w:rPr>
      <w:fldChar w:fldCharType="separate"/>
    </w:r>
    <w:r w:rsidR="005325BC">
      <w:rPr>
        <w:noProof/>
        <w:color w:val="auto"/>
      </w:rPr>
      <w:t>4</w:t>
    </w:r>
    <w:r w:rsidRPr="00995444">
      <w:rPr>
        <w:color w:val="auto"/>
      </w:rPr>
      <w:fldChar w:fldCharType="end"/>
    </w:r>
    <w:r w:rsidR="000F00D7" w:rsidRPr="00995444">
      <w:rPr>
        <w:color w:val="auto"/>
      </w:rPr>
      <w:t xml:space="preserve">                                                           PD1100491</w:t>
    </w:r>
  </w:p>
  <w:p w:rsidR="000F00D7" w:rsidRPr="00684CE6" w:rsidRDefault="000F00D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D7" w:rsidRPr="00DB4A6D" w:rsidRDefault="000F00D7" w:rsidP="00DB4A6D">
    <w:pPr>
      <w:pStyle w:val="Footer"/>
      <w:rPr>
        <w:color w:val="auto"/>
      </w:rPr>
    </w:pPr>
    <w:r w:rsidRPr="00DB4A6D">
      <w:rPr>
        <w:color w:val="auto"/>
      </w:rPr>
      <w:tab/>
      <w:t>1</w:t>
    </w:r>
  </w:p>
  <w:p w:rsidR="000F00D7" w:rsidRPr="009F020F" w:rsidRDefault="000F00D7"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63" w:rsidRDefault="006B5C63">
      <w:r>
        <w:separator/>
      </w:r>
    </w:p>
  </w:footnote>
  <w:footnote w:type="continuationSeparator" w:id="0">
    <w:p w:rsidR="006B5C63" w:rsidRDefault="006B5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89442"/>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409"/>
    <w:rsid w:val="000575C5"/>
    <w:rsid w:val="000577C9"/>
    <w:rsid w:val="00060FFD"/>
    <w:rsid w:val="0006431E"/>
    <w:rsid w:val="000652EA"/>
    <w:rsid w:val="00065E21"/>
    <w:rsid w:val="000673ED"/>
    <w:rsid w:val="00070DED"/>
    <w:rsid w:val="00072433"/>
    <w:rsid w:val="0007488B"/>
    <w:rsid w:val="00074F49"/>
    <w:rsid w:val="00075702"/>
    <w:rsid w:val="00075A0C"/>
    <w:rsid w:val="000775C2"/>
    <w:rsid w:val="000806AD"/>
    <w:rsid w:val="00080BDF"/>
    <w:rsid w:val="00082482"/>
    <w:rsid w:val="00084CF2"/>
    <w:rsid w:val="00085D7B"/>
    <w:rsid w:val="0008708B"/>
    <w:rsid w:val="00092619"/>
    <w:rsid w:val="00092C25"/>
    <w:rsid w:val="00092C66"/>
    <w:rsid w:val="000949DD"/>
    <w:rsid w:val="00094E4F"/>
    <w:rsid w:val="000A2BCE"/>
    <w:rsid w:val="000A2C5D"/>
    <w:rsid w:val="000A33C8"/>
    <w:rsid w:val="000A41E3"/>
    <w:rsid w:val="000A4BBA"/>
    <w:rsid w:val="000A5071"/>
    <w:rsid w:val="000B085C"/>
    <w:rsid w:val="000B0AD2"/>
    <w:rsid w:val="000B1022"/>
    <w:rsid w:val="000B2FB8"/>
    <w:rsid w:val="000B4C99"/>
    <w:rsid w:val="000C06F6"/>
    <w:rsid w:val="000C1D34"/>
    <w:rsid w:val="000C2362"/>
    <w:rsid w:val="000C2E26"/>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0D7"/>
    <w:rsid w:val="000F02BE"/>
    <w:rsid w:val="000F05EB"/>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692"/>
    <w:rsid w:val="00106AD8"/>
    <w:rsid w:val="00107EC5"/>
    <w:rsid w:val="001103CD"/>
    <w:rsid w:val="00113D2A"/>
    <w:rsid w:val="00114F20"/>
    <w:rsid w:val="0011590B"/>
    <w:rsid w:val="001211AF"/>
    <w:rsid w:val="001219DF"/>
    <w:rsid w:val="0012220B"/>
    <w:rsid w:val="00122ABE"/>
    <w:rsid w:val="001231DC"/>
    <w:rsid w:val="00124010"/>
    <w:rsid w:val="0012489B"/>
    <w:rsid w:val="001272AE"/>
    <w:rsid w:val="00130756"/>
    <w:rsid w:val="001315DD"/>
    <w:rsid w:val="0013525F"/>
    <w:rsid w:val="00135385"/>
    <w:rsid w:val="00135DF2"/>
    <w:rsid w:val="001361F3"/>
    <w:rsid w:val="001364D1"/>
    <w:rsid w:val="001374C7"/>
    <w:rsid w:val="001421FD"/>
    <w:rsid w:val="001425C8"/>
    <w:rsid w:val="00142EBA"/>
    <w:rsid w:val="00143B79"/>
    <w:rsid w:val="00144084"/>
    <w:rsid w:val="00145965"/>
    <w:rsid w:val="00150B8A"/>
    <w:rsid w:val="00150DCB"/>
    <w:rsid w:val="00151912"/>
    <w:rsid w:val="00153740"/>
    <w:rsid w:val="00153D88"/>
    <w:rsid w:val="00153E54"/>
    <w:rsid w:val="001541C5"/>
    <w:rsid w:val="0015623F"/>
    <w:rsid w:val="00156585"/>
    <w:rsid w:val="00156BA9"/>
    <w:rsid w:val="001611E3"/>
    <w:rsid w:val="00161642"/>
    <w:rsid w:val="00161761"/>
    <w:rsid w:val="00166182"/>
    <w:rsid w:val="00171009"/>
    <w:rsid w:val="0017139A"/>
    <w:rsid w:val="001724C8"/>
    <w:rsid w:val="001732C4"/>
    <w:rsid w:val="0017340E"/>
    <w:rsid w:val="001745DD"/>
    <w:rsid w:val="00174FDE"/>
    <w:rsid w:val="00174FE3"/>
    <w:rsid w:val="0017637A"/>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C6D"/>
    <w:rsid w:val="001A323E"/>
    <w:rsid w:val="001A5320"/>
    <w:rsid w:val="001A5E62"/>
    <w:rsid w:val="001A6848"/>
    <w:rsid w:val="001A7538"/>
    <w:rsid w:val="001B06FB"/>
    <w:rsid w:val="001B0B1A"/>
    <w:rsid w:val="001B1B9F"/>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01E"/>
    <w:rsid w:val="002752AE"/>
    <w:rsid w:val="002769AF"/>
    <w:rsid w:val="00276C86"/>
    <w:rsid w:val="00276FD0"/>
    <w:rsid w:val="00277217"/>
    <w:rsid w:val="0028047A"/>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4C0"/>
    <w:rsid w:val="002B4E22"/>
    <w:rsid w:val="002B6FA0"/>
    <w:rsid w:val="002C0DEA"/>
    <w:rsid w:val="002C34F6"/>
    <w:rsid w:val="002C3B6D"/>
    <w:rsid w:val="002C5AD0"/>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C8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73C"/>
    <w:rsid w:val="00367D4F"/>
    <w:rsid w:val="00370743"/>
    <w:rsid w:val="00370E66"/>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0F13"/>
    <w:rsid w:val="003C294B"/>
    <w:rsid w:val="003C5046"/>
    <w:rsid w:val="003C56A6"/>
    <w:rsid w:val="003C5E6B"/>
    <w:rsid w:val="003C6068"/>
    <w:rsid w:val="003C7AEC"/>
    <w:rsid w:val="003D2BA3"/>
    <w:rsid w:val="003D316B"/>
    <w:rsid w:val="003D3C22"/>
    <w:rsid w:val="003D41FC"/>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7769"/>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1C4"/>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59D5"/>
    <w:rsid w:val="00486818"/>
    <w:rsid w:val="0049255F"/>
    <w:rsid w:val="004939FE"/>
    <w:rsid w:val="0049445D"/>
    <w:rsid w:val="00495350"/>
    <w:rsid w:val="00495E3C"/>
    <w:rsid w:val="00497156"/>
    <w:rsid w:val="004A0C79"/>
    <w:rsid w:val="004A24D2"/>
    <w:rsid w:val="004A2E67"/>
    <w:rsid w:val="004A3214"/>
    <w:rsid w:val="004A4136"/>
    <w:rsid w:val="004A417B"/>
    <w:rsid w:val="004A4378"/>
    <w:rsid w:val="004A712D"/>
    <w:rsid w:val="004B03F3"/>
    <w:rsid w:val="004B0CC9"/>
    <w:rsid w:val="004B2536"/>
    <w:rsid w:val="004B2582"/>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3DDF"/>
    <w:rsid w:val="00505524"/>
    <w:rsid w:val="00506688"/>
    <w:rsid w:val="00507804"/>
    <w:rsid w:val="00510588"/>
    <w:rsid w:val="00510BE9"/>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25BC"/>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067"/>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45A"/>
    <w:rsid w:val="005C0E87"/>
    <w:rsid w:val="005C16F3"/>
    <w:rsid w:val="005C3758"/>
    <w:rsid w:val="005C4D72"/>
    <w:rsid w:val="005C50C1"/>
    <w:rsid w:val="005C62C2"/>
    <w:rsid w:val="005D2306"/>
    <w:rsid w:val="005D4A74"/>
    <w:rsid w:val="005D5E91"/>
    <w:rsid w:val="005D67EF"/>
    <w:rsid w:val="005E3064"/>
    <w:rsid w:val="005E54FE"/>
    <w:rsid w:val="005E6AEE"/>
    <w:rsid w:val="005E72B2"/>
    <w:rsid w:val="005F1115"/>
    <w:rsid w:val="005F1332"/>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64A"/>
    <w:rsid w:val="00651E6D"/>
    <w:rsid w:val="00653D2D"/>
    <w:rsid w:val="006555E7"/>
    <w:rsid w:val="006560B6"/>
    <w:rsid w:val="006573F2"/>
    <w:rsid w:val="00662AD0"/>
    <w:rsid w:val="00662F08"/>
    <w:rsid w:val="00663589"/>
    <w:rsid w:val="006649CD"/>
    <w:rsid w:val="00665CEB"/>
    <w:rsid w:val="00665D75"/>
    <w:rsid w:val="006708E3"/>
    <w:rsid w:val="00670DDC"/>
    <w:rsid w:val="00671389"/>
    <w:rsid w:val="00671C97"/>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5C6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6F3C"/>
    <w:rsid w:val="006D7854"/>
    <w:rsid w:val="006E06D1"/>
    <w:rsid w:val="006E1269"/>
    <w:rsid w:val="006E1313"/>
    <w:rsid w:val="006E2DC8"/>
    <w:rsid w:val="006E7356"/>
    <w:rsid w:val="006E77C8"/>
    <w:rsid w:val="006F0F9C"/>
    <w:rsid w:val="006F149D"/>
    <w:rsid w:val="006F1A46"/>
    <w:rsid w:val="006F4F06"/>
    <w:rsid w:val="006F5A4E"/>
    <w:rsid w:val="006F5D37"/>
    <w:rsid w:val="006F6005"/>
    <w:rsid w:val="007005EA"/>
    <w:rsid w:val="00700B2E"/>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1E36"/>
    <w:rsid w:val="0073254D"/>
    <w:rsid w:val="00732EE5"/>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075"/>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3DDC"/>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E1E"/>
    <w:rsid w:val="0080064F"/>
    <w:rsid w:val="00801B85"/>
    <w:rsid w:val="00803850"/>
    <w:rsid w:val="008039E8"/>
    <w:rsid w:val="00804385"/>
    <w:rsid w:val="00804E0E"/>
    <w:rsid w:val="00805AFD"/>
    <w:rsid w:val="008078D8"/>
    <w:rsid w:val="0080798E"/>
    <w:rsid w:val="00811D5B"/>
    <w:rsid w:val="00813C51"/>
    <w:rsid w:val="0081542E"/>
    <w:rsid w:val="00816CCB"/>
    <w:rsid w:val="00817572"/>
    <w:rsid w:val="00817713"/>
    <w:rsid w:val="00817ECC"/>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73"/>
    <w:rsid w:val="00852BA8"/>
    <w:rsid w:val="00852BF0"/>
    <w:rsid w:val="00853718"/>
    <w:rsid w:val="008541EF"/>
    <w:rsid w:val="00856AC7"/>
    <w:rsid w:val="00856FA4"/>
    <w:rsid w:val="00860979"/>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5598"/>
    <w:rsid w:val="00895CA9"/>
    <w:rsid w:val="00896535"/>
    <w:rsid w:val="00896683"/>
    <w:rsid w:val="00896E71"/>
    <w:rsid w:val="0089750B"/>
    <w:rsid w:val="00897589"/>
    <w:rsid w:val="008A0D4F"/>
    <w:rsid w:val="008A2026"/>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3B3"/>
    <w:rsid w:val="008B6705"/>
    <w:rsid w:val="008C22F3"/>
    <w:rsid w:val="008C3FD0"/>
    <w:rsid w:val="008C4F01"/>
    <w:rsid w:val="008D1484"/>
    <w:rsid w:val="008D29E7"/>
    <w:rsid w:val="008D5104"/>
    <w:rsid w:val="008D75F4"/>
    <w:rsid w:val="008D795D"/>
    <w:rsid w:val="008D7B07"/>
    <w:rsid w:val="008E0D8F"/>
    <w:rsid w:val="008E0F4E"/>
    <w:rsid w:val="008E1E94"/>
    <w:rsid w:val="008E2B23"/>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4D9"/>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6C4B"/>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5444"/>
    <w:rsid w:val="009A0DE3"/>
    <w:rsid w:val="009A1643"/>
    <w:rsid w:val="009A215A"/>
    <w:rsid w:val="009A49D3"/>
    <w:rsid w:val="009A4F1B"/>
    <w:rsid w:val="009A66C5"/>
    <w:rsid w:val="009A66E7"/>
    <w:rsid w:val="009A79BA"/>
    <w:rsid w:val="009B14D1"/>
    <w:rsid w:val="009B1534"/>
    <w:rsid w:val="009B18E5"/>
    <w:rsid w:val="009B4963"/>
    <w:rsid w:val="009B4A3B"/>
    <w:rsid w:val="009B69D3"/>
    <w:rsid w:val="009B7BA7"/>
    <w:rsid w:val="009B7C01"/>
    <w:rsid w:val="009C0938"/>
    <w:rsid w:val="009C0C22"/>
    <w:rsid w:val="009C15D9"/>
    <w:rsid w:val="009C22C8"/>
    <w:rsid w:val="009C3F82"/>
    <w:rsid w:val="009C446C"/>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0FA"/>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DC6"/>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CEE"/>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284"/>
    <w:rsid w:val="00A82C52"/>
    <w:rsid w:val="00A838E8"/>
    <w:rsid w:val="00A83C15"/>
    <w:rsid w:val="00A84EC4"/>
    <w:rsid w:val="00A86CB6"/>
    <w:rsid w:val="00A90D55"/>
    <w:rsid w:val="00A944D8"/>
    <w:rsid w:val="00A959E7"/>
    <w:rsid w:val="00A95BBA"/>
    <w:rsid w:val="00A96097"/>
    <w:rsid w:val="00A961EE"/>
    <w:rsid w:val="00AA04B3"/>
    <w:rsid w:val="00AA1253"/>
    <w:rsid w:val="00AA1ED0"/>
    <w:rsid w:val="00AA1F5B"/>
    <w:rsid w:val="00AA28EF"/>
    <w:rsid w:val="00AA3593"/>
    <w:rsid w:val="00AA36DC"/>
    <w:rsid w:val="00AA38CA"/>
    <w:rsid w:val="00AA493E"/>
    <w:rsid w:val="00AA73AF"/>
    <w:rsid w:val="00AB0A8A"/>
    <w:rsid w:val="00AB1754"/>
    <w:rsid w:val="00AB1AF7"/>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1A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77C"/>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27C"/>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692"/>
    <w:rsid w:val="00C10F5B"/>
    <w:rsid w:val="00C1122B"/>
    <w:rsid w:val="00C127F2"/>
    <w:rsid w:val="00C13A3D"/>
    <w:rsid w:val="00C13B34"/>
    <w:rsid w:val="00C13F26"/>
    <w:rsid w:val="00C1474E"/>
    <w:rsid w:val="00C14C37"/>
    <w:rsid w:val="00C157AA"/>
    <w:rsid w:val="00C162E1"/>
    <w:rsid w:val="00C16BE4"/>
    <w:rsid w:val="00C16E9F"/>
    <w:rsid w:val="00C1713D"/>
    <w:rsid w:val="00C17523"/>
    <w:rsid w:val="00C177F1"/>
    <w:rsid w:val="00C17A55"/>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386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330"/>
    <w:rsid w:val="00CE069E"/>
    <w:rsid w:val="00CE0DE0"/>
    <w:rsid w:val="00CE3722"/>
    <w:rsid w:val="00CF158D"/>
    <w:rsid w:val="00CF2166"/>
    <w:rsid w:val="00CF4340"/>
    <w:rsid w:val="00CF4394"/>
    <w:rsid w:val="00CF48B4"/>
    <w:rsid w:val="00CF4B19"/>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1035"/>
    <w:rsid w:val="00D2321B"/>
    <w:rsid w:val="00D23350"/>
    <w:rsid w:val="00D237E7"/>
    <w:rsid w:val="00D23DE4"/>
    <w:rsid w:val="00D25A5C"/>
    <w:rsid w:val="00D26873"/>
    <w:rsid w:val="00D31683"/>
    <w:rsid w:val="00D336C8"/>
    <w:rsid w:val="00D339E8"/>
    <w:rsid w:val="00D3654A"/>
    <w:rsid w:val="00D3662E"/>
    <w:rsid w:val="00D40B1F"/>
    <w:rsid w:val="00D40D75"/>
    <w:rsid w:val="00D43197"/>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41F"/>
    <w:rsid w:val="00D61ABB"/>
    <w:rsid w:val="00D61B36"/>
    <w:rsid w:val="00D62D5C"/>
    <w:rsid w:val="00D63577"/>
    <w:rsid w:val="00D67FD7"/>
    <w:rsid w:val="00D72410"/>
    <w:rsid w:val="00D73D53"/>
    <w:rsid w:val="00D7408A"/>
    <w:rsid w:val="00D74261"/>
    <w:rsid w:val="00D7441B"/>
    <w:rsid w:val="00D75589"/>
    <w:rsid w:val="00D76580"/>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1B42"/>
    <w:rsid w:val="00DA27F3"/>
    <w:rsid w:val="00DA2D1E"/>
    <w:rsid w:val="00DA3EC8"/>
    <w:rsid w:val="00DA40C1"/>
    <w:rsid w:val="00DA5564"/>
    <w:rsid w:val="00DA6B55"/>
    <w:rsid w:val="00DA6B97"/>
    <w:rsid w:val="00DA6CEE"/>
    <w:rsid w:val="00DB0015"/>
    <w:rsid w:val="00DB0359"/>
    <w:rsid w:val="00DB0ABB"/>
    <w:rsid w:val="00DB2A1C"/>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4206"/>
    <w:rsid w:val="00E464F0"/>
    <w:rsid w:val="00E46EF3"/>
    <w:rsid w:val="00E47370"/>
    <w:rsid w:val="00E473E9"/>
    <w:rsid w:val="00E47B47"/>
    <w:rsid w:val="00E50BEB"/>
    <w:rsid w:val="00E548FA"/>
    <w:rsid w:val="00E5520E"/>
    <w:rsid w:val="00E57703"/>
    <w:rsid w:val="00E57ED4"/>
    <w:rsid w:val="00E57FED"/>
    <w:rsid w:val="00E6092F"/>
    <w:rsid w:val="00E62049"/>
    <w:rsid w:val="00E629DA"/>
    <w:rsid w:val="00E64374"/>
    <w:rsid w:val="00E6469F"/>
    <w:rsid w:val="00E65D39"/>
    <w:rsid w:val="00E670F8"/>
    <w:rsid w:val="00E6741B"/>
    <w:rsid w:val="00E67FAC"/>
    <w:rsid w:val="00E7200B"/>
    <w:rsid w:val="00E73662"/>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87A59"/>
    <w:rsid w:val="00E906E7"/>
    <w:rsid w:val="00E90B86"/>
    <w:rsid w:val="00E9763D"/>
    <w:rsid w:val="00EA0369"/>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A04"/>
    <w:rsid w:val="00EE6FE0"/>
    <w:rsid w:val="00EE704A"/>
    <w:rsid w:val="00EE7840"/>
    <w:rsid w:val="00EF2E75"/>
    <w:rsid w:val="00EF4C74"/>
    <w:rsid w:val="00EF5268"/>
    <w:rsid w:val="00EF608E"/>
    <w:rsid w:val="00EF6C4A"/>
    <w:rsid w:val="00F0044B"/>
    <w:rsid w:val="00F03525"/>
    <w:rsid w:val="00F0424D"/>
    <w:rsid w:val="00F04957"/>
    <w:rsid w:val="00F05807"/>
    <w:rsid w:val="00F063A7"/>
    <w:rsid w:val="00F06451"/>
    <w:rsid w:val="00F07052"/>
    <w:rsid w:val="00F0706C"/>
    <w:rsid w:val="00F11EBE"/>
    <w:rsid w:val="00F12293"/>
    <w:rsid w:val="00F12BA8"/>
    <w:rsid w:val="00F130D0"/>
    <w:rsid w:val="00F14933"/>
    <w:rsid w:val="00F1516A"/>
    <w:rsid w:val="00F15EE5"/>
    <w:rsid w:val="00F171F9"/>
    <w:rsid w:val="00F1737C"/>
    <w:rsid w:val="00F2013D"/>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5791B"/>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0F08"/>
    <w:rsid w:val="00F913B9"/>
    <w:rsid w:val="00F93C74"/>
    <w:rsid w:val="00F93DCC"/>
    <w:rsid w:val="00F9435D"/>
    <w:rsid w:val="00F966F9"/>
    <w:rsid w:val="00F96A91"/>
    <w:rsid w:val="00F96F61"/>
    <w:rsid w:val="00F97740"/>
    <w:rsid w:val="00FA0C8F"/>
    <w:rsid w:val="00FA2DEF"/>
    <w:rsid w:val="00FA2F7B"/>
    <w:rsid w:val="00FA3C97"/>
    <w:rsid w:val="00FA3D30"/>
    <w:rsid w:val="00FA4B49"/>
    <w:rsid w:val="00FA52B5"/>
    <w:rsid w:val="00FA54F8"/>
    <w:rsid w:val="00FA78C8"/>
    <w:rsid w:val="00FA7A2F"/>
    <w:rsid w:val="00FB09FE"/>
    <w:rsid w:val="00FB0E80"/>
    <w:rsid w:val="00FB101D"/>
    <w:rsid w:val="00FB1725"/>
    <w:rsid w:val="00FB1B50"/>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4F"/>
    <w:rsid w:val="00FD5BCC"/>
    <w:rsid w:val="00FD7B23"/>
    <w:rsid w:val="00FE2A48"/>
    <w:rsid w:val="00FE5D0A"/>
    <w:rsid w:val="00FE6469"/>
    <w:rsid w:val="00FE7F68"/>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2C5AD0"/>
    <w:pPr>
      <w:autoSpaceDE w:val="0"/>
      <w:autoSpaceDN w:val="0"/>
      <w:adjustRightInd w:val="0"/>
    </w:pPr>
    <w:rPr>
      <w:rFonts w:ascii="Times New Roman" w:hAnsi="Times New Roman"/>
      <w:color w:val="000000"/>
      <w:sz w:val="24"/>
      <w:szCs w:val="24"/>
    </w:rPr>
  </w:style>
  <w:style w:type="paragraph" w:styleId="Quote">
    <w:name w:val="Quote"/>
    <w:basedOn w:val="Normal"/>
    <w:next w:val="Normal"/>
    <w:link w:val="QuoteChar"/>
    <w:uiPriority w:val="29"/>
    <w:qFormat/>
    <w:rsid w:val="007C3DDC"/>
    <w:rPr>
      <w:i/>
      <w:iCs/>
      <w:color w:val="000000"/>
    </w:rPr>
  </w:style>
  <w:style w:type="character" w:customStyle="1" w:styleId="QuoteChar">
    <w:name w:val="Quote Char"/>
    <w:basedOn w:val="DefaultParagraphFont"/>
    <w:link w:val="Quote"/>
    <w:uiPriority w:val="29"/>
    <w:rsid w:val="007C3DDC"/>
    <w:rPr>
      <w:i/>
      <w:iCs/>
      <w:color w:val="000000"/>
      <w:sz w:val="24"/>
    </w:rPr>
  </w:style>
  <w:style w:type="character" w:customStyle="1" w:styleId="HeaderChar">
    <w:name w:val="Header Char"/>
    <w:basedOn w:val="DefaultParagraphFont"/>
    <w:link w:val="Header"/>
    <w:uiPriority w:val="99"/>
    <w:rsid w:val="005325BC"/>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8357856">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36BB-2766-4071-BE11-6582F8C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2011-04-08T10:41:00Z</cp:lastPrinted>
  <dcterms:created xsi:type="dcterms:W3CDTF">2012-09-28T18:26:00Z</dcterms:created>
  <dcterms:modified xsi:type="dcterms:W3CDTF">2012-09-28T18:26:00Z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