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0C645A">
      <w:pPr>
        <w:tabs>
          <w:tab w:val="left" w:pos="288"/>
          <w:tab w:val="left" w:pos="4752"/>
        </w:tabs>
        <w:rPr>
          <w:color w:val="000000" w:themeColor="text1"/>
        </w:rPr>
      </w:pPr>
      <w:r w:rsidRPr="001F29F9">
        <w:rPr>
          <w:color w:val="000000" w:themeColor="text1"/>
        </w:rPr>
        <w:t>RECORD OF PROCEEDINGS</w:t>
      </w:r>
    </w:p>
    <w:p w:rsidR="00540BEF" w:rsidRPr="001F29F9" w:rsidRDefault="00540BEF" w:rsidP="000C645A">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0C645A">
      <w:pPr>
        <w:tabs>
          <w:tab w:val="left" w:pos="288"/>
          <w:tab w:val="left" w:pos="4752"/>
        </w:tabs>
        <w:jc w:val="both"/>
        <w:rPr>
          <w:caps/>
          <w:color w:val="000000" w:themeColor="text1"/>
        </w:rPr>
      </w:pPr>
    </w:p>
    <w:p w:rsidR="00E0346A" w:rsidRPr="001F29F9" w:rsidRDefault="00F629C0" w:rsidP="000C645A">
      <w:pPr>
        <w:tabs>
          <w:tab w:val="left" w:pos="288"/>
          <w:tab w:val="left" w:pos="4752"/>
          <w:tab w:val="left" w:pos="5130"/>
          <w:tab w:val="left" w:pos="9270"/>
        </w:tabs>
        <w:jc w:val="left"/>
        <w:rPr>
          <w:caps/>
          <w:color w:val="000000" w:themeColor="text1"/>
        </w:rPr>
      </w:pPr>
      <w:r w:rsidRPr="001F29F9">
        <w:rPr>
          <w:caps/>
          <w:color w:val="000000" w:themeColor="text1"/>
        </w:rPr>
        <w:t>NAME:</w:t>
      </w:r>
      <w:r w:rsidR="00644501">
        <w:rPr>
          <w:caps/>
          <w:color w:val="000000" w:themeColor="text1"/>
        </w:rPr>
        <w:t xml:space="preserve">  </w:t>
      </w:r>
      <w:r w:rsidR="00E9210E">
        <w:rPr>
          <w:caps/>
          <w:color w:val="000000" w:themeColor="text1"/>
        </w:rPr>
        <w:t>XXXXXXXXXXXX</w:t>
      </w:r>
      <w:r w:rsidR="007D473D">
        <w:rPr>
          <w:caps/>
          <w:color w:val="000000" w:themeColor="text1"/>
        </w:rPr>
        <w:t xml:space="preserve">   </w:t>
      </w:r>
      <w:r w:rsidR="007D473D">
        <w:rPr>
          <w:caps/>
          <w:color w:val="000000" w:themeColor="text1"/>
        </w:rPr>
        <w:tab/>
      </w:r>
      <w:r w:rsidR="007D473D">
        <w:rPr>
          <w:caps/>
          <w:color w:val="000000" w:themeColor="text1"/>
        </w:rPr>
        <w:tab/>
        <w:t xml:space="preserve">                       </w:t>
      </w:r>
      <w:r w:rsidR="005B1716">
        <w:rPr>
          <w:caps/>
          <w:color w:val="000000" w:themeColor="text1"/>
        </w:rPr>
        <w:t xml:space="preserve">   </w:t>
      </w:r>
      <w:r w:rsidRPr="001F29F9">
        <w:rPr>
          <w:caps/>
          <w:color w:val="000000" w:themeColor="text1"/>
        </w:rPr>
        <w:t xml:space="preserve">BRANCH OF SERVICE: </w:t>
      </w:r>
      <w:r w:rsidR="004C24C5" w:rsidRPr="00F3791D">
        <w:rPr>
          <w:caps/>
          <w:color w:val="000000" w:themeColor="text1"/>
        </w:rPr>
        <w:t xml:space="preserve"> </w:t>
      </w:r>
      <w:r w:rsidR="00332DE3" w:rsidRPr="00F3791D">
        <w:rPr>
          <w:caps/>
          <w:color w:val="000000" w:themeColor="text1"/>
        </w:rPr>
        <w:t>Army</w:t>
      </w:r>
    </w:p>
    <w:p w:rsidR="00DE3AAD" w:rsidRPr="001F29F9" w:rsidRDefault="00012733" w:rsidP="000C645A">
      <w:pPr>
        <w:tabs>
          <w:tab w:val="left" w:pos="288"/>
          <w:tab w:val="left" w:pos="4166"/>
          <w:tab w:val="left" w:pos="4752"/>
          <w:tab w:val="left" w:pos="5130"/>
          <w:tab w:val="left" w:pos="9270"/>
        </w:tabs>
        <w:jc w:val="left"/>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F3791D">
        <w:rPr>
          <w:caps/>
          <w:color w:val="000000" w:themeColor="text1"/>
        </w:rPr>
        <w:t>00</w:t>
      </w:r>
      <w:r w:rsidR="00F3791D" w:rsidRPr="00F3791D">
        <w:rPr>
          <w:caps/>
          <w:color w:val="000000" w:themeColor="text1"/>
        </w:rPr>
        <w:t>483</w:t>
      </w:r>
      <w:r w:rsidR="007D473D">
        <w:rPr>
          <w:color w:val="000000" w:themeColor="text1"/>
        </w:rPr>
        <w:t xml:space="preserve"> </w:t>
      </w:r>
      <w:r w:rsidR="007D473D">
        <w:rPr>
          <w:color w:val="000000" w:themeColor="text1"/>
        </w:rPr>
        <w:tab/>
      </w:r>
      <w:r w:rsidR="007D473D">
        <w:rPr>
          <w:color w:val="000000" w:themeColor="text1"/>
        </w:rPr>
        <w:tab/>
      </w:r>
      <w:r w:rsidR="007D473D">
        <w:rPr>
          <w:color w:val="000000" w:themeColor="text1"/>
        </w:rPr>
        <w:tab/>
        <w:t xml:space="preserve">                       </w:t>
      </w:r>
      <w:r w:rsidR="007D473D" w:rsidRPr="004A723A">
        <w:rPr>
          <w:color w:val="000000" w:themeColor="text1"/>
        </w:rPr>
        <w:t>SEPARATION DATE:  20080</w:t>
      </w:r>
      <w:r w:rsidR="007D473D">
        <w:rPr>
          <w:color w:val="000000" w:themeColor="text1"/>
        </w:rPr>
        <w:t>804</w:t>
      </w:r>
    </w:p>
    <w:p w:rsidR="00827B29" w:rsidRPr="007D473D" w:rsidRDefault="004F3639" w:rsidP="000C645A">
      <w:pPr>
        <w:tabs>
          <w:tab w:val="left" w:pos="288"/>
          <w:tab w:val="left" w:pos="5130"/>
        </w:tabs>
        <w:jc w:val="left"/>
        <w:rPr>
          <w:color w:val="000000" w:themeColor="text1"/>
        </w:rPr>
      </w:pPr>
      <w:r w:rsidRPr="001F29F9">
        <w:rPr>
          <w:caps/>
          <w:color w:val="000000" w:themeColor="text1"/>
        </w:rPr>
        <w:t>BOARD DATE:  201</w:t>
      </w:r>
      <w:r w:rsidR="00E76843">
        <w:rPr>
          <w:caps/>
          <w:color w:val="000000" w:themeColor="text1"/>
        </w:rPr>
        <w:t>2</w:t>
      </w:r>
      <w:r w:rsidR="007D473D">
        <w:rPr>
          <w:caps/>
          <w:color w:val="000000" w:themeColor="text1"/>
        </w:rPr>
        <w:t>05</w:t>
      </w:r>
      <w:r w:rsidR="0027579F">
        <w:rPr>
          <w:caps/>
          <w:color w:val="000000" w:themeColor="text1"/>
        </w:rPr>
        <w:t>23</w:t>
      </w:r>
      <w:r w:rsidR="003B2143" w:rsidRPr="001F29F9">
        <w:rPr>
          <w:caps/>
          <w:color w:val="000000" w:themeColor="text1"/>
        </w:rPr>
        <w:tab/>
      </w:r>
      <w:r w:rsidR="00596607">
        <w:rPr>
          <w:caps/>
          <w:color w:val="000000" w:themeColor="text1"/>
        </w:rPr>
        <w:tab/>
        <w:t xml:space="preserve">           </w:t>
      </w:r>
    </w:p>
    <w:p w:rsidR="00B52CBF" w:rsidRPr="001F29F9" w:rsidRDefault="00B52CBF" w:rsidP="000C645A">
      <w:pPr>
        <w:pBdr>
          <w:bottom w:val="single" w:sz="12" w:space="1" w:color="auto"/>
        </w:pBdr>
        <w:tabs>
          <w:tab w:val="left" w:pos="288"/>
          <w:tab w:val="left" w:pos="4752"/>
        </w:tabs>
        <w:jc w:val="both"/>
        <w:rPr>
          <w:color w:val="000000" w:themeColor="text1"/>
        </w:rPr>
      </w:pPr>
    </w:p>
    <w:p w:rsidR="009369A6" w:rsidRPr="001F29F9" w:rsidRDefault="009369A6" w:rsidP="000C645A">
      <w:pPr>
        <w:tabs>
          <w:tab w:val="left" w:pos="288"/>
          <w:tab w:val="left" w:pos="4752"/>
        </w:tabs>
        <w:jc w:val="both"/>
        <w:rPr>
          <w:color w:val="000000" w:themeColor="text1"/>
        </w:rPr>
      </w:pPr>
    </w:p>
    <w:p w:rsidR="00F63FC7" w:rsidRPr="001F29F9" w:rsidRDefault="00FB0E80" w:rsidP="000C645A">
      <w:pPr>
        <w:tabs>
          <w:tab w:val="left" w:pos="288"/>
          <w:tab w:val="left" w:pos="4752"/>
        </w:tabs>
        <w:jc w:val="both"/>
        <w:rPr>
          <w:color w:val="000000" w:themeColor="text1"/>
        </w:rPr>
      </w:pPr>
      <w:r w:rsidRPr="00B52CBF">
        <w:rPr>
          <w:color w:val="000000" w:themeColor="text1"/>
          <w:u w:val="single"/>
        </w:rPr>
        <w:t>SUMMARY OF CASE</w:t>
      </w:r>
      <w:r w:rsidRPr="00B52CBF">
        <w:rPr>
          <w:color w:val="000000" w:themeColor="text1"/>
        </w:rPr>
        <w:t xml:space="preserve">:  </w:t>
      </w:r>
      <w:r w:rsidR="009759C2" w:rsidRPr="00B52CBF">
        <w:rPr>
          <w:color w:val="000000" w:themeColor="text1"/>
        </w:rPr>
        <w:t>Data extracted from the available evidence of record reflects that this covered individual (CI)</w:t>
      </w:r>
      <w:r w:rsidR="00570754" w:rsidRPr="00B52CBF">
        <w:rPr>
          <w:color w:val="000000" w:themeColor="text1"/>
        </w:rPr>
        <w:t xml:space="preserve"> </w:t>
      </w:r>
      <w:r w:rsidR="002C6E5B" w:rsidRPr="00B52CBF">
        <w:rPr>
          <w:color w:val="000000" w:themeColor="text1"/>
          <w:szCs w:val="24"/>
        </w:rPr>
        <w:t xml:space="preserve">was </w:t>
      </w:r>
      <w:r w:rsidR="00E322F7" w:rsidRPr="00B52CBF">
        <w:rPr>
          <w:color w:val="000000" w:themeColor="text1"/>
          <w:szCs w:val="24"/>
        </w:rPr>
        <w:t>an active duty</w:t>
      </w:r>
      <w:r w:rsidR="00FB7E80" w:rsidRPr="00B52CBF">
        <w:rPr>
          <w:color w:val="000000" w:themeColor="text1"/>
          <w:szCs w:val="24"/>
        </w:rPr>
        <w:t xml:space="preserve"> S</w:t>
      </w:r>
      <w:r w:rsidR="00661BA2" w:rsidRPr="00B52CBF">
        <w:rPr>
          <w:color w:val="000000" w:themeColor="text1"/>
          <w:szCs w:val="24"/>
        </w:rPr>
        <w:t>GT/E-5</w:t>
      </w:r>
      <w:r w:rsidR="009F356F">
        <w:rPr>
          <w:color w:val="000000" w:themeColor="text1"/>
          <w:szCs w:val="24"/>
        </w:rPr>
        <w:t xml:space="preserve"> </w:t>
      </w:r>
      <w:r w:rsidR="00705C40" w:rsidRPr="00B52CBF">
        <w:rPr>
          <w:color w:val="000000" w:themeColor="text1"/>
          <w:szCs w:val="24"/>
        </w:rPr>
        <w:t>(</w:t>
      </w:r>
      <w:r w:rsidR="00FB7E80" w:rsidRPr="00B52CBF">
        <w:rPr>
          <w:color w:val="000000" w:themeColor="text1"/>
          <w:szCs w:val="24"/>
        </w:rPr>
        <w:t>25B</w:t>
      </w:r>
      <w:r w:rsidR="00C75F3D" w:rsidRPr="00B52CBF">
        <w:rPr>
          <w:color w:val="000000" w:themeColor="text1"/>
          <w:szCs w:val="24"/>
        </w:rPr>
        <w:t xml:space="preserve">, </w:t>
      </w:r>
      <w:r w:rsidR="00FB7E80" w:rsidRPr="00B52CBF">
        <w:rPr>
          <w:color w:val="000000" w:themeColor="text1"/>
          <w:szCs w:val="24"/>
        </w:rPr>
        <w:t>Signal Corps</w:t>
      </w:r>
      <w:r w:rsidR="00E322F7" w:rsidRPr="00B52CBF">
        <w:rPr>
          <w:color w:val="000000" w:themeColor="text1"/>
          <w:szCs w:val="24"/>
        </w:rPr>
        <w:t>)</w:t>
      </w:r>
      <w:r w:rsidR="00C75F3D" w:rsidRPr="00B52CBF">
        <w:rPr>
          <w:color w:val="000000" w:themeColor="text1"/>
          <w:szCs w:val="24"/>
        </w:rPr>
        <w:t xml:space="preserve"> </w:t>
      </w:r>
      <w:r w:rsidR="002C6E5B" w:rsidRPr="00B52CBF">
        <w:rPr>
          <w:color w:val="000000" w:themeColor="text1"/>
          <w:szCs w:val="24"/>
        </w:rPr>
        <w:t>medically separated for</w:t>
      </w:r>
      <w:r w:rsidR="00FB7E80" w:rsidRPr="00B52CBF">
        <w:rPr>
          <w:color w:val="000000" w:themeColor="text1"/>
          <w:szCs w:val="24"/>
        </w:rPr>
        <w:t xml:space="preserve"> lumbar degenerative disc disease</w:t>
      </w:r>
      <w:r w:rsidR="009F356F">
        <w:rPr>
          <w:color w:val="000000" w:themeColor="text1"/>
          <w:szCs w:val="24"/>
        </w:rPr>
        <w:t xml:space="preserve"> (DDD)</w:t>
      </w:r>
      <w:r w:rsidR="00FB7E80" w:rsidRPr="00B52CBF">
        <w:rPr>
          <w:color w:val="000000" w:themeColor="text1"/>
          <w:szCs w:val="24"/>
        </w:rPr>
        <w:t>.</w:t>
      </w:r>
      <w:r w:rsidR="0027579F">
        <w:rPr>
          <w:color w:val="000000" w:themeColor="text1"/>
          <w:szCs w:val="24"/>
        </w:rPr>
        <w:t xml:space="preserve">  The CI has had a long history of low back pain (LBP).  He was treated, but did not </w:t>
      </w:r>
      <w:r w:rsidR="00643C8F" w:rsidRPr="00B52CBF">
        <w:rPr>
          <w:color w:val="000000" w:themeColor="text1"/>
          <w:szCs w:val="24"/>
        </w:rPr>
        <w:t xml:space="preserve">respond adequately to </w:t>
      </w:r>
      <w:r w:rsidR="0027579F">
        <w:rPr>
          <w:color w:val="000000" w:themeColor="text1"/>
          <w:szCs w:val="24"/>
        </w:rPr>
        <w:t xml:space="preserve">fully perform his military duties, or meet physical fitness standards.  </w:t>
      </w:r>
      <w:r w:rsidR="00643C8F" w:rsidRPr="00B52CBF">
        <w:rPr>
          <w:color w:val="000000" w:themeColor="text1"/>
          <w:szCs w:val="24"/>
        </w:rPr>
        <w:t>He underwent a Medical Evaluation Board (MEB).</w:t>
      </w:r>
      <w:r w:rsidR="0027579F">
        <w:rPr>
          <w:color w:val="000000" w:themeColor="text1"/>
          <w:szCs w:val="24"/>
        </w:rPr>
        <w:t xml:space="preserve"> </w:t>
      </w:r>
      <w:r w:rsidR="009454FF" w:rsidRPr="00B52CBF">
        <w:rPr>
          <w:color w:val="000000" w:themeColor="text1"/>
          <w:szCs w:val="24"/>
        </w:rPr>
        <w:t xml:space="preserve"> Lumbago</w:t>
      </w:r>
      <w:r w:rsidR="000A33C8" w:rsidRPr="00B52CBF">
        <w:rPr>
          <w:color w:val="000000" w:themeColor="text1"/>
          <w:szCs w:val="24"/>
        </w:rPr>
        <w:t xml:space="preserve"> </w:t>
      </w:r>
      <w:r w:rsidR="009454FF" w:rsidRPr="00B52CBF">
        <w:rPr>
          <w:color w:val="000000" w:themeColor="text1"/>
          <w:szCs w:val="24"/>
        </w:rPr>
        <w:t>was</w:t>
      </w:r>
      <w:r w:rsidR="000A33C8" w:rsidRPr="00B52CBF">
        <w:rPr>
          <w:color w:val="000000" w:themeColor="text1"/>
          <w:szCs w:val="24"/>
        </w:rPr>
        <w:t xml:space="preserve"> forwarded to the Physical Evaluation Board (PEB) as medically unacceptable IAW AR 40-501</w:t>
      </w:r>
      <w:r w:rsidR="009454FF" w:rsidRPr="00B52CBF">
        <w:rPr>
          <w:color w:val="000000" w:themeColor="text1"/>
          <w:szCs w:val="24"/>
        </w:rPr>
        <w:t xml:space="preserve">. Four </w:t>
      </w:r>
      <w:r w:rsidR="00954E5B" w:rsidRPr="00B52CBF">
        <w:rPr>
          <w:color w:val="000000" w:themeColor="text1"/>
          <w:szCs w:val="24"/>
        </w:rPr>
        <w:t xml:space="preserve">other conditions, </w:t>
      </w:r>
      <w:r w:rsidR="004E5B8B">
        <w:rPr>
          <w:color w:val="000000" w:themeColor="text1"/>
          <w:szCs w:val="24"/>
        </w:rPr>
        <w:t xml:space="preserve">identified </w:t>
      </w:r>
      <w:r w:rsidR="00954E5B" w:rsidRPr="00B52CBF">
        <w:rPr>
          <w:color w:val="000000" w:themeColor="text1"/>
          <w:szCs w:val="24"/>
        </w:rPr>
        <w:t xml:space="preserve">below, were </w:t>
      </w:r>
      <w:r w:rsidR="0027579F">
        <w:rPr>
          <w:color w:val="000000" w:themeColor="text1"/>
          <w:szCs w:val="24"/>
        </w:rPr>
        <w:t xml:space="preserve">listed on DA Form 3947 as </w:t>
      </w:r>
      <w:r w:rsidR="00954E5B" w:rsidRPr="00B52CBF">
        <w:rPr>
          <w:color w:val="000000" w:themeColor="text1"/>
          <w:szCs w:val="24"/>
        </w:rPr>
        <w:t>medically acceptable</w:t>
      </w:r>
      <w:r w:rsidR="00B04562" w:rsidRPr="00B52CBF">
        <w:rPr>
          <w:color w:val="000000" w:themeColor="text1"/>
          <w:szCs w:val="24"/>
        </w:rPr>
        <w:t>.</w:t>
      </w:r>
      <w:r w:rsidR="009454FF" w:rsidRPr="00B52CBF">
        <w:rPr>
          <w:color w:val="000000" w:themeColor="text1"/>
          <w:szCs w:val="24"/>
        </w:rPr>
        <w:t xml:space="preserve"> </w:t>
      </w:r>
      <w:r w:rsidR="00842BAA" w:rsidRPr="00B52CBF">
        <w:rPr>
          <w:color w:val="000000" w:themeColor="text1"/>
          <w:szCs w:val="24"/>
        </w:rPr>
        <w:t xml:space="preserve">The PEB </w:t>
      </w:r>
      <w:r w:rsidR="0027579F">
        <w:rPr>
          <w:color w:val="000000" w:themeColor="text1"/>
          <w:szCs w:val="24"/>
        </w:rPr>
        <w:t xml:space="preserve">found the lumbar DDD unfitting, and rated it </w:t>
      </w:r>
      <w:r w:rsidR="009454FF" w:rsidRPr="00B52CBF">
        <w:rPr>
          <w:color w:val="000000" w:themeColor="text1"/>
          <w:szCs w:val="24"/>
        </w:rPr>
        <w:t>10</w:t>
      </w:r>
      <w:r w:rsidR="00842BAA" w:rsidRPr="00B52CBF">
        <w:rPr>
          <w:color w:val="000000" w:themeColor="text1"/>
          <w:szCs w:val="24"/>
        </w:rPr>
        <w:t>%</w:t>
      </w:r>
      <w:r w:rsidR="00CB4D83">
        <w:rPr>
          <w:color w:val="000000" w:themeColor="text1"/>
          <w:szCs w:val="24"/>
        </w:rPr>
        <w:t xml:space="preserve">.  The other four </w:t>
      </w:r>
      <w:r w:rsidR="000A3FA5">
        <w:rPr>
          <w:color w:val="000000" w:themeColor="text1"/>
          <w:szCs w:val="24"/>
        </w:rPr>
        <w:t>MEB/</w:t>
      </w:r>
      <w:r w:rsidR="004E5B8B">
        <w:rPr>
          <w:color w:val="000000" w:themeColor="text1"/>
          <w:szCs w:val="24"/>
        </w:rPr>
        <w:t xml:space="preserve">PEB </w:t>
      </w:r>
      <w:r w:rsidR="00CB4D83">
        <w:rPr>
          <w:color w:val="000000" w:themeColor="text1"/>
          <w:szCs w:val="24"/>
        </w:rPr>
        <w:t>conditions</w:t>
      </w:r>
      <w:r w:rsidR="004E5B8B">
        <w:rPr>
          <w:color w:val="000000" w:themeColor="text1"/>
          <w:szCs w:val="24"/>
        </w:rPr>
        <w:t xml:space="preserve"> were </w:t>
      </w:r>
      <w:r w:rsidR="009454FF" w:rsidRPr="00B52CBF">
        <w:rPr>
          <w:color w:val="000000" w:themeColor="text1"/>
          <w:szCs w:val="24"/>
        </w:rPr>
        <w:t xml:space="preserve">right hamstring pain, </w:t>
      </w:r>
      <w:proofErr w:type="spellStart"/>
      <w:r w:rsidR="009454FF" w:rsidRPr="00B52CBF">
        <w:rPr>
          <w:color w:val="000000" w:themeColor="text1"/>
          <w:szCs w:val="24"/>
        </w:rPr>
        <w:t>tin</w:t>
      </w:r>
      <w:r w:rsidR="00042674" w:rsidRPr="00B52CBF">
        <w:rPr>
          <w:color w:val="000000" w:themeColor="text1"/>
          <w:szCs w:val="24"/>
        </w:rPr>
        <w:t>e</w:t>
      </w:r>
      <w:r w:rsidR="009454FF" w:rsidRPr="00B52CBF">
        <w:rPr>
          <w:color w:val="000000" w:themeColor="text1"/>
          <w:szCs w:val="24"/>
        </w:rPr>
        <w:t>a</w:t>
      </w:r>
      <w:proofErr w:type="spellEnd"/>
      <w:r w:rsidR="009454FF" w:rsidRPr="00B52CBF">
        <w:rPr>
          <w:color w:val="000000" w:themeColor="text1"/>
          <w:szCs w:val="24"/>
        </w:rPr>
        <w:t xml:space="preserve"> </w:t>
      </w:r>
      <w:proofErr w:type="spellStart"/>
      <w:r w:rsidR="009454FF" w:rsidRPr="00B52CBF">
        <w:rPr>
          <w:color w:val="000000" w:themeColor="text1"/>
          <w:szCs w:val="24"/>
        </w:rPr>
        <w:t>versicolor</w:t>
      </w:r>
      <w:proofErr w:type="spellEnd"/>
      <w:r w:rsidR="004E5B8B">
        <w:rPr>
          <w:color w:val="000000" w:themeColor="text1"/>
          <w:szCs w:val="24"/>
        </w:rPr>
        <w:t xml:space="preserve"> (TV)</w:t>
      </w:r>
      <w:r w:rsidR="009454FF" w:rsidRPr="00B52CBF">
        <w:rPr>
          <w:color w:val="000000" w:themeColor="text1"/>
          <w:szCs w:val="24"/>
        </w:rPr>
        <w:t xml:space="preserve">, </w:t>
      </w:r>
      <w:proofErr w:type="spellStart"/>
      <w:r w:rsidR="009454FF" w:rsidRPr="00B52CBF">
        <w:rPr>
          <w:color w:val="000000" w:themeColor="text1"/>
          <w:szCs w:val="24"/>
        </w:rPr>
        <w:t>pseudofoll</w:t>
      </w:r>
      <w:r w:rsidR="00042674" w:rsidRPr="00B52CBF">
        <w:rPr>
          <w:color w:val="000000" w:themeColor="text1"/>
          <w:szCs w:val="24"/>
        </w:rPr>
        <w:t>i</w:t>
      </w:r>
      <w:r w:rsidR="009454FF" w:rsidRPr="00B52CBF">
        <w:rPr>
          <w:color w:val="000000" w:themeColor="text1"/>
          <w:szCs w:val="24"/>
        </w:rPr>
        <w:t>culitis</w:t>
      </w:r>
      <w:proofErr w:type="spellEnd"/>
      <w:r w:rsidR="009454FF" w:rsidRPr="00B52CBF">
        <w:rPr>
          <w:color w:val="000000" w:themeColor="text1"/>
          <w:szCs w:val="24"/>
        </w:rPr>
        <w:t xml:space="preserve"> ba</w:t>
      </w:r>
      <w:r w:rsidR="004E5B8B">
        <w:rPr>
          <w:color w:val="000000" w:themeColor="text1"/>
          <w:szCs w:val="24"/>
        </w:rPr>
        <w:t>rbae (PFB), and major depressive disorder (MDD).  These</w:t>
      </w:r>
      <w:r w:rsidR="00CB4D83">
        <w:rPr>
          <w:color w:val="000000" w:themeColor="text1"/>
          <w:szCs w:val="24"/>
        </w:rPr>
        <w:t xml:space="preserve"> </w:t>
      </w:r>
      <w:r w:rsidR="00035907">
        <w:rPr>
          <w:color w:val="000000" w:themeColor="text1"/>
          <w:szCs w:val="24"/>
        </w:rPr>
        <w:t xml:space="preserve">four conditions </w:t>
      </w:r>
      <w:r w:rsidR="00CB4D83">
        <w:rPr>
          <w:color w:val="000000" w:themeColor="text1"/>
          <w:szCs w:val="24"/>
        </w:rPr>
        <w:t xml:space="preserve">were all adjudicated as </w:t>
      </w:r>
      <w:r w:rsidR="009454FF" w:rsidRPr="00B52CBF">
        <w:rPr>
          <w:color w:val="000000" w:themeColor="text1"/>
          <w:szCs w:val="24"/>
        </w:rPr>
        <w:t>not unfitting.</w:t>
      </w:r>
      <w:r w:rsidR="0016484B">
        <w:rPr>
          <w:color w:val="000000" w:themeColor="text1"/>
          <w:szCs w:val="24"/>
        </w:rPr>
        <w:t xml:space="preserve"> </w:t>
      </w:r>
      <w:r w:rsidR="009454FF" w:rsidRPr="00B52CBF">
        <w:rPr>
          <w:color w:val="000000" w:themeColor="text1"/>
          <w:szCs w:val="24"/>
        </w:rPr>
        <w:t xml:space="preserve"> </w:t>
      </w:r>
      <w:r w:rsidR="00B20624" w:rsidRPr="00B52CBF">
        <w:rPr>
          <w:color w:val="000000" w:themeColor="text1"/>
        </w:rPr>
        <w:t xml:space="preserve">The CI </w:t>
      </w:r>
      <w:r w:rsidR="00190E48" w:rsidRPr="00B52CBF">
        <w:rPr>
          <w:color w:val="000000" w:themeColor="text1"/>
        </w:rPr>
        <w:t xml:space="preserve">made no appeals, </w:t>
      </w:r>
      <w:r w:rsidR="00B20624" w:rsidRPr="00B52CBF">
        <w:rPr>
          <w:color w:val="000000" w:themeColor="text1"/>
        </w:rPr>
        <w:t xml:space="preserve">and was </w:t>
      </w:r>
      <w:r w:rsidR="00035907">
        <w:rPr>
          <w:color w:val="000000" w:themeColor="text1"/>
        </w:rPr>
        <w:t xml:space="preserve">thus </w:t>
      </w:r>
      <w:r w:rsidR="00B20624" w:rsidRPr="00B52CBF">
        <w:rPr>
          <w:color w:val="000000" w:themeColor="text1"/>
        </w:rPr>
        <w:t xml:space="preserve">medically separated with a </w:t>
      </w:r>
      <w:r w:rsidR="009454FF" w:rsidRPr="00B52CBF">
        <w:rPr>
          <w:color w:val="000000" w:themeColor="text1"/>
        </w:rPr>
        <w:t>10</w:t>
      </w:r>
      <w:r w:rsidR="00B20624" w:rsidRPr="00B52CBF">
        <w:rPr>
          <w:color w:val="000000" w:themeColor="text1"/>
        </w:rPr>
        <w:t>% disability ratin</w:t>
      </w:r>
      <w:r w:rsidR="00B20624" w:rsidRPr="001F29F9">
        <w:rPr>
          <w:color w:val="000000" w:themeColor="text1"/>
        </w:rPr>
        <w:t>g.</w:t>
      </w:r>
    </w:p>
    <w:p w:rsidR="004174F0" w:rsidRPr="001F29F9" w:rsidRDefault="004174F0" w:rsidP="000C645A">
      <w:pPr>
        <w:pBdr>
          <w:bottom w:val="single" w:sz="12" w:space="1" w:color="auto"/>
        </w:pBdr>
        <w:tabs>
          <w:tab w:val="left" w:pos="288"/>
          <w:tab w:val="left" w:pos="4752"/>
        </w:tabs>
        <w:jc w:val="both"/>
        <w:rPr>
          <w:color w:val="000000" w:themeColor="text1"/>
        </w:rPr>
      </w:pPr>
    </w:p>
    <w:p w:rsidR="004174F0" w:rsidRPr="001F29F9" w:rsidRDefault="004174F0" w:rsidP="000C645A">
      <w:pPr>
        <w:tabs>
          <w:tab w:val="left" w:pos="288"/>
          <w:tab w:val="left" w:pos="4752"/>
        </w:tabs>
        <w:jc w:val="both"/>
        <w:rPr>
          <w:color w:val="000000" w:themeColor="text1"/>
        </w:rPr>
      </w:pPr>
    </w:p>
    <w:p w:rsidR="00ED5284" w:rsidRPr="001F29F9" w:rsidRDefault="002C6E5B" w:rsidP="000C645A">
      <w:pPr>
        <w:tabs>
          <w:tab w:val="left" w:pos="288"/>
          <w:tab w:val="left" w:pos="4752"/>
        </w:tabs>
        <w:jc w:val="both"/>
        <w:rPr>
          <w:rFonts w:eastAsiaTheme="minorHAnsi"/>
          <w:color w:val="000000" w:themeColor="text1"/>
          <w:szCs w:val="24"/>
        </w:rPr>
      </w:pPr>
      <w:r w:rsidRPr="001F29F9">
        <w:rPr>
          <w:color w:val="000000" w:themeColor="text1"/>
          <w:u w:val="single"/>
        </w:rPr>
        <w:t>CI</w:t>
      </w:r>
      <w:r w:rsidR="00CB4D83">
        <w:rPr>
          <w:color w:val="000000" w:themeColor="text1"/>
          <w:u w:val="single"/>
        </w:rPr>
        <w:t>’s</w:t>
      </w:r>
      <w:r w:rsidRPr="001F29F9">
        <w:rPr>
          <w:color w:val="000000" w:themeColor="text1"/>
          <w:u w:val="single"/>
        </w:rPr>
        <w:t xml:space="preserve"> CONTENTION</w:t>
      </w:r>
      <w:r w:rsidRPr="001F29F9">
        <w:rPr>
          <w:color w:val="000000" w:themeColor="text1"/>
        </w:rPr>
        <w:t>:</w:t>
      </w:r>
      <w:r w:rsidR="00E4116E">
        <w:rPr>
          <w:color w:val="000000" w:themeColor="text1"/>
        </w:rPr>
        <w:t xml:space="preserve"> </w:t>
      </w:r>
      <w:r w:rsidR="00CB4D83">
        <w:rPr>
          <w:color w:val="000000" w:themeColor="text1"/>
        </w:rPr>
        <w:t xml:space="preserve"> </w:t>
      </w:r>
      <w:r w:rsidR="00E4116E">
        <w:rPr>
          <w:color w:val="000000" w:themeColor="text1"/>
        </w:rPr>
        <w:t xml:space="preserve">“I think the issue should be changed because I do not believe that my </w:t>
      </w:r>
      <w:proofErr w:type="gramStart"/>
      <w:r w:rsidR="00E4116E">
        <w:rPr>
          <w:color w:val="000000" w:themeColor="text1"/>
        </w:rPr>
        <w:t>conditions was</w:t>
      </w:r>
      <w:proofErr w:type="gramEnd"/>
      <w:r w:rsidR="00E4116E">
        <w:rPr>
          <w:color w:val="000000" w:themeColor="text1"/>
        </w:rPr>
        <w:t xml:space="preserve"> not evaluated accurately and it was not fair across the board.  I had a </w:t>
      </w:r>
      <w:r w:rsidR="000E3F35">
        <w:rPr>
          <w:color w:val="000000" w:themeColor="text1"/>
        </w:rPr>
        <w:t>condition</w:t>
      </w:r>
      <w:r w:rsidR="00E4116E">
        <w:rPr>
          <w:color w:val="000000" w:themeColor="text1"/>
        </w:rPr>
        <w:t xml:space="preserve"> that was consider fit, major depression disorder, with PTSD sy</w:t>
      </w:r>
      <w:r w:rsidR="00CB4D83">
        <w:rPr>
          <w:color w:val="000000" w:themeColor="text1"/>
        </w:rPr>
        <w:t>m</w:t>
      </w:r>
      <w:r w:rsidR="00E4116E">
        <w:rPr>
          <w:color w:val="000000" w:themeColor="text1"/>
        </w:rPr>
        <w:t xml:space="preserve">ptoms </w:t>
      </w:r>
      <w:r w:rsidR="000E3F35">
        <w:rPr>
          <w:color w:val="000000" w:themeColor="text1"/>
        </w:rPr>
        <w:t>that</w:t>
      </w:r>
      <w:r w:rsidR="00E4116E">
        <w:rPr>
          <w:color w:val="000000" w:themeColor="text1"/>
        </w:rPr>
        <w:t xml:space="preserve"> I am currently rated at 70% alone from the VA.  My back injury with lower extremity radiculopathy is what the Army granting me </w:t>
      </w:r>
      <w:proofErr w:type="gramStart"/>
      <w:r w:rsidR="00E4116E">
        <w:rPr>
          <w:color w:val="000000" w:themeColor="text1"/>
        </w:rPr>
        <w:t>unfit</w:t>
      </w:r>
      <w:proofErr w:type="gramEnd"/>
      <w:r w:rsidR="00E4116E">
        <w:rPr>
          <w:color w:val="000000" w:themeColor="text1"/>
        </w:rPr>
        <w:t xml:space="preserve"> for.  However my major depression disorder should </w:t>
      </w:r>
      <w:proofErr w:type="gramStart"/>
      <w:r w:rsidR="00E4116E">
        <w:rPr>
          <w:color w:val="000000" w:themeColor="text1"/>
        </w:rPr>
        <w:t>of</w:t>
      </w:r>
      <w:proofErr w:type="gramEnd"/>
      <w:r w:rsidR="00E4116E">
        <w:rPr>
          <w:color w:val="000000" w:themeColor="text1"/>
        </w:rPr>
        <w:t xml:space="preserve"> been unfit which it would of found to be so if the </w:t>
      </w:r>
      <w:r w:rsidR="000E3F35">
        <w:rPr>
          <w:color w:val="000000" w:themeColor="text1"/>
        </w:rPr>
        <w:t>Army</w:t>
      </w:r>
      <w:r w:rsidR="00E4116E">
        <w:rPr>
          <w:color w:val="000000" w:themeColor="text1"/>
        </w:rPr>
        <w:t xml:space="preserve"> took more time evaluating me.”</w:t>
      </w:r>
      <w:r w:rsidR="001C4E9F">
        <w:rPr>
          <w:color w:val="000000" w:themeColor="text1"/>
        </w:rPr>
        <w:t xml:space="preserve">  </w:t>
      </w:r>
      <w:r w:rsidR="00035907">
        <w:rPr>
          <w:color w:val="000000" w:themeColor="text1"/>
        </w:rPr>
        <w:t>In addition, t</w:t>
      </w:r>
      <w:r w:rsidR="001C4E9F">
        <w:rPr>
          <w:color w:val="000000" w:themeColor="text1"/>
        </w:rPr>
        <w:t xml:space="preserve">he CI </w:t>
      </w:r>
      <w:r w:rsidR="00C540F1">
        <w:rPr>
          <w:color w:val="000000" w:themeColor="text1"/>
        </w:rPr>
        <w:t xml:space="preserve">has </w:t>
      </w:r>
      <w:r w:rsidR="001C4E9F">
        <w:rPr>
          <w:color w:val="000000" w:themeColor="text1"/>
        </w:rPr>
        <w:t xml:space="preserve">also submitted a one-page memo, which was reviewed and considered by the Board. </w:t>
      </w:r>
      <w:r w:rsidR="00E4116E">
        <w:rPr>
          <w:color w:val="000000" w:themeColor="text1"/>
        </w:rPr>
        <w:t xml:space="preserve"> </w:t>
      </w:r>
    </w:p>
    <w:p w:rsidR="004174F0" w:rsidRPr="001F29F9" w:rsidRDefault="004174F0" w:rsidP="000C645A">
      <w:pPr>
        <w:pBdr>
          <w:bottom w:val="single" w:sz="12" w:space="1" w:color="auto"/>
        </w:pBdr>
        <w:tabs>
          <w:tab w:val="left" w:pos="288"/>
          <w:tab w:val="left" w:pos="4752"/>
        </w:tabs>
        <w:jc w:val="both"/>
        <w:rPr>
          <w:color w:val="000000" w:themeColor="text1"/>
        </w:rPr>
      </w:pPr>
    </w:p>
    <w:p w:rsidR="00E76843" w:rsidRDefault="00E76843" w:rsidP="000C645A">
      <w:pPr>
        <w:jc w:val="both"/>
        <w:rPr>
          <w:color w:val="000000" w:themeColor="text1"/>
          <w:u w:val="single"/>
        </w:rPr>
      </w:pPr>
    </w:p>
    <w:p w:rsidR="000A3FA5" w:rsidRDefault="000A3FA5" w:rsidP="000A3FA5">
      <w:pPr>
        <w:jc w:val="both"/>
        <w:rPr>
          <w:color w:val="auto"/>
        </w:rPr>
      </w:pPr>
      <w:r>
        <w:rPr>
          <w:color w:val="auto"/>
          <w:u w:val="single"/>
        </w:rPr>
        <w:t>SCOPE OF REVIEW</w:t>
      </w:r>
      <w:r>
        <w:rPr>
          <w:color w:val="auto"/>
        </w:rPr>
        <w:t xml:space="preserve">:  The Board’s scope of review, as defined in DoDI 6040.44, is limited to those conditions which were determined by the PEB to be unfitting for continued military service; or, when requested by the CI, those condition(s) “identified but not determined to be unfitting by the PEB.”  Any conditions outside the Board’s defined scope of </w:t>
      </w:r>
      <w:r w:rsidR="005B1716">
        <w:rPr>
          <w:color w:val="auto"/>
        </w:rPr>
        <w:t>review</w:t>
      </w:r>
      <w:r>
        <w:rPr>
          <w:color w:val="auto"/>
        </w:rPr>
        <w:t xml:space="preserve"> remain eligible for future consideration by the Army Board for the Correction of Military Records (BCMR). </w:t>
      </w:r>
    </w:p>
    <w:p w:rsidR="000A3FA5" w:rsidRDefault="000A3FA5" w:rsidP="000A3FA5">
      <w:pPr>
        <w:pBdr>
          <w:bottom w:val="single" w:sz="12" w:space="1" w:color="auto"/>
        </w:pBdr>
        <w:tabs>
          <w:tab w:val="left" w:pos="288"/>
          <w:tab w:val="left" w:pos="4752"/>
        </w:tabs>
        <w:jc w:val="both"/>
        <w:rPr>
          <w:color w:val="000000"/>
          <w:szCs w:val="24"/>
        </w:rPr>
      </w:pPr>
    </w:p>
    <w:p w:rsidR="000A3FA5" w:rsidRDefault="000A3FA5" w:rsidP="000A3FA5">
      <w:pPr>
        <w:jc w:val="both"/>
        <w:rPr>
          <w:color w:val="000000"/>
          <w:szCs w:val="24"/>
          <w:u w:val="single"/>
        </w:rPr>
      </w:pPr>
    </w:p>
    <w:p w:rsidR="00B52CBF" w:rsidRPr="001F29F9" w:rsidRDefault="007F0AB7" w:rsidP="000C645A">
      <w:pPr>
        <w:jc w:val="both"/>
        <w:rPr>
          <w:b/>
          <w:color w:val="000000" w:themeColor="text1"/>
          <w:szCs w:val="24"/>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B52CBF" w:rsidRPr="00B52CBF">
        <w:rPr>
          <w:b/>
          <w:color w:val="000000" w:themeColor="text1"/>
          <w:szCs w:val="24"/>
        </w:rPr>
        <w:t xml:space="preserve"> </w:t>
      </w:r>
    </w:p>
    <w:p w:rsidR="002151AB" w:rsidRPr="001F29F9" w:rsidRDefault="002151AB" w:rsidP="000C645A">
      <w:pPr>
        <w:rPr>
          <w:color w:val="000000" w:themeColor="text1"/>
        </w:rPr>
      </w:pPr>
    </w:p>
    <w:tbl>
      <w:tblPr>
        <w:tblStyle w:val="TableGrid"/>
        <w:tblpPr w:leftFromText="187" w:rightFromText="187" w:vertAnchor="text" w:tblpXSpec="center" w:tblpY="1"/>
        <w:tblOverlap w:val="never"/>
        <w:tblW w:w="9108" w:type="dxa"/>
        <w:tblLayout w:type="fixed"/>
        <w:tblLook w:val="04A0"/>
      </w:tblPr>
      <w:tblGrid>
        <w:gridCol w:w="1870"/>
        <w:gridCol w:w="1079"/>
        <w:gridCol w:w="900"/>
        <w:gridCol w:w="2109"/>
        <w:gridCol w:w="1291"/>
        <w:gridCol w:w="828"/>
        <w:gridCol w:w="1031"/>
      </w:tblGrid>
      <w:tr w:rsidR="002B4E22" w:rsidRPr="001F29F9" w:rsidTr="00596607">
        <w:trPr>
          <w:trHeight w:val="233"/>
        </w:trPr>
        <w:tc>
          <w:tcPr>
            <w:tcW w:w="3849" w:type="dxa"/>
            <w:gridSpan w:val="3"/>
            <w:tcBorders>
              <w:right w:val="thinThickThinSmallGap" w:sz="24" w:space="0" w:color="auto"/>
            </w:tcBorders>
            <w:shd w:val="clear" w:color="auto" w:fill="D9D9D9" w:themeFill="background1" w:themeFillShade="D9"/>
            <w:vAlign w:val="center"/>
          </w:tcPr>
          <w:p w:rsidR="002B4E22" w:rsidRPr="001F29F9" w:rsidRDefault="004E5B8B" w:rsidP="000C645A">
            <w:pPr>
              <w:contextualSpacing/>
              <w:rPr>
                <w:rFonts w:ascii="Calibri" w:hAnsi="Calibri" w:cs="Calibri"/>
                <w:b/>
                <w:color w:val="000000" w:themeColor="text1"/>
                <w:sz w:val="18"/>
                <w:szCs w:val="18"/>
              </w:rPr>
            </w:pPr>
            <w:r>
              <w:rPr>
                <w:rFonts w:ascii="Calibri" w:hAnsi="Calibri" w:cs="Calibri"/>
                <w:b/>
                <w:color w:val="000000" w:themeColor="text1"/>
                <w:sz w:val="18"/>
                <w:szCs w:val="18"/>
              </w:rPr>
              <w:t xml:space="preserve">Army </w:t>
            </w:r>
            <w:r w:rsidR="00B731E4" w:rsidRPr="001F29F9">
              <w:rPr>
                <w:rFonts w:ascii="Calibri" w:hAnsi="Calibri" w:cs="Calibri"/>
                <w:b/>
                <w:color w:val="000000" w:themeColor="text1"/>
                <w:sz w:val="18"/>
                <w:szCs w:val="18"/>
              </w:rPr>
              <w:t xml:space="preserve">PEB – </w:t>
            </w:r>
            <w:r>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ated 200</w:t>
            </w:r>
            <w:r w:rsidR="00643114">
              <w:rPr>
                <w:rFonts w:ascii="Calibri" w:hAnsi="Calibri" w:cs="Calibri"/>
                <w:b/>
                <w:color w:val="000000" w:themeColor="text1"/>
                <w:sz w:val="18"/>
                <w:szCs w:val="18"/>
              </w:rPr>
              <w:t>80611</w:t>
            </w:r>
          </w:p>
        </w:tc>
        <w:tc>
          <w:tcPr>
            <w:tcW w:w="5259" w:type="dxa"/>
            <w:gridSpan w:val="4"/>
            <w:tcBorders>
              <w:left w:val="thinThickThinSmallGap" w:sz="24" w:space="0" w:color="auto"/>
            </w:tcBorders>
            <w:shd w:val="clear" w:color="auto" w:fill="D9D9D9" w:themeFill="background1" w:themeFillShade="D9"/>
            <w:vAlign w:val="center"/>
          </w:tcPr>
          <w:p w:rsidR="002B4E22" w:rsidRPr="001F29F9" w:rsidRDefault="002B4E22"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744173">
              <w:rPr>
                <w:rFonts w:ascii="Calibri" w:hAnsi="Calibri" w:cs="Calibri"/>
                <w:b/>
                <w:color w:val="000000" w:themeColor="text1"/>
                <w:sz w:val="18"/>
                <w:szCs w:val="18"/>
              </w:rPr>
              <w:t>1</w:t>
            </w:r>
            <w:r w:rsidR="0079154B" w:rsidRPr="001F29F9">
              <w:rPr>
                <w:rFonts w:ascii="Calibri" w:hAnsi="Calibri" w:cs="Calibri"/>
                <w:b/>
                <w:color w:val="000000" w:themeColor="text1"/>
                <w:sz w:val="18"/>
                <w:szCs w:val="18"/>
              </w:rPr>
              <w:t xml:space="preserve"> </w:t>
            </w:r>
            <w:r w:rsidR="004E5B8B">
              <w:rPr>
                <w:rFonts w:ascii="Calibri" w:hAnsi="Calibri" w:cs="Calibri"/>
                <w:b/>
                <w:color w:val="000000" w:themeColor="text1"/>
                <w:sz w:val="18"/>
                <w:szCs w:val="18"/>
              </w:rPr>
              <w:t>m</w:t>
            </w:r>
            <w:r w:rsidRPr="001F29F9">
              <w:rPr>
                <w:rFonts w:ascii="Calibri" w:hAnsi="Calibri" w:cs="Calibri"/>
                <w:b/>
                <w:color w:val="000000" w:themeColor="text1"/>
                <w:sz w:val="18"/>
                <w:szCs w:val="18"/>
              </w:rPr>
              <w:t xml:space="preserve">o. </w:t>
            </w:r>
            <w:r w:rsidRPr="00744173">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w:t>
            </w:r>
            <w:r w:rsidR="002D08F3" w:rsidRPr="001F29F9">
              <w:rPr>
                <w:rFonts w:ascii="Calibri" w:hAnsi="Calibri" w:cs="Calibri"/>
                <w:b/>
                <w:color w:val="000000" w:themeColor="text1"/>
                <w:sz w:val="18"/>
                <w:szCs w:val="18"/>
              </w:rPr>
              <w:t>200</w:t>
            </w:r>
            <w:r w:rsidR="00744173">
              <w:rPr>
                <w:rFonts w:ascii="Calibri" w:hAnsi="Calibri" w:cs="Calibri"/>
                <w:b/>
                <w:color w:val="000000" w:themeColor="text1"/>
                <w:sz w:val="18"/>
                <w:szCs w:val="18"/>
              </w:rPr>
              <w:t>80805</w:t>
            </w:r>
          </w:p>
        </w:tc>
      </w:tr>
      <w:tr w:rsidR="002B4E22" w:rsidRPr="001F29F9" w:rsidTr="00596607">
        <w:trPr>
          <w:trHeight w:val="278"/>
        </w:trPr>
        <w:tc>
          <w:tcPr>
            <w:tcW w:w="1870"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79"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109"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291" w:type="dxa"/>
            <w:tcBorders>
              <w:bottom w:val="single" w:sz="4" w:space="0" w:color="000000" w:themeColor="text1"/>
            </w:tcBorders>
            <w:shd w:val="clear" w:color="auto" w:fill="D9D9D9" w:themeFill="background1" w:themeFillShade="D9"/>
            <w:vAlign w:val="center"/>
          </w:tcPr>
          <w:p w:rsidR="002B4E22" w:rsidRPr="001F29F9" w:rsidRDefault="002B4E22"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031" w:type="dxa"/>
            <w:tcBorders>
              <w:bottom w:val="single" w:sz="4" w:space="0" w:color="000000" w:themeColor="text1"/>
            </w:tcBorders>
            <w:shd w:val="clear" w:color="auto" w:fill="D9D9D9" w:themeFill="background1" w:themeFillShade="D9"/>
            <w:vAlign w:val="center"/>
          </w:tcPr>
          <w:p w:rsidR="002B4E22" w:rsidRPr="001F29F9" w:rsidRDefault="002B4E22"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596607">
        <w:trPr>
          <w:trHeight w:val="287"/>
        </w:trPr>
        <w:tc>
          <w:tcPr>
            <w:tcW w:w="1870" w:type="dxa"/>
            <w:tcBorders>
              <w:right w:val="single" w:sz="4" w:space="0" w:color="auto"/>
            </w:tcBorders>
            <w:shd w:val="clear" w:color="auto" w:fill="FFFFFF" w:themeFill="background1"/>
            <w:vAlign w:val="center"/>
          </w:tcPr>
          <w:p w:rsidR="00BC5860" w:rsidRPr="001F29F9" w:rsidRDefault="00643114" w:rsidP="000C645A">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Lumbar D</w:t>
            </w:r>
            <w:r w:rsidR="004E5B8B">
              <w:rPr>
                <w:rFonts w:ascii="Calibri" w:eastAsia="Times New Roman" w:hAnsi="Calibri" w:cs="Calibri"/>
                <w:color w:val="000000" w:themeColor="text1"/>
                <w:sz w:val="18"/>
                <w:szCs w:val="18"/>
              </w:rPr>
              <w:t>DD</w:t>
            </w:r>
          </w:p>
        </w:tc>
        <w:tc>
          <w:tcPr>
            <w:tcW w:w="1079" w:type="dxa"/>
            <w:tcBorders>
              <w:left w:val="single" w:sz="4" w:space="0" w:color="auto"/>
            </w:tcBorders>
            <w:shd w:val="clear" w:color="auto" w:fill="FFFFFF" w:themeFill="background1"/>
            <w:vAlign w:val="center"/>
          </w:tcPr>
          <w:p w:rsidR="00BC5860" w:rsidRPr="001F29F9" w:rsidRDefault="00643114" w:rsidP="000C645A">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5299-5242</w:t>
            </w:r>
          </w:p>
        </w:tc>
        <w:tc>
          <w:tcPr>
            <w:tcW w:w="900" w:type="dxa"/>
            <w:tcBorders>
              <w:right w:val="thinThickThinSmallGap" w:sz="24" w:space="0" w:color="auto"/>
            </w:tcBorders>
            <w:shd w:val="clear" w:color="auto" w:fill="FFFFFF" w:themeFill="background1"/>
            <w:vAlign w:val="center"/>
          </w:tcPr>
          <w:p w:rsidR="00BC5860" w:rsidRPr="001F29F9" w:rsidRDefault="00643114" w:rsidP="000C645A">
            <w:pPr>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109" w:type="dxa"/>
            <w:tcBorders>
              <w:left w:val="thinThickThinSmallGap" w:sz="24" w:space="0" w:color="auto"/>
            </w:tcBorders>
            <w:shd w:val="clear" w:color="auto" w:fill="FFFFFF" w:themeFill="background1"/>
            <w:vAlign w:val="center"/>
          </w:tcPr>
          <w:p w:rsidR="00BC5860" w:rsidRPr="001F29F9" w:rsidRDefault="00744173" w:rsidP="000C645A">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w:t>
            </w:r>
            <w:r w:rsidR="004E5B8B">
              <w:rPr>
                <w:rFonts w:ascii="Calibri" w:eastAsia="Times New Roman" w:hAnsi="Calibri" w:cs="Calibri"/>
                <w:color w:val="000000" w:themeColor="text1"/>
                <w:sz w:val="18"/>
                <w:szCs w:val="18"/>
              </w:rPr>
              <w:t>BP,</w:t>
            </w:r>
            <w:r>
              <w:rPr>
                <w:rFonts w:ascii="Calibri" w:eastAsia="Times New Roman" w:hAnsi="Calibri" w:cs="Calibri"/>
                <w:color w:val="000000" w:themeColor="text1"/>
                <w:sz w:val="18"/>
                <w:szCs w:val="18"/>
              </w:rPr>
              <w:t xml:space="preserve"> w</w:t>
            </w:r>
            <w:r w:rsidR="004E5B8B">
              <w:rPr>
                <w:rFonts w:ascii="Calibri" w:eastAsia="Times New Roman" w:hAnsi="Calibri" w:cs="Calibri"/>
                <w:color w:val="000000" w:themeColor="text1"/>
                <w:sz w:val="18"/>
                <w:szCs w:val="18"/>
              </w:rPr>
              <w:t xml:space="preserve">ith </w:t>
            </w:r>
            <w:r>
              <w:rPr>
                <w:rFonts w:ascii="Calibri" w:eastAsia="Times New Roman" w:hAnsi="Calibri" w:cs="Calibri"/>
                <w:color w:val="000000" w:themeColor="text1"/>
                <w:sz w:val="18"/>
                <w:szCs w:val="18"/>
              </w:rPr>
              <w:t>Right Flank Pain</w:t>
            </w:r>
          </w:p>
        </w:tc>
        <w:tc>
          <w:tcPr>
            <w:tcW w:w="1291" w:type="dxa"/>
            <w:shd w:val="clear" w:color="auto" w:fill="FFFFFF" w:themeFill="background1"/>
            <w:vAlign w:val="center"/>
          </w:tcPr>
          <w:p w:rsidR="00BC5860" w:rsidRPr="001F29F9" w:rsidRDefault="00744173" w:rsidP="000C645A">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5299-5242</w:t>
            </w:r>
          </w:p>
        </w:tc>
        <w:tc>
          <w:tcPr>
            <w:tcW w:w="828" w:type="dxa"/>
            <w:shd w:val="clear" w:color="auto" w:fill="FFFFFF" w:themeFill="background1"/>
            <w:vAlign w:val="center"/>
          </w:tcPr>
          <w:p w:rsidR="00BC5860" w:rsidRPr="001F29F9" w:rsidRDefault="00744173" w:rsidP="000C645A">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r w:rsidR="00456410">
              <w:rPr>
                <w:rFonts w:ascii="Calibri" w:hAnsi="Calibri" w:cs="Calibri"/>
                <w:color w:val="000000" w:themeColor="text1"/>
                <w:sz w:val="18"/>
                <w:szCs w:val="18"/>
              </w:rPr>
              <w:t>*</w:t>
            </w:r>
          </w:p>
        </w:tc>
        <w:tc>
          <w:tcPr>
            <w:tcW w:w="1031" w:type="dxa"/>
            <w:shd w:val="clear" w:color="auto" w:fill="FFFFFF" w:themeFill="background1"/>
            <w:vAlign w:val="center"/>
          </w:tcPr>
          <w:p w:rsidR="00BC5860" w:rsidRPr="001F29F9" w:rsidRDefault="00C03C21" w:rsidP="000C645A">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744173">
              <w:rPr>
                <w:rFonts w:ascii="Calibri" w:hAnsi="Calibri" w:cs="Calibri"/>
                <w:color w:val="000000" w:themeColor="text1"/>
                <w:sz w:val="18"/>
                <w:szCs w:val="18"/>
              </w:rPr>
              <w:t>80809</w:t>
            </w:r>
          </w:p>
        </w:tc>
      </w:tr>
      <w:tr w:rsidR="00B52CBF" w:rsidRPr="001F29F9" w:rsidTr="00596607">
        <w:trPr>
          <w:trHeight w:val="287"/>
        </w:trPr>
        <w:tc>
          <w:tcPr>
            <w:tcW w:w="1870" w:type="dxa"/>
            <w:tcBorders>
              <w:right w:val="single" w:sz="4" w:space="0" w:color="auto"/>
            </w:tcBorders>
            <w:shd w:val="clear" w:color="auto" w:fill="FFFFFF" w:themeFill="background1"/>
            <w:vAlign w:val="center"/>
          </w:tcPr>
          <w:p w:rsidR="00B52CBF" w:rsidRPr="001F29F9" w:rsidRDefault="00B52CBF" w:rsidP="000C645A">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w:t>
            </w:r>
            <w:r w:rsidR="004E5B8B">
              <w:rPr>
                <w:rFonts w:ascii="Calibri" w:eastAsia="Times New Roman" w:hAnsi="Calibri" w:cs="Calibri"/>
                <w:color w:val="000000" w:themeColor="text1"/>
                <w:sz w:val="18"/>
                <w:szCs w:val="18"/>
              </w:rPr>
              <w:t>igh</w:t>
            </w:r>
            <w:r w:rsidR="00F25C40">
              <w:rPr>
                <w:rFonts w:ascii="Calibri" w:eastAsia="Times New Roman" w:hAnsi="Calibri" w:cs="Calibri"/>
                <w:color w:val="000000" w:themeColor="text1"/>
                <w:sz w:val="18"/>
                <w:szCs w:val="18"/>
              </w:rPr>
              <w:t>t</w:t>
            </w:r>
            <w:r>
              <w:rPr>
                <w:rFonts w:ascii="Calibri" w:eastAsia="Times New Roman" w:hAnsi="Calibri" w:cs="Calibri"/>
                <w:color w:val="000000" w:themeColor="text1"/>
                <w:sz w:val="18"/>
                <w:szCs w:val="18"/>
              </w:rPr>
              <w:t xml:space="preserve"> Hamstring Pain</w:t>
            </w:r>
          </w:p>
        </w:tc>
        <w:tc>
          <w:tcPr>
            <w:tcW w:w="1979" w:type="dxa"/>
            <w:gridSpan w:val="2"/>
            <w:vMerge w:val="restart"/>
            <w:tcBorders>
              <w:left w:val="single" w:sz="4" w:space="0" w:color="auto"/>
              <w:right w:val="thinThickThinSmallGap" w:sz="24" w:space="0" w:color="auto"/>
            </w:tcBorders>
            <w:shd w:val="clear" w:color="auto" w:fill="FFFFFF" w:themeFill="background1"/>
            <w:vAlign w:val="center"/>
          </w:tcPr>
          <w:p w:rsidR="00B52CBF" w:rsidRPr="001F29F9" w:rsidRDefault="00B52CBF" w:rsidP="000C645A">
            <w:pPr>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Not Unfitting</w:t>
            </w:r>
          </w:p>
        </w:tc>
        <w:tc>
          <w:tcPr>
            <w:tcW w:w="2109" w:type="dxa"/>
            <w:tcBorders>
              <w:left w:val="thinThickThinSmallGap" w:sz="24" w:space="0" w:color="auto"/>
              <w:right w:val="single" w:sz="4" w:space="0" w:color="auto"/>
            </w:tcBorders>
            <w:shd w:val="clear" w:color="auto" w:fill="FFFFFF" w:themeFill="background1"/>
            <w:vAlign w:val="center"/>
          </w:tcPr>
          <w:p w:rsidR="00B52CBF" w:rsidRPr="001F29F9" w:rsidRDefault="00B52CBF" w:rsidP="000C645A">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w:t>
            </w:r>
            <w:r w:rsidR="004E5B8B">
              <w:rPr>
                <w:rFonts w:ascii="Calibri" w:eastAsia="Times New Roman" w:hAnsi="Calibri" w:cs="Calibri"/>
                <w:color w:val="000000" w:themeColor="text1"/>
                <w:sz w:val="18"/>
                <w:szCs w:val="18"/>
              </w:rPr>
              <w:t>ight</w:t>
            </w:r>
            <w:r>
              <w:rPr>
                <w:rFonts w:ascii="Calibri" w:eastAsia="Times New Roman" w:hAnsi="Calibri" w:cs="Calibri"/>
                <w:color w:val="000000" w:themeColor="text1"/>
                <w:sz w:val="18"/>
                <w:szCs w:val="18"/>
              </w:rPr>
              <w:t xml:space="preserve"> Hamstring Pain</w:t>
            </w:r>
          </w:p>
        </w:tc>
        <w:tc>
          <w:tcPr>
            <w:tcW w:w="1291" w:type="dxa"/>
            <w:tcBorders>
              <w:left w:val="single" w:sz="4" w:space="0" w:color="auto"/>
            </w:tcBorders>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5399-5318</w:t>
            </w:r>
          </w:p>
        </w:tc>
        <w:tc>
          <w:tcPr>
            <w:tcW w:w="828" w:type="dxa"/>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NSC</w:t>
            </w:r>
          </w:p>
        </w:tc>
        <w:tc>
          <w:tcPr>
            <w:tcW w:w="1031" w:type="dxa"/>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20080809</w:t>
            </w:r>
          </w:p>
        </w:tc>
      </w:tr>
      <w:tr w:rsidR="00B52CBF" w:rsidRPr="001F29F9" w:rsidTr="00596607">
        <w:trPr>
          <w:trHeight w:val="287"/>
        </w:trPr>
        <w:tc>
          <w:tcPr>
            <w:tcW w:w="1870" w:type="dxa"/>
            <w:tcBorders>
              <w:right w:val="single" w:sz="4" w:space="0" w:color="auto"/>
            </w:tcBorders>
            <w:shd w:val="clear" w:color="auto" w:fill="FFFFFF" w:themeFill="background1"/>
            <w:vAlign w:val="center"/>
          </w:tcPr>
          <w:p w:rsidR="00B52CBF" w:rsidRPr="001F29F9" w:rsidRDefault="00B52CBF" w:rsidP="000C645A">
            <w:pPr>
              <w:contextualSpacing/>
              <w:jc w:val="left"/>
              <w:rPr>
                <w:rFonts w:ascii="Calibri" w:eastAsia="Times New Roman" w:hAnsi="Calibri" w:cs="Calibri"/>
                <w:color w:val="000000" w:themeColor="text1"/>
                <w:sz w:val="18"/>
                <w:szCs w:val="18"/>
              </w:rPr>
            </w:pPr>
            <w:proofErr w:type="spellStart"/>
            <w:r>
              <w:rPr>
                <w:rFonts w:ascii="Calibri" w:eastAsia="Times New Roman" w:hAnsi="Calibri" w:cs="Calibri"/>
                <w:color w:val="000000" w:themeColor="text1"/>
                <w:sz w:val="18"/>
                <w:szCs w:val="18"/>
              </w:rPr>
              <w:t>Tinea</w:t>
            </w:r>
            <w:proofErr w:type="spellEnd"/>
            <w:r>
              <w:rPr>
                <w:rFonts w:ascii="Calibri" w:eastAsia="Times New Roman" w:hAnsi="Calibri" w:cs="Calibri"/>
                <w:color w:val="000000" w:themeColor="text1"/>
                <w:sz w:val="18"/>
                <w:szCs w:val="18"/>
              </w:rPr>
              <w:t xml:space="preserve"> </w:t>
            </w:r>
            <w:proofErr w:type="spellStart"/>
            <w:r>
              <w:rPr>
                <w:rFonts w:ascii="Calibri" w:eastAsia="Times New Roman" w:hAnsi="Calibri" w:cs="Calibri"/>
                <w:color w:val="000000" w:themeColor="text1"/>
                <w:sz w:val="18"/>
                <w:szCs w:val="18"/>
              </w:rPr>
              <w:t>Versicolor</w:t>
            </w:r>
            <w:proofErr w:type="spellEnd"/>
          </w:p>
        </w:tc>
        <w:tc>
          <w:tcPr>
            <w:tcW w:w="1979" w:type="dxa"/>
            <w:gridSpan w:val="2"/>
            <w:vMerge/>
            <w:tcBorders>
              <w:left w:val="single" w:sz="4" w:space="0" w:color="auto"/>
              <w:right w:val="thinThickThinSmallGap" w:sz="24" w:space="0" w:color="auto"/>
            </w:tcBorders>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highlight w:val="yellow"/>
              </w:rPr>
            </w:pPr>
          </w:p>
        </w:tc>
        <w:tc>
          <w:tcPr>
            <w:tcW w:w="2109" w:type="dxa"/>
            <w:vMerge w:val="restart"/>
            <w:tcBorders>
              <w:left w:val="thinThickThinSmallGap" w:sz="24" w:space="0" w:color="auto"/>
              <w:right w:val="single" w:sz="4" w:space="0" w:color="auto"/>
            </w:tcBorders>
            <w:shd w:val="clear" w:color="auto" w:fill="FFFFFF" w:themeFill="background1"/>
            <w:vAlign w:val="center"/>
          </w:tcPr>
          <w:p w:rsidR="00B52CBF" w:rsidRPr="001F29F9" w:rsidRDefault="00B52CBF" w:rsidP="000C645A">
            <w:pPr>
              <w:contextualSpacing/>
              <w:jc w:val="left"/>
              <w:rPr>
                <w:rFonts w:ascii="Calibri" w:eastAsia="Times New Roman" w:hAnsi="Calibri" w:cs="Calibri"/>
                <w:color w:val="000000" w:themeColor="text1"/>
                <w:sz w:val="18"/>
                <w:szCs w:val="18"/>
              </w:rPr>
            </w:pPr>
            <w:proofErr w:type="spellStart"/>
            <w:r>
              <w:rPr>
                <w:rFonts w:ascii="Calibri" w:eastAsia="Times New Roman" w:hAnsi="Calibri" w:cs="Calibri"/>
                <w:color w:val="000000" w:themeColor="text1"/>
                <w:sz w:val="18"/>
                <w:szCs w:val="18"/>
              </w:rPr>
              <w:t>Tinea</w:t>
            </w:r>
            <w:proofErr w:type="spellEnd"/>
            <w:r>
              <w:rPr>
                <w:rFonts w:ascii="Calibri" w:eastAsia="Times New Roman" w:hAnsi="Calibri" w:cs="Calibri"/>
                <w:color w:val="000000" w:themeColor="text1"/>
                <w:sz w:val="18"/>
                <w:szCs w:val="18"/>
              </w:rPr>
              <w:t xml:space="preserve"> </w:t>
            </w:r>
            <w:proofErr w:type="spellStart"/>
            <w:r>
              <w:rPr>
                <w:rFonts w:ascii="Calibri" w:eastAsia="Times New Roman" w:hAnsi="Calibri" w:cs="Calibri"/>
                <w:color w:val="000000" w:themeColor="text1"/>
                <w:sz w:val="18"/>
                <w:szCs w:val="18"/>
              </w:rPr>
              <w:t>Versicolor</w:t>
            </w:r>
            <w:proofErr w:type="spellEnd"/>
            <w:r>
              <w:rPr>
                <w:rFonts w:ascii="Calibri" w:eastAsia="Times New Roman" w:hAnsi="Calibri" w:cs="Calibri"/>
                <w:color w:val="000000" w:themeColor="text1"/>
                <w:sz w:val="18"/>
                <w:szCs w:val="18"/>
              </w:rPr>
              <w:t xml:space="preserve"> and</w:t>
            </w:r>
            <w:r w:rsidR="004E5B8B">
              <w:rPr>
                <w:rFonts w:ascii="Calibri" w:eastAsia="Times New Roman" w:hAnsi="Calibri" w:cs="Calibri"/>
                <w:color w:val="000000" w:themeColor="text1"/>
                <w:sz w:val="18"/>
                <w:szCs w:val="18"/>
              </w:rPr>
              <w:t xml:space="preserve"> PFB</w:t>
            </w:r>
          </w:p>
        </w:tc>
        <w:tc>
          <w:tcPr>
            <w:tcW w:w="1291" w:type="dxa"/>
            <w:vMerge w:val="restart"/>
            <w:tcBorders>
              <w:left w:val="single" w:sz="4" w:space="0" w:color="auto"/>
            </w:tcBorders>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7820-7806</w:t>
            </w:r>
          </w:p>
        </w:tc>
        <w:tc>
          <w:tcPr>
            <w:tcW w:w="828" w:type="dxa"/>
            <w:vMerge w:val="restart"/>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1031" w:type="dxa"/>
            <w:vMerge w:val="restart"/>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highlight w:val="yellow"/>
              </w:rPr>
            </w:pPr>
            <w:r w:rsidRPr="00744173">
              <w:rPr>
                <w:rFonts w:ascii="Calibri" w:eastAsia="Times New Roman" w:hAnsi="Calibri" w:cs="Calibri"/>
                <w:color w:val="000000" w:themeColor="text1"/>
                <w:sz w:val="18"/>
                <w:szCs w:val="18"/>
              </w:rPr>
              <w:t>2008</w:t>
            </w:r>
            <w:r>
              <w:rPr>
                <w:rFonts w:ascii="Calibri" w:eastAsia="Times New Roman" w:hAnsi="Calibri" w:cs="Calibri"/>
                <w:color w:val="000000" w:themeColor="text1"/>
                <w:sz w:val="18"/>
                <w:szCs w:val="18"/>
              </w:rPr>
              <w:t>1031</w:t>
            </w:r>
          </w:p>
        </w:tc>
      </w:tr>
      <w:tr w:rsidR="00B52CBF" w:rsidRPr="001F29F9" w:rsidTr="00596607">
        <w:trPr>
          <w:trHeight w:val="287"/>
        </w:trPr>
        <w:tc>
          <w:tcPr>
            <w:tcW w:w="1870" w:type="dxa"/>
            <w:tcBorders>
              <w:right w:val="single" w:sz="4" w:space="0" w:color="auto"/>
            </w:tcBorders>
            <w:shd w:val="clear" w:color="auto" w:fill="FFFFFF" w:themeFill="background1"/>
            <w:vAlign w:val="center"/>
          </w:tcPr>
          <w:p w:rsidR="00B52CBF" w:rsidRPr="001F29F9" w:rsidRDefault="00B52CBF" w:rsidP="000C645A">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w:t>
            </w:r>
            <w:r w:rsidR="004E5B8B">
              <w:rPr>
                <w:rFonts w:ascii="Calibri" w:eastAsia="Times New Roman" w:hAnsi="Calibri" w:cs="Calibri"/>
                <w:color w:val="000000" w:themeColor="text1"/>
                <w:sz w:val="18"/>
                <w:szCs w:val="18"/>
              </w:rPr>
              <w:t>FB</w:t>
            </w:r>
          </w:p>
        </w:tc>
        <w:tc>
          <w:tcPr>
            <w:tcW w:w="1979" w:type="dxa"/>
            <w:gridSpan w:val="2"/>
            <w:vMerge/>
            <w:tcBorders>
              <w:left w:val="single" w:sz="4" w:space="0" w:color="auto"/>
              <w:right w:val="thinThickThinSmallGap" w:sz="24" w:space="0" w:color="auto"/>
            </w:tcBorders>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highlight w:val="yellow"/>
              </w:rPr>
            </w:pPr>
          </w:p>
        </w:tc>
        <w:tc>
          <w:tcPr>
            <w:tcW w:w="2109" w:type="dxa"/>
            <w:vMerge/>
            <w:tcBorders>
              <w:left w:val="thinThickThinSmallGap" w:sz="24" w:space="0" w:color="auto"/>
              <w:right w:val="single" w:sz="4" w:space="0" w:color="auto"/>
            </w:tcBorders>
            <w:shd w:val="clear" w:color="auto" w:fill="FFFFFF" w:themeFill="background1"/>
            <w:vAlign w:val="center"/>
          </w:tcPr>
          <w:p w:rsidR="00B52CBF" w:rsidRPr="001F29F9" w:rsidRDefault="00B52CBF" w:rsidP="000C645A">
            <w:pPr>
              <w:contextualSpacing/>
              <w:jc w:val="left"/>
              <w:rPr>
                <w:rFonts w:ascii="Calibri" w:eastAsia="Times New Roman" w:hAnsi="Calibri" w:cs="Calibri"/>
                <w:color w:val="000000" w:themeColor="text1"/>
                <w:sz w:val="18"/>
                <w:szCs w:val="18"/>
              </w:rPr>
            </w:pPr>
          </w:p>
        </w:tc>
        <w:tc>
          <w:tcPr>
            <w:tcW w:w="1291" w:type="dxa"/>
            <w:vMerge/>
            <w:tcBorders>
              <w:left w:val="single" w:sz="4" w:space="0" w:color="auto"/>
            </w:tcBorders>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rPr>
            </w:pPr>
          </w:p>
        </w:tc>
        <w:tc>
          <w:tcPr>
            <w:tcW w:w="828" w:type="dxa"/>
            <w:vMerge/>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rPr>
            </w:pPr>
          </w:p>
        </w:tc>
        <w:tc>
          <w:tcPr>
            <w:tcW w:w="1031" w:type="dxa"/>
            <w:vMerge/>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highlight w:val="yellow"/>
              </w:rPr>
            </w:pPr>
          </w:p>
        </w:tc>
      </w:tr>
      <w:tr w:rsidR="00B52CBF" w:rsidRPr="001F29F9" w:rsidTr="00596607">
        <w:trPr>
          <w:trHeight w:val="287"/>
        </w:trPr>
        <w:tc>
          <w:tcPr>
            <w:tcW w:w="1870" w:type="dxa"/>
            <w:tcBorders>
              <w:right w:val="single" w:sz="4" w:space="0" w:color="auto"/>
            </w:tcBorders>
            <w:shd w:val="clear" w:color="auto" w:fill="FFFFFF" w:themeFill="background1"/>
            <w:vAlign w:val="center"/>
          </w:tcPr>
          <w:p w:rsidR="00B52CBF" w:rsidRPr="001F29F9" w:rsidRDefault="00B52CBF" w:rsidP="00D41625">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w:t>
            </w:r>
            <w:r w:rsidR="00D41625">
              <w:rPr>
                <w:rFonts w:ascii="Calibri" w:eastAsia="Times New Roman" w:hAnsi="Calibri" w:cs="Calibri"/>
                <w:color w:val="000000" w:themeColor="text1"/>
                <w:sz w:val="18"/>
                <w:szCs w:val="18"/>
              </w:rPr>
              <w:t xml:space="preserve">ajor </w:t>
            </w:r>
            <w:r w:rsidR="00596607">
              <w:rPr>
                <w:rFonts w:ascii="Calibri" w:eastAsia="Times New Roman" w:hAnsi="Calibri" w:cs="Calibri"/>
                <w:color w:val="000000" w:themeColor="text1"/>
                <w:sz w:val="18"/>
                <w:szCs w:val="18"/>
              </w:rPr>
              <w:t>D</w:t>
            </w:r>
            <w:r w:rsidR="00D41625">
              <w:rPr>
                <w:rFonts w:ascii="Calibri" w:eastAsia="Times New Roman" w:hAnsi="Calibri" w:cs="Calibri"/>
                <w:color w:val="000000" w:themeColor="text1"/>
                <w:sz w:val="18"/>
                <w:szCs w:val="18"/>
              </w:rPr>
              <w:t>epression</w:t>
            </w:r>
          </w:p>
        </w:tc>
        <w:tc>
          <w:tcPr>
            <w:tcW w:w="1979" w:type="dxa"/>
            <w:gridSpan w:val="2"/>
            <w:vMerge/>
            <w:tcBorders>
              <w:left w:val="single" w:sz="4" w:space="0" w:color="auto"/>
              <w:right w:val="thinThickThinSmallGap" w:sz="24" w:space="0" w:color="auto"/>
            </w:tcBorders>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rPr>
            </w:pPr>
          </w:p>
        </w:tc>
        <w:tc>
          <w:tcPr>
            <w:tcW w:w="2109" w:type="dxa"/>
            <w:tcBorders>
              <w:left w:val="thinThickThinSmallGap" w:sz="24" w:space="0" w:color="auto"/>
              <w:right w:val="single" w:sz="4" w:space="0" w:color="auto"/>
            </w:tcBorders>
            <w:shd w:val="clear" w:color="auto" w:fill="FFFFFF" w:themeFill="background1"/>
            <w:vAlign w:val="center"/>
          </w:tcPr>
          <w:p w:rsidR="00B52CBF" w:rsidRPr="001F29F9" w:rsidRDefault="00B52CBF" w:rsidP="00D41625">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w:t>
            </w:r>
            <w:r w:rsidR="00D41625">
              <w:rPr>
                <w:rFonts w:ascii="Calibri" w:eastAsia="Times New Roman" w:hAnsi="Calibri" w:cs="Calibri"/>
                <w:color w:val="000000" w:themeColor="text1"/>
                <w:sz w:val="18"/>
                <w:szCs w:val="18"/>
              </w:rPr>
              <w:t xml:space="preserve">ajor </w:t>
            </w:r>
            <w:r w:rsidR="00596607">
              <w:rPr>
                <w:rFonts w:ascii="Calibri" w:eastAsia="Times New Roman" w:hAnsi="Calibri" w:cs="Calibri"/>
                <w:color w:val="000000" w:themeColor="text1"/>
                <w:sz w:val="18"/>
                <w:szCs w:val="18"/>
              </w:rPr>
              <w:t>D</w:t>
            </w:r>
            <w:r w:rsidR="00D41625">
              <w:rPr>
                <w:rFonts w:ascii="Calibri" w:eastAsia="Times New Roman" w:hAnsi="Calibri" w:cs="Calibri"/>
                <w:color w:val="000000" w:themeColor="text1"/>
                <w:sz w:val="18"/>
                <w:szCs w:val="18"/>
              </w:rPr>
              <w:t>epression</w:t>
            </w:r>
          </w:p>
        </w:tc>
        <w:tc>
          <w:tcPr>
            <w:tcW w:w="1291" w:type="dxa"/>
            <w:tcBorders>
              <w:left w:val="single" w:sz="4" w:space="0" w:color="auto"/>
              <w:right w:val="single" w:sz="4" w:space="0" w:color="auto"/>
            </w:tcBorders>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9434</w:t>
            </w:r>
          </w:p>
        </w:tc>
        <w:tc>
          <w:tcPr>
            <w:tcW w:w="828" w:type="dxa"/>
            <w:tcBorders>
              <w:left w:val="single" w:sz="4" w:space="0" w:color="auto"/>
            </w:tcBorders>
            <w:shd w:val="clear" w:color="auto" w:fill="FFFFFF" w:themeFill="background1"/>
            <w:vAlign w:val="center"/>
          </w:tcPr>
          <w:p w:rsidR="00B52CBF" w:rsidRPr="001F29F9" w:rsidRDefault="00B52CBF" w:rsidP="00456410">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1031" w:type="dxa"/>
            <w:shd w:val="clear" w:color="auto" w:fill="FFFFFF" w:themeFill="background1"/>
            <w:vAlign w:val="center"/>
          </w:tcPr>
          <w:p w:rsidR="00B52CBF" w:rsidRPr="001F29F9" w:rsidRDefault="00B52CBF" w:rsidP="000C645A">
            <w:pPr>
              <w:contextualSpacing/>
              <w:rPr>
                <w:rFonts w:ascii="Calibri" w:eastAsia="Times New Roman" w:hAnsi="Calibri" w:cs="Calibri"/>
                <w:color w:val="000000" w:themeColor="text1"/>
                <w:sz w:val="18"/>
                <w:szCs w:val="18"/>
                <w:highlight w:val="yellow"/>
              </w:rPr>
            </w:pPr>
            <w:r w:rsidRPr="00744173">
              <w:rPr>
                <w:rFonts w:ascii="Calibri" w:eastAsia="Times New Roman" w:hAnsi="Calibri" w:cs="Calibri"/>
                <w:color w:val="000000" w:themeColor="text1"/>
                <w:sz w:val="18"/>
                <w:szCs w:val="18"/>
              </w:rPr>
              <w:t>20080809</w:t>
            </w:r>
          </w:p>
        </w:tc>
      </w:tr>
      <w:tr w:rsidR="00744173" w:rsidRPr="001F29F9" w:rsidTr="00596607">
        <w:trPr>
          <w:trHeight w:val="557"/>
        </w:trPr>
        <w:tc>
          <w:tcPr>
            <w:tcW w:w="3849" w:type="dxa"/>
            <w:gridSpan w:val="3"/>
            <w:tcBorders>
              <w:right w:val="thinThickThinSmallGap" w:sz="24" w:space="0" w:color="auto"/>
            </w:tcBorders>
            <w:shd w:val="clear" w:color="auto" w:fill="FFFFFF" w:themeFill="background1"/>
            <w:vAlign w:val="center"/>
          </w:tcPr>
          <w:p w:rsidR="00744173" w:rsidRPr="001F29F9" w:rsidRDefault="00744173" w:rsidP="000C645A">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28" w:type="dxa"/>
            <w:gridSpan w:val="3"/>
            <w:tcBorders>
              <w:left w:val="thinThickThinSmallGap" w:sz="24" w:space="0" w:color="auto"/>
              <w:right w:val="single" w:sz="4" w:space="0" w:color="auto"/>
            </w:tcBorders>
            <w:shd w:val="clear" w:color="auto" w:fill="FFFFFF" w:themeFill="background1"/>
            <w:vAlign w:val="center"/>
          </w:tcPr>
          <w:p w:rsidR="00744173" w:rsidRPr="001F29F9" w:rsidRDefault="008E6F7A" w:rsidP="000C645A">
            <w:pPr>
              <w:contextualSpacing/>
              <w:rPr>
                <w:rFonts w:ascii="Calibri" w:eastAsia="Times New Roman" w:hAnsi="Calibri" w:cs="Calibri"/>
                <w:color w:val="000000" w:themeColor="text1"/>
                <w:sz w:val="18"/>
                <w:szCs w:val="18"/>
                <w:highlight w:val="yellow"/>
              </w:rPr>
            </w:pPr>
            <w:r>
              <w:rPr>
                <w:rFonts w:ascii="Calibri" w:hAnsi="Calibri" w:cs="Calibri"/>
                <w:color w:val="000000" w:themeColor="text1"/>
                <w:sz w:val="18"/>
                <w:szCs w:val="18"/>
              </w:rPr>
              <w:t>Not Service-</w:t>
            </w:r>
            <w:r w:rsidR="00744173" w:rsidRPr="001F29F9">
              <w:rPr>
                <w:rFonts w:ascii="Calibri" w:hAnsi="Calibri" w:cs="Calibri"/>
                <w:color w:val="000000" w:themeColor="text1"/>
                <w:sz w:val="18"/>
                <w:szCs w:val="18"/>
              </w:rPr>
              <w:t xml:space="preserve">Connected </w:t>
            </w:r>
            <w:r w:rsidR="00877F2F">
              <w:rPr>
                <w:rFonts w:ascii="Calibri" w:hAnsi="Calibri" w:cs="Calibri"/>
                <w:color w:val="000000" w:themeColor="text1"/>
                <w:sz w:val="18"/>
                <w:szCs w:val="18"/>
              </w:rPr>
              <w:t xml:space="preserve">(NSC) </w:t>
            </w:r>
            <w:r w:rsidR="00744173" w:rsidRPr="001F29F9">
              <w:rPr>
                <w:rFonts w:ascii="Calibri" w:hAnsi="Calibri" w:cs="Calibri"/>
                <w:color w:val="000000" w:themeColor="text1"/>
                <w:sz w:val="18"/>
                <w:szCs w:val="18"/>
              </w:rPr>
              <w:t xml:space="preserve">x </w:t>
            </w:r>
            <w:r w:rsidR="00744173">
              <w:rPr>
                <w:rFonts w:ascii="Calibri" w:hAnsi="Calibri" w:cs="Calibri"/>
                <w:color w:val="000000" w:themeColor="text1"/>
                <w:sz w:val="18"/>
                <w:szCs w:val="18"/>
              </w:rPr>
              <w:t>1</w:t>
            </w:r>
          </w:p>
        </w:tc>
        <w:tc>
          <w:tcPr>
            <w:tcW w:w="1031" w:type="dxa"/>
            <w:tcBorders>
              <w:left w:val="single" w:sz="4" w:space="0" w:color="auto"/>
            </w:tcBorders>
            <w:shd w:val="clear" w:color="auto" w:fill="FFFFFF" w:themeFill="background1"/>
            <w:vAlign w:val="center"/>
          </w:tcPr>
          <w:p w:rsidR="00744173" w:rsidRPr="001F29F9" w:rsidRDefault="00744173" w:rsidP="000C645A">
            <w:pPr>
              <w:contextualSpacing/>
              <w:rPr>
                <w:rFonts w:cs="Calibri"/>
                <w:color w:val="000000" w:themeColor="text1"/>
                <w:sz w:val="18"/>
                <w:szCs w:val="18"/>
                <w:highlight w:val="yellow"/>
              </w:rPr>
            </w:pPr>
            <w:r w:rsidRPr="00744173">
              <w:rPr>
                <w:rFonts w:cs="Calibri"/>
                <w:color w:val="000000" w:themeColor="text1"/>
                <w:sz w:val="18"/>
                <w:szCs w:val="18"/>
              </w:rPr>
              <w:t>20080809</w:t>
            </w:r>
          </w:p>
        </w:tc>
      </w:tr>
      <w:tr w:rsidR="007A65A9" w:rsidRPr="001F29F9" w:rsidTr="00596607">
        <w:trPr>
          <w:trHeight w:val="242"/>
        </w:trPr>
        <w:tc>
          <w:tcPr>
            <w:tcW w:w="3849" w:type="dxa"/>
            <w:gridSpan w:val="3"/>
            <w:tcBorders>
              <w:right w:val="thinThickThinSmallGap" w:sz="24" w:space="0" w:color="auto"/>
            </w:tcBorders>
            <w:shd w:val="clear" w:color="auto" w:fill="D9D9D9" w:themeFill="background1" w:themeFillShade="D9"/>
            <w:vAlign w:val="center"/>
          </w:tcPr>
          <w:p w:rsidR="007A65A9" w:rsidRPr="001F29F9" w:rsidRDefault="007A65A9"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lastRenderedPageBreak/>
              <w:t xml:space="preserve">Combined: </w:t>
            </w:r>
            <w:r w:rsidR="006458FD" w:rsidRPr="001F29F9">
              <w:rPr>
                <w:rFonts w:ascii="Calibri" w:hAnsi="Calibri" w:cs="Calibri"/>
                <w:b/>
                <w:color w:val="000000" w:themeColor="text1"/>
                <w:sz w:val="18"/>
                <w:szCs w:val="18"/>
              </w:rPr>
              <w:t xml:space="preserve"> </w:t>
            </w:r>
            <w:r w:rsidR="00643114">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59" w:type="dxa"/>
            <w:gridSpan w:val="4"/>
            <w:tcBorders>
              <w:left w:val="thinThickThinSmallGap" w:sz="24" w:space="0" w:color="auto"/>
            </w:tcBorders>
            <w:shd w:val="clear" w:color="auto" w:fill="D9D9D9" w:themeFill="background1" w:themeFillShade="D9"/>
            <w:vAlign w:val="center"/>
          </w:tcPr>
          <w:p w:rsidR="007A65A9" w:rsidRPr="001F29F9" w:rsidRDefault="007A65A9" w:rsidP="000C64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0D685A">
              <w:rPr>
                <w:rFonts w:ascii="Calibri" w:hAnsi="Calibri" w:cs="Calibri"/>
                <w:b/>
                <w:color w:val="000000" w:themeColor="text1"/>
                <w:sz w:val="18"/>
                <w:szCs w:val="18"/>
              </w:rPr>
              <w:t>3</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456410">
              <w:rPr>
                <w:rFonts w:ascii="Calibri" w:hAnsi="Calibri" w:cs="Calibri"/>
                <w:b/>
                <w:color w:val="000000" w:themeColor="text1"/>
                <w:sz w:val="18"/>
                <w:szCs w:val="18"/>
              </w:rPr>
              <w:t>*</w:t>
            </w:r>
          </w:p>
        </w:tc>
      </w:tr>
    </w:tbl>
    <w:p w:rsidR="00EF567B" w:rsidRDefault="00456410" w:rsidP="000C645A">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 xml:space="preserve">   </w:t>
      </w:r>
      <w:r w:rsidR="00735F33" w:rsidRPr="00735F33">
        <w:rPr>
          <w:color w:val="000000" w:themeColor="text1"/>
          <w:sz w:val="18"/>
          <w:szCs w:val="18"/>
        </w:rPr>
        <w:t>*</w:t>
      </w:r>
      <w:r>
        <w:rPr>
          <w:color w:val="000000" w:themeColor="text1"/>
          <w:sz w:val="18"/>
          <w:szCs w:val="18"/>
        </w:rPr>
        <w:t>VA Ratings shown above are based on the</w:t>
      </w:r>
      <w:r w:rsidR="00735F33" w:rsidRPr="00735F33">
        <w:rPr>
          <w:color w:val="000000" w:themeColor="text1"/>
          <w:sz w:val="18"/>
          <w:szCs w:val="18"/>
        </w:rPr>
        <w:t xml:space="preserve"> VA</w:t>
      </w:r>
      <w:r>
        <w:rPr>
          <w:color w:val="000000" w:themeColor="text1"/>
          <w:sz w:val="18"/>
          <w:szCs w:val="18"/>
        </w:rPr>
        <w:t xml:space="preserve"> </w:t>
      </w:r>
      <w:r w:rsidR="00735F33" w:rsidRPr="00735F33">
        <w:rPr>
          <w:color w:val="000000" w:themeColor="text1"/>
          <w:sz w:val="18"/>
          <w:szCs w:val="18"/>
        </w:rPr>
        <w:t>R</w:t>
      </w:r>
      <w:r>
        <w:rPr>
          <w:color w:val="000000" w:themeColor="text1"/>
          <w:sz w:val="18"/>
          <w:szCs w:val="18"/>
        </w:rPr>
        <w:t>ating Decisions of</w:t>
      </w:r>
      <w:r w:rsidR="00735F33" w:rsidRPr="00735F33">
        <w:rPr>
          <w:color w:val="000000" w:themeColor="text1"/>
          <w:sz w:val="18"/>
          <w:szCs w:val="18"/>
        </w:rPr>
        <w:t xml:space="preserve"> </w:t>
      </w:r>
      <w:r>
        <w:rPr>
          <w:color w:val="000000" w:themeColor="text1"/>
          <w:sz w:val="18"/>
          <w:szCs w:val="18"/>
        </w:rPr>
        <w:t xml:space="preserve">20081016 </w:t>
      </w:r>
      <w:r w:rsidRPr="00456410">
        <w:rPr>
          <w:color w:val="000000" w:themeColor="text1"/>
          <w:sz w:val="16"/>
          <w:szCs w:val="16"/>
        </w:rPr>
        <w:t>&amp;</w:t>
      </w:r>
      <w:r>
        <w:rPr>
          <w:color w:val="000000" w:themeColor="text1"/>
          <w:sz w:val="18"/>
          <w:szCs w:val="18"/>
        </w:rPr>
        <w:t xml:space="preserve"> </w:t>
      </w:r>
      <w:r w:rsidR="00735F33" w:rsidRPr="00735F33">
        <w:rPr>
          <w:color w:val="000000" w:themeColor="text1"/>
          <w:sz w:val="18"/>
          <w:szCs w:val="18"/>
        </w:rPr>
        <w:t>20081113</w:t>
      </w:r>
      <w:r>
        <w:rPr>
          <w:color w:val="000000" w:themeColor="text1"/>
          <w:sz w:val="18"/>
          <w:szCs w:val="18"/>
        </w:rPr>
        <w:t xml:space="preserve"> (most proximal to separation)</w:t>
      </w:r>
    </w:p>
    <w:p w:rsidR="00735F33" w:rsidRPr="00735F33" w:rsidRDefault="00735F33" w:rsidP="000C645A">
      <w:pPr>
        <w:pBdr>
          <w:bottom w:val="single" w:sz="12" w:space="1" w:color="auto"/>
        </w:pBdr>
        <w:tabs>
          <w:tab w:val="left" w:pos="288"/>
          <w:tab w:val="left" w:pos="4752"/>
        </w:tabs>
        <w:jc w:val="both"/>
        <w:rPr>
          <w:color w:val="000000" w:themeColor="text1"/>
          <w:sz w:val="18"/>
          <w:szCs w:val="18"/>
        </w:rPr>
      </w:pPr>
    </w:p>
    <w:p w:rsidR="00B52CBF" w:rsidRDefault="002C6E5B" w:rsidP="000C645A">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0A3FA5">
        <w:rPr>
          <w:color w:val="000000" w:themeColor="text1"/>
          <w:szCs w:val="24"/>
        </w:rPr>
        <w:t xml:space="preserve">  </w:t>
      </w:r>
      <w:r w:rsidR="00B52CBF" w:rsidRPr="00B505E9">
        <w:rPr>
          <w:color w:val="000000" w:themeColor="text1"/>
          <w:szCs w:val="24"/>
        </w:rPr>
        <w:t xml:space="preserve">The Board acknowledges the sentiment expressed </w:t>
      </w:r>
      <w:r w:rsidR="001C4E9F">
        <w:rPr>
          <w:color w:val="000000" w:themeColor="text1"/>
          <w:szCs w:val="24"/>
        </w:rPr>
        <w:t xml:space="preserve">by the </w:t>
      </w:r>
      <w:r w:rsidR="00B52CBF" w:rsidRPr="00B505E9">
        <w:rPr>
          <w:color w:val="000000" w:themeColor="text1"/>
          <w:szCs w:val="24"/>
        </w:rPr>
        <w:t>CI regarding the significant impairment wi</w:t>
      </w:r>
      <w:r w:rsidR="001C4E9F">
        <w:rPr>
          <w:color w:val="000000" w:themeColor="text1"/>
          <w:szCs w:val="24"/>
        </w:rPr>
        <w:t xml:space="preserve">th which his </w:t>
      </w:r>
      <w:r w:rsidR="00B52CBF" w:rsidRPr="00B505E9">
        <w:rPr>
          <w:color w:val="000000" w:themeColor="text1"/>
          <w:szCs w:val="24"/>
        </w:rPr>
        <w:t>condition</w:t>
      </w:r>
      <w:r w:rsidR="001C4E9F">
        <w:rPr>
          <w:color w:val="000000" w:themeColor="text1"/>
          <w:szCs w:val="24"/>
        </w:rPr>
        <w:t>s</w:t>
      </w:r>
      <w:r w:rsidR="00B52CBF" w:rsidRPr="00B505E9">
        <w:rPr>
          <w:color w:val="000000" w:themeColor="text1"/>
          <w:szCs w:val="24"/>
        </w:rPr>
        <w:t xml:space="preserve"> continue to burden him.  </w:t>
      </w:r>
      <w:r w:rsidR="00035907">
        <w:rPr>
          <w:color w:val="000000" w:themeColor="text1"/>
          <w:szCs w:val="24"/>
        </w:rPr>
        <w:t>H</w:t>
      </w:r>
      <w:r w:rsidR="00B52CBF" w:rsidRPr="00B505E9">
        <w:rPr>
          <w:color w:val="000000" w:themeColor="text1"/>
          <w:szCs w:val="24"/>
        </w:rPr>
        <w:t>owever, th</w:t>
      </w:r>
      <w:r w:rsidR="00035907">
        <w:rPr>
          <w:color w:val="000000" w:themeColor="text1"/>
          <w:szCs w:val="24"/>
        </w:rPr>
        <w:t>e</w:t>
      </w:r>
      <w:r w:rsidR="00B52CBF" w:rsidRPr="00B505E9">
        <w:rPr>
          <w:color w:val="000000" w:themeColor="text1"/>
          <w:szCs w:val="24"/>
        </w:rPr>
        <w:t xml:space="preserve"> </w:t>
      </w:r>
      <w:r w:rsidR="00035907">
        <w:rPr>
          <w:color w:val="000000" w:themeColor="text1"/>
          <w:szCs w:val="24"/>
        </w:rPr>
        <w:t>Disability Evaluation System (</w:t>
      </w:r>
      <w:r w:rsidR="00B52CBF" w:rsidRPr="00B505E9">
        <w:rPr>
          <w:color w:val="000000" w:themeColor="text1"/>
          <w:szCs w:val="24"/>
        </w:rPr>
        <w:t>DES</w:t>
      </w:r>
      <w:r w:rsidR="00035907">
        <w:rPr>
          <w:color w:val="000000" w:themeColor="text1"/>
          <w:szCs w:val="24"/>
        </w:rPr>
        <w:t>)</w:t>
      </w:r>
      <w:r w:rsidR="00B52CBF" w:rsidRPr="00B505E9">
        <w:rPr>
          <w:color w:val="000000" w:themeColor="text1"/>
          <w:szCs w:val="24"/>
        </w:rPr>
        <w:t xml:space="preserve"> has neither the role nor the authority to compensate service members for anticipated future severity or potential complications of conditions.  This role and authority is granted by Congress to the </w:t>
      </w:r>
      <w:r w:rsidR="008E6F7A">
        <w:rPr>
          <w:color w:val="000000" w:themeColor="text1"/>
          <w:szCs w:val="24"/>
        </w:rPr>
        <w:t xml:space="preserve">Department of </w:t>
      </w:r>
      <w:r w:rsidR="00B52CBF" w:rsidRPr="00B505E9">
        <w:rPr>
          <w:color w:val="000000" w:themeColor="text1"/>
          <w:szCs w:val="24"/>
        </w:rPr>
        <w:t>Veteran</w:t>
      </w:r>
      <w:r w:rsidR="00F37F3A">
        <w:rPr>
          <w:color w:val="000000" w:themeColor="text1"/>
          <w:szCs w:val="24"/>
        </w:rPr>
        <w:t>s’ A</w:t>
      </w:r>
      <w:r w:rsidR="008E6F7A">
        <w:rPr>
          <w:color w:val="000000" w:themeColor="text1"/>
          <w:szCs w:val="24"/>
        </w:rPr>
        <w:t xml:space="preserve">ffairs </w:t>
      </w:r>
      <w:r w:rsidR="00B52CBF" w:rsidRPr="00B505E9">
        <w:rPr>
          <w:color w:val="000000" w:themeColor="text1"/>
          <w:szCs w:val="24"/>
        </w:rPr>
        <w:t>(</w:t>
      </w:r>
      <w:r w:rsidR="008E6F7A">
        <w:rPr>
          <w:color w:val="000000" w:themeColor="text1"/>
          <w:szCs w:val="24"/>
        </w:rPr>
        <w:t>D</w:t>
      </w:r>
      <w:r w:rsidR="00B52CBF" w:rsidRPr="00B505E9">
        <w:rPr>
          <w:color w:val="000000" w:themeColor="text1"/>
          <w:szCs w:val="24"/>
        </w:rPr>
        <w:t xml:space="preserve">VA).  The </w:t>
      </w:r>
      <w:r w:rsidR="008E6F7A">
        <w:rPr>
          <w:color w:val="000000" w:themeColor="text1"/>
          <w:szCs w:val="24"/>
        </w:rPr>
        <w:t>D</w:t>
      </w:r>
      <w:r w:rsidR="00B52CBF" w:rsidRPr="00B505E9">
        <w:rPr>
          <w:color w:val="000000" w:themeColor="text1"/>
          <w:szCs w:val="24"/>
        </w:rPr>
        <w:t xml:space="preserve">VA is </w:t>
      </w:r>
      <w:r w:rsidR="008E6F7A">
        <w:rPr>
          <w:color w:val="000000" w:themeColor="text1"/>
          <w:szCs w:val="24"/>
        </w:rPr>
        <w:t>empowered to compensate service-</w:t>
      </w:r>
      <w:r w:rsidR="00B52CBF" w:rsidRPr="00B505E9">
        <w:rPr>
          <w:color w:val="000000" w:themeColor="text1"/>
          <w:szCs w:val="24"/>
        </w:rPr>
        <w:t xml:space="preserve">connected conditions and to periodically re-evaluate said conditions for the purpose of adjusting the </w:t>
      </w:r>
      <w:r w:rsidR="008E6F7A">
        <w:rPr>
          <w:color w:val="000000" w:themeColor="text1"/>
          <w:szCs w:val="24"/>
        </w:rPr>
        <w:t>V</w:t>
      </w:r>
      <w:r w:rsidR="00B52CBF" w:rsidRPr="00B505E9">
        <w:rPr>
          <w:color w:val="000000" w:themeColor="text1"/>
          <w:szCs w:val="24"/>
        </w:rPr>
        <w:t xml:space="preserve">eteran’s disability rating should </w:t>
      </w:r>
      <w:r w:rsidR="008E6F7A">
        <w:rPr>
          <w:color w:val="000000" w:themeColor="text1"/>
          <w:szCs w:val="24"/>
        </w:rPr>
        <w:t>the</w:t>
      </w:r>
      <w:r w:rsidR="00B52CBF" w:rsidRPr="00B505E9">
        <w:rPr>
          <w:color w:val="000000" w:themeColor="text1"/>
          <w:szCs w:val="24"/>
        </w:rPr>
        <w:t xml:space="preserve"> degree of impairment vary over time.  The Board</w:t>
      </w:r>
      <w:r w:rsidR="00035907">
        <w:rPr>
          <w:color w:val="000000" w:themeColor="text1"/>
          <w:szCs w:val="24"/>
        </w:rPr>
        <w:t xml:space="preserve">’s </w:t>
      </w:r>
      <w:r w:rsidR="00B52CBF" w:rsidRPr="00B505E9">
        <w:rPr>
          <w:color w:val="000000" w:themeColor="text1"/>
          <w:szCs w:val="24"/>
        </w:rPr>
        <w:t xml:space="preserve">authority resides in evaluating the fairness of DES fitness and </w:t>
      </w:r>
      <w:r w:rsidR="00035907">
        <w:rPr>
          <w:color w:val="000000" w:themeColor="text1"/>
          <w:szCs w:val="24"/>
        </w:rPr>
        <w:t xml:space="preserve">rating decisions </w:t>
      </w:r>
      <w:r w:rsidR="00B52CBF" w:rsidRPr="00B505E9">
        <w:rPr>
          <w:color w:val="000000" w:themeColor="text1"/>
          <w:szCs w:val="24"/>
        </w:rPr>
        <w:t>at the time of separation. Post-separation evidence is probative only to the extent that it reasonably reflects the disability and fitness implications at the time of separation.</w:t>
      </w:r>
    </w:p>
    <w:p w:rsidR="0027579F" w:rsidRDefault="0027579F" w:rsidP="000C645A">
      <w:pPr>
        <w:jc w:val="both"/>
        <w:rPr>
          <w:color w:val="000000" w:themeColor="text1"/>
          <w:szCs w:val="24"/>
        </w:rPr>
      </w:pPr>
    </w:p>
    <w:p w:rsidR="00B31962" w:rsidRPr="00C26D90" w:rsidRDefault="00FB7652" w:rsidP="00C26D90">
      <w:pPr>
        <w:jc w:val="both"/>
        <w:rPr>
          <w:color w:val="000000" w:themeColor="text1"/>
          <w:szCs w:val="24"/>
        </w:rPr>
      </w:pPr>
      <w:proofErr w:type="gramStart"/>
      <w:r w:rsidRPr="000C645A">
        <w:rPr>
          <w:color w:val="auto"/>
          <w:szCs w:val="24"/>
          <w:u w:val="single"/>
        </w:rPr>
        <w:t>Low back pain (LBP)</w:t>
      </w:r>
      <w:r w:rsidRPr="000C645A">
        <w:rPr>
          <w:color w:val="auto"/>
          <w:szCs w:val="24"/>
        </w:rPr>
        <w:t>.</w:t>
      </w:r>
      <w:proofErr w:type="gramEnd"/>
      <w:r w:rsidRPr="000C645A">
        <w:rPr>
          <w:color w:val="auto"/>
          <w:szCs w:val="24"/>
        </w:rPr>
        <w:t xml:space="preserve">  The CI has had a long history of LBP.</w:t>
      </w:r>
      <w:r w:rsidR="006A410C" w:rsidRPr="000C645A">
        <w:rPr>
          <w:color w:val="auto"/>
          <w:szCs w:val="24"/>
        </w:rPr>
        <w:t xml:space="preserve">  Magnetic resona</w:t>
      </w:r>
      <w:r w:rsidR="00877F2F">
        <w:rPr>
          <w:color w:val="auto"/>
          <w:szCs w:val="24"/>
        </w:rPr>
        <w:t xml:space="preserve">nce imaging (MRI) </w:t>
      </w:r>
      <w:r w:rsidR="006A410C" w:rsidRPr="000C645A">
        <w:rPr>
          <w:color w:val="auto"/>
          <w:szCs w:val="24"/>
        </w:rPr>
        <w:t xml:space="preserve">showed evidence of DDD </w:t>
      </w:r>
      <w:r w:rsidR="0027579F" w:rsidRPr="000C645A">
        <w:rPr>
          <w:color w:val="auto"/>
          <w:szCs w:val="24"/>
        </w:rPr>
        <w:t>at L4-L5 and L5-S1.</w:t>
      </w:r>
      <w:r w:rsidR="006A410C" w:rsidRPr="000C645A">
        <w:rPr>
          <w:color w:val="auto"/>
          <w:szCs w:val="24"/>
        </w:rPr>
        <w:t xml:space="preserve">  He </w:t>
      </w:r>
      <w:r w:rsidR="00877F2F">
        <w:rPr>
          <w:color w:val="auto"/>
          <w:szCs w:val="24"/>
        </w:rPr>
        <w:t>was</w:t>
      </w:r>
      <w:r w:rsidR="006A410C" w:rsidRPr="000C645A">
        <w:rPr>
          <w:color w:val="auto"/>
          <w:szCs w:val="24"/>
        </w:rPr>
        <w:t xml:space="preserve"> treated with physical therapy (PT), chiropractic manipulation, and e</w:t>
      </w:r>
      <w:r w:rsidR="00E76843" w:rsidRPr="000C645A">
        <w:rPr>
          <w:color w:val="auto"/>
          <w:szCs w:val="24"/>
        </w:rPr>
        <w:t>pidural steroid injection</w:t>
      </w:r>
      <w:r w:rsidR="006A410C" w:rsidRPr="000C645A">
        <w:rPr>
          <w:color w:val="auto"/>
          <w:szCs w:val="24"/>
        </w:rPr>
        <w:t xml:space="preserve">s.  </w:t>
      </w:r>
      <w:r w:rsidR="004B5D58" w:rsidRPr="000C645A">
        <w:rPr>
          <w:color w:val="auto"/>
          <w:szCs w:val="24"/>
        </w:rPr>
        <w:t>In spite of treatment, his problems with LBP persisted, and an MEB was initiated.  At his February 2008 MEB exam,</w:t>
      </w:r>
      <w:r w:rsidR="000C645A">
        <w:rPr>
          <w:color w:val="auto"/>
          <w:szCs w:val="24"/>
        </w:rPr>
        <w:t xml:space="preserve"> he reported that the pain</w:t>
      </w:r>
      <w:r w:rsidR="000C645A" w:rsidRPr="000C645A">
        <w:rPr>
          <w:rFonts w:cs="Calibri"/>
          <w:color w:val="auto"/>
          <w:szCs w:val="24"/>
        </w:rPr>
        <w:t xml:space="preserve"> was exacerbated by activities such as standing, jumping, running, or prolonged sitting.</w:t>
      </w:r>
      <w:r w:rsidR="000C645A">
        <w:rPr>
          <w:color w:val="auto"/>
          <w:szCs w:val="24"/>
        </w:rPr>
        <w:t xml:space="preserve">  </w:t>
      </w:r>
      <w:r w:rsidR="000C645A" w:rsidRPr="000C645A">
        <w:rPr>
          <w:rFonts w:cs="Calibri"/>
          <w:color w:val="auto"/>
          <w:szCs w:val="24"/>
        </w:rPr>
        <w:t>He denied any lower extremity (LE) weakness.</w:t>
      </w:r>
      <w:r w:rsidR="000C645A">
        <w:rPr>
          <w:rFonts w:cs="Calibri"/>
          <w:color w:val="auto"/>
          <w:szCs w:val="24"/>
        </w:rPr>
        <w:t xml:space="preserve">  The CI</w:t>
      </w:r>
      <w:r w:rsidR="000C645A" w:rsidRPr="000C645A">
        <w:rPr>
          <w:rFonts w:cs="Calibri"/>
          <w:color w:val="auto"/>
          <w:szCs w:val="24"/>
        </w:rPr>
        <w:t xml:space="preserve"> was using </w:t>
      </w:r>
      <w:proofErr w:type="spellStart"/>
      <w:r w:rsidR="008E6F7A">
        <w:rPr>
          <w:rFonts w:cs="Calibri"/>
          <w:color w:val="auto"/>
          <w:szCs w:val="24"/>
        </w:rPr>
        <w:t>M</w:t>
      </w:r>
      <w:r w:rsidR="000C645A">
        <w:rPr>
          <w:rFonts w:cs="Calibri"/>
          <w:color w:val="auto"/>
          <w:szCs w:val="24"/>
        </w:rPr>
        <w:t>eloxicam</w:t>
      </w:r>
      <w:proofErr w:type="spellEnd"/>
      <w:r w:rsidR="000C645A">
        <w:rPr>
          <w:rFonts w:cs="Calibri"/>
          <w:color w:val="auto"/>
          <w:szCs w:val="24"/>
        </w:rPr>
        <w:t xml:space="preserve"> (</w:t>
      </w:r>
      <w:proofErr w:type="spellStart"/>
      <w:r w:rsidR="000C645A" w:rsidRPr="000C645A">
        <w:rPr>
          <w:rFonts w:cs="Calibri"/>
          <w:color w:val="auto"/>
          <w:szCs w:val="24"/>
        </w:rPr>
        <w:t>Mobic</w:t>
      </w:r>
      <w:proofErr w:type="spellEnd"/>
      <w:r w:rsidR="000C645A" w:rsidRPr="000C645A">
        <w:rPr>
          <w:rFonts w:cs="Calibri"/>
          <w:color w:val="auto"/>
          <w:szCs w:val="24"/>
        </w:rPr>
        <w:t>) to help control the pain.</w:t>
      </w:r>
      <w:r w:rsidR="000C645A">
        <w:rPr>
          <w:rFonts w:cs="Calibri"/>
          <w:color w:val="auto"/>
          <w:szCs w:val="24"/>
        </w:rPr>
        <w:t xml:space="preserve">  On examination of the back, there was some tenderness to palpation (TTP) but no </w:t>
      </w:r>
      <w:r w:rsidR="00014412">
        <w:rPr>
          <w:color w:val="000000" w:themeColor="text1"/>
          <w:szCs w:val="24"/>
        </w:rPr>
        <w:t xml:space="preserve">spasm or guarding.  </w:t>
      </w:r>
      <w:r w:rsidR="000C645A">
        <w:rPr>
          <w:color w:val="000000" w:themeColor="text1"/>
          <w:szCs w:val="24"/>
        </w:rPr>
        <w:t>His gait was normal, and s</w:t>
      </w:r>
      <w:r w:rsidR="00014412">
        <w:rPr>
          <w:color w:val="000000" w:themeColor="text1"/>
          <w:szCs w:val="24"/>
        </w:rPr>
        <w:t>traight leg raise</w:t>
      </w:r>
      <w:r w:rsidR="000C645A">
        <w:rPr>
          <w:color w:val="000000" w:themeColor="text1"/>
          <w:szCs w:val="24"/>
        </w:rPr>
        <w:t xml:space="preserve"> (SLR) was </w:t>
      </w:r>
      <w:r w:rsidR="00014412">
        <w:rPr>
          <w:color w:val="000000" w:themeColor="text1"/>
          <w:szCs w:val="24"/>
        </w:rPr>
        <w:t>negative</w:t>
      </w:r>
      <w:r w:rsidR="00877F2F">
        <w:rPr>
          <w:color w:val="000000" w:themeColor="text1"/>
          <w:szCs w:val="24"/>
        </w:rPr>
        <w:t>.</w:t>
      </w:r>
      <w:r w:rsidR="00C26D90">
        <w:rPr>
          <w:color w:val="000000" w:themeColor="text1"/>
          <w:szCs w:val="24"/>
        </w:rPr>
        <w:t xml:space="preserve"> </w:t>
      </w:r>
      <w:r w:rsidR="00AD1310">
        <w:rPr>
          <w:color w:val="000000" w:themeColor="text1"/>
          <w:szCs w:val="24"/>
        </w:rPr>
        <w:t xml:space="preserve">In August 2008, </w:t>
      </w:r>
      <w:r w:rsidR="008E6F7A">
        <w:rPr>
          <w:color w:val="000000" w:themeColor="text1"/>
          <w:szCs w:val="24"/>
        </w:rPr>
        <w:t>5</w:t>
      </w:r>
      <w:r w:rsidR="00AD1310">
        <w:rPr>
          <w:color w:val="000000" w:themeColor="text1"/>
          <w:szCs w:val="24"/>
        </w:rPr>
        <w:t xml:space="preserve"> days after separation, the CI had a VA </w:t>
      </w:r>
      <w:r w:rsidR="008E6F7A">
        <w:rPr>
          <w:color w:val="000000" w:themeColor="text1"/>
          <w:szCs w:val="24"/>
        </w:rPr>
        <w:t>C</w:t>
      </w:r>
      <w:r w:rsidR="00AD1310">
        <w:rPr>
          <w:color w:val="000000" w:themeColor="text1"/>
          <w:szCs w:val="24"/>
        </w:rPr>
        <w:t xml:space="preserve">ompensation and </w:t>
      </w:r>
      <w:r w:rsidR="008E6F7A">
        <w:rPr>
          <w:color w:val="000000" w:themeColor="text1"/>
          <w:szCs w:val="24"/>
        </w:rPr>
        <w:t>P</w:t>
      </w:r>
      <w:r w:rsidR="00AD1310">
        <w:rPr>
          <w:color w:val="000000" w:themeColor="text1"/>
          <w:szCs w:val="24"/>
        </w:rPr>
        <w:t>ension (C&amp;P) exam.  His gait was normal and there was no spasm, guarding, or TTP.  Sensation, motor function, reflexes, and SLR were normal.</w:t>
      </w:r>
      <w:r w:rsidR="008E6F7A">
        <w:rPr>
          <w:color w:val="000000" w:themeColor="text1"/>
          <w:szCs w:val="24"/>
        </w:rPr>
        <w:t xml:space="preserve">  Range-of-</w:t>
      </w:r>
      <w:r w:rsidR="00C26D90">
        <w:rPr>
          <w:color w:val="000000" w:themeColor="text1"/>
          <w:szCs w:val="24"/>
        </w:rPr>
        <w:t xml:space="preserve">motion (ROM) is summarized below.  </w:t>
      </w:r>
      <w:r w:rsidR="00AD1310">
        <w:rPr>
          <w:color w:val="000000" w:themeColor="text1"/>
          <w:szCs w:val="24"/>
        </w:rPr>
        <w:t xml:space="preserve">  </w:t>
      </w:r>
    </w:p>
    <w:p w:rsidR="00B52CBF" w:rsidRDefault="00B52CBF" w:rsidP="000C645A">
      <w:pPr>
        <w:jc w:val="left"/>
        <w:rPr>
          <w:rFonts w:eastAsia="HiddenHorzOCR"/>
          <w:color w:val="000000" w:themeColor="text1"/>
          <w:szCs w:val="24"/>
          <w:u w:val="single"/>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2"/>
        <w:gridCol w:w="1754"/>
        <w:gridCol w:w="2116"/>
        <w:gridCol w:w="2160"/>
      </w:tblGrid>
      <w:tr w:rsidR="00896027" w:rsidRPr="001F29F9" w:rsidTr="00450BCB">
        <w:tc>
          <w:tcPr>
            <w:tcW w:w="223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96027" w:rsidRPr="001F29F9" w:rsidRDefault="00896027" w:rsidP="000C645A">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175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96027" w:rsidRPr="001F29F9" w:rsidRDefault="00896027" w:rsidP="00C26D90">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 xml:space="preserve">PT ~ </w:t>
            </w:r>
            <w:r>
              <w:rPr>
                <w:rFonts w:asciiTheme="minorHAnsi" w:eastAsia="Calibri" w:hAnsiTheme="minorHAnsi"/>
                <w:color w:val="000000" w:themeColor="text1"/>
                <w:sz w:val="18"/>
                <w:szCs w:val="18"/>
              </w:rPr>
              <w:t>6</w:t>
            </w:r>
            <w:r w:rsidRPr="001F29F9">
              <w:rPr>
                <w:rFonts w:asciiTheme="minorHAnsi" w:eastAsia="Calibri" w:hAnsiTheme="minorHAnsi"/>
                <w:color w:val="000000" w:themeColor="text1"/>
                <w:sz w:val="18"/>
                <w:szCs w:val="18"/>
              </w:rPr>
              <w:t xml:space="preserve"> </w:t>
            </w:r>
            <w:r w:rsidR="00C26D90">
              <w:rPr>
                <w:rFonts w:asciiTheme="minorHAnsi" w:eastAsia="Calibri" w:hAnsiTheme="minorHAnsi"/>
                <w:color w:val="000000" w:themeColor="text1"/>
                <w:sz w:val="18"/>
                <w:szCs w:val="18"/>
              </w:rPr>
              <w:t>m</w:t>
            </w:r>
            <w:r w:rsidRPr="001F29F9">
              <w:rPr>
                <w:rFonts w:asciiTheme="minorHAnsi" w:eastAsia="Calibri" w:hAnsiTheme="minorHAnsi"/>
                <w:color w:val="000000" w:themeColor="text1"/>
                <w:sz w:val="18"/>
                <w:szCs w:val="18"/>
              </w:rPr>
              <w:t>o. Pre-Sep</w:t>
            </w:r>
          </w:p>
          <w:p w:rsidR="00896027" w:rsidRPr="001F29F9" w:rsidRDefault="00896027" w:rsidP="00C26D90">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80201</w:t>
            </w:r>
            <w:r w:rsidRPr="001F29F9">
              <w:rPr>
                <w:rFonts w:asciiTheme="minorHAnsi" w:eastAsia="Calibri" w:hAnsiTheme="minorHAnsi"/>
                <w:color w:val="000000" w:themeColor="text1"/>
                <w:sz w:val="18"/>
                <w:szCs w:val="18"/>
              </w:rPr>
              <w:t>)</w:t>
            </w:r>
          </w:p>
        </w:tc>
        <w:tc>
          <w:tcPr>
            <w:tcW w:w="2116" w:type="dxa"/>
            <w:tcBorders>
              <w:top w:val="single" w:sz="4" w:space="0" w:color="000000"/>
              <w:left w:val="single" w:sz="4" w:space="0" w:color="000000"/>
              <w:bottom w:val="single" w:sz="4" w:space="0" w:color="000000"/>
              <w:right w:val="single" w:sz="4" w:space="0" w:color="000000"/>
            </w:tcBorders>
            <w:shd w:val="pct15" w:color="auto" w:fill="auto"/>
          </w:tcPr>
          <w:p w:rsidR="00896027" w:rsidRDefault="00896027" w:rsidP="00C26D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 xml:space="preserve">VA C&amp;P ~ </w:t>
            </w:r>
            <w:r w:rsidR="00C26D90">
              <w:rPr>
                <w:rFonts w:asciiTheme="minorHAnsi" w:eastAsia="Calibri" w:hAnsiTheme="minorHAnsi"/>
                <w:color w:val="000000" w:themeColor="text1"/>
                <w:sz w:val="18"/>
                <w:szCs w:val="18"/>
              </w:rPr>
              <w:t>6</w:t>
            </w:r>
            <w:r>
              <w:rPr>
                <w:rFonts w:asciiTheme="minorHAnsi" w:eastAsia="Calibri" w:hAnsiTheme="minorHAnsi"/>
                <w:color w:val="000000" w:themeColor="text1"/>
                <w:sz w:val="18"/>
                <w:szCs w:val="18"/>
              </w:rPr>
              <w:t xml:space="preserve"> </w:t>
            </w:r>
            <w:r w:rsidR="00C26D90">
              <w:rPr>
                <w:rFonts w:asciiTheme="minorHAnsi" w:eastAsia="Calibri" w:hAnsiTheme="minorHAnsi"/>
                <w:color w:val="000000" w:themeColor="text1"/>
                <w:sz w:val="18"/>
                <w:szCs w:val="18"/>
              </w:rPr>
              <w:t>m</w:t>
            </w:r>
            <w:r>
              <w:rPr>
                <w:rFonts w:asciiTheme="minorHAnsi" w:eastAsia="Calibri" w:hAnsiTheme="minorHAnsi"/>
                <w:color w:val="000000" w:themeColor="text1"/>
                <w:sz w:val="18"/>
                <w:szCs w:val="18"/>
              </w:rPr>
              <w:t>o. Pre-Sep</w:t>
            </w:r>
          </w:p>
          <w:p w:rsidR="00896027" w:rsidRPr="001F29F9" w:rsidRDefault="00896027" w:rsidP="00C26D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(20080</w:t>
            </w:r>
            <w:r w:rsidR="00C26D90">
              <w:rPr>
                <w:rFonts w:asciiTheme="minorHAnsi" w:eastAsia="Calibri" w:hAnsiTheme="minorHAnsi"/>
                <w:color w:val="000000" w:themeColor="text1"/>
                <w:sz w:val="18"/>
                <w:szCs w:val="18"/>
              </w:rPr>
              <w:t>128</w:t>
            </w:r>
            <w:r>
              <w:rPr>
                <w:rFonts w:asciiTheme="minorHAnsi" w:eastAsia="Calibri" w:hAnsiTheme="minorHAnsi"/>
                <w:color w:val="000000" w:themeColor="text1"/>
                <w:sz w:val="18"/>
                <w:szCs w:val="18"/>
              </w:rPr>
              <w:t>)</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96027" w:rsidRPr="001F29F9" w:rsidRDefault="00896027" w:rsidP="00C26D90">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 xml:space="preserve">5 </w:t>
            </w:r>
            <w:r w:rsidR="00C26D90">
              <w:rPr>
                <w:rFonts w:asciiTheme="minorHAnsi" w:eastAsia="Calibri" w:hAnsiTheme="minorHAnsi"/>
                <w:color w:val="000000" w:themeColor="text1"/>
                <w:sz w:val="18"/>
                <w:szCs w:val="18"/>
              </w:rPr>
              <w:t>d</w:t>
            </w:r>
            <w:r>
              <w:rPr>
                <w:rFonts w:asciiTheme="minorHAnsi" w:eastAsia="Calibri" w:hAnsiTheme="minorHAnsi"/>
                <w:color w:val="000000" w:themeColor="text1"/>
                <w:sz w:val="18"/>
                <w:szCs w:val="18"/>
              </w:rPr>
              <w:t>ays</w:t>
            </w:r>
            <w:r w:rsidRPr="001F29F9">
              <w:rPr>
                <w:rFonts w:asciiTheme="minorHAnsi" w:eastAsia="Calibri" w:hAnsiTheme="minorHAnsi"/>
                <w:color w:val="000000" w:themeColor="text1"/>
                <w:sz w:val="18"/>
                <w:szCs w:val="18"/>
              </w:rPr>
              <w:t xml:space="preserve"> </w:t>
            </w:r>
            <w:r w:rsidR="00C26D90">
              <w:rPr>
                <w:rFonts w:asciiTheme="minorHAnsi" w:eastAsia="Calibri" w:hAnsiTheme="minorHAnsi"/>
                <w:color w:val="000000" w:themeColor="text1"/>
                <w:sz w:val="18"/>
                <w:szCs w:val="18"/>
              </w:rPr>
              <w:t>Post</w:t>
            </w:r>
            <w:r w:rsidRPr="001F29F9">
              <w:rPr>
                <w:rFonts w:asciiTheme="minorHAnsi" w:eastAsia="Calibri" w:hAnsiTheme="minorHAnsi"/>
                <w:color w:val="000000" w:themeColor="text1"/>
                <w:sz w:val="18"/>
                <w:szCs w:val="18"/>
              </w:rPr>
              <w:t>-Sep</w:t>
            </w:r>
          </w:p>
          <w:p w:rsidR="00896027" w:rsidRPr="001F29F9" w:rsidRDefault="00896027" w:rsidP="00C26D90">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80809</w:t>
            </w:r>
            <w:r w:rsidRPr="001F29F9">
              <w:rPr>
                <w:rFonts w:asciiTheme="minorHAnsi" w:eastAsia="Calibri" w:hAnsiTheme="minorHAnsi"/>
                <w:color w:val="000000" w:themeColor="text1"/>
                <w:sz w:val="18"/>
                <w:szCs w:val="18"/>
              </w:rPr>
              <w:t>)</w:t>
            </w:r>
          </w:p>
        </w:tc>
      </w:tr>
      <w:tr w:rsidR="00896027" w:rsidRPr="001F29F9" w:rsidTr="00450BCB">
        <w:tc>
          <w:tcPr>
            <w:tcW w:w="2232" w:type="dxa"/>
            <w:tcBorders>
              <w:top w:val="single" w:sz="4" w:space="0" w:color="000000"/>
              <w:left w:val="single" w:sz="4" w:space="0" w:color="000000"/>
              <w:bottom w:val="single" w:sz="4" w:space="0" w:color="000000"/>
              <w:right w:val="single" w:sz="4" w:space="0" w:color="000000"/>
            </w:tcBorders>
            <w:vAlign w:val="center"/>
            <w:hideMark/>
          </w:tcPr>
          <w:p w:rsidR="00896027" w:rsidRPr="001F29F9" w:rsidRDefault="00896027" w:rsidP="000C645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w:t>
            </w:r>
            <w:r w:rsidR="0036126C">
              <w:rPr>
                <w:rFonts w:eastAsia="Calibri" w:cstheme="minorHAnsi"/>
                <w:color w:val="000000" w:themeColor="text1"/>
                <w:sz w:val="18"/>
                <w:szCs w:val="18"/>
              </w:rPr>
              <w:t>ion</w:t>
            </w:r>
            <w:r w:rsidR="00450BCB">
              <w:rPr>
                <w:rFonts w:eastAsia="Calibri" w:cstheme="minorHAnsi"/>
                <w:color w:val="000000" w:themeColor="text1"/>
                <w:sz w:val="18"/>
                <w:szCs w:val="18"/>
              </w:rPr>
              <w:t xml:space="preserve"> (</w:t>
            </w:r>
            <w:r w:rsidR="00450BCB">
              <w:rPr>
                <w:rFonts w:eastAsia="Calibri"/>
                <w:color w:val="000000" w:themeColor="text1"/>
                <w:sz w:val="18"/>
                <w:szCs w:val="18"/>
              </w:rPr>
              <w:t>90</w:t>
            </w:r>
            <w:r w:rsidR="00450BCB" w:rsidRPr="001F29F9">
              <w:rPr>
                <w:rFonts w:eastAsia="Calibri"/>
                <w:color w:val="000000" w:themeColor="text1"/>
                <w:sz w:val="18"/>
                <w:szCs w:val="18"/>
              </w:rPr>
              <w:t>⁰</w:t>
            </w:r>
            <w:r w:rsidR="00450BCB">
              <w:rPr>
                <w:rFonts w:eastAsia="Calibri"/>
                <w:color w:val="000000" w:themeColor="text1"/>
                <w:sz w:val="18"/>
                <w:szCs w:val="18"/>
              </w:rPr>
              <w:t xml:space="preserve"> is normal</w:t>
            </w:r>
            <w:r w:rsidRPr="001F29F9">
              <w:rPr>
                <w:rFonts w:eastAsia="Calibri" w:cstheme="minorHAnsi"/>
                <w:color w:val="000000" w:themeColor="text1"/>
                <w:sz w:val="18"/>
                <w:szCs w:val="18"/>
              </w:rPr>
              <w:t>)</w:t>
            </w:r>
          </w:p>
        </w:tc>
        <w:tc>
          <w:tcPr>
            <w:tcW w:w="1754" w:type="dxa"/>
            <w:tcBorders>
              <w:top w:val="single" w:sz="4" w:space="0" w:color="000000"/>
              <w:left w:val="single" w:sz="4" w:space="0" w:color="000000"/>
              <w:bottom w:val="single" w:sz="4" w:space="0" w:color="000000"/>
              <w:right w:val="single" w:sz="4" w:space="0" w:color="000000"/>
            </w:tcBorders>
            <w:vAlign w:val="center"/>
          </w:tcPr>
          <w:p w:rsidR="00896027" w:rsidRPr="001F29F9" w:rsidRDefault="00896027" w:rsidP="00C26D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40</w:t>
            </w:r>
            <w:r w:rsidRPr="001F29F9">
              <w:rPr>
                <w:rFonts w:asciiTheme="minorHAnsi" w:eastAsia="Calibri" w:hAnsiTheme="minorHAnsi"/>
                <w:color w:val="000000" w:themeColor="text1"/>
                <w:sz w:val="18"/>
                <w:szCs w:val="18"/>
              </w:rPr>
              <w:t>⁰</w:t>
            </w:r>
          </w:p>
        </w:tc>
        <w:tc>
          <w:tcPr>
            <w:tcW w:w="2116" w:type="dxa"/>
            <w:tcBorders>
              <w:top w:val="single" w:sz="4" w:space="0" w:color="000000"/>
              <w:left w:val="single" w:sz="4" w:space="0" w:color="000000"/>
              <w:bottom w:val="single" w:sz="4" w:space="0" w:color="000000"/>
              <w:right w:val="single" w:sz="4" w:space="0" w:color="000000"/>
            </w:tcBorders>
          </w:tcPr>
          <w:p w:rsidR="00896027" w:rsidRDefault="00896027" w:rsidP="00C26D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896027" w:rsidRPr="001F29F9" w:rsidRDefault="00896027" w:rsidP="00C26D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r>
      <w:tr w:rsidR="00896027" w:rsidRPr="001F29F9" w:rsidTr="00450BCB">
        <w:tc>
          <w:tcPr>
            <w:tcW w:w="2232" w:type="dxa"/>
            <w:tcBorders>
              <w:top w:val="single" w:sz="4" w:space="0" w:color="000000"/>
              <w:left w:val="single" w:sz="4" w:space="0" w:color="000000"/>
              <w:bottom w:val="single" w:sz="4" w:space="0" w:color="000000"/>
              <w:right w:val="single" w:sz="4" w:space="0" w:color="000000"/>
            </w:tcBorders>
            <w:vAlign w:val="center"/>
            <w:hideMark/>
          </w:tcPr>
          <w:p w:rsidR="00896027" w:rsidRPr="001F29F9" w:rsidRDefault="00896027" w:rsidP="00450BCB">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w:t>
            </w:r>
            <w:r w:rsidR="0036126C">
              <w:rPr>
                <w:rFonts w:eastAsia="Calibri" w:cstheme="minorHAnsi"/>
                <w:color w:val="000000" w:themeColor="text1"/>
                <w:sz w:val="18"/>
                <w:szCs w:val="18"/>
              </w:rPr>
              <w:t>ension</w:t>
            </w:r>
            <w:r w:rsidRPr="001F29F9">
              <w:rPr>
                <w:rFonts w:eastAsia="Calibri" w:cstheme="minorHAnsi"/>
                <w:color w:val="000000" w:themeColor="text1"/>
                <w:sz w:val="18"/>
                <w:szCs w:val="18"/>
              </w:rPr>
              <w:t xml:space="preserve"> (3</w:t>
            </w:r>
            <w:r w:rsidR="00450BCB">
              <w:rPr>
                <w:rFonts w:eastAsia="Calibri"/>
                <w:color w:val="000000" w:themeColor="text1"/>
                <w:sz w:val="18"/>
                <w:szCs w:val="18"/>
              </w:rPr>
              <w:t>0</w:t>
            </w:r>
            <w:r w:rsidR="00450BCB" w:rsidRPr="001F29F9">
              <w:rPr>
                <w:rFonts w:eastAsia="Calibri"/>
                <w:color w:val="000000" w:themeColor="text1"/>
                <w:sz w:val="18"/>
                <w:szCs w:val="18"/>
              </w:rPr>
              <w:t>⁰</w:t>
            </w:r>
            <w:r w:rsidR="00450BCB">
              <w:rPr>
                <w:rFonts w:eastAsia="Calibri"/>
                <w:color w:val="000000" w:themeColor="text1"/>
                <w:sz w:val="18"/>
                <w:szCs w:val="18"/>
              </w:rPr>
              <w:t xml:space="preserve"> is normal</w:t>
            </w:r>
            <w:r w:rsidR="00450BCB" w:rsidRPr="001F29F9">
              <w:rPr>
                <w:rFonts w:eastAsia="Calibri" w:cstheme="minorHAnsi"/>
                <w:color w:val="000000" w:themeColor="text1"/>
                <w:sz w:val="18"/>
                <w:szCs w:val="18"/>
              </w:rPr>
              <w:t>)</w:t>
            </w:r>
          </w:p>
        </w:tc>
        <w:tc>
          <w:tcPr>
            <w:tcW w:w="1754" w:type="dxa"/>
            <w:tcBorders>
              <w:top w:val="single" w:sz="4" w:space="0" w:color="000000"/>
              <w:left w:val="single" w:sz="4" w:space="0" w:color="000000"/>
              <w:bottom w:val="single" w:sz="4" w:space="0" w:color="000000"/>
              <w:right w:val="single" w:sz="4" w:space="0" w:color="000000"/>
            </w:tcBorders>
            <w:vAlign w:val="center"/>
          </w:tcPr>
          <w:p w:rsidR="00896027" w:rsidRPr="001F29F9" w:rsidRDefault="00896027" w:rsidP="00C26D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15</w:t>
            </w:r>
            <w:r w:rsidRPr="001F29F9">
              <w:rPr>
                <w:rFonts w:asciiTheme="minorHAnsi" w:eastAsia="Calibri" w:hAnsiTheme="minorHAnsi"/>
                <w:color w:val="000000" w:themeColor="text1"/>
                <w:sz w:val="18"/>
                <w:szCs w:val="18"/>
              </w:rPr>
              <w:t>⁰</w:t>
            </w:r>
          </w:p>
        </w:tc>
        <w:tc>
          <w:tcPr>
            <w:tcW w:w="2116" w:type="dxa"/>
            <w:tcBorders>
              <w:top w:val="single" w:sz="4" w:space="0" w:color="000000"/>
              <w:left w:val="single" w:sz="4" w:space="0" w:color="000000"/>
              <w:bottom w:val="single" w:sz="4" w:space="0" w:color="000000"/>
              <w:right w:val="single" w:sz="4" w:space="0" w:color="000000"/>
            </w:tcBorders>
          </w:tcPr>
          <w:p w:rsidR="00896027" w:rsidRDefault="00896027" w:rsidP="00C26D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896027" w:rsidRPr="001F29F9" w:rsidRDefault="00896027" w:rsidP="00C26D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896027" w:rsidRPr="001F29F9" w:rsidTr="00450BCB">
        <w:tc>
          <w:tcPr>
            <w:tcW w:w="2232" w:type="dxa"/>
            <w:tcBorders>
              <w:top w:val="single" w:sz="4" w:space="0" w:color="000000"/>
              <w:left w:val="single" w:sz="4" w:space="0" w:color="000000"/>
              <w:bottom w:val="single" w:sz="4" w:space="0" w:color="000000"/>
              <w:right w:val="single" w:sz="4" w:space="0" w:color="000000"/>
            </w:tcBorders>
            <w:vAlign w:val="center"/>
            <w:hideMark/>
          </w:tcPr>
          <w:p w:rsidR="00896027" w:rsidRPr="001F29F9" w:rsidRDefault="00896027" w:rsidP="00450BCB">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w:t>
            </w:r>
            <w:r w:rsidR="00450BCB">
              <w:rPr>
                <w:rFonts w:eastAsia="Calibri" w:cstheme="minorHAnsi"/>
                <w:color w:val="000000" w:themeColor="text1"/>
                <w:sz w:val="18"/>
                <w:szCs w:val="18"/>
              </w:rPr>
              <w:t xml:space="preserve">ombined </w:t>
            </w:r>
            <w:r w:rsidR="00450BCB" w:rsidRPr="001F29F9">
              <w:rPr>
                <w:rFonts w:eastAsia="Calibri" w:cstheme="minorHAnsi"/>
                <w:color w:val="000000" w:themeColor="text1"/>
                <w:sz w:val="18"/>
                <w:szCs w:val="18"/>
              </w:rPr>
              <w:t>(</w:t>
            </w:r>
            <w:r w:rsidR="00450BCB">
              <w:rPr>
                <w:rFonts w:eastAsia="Calibri" w:cstheme="minorHAnsi"/>
                <w:color w:val="000000" w:themeColor="text1"/>
                <w:sz w:val="18"/>
                <w:szCs w:val="18"/>
              </w:rPr>
              <w:t>24</w:t>
            </w:r>
            <w:r w:rsidR="00450BCB">
              <w:rPr>
                <w:rFonts w:eastAsia="Calibri"/>
                <w:color w:val="000000" w:themeColor="text1"/>
                <w:sz w:val="18"/>
                <w:szCs w:val="18"/>
              </w:rPr>
              <w:t>0</w:t>
            </w:r>
            <w:r w:rsidR="00450BCB" w:rsidRPr="001F29F9">
              <w:rPr>
                <w:rFonts w:eastAsia="Calibri"/>
                <w:color w:val="000000" w:themeColor="text1"/>
                <w:sz w:val="18"/>
                <w:szCs w:val="18"/>
              </w:rPr>
              <w:t>⁰</w:t>
            </w:r>
            <w:r w:rsidR="00450BCB">
              <w:rPr>
                <w:rFonts w:eastAsia="Calibri"/>
                <w:color w:val="000000" w:themeColor="text1"/>
                <w:sz w:val="18"/>
                <w:szCs w:val="18"/>
              </w:rPr>
              <w:t xml:space="preserve"> is normal</w:t>
            </w:r>
            <w:r w:rsidR="00450BCB" w:rsidRPr="001F29F9">
              <w:rPr>
                <w:rFonts w:eastAsia="Calibri" w:cstheme="minorHAnsi"/>
                <w:color w:val="000000" w:themeColor="text1"/>
                <w:sz w:val="18"/>
                <w:szCs w:val="18"/>
              </w:rPr>
              <w:t>)</w:t>
            </w:r>
          </w:p>
        </w:tc>
        <w:tc>
          <w:tcPr>
            <w:tcW w:w="1754" w:type="dxa"/>
            <w:tcBorders>
              <w:top w:val="single" w:sz="4" w:space="0" w:color="000000"/>
              <w:left w:val="single" w:sz="4" w:space="0" w:color="000000"/>
              <w:bottom w:val="single" w:sz="4" w:space="0" w:color="000000"/>
              <w:right w:val="single" w:sz="4" w:space="0" w:color="000000"/>
            </w:tcBorders>
            <w:vAlign w:val="center"/>
          </w:tcPr>
          <w:p w:rsidR="00896027" w:rsidRPr="001F29F9" w:rsidRDefault="00896027" w:rsidP="00C26D90">
            <w:pPr>
              <w:rPr>
                <w:rFonts w:asciiTheme="minorHAnsi" w:hAnsiTheme="minorHAnsi"/>
                <w:color w:val="000000" w:themeColor="text1"/>
                <w:sz w:val="18"/>
                <w:szCs w:val="18"/>
              </w:rPr>
            </w:pPr>
            <w:r>
              <w:rPr>
                <w:rFonts w:asciiTheme="minorHAnsi" w:eastAsia="Calibri" w:hAnsiTheme="minorHAnsi"/>
                <w:color w:val="000000" w:themeColor="text1"/>
                <w:sz w:val="18"/>
                <w:szCs w:val="18"/>
              </w:rPr>
              <w:t>160</w:t>
            </w:r>
            <w:r w:rsidRPr="001F29F9">
              <w:rPr>
                <w:rFonts w:asciiTheme="minorHAnsi" w:eastAsia="Calibri" w:hAnsiTheme="minorHAnsi"/>
                <w:color w:val="000000" w:themeColor="text1"/>
                <w:sz w:val="18"/>
                <w:szCs w:val="18"/>
              </w:rPr>
              <w:t>⁰</w:t>
            </w:r>
          </w:p>
        </w:tc>
        <w:tc>
          <w:tcPr>
            <w:tcW w:w="2116" w:type="dxa"/>
            <w:tcBorders>
              <w:top w:val="single" w:sz="4" w:space="0" w:color="000000"/>
              <w:left w:val="single" w:sz="4" w:space="0" w:color="000000"/>
              <w:bottom w:val="single" w:sz="4" w:space="0" w:color="000000"/>
              <w:right w:val="single" w:sz="4" w:space="0" w:color="000000"/>
            </w:tcBorders>
          </w:tcPr>
          <w:p w:rsidR="00896027" w:rsidRDefault="00896027" w:rsidP="00C26D90">
            <w:pP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240</w:t>
            </w:r>
            <w:r w:rsidRPr="001F29F9">
              <w:rPr>
                <w:rFonts w:asciiTheme="minorHAnsi" w:eastAsia="Calibri" w:hAnsiTheme="minorHAnsi"/>
                <w:color w:val="000000" w:themeColor="text1"/>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896027" w:rsidRPr="001F29F9" w:rsidRDefault="00896027" w:rsidP="00C26D90">
            <w:pPr>
              <w:rPr>
                <w:rFonts w:asciiTheme="minorHAnsi" w:hAnsiTheme="minorHAnsi"/>
                <w:color w:val="000000" w:themeColor="text1"/>
                <w:sz w:val="18"/>
                <w:szCs w:val="18"/>
              </w:rPr>
            </w:pPr>
            <w:r>
              <w:rPr>
                <w:rFonts w:asciiTheme="minorHAnsi" w:eastAsia="Calibri" w:hAnsiTheme="minorHAnsi"/>
                <w:color w:val="000000" w:themeColor="text1"/>
                <w:sz w:val="18"/>
                <w:szCs w:val="18"/>
              </w:rPr>
              <w:t>220</w:t>
            </w:r>
            <w:r w:rsidRPr="001F29F9">
              <w:rPr>
                <w:rFonts w:asciiTheme="minorHAnsi" w:eastAsia="Calibri" w:hAnsiTheme="minorHAnsi"/>
                <w:color w:val="000000" w:themeColor="text1"/>
                <w:sz w:val="18"/>
                <w:szCs w:val="18"/>
              </w:rPr>
              <w:t>⁰</w:t>
            </w:r>
          </w:p>
        </w:tc>
      </w:tr>
      <w:tr w:rsidR="00896027" w:rsidRPr="001F29F9" w:rsidTr="00450BCB">
        <w:tc>
          <w:tcPr>
            <w:tcW w:w="2232" w:type="dxa"/>
            <w:tcBorders>
              <w:top w:val="single" w:sz="4" w:space="0" w:color="000000"/>
              <w:left w:val="single" w:sz="4" w:space="0" w:color="000000"/>
              <w:bottom w:val="single" w:sz="4" w:space="0" w:color="000000"/>
              <w:right w:val="single" w:sz="4" w:space="0" w:color="000000"/>
            </w:tcBorders>
            <w:vAlign w:val="center"/>
            <w:hideMark/>
          </w:tcPr>
          <w:p w:rsidR="00896027" w:rsidRPr="001F29F9" w:rsidRDefault="00896027" w:rsidP="000C645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1754" w:type="dxa"/>
            <w:tcBorders>
              <w:top w:val="single" w:sz="4" w:space="0" w:color="000000"/>
              <w:left w:val="single" w:sz="4" w:space="0" w:color="000000"/>
              <w:bottom w:val="single" w:sz="4" w:space="0" w:color="000000"/>
              <w:right w:val="single" w:sz="4" w:space="0" w:color="000000"/>
            </w:tcBorders>
            <w:vAlign w:val="center"/>
          </w:tcPr>
          <w:p w:rsidR="00896027" w:rsidRPr="001F29F9" w:rsidRDefault="00896027" w:rsidP="00C26D90">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w:t>
            </w:r>
            <w:r w:rsidRPr="001F29F9">
              <w:rPr>
                <w:rFonts w:asciiTheme="minorHAnsi" w:eastAsiaTheme="minorHAnsi" w:hAnsiTheme="minorHAnsi"/>
                <w:color w:val="000000" w:themeColor="text1"/>
                <w:sz w:val="18"/>
                <w:szCs w:val="18"/>
              </w:rPr>
              <w:t>%</w:t>
            </w:r>
          </w:p>
        </w:tc>
        <w:tc>
          <w:tcPr>
            <w:tcW w:w="2116" w:type="dxa"/>
            <w:tcBorders>
              <w:top w:val="single" w:sz="4" w:space="0" w:color="000000"/>
              <w:left w:val="single" w:sz="4" w:space="0" w:color="000000"/>
              <w:bottom w:val="single" w:sz="4" w:space="0" w:color="000000"/>
              <w:right w:val="single" w:sz="4" w:space="0" w:color="000000"/>
            </w:tcBorders>
          </w:tcPr>
          <w:p w:rsidR="00896027" w:rsidRDefault="00896027" w:rsidP="000C645A">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0%</w:t>
            </w:r>
          </w:p>
        </w:tc>
        <w:tc>
          <w:tcPr>
            <w:tcW w:w="2160" w:type="dxa"/>
            <w:tcBorders>
              <w:top w:val="single" w:sz="4" w:space="0" w:color="000000"/>
              <w:left w:val="single" w:sz="4" w:space="0" w:color="000000"/>
              <w:bottom w:val="single" w:sz="4" w:space="0" w:color="000000"/>
              <w:right w:val="single" w:sz="4" w:space="0" w:color="000000"/>
            </w:tcBorders>
            <w:vAlign w:val="center"/>
          </w:tcPr>
          <w:p w:rsidR="00896027" w:rsidRPr="001F29F9" w:rsidRDefault="00896027" w:rsidP="00C26D90">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p>
        </w:tc>
      </w:tr>
    </w:tbl>
    <w:p w:rsidR="00B52CBF" w:rsidRDefault="00B52CBF" w:rsidP="000C645A">
      <w:pPr>
        <w:jc w:val="left"/>
        <w:rPr>
          <w:rFonts w:eastAsia="HiddenHorzOCR"/>
          <w:color w:val="000000" w:themeColor="text1"/>
          <w:szCs w:val="24"/>
          <w:u w:val="single"/>
        </w:rPr>
      </w:pPr>
    </w:p>
    <w:p w:rsidR="003B1B75" w:rsidRDefault="007112F4" w:rsidP="003B1B75">
      <w:pPr>
        <w:jc w:val="both"/>
        <w:rPr>
          <w:rFonts w:eastAsia="HiddenHorzOCR"/>
          <w:color w:val="000000" w:themeColor="text1"/>
          <w:szCs w:val="24"/>
        </w:rPr>
      </w:pPr>
      <w:r>
        <w:rPr>
          <w:rFonts w:eastAsia="HiddenHorzOCR"/>
          <w:color w:val="000000" w:themeColor="text1"/>
          <w:szCs w:val="24"/>
        </w:rPr>
        <w:t xml:space="preserve"> </w:t>
      </w:r>
      <w:r w:rsidR="003B1B75">
        <w:rPr>
          <w:rFonts w:eastAsia="HiddenHorzOCR"/>
          <w:color w:val="000000" w:themeColor="text1"/>
          <w:szCs w:val="24"/>
        </w:rPr>
        <w:t xml:space="preserve"> </w:t>
      </w:r>
    </w:p>
    <w:p w:rsidR="003B1B75" w:rsidRDefault="003B1B75" w:rsidP="003B1B75">
      <w:pPr>
        <w:jc w:val="both"/>
        <w:rPr>
          <w:rFonts w:eastAsia="HiddenHorzOCR"/>
          <w:color w:val="000000" w:themeColor="text1"/>
          <w:szCs w:val="24"/>
        </w:rPr>
      </w:pPr>
    </w:p>
    <w:p w:rsidR="003B1B75" w:rsidRDefault="003B1B75" w:rsidP="003B1B75">
      <w:pPr>
        <w:jc w:val="both"/>
        <w:rPr>
          <w:rFonts w:eastAsia="HiddenHorzOCR"/>
          <w:color w:val="000000" w:themeColor="text1"/>
          <w:szCs w:val="24"/>
        </w:rPr>
      </w:pPr>
    </w:p>
    <w:p w:rsidR="003B1B75" w:rsidRDefault="003B1B75" w:rsidP="003B1B75">
      <w:pPr>
        <w:jc w:val="both"/>
        <w:rPr>
          <w:rFonts w:eastAsia="HiddenHorzOCR"/>
          <w:color w:val="000000" w:themeColor="text1"/>
          <w:szCs w:val="24"/>
        </w:rPr>
      </w:pPr>
    </w:p>
    <w:p w:rsidR="003B1B75" w:rsidRDefault="003B1B75" w:rsidP="003B1B75">
      <w:pPr>
        <w:jc w:val="both"/>
        <w:rPr>
          <w:rFonts w:eastAsia="HiddenHorzOCR"/>
          <w:color w:val="000000" w:themeColor="text1"/>
          <w:szCs w:val="24"/>
        </w:rPr>
      </w:pPr>
    </w:p>
    <w:p w:rsidR="003B1B75" w:rsidRDefault="003B1B75" w:rsidP="003B1B75">
      <w:pPr>
        <w:jc w:val="both"/>
        <w:rPr>
          <w:rFonts w:eastAsia="HiddenHorzOCR"/>
          <w:color w:val="000000" w:themeColor="text1"/>
          <w:szCs w:val="24"/>
        </w:rPr>
      </w:pPr>
    </w:p>
    <w:p w:rsidR="00BA0A47" w:rsidRDefault="003B1B75" w:rsidP="00C26D90">
      <w:pPr>
        <w:jc w:val="both"/>
        <w:rPr>
          <w:color w:val="000000" w:themeColor="text1"/>
          <w:szCs w:val="24"/>
        </w:rPr>
      </w:pPr>
      <w:r w:rsidRPr="001A1F3E">
        <w:rPr>
          <w:rFonts w:eastAsia="HiddenHorzOCR"/>
          <w:color w:val="000000" w:themeColor="text1"/>
          <w:szCs w:val="24"/>
        </w:rPr>
        <w:t xml:space="preserve">The Board carefully reviewed all evidentiary information available.  </w:t>
      </w:r>
      <w:r w:rsidR="006209B0">
        <w:rPr>
          <w:rFonts w:eastAsia="HiddenHorzOCR"/>
          <w:color w:val="000000" w:themeColor="text1"/>
          <w:szCs w:val="24"/>
        </w:rPr>
        <w:t xml:space="preserve">After consideration of </w:t>
      </w:r>
      <w:r w:rsidRPr="001A1F3E">
        <w:rPr>
          <w:rFonts w:eastAsia="HiddenHorzOCR"/>
          <w:color w:val="000000" w:themeColor="text1"/>
          <w:szCs w:val="24"/>
        </w:rPr>
        <w:t xml:space="preserve">the </w:t>
      </w:r>
      <w:r w:rsidR="001A1F3E" w:rsidRPr="001A1F3E">
        <w:rPr>
          <w:rFonts w:eastAsia="HiddenHorzOCR"/>
          <w:color w:val="000000" w:themeColor="text1"/>
          <w:szCs w:val="24"/>
        </w:rPr>
        <w:t>three ROM exams, i</w:t>
      </w:r>
      <w:r w:rsidRPr="001A1F3E">
        <w:rPr>
          <w:rFonts w:eastAsia="HiddenHorzOCR"/>
          <w:color w:val="000000" w:themeColor="text1"/>
          <w:szCs w:val="24"/>
        </w:rPr>
        <w:t xml:space="preserve">t was determined that the August 2008 C&amp;P exam had greatest probative value.  This was a very thorough examination, and was performed </w:t>
      </w:r>
      <w:r w:rsidR="001A1F3E" w:rsidRPr="001A1F3E">
        <w:rPr>
          <w:rFonts w:eastAsia="HiddenHorzOCR"/>
          <w:color w:val="000000" w:themeColor="text1"/>
          <w:szCs w:val="24"/>
        </w:rPr>
        <w:t xml:space="preserve">just </w:t>
      </w:r>
      <w:r w:rsidR="008E6F7A">
        <w:rPr>
          <w:rFonts w:eastAsia="HiddenHorzOCR"/>
          <w:color w:val="000000" w:themeColor="text1"/>
          <w:szCs w:val="24"/>
        </w:rPr>
        <w:t>5</w:t>
      </w:r>
      <w:r w:rsidR="001A1F3E" w:rsidRPr="001A1F3E">
        <w:rPr>
          <w:rFonts w:eastAsia="HiddenHorzOCR"/>
          <w:color w:val="000000" w:themeColor="text1"/>
          <w:szCs w:val="24"/>
        </w:rPr>
        <w:t xml:space="preserve"> days</w:t>
      </w:r>
      <w:r w:rsidRPr="001A1F3E">
        <w:rPr>
          <w:rFonts w:eastAsia="HiddenHorzOCR"/>
          <w:color w:val="000000" w:themeColor="text1"/>
          <w:szCs w:val="24"/>
        </w:rPr>
        <w:t xml:space="preserve"> after separation.</w:t>
      </w:r>
      <w:r w:rsidR="001A1F3E" w:rsidRPr="001A1F3E">
        <w:rPr>
          <w:rFonts w:eastAsia="HiddenHorzOCR"/>
          <w:color w:val="000000" w:themeColor="text1"/>
          <w:szCs w:val="24"/>
        </w:rPr>
        <w:t xml:space="preserve">  Based on that exam, and IAW the V</w:t>
      </w:r>
      <w:r w:rsidR="00F37F3A">
        <w:rPr>
          <w:rFonts w:eastAsia="HiddenHorzOCR"/>
          <w:color w:val="000000" w:themeColor="text1"/>
          <w:szCs w:val="24"/>
        </w:rPr>
        <w:t>A</w:t>
      </w:r>
      <w:r w:rsidR="001A1F3E" w:rsidRPr="001A1F3E">
        <w:rPr>
          <w:rFonts w:eastAsia="HiddenHorzOCR"/>
          <w:color w:val="000000" w:themeColor="text1"/>
          <w:szCs w:val="24"/>
        </w:rPr>
        <w:t xml:space="preserve"> Schedule for Rating Disabilities (VASRD)</w:t>
      </w:r>
      <w:r w:rsidR="001A1F3E" w:rsidRPr="001A1F3E">
        <w:rPr>
          <w:rFonts w:eastAsia="Calibri"/>
          <w:color w:val="000000" w:themeColor="text1"/>
          <w:szCs w:val="24"/>
        </w:rPr>
        <w:t xml:space="preserve"> §4.71a</w:t>
      </w:r>
      <w:r w:rsidR="001A1F3E" w:rsidRPr="001A1F3E">
        <w:rPr>
          <w:rFonts w:eastAsia="HiddenHorzOCR"/>
          <w:color w:val="000000" w:themeColor="text1"/>
          <w:szCs w:val="24"/>
        </w:rPr>
        <w:t xml:space="preserve">, </w:t>
      </w:r>
      <w:r w:rsidR="001A1F3E">
        <w:rPr>
          <w:rFonts w:eastAsia="HiddenHorzOCR"/>
          <w:color w:val="000000" w:themeColor="text1"/>
          <w:szCs w:val="24"/>
        </w:rPr>
        <w:t xml:space="preserve">a disability </w:t>
      </w:r>
      <w:r w:rsidR="001A1F3E" w:rsidRPr="001A1F3E">
        <w:rPr>
          <w:rFonts w:eastAsia="HiddenHorzOCR"/>
          <w:color w:val="000000" w:themeColor="text1"/>
          <w:szCs w:val="24"/>
        </w:rPr>
        <w:t>rating</w:t>
      </w:r>
      <w:r w:rsidR="001A1F3E">
        <w:rPr>
          <w:rFonts w:eastAsia="HiddenHorzOCR"/>
          <w:color w:val="000000" w:themeColor="text1"/>
          <w:szCs w:val="24"/>
        </w:rPr>
        <w:t xml:space="preserve"> of 10% is warranted due to combined thoracolumbar ROM greater than 120 degrees but not greater than 235 degrees.</w:t>
      </w:r>
      <w:r w:rsidR="006209B0">
        <w:rPr>
          <w:rFonts w:eastAsia="HiddenHorzOCR"/>
          <w:color w:val="000000" w:themeColor="text1"/>
          <w:szCs w:val="24"/>
        </w:rPr>
        <w:t xml:space="preserve">  </w:t>
      </w:r>
      <w:r w:rsidR="002C44E1">
        <w:rPr>
          <w:rFonts w:eastAsia="HiddenHorzOCR"/>
          <w:color w:val="000000" w:themeColor="text1"/>
          <w:szCs w:val="24"/>
        </w:rPr>
        <w:t>T</w:t>
      </w:r>
      <w:r w:rsidR="006209B0">
        <w:rPr>
          <w:rFonts w:eastAsia="HiddenHorzOCR"/>
          <w:color w:val="000000" w:themeColor="text1"/>
          <w:szCs w:val="24"/>
        </w:rPr>
        <w:t xml:space="preserve">he evidence in the </w:t>
      </w:r>
      <w:r w:rsidR="002C44E1">
        <w:rPr>
          <w:rFonts w:eastAsia="HiddenHorzOCR"/>
          <w:color w:val="000000" w:themeColor="text1"/>
          <w:szCs w:val="24"/>
        </w:rPr>
        <w:t xml:space="preserve">treatment </w:t>
      </w:r>
      <w:r w:rsidR="006209B0">
        <w:rPr>
          <w:rFonts w:eastAsia="HiddenHorzOCR"/>
          <w:color w:val="000000" w:themeColor="text1"/>
          <w:szCs w:val="24"/>
        </w:rPr>
        <w:t>record</w:t>
      </w:r>
      <w:r w:rsidR="002C44E1">
        <w:rPr>
          <w:rFonts w:eastAsia="HiddenHorzOCR"/>
          <w:color w:val="000000" w:themeColor="text1"/>
          <w:szCs w:val="24"/>
        </w:rPr>
        <w:t xml:space="preserve"> does not show </w:t>
      </w:r>
      <w:r w:rsidR="006209B0">
        <w:rPr>
          <w:rFonts w:eastAsia="HiddenHorzOCR"/>
          <w:color w:val="000000" w:themeColor="text1"/>
          <w:szCs w:val="24"/>
        </w:rPr>
        <w:t>sufficient justification for a rating greater than 10%.  A</w:t>
      </w:r>
      <w:r w:rsidR="00C26D90">
        <w:rPr>
          <w:color w:val="000000" w:themeColor="text1"/>
          <w:szCs w:val="24"/>
        </w:rPr>
        <w:t>fter due deliberation</w:t>
      </w:r>
      <w:r w:rsidR="00A424ED">
        <w:rPr>
          <w:color w:val="000000" w:themeColor="text1"/>
          <w:szCs w:val="24"/>
        </w:rPr>
        <w:t xml:space="preserve">, </w:t>
      </w:r>
      <w:r w:rsidR="00C26D90">
        <w:rPr>
          <w:color w:val="000000" w:themeColor="text1"/>
          <w:szCs w:val="24"/>
        </w:rPr>
        <w:t xml:space="preserve">the board unanimously </w:t>
      </w:r>
      <w:r w:rsidR="00A424ED">
        <w:rPr>
          <w:color w:val="000000" w:themeColor="text1"/>
          <w:szCs w:val="24"/>
        </w:rPr>
        <w:t xml:space="preserve">recommends </w:t>
      </w:r>
      <w:r w:rsidR="00C26D90">
        <w:rPr>
          <w:color w:val="000000" w:themeColor="text1"/>
          <w:szCs w:val="24"/>
        </w:rPr>
        <w:t>a rating</w:t>
      </w:r>
      <w:r w:rsidR="00A424ED">
        <w:rPr>
          <w:color w:val="000000" w:themeColor="text1"/>
          <w:szCs w:val="24"/>
        </w:rPr>
        <w:t xml:space="preserve"> of 10% for the LBP </w:t>
      </w:r>
      <w:r w:rsidR="00437122">
        <w:rPr>
          <w:color w:val="000000" w:themeColor="text1"/>
          <w:szCs w:val="24"/>
        </w:rPr>
        <w:t xml:space="preserve">condition </w:t>
      </w:r>
      <w:r w:rsidR="00437122" w:rsidRPr="001A1F3E">
        <w:rPr>
          <w:rFonts w:eastAsia="HiddenHorzOCR"/>
          <w:color w:val="000000" w:themeColor="text1"/>
          <w:szCs w:val="24"/>
        </w:rPr>
        <w:t xml:space="preserve">IAW </w:t>
      </w:r>
      <w:r w:rsidR="00437122">
        <w:rPr>
          <w:rFonts w:eastAsia="HiddenHorzOCR"/>
          <w:color w:val="000000" w:themeColor="text1"/>
          <w:szCs w:val="24"/>
        </w:rPr>
        <w:t>VASRD</w:t>
      </w:r>
      <w:r w:rsidR="00437122" w:rsidRPr="001A1F3E">
        <w:rPr>
          <w:rFonts w:eastAsia="Calibri"/>
          <w:color w:val="000000" w:themeColor="text1"/>
          <w:szCs w:val="24"/>
        </w:rPr>
        <w:t xml:space="preserve"> §4.71a</w:t>
      </w:r>
      <w:r w:rsidR="00437122">
        <w:rPr>
          <w:rFonts w:eastAsia="Calibri"/>
          <w:color w:val="000000" w:themeColor="text1"/>
          <w:szCs w:val="24"/>
        </w:rPr>
        <w:t>.</w:t>
      </w:r>
    </w:p>
    <w:p w:rsidR="00BA0A47" w:rsidRDefault="00BA0A47" w:rsidP="00C26D90">
      <w:pPr>
        <w:jc w:val="both"/>
        <w:rPr>
          <w:color w:val="000000" w:themeColor="text1"/>
          <w:szCs w:val="24"/>
        </w:rPr>
      </w:pPr>
    </w:p>
    <w:p w:rsidR="00C26D90" w:rsidRPr="006209B0" w:rsidRDefault="00C26D90" w:rsidP="00C26D90">
      <w:pPr>
        <w:jc w:val="both"/>
        <w:rPr>
          <w:rFonts w:eastAsia="HiddenHorzOCR"/>
          <w:color w:val="000000" w:themeColor="text1"/>
          <w:szCs w:val="24"/>
        </w:rPr>
      </w:pPr>
      <w:r>
        <w:rPr>
          <w:color w:val="000000" w:themeColor="text1"/>
          <w:szCs w:val="24"/>
        </w:rPr>
        <w:t>The</w:t>
      </w:r>
      <w:r w:rsidR="00A424ED">
        <w:rPr>
          <w:color w:val="000000" w:themeColor="text1"/>
          <w:szCs w:val="24"/>
        </w:rPr>
        <w:t xml:space="preserve"> Board then directed its attention to the matter of the </w:t>
      </w:r>
      <w:r w:rsidR="00BA0A47">
        <w:rPr>
          <w:color w:val="000000" w:themeColor="text1"/>
          <w:szCs w:val="24"/>
        </w:rPr>
        <w:t xml:space="preserve">lumbar </w:t>
      </w:r>
      <w:r w:rsidR="00A424ED">
        <w:rPr>
          <w:color w:val="000000" w:themeColor="text1"/>
          <w:szCs w:val="24"/>
        </w:rPr>
        <w:t>radiculopathy.</w:t>
      </w:r>
      <w:r w:rsidR="00BA0A47">
        <w:rPr>
          <w:color w:val="000000" w:themeColor="text1"/>
          <w:szCs w:val="24"/>
        </w:rPr>
        <w:t xml:space="preserve">  Although the CI reported occasional radicular symptoms, there was no objective evidence of a ratable neurologic deficit.  At the August 2008 C&amp;P exam, just </w:t>
      </w:r>
      <w:r w:rsidR="00910B12">
        <w:rPr>
          <w:color w:val="000000" w:themeColor="text1"/>
          <w:szCs w:val="24"/>
        </w:rPr>
        <w:t>5</w:t>
      </w:r>
      <w:r w:rsidR="00BA0A47">
        <w:rPr>
          <w:color w:val="000000" w:themeColor="text1"/>
          <w:szCs w:val="24"/>
        </w:rPr>
        <w:t xml:space="preserve"> days after separation from service, his gait was normal and there was no spasm, guarding, or TTP.  Sensation, motor function, reflexes, and SLR were all normal.  The Board unanimously agree</w:t>
      </w:r>
      <w:r w:rsidR="00685DE6">
        <w:rPr>
          <w:color w:val="000000" w:themeColor="text1"/>
          <w:szCs w:val="24"/>
        </w:rPr>
        <w:t>d</w:t>
      </w:r>
      <w:r w:rsidR="00BA0A47">
        <w:rPr>
          <w:color w:val="000000" w:themeColor="text1"/>
          <w:szCs w:val="24"/>
        </w:rPr>
        <w:t xml:space="preserve"> that </w:t>
      </w:r>
      <w:r w:rsidR="00273574">
        <w:rPr>
          <w:color w:val="000000" w:themeColor="text1"/>
          <w:szCs w:val="24"/>
        </w:rPr>
        <w:t>the</w:t>
      </w:r>
      <w:r w:rsidR="00BA0A47">
        <w:rPr>
          <w:color w:val="000000" w:themeColor="text1"/>
          <w:szCs w:val="24"/>
        </w:rPr>
        <w:t xml:space="preserve"> radicul</w:t>
      </w:r>
      <w:r w:rsidR="00362F2F">
        <w:rPr>
          <w:color w:val="000000" w:themeColor="text1"/>
          <w:szCs w:val="24"/>
        </w:rPr>
        <w:t>opathy</w:t>
      </w:r>
      <w:r w:rsidR="00BA0A47">
        <w:rPr>
          <w:color w:val="000000" w:themeColor="text1"/>
          <w:szCs w:val="24"/>
        </w:rPr>
        <w:t xml:space="preserve"> w</w:t>
      </w:r>
      <w:r w:rsidR="00362F2F">
        <w:rPr>
          <w:color w:val="000000" w:themeColor="text1"/>
          <w:szCs w:val="24"/>
        </w:rPr>
        <w:t>as</w:t>
      </w:r>
      <w:r w:rsidR="00BA0A47">
        <w:rPr>
          <w:color w:val="000000" w:themeColor="text1"/>
          <w:szCs w:val="24"/>
        </w:rPr>
        <w:t xml:space="preserve"> not unfitting at the time of separation.</w:t>
      </w:r>
      <w:r>
        <w:rPr>
          <w:color w:val="000000" w:themeColor="text1"/>
          <w:szCs w:val="24"/>
        </w:rPr>
        <w:t xml:space="preserve">    </w:t>
      </w:r>
    </w:p>
    <w:p w:rsidR="00C26D90" w:rsidRDefault="006209B0" w:rsidP="000C645A">
      <w:pPr>
        <w:jc w:val="left"/>
        <w:rPr>
          <w:rFonts w:eastAsia="HiddenHorzOCR"/>
          <w:color w:val="000000" w:themeColor="text1"/>
          <w:szCs w:val="24"/>
        </w:rPr>
      </w:pPr>
      <w:r>
        <w:rPr>
          <w:rFonts w:eastAsia="HiddenHorzOCR"/>
          <w:color w:val="000000" w:themeColor="text1"/>
          <w:szCs w:val="24"/>
        </w:rPr>
        <w:t xml:space="preserve">  </w:t>
      </w:r>
      <w:r w:rsidRPr="001A1F3E">
        <w:rPr>
          <w:rFonts w:eastAsia="HiddenHorzOCR"/>
          <w:color w:val="000000" w:themeColor="text1"/>
          <w:szCs w:val="24"/>
        </w:rPr>
        <w:t xml:space="preserve">   </w:t>
      </w:r>
    </w:p>
    <w:p w:rsidR="00273574" w:rsidRPr="004F5996" w:rsidRDefault="00273574" w:rsidP="00685DE6">
      <w:pPr>
        <w:jc w:val="both"/>
        <w:rPr>
          <w:rFonts w:eastAsia="HiddenHorzOCR"/>
          <w:color w:val="000000" w:themeColor="text1"/>
          <w:szCs w:val="24"/>
          <w:u w:val="single"/>
        </w:rPr>
      </w:pPr>
      <w:proofErr w:type="gramStart"/>
      <w:r>
        <w:rPr>
          <w:rFonts w:eastAsia="HiddenHorzOCR"/>
          <w:color w:val="000000" w:themeColor="text1"/>
          <w:szCs w:val="24"/>
          <w:u w:val="single"/>
        </w:rPr>
        <w:lastRenderedPageBreak/>
        <w:t xml:space="preserve">Mental </w:t>
      </w:r>
      <w:r w:rsidRPr="001F29F9">
        <w:rPr>
          <w:rFonts w:eastAsia="HiddenHorzOCR"/>
          <w:color w:val="000000" w:themeColor="text1"/>
          <w:szCs w:val="24"/>
          <w:u w:val="single"/>
        </w:rPr>
        <w:t>Condition</w:t>
      </w:r>
      <w:r w:rsidRPr="001F29F9">
        <w:rPr>
          <w:rFonts w:eastAsia="HiddenHorzOCR"/>
          <w:color w:val="000000" w:themeColor="text1"/>
          <w:szCs w:val="24"/>
        </w:rPr>
        <w:t>.</w:t>
      </w:r>
      <w:proofErr w:type="gramEnd"/>
      <w:r>
        <w:rPr>
          <w:rFonts w:eastAsia="HiddenHorzOCR"/>
          <w:color w:val="000000" w:themeColor="text1"/>
          <w:szCs w:val="24"/>
        </w:rPr>
        <w:t xml:space="preserve">  The CI contends that his mental condition (MDD) was misdiagnosed, and should have been found unf</w:t>
      </w:r>
      <w:r w:rsidR="00362F2F">
        <w:rPr>
          <w:rFonts w:eastAsia="HiddenHorzOCR"/>
          <w:color w:val="000000" w:themeColor="text1"/>
          <w:szCs w:val="24"/>
        </w:rPr>
        <w:t>itting</w:t>
      </w:r>
      <w:r>
        <w:rPr>
          <w:rFonts w:eastAsia="HiddenHorzOCR"/>
          <w:color w:val="000000" w:themeColor="text1"/>
          <w:szCs w:val="24"/>
        </w:rPr>
        <w:t xml:space="preserve">.  This matter was carefully </w:t>
      </w:r>
      <w:r w:rsidRPr="001F29F9">
        <w:rPr>
          <w:color w:val="000000" w:themeColor="text1"/>
          <w:szCs w:val="24"/>
        </w:rPr>
        <w:t>reviewed by the action officer and considered by the Board.</w:t>
      </w:r>
      <w:r w:rsidR="004F5996">
        <w:rPr>
          <w:color w:val="000000" w:themeColor="text1"/>
          <w:szCs w:val="24"/>
        </w:rPr>
        <w:t xml:space="preserve">  The treatment record does not show </w:t>
      </w:r>
      <w:r w:rsidR="004F5996" w:rsidRPr="004F5996">
        <w:rPr>
          <w:color w:val="000000" w:themeColor="text1"/>
          <w:szCs w:val="24"/>
        </w:rPr>
        <w:t xml:space="preserve">sufficient evidence that the mental condition caused any significant interference with the satisfactory performance of military duties.  </w:t>
      </w:r>
      <w:r w:rsidR="002C44E1">
        <w:rPr>
          <w:color w:val="000000" w:themeColor="text1"/>
          <w:szCs w:val="24"/>
        </w:rPr>
        <w:t xml:space="preserve">Even if it had been diagnosed </w:t>
      </w:r>
      <w:r w:rsidR="00437122">
        <w:rPr>
          <w:color w:val="000000" w:themeColor="text1"/>
          <w:szCs w:val="24"/>
        </w:rPr>
        <w:t>differently</w:t>
      </w:r>
      <w:r w:rsidR="002C44E1">
        <w:rPr>
          <w:color w:val="000000" w:themeColor="text1"/>
          <w:szCs w:val="24"/>
        </w:rPr>
        <w:t xml:space="preserve">, his mental disorder did not make him unfit to be a Soldier.  </w:t>
      </w:r>
      <w:r w:rsidR="004F5996" w:rsidRPr="004F5996">
        <w:rPr>
          <w:color w:val="000000" w:themeColor="text1"/>
          <w:szCs w:val="24"/>
        </w:rPr>
        <w:t xml:space="preserve">After due deliberation, and mindful of VASRD </w:t>
      </w:r>
      <w:r w:rsidR="004F5996" w:rsidRPr="004F5996">
        <w:rPr>
          <w:rFonts w:eastAsia="Calibri"/>
          <w:color w:val="000000" w:themeColor="text1"/>
          <w:szCs w:val="24"/>
        </w:rPr>
        <w:t>§4.</w:t>
      </w:r>
      <w:r w:rsidR="004F5996" w:rsidRPr="004F5996">
        <w:rPr>
          <w:color w:val="000000" w:themeColor="text1"/>
          <w:szCs w:val="24"/>
        </w:rPr>
        <w:t>3 (</w:t>
      </w:r>
      <w:r w:rsidR="00910B12">
        <w:rPr>
          <w:color w:val="000000" w:themeColor="text1"/>
          <w:szCs w:val="24"/>
        </w:rPr>
        <w:t>r</w:t>
      </w:r>
      <w:r w:rsidR="004F5996" w:rsidRPr="004F5996">
        <w:rPr>
          <w:color w:val="000000" w:themeColor="text1"/>
          <w:szCs w:val="24"/>
        </w:rPr>
        <w:t>easonable doubt),</w:t>
      </w:r>
      <w:r w:rsidR="002C44E1">
        <w:rPr>
          <w:color w:val="000000" w:themeColor="text1"/>
          <w:szCs w:val="24"/>
        </w:rPr>
        <w:t xml:space="preserve"> the Board unanimously agree</w:t>
      </w:r>
      <w:r w:rsidR="00437122">
        <w:rPr>
          <w:color w:val="000000" w:themeColor="text1"/>
          <w:szCs w:val="24"/>
        </w:rPr>
        <w:t>d</w:t>
      </w:r>
      <w:r w:rsidR="002C44E1">
        <w:rPr>
          <w:color w:val="000000" w:themeColor="text1"/>
          <w:szCs w:val="24"/>
        </w:rPr>
        <w:t xml:space="preserve"> that the mental condition was not unfitting</w:t>
      </w:r>
      <w:r w:rsidR="00437122">
        <w:rPr>
          <w:color w:val="000000" w:themeColor="text1"/>
          <w:szCs w:val="24"/>
        </w:rPr>
        <w:t>, and therefore not ratable</w:t>
      </w:r>
      <w:r w:rsidR="002C44E1">
        <w:rPr>
          <w:color w:val="000000" w:themeColor="text1"/>
          <w:szCs w:val="24"/>
        </w:rPr>
        <w:t>.</w:t>
      </w:r>
    </w:p>
    <w:p w:rsidR="00273574" w:rsidRDefault="00273574" w:rsidP="00685DE6">
      <w:pPr>
        <w:jc w:val="both"/>
        <w:rPr>
          <w:rFonts w:eastAsia="HiddenHorzOCR"/>
          <w:color w:val="000000" w:themeColor="text1"/>
          <w:szCs w:val="24"/>
          <w:u w:val="single"/>
        </w:rPr>
      </w:pPr>
    </w:p>
    <w:p w:rsidR="00A02AA8" w:rsidRPr="00552936" w:rsidRDefault="004C60A3" w:rsidP="00552936">
      <w:pPr>
        <w:jc w:val="both"/>
        <w:rPr>
          <w:rFonts w:eastAsia="HiddenHorzOC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685DE6">
        <w:rPr>
          <w:rFonts w:eastAsia="HiddenHorzOCR"/>
          <w:color w:val="000000" w:themeColor="text1"/>
          <w:szCs w:val="24"/>
        </w:rPr>
        <w:t xml:space="preserve">  R</w:t>
      </w:r>
      <w:r w:rsidR="004D4B7E" w:rsidRPr="004D4B7E">
        <w:rPr>
          <w:color w:val="000000" w:themeColor="text1"/>
          <w:szCs w:val="24"/>
        </w:rPr>
        <w:t xml:space="preserve">ight hamstring pain, </w:t>
      </w:r>
      <w:proofErr w:type="spellStart"/>
      <w:r w:rsidR="004D4B7E" w:rsidRPr="004D4B7E">
        <w:rPr>
          <w:color w:val="000000" w:themeColor="text1"/>
          <w:szCs w:val="24"/>
        </w:rPr>
        <w:t>tinea</w:t>
      </w:r>
      <w:proofErr w:type="spellEnd"/>
      <w:r w:rsidR="004D4B7E" w:rsidRPr="004D4B7E">
        <w:rPr>
          <w:color w:val="000000" w:themeColor="text1"/>
          <w:szCs w:val="24"/>
        </w:rPr>
        <w:t xml:space="preserve"> </w:t>
      </w:r>
      <w:proofErr w:type="spellStart"/>
      <w:r w:rsidR="004D4B7E" w:rsidRPr="004D4B7E">
        <w:rPr>
          <w:color w:val="000000" w:themeColor="text1"/>
          <w:szCs w:val="24"/>
        </w:rPr>
        <w:t>versicolor</w:t>
      </w:r>
      <w:proofErr w:type="spellEnd"/>
      <w:r w:rsidR="00685DE6">
        <w:rPr>
          <w:color w:val="000000" w:themeColor="text1"/>
          <w:szCs w:val="24"/>
        </w:rPr>
        <w:t xml:space="preserve"> (TV)</w:t>
      </w:r>
      <w:r w:rsidR="004D4B7E" w:rsidRPr="004D4B7E">
        <w:rPr>
          <w:color w:val="000000" w:themeColor="text1"/>
          <w:szCs w:val="24"/>
        </w:rPr>
        <w:t xml:space="preserve">, </w:t>
      </w:r>
      <w:r w:rsidR="002C44E1">
        <w:rPr>
          <w:color w:val="000000" w:themeColor="text1"/>
          <w:szCs w:val="24"/>
        </w:rPr>
        <w:t xml:space="preserve">and </w:t>
      </w:r>
      <w:r w:rsidR="004D4B7E" w:rsidRPr="004D4B7E">
        <w:rPr>
          <w:color w:val="000000" w:themeColor="text1"/>
          <w:szCs w:val="24"/>
        </w:rPr>
        <w:t>pseudofolliculitis barbae</w:t>
      </w:r>
      <w:r w:rsidR="00685DE6">
        <w:rPr>
          <w:color w:val="000000" w:themeColor="text1"/>
          <w:szCs w:val="24"/>
        </w:rPr>
        <w:t xml:space="preserve"> (PFB)</w:t>
      </w:r>
      <w:r w:rsidR="002C44E1">
        <w:rPr>
          <w:color w:val="000000" w:themeColor="text1"/>
          <w:szCs w:val="24"/>
        </w:rPr>
        <w:t xml:space="preserve"> </w:t>
      </w:r>
      <w:r w:rsidR="00685DE6">
        <w:rPr>
          <w:color w:val="000000" w:themeColor="text1"/>
          <w:szCs w:val="24"/>
        </w:rPr>
        <w:t xml:space="preserve">were all adjudicated </w:t>
      </w:r>
      <w:r w:rsidR="00685DE6" w:rsidRPr="001F29F9">
        <w:rPr>
          <w:color w:val="000000" w:themeColor="text1"/>
          <w:szCs w:val="24"/>
        </w:rPr>
        <w:t>by the PEB</w:t>
      </w:r>
      <w:r w:rsidR="00685DE6">
        <w:rPr>
          <w:color w:val="000000" w:themeColor="text1"/>
          <w:szCs w:val="24"/>
        </w:rPr>
        <w:t xml:space="preserve"> as not unfitting. </w:t>
      </w:r>
      <w:r w:rsidR="00910B12">
        <w:rPr>
          <w:color w:val="000000" w:themeColor="text1"/>
          <w:szCs w:val="24"/>
        </w:rPr>
        <w:t xml:space="preserve"> </w:t>
      </w:r>
      <w:r w:rsidR="00685DE6">
        <w:rPr>
          <w:color w:val="000000" w:themeColor="text1"/>
          <w:szCs w:val="24"/>
        </w:rPr>
        <w:t xml:space="preserve">None of these </w:t>
      </w:r>
      <w:r w:rsidR="008C3223" w:rsidRPr="001F29F9">
        <w:rPr>
          <w:color w:val="000000" w:themeColor="text1"/>
          <w:szCs w:val="24"/>
        </w:rPr>
        <w:t xml:space="preserve">conditions were implicated in the </w:t>
      </w:r>
      <w:r w:rsidR="0080588E" w:rsidRPr="004D4B7E">
        <w:rPr>
          <w:color w:val="000000" w:themeColor="text1"/>
          <w:szCs w:val="24"/>
        </w:rPr>
        <w:t>c</w:t>
      </w:r>
      <w:r w:rsidR="008C3223" w:rsidRPr="004D4B7E">
        <w:rPr>
          <w:color w:val="000000" w:themeColor="text1"/>
          <w:szCs w:val="24"/>
        </w:rPr>
        <w:t>ommander’s statement or noted as failing retention standards.</w:t>
      </w:r>
      <w:r w:rsidR="008C3223" w:rsidRPr="001F29F9">
        <w:rPr>
          <w:color w:val="000000" w:themeColor="text1"/>
          <w:szCs w:val="24"/>
        </w:rPr>
        <w:t xml:space="preserve">  All were reviewed by the </w:t>
      </w:r>
      <w:r w:rsidR="0080588E" w:rsidRPr="001F29F9">
        <w:rPr>
          <w:color w:val="000000" w:themeColor="text1"/>
          <w:szCs w:val="24"/>
        </w:rPr>
        <w:t xml:space="preserve">action officer </w:t>
      </w:r>
      <w:r w:rsidR="008C3223" w:rsidRPr="001F29F9">
        <w:rPr>
          <w:color w:val="000000" w:themeColor="text1"/>
          <w:szCs w:val="24"/>
        </w:rPr>
        <w:t xml:space="preserve">and considered by the Board.  There was </w:t>
      </w:r>
      <w:r w:rsidR="00552936">
        <w:rPr>
          <w:color w:val="000000" w:themeColor="text1"/>
          <w:szCs w:val="24"/>
        </w:rPr>
        <w:t xml:space="preserve">insufficient </w:t>
      </w:r>
      <w:r w:rsidR="00552936" w:rsidRPr="001F29F9">
        <w:rPr>
          <w:color w:val="000000" w:themeColor="text1"/>
          <w:szCs w:val="24"/>
        </w:rPr>
        <w:t xml:space="preserve">evidence for concluding that any of the conditions interfered with duty performance to a degree that could be argued as unfitting.  </w:t>
      </w:r>
      <w:r w:rsidR="008C3223" w:rsidRPr="001F29F9">
        <w:rPr>
          <w:color w:val="000000" w:themeColor="text1"/>
          <w:szCs w:val="24"/>
        </w:rPr>
        <w:t>All evidence considered</w:t>
      </w:r>
      <w:proofErr w:type="gramStart"/>
      <w:r w:rsidR="008C3223" w:rsidRPr="001F29F9">
        <w:rPr>
          <w:color w:val="000000" w:themeColor="text1"/>
          <w:szCs w:val="24"/>
        </w:rPr>
        <w:t>,</w:t>
      </w:r>
      <w:proofErr w:type="gramEnd"/>
      <w:r w:rsidR="008C3223" w:rsidRPr="001F29F9">
        <w:rPr>
          <w:color w:val="000000" w:themeColor="text1"/>
          <w:szCs w:val="24"/>
        </w:rPr>
        <w:t xml:space="preserve"> there is not reasonable doubt in the CI’s favor supporting re</w:t>
      </w:r>
      <w:r w:rsidR="00685DE6">
        <w:rPr>
          <w:color w:val="000000" w:themeColor="text1"/>
          <w:szCs w:val="24"/>
        </w:rPr>
        <w:t>versal</w:t>
      </w:r>
      <w:r w:rsidR="008C3223" w:rsidRPr="001F29F9">
        <w:rPr>
          <w:color w:val="000000" w:themeColor="text1"/>
          <w:szCs w:val="24"/>
        </w:rPr>
        <w:t xml:space="preserve"> of the PEB fitness adjudication for any of the</w:t>
      </w:r>
      <w:r w:rsidR="00685DE6">
        <w:rPr>
          <w:color w:val="000000" w:themeColor="text1"/>
          <w:szCs w:val="24"/>
        </w:rPr>
        <w:t>se</w:t>
      </w:r>
      <w:r w:rsidR="008C3223" w:rsidRPr="001F29F9">
        <w:rPr>
          <w:color w:val="000000" w:themeColor="text1"/>
          <w:szCs w:val="24"/>
        </w:rPr>
        <w:t xml:space="preserve"> conditions.</w:t>
      </w:r>
    </w:p>
    <w:p w:rsidR="00D41625" w:rsidRPr="001F29F9" w:rsidRDefault="00D41625" w:rsidP="00D41625">
      <w:pPr>
        <w:pBdr>
          <w:bottom w:val="single" w:sz="12" w:space="1" w:color="auto"/>
        </w:pBdr>
        <w:tabs>
          <w:tab w:val="left" w:pos="288"/>
          <w:tab w:val="left" w:pos="4752"/>
        </w:tabs>
        <w:jc w:val="both"/>
        <w:rPr>
          <w:color w:val="000000" w:themeColor="text1"/>
        </w:rPr>
      </w:pPr>
    </w:p>
    <w:p w:rsidR="00D41625" w:rsidRPr="001F29F9" w:rsidRDefault="00D41625" w:rsidP="00D41625">
      <w:pPr>
        <w:jc w:val="left"/>
        <w:rPr>
          <w:color w:val="000000" w:themeColor="text1"/>
          <w:szCs w:val="24"/>
        </w:rPr>
      </w:pPr>
    </w:p>
    <w:p w:rsidR="00BF4F49" w:rsidRPr="001F29F9" w:rsidRDefault="00C56FC8" w:rsidP="000C645A">
      <w:pPr>
        <w:jc w:val="both"/>
        <w:rPr>
          <w:rFonts w:eastAsiaTheme="minorHAnsi"/>
          <w: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D41625">
        <w:rPr>
          <w:rFonts w:eastAsiaTheme="minorHAnsi"/>
          <w:color w:val="000000" w:themeColor="text1"/>
          <w:szCs w:val="24"/>
        </w:rPr>
        <w:t xml:space="preserve">  In the matter of the</w:t>
      </w:r>
      <w:r w:rsidR="00437122">
        <w:rPr>
          <w:rFonts w:eastAsiaTheme="minorHAnsi"/>
          <w:color w:val="000000" w:themeColor="text1"/>
          <w:szCs w:val="24"/>
        </w:rPr>
        <w:t xml:space="preserve"> LBP condition, the Board unanimously recommends no change in the PEB adjudication.  In the matter of the </w:t>
      </w:r>
      <w:r w:rsidR="00AC5C76">
        <w:rPr>
          <w:rFonts w:eastAsiaTheme="minorHAnsi"/>
          <w:color w:val="000000" w:themeColor="text1"/>
          <w:szCs w:val="24"/>
        </w:rPr>
        <w:t>MDD, hamstring pain, TV, and PFB; the Board</w:t>
      </w:r>
      <w:r w:rsidR="00AC5C76" w:rsidRPr="00AC5C76">
        <w:rPr>
          <w:rFonts w:eastAsiaTheme="minorHAnsi"/>
          <w:color w:val="000000" w:themeColor="text1"/>
          <w:szCs w:val="24"/>
        </w:rPr>
        <w:t xml:space="preserve"> </w:t>
      </w:r>
      <w:r w:rsidR="00AC5C76">
        <w:rPr>
          <w:rFonts w:eastAsiaTheme="minorHAnsi"/>
          <w:color w:val="000000" w:themeColor="text1"/>
          <w:szCs w:val="24"/>
        </w:rPr>
        <w:t>unanimously recommends no change in the PEB adjudication as not unfitting.</w:t>
      </w:r>
    </w:p>
    <w:p w:rsidR="00F1737C" w:rsidRPr="001F29F9" w:rsidRDefault="00F1737C" w:rsidP="000C645A">
      <w:pPr>
        <w:pBdr>
          <w:bottom w:val="single" w:sz="12" w:space="1" w:color="auto"/>
        </w:pBdr>
        <w:tabs>
          <w:tab w:val="left" w:pos="288"/>
          <w:tab w:val="left" w:pos="4752"/>
        </w:tabs>
        <w:jc w:val="both"/>
        <w:rPr>
          <w:color w:val="000000" w:themeColor="text1"/>
        </w:rPr>
      </w:pPr>
    </w:p>
    <w:p w:rsidR="00F1737C" w:rsidRPr="001F29F9" w:rsidRDefault="00F1737C" w:rsidP="000C645A">
      <w:pPr>
        <w:jc w:val="left"/>
        <w:rPr>
          <w:color w:val="000000" w:themeColor="text1"/>
          <w:szCs w:val="24"/>
        </w:rPr>
      </w:pPr>
    </w:p>
    <w:p w:rsidR="00FB593A" w:rsidRPr="001F29F9" w:rsidRDefault="00C56FC8" w:rsidP="000C645A">
      <w:pPr>
        <w:jc w:val="left"/>
        <w:rPr>
          <w:color w:val="000000" w:themeColor="text1"/>
        </w:rPr>
      </w:pPr>
      <w:r w:rsidRPr="001F29F9">
        <w:rPr>
          <w:color w:val="000000" w:themeColor="text1"/>
          <w:szCs w:val="24"/>
          <w:u w:val="single"/>
        </w:rPr>
        <w:t>RECOMMENDATION</w:t>
      </w:r>
      <w:r w:rsidRPr="001F29F9">
        <w:rPr>
          <w:color w:val="000000" w:themeColor="text1"/>
          <w:szCs w:val="24"/>
        </w:rPr>
        <w:t>:</w:t>
      </w:r>
    </w:p>
    <w:p w:rsidR="006B4AA2" w:rsidRDefault="00C56FC8" w:rsidP="000C645A">
      <w:pPr>
        <w:jc w:val="both"/>
        <w:rPr>
          <w:color w:val="000000" w:themeColor="text1"/>
          <w:szCs w:val="24"/>
        </w:rPr>
      </w:pP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F37F3A" w:rsidRPr="001F29F9" w:rsidRDefault="00F37F3A" w:rsidP="000C645A">
      <w:pPr>
        <w:jc w:val="both"/>
        <w:rPr>
          <w:color w:val="000000" w:themeColor="text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F37F3A" w:rsidRPr="00AF01B2" w:rsidTr="0042440C">
        <w:trPr>
          <w:trHeight w:val="233"/>
          <w:jc w:val="center"/>
        </w:trPr>
        <w:tc>
          <w:tcPr>
            <w:tcW w:w="6480" w:type="dxa"/>
            <w:shd w:val="clear" w:color="auto" w:fill="D9D9D9"/>
            <w:vAlign w:val="center"/>
          </w:tcPr>
          <w:p w:rsidR="00F37F3A" w:rsidRPr="00AF01B2" w:rsidRDefault="00F37F3A" w:rsidP="0042440C">
            <w:pPr>
              <w:tabs>
                <w:tab w:val="left" w:pos="288"/>
                <w:tab w:val="left" w:pos="4752"/>
              </w:tabs>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F37F3A" w:rsidRPr="00AF01B2" w:rsidRDefault="00F37F3A" w:rsidP="0042440C">
            <w:pPr>
              <w:tabs>
                <w:tab w:val="left" w:pos="288"/>
                <w:tab w:val="left" w:pos="4752"/>
              </w:tabs>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F37F3A" w:rsidRPr="00AF01B2" w:rsidRDefault="00F37F3A" w:rsidP="0042440C">
            <w:pPr>
              <w:tabs>
                <w:tab w:val="left" w:pos="288"/>
                <w:tab w:val="left" w:pos="4752"/>
              </w:tabs>
              <w:rPr>
                <w:rFonts w:asciiTheme="minorHAnsi" w:hAnsiTheme="minorHAnsi"/>
                <w:b/>
                <w:color w:val="auto"/>
                <w:szCs w:val="24"/>
              </w:rPr>
            </w:pPr>
            <w:r w:rsidRPr="00AF01B2">
              <w:rPr>
                <w:rFonts w:asciiTheme="minorHAnsi" w:hAnsiTheme="minorHAnsi"/>
                <w:b/>
                <w:color w:val="auto"/>
                <w:szCs w:val="24"/>
              </w:rPr>
              <w:t>RATING</w:t>
            </w:r>
          </w:p>
        </w:tc>
      </w:tr>
      <w:tr w:rsidR="00F37F3A" w:rsidRPr="00AF01B2" w:rsidTr="0042440C">
        <w:trPr>
          <w:jc w:val="center"/>
        </w:trPr>
        <w:tc>
          <w:tcPr>
            <w:tcW w:w="6480" w:type="dxa"/>
            <w:vAlign w:val="center"/>
          </w:tcPr>
          <w:p w:rsidR="00F37F3A" w:rsidRPr="005D6E8D" w:rsidRDefault="00F37F3A" w:rsidP="00F37F3A">
            <w:pPr>
              <w:contextualSpacing/>
              <w:jc w:val="left"/>
              <w:rPr>
                <w:color w:val="auto"/>
                <w:szCs w:val="18"/>
              </w:rPr>
            </w:pPr>
            <w:r w:rsidRPr="004847A8">
              <w:rPr>
                <w:color w:val="000000" w:themeColor="text1"/>
                <w:szCs w:val="24"/>
              </w:rPr>
              <w:t xml:space="preserve">Lumbar </w:t>
            </w:r>
            <w:r>
              <w:rPr>
                <w:color w:val="000000" w:themeColor="text1"/>
                <w:szCs w:val="24"/>
              </w:rPr>
              <w:t>DDD,</w:t>
            </w:r>
            <w:r w:rsidRPr="004847A8">
              <w:rPr>
                <w:color w:val="000000" w:themeColor="text1"/>
                <w:szCs w:val="24"/>
              </w:rPr>
              <w:t xml:space="preserve"> w</w:t>
            </w:r>
            <w:r>
              <w:rPr>
                <w:color w:val="000000" w:themeColor="text1"/>
                <w:szCs w:val="24"/>
              </w:rPr>
              <w:t>ithout</w:t>
            </w:r>
            <w:r w:rsidRPr="004847A8">
              <w:rPr>
                <w:color w:val="000000" w:themeColor="text1"/>
                <w:szCs w:val="24"/>
              </w:rPr>
              <w:t xml:space="preserve"> Motor Neurologic Deficit</w:t>
            </w:r>
            <w:r w:rsidRPr="005D6E8D">
              <w:rPr>
                <w:color w:val="auto"/>
                <w:szCs w:val="18"/>
              </w:rPr>
              <w:t xml:space="preserve"> </w:t>
            </w:r>
          </w:p>
        </w:tc>
        <w:tc>
          <w:tcPr>
            <w:tcW w:w="1710" w:type="dxa"/>
            <w:vAlign w:val="center"/>
          </w:tcPr>
          <w:p w:rsidR="00F37F3A" w:rsidRPr="005D6E8D" w:rsidRDefault="00F37F3A" w:rsidP="00F37F3A">
            <w:pPr>
              <w:contextualSpacing/>
              <w:rPr>
                <w:color w:val="auto"/>
                <w:szCs w:val="18"/>
              </w:rPr>
            </w:pPr>
            <w:r w:rsidRPr="005D6E8D">
              <w:rPr>
                <w:color w:val="auto"/>
                <w:szCs w:val="18"/>
              </w:rPr>
              <w:t>5</w:t>
            </w:r>
            <w:r>
              <w:rPr>
                <w:color w:val="auto"/>
                <w:szCs w:val="18"/>
              </w:rPr>
              <w:t>299-5242</w:t>
            </w:r>
          </w:p>
        </w:tc>
        <w:tc>
          <w:tcPr>
            <w:tcW w:w="1170" w:type="dxa"/>
            <w:vAlign w:val="center"/>
          </w:tcPr>
          <w:p w:rsidR="00F37F3A" w:rsidRPr="00AB63A9" w:rsidRDefault="00F37F3A" w:rsidP="0042440C">
            <w:pPr>
              <w:contextualSpacing/>
              <w:rPr>
                <w:color w:val="auto"/>
                <w:szCs w:val="18"/>
              </w:rPr>
            </w:pPr>
            <w:r w:rsidRPr="00AB63A9">
              <w:rPr>
                <w:color w:val="auto"/>
                <w:szCs w:val="18"/>
              </w:rPr>
              <w:t>10%</w:t>
            </w:r>
          </w:p>
        </w:tc>
      </w:tr>
      <w:tr w:rsidR="00F37F3A" w:rsidRPr="00AF01B2" w:rsidTr="0042440C">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F37F3A" w:rsidRPr="00AF01B2" w:rsidRDefault="00F37F3A" w:rsidP="0042440C">
            <w:pPr>
              <w:tabs>
                <w:tab w:val="left" w:pos="288"/>
                <w:tab w:val="left" w:pos="4752"/>
              </w:tabs>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F37F3A" w:rsidRPr="00AB63A9" w:rsidRDefault="00F37F3A" w:rsidP="0042440C">
            <w:pPr>
              <w:tabs>
                <w:tab w:val="left" w:pos="288"/>
                <w:tab w:val="left" w:pos="4752"/>
              </w:tabs>
              <w:rPr>
                <w:rFonts w:asciiTheme="minorHAnsi" w:hAnsiTheme="minorHAnsi"/>
                <w:b/>
                <w:color w:val="auto"/>
                <w:szCs w:val="24"/>
              </w:rPr>
            </w:pPr>
            <w:r w:rsidRPr="00AB63A9">
              <w:rPr>
                <w:rFonts w:asciiTheme="minorHAnsi" w:hAnsiTheme="minorHAnsi"/>
                <w:b/>
                <w:color w:val="auto"/>
                <w:szCs w:val="24"/>
              </w:rPr>
              <w:t>10%</w:t>
            </w:r>
          </w:p>
        </w:tc>
      </w:tr>
    </w:tbl>
    <w:p w:rsidR="00F37F3A" w:rsidRPr="001F29F9" w:rsidRDefault="00F37F3A" w:rsidP="000C645A">
      <w:pPr>
        <w:pBdr>
          <w:bottom w:val="single" w:sz="12" w:space="1" w:color="auto"/>
        </w:pBdr>
        <w:tabs>
          <w:tab w:val="left" w:pos="288"/>
          <w:tab w:val="left" w:pos="4752"/>
        </w:tabs>
        <w:jc w:val="both"/>
        <w:rPr>
          <w:color w:val="000000" w:themeColor="text1"/>
        </w:rPr>
      </w:pPr>
    </w:p>
    <w:p w:rsidR="005B1D09" w:rsidRPr="001F29F9" w:rsidRDefault="005B1D09" w:rsidP="000C645A">
      <w:pPr>
        <w:rPr>
          <w:color w:val="000000" w:themeColor="text1"/>
          <w:szCs w:val="24"/>
        </w:rPr>
      </w:pPr>
    </w:p>
    <w:p w:rsidR="00D91DA6" w:rsidRPr="001F29F9" w:rsidRDefault="00FB1725" w:rsidP="000C645A">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0C645A">
      <w:pPr>
        <w:tabs>
          <w:tab w:val="left" w:pos="288"/>
          <w:tab w:val="left" w:pos="4752"/>
        </w:tabs>
        <w:jc w:val="both"/>
        <w:rPr>
          <w:color w:val="000000" w:themeColor="text1"/>
        </w:rPr>
      </w:pPr>
    </w:p>
    <w:p w:rsidR="00114F20" w:rsidRPr="001F29F9" w:rsidRDefault="00FB1725" w:rsidP="000C645A">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EA274D">
        <w:rPr>
          <w:color w:val="000000" w:themeColor="text1"/>
          <w:szCs w:val="24"/>
        </w:rPr>
        <w:t>20110612</w:t>
      </w:r>
      <w:r w:rsidR="00910B12">
        <w:rPr>
          <w:color w:val="000000" w:themeColor="text1"/>
        </w:rPr>
        <w:t>, w/atchs</w:t>
      </w:r>
    </w:p>
    <w:p w:rsidR="00114F20" w:rsidRPr="001F29F9" w:rsidRDefault="00FB1725" w:rsidP="000C645A">
      <w:pPr>
        <w:tabs>
          <w:tab w:val="left" w:pos="288"/>
          <w:tab w:val="left" w:pos="4752"/>
        </w:tabs>
        <w:jc w:val="both"/>
        <w:rPr>
          <w:color w:val="000000" w:themeColor="text1"/>
        </w:rPr>
      </w:pPr>
      <w:r w:rsidRPr="001F29F9">
        <w:rPr>
          <w:color w:val="000000" w:themeColor="text1"/>
        </w:rPr>
        <w:t>Exhib</w:t>
      </w:r>
      <w:r w:rsidR="00910B12">
        <w:rPr>
          <w:color w:val="000000" w:themeColor="text1"/>
        </w:rPr>
        <w:t>it B.  Service Treatment Record</w:t>
      </w:r>
    </w:p>
    <w:p w:rsidR="00114F20" w:rsidRPr="001F29F9" w:rsidRDefault="00FB1725" w:rsidP="000C645A">
      <w:pPr>
        <w:tabs>
          <w:tab w:val="left" w:pos="288"/>
          <w:tab w:val="left" w:pos="4752"/>
        </w:tabs>
        <w:jc w:val="both"/>
        <w:rPr>
          <w:color w:val="000000" w:themeColor="text1"/>
        </w:rPr>
      </w:pPr>
      <w:r w:rsidRPr="001F29F9">
        <w:rPr>
          <w:color w:val="000000" w:themeColor="text1"/>
        </w:rPr>
        <w:t>Exhibit C.  Department of Ve</w:t>
      </w:r>
      <w:r w:rsidR="00910B12">
        <w:rPr>
          <w:color w:val="000000" w:themeColor="text1"/>
        </w:rPr>
        <w:t>terans’ Affairs Treatment Record</w:t>
      </w:r>
    </w:p>
    <w:p w:rsidR="00D91DA6" w:rsidRPr="001F29F9" w:rsidRDefault="00D91DA6" w:rsidP="000C645A">
      <w:pPr>
        <w:tabs>
          <w:tab w:val="left" w:pos="288"/>
          <w:tab w:val="left" w:pos="4752"/>
        </w:tabs>
        <w:jc w:val="both"/>
        <w:rPr>
          <w:color w:val="000000" w:themeColor="text1"/>
        </w:rPr>
      </w:pPr>
    </w:p>
    <w:p w:rsidR="00114F20" w:rsidRPr="001F29F9" w:rsidRDefault="00114F20" w:rsidP="000C645A">
      <w:pPr>
        <w:tabs>
          <w:tab w:val="left" w:pos="288"/>
          <w:tab w:val="left" w:pos="4752"/>
        </w:tabs>
        <w:jc w:val="both"/>
        <w:rPr>
          <w:color w:val="000000" w:themeColor="text1"/>
        </w:rPr>
      </w:pPr>
    </w:p>
    <w:p w:rsidR="00114F20" w:rsidRPr="001F29F9" w:rsidRDefault="00114F20" w:rsidP="000C645A">
      <w:pPr>
        <w:tabs>
          <w:tab w:val="left" w:pos="288"/>
          <w:tab w:val="left" w:pos="4752"/>
        </w:tabs>
        <w:jc w:val="both"/>
        <w:rPr>
          <w:color w:val="000000" w:themeColor="text1"/>
        </w:rPr>
      </w:pPr>
    </w:p>
    <w:p w:rsidR="00114F20" w:rsidRPr="001F29F9" w:rsidRDefault="00114F20" w:rsidP="000C645A">
      <w:pPr>
        <w:tabs>
          <w:tab w:val="left" w:pos="288"/>
          <w:tab w:val="left" w:pos="4752"/>
        </w:tabs>
        <w:jc w:val="both"/>
        <w:rPr>
          <w:color w:val="000000" w:themeColor="text1"/>
        </w:rPr>
      </w:pPr>
    </w:p>
    <w:p w:rsidR="00E3077F" w:rsidRPr="001F29F9" w:rsidRDefault="00220FA9" w:rsidP="000C645A">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E9210E">
        <w:rPr>
          <w:color w:val="000000" w:themeColor="text1"/>
          <w:szCs w:val="24"/>
        </w:rPr>
        <w:t>XXXXXXXXXXX</w:t>
      </w:r>
    </w:p>
    <w:p w:rsidR="002F195B" w:rsidRPr="001F29F9" w:rsidRDefault="00220FA9" w:rsidP="000C645A">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0C645A">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E9210E" w:rsidRDefault="00E9210E">
      <w:pPr>
        <w:rPr>
          <w:color w:val="000000" w:themeColor="text1"/>
          <w:szCs w:val="24"/>
        </w:rPr>
      </w:pPr>
      <w:r>
        <w:rPr>
          <w:color w:val="000000" w:themeColor="text1"/>
          <w:szCs w:val="24"/>
        </w:rPr>
        <w:br w:type="page"/>
      </w:r>
    </w:p>
    <w:p w:rsidR="00E9210E" w:rsidRDefault="00E9210E" w:rsidP="00E9210E">
      <w:pPr>
        <w:sectPr w:rsidR="00E9210E">
          <w:pgSz w:w="12240" w:h="15840"/>
          <w:pgMar w:top="2160" w:right="1440" w:bottom="1440" w:left="1440" w:header="720" w:footer="720" w:gutter="0"/>
          <w:cols w:space="720"/>
        </w:sectPr>
      </w:pPr>
    </w:p>
    <w:p w:rsidR="00E9210E" w:rsidRDefault="00E9210E" w:rsidP="00E9210E">
      <w:pPr>
        <w:pStyle w:val="Header"/>
        <w:tabs>
          <w:tab w:val="left" w:pos="720"/>
        </w:tabs>
        <w:jc w:val="left"/>
      </w:pPr>
      <w:r>
        <w:lastRenderedPageBreak/>
        <w:t>SFMR-RB</w:t>
      </w:r>
      <w:r>
        <w:tab/>
      </w:r>
      <w:r>
        <w:tab/>
      </w:r>
      <w:r>
        <w:tab/>
      </w:r>
      <w:r>
        <w:tab/>
      </w:r>
      <w:r>
        <w:tab/>
      </w:r>
      <w:r>
        <w:tab/>
      </w:r>
      <w:r>
        <w:tab/>
      </w:r>
      <w:r>
        <w:tab/>
      </w:r>
      <w:r>
        <w:tab/>
      </w:r>
    </w:p>
    <w:p w:rsidR="00E9210E" w:rsidRDefault="00E9210E" w:rsidP="00E9210E">
      <w:pPr>
        <w:pStyle w:val="Header"/>
        <w:tabs>
          <w:tab w:val="left" w:pos="720"/>
        </w:tabs>
        <w:jc w:val="left"/>
      </w:pPr>
    </w:p>
    <w:p w:rsidR="00E9210E" w:rsidRDefault="00E9210E" w:rsidP="00E9210E">
      <w:pPr>
        <w:jc w:val="left"/>
      </w:pPr>
    </w:p>
    <w:p w:rsidR="00E9210E" w:rsidRDefault="00E9210E" w:rsidP="00E9210E">
      <w:pPr>
        <w:jc w:val="left"/>
      </w:pPr>
      <w:r>
        <w:t xml:space="preserve">MEMORANDUM FOR Commander, US Army Physical Disability Agency </w:t>
      </w:r>
    </w:p>
    <w:p w:rsidR="00E9210E" w:rsidRDefault="00E9210E" w:rsidP="00E9210E">
      <w:pPr>
        <w:jc w:val="left"/>
      </w:pPr>
      <w:r>
        <w:t xml:space="preserve">(TAPD-ZB </w:t>
      </w:r>
      <w:proofErr w:type="gramStart"/>
      <w:r>
        <w:t>/  )</w:t>
      </w:r>
      <w:proofErr w:type="gramEnd"/>
      <w:r>
        <w:t>, 2900 Crystal Drive, Suite 300, Arlington, VA  22202</w:t>
      </w:r>
    </w:p>
    <w:p w:rsidR="00E9210E" w:rsidRDefault="00E9210E" w:rsidP="00E9210E">
      <w:pPr>
        <w:jc w:val="left"/>
      </w:pPr>
    </w:p>
    <w:p w:rsidR="00E9210E" w:rsidRDefault="00E9210E" w:rsidP="00E9210E">
      <w:pPr>
        <w:ind w:right="-180"/>
        <w:jc w:val="left"/>
      </w:pPr>
      <w:r>
        <w:t>SUBJECT:  Department of Defense Physical Disability Board of Review Recommendation for XXXXXXXXXXXXXXXX, AR20120010148 (PD201100483)</w:t>
      </w:r>
    </w:p>
    <w:p w:rsidR="00E9210E" w:rsidRDefault="00E9210E" w:rsidP="00E9210E">
      <w:pPr>
        <w:pStyle w:val="Header"/>
        <w:tabs>
          <w:tab w:val="left" w:pos="720"/>
        </w:tabs>
        <w:jc w:val="left"/>
      </w:pPr>
    </w:p>
    <w:p w:rsidR="00E9210E" w:rsidRDefault="00E9210E" w:rsidP="00E9210E">
      <w:pPr>
        <w:jc w:val="left"/>
      </w:pPr>
    </w:p>
    <w:p w:rsidR="00E9210E" w:rsidRDefault="00E9210E" w:rsidP="00E9210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9210E" w:rsidRDefault="00E9210E" w:rsidP="00E9210E">
      <w:pPr>
        <w:jc w:val="left"/>
      </w:pPr>
      <w:r>
        <w:t>This decision is final.  The individual concerned, counsel (if any), and any Members of Congress who have shown interest in this application have been notified of this decision by mail.</w:t>
      </w:r>
    </w:p>
    <w:p w:rsidR="00E9210E" w:rsidRDefault="00E9210E" w:rsidP="00E9210E">
      <w:pPr>
        <w:jc w:val="left"/>
      </w:pPr>
    </w:p>
    <w:p w:rsidR="00E9210E" w:rsidRDefault="00E9210E" w:rsidP="00E9210E">
      <w:pPr>
        <w:jc w:val="left"/>
      </w:pPr>
      <w:r>
        <w:t xml:space="preserve"> BY ORDER OF THE SECRETARY OF THE ARMY:</w:t>
      </w:r>
    </w:p>
    <w:p w:rsidR="00E9210E" w:rsidRDefault="00E9210E" w:rsidP="00E9210E">
      <w:pPr>
        <w:jc w:val="left"/>
      </w:pPr>
    </w:p>
    <w:p w:rsidR="00E9210E" w:rsidRDefault="00E9210E" w:rsidP="00E9210E">
      <w:pPr>
        <w:jc w:val="left"/>
      </w:pPr>
    </w:p>
    <w:p w:rsidR="00E9210E" w:rsidRDefault="00E9210E" w:rsidP="00E9210E">
      <w:pPr>
        <w:pStyle w:val="Header"/>
        <w:tabs>
          <w:tab w:val="left" w:pos="720"/>
        </w:tabs>
        <w:jc w:val="left"/>
      </w:pPr>
    </w:p>
    <w:p w:rsidR="00E9210E" w:rsidRDefault="00E9210E" w:rsidP="00E9210E">
      <w:pPr>
        <w:jc w:val="left"/>
      </w:pPr>
    </w:p>
    <w:p w:rsidR="00E9210E" w:rsidRDefault="00E9210E" w:rsidP="00E9210E">
      <w:pPr>
        <w:jc w:val="left"/>
      </w:pPr>
      <w:bookmarkStart w:id="0" w:name="OLE_LINK4"/>
      <w:bookmarkStart w:id="1" w:name="OLE_LINK3"/>
      <w:r>
        <w:t>Encl</w:t>
      </w:r>
      <w:r>
        <w:tab/>
      </w:r>
      <w:r>
        <w:tab/>
      </w:r>
      <w:r>
        <w:tab/>
      </w:r>
      <w:r>
        <w:tab/>
      </w:r>
      <w:r>
        <w:tab/>
      </w:r>
      <w:r>
        <w:tab/>
        <w:t xml:space="preserve">     XXXXXXXXXX</w:t>
      </w:r>
    </w:p>
    <w:p w:rsidR="00E9210E" w:rsidRDefault="00E9210E" w:rsidP="00E9210E">
      <w:pPr>
        <w:jc w:val="left"/>
      </w:pPr>
      <w:r>
        <w:tab/>
      </w:r>
      <w:r>
        <w:tab/>
      </w:r>
      <w:r>
        <w:tab/>
      </w:r>
      <w:r>
        <w:tab/>
      </w:r>
      <w:r>
        <w:tab/>
      </w:r>
      <w:r>
        <w:tab/>
        <w:t xml:space="preserve">     Deputy Assistant Secretary</w:t>
      </w:r>
    </w:p>
    <w:p w:rsidR="00E9210E" w:rsidRDefault="00E9210E" w:rsidP="00E9210E">
      <w:pPr>
        <w:jc w:val="left"/>
      </w:pPr>
      <w:r>
        <w:tab/>
      </w:r>
      <w:r>
        <w:tab/>
      </w:r>
      <w:r>
        <w:tab/>
      </w:r>
      <w:r>
        <w:tab/>
      </w:r>
      <w:r>
        <w:tab/>
      </w:r>
      <w:r>
        <w:tab/>
        <w:t xml:space="preserve">         (Army Review Boards)</w:t>
      </w:r>
      <w:bookmarkEnd w:id="0"/>
      <w:bookmarkEnd w:id="1"/>
    </w:p>
    <w:p w:rsidR="00E9210E" w:rsidRDefault="00E9210E" w:rsidP="00E9210E">
      <w:pPr>
        <w:jc w:val="left"/>
      </w:pPr>
    </w:p>
    <w:p w:rsidR="00E9210E" w:rsidRDefault="00E9210E" w:rsidP="00E9210E">
      <w:pPr>
        <w:jc w:val="left"/>
      </w:pPr>
      <w:r>
        <w:t xml:space="preserve">CF: </w:t>
      </w:r>
    </w:p>
    <w:p w:rsidR="00E9210E" w:rsidRDefault="00E9210E" w:rsidP="00E9210E">
      <w:pPr>
        <w:jc w:val="left"/>
      </w:pPr>
      <w:r>
        <w:t xml:space="preserve">(  ) </w:t>
      </w:r>
      <w:proofErr w:type="spellStart"/>
      <w:proofErr w:type="gramStart"/>
      <w:r>
        <w:t>DoD</w:t>
      </w:r>
      <w:proofErr w:type="spellEnd"/>
      <w:proofErr w:type="gramEnd"/>
      <w:r>
        <w:t xml:space="preserve"> PDBR</w:t>
      </w:r>
    </w:p>
    <w:p w:rsidR="00E9210E" w:rsidRDefault="00E9210E" w:rsidP="00E9210E">
      <w:pPr>
        <w:jc w:val="left"/>
      </w:pPr>
      <w:r>
        <w:t>(  ) DVA</w:t>
      </w:r>
    </w:p>
    <w:p w:rsidR="00E9210E" w:rsidRDefault="00E9210E" w:rsidP="00E9210E">
      <w:pPr>
        <w:jc w:val="left"/>
      </w:pPr>
    </w:p>
    <w:p w:rsidR="00B856F3" w:rsidRDefault="00B856F3" w:rsidP="000C645A">
      <w:pPr>
        <w:jc w:val="left"/>
        <w:rPr>
          <w:color w:val="000000" w:themeColor="text1"/>
          <w:szCs w:val="24"/>
        </w:rPr>
      </w:pPr>
    </w:p>
    <w:sectPr w:rsidR="00B856F3"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87" w:rsidRDefault="004D2487">
      <w:r>
        <w:separator/>
      </w:r>
    </w:p>
  </w:endnote>
  <w:endnote w:type="continuationSeparator" w:id="0">
    <w:p w:rsidR="004D2487" w:rsidRDefault="004D24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85DE6" w:rsidRPr="00374247" w:rsidRDefault="00685DE6" w:rsidP="00374247">
        <w:pPr>
          <w:pStyle w:val="Footer"/>
          <w:ind w:firstLine="4320"/>
          <w:rPr>
            <w:color w:val="auto"/>
            <w:szCs w:val="24"/>
          </w:rPr>
        </w:pPr>
        <w:r w:rsidRPr="00374247">
          <w:rPr>
            <w:color w:val="auto"/>
            <w:szCs w:val="24"/>
          </w:rPr>
          <w:t xml:space="preserve">   </w:t>
        </w:r>
        <w:r w:rsidR="00476060" w:rsidRPr="00374247">
          <w:rPr>
            <w:color w:val="auto"/>
            <w:szCs w:val="24"/>
          </w:rPr>
          <w:fldChar w:fldCharType="begin"/>
        </w:r>
        <w:r w:rsidRPr="00374247">
          <w:rPr>
            <w:color w:val="auto"/>
            <w:szCs w:val="24"/>
          </w:rPr>
          <w:instrText xml:space="preserve"> PAGE   \* MERGEFORMAT </w:instrText>
        </w:r>
        <w:r w:rsidR="00476060" w:rsidRPr="00374247">
          <w:rPr>
            <w:color w:val="auto"/>
            <w:szCs w:val="24"/>
          </w:rPr>
          <w:fldChar w:fldCharType="separate"/>
        </w:r>
        <w:r w:rsidR="00E9210E" w:rsidRPr="00E9210E">
          <w:rPr>
            <w:noProof/>
            <w:color w:val="auto"/>
          </w:rPr>
          <w:t>4</w:t>
        </w:r>
        <w:r w:rsidR="00476060"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w:t>
        </w:r>
        <w:r w:rsidRPr="001D64F3">
          <w:rPr>
            <w:color w:val="auto"/>
            <w:szCs w:val="24"/>
          </w:rPr>
          <w:t>00</w:t>
        </w:r>
        <w:r>
          <w:rPr>
            <w:color w:val="auto"/>
            <w:szCs w:val="24"/>
          </w:rPr>
          <w:t>483</w:t>
        </w:r>
      </w:p>
    </w:sdtContent>
  </w:sdt>
  <w:p w:rsidR="00685DE6" w:rsidRPr="00684CE6" w:rsidRDefault="00685DE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87" w:rsidRDefault="004D2487">
      <w:r>
        <w:separator/>
      </w:r>
    </w:p>
  </w:footnote>
  <w:footnote w:type="continuationSeparator" w:id="0">
    <w:p w:rsidR="004D2487" w:rsidRDefault="004D2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412"/>
    <w:rsid w:val="000145C2"/>
    <w:rsid w:val="0001473F"/>
    <w:rsid w:val="00014A47"/>
    <w:rsid w:val="00014A9E"/>
    <w:rsid w:val="00014B91"/>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907"/>
    <w:rsid w:val="00035C3A"/>
    <w:rsid w:val="00036E4B"/>
    <w:rsid w:val="00037929"/>
    <w:rsid w:val="000379D0"/>
    <w:rsid w:val="0004040C"/>
    <w:rsid w:val="00040FC4"/>
    <w:rsid w:val="000416F8"/>
    <w:rsid w:val="00042674"/>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621E"/>
    <w:rsid w:val="000775C2"/>
    <w:rsid w:val="00077835"/>
    <w:rsid w:val="000806AD"/>
    <w:rsid w:val="00080BDF"/>
    <w:rsid w:val="00080C57"/>
    <w:rsid w:val="00082482"/>
    <w:rsid w:val="00082CA0"/>
    <w:rsid w:val="00084CF2"/>
    <w:rsid w:val="00085D7B"/>
    <w:rsid w:val="0008708B"/>
    <w:rsid w:val="00091043"/>
    <w:rsid w:val="00092619"/>
    <w:rsid w:val="00092C66"/>
    <w:rsid w:val="000949DD"/>
    <w:rsid w:val="00094E4F"/>
    <w:rsid w:val="000A2BCE"/>
    <w:rsid w:val="000A31E2"/>
    <w:rsid w:val="000A33C8"/>
    <w:rsid w:val="000A3FA5"/>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645A"/>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685A"/>
    <w:rsid w:val="000D7D55"/>
    <w:rsid w:val="000E0993"/>
    <w:rsid w:val="000E2E50"/>
    <w:rsid w:val="000E37E0"/>
    <w:rsid w:val="000E3F20"/>
    <w:rsid w:val="000E3F35"/>
    <w:rsid w:val="000E4C25"/>
    <w:rsid w:val="000E4CBF"/>
    <w:rsid w:val="000E5577"/>
    <w:rsid w:val="000E7034"/>
    <w:rsid w:val="000F02BE"/>
    <w:rsid w:val="000F0928"/>
    <w:rsid w:val="000F0B3D"/>
    <w:rsid w:val="000F1E65"/>
    <w:rsid w:val="000F427B"/>
    <w:rsid w:val="000F43D0"/>
    <w:rsid w:val="000F4E8F"/>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4B7C"/>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484B"/>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1F3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770"/>
    <w:rsid w:val="001C181A"/>
    <w:rsid w:val="001C1877"/>
    <w:rsid w:val="001C2053"/>
    <w:rsid w:val="001C252F"/>
    <w:rsid w:val="001C28D1"/>
    <w:rsid w:val="001C3473"/>
    <w:rsid w:val="001C4E9F"/>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73D"/>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574"/>
    <w:rsid w:val="00274549"/>
    <w:rsid w:val="00274E46"/>
    <w:rsid w:val="002752AE"/>
    <w:rsid w:val="0027579F"/>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44E1"/>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5C39"/>
    <w:rsid w:val="003567DE"/>
    <w:rsid w:val="003574F3"/>
    <w:rsid w:val="00357831"/>
    <w:rsid w:val="003604A5"/>
    <w:rsid w:val="0036114B"/>
    <w:rsid w:val="0036126C"/>
    <w:rsid w:val="003618B6"/>
    <w:rsid w:val="0036199A"/>
    <w:rsid w:val="003620C8"/>
    <w:rsid w:val="00362F2F"/>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1B75"/>
    <w:rsid w:val="003B2143"/>
    <w:rsid w:val="003B227A"/>
    <w:rsid w:val="003B3A77"/>
    <w:rsid w:val="003B4319"/>
    <w:rsid w:val="003B5854"/>
    <w:rsid w:val="003B6764"/>
    <w:rsid w:val="003B7A8B"/>
    <w:rsid w:val="003C247E"/>
    <w:rsid w:val="003C294B"/>
    <w:rsid w:val="003C5046"/>
    <w:rsid w:val="003C5B54"/>
    <w:rsid w:val="003C6068"/>
    <w:rsid w:val="003C7AEC"/>
    <w:rsid w:val="003D0D9D"/>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051D"/>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122"/>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0BCB"/>
    <w:rsid w:val="00451F9D"/>
    <w:rsid w:val="00453167"/>
    <w:rsid w:val="004535C0"/>
    <w:rsid w:val="0045361D"/>
    <w:rsid w:val="004543BC"/>
    <w:rsid w:val="00454F28"/>
    <w:rsid w:val="00456410"/>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060"/>
    <w:rsid w:val="004761CC"/>
    <w:rsid w:val="004766C9"/>
    <w:rsid w:val="00480D4A"/>
    <w:rsid w:val="00481DA1"/>
    <w:rsid w:val="00483A2B"/>
    <w:rsid w:val="00484212"/>
    <w:rsid w:val="004847A8"/>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5D58"/>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487"/>
    <w:rsid w:val="004D2AAB"/>
    <w:rsid w:val="004D3C7F"/>
    <w:rsid w:val="004D42CB"/>
    <w:rsid w:val="004D4B7E"/>
    <w:rsid w:val="004D6E90"/>
    <w:rsid w:val="004D6F2B"/>
    <w:rsid w:val="004E0248"/>
    <w:rsid w:val="004E21A3"/>
    <w:rsid w:val="004E32EA"/>
    <w:rsid w:val="004E3517"/>
    <w:rsid w:val="004E5B8B"/>
    <w:rsid w:val="004E6866"/>
    <w:rsid w:val="004F0C58"/>
    <w:rsid w:val="004F3222"/>
    <w:rsid w:val="004F3639"/>
    <w:rsid w:val="004F3BFA"/>
    <w:rsid w:val="004F4E3C"/>
    <w:rsid w:val="004F5996"/>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2936"/>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0B38"/>
    <w:rsid w:val="00583379"/>
    <w:rsid w:val="0058417C"/>
    <w:rsid w:val="005854F9"/>
    <w:rsid w:val="00586EC6"/>
    <w:rsid w:val="00587DDE"/>
    <w:rsid w:val="00593043"/>
    <w:rsid w:val="00595B60"/>
    <w:rsid w:val="00595B63"/>
    <w:rsid w:val="00595BF0"/>
    <w:rsid w:val="00596607"/>
    <w:rsid w:val="00597E16"/>
    <w:rsid w:val="005A0B1D"/>
    <w:rsid w:val="005A1846"/>
    <w:rsid w:val="005A258C"/>
    <w:rsid w:val="005A3560"/>
    <w:rsid w:val="005A464E"/>
    <w:rsid w:val="005A62FC"/>
    <w:rsid w:val="005A6C99"/>
    <w:rsid w:val="005A7D5D"/>
    <w:rsid w:val="005B0040"/>
    <w:rsid w:val="005B011A"/>
    <w:rsid w:val="005B0283"/>
    <w:rsid w:val="005B1716"/>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38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09B0"/>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114"/>
    <w:rsid w:val="00643C8F"/>
    <w:rsid w:val="00644501"/>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5DE6"/>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25E1"/>
    <w:rsid w:val="006A40E6"/>
    <w:rsid w:val="006A410C"/>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2F4"/>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5F33"/>
    <w:rsid w:val="00736A49"/>
    <w:rsid w:val="00736F67"/>
    <w:rsid w:val="00737111"/>
    <w:rsid w:val="007419A1"/>
    <w:rsid w:val="00743B71"/>
    <w:rsid w:val="00743C2D"/>
    <w:rsid w:val="00743C3A"/>
    <w:rsid w:val="00743E36"/>
    <w:rsid w:val="00743F05"/>
    <w:rsid w:val="00744173"/>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6B39"/>
    <w:rsid w:val="007A7F30"/>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3CE"/>
    <w:rsid w:val="007D3882"/>
    <w:rsid w:val="007D39E4"/>
    <w:rsid w:val="007D3FE7"/>
    <w:rsid w:val="007D473D"/>
    <w:rsid w:val="007D4CFC"/>
    <w:rsid w:val="007D568A"/>
    <w:rsid w:val="007D574E"/>
    <w:rsid w:val="007D57C0"/>
    <w:rsid w:val="007D67CB"/>
    <w:rsid w:val="007D6BFE"/>
    <w:rsid w:val="007E176C"/>
    <w:rsid w:val="007E1979"/>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617"/>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7556"/>
    <w:rsid w:val="0085006A"/>
    <w:rsid w:val="00850127"/>
    <w:rsid w:val="0085089F"/>
    <w:rsid w:val="0085206E"/>
    <w:rsid w:val="00852273"/>
    <w:rsid w:val="0085293D"/>
    <w:rsid w:val="00852AD4"/>
    <w:rsid w:val="00852BA8"/>
    <w:rsid w:val="00852BF0"/>
    <w:rsid w:val="00853718"/>
    <w:rsid w:val="008541EF"/>
    <w:rsid w:val="00854CA5"/>
    <w:rsid w:val="008551F4"/>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2E2"/>
    <w:rsid w:val="0087566D"/>
    <w:rsid w:val="00875B50"/>
    <w:rsid w:val="00875B51"/>
    <w:rsid w:val="00875F2D"/>
    <w:rsid w:val="008762E7"/>
    <w:rsid w:val="008764DC"/>
    <w:rsid w:val="00877F2F"/>
    <w:rsid w:val="00882CC2"/>
    <w:rsid w:val="00883103"/>
    <w:rsid w:val="0088325A"/>
    <w:rsid w:val="00883930"/>
    <w:rsid w:val="00884535"/>
    <w:rsid w:val="008902BE"/>
    <w:rsid w:val="0089038F"/>
    <w:rsid w:val="00890CDA"/>
    <w:rsid w:val="00891BBA"/>
    <w:rsid w:val="00892079"/>
    <w:rsid w:val="00892B90"/>
    <w:rsid w:val="00896027"/>
    <w:rsid w:val="00896535"/>
    <w:rsid w:val="00896683"/>
    <w:rsid w:val="00896E71"/>
    <w:rsid w:val="0089750B"/>
    <w:rsid w:val="00897589"/>
    <w:rsid w:val="00897990"/>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F7A"/>
    <w:rsid w:val="008E744D"/>
    <w:rsid w:val="008F1E08"/>
    <w:rsid w:val="008F30F4"/>
    <w:rsid w:val="008F58E1"/>
    <w:rsid w:val="008F6E05"/>
    <w:rsid w:val="008F6FC8"/>
    <w:rsid w:val="0090045D"/>
    <w:rsid w:val="00900906"/>
    <w:rsid w:val="00900D8F"/>
    <w:rsid w:val="00901229"/>
    <w:rsid w:val="009014E3"/>
    <w:rsid w:val="009020ED"/>
    <w:rsid w:val="009026E8"/>
    <w:rsid w:val="00902C89"/>
    <w:rsid w:val="00902FDD"/>
    <w:rsid w:val="00905EEF"/>
    <w:rsid w:val="00906EB7"/>
    <w:rsid w:val="00907FE6"/>
    <w:rsid w:val="009102BF"/>
    <w:rsid w:val="00910B12"/>
    <w:rsid w:val="0091120E"/>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54FF"/>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A1B"/>
    <w:rsid w:val="00962F2D"/>
    <w:rsid w:val="009634A3"/>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692A"/>
    <w:rsid w:val="009A6D1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9A7"/>
    <w:rsid w:val="009E09D0"/>
    <w:rsid w:val="009E1181"/>
    <w:rsid w:val="009E1283"/>
    <w:rsid w:val="009E3A7F"/>
    <w:rsid w:val="009E4C9B"/>
    <w:rsid w:val="009E4DFC"/>
    <w:rsid w:val="009E5789"/>
    <w:rsid w:val="009E57B1"/>
    <w:rsid w:val="009E6379"/>
    <w:rsid w:val="009E755A"/>
    <w:rsid w:val="009F020F"/>
    <w:rsid w:val="009F356F"/>
    <w:rsid w:val="009F3B63"/>
    <w:rsid w:val="009F43E2"/>
    <w:rsid w:val="009F6292"/>
    <w:rsid w:val="009F7809"/>
    <w:rsid w:val="009F7822"/>
    <w:rsid w:val="009F7AF5"/>
    <w:rsid w:val="00A00613"/>
    <w:rsid w:val="00A006F1"/>
    <w:rsid w:val="00A007A7"/>
    <w:rsid w:val="00A00D14"/>
    <w:rsid w:val="00A01357"/>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403D"/>
    <w:rsid w:val="00A40356"/>
    <w:rsid w:val="00A40FFB"/>
    <w:rsid w:val="00A41468"/>
    <w:rsid w:val="00A414A9"/>
    <w:rsid w:val="00A424ED"/>
    <w:rsid w:val="00A44141"/>
    <w:rsid w:val="00A44305"/>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2C"/>
    <w:rsid w:val="00AC37BE"/>
    <w:rsid w:val="00AC439D"/>
    <w:rsid w:val="00AC5C76"/>
    <w:rsid w:val="00AC62CC"/>
    <w:rsid w:val="00AC713F"/>
    <w:rsid w:val="00AC7329"/>
    <w:rsid w:val="00AC7D96"/>
    <w:rsid w:val="00AD00E4"/>
    <w:rsid w:val="00AD067E"/>
    <w:rsid w:val="00AD1310"/>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2"/>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4E1"/>
    <w:rsid w:val="00B427BB"/>
    <w:rsid w:val="00B43BA2"/>
    <w:rsid w:val="00B449EE"/>
    <w:rsid w:val="00B454AE"/>
    <w:rsid w:val="00B50227"/>
    <w:rsid w:val="00B50510"/>
    <w:rsid w:val="00B522CD"/>
    <w:rsid w:val="00B52CBF"/>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D3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56F3"/>
    <w:rsid w:val="00B91676"/>
    <w:rsid w:val="00B9322B"/>
    <w:rsid w:val="00B93640"/>
    <w:rsid w:val="00B955D5"/>
    <w:rsid w:val="00B95833"/>
    <w:rsid w:val="00BA0A47"/>
    <w:rsid w:val="00BA1824"/>
    <w:rsid w:val="00BA2D98"/>
    <w:rsid w:val="00BA2F0C"/>
    <w:rsid w:val="00BA30D1"/>
    <w:rsid w:val="00BA30E1"/>
    <w:rsid w:val="00BA4609"/>
    <w:rsid w:val="00BA5BE2"/>
    <w:rsid w:val="00BA6A9C"/>
    <w:rsid w:val="00BA74F7"/>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3D96"/>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42"/>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4D5A"/>
    <w:rsid w:val="00C157AA"/>
    <w:rsid w:val="00C162E1"/>
    <w:rsid w:val="00C16BE4"/>
    <w:rsid w:val="00C16E9F"/>
    <w:rsid w:val="00C1713D"/>
    <w:rsid w:val="00C17523"/>
    <w:rsid w:val="00C177F1"/>
    <w:rsid w:val="00C17EE6"/>
    <w:rsid w:val="00C217F7"/>
    <w:rsid w:val="00C2272E"/>
    <w:rsid w:val="00C22F3A"/>
    <w:rsid w:val="00C23311"/>
    <w:rsid w:val="00C24AD9"/>
    <w:rsid w:val="00C2535A"/>
    <w:rsid w:val="00C25978"/>
    <w:rsid w:val="00C261C6"/>
    <w:rsid w:val="00C26621"/>
    <w:rsid w:val="00C26B27"/>
    <w:rsid w:val="00C26D90"/>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0F1"/>
    <w:rsid w:val="00C54DF3"/>
    <w:rsid w:val="00C559DD"/>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6139"/>
    <w:rsid w:val="00C80511"/>
    <w:rsid w:val="00C80655"/>
    <w:rsid w:val="00C81937"/>
    <w:rsid w:val="00C826F5"/>
    <w:rsid w:val="00C83740"/>
    <w:rsid w:val="00C84527"/>
    <w:rsid w:val="00C84AD1"/>
    <w:rsid w:val="00C85579"/>
    <w:rsid w:val="00C8590C"/>
    <w:rsid w:val="00C862F1"/>
    <w:rsid w:val="00C863E5"/>
    <w:rsid w:val="00C87BE6"/>
    <w:rsid w:val="00C87F76"/>
    <w:rsid w:val="00C90DCD"/>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4D83"/>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3A43"/>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7D4"/>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162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16E"/>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586F"/>
    <w:rsid w:val="00DD64E0"/>
    <w:rsid w:val="00DD775C"/>
    <w:rsid w:val="00DD7BE0"/>
    <w:rsid w:val="00DE0C67"/>
    <w:rsid w:val="00DE3AAD"/>
    <w:rsid w:val="00DE598A"/>
    <w:rsid w:val="00DE6952"/>
    <w:rsid w:val="00DE6FBE"/>
    <w:rsid w:val="00DE7A7D"/>
    <w:rsid w:val="00DE7E74"/>
    <w:rsid w:val="00DF071B"/>
    <w:rsid w:val="00DF1597"/>
    <w:rsid w:val="00DF5C84"/>
    <w:rsid w:val="00DF5EC0"/>
    <w:rsid w:val="00DF6EF8"/>
    <w:rsid w:val="00DF6EFE"/>
    <w:rsid w:val="00E00A69"/>
    <w:rsid w:val="00E012AC"/>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16E"/>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35E"/>
    <w:rsid w:val="00E71485"/>
    <w:rsid w:val="00E7200B"/>
    <w:rsid w:val="00E738CB"/>
    <w:rsid w:val="00E73C88"/>
    <w:rsid w:val="00E74437"/>
    <w:rsid w:val="00E7443D"/>
    <w:rsid w:val="00E75ACE"/>
    <w:rsid w:val="00E75CEB"/>
    <w:rsid w:val="00E76843"/>
    <w:rsid w:val="00E771AF"/>
    <w:rsid w:val="00E80386"/>
    <w:rsid w:val="00E809C3"/>
    <w:rsid w:val="00E814D4"/>
    <w:rsid w:val="00E81A1A"/>
    <w:rsid w:val="00E81C3E"/>
    <w:rsid w:val="00E82359"/>
    <w:rsid w:val="00E8266C"/>
    <w:rsid w:val="00E82B6D"/>
    <w:rsid w:val="00E83187"/>
    <w:rsid w:val="00E831E9"/>
    <w:rsid w:val="00E84DDA"/>
    <w:rsid w:val="00E8608F"/>
    <w:rsid w:val="00E86C1D"/>
    <w:rsid w:val="00E90703"/>
    <w:rsid w:val="00E90A62"/>
    <w:rsid w:val="00E9210E"/>
    <w:rsid w:val="00E9265E"/>
    <w:rsid w:val="00E956DB"/>
    <w:rsid w:val="00E9763D"/>
    <w:rsid w:val="00EA1177"/>
    <w:rsid w:val="00EA118B"/>
    <w:rsid w:val="00EA11B6"/>
    <w:rsid w:val="00EA2181"/>
    <w:rsid w:val="00EA274D"/>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3925"/>
    <w:rsid w:val="00EE48BB"/>
    <w:rsid w:val="00EE6FE0"/>
    <w:rsid w:val="00EE704A"/>
    <w:rsid w:val="00EE7840"/>
    <w:rsid w:val="00EF2E75"/>
    <w:rsid w:val="00EF4C74"/>
    <w:rsid w:val="00EF5268"/>
    <w:rsid w:val="00EF567B"/>
    <w:rsid w:val="00EF608E"/>
    <w:rsid w:val="00EF6C4A"/>
    <w:rsid w:val="00F0044B"/>
    <w:rsid w:val="00F00E60"/>
    <w:rsid w:val="00F02F9F"/>
    <w:rsid w:val="00F03525"/>
    <w:rsid w:val="00F039A8"/>
    <w:rsid w:val="00F0424D"/>
    <w:rsid w:val="00F04957"/>
    <w:rsid w:val="00F053F0"/>
    <w:rsid w:val="00F05807"/>
    <w:rsid w:val="00F0604C"/>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5C40"/>
    <w:rsid w:val="00F26432"/>
    <w:rsid w:val="00F3197A"/>
    <w:rsid w:val="00F32139"/>
    <w:rsid w:val="00F33CF0"/>
    <w:rsid w:val="00F33D56"/>
    <w:rsid w:val="00F34E08"/>
    <w:rsid w:val="00F3791D"/>
    <w:rsid w:val="00F37F3A"/>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319"/>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4DE6"/>
    <w:rsid w:val="00FA54F8"/>
    <w:rsid w:val="00FA78C8"/>
    <w:rsid w:val="00FA7A2F"/>
    <w:rsid w:val="00FB09FE"/>
    <w:rsid w:val="00FB0E80"/>
    <w:rsid w:val="00FB101D"/>
    <w:rsid w:val="00FB1725"/>
    <w:rsid w:val="00FB2493"/>
    <w:rsid w:val="00FB42B7"/>
    <w:rsid w:val="00FB4484"/>
    <w:rsid w:val="00FB593A"/>
    <w:rsid w:val="00FB6410"/>
    <w:rsid w:val="00FB6E82"/>
    <w:rsid w:val="00FB7652"/>
    <w:rsid w:val="00FB792E"/>
    <w:rsid w:val="00FB7CF0"/>
    <w:rsid w:val="00FB7E8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E9210E"/>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17735166">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814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007C-96E3-42CE-B089-89C6751D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1484</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2012-05-30T13:16:00Z</cp:lastPrinted>
  <dcterms:created xsi:type="dcterms:W3CDTF">2012-06-18T20:16:00Z</dcterms:created>
  <dcterms:modified xsi:type="dcterms:W3CDTF">2012-06-18T20:16:00Z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