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C70E12">
        <w:rPr>
          <w:caps/>
          <w:color w:val="000000" w:themeColor="text1"/>
        </w:rPr>
        <w:t>NAME:</w:t>
      </w:r>
      <w:r w:rsidR="00523E97">
        <w:rPr>
          <w:caps/>
          <w:color w:val="000000" w:themeColor="text1"/>
        </w:rPr>
        <w:tab/>
      </w:r>
      <w:r w:rsidR="00C70E12">
        <w:rPr>
          <w:caps/>
          <w:color w:val="000000" w:themeColor="text1"/>
        </w:rPr>
        <w:tab/>
        <w:t xml:space="preserve">                          </w:t>
      </w:r>
      <w:r w:rsidRPr="00C70E12">
        <w:rPr>
          <w:caps/>
          <w:color w:val="000000" w:themeColor="text1"/>
        </w:rPr>
        <w:t xml:space="preserve">BRANCH OF SERVICE: </w:t>
      </w:r>
      <w:r w:rsidR="004C24C5" w:rsidRPr="00C70E12">
        <w:rPr>
          <w:caps/>
          <w:color w:val="000000" w:themeColor="text1"/>
        </w:rPr>
        <w:t xml:space="preserve"> </w:t>
      </w:r>
      <w:r w:rsidR="00332DE3" w:rsidRPr="00C70E12">
        <w:rPr>
          <w:caps/>
          <w:color w:val="000000" w:themeColor="text1"/>
        </w:rPr>
        <w:t>Army</w:t>
      </w:r>
    </w:p>
    <w:p w:rsidR="00DE3AAD" w:rsidRPr="00C70E12" w:rsidRDefault="00012733" w:rsidP="0068098E">
      <w:pPr>
        <w:tabs>
          <w:tab w:val="left" w:pos="288"/>
          <w:tab w:val="left" w:pos="4166"/>
          <w:tab w:val="left" w:pos="4752"/>
          <w:tab w:val="left" w:pos="5130"/>
          <w:tab w:val="left" w:pos="9270"/>
        </w:tabs>
        <w:jc w:val="both"/>
        <w:rPr>
          <w:caps/>
          <w:color w:val="000000" w:themeColor="text1"/>
        </w:rPr>
      </w:pPr>
      <w:r w:rsidRPr="00C70E12">
        <w:rPr>
          <w:caps/>
          <w:color w:val="000000" w:themeColor="text1"/>
        </w:rPr>
        <w:t>C</w:t>
      </w:r>
      <w:r w:rsidR="00DE3AAD" w:rsidRPr="00C70E12">
        <w:rPr>
          <w:caps/>
          <w:color w:val="000000" w:themeColor="text1"/>
        </w:rPr>
        <w:t>ASE NUMBER:  PD</w:t>
      </w:r>
      <w:r w:rsidR="008F58E1" w:rsidRPr="00C70E12">
        <w:rPr>
          <w:caps/>
          <w:color w:val="000000" w:themeColor="text1"/>
        </w:rPr>
        <w:t>11</w:t>
      </w:r>
      <w:r w:rsidR="00DE3AAD" w:rsidRPr="00C70E12">
        <w:rPr>
          <w:caps/>
          <w:color w:val="000000" w:themeColor="text1"/>
        </w:rPr>
        <w:t>00</w:t>
      </w:r>
      <w:r w:rsidR="00C70E12" w:rsidRPr="00C70E12">
        <w:rPr>
          <w:caps/>
          <w:color w:val="000000" w:themeColor="text1"/>
        </w:rPr>
        <w:t>482</w:t>
      </w:r>
      <w:r w:rsidR="00DE3AAD" w:rsidRPr="00C70E12">
        <w:rPr>
          <w:color w:val="000000" w:themeColor="text1"/>
        </w:rPr>
        <w:tab/>
      </w:r>
      <w:r w:rsidR="0068098E" w:rsidRPr="00C70E12">
        <w:rPr>
          <w:color w:val="000000" w:themeColor="text1"/>
        </w:rPr>
        <w:tab/>
      </w:r>
      <w:r w:rsidR="00DE3AAD" w:rsidRPr="00C70E12">
        <w:rPr>
          <w:color w:val="000000" w:themeColor="text1"/>
        </w:rPr>
        <w:t xml:space="preserve">         </w:t>
      </w:r>
      <w:r w:rsidR="00E0346A" w:rsidRPr="00C70E12">
        <w:rPr>
          <w:color w:val="000000" w:themeColor="text1"/>
        </w:rPr>
        <w:t xml:space="preserve">                    </w:t>
      </w:r>
      <w:r w:rsidR="00DE3AAD" w:rsidRPr="00C70E12">
        <w:rPr>
          <w:color w:val="000000" w:themeColor="text1"/>
        </w:rPr>
        <w:t>SEPARATION DATE:  200</w:t>
      </w:r>
      <w:r w:rsidR="00C70E12" w:rsidRPr="00C70E12">
        <w:rPr>
          <w:color w:val="000000" w:themeColor="text1"/>
        </w:rPr>
        <w:t>904</w:t>
      </w:r>
      <w:r w:rsidR="0052791E">
        <w:rPr>
          <w:color w:val="000000" w:themeColor="text1"/>
        </w:rPr>
        <w:t>16</w:t>
      </w:r>
    </w:p>
    <w:p w:rsidR="003B2143" w:rsidRPr="003F145B" w:rsidRDefault="004F3639" w:rsidP="00BF0E94">
      <w:pPr>
        <w:tabs>
          <w:tab w:val="left" w:pos="288"/>
          <w:tab w:val="left" w:pos="5130"/>
        </w:tabs>
        <w:jc w:val="both"/>
        <w:rPr>
          <w:color w:val="000000" w:themeColor="text1"/>
        </w:rPr>
      </w:pPr>
      <w:r w:rsidRPr="003F145B">
        <w:rPr>
          <w:caps/>
          <w:color w:val="000000" w:themeColor="text1"/>
        </w:rPr>
        <w:t>BOARD DATE:  201</w:t>
      </w:r>
      <w:r w:rsidR="007D60CB" w:rsidRPr="003F145B">
        <w:rPr>
          <w:caps/>
          <w:color w:val="000000" w:themeColor="text1"/>
        </w:rPr>
        <w:t>2</w:t>
      </w:r>
      <w:r w:rsidR="003F145B" w:rsidRPr="003F145B">
        <w:rPr>
          <w:caps/>
          <w:color w:val="000000" w:themeColor="text1"/>
        </w:rPr>
        <w:t>0113</w:t>
      </w:r>
    </w:p>
    <w:p w:rsidR="007D60CB" w:rsidRPr="001F29F9" w:rsidRDefault="007D60CB" w:rsidP="007D60CB">
      <w:pPr>
        <w:pBdr>
          <w:bottom w:val="single" w:sz="12" w:space="1" w:color="auto"/>
        </w:pBdr>
        <w:tabs>
          <w:tab w:val="left" w:pos="288"/>
          <w:tab w:val="left" w:pos="4752"/>
        </w:tabs>
        <w:jc w:val="both"/>
        <w:rPr>
          <w:color w:val="000000" w:themeColor="text1"/>
        </w:rPr>
      </w:pPr>
    </w:p>
    <w:p w:rsidR="007D60CB" w:rsidRPr="001F29F9" w:rsidRDefault="007D60CB" w:rsidP="007D60CB">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2A3D37">
        <w:rPr>
          <w:color w:val="000000" w:themeColor="text1"/>
          <w:szCs w:val="24"/>
        </w:rPr>
        <w:t>SSG/E-6</w:t>
      </w:r>
      <w:r w:rsidR="00E177A2">
        <w:rPr>
          <w:color w:val="000000" w:themeColor="text1"/>
          <w:szCs w:val="24"/>
        </w:rPr>
        <w:t>,</w:t>
      </w:r>
      <w:r w:rsidR="00705C40" w:rsidRPr="001F29F9">
        <w:rPr>
          <w:color w:val="000000" w:themeColor="text1"/>
          <w:szCs w:val="24"/>
        </w:rPr>
        <w:t xml:space="preserve"> (</w:t>
      </w:r>
      <w:r w:rsidR="006B4E7D">
        <w:rPr>
          <w:color w:val="000000" w:themeColor="text1"/>
          <w:szCs w:val="24"/>
        </w:rPr>
        <w:t>31B</w:t>
      </w:r>
      <w:r w:rsidR="00E177A2">
        <w:rPr>
          <w:color w:val="000000" w:themeColor="text1"/>
          <w:szCs w:val="24"/>
        </w:rPr>
        <w:t xml:space="preserve">, </w:t>
      </w:r>
      <w:r w:rsidR="006B4E7D">
        <w:rPr>
          <w:color w:val="000000" w:themeColor="text1"/>
          <w:szCs w:val="24"/>
        </w:rPr>
        <w:t>Military Police</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6B4E7D">
        <w:rPr>
          <w:color w:val="000000" w:themeColor="text1"/>
          <w:szCs w:val="24"/>
        </w:rPr>
        <w:t xml:space="preserve"> </w:t>
      </w:r>
      <w:r w:rsidR="006B4E7D" w:rsidRPr="003F145B">
        <w:rPr>
          <w:color w:val="000000" w:themeColor="text1"/>
          <w:szCs w:val="24"/>
        </w:rPr>
        <w:t xml:space="preserve">status post </w:t>
      </w:r>
      <w:r w:rsidR="00B47AAB">
        <w:rPr>
          <w:color w:val="000000" w:themeColor="text1"/>
          <w:szCs w:val="24"/>
        </w:rPr>
        <w:t xml:space="preserve">(s/p) </w:t>
      </w:r>
      <w:r w:rsidR="006B4E7D" w:rsidRPr="003F145B">
        <w:rPr>
          <w:color w:val="000000" w:themeColor="text1"/>
          <w:szCs w:val="24"/>
        </w:rPr>
        <w:t xml:space="preserve">cervical spine fusion C5-C6, and bilateral hearing loss after </w:t>
      </w:r>
      <w:r w:rsidR="00E177A2">
        <w:rPr>
          <w:color w:val="000000" w:themeColor="text1"/>
          <w:szCs w:val="24"/>
        </w:rPr>
        <w:t>improvised explosive device (</w:t>
      </w:r>
      <w:r w:rsidR="006B4E7D" w:rsidRPr="003F145B">
        <w:rPr>
          <w:color w:val="000000" w:themeColor="text1"/>
          <w:szCs w:val="24"/>
        </w:rPr>
        <w:t>IED</w:t>
      </w:r>
      <w:r w:rsidR="00E177A2">
        <w:rPr>
          <w:color w:val="000000" w:themeColor="text1"/>
          <w:szCs w:val="24"/>
        </w:rPr>
        <w:t>)</w:t>
      </w:r>
      <w:r w:rsidR="006B4E7D" w:rsidRPr="003F145B">
        <w:rPr>
          <w:color w:val="000000" w:themeColor="text1"/>
          <w:szCs w:val="24"/>
        </w:rPr>
        <w:t xml:space="preserve"> explosion</w:t>
      </w:r>
      <w:r w:rsidR="00C75F3D" w:rsidRPr="003F145B">
        <w:rPr>
          <w:i/>
          <w:color w:val="000000" w:themeColor="text1"/>
          <w:szCs w:val="24"/>
        </w:rPr>
        <w:t>.</w:t>
      </w:r>
      <w:r w:rsidR="006B4E7D" w:rsidRPr="003F145B">
        <w:rPr>
          <w:color w:val="000000" w:themeColor="text1"/>
          <w:szCs w:val="24"/>
        </w:rPr>
        <w:t xml:space="preserve">  </w:t>
      </w:r>
      <w:r w:rsidR="00F00DEF" w:rsidRPr="007A1E39">
        <w:rPr>
          <w:color w:val="000000" w:themeColor="text1"/>
          <w:szCs w:val="24"/>
        </w:rPr>
        <w:t xml:space="preserve">When the CI returned to </w:t>
      </w:r>
      <w:r w:rsidR="009F2EAF" w:rsidRPr="007A1E39">
        <w:rPr>
          <w:color w:val="000000" w:themeColor="text1"/>
          <w:szCs w:val="24"/>
        </w:rPr>
        <w:t>CONUS (</w:t>
      </w:r>
      <w:r w:rsidR="00F00DEF" w:rsidRPr="007A1E39">
        <w:rPr>
          <w:color w:val="000000" w:themeColor="text1"/>
          <w:szCs w:val="24"/>
        </w:rPr>
        <w:t>Fort Campbell</w:t>
      </w:r>
      <w:r w:rsidR="009F2EAF" w:rsidRPr="007A1E39">
        <w:rPr>
          <w:color w:val="000000" w:themeColor="text1"/>
          <w:szCs w:val="24"/>
        </w:rPr>
        <w:t>)</w:t>
      </w:r>
      <w:r w:rsidR="00F00DEF" w:rsidRPr="007A1E39">
        <w:rPr>
          <w:color w:val="000000" w:themeColor="text1"/>
          <w:szCs w:val="24"/>
        </w:rPr>
        <w:t xml:space="preserve">, he </w:t>
      </w:r>
      <w:r w:rsidR="009F2EAF" w:rsidRPr="007A1E39">
        <w:rPr>
          <w:color w:val="000000" w:themeColor="text1"/>
          <w:szCs w:val="24"/>
        </w:rPr>
        <w:t>underwent further evaluation</w:t>
      </w:r>
      <w:r w:rsidR="00F228BC" w:rsidRPr="007A1E39">
        <w:rPr>
          <w:color w:val="000000" w:themeColor="text1"/>
          <w:szCs w:val="24"/>
        </w:rPr>
        <w:t>.</w:t>
      </w:r>
      <w:r w:rsidR="00F00DEF" w:rsidRPr="007A1E39">
        <w:rPr>
          <w:color w:val="000000" w:themeColor="text1"/>
          <w:szCs w:val="24"/>
        </w:rPr>
        <w:t xml:space="preserve"> </w:t>
      </w:r>
      <w:r w:rsidR="00F228BC" w:rsidRPr="007A1E39">
        <w:rPr>
          <w:color w:val="000000" w:themeColor="text1"/>
          <w:szCs w:val="24"/>
        </w:rPr>
        <w:t xml:space="preserve"> </w:t>
      </w:r>
      <w:r w:rsidR="00E177A2">
        <w:rPr>
          <w:color w:val="000000" w:themeColor="text1"/>
          <w:szCs w:val="24"/>
        </w:rPr>
        <w:t>Magnetic resonance imaging (</w:t>
      </w:r>
      <w:r w:rsidR="009954C0" w:rsidRPr="007A1E39">
        <w:rPr>
          <w:color w:val="000000" w:themeColor="text1"/>
          <w:szCs w:val="24"/>
        </w:rPr>
        <w:t>MRI</w:t>
      </w:r>
      <w:r w:rsidR="00E177A2">
        <w:rPr>
          <w:color w:val="000000" w:themeColor="text1"/>
          <w:szCs w:val="24"/>
        </w:rPr>
        <w:t>)</w:t>
      </w:r>
      <w:r w:rsidR="009954C0" w:rsidRPr="007A1E39">
        <w:rPr>
          <w:color w:val="000000" w:themeColor="text1"/>
          <w:szCs w:val="24"/>
        </w:rPr>
        <w:t xml:space="preserve"> revealed disc protrusion at C5-6 with </w:t>
      </w:r>
      <w:proofErr w:type="spellStart"/>
      <w:r w:rsidR="00F228BC" w:rsidRPr="007A1E39">
        <w:rPr>
          <w:color w:val="000000" w:themeColor="text1"/>
          <w:szCs w:val="24"/>
        </w:rPr>
        <w:t>foraminal</w:t>
      </w:r>
      <w:proofErr w:type="spellEnd"/>
      <w:r w:rsidR="00F228BC" w:rsidRPr="007A1E39">
        <w:rPr>
          <w:color w:val="000000" w:themeColor="text1"/>
          <w:szCs w:val="24"/>
        </w:rPr>
        <w:t xml:space="preserve"> narrowing.  </w:t>
      </w:r>
      <w:r w:rsidR="00917B6C" w:rsidRPr="007A1E39">
        <w:rPr>
          <w:color w:val="000000" w:themeColor="text1"/>
          <w:szCs w:val="24"/>
        </w:rPr>
        <w:t>His treatment included medications, physical therapy, epidural steroid injections, and surgery (</w:t>
      </w:r>
      <w:r w:rsidR="00F00DEF" w:rsidRPr="003E0384">
        <w:rPr>
          <w:color w:val="000000" w:themeColor="text1"/>
          <w:szCs w:val="24"/>
        </w:rPr>
        <w:t xml:space="preserve">cervical </w:t>
      </w:r>
      <w:proofErr w:type="spellStart"/>
      <w:r w:rsidR="00F00DEF" w:rsidRPr="003E0384">
        <w:rPr>
          <w:color w:val="000000" w:themeColor="text1"/>
          <w:szCs w:val="24"/>
        </w:rPr>
        <w:t>discectomy</w:t>
      </w:r>
      <w:proofErr w:type="spellEnd"/>
      <w:r w:rsidR="00F00DEF" w:rsidRPr="003E0384">
        <w:rPr>
          <w:color w:val="000000" w:themeColor="text1"/>
          <w:szCs w:val="24"/>
        </w:rPr>
        <w:t xml:space="preserve"> and fusion of C5-6</w:t>
      </w:r>
      <w:r w:rsidR="00917B6C" w:rsidRPr="003E0384">
        <w:rPr>
          <w:color w:val="000000" w:themeColor="text1"/>
          <w:szCs w:val="24"/>
        </w:rPr>
        <w:t>, May 2008)</w:t>
      </w:r>
      <w:r w:rsidR="00E80C37" w:rsidRPr="003E0384">
        <w:rPr>
          <w:color w:val="000000" w:themeColor="text1"/>
          <w:szCs w:val="24"/>
        </w:rPr>
        <w:t xml:space="preserve"> with incomplete relief</w:t>
      </w:r>
      <w:r w:rsidR="00F00DEF" w:rsidRPr="003E0384">
        <w:rPr>
          <w:color w:val="000000" w:themeColor="text1"/>
          <w:szCs w:val="24"/>
        </w:rPr>
        <w:t xml:space="preserve">.  </w:t>
      </w:r>
      <w:r w:rsidR="009F2EAF" w:rsidRPr="003E0384">
        <w:rPr>
          <w:color w:val="000000" w:themeColor="text1"/>
          <w:szCs w:val="24"/>
        </w:rPr>
        <w:t xml:space="preserve">For his hearing loss, </w:t>
      </w:r>
      <w:r w:rsidR="005A7489" w:rsidRPr="003E0384">
        <w:rPr>
          <w:color w:val="000000" w:themeColor="text1"/>
          <w:szCs w:val="24"/>
        </w:rPr>
        <w:t>he u</w:t>
      </w:r>
      <w:r w:rsidR="005B30C4">
        <w:rPr>
          <w:color w:val="000000" w:themeColor="text1"/>
          <w:szCs w:val="24"/>
        </w:rPr>
        <w:t xml:space="preserve">nderwent </w:t>
      </w:r>
      <w:proofErr w:type="spellStart"/>
      <w:r w:rsidR="005B30C4">
        <w:rPr>
          <w:color w:val="000000" w:themeColor="text1"/>
          <w:szCs w:val="24"/>
        </w:rPr>
        <w:t>audiologic</w:t>
      </w:r>
      <w:proofErr w:type="spellEnd"/>
      <w:r w:rsidR="005B30C4">
        <w:rPr>
          <w:color w:val="000000" w:themeColor="text1"/>
          <w:szCs w:val="24"/>
        </w:rPr>
        <w:t xml:space="preserve"> evaluation and </w:t>
      </w:r>
      <w:r w:rsidR="002B02BC" w:rsidRPr="003E0384">
        <w:rPr>
          <w:color w:val="000000" w:themeColor="text1"/>
          <w:szCs w:val="24"/>
        </w:rPr>
        <w:t>hearing aids were recommended</w:t>
      </w:r>
      <w:r w:rsidR="005B30C4">
        <w:rPr>
          <w:color w:val="000000" w:themeColor="text1"/>
          <w:szCs w:val="24"/>
        </w:rPr>
        <w:t xml:space="preserve">.  </w:t>
      </w:r>
      <w:r w:rsidR="00523E97" w:rsidRPr="007A1E39">
        <w:rPr>
          <w:color w:val="000000" w:themeColor="text1"/>
          <w:szCs w:val="24"/>
        </w:rPr>
        <w:t>H</w:t>
      </w:r>
      <w:r w:rsidR="00643C8F" w:rsidRPr="007A1E39">
        <w:rPr>
          <w:color w:val="000000" w:themeColor="text1"/>
          <w:szCs w:val="24"/>
        </w:rPr>
        <w:t xml:space="preserve">e did not respond adequately to treatment and was unable to perform within his MOS or meet physical fitness standards.  He was issued a permanent </w:t>
      </w:r>
      <w:r w:rsidR="00F00DEF" w:rsidRPr="007A1E39">
        <w:rPr>
          <w:color w:val="000000" w:themeColor="text1"/>
          <w:szCs w:val="24"/>
        </w:rPr>
        <w:t>U3/H3/S3</w:t>
      </w:r>
      <w:r w:rsidR="00643C8F" w:rsidRPr="00F00DEF">
        <w:rPr>
          <w:color w:val="000000" w:themeColor="text1"/>
          <w:szCs w:val="24"/>
        </w:rPr>
        <w:t xml:space="preserve"> profile and underwent a Medical Evaluation Board (MEB).</w:t>
      </w:r>
      <w:r w:rsidR="00F00DEF">
        <w:rPr>
          <w:color w:val="000000" w:themeColor="text1"/>
          <w:szCs w:val="24"/>
        </w:rPr>
        <w:t xml:space="preserve">  </w:t>
      </w:r>
      <w:r w:rsidR="00F00DEF" w:rsidRPr="007A1E39">
        <w:rPr>
          <w:color w:val="000000" w:themeColor="text1"/>
          <w:szCs w:val="24"/>
        </w:rPr>
        <w:t>Cervical radiculopathy with hardware placement and donor bone pl</w:t>
      </w:r>
      <w:r w:rsidR="00E177A2">
        <w:rPr>
          <w:color w:val="000000" w:themeColor="text1"/>
          <w:szCs w:val="24"/>
        </w:rPr>
        <w:t>ug C5-C6, hearing loss and post</w:t>
      </w:r>
      <w:r w:rsidR="00F00DEF" w:rsidRPr="007A1E39">
        <w:rPr>
          <w:color w:val="000000" w:themeColor="text1"/>
          <w:szCs w:val="24"/>
        </w:rPr>
        <w:t>traumatic stress disorder (PTSD)</w:t>
      </w:r>
      <w:r w:rsidR="000A33C8" w:rsidRPr="007A1E39">
        <w:rPr>
          <w:color w:val="000000" w:themeColor="text1"/>
          <w:szCs w:val="24"/>
        </w:rPr>
        <w:t xml:space="preserve"> were forwarded to the </w:t>
      </w:r>
      <w:r w:rsidR="00355AAB">
        <w:rPr>
          <w:color w:val="000000" w:themeColor="text1"/>
          <w:szCs w:val="24"/>
        </w:rPr>
        <w:t xml:space="preserve">Informal </w:t>
      </w:r>
      <w:r w:rsidR="000A33C8" w:rsidRPr="007A1E39">
        <w:rPr>
          <w:color w:val="000000" w:themeColor="text1"/>
          <w:szCs w:val="24"/>
        </w:rPr>
        <w:t>Physical Evaluation Board (</w:t>
      </w:r>
      <w:r w:rsidR="00355AAB">
        <w:rPr>
          <w:color w:val="000000" w:themeColor="text1"/>
          <w:szCs w:val="24"/>
        </w:rPr>
        <w:t>I</w:t>
      </w:r>
      <w:r w:rsidR="000A33C8" w:rsidRPr="007A1E39">
        <w:rPr>
          <w:color w:val="000000" w:themeColor="text1"/>
          <w:szCs w:val="24"/>
        </w:rPr>
        <w:t>PEB) as medically unacceptable IAW AR 40-501</w:t>
      </w:r>
      <w:r w:rsidR="00376E08" w:rsidRPr="007A1E39">
        <w:rPr>
          <w:color w:val="000000" w:themeColor="text1"/>
          <w:szCs w:val="24"/>
        </w:rPr>
        <w:t>.</w:t>
      </w:r>
      <w:r w:rsidR="00100F84" w:rsidRPr="007A1E39">
        <w:rPr>
          <w:color w:val="000000" w:themeColor="text1"/>
          <w:szCs w:val="24"/>
        </w:rPr>
        <w:t xml:space="preserve">  Three </w:t>
      </w:r>
      <w:r w:rsidR="00954E5B" w:rsidRPr="007A1E39">
        <w:rPr>
          <w:color w:val="000000" w:themeColor="text1"/>
          <w:szCs w:val="24"/>
        </w:rPr>
        <w:t xml:space="preserve">other conditions, as identified in the rating chart below, were forwarded on the </w:t>
      </w:r>
      <w:r w:rsidR="00B04562" w:rsidRPr="007A1E39">
        <w:rPr>
          <w:color w:val="000000" w:themeColor="text1"/>
          <w:szCs w:val="24"/>
        </w:rPr>
        <w:t xml:space="preserve">MEB submission </w:t>
      </w:r>
      <w:r w:rsidR="00954E5B" w:rsidRPr="007A1E39">
        <w:rPr>
          <w:color w:val="000000" w:themeColor="text1"/>
          <w:szCs w:val="24"/>
        </w:rPr>
        <w:t>as medically acceptable conditions</w:t>
      </w:r>
      <w:r w:rsidR="00B04562" w:rsidRPr="007A1E39">
        <w:rPr>
          <w:color w:val="000000" w:themeColor="text1"/>
          <w:szCs w:val="24"/>
        </w:rPr>
        <w:t>.</w:t>
      </w:r>
      <w:r w:rsidR="00100F84" w:rsidRPr="007A1E39">
        <w:rPr>
          <w:color w:val="000000" w:themeColor="text1"/>
          <w:szCs w:val="24"/>
        </w:rPr>
        <w:t xml:space="preserve">  </w:t>
      </w:r>
      <w:r w:rsidR="00842BAA" w:rsidRPr="007A1E39">
        <w:rPr>
          <w:color w:val="000000" w:themeColor="text1"/>
          <w:szCs w:val="24"/>
        </w:rPr>
        <w:t xml:space="preserve">The </w:t>
      </w:r>
      <w:r w:rsidR="00355AAB">
        <w:rPr>
          <w:color w:val="000000" w:themeColor="text1"/>
          <w:szCs w:val="24"/>
        </w:rPr>
        <w:t xml:space="preserve">IPEB </w:t>
      </w:r>
      <w:r w:rsidR="00842BAA" w:rsidRPr="007A1E39">
        <w:rPr>
          <w:color w:val="000000" w:themeColor="text1"/>
          <w:szCs w:val="24"/>
        </w:rPr>
        <w:t xml:space="preserve">adjudicated the </w:t>
      </w:r>
      <w:r w:rsidR="00100F84" w:rsidRPr="007A1E39">
        <w:rPr>
          <w:color w:val="000000" w:themeColor="text1"/>
          <w:szCs w:val="24"/>
        </w:rPr>
        <w:t>cervical spine and hearing loss</w:t>
      </w:r>
      <w:r w:rsidR="00842BAA" w:rsidRPr="007A1E39">
        <w:rPr>
          <w:color w:val="000000" w:themeColor="text1"/>
          <w:szCs w:val="24"/>
        </w:rPr>
        <w:t xml:space="preserve"> condition as unfitting, rated </w:t>
      </w:r>
      <w:r w:rsidR="00100F84" w:rsidRPr="007A1E39">
        <w:rPr>
          <w:color w:val="000000" w:themeColor="text1"/>
          <w:szCs w:val="24"/>
        </w:rPr>
        <w:t>10</w:t>
      </w:r>
      <w:r w:rsidR="00842BAA" w:rsidRPr="007A1E39">
        <w:rPr>
          <w:color w:val="000000" w:themeColor="text1"/>
          <w:szCs w:val="24"/>
        </w:rPr>
        <w:t xml:space="preserve">% and </w:t>
      </w:r>
      <w:r w:rsidR="00100F84" w:rsidRPr="007A1E39">
        <w:rPr>
          <w:color w:val="000000" w:themeColor="text1"/>
          <w:szCs w:val="24"/>
        </w:rPr>
        <w:t>0</w:t>
      </w:r>
      <w:r w:rsidR="00842BAA" w:rsidRPr="007A1E39">
        <w:rPr>
          <w:color w:val="000000" w:themeColor="text1"/>
          <w:szCs w:val="24"/>
        </w:rPr>
        <w:t>%</w:t>
      </w:r>
      <w:r w:rsidR="00842BAA" w:rsidRPr="00100F84">
        <w:rPr>
          <w:color w:val="000000" w:themeColor="text1"/>
          <w:szCs w:val="24"/>
        </w:rPr>
        <w:t xml:space="preserve"> respectively; with application of the Veterans Administration Schedule </w:t>
      </w:r>
      <w:r w:rsidR="00EA00F4">
        <w:rPr>
          <w:color w:val="000000" w:themeColor="text1"/>
          <w:szCs w:val="24"/>
        </w:rPr>
        <w:t>for Rating Disabilities (VASRD)</w:t>
      </w:r>
      <w:r w:rsidR="00842BAA" w:rsidRPr="00100F84">
        <w:rPr>
          <w:color w:val="000000" w:themeColor="text1"/>
          <w:szCs w:val="24"/>
        </w:rPr>
        <w:t>.</w:t>
      </w:r>
      <w:r w:rsidR="00100F84">
        <w:rPr>
          <w:color w:val="000000" w:themeColor="text1"/>
          <w:szCs w:val="24"/>
        </w:rPr>
        <w:t xml:space="preserve">  </w:t>
      </w:r>
      <w:r w:rsidR="00B20624" w:rsidRPr="001F29F9">
        <w:rPr>
          <w:color w:val="000000" w:themeColor="text1"/>
        </w:rPr>
        <w:t xml:space="preserve">The CI </w:t>
      </w:r>
      <w:r w:rsidR="00E177A2">
        <w:rPr>
          <w:color w:val="000000" w:themeColor="text1"/>
        </w:rPr>
        <w:t>did not appeal for a F</w:t>
      </w:r>
      <w:r w:rsidR="00EA00F4">
        <w:rPr>
          <w:color w:val="000000" w:themeColor="text1"/>
        </w:rPr>
        <w:t>ormal PEB</w:t>
      </w:r>
      <w:r w:rsidR="00190E48" w:rsidRPr="001F29F9">
        <w:rPr>
          <w:color w:val="000000" w:themeColor="text1"/>
        </w:rPr>
        <w:t xml:space="preserve">, </w:t>
      </w:r>
      <w:r w:rsidR="00B20624" w:rsidRPr="001F29F9">
        <w:rPr>
          <w:color w:val="000000" w:themeColor="text1"/>
        </w:rPr>
        <w:t xml:space="preserve">and was medically separated with a </w:t>
      </w:r>
      <w:r w:rsidR="00100F84">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6D5F04">
        <w:rPr>
          <w:color w:val="000000" w:themeColor="text1"/>
        </w:rPr>
        <w:t xml:space="preserve">  </w:t>
      </w:r>
      <w:r w:rsidR="006D5F04" w:rsidRPr="007A1E39">
        <w:rPr>
          <w:rFonts w:asciiTheme="minorHAnsi" w:hAnsiTheme="minorHAnsi"/>
          <w:color w:val="auto"/>
        </w:rPr>
        <w:t xml:space="preserve">“I have been diagnosed with several significant injuries since discharge to include PTSD, </w:t>
      </w:r>
      <w:proofErr w:type="spellStart"/>
      <w:r w:rsidR="00B47AAB">
        <w:rPr>
          <w:rFonts w:asciiTheme="minorHAnsi" w:hAnsiTheme="minorHAnsi"/>
          <w:color w:val="auto"/>
        </w:rPr>
        <w:t>tramautic</w:t>
      </w:r>
      <w:proofErr w:type="spellEnd"/>
      <w:r w:rsidR="00B47AAB">
        <w:rPr>
          <w:rFonts w:asciiTheme="minorHAnsi" w:hAnsiTheme="minorHAnsi"/>
          <w:color w:val="auto"/>
        </w:rPr>
        <w:t xml:space="preserve"> brain injury (</w:t>
      </w:r>
      <w:r w:rsidR="006D5F04" w:rsidRPr="007A1E39">
        <w:rPr>
          <w:rFonts w:asciiTheme="minorHAnsi" w:hAnsiTheme="minorHAnsi"/>
          <w:color w:val="auto"/>
        </w:rPr>
        <w:t>TBI</w:t>
      </w:r>
      <w:r w:rsidR="00B47AAB">
        <w:rPr>
          <w:rFonts w:asciiTheme="minorHAnsi" w:hAnsiTheme="minorHAnsi"/>
          <w:color w:val="auto"/>
        </w:rPr>
        <w:t>)</w:t>
      </w:r>
      <w:r w:rsidR="006D5F04" w:rsidRPr="007A1E39">
        <w:rPr>
          <w:rFonts w:asciiTheme="minorHAnsi" w:hAnsiTheme="minorHAnsi"/>
          <w:color w:val="auto"/>
        </w:rPr>
        <w:t xml:space="preserve">, and spinal neuropathy affecting use of my left arm and cognitive skills impairment in daily activities.  As of current date; I am a patient of VA Hospital, Memphis in Neurology.  I have been issued orthopedic brace </w:t>
      </w:r>
      <w:r w:rsidR="00710E61" w:rsidRPr="007A1E39">
        <w:rPr>
          <w:rFonts w:asciiTheme="minorHAnsi" w:hAnsiTheme="minorHAnsi"/>
          <w:color w:val="auto"/>
        </w:rPr>
        <w:t>[</w:t>
      </w:r>
      <w:r w:rsidR="006D5F04" w:rsidRPr="007A1E39">
        <w:rPr>
          <w:rFonts w:asciiTheme="minorHAnsi" w:hAnsiTheme="minorHAnsi"/>
          <w:color w:val="auto"/>
        </w:rPr>
        <w:t>sic</w:t>
      </w:r>
      <w:r w:rsidR="00710E61" w:rsidRPr="007A1E39">
        <w:rPr>
          <w:rFonts w:asciiTheme="minorHAnsi" w:hAnsiTheme="minorHAnsi"/>
          <w:color w:val="auto"/>
        </w:rPr>
        <w:t>]</w:t>
      </w:r>
      <w:r w:rsidR="006D5F04" w:rsidRPr="007A1E39">
        <w:rPr>
          <w:rFonts w:asciiTheme="minorHAnsi" w:hAnsiTheme="minorHAnsi"/>
          <w:color w:val="auto"/>
        </w:rPr>
        <w:t xml:space="preserve"> for left arm and issued a walker for mobility due to imbalance and frequent falls resulting in bruising and lacerations noted by current primary care providers.”  </w:t>
      </w:r>
      <w:r w:rsidR="00ED5284" w:rsidRPr="007A1E39">
        <w:rPr>
          <w:rFonts w:eastAsiaTheme="minorHAnsi"/>
          <w:color w:val="000000" w:themeColor="text1"/>
          <w:szCs w:val="24"/>
        </w:rPr>
        <w:t>He additionally lists all of his VA conditions and ratings as per the rating chart below.  A contention for their inclusion in the separation rating is therefore implied.</w:t>
      </w:r>
      <w:r w:rsidR="00EA00F4" w:rsidRPr="007A1E39">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7D60CB" w:rsidRDefault="007D60CB">
      <w:pPr>
        <w:rPr>
          <w:color w:val="000000" w:themeColor="text1"/>
          <w:u w:val="single"/>
        </w:rPr>
      </w:pPr>
      <w:r>
        <w:rPr>
          <w:color w:val="000000" w:themeColor="text1"/>
          <w:u w:val="single"/>
        </w:rPr>
        <w:br w:type="page"/>
      </w:r>
    </w:p>
    <w:p w:rsidR="00C8590C" w:rsidRPr="00AF7B36" w:rsidRDefault="007F0AB7" w:rsidP="00BF0E94">
      <w:pPr>
        <w:jc w:val="left"/>
        <w:rPr>
          <w:color w:val="auto"/>
          <w:szCs w:val="28"/>
          <w:highlight w:val="magenta"/>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6D5F04" w:rsidRPr="00AF7B36" w:rsidRDefault="006D5F04" w:rsidP="00117C71">
      <w:pPr>
        <w:jc w:val="lef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6D5F04" w:rsidRPr="00AF7B36" w:rsidTr="00B417B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Service IPEB – Dated 20090105</w:t>
            </w:r>
          </w:p>
        </w:tc>
        <w:tc>
          <w:tcPr>
            <w:tcW w:w="5418" w:type="dxa"/>
            <w:gridSpan w:val="4"/>
            <w:tcBorders>
              <w:left w:val="thinThickThinSmallGap" w:sz="24" w:space="0" w:color="auto"/>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VA (6 Mo. Pre Separation) – All Effective Date 20090417</w:t>
            </w:r>
          </w:p>
        </w:tc>
      </w:tr>
      <w:tr w:rsidR="006D5F04" w:rsidRPr="00AF7B36" w:rsidTr="00B417B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Exam</w:t>
            </w:r>
          </w:p>
        </w:tc>
      </w:tr>
      <w:tr w:rsidR="006D5F04" w:rsidRPr="00AF7B36" w:rsidTr="00B417BF">
        <w:trPr>
          <w:trHeight w:val="287"/>
          <w:jc w:val="center"/>
        </w:trPr>
        <w:tc>
          <w:tcPr>
            <w:tcW w:w="2196" w:type="dxa"/>
            <w:tcBorders>
              <w:right w:val="single" w:sz="4" w:space="0" w:color="auto"/>
            </w:tcBorders>
            <w:shd w:val="clear" w:color="auto" w:fill="FFFFFF" w:themeFill="background1"/>
            <w:vAlign w:val="center"/>
          </w:tcPr>
          <w:p w:rsidR="006D5F04" w:rsidRPr="00AF7B36" w:rsidRDefault="006310A7" w:rsidP="0052791E">
            <w:pPr>
              <w:spacing w:line="180" w:lineRule="exact"/>
              <w:contextualSpacing/>
              <w:jc w:val="left"/>
              <w:rPr>
                <w:color w:val="auto"/>
                <w:sz w:val="18"/>
                <w:szCs w:val="18"/>
              </w:rPr>
            </w:pPr>
            <w:r w:rsidRPr="00AF7B36">
              <w:rPr>
                <w:color w:val="auto"/>
                <w:sz w:val="18"/>
                <w:szCs w:val="18"/>
              </w:rPr>
              <w:t xml:space="preserve">S/P </w:t>
            </w:r>
            <w:r w:rsidR="006D5F04" w:rsidRPr="00AF7B36">
              <w:rPr>
                <w:color w:val="auto"/>
                <w:sz w:val="18"/>
                <w:szCs w:val="18"/>
              </w:rPr>
              <w:t>C-Spine Fusion C5-6</w:t>
            </w:r>
            <w:r w:rsidR="007D60CB" w:rsidRPr="00AF7B36">
              <w:rPr>
                <w:color w:val="auto"/>
                <w:sz w:val="18"/>
                <w:szCs w:val="18"/>
              </w:rPr>
              <w:t xml:space="preserve"> </w:t>
            </w:r>
            <w:r w:rsidRPr="00AF7B36">
              <w:rPr>
                <w:color w:val="auto"/>
                <w:sz w:val="18"/>
                <w:szCs w:val="18"/>
              </w:rPr>
              <w:t>…</w:t>
            </w:r>
          </w:p>
        </w:tc>
        <w:tc>
          <w:tcPr>
            <w:tcW w:w="1062"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5241</w:t>
            </w:r>
          </w:p>
        </w:tc>
        <w:tc>
          <w:tcPr>
            <w:tcW w:w="900" w:type="dxa"/>
            <w:tcBorders>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highlight w:val="yellow"/>
              </w:rPr>
            </w:pPr>
            <w:r w:rsidRPr="00AF7B36">
              <w:rPr>
                <w:color w:val="auto"/>
                <w:sz w:val="18"/>
                <w:szCs w:val="18"/>
              </w:rPr>
              <w:t>10%</w:t>
            </w:r>
          </w:p>
        </w:tc>
        <w:tc>
          <w:tcPr>
            <w:tcW w:w="2538" w:type="dxa"/>
            <w:tcBorders>
              <w:left w:val="thinThickThinSmallGap" w:sz="24" w:space="0" w:color="auto"/>
            </w:tcBorders>
            <w:shd w:val="clear" w:color="auto" w:fill="FFFFFF" w:themeFill="background1"/>
            <w:vAlign w:val="center"/>
          </w:tcPr>
          <w:p w:rsidR="006D5F04" w:rsidRPr="00AF7B36" w:rsidRDefault="00E74A67" w:rsidP="0052791E">
            <w:pPr>
              <w:spacing w:line="180" w:lineRule="exact"/>
              <w:contextualSpacing/>
              <w:jc w:val="left"/>
              <w:rPr>
                <w:color w:val="auto"/>
                <w:sz w:val="18"/>
                <w:szCs w:val="18"/>
              </w:rPr>
            </w:pPr>
            <w:r w:rsidRPr="00AF7B36">
              <w:rPr>
                <w:color w:val="auto"/>
                <w:sz w:val="18"/>
                <w:szCs w:val="18"/>
              </w:rPr>
              <w:t xml:space="preserve">S/P </w:t>
            </w:r>
            <w:r w:rsidR="0052791E" w:rsidRPr="00AF7B36">
              <w:rPr>
                <w:color w:val="auto"/>
                <w:sz w:val="18"/>
                <w:szCs w:val="18"/>
              </w:rPr>
              <w:t xml:space="preserve">Cervical </w:t>
            </w:r>
            <w:r w:rsidR="006D5F04" w:rsidRPr="00AF7B36">
              <w:rPr>
                <w:color w:val="auto"/>
                <w:sz w:val="18"/>
                <w:szCs w:val="18"/>
              </w:rPr>
              <w:t>Spine Fusion</w:t>
            </w:r>
            <w:r w:rsidR="007D60CB" w:rsidRPr="00AF7B36">
              <w:rPr>
                <w:color w:val="auto"/>
                <w:sz w:val="18"/>
                <w:szCs w:val="18"/>
              </w:rPr>
              <w:t xml:space="preserve"> </w:t>
            </w:r>
            <w:r w:rsidRPr="00AF7B36">
              <w:rPr>
                <w:color w:val="auto"/>
                <w:sz w:val="18"/>
                <w:szCs w:val="18"/>
              </w:rPr>
              <w:t>…</w:t>
            </w:r>
          </w:p>
        </w:tc>
        <w:tc>
          <w:tcPr>
            <w:tcW w:w="1062"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5241</w:t>
            </w:r>
          </w:p>
        </w:tc>
        <w:tc>
          <w:tcPr>
            <w:tcW w:w="828"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10%</w:t>
            </w:r>
          </w:p>
        </w:tc>
        <w:tc>
          <w:tcPr>
            <w:tcW w:w="990" w:type="dxa"/>
            <w:shd w:val="clear" w:color="auto" w:fill="FFFFFF" w:themeFill="background1"/>
            <w:vAlign w:val="center"/>
          </w:tcPr>
          <w:p w:rsidR="006D5F04" w:rsidRPr="00AF7B36" w:rsidRDefault="006D5F04" w:rsidP="00656003">
            <w:pPr>
              <w:spacing w:line="180" w:lineRule="exact"/>
              <w:contextualSpacing/>
              <w:rPr>
                <w:color w:val="auto"/>
                <w:sz w:val="18"/>
                <w:szCs w:val="18"/>
              </w:rPr>
            </w:pPr>
            <w:r w:rsidRPr="00AF7B36">
              <w:rPr>
                <w:color w:val="auto"/>
                <w:sz w:val="18"/>
                <w:szCs w:val="18"/>
              </w:rPr>
              <w:t>2008</w:t>
            </w:r>
            <w:r w:rsidR="00656003" w:rsidRPr="00AF7B36">
              <w:rPr>
                <w:color w:val="auto"/>
                <w:sz w:val="18"/>
                <w:szCs w:val="18"/>
              </w:rPr>
              <w:t>1001</w:t>
            </w:r>
          </w:p>
        </w:tc>
      </w:tr>
      <w:tr w:rsidR="006D5F04" w:rsidRPr="00AF7B36" w:rsidTr="00B417BF">
        <w:trPr>
          <w:trHeight w:val="287"/>
          <w:jc w:val="center"/>
        </w:trPr>
        <w:tc>
          <w:tcPr>
            <w:tcW w:w="2196" w:type="dxa"/>
            <w:tcBorders>
              <w:right w:val="single" w:sz="4" w:space="0" w:color="auto"/>
            </w:tcBorders>
            <w:shd w:val="clear" w:color="auto" w:fill="FFFFFF" w:themeFill="background1"/>
            <w:vAlign w:val="center"/>
          </w:tcPr>
          <w:p w:rsidR="006D5F04" w:rsidRPr="00AF7B36" w:rsidRDefault="006D5F04" w:rsidP="006310A7">
            <w:pPr>
              <w:spacing w:line="180" w:lineRule="exact"/>
              <w:contextualSpacing/>
              <w:jc w:val="left"/>
              <w:rPr>
                <w:color w:val="auto"/>
                <w:sz w:val="18"/>
                <w:szCs w:val="18"/>
              </w:rPr>
            </w:pPr>
            <w:r w:rsidRPr="00AF7B36">
              <w:rPr>
                <w:color w:val="auto"/>
                <w:sz w:val="18"/>
                <w:szCs w:val="18"/>
              </w:rPr>
              <w:t>Bi</w:t>
            </w:r>
            <w:r w:rsidR="006310A7" w:rsidRPr="00AF7B36">
              <w:rPr>
                <w:color w:val="auto"/>
                <w:sz w:val="18"/>
                <w:szCs w:val="18"/>
              </w:rPr>
              <w:t>l</w:t>
            </w:r>
            <w:r w:rsidRPr="00AF7B36">
              <w:rPr>
                <w:color w:val="auto"/>
                <w:sz w:val="18"/>
                <w:szCs w:val="18"/>
              </w:rPr>
              <w:t>at</w:t>
            </w:r>
            <w:r w:rsidR="006310A7" w:rsidRPr="00AF7B36">
              <w:rPr>
                <w:color w:val="auto"/>
                <w:sz w:val="18"/>
                <w:szCs w:val="18"/>
              </w:rPr>
              <w:t>eral</w:t>
            </w:r>
            <w:r w:rsidRPr="00AF7B36">
              <w:rPr>
                <w:color w:val="auto"/>
                <w:sz w:val="18"/>
                <w:szCs w:val="18"/>
              </w:rPr>
              <w:t xml:space="preserve"> Hearing Loss</w:t>
            </w:r>
            <w:r w:rsidR="007D60CB" w:rsidRPr="00AF7B36">
              <w:rPr>
                <w:color w:val="auto"/>
                <w:sz w:val="18"/>
                <w:szCs w:val="18"/>
              </w:rPr>
              <w:t xml:space="preserve"> </w:t>
            </w:r>
            <w:r w:rsidR="006310A7" w:rsidRPr="00AF7B36">
              <w:rPr>
                <w:color w:val="auto"/>
                <w:sz w:val="18"/>
                <w:szCs w:val="18"/>
              </w:rPr>
              <w:t>…</w:t>
            </w:r>
          </w:p>
        </w:tc>
        <w:tc>
          <w:tcPr>
            <w:tcW w:w="1062"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6100</w:t>
            </w:r>
          </w:p>
        </w:tc>
        <w:tc>
          <w:tcPr>
            <w:tcW w:w="900" w:type="dxa"/>
            <w:tcBorders>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0%</w:t>
            </w:r>
          </w:p>
        </w:tc>
        <w:tc>
          <w:tcPr>
            <w:tcW w:w="2538" w:type="dxa"/>
            <w:tcBorders>
              <w:left w:val="thinThickThinSmallGap" w:sz="24" w:space="0" w:color="auto"/>
              <w:right w:val="single" w:sz="4" w:space="0" w:color="auto"/>
            </w:tcBorders>
            <w:shd w:val="clear" w:color="auto" w:fill="FFFFFF" w:themeFill="background1"/>
            <w:vAlign w:val="center"/>
          </w:tcPr>
          <w:p w:rsidR="006D5F04" w:rsidRPr="00AF7B36" w:rsidRDefault="006D5F04" w:rsidP="006310A7">
            <w:pPr>
              <w:spacing w:line="180" w:lineRule="exact"/>
              <w:contextualSpacing/>
              <w:jc w:val="left"/>
              <w:rPr>
                <w:color w:val="auto"/>
                <w:sz w:val="18"/>
                <w:szCs w:val="18"/>
              </w:rPr>
            </w:pPr>
            <w:r w:rsidRPr="00AF7B36">
              <w:rPr>
                <w:color w:val="auto"/>
                <w:sz w:val="18"/>
                <w:szCs w:val="18"/>
              </w:rPr>
              <w:t>Bi</w:t>
            </w:r>
            <w:r w:rsidR="006310A7" w:rsidRPr="00AF7B36">
              <w:rPr>
                <w:color w:val="auto"/>
                <w:sz w:val="18"/>
                <w:szCs w:val="18"/>
              </w:rPr>
              <w:t>l</w:t>
            </w:r>
            <w:r w:rsidRPr="00AF7B36">
              <w:rPr>
                <w:color w:val="auto"/>
                <w:sz w:val="18"/>
                <w:szCs w:val="18"/>
              </w:rPr>
              <w:t>at</w:t>
            </w:r>
            <w:r w:rsidR="0052791E" w:rsidRPr="00AF7B36">
              <w:rPr>
                <w:color w:val="auto"/>
                <w:sz w:val="18"/>
                <w:szCs w:val="18"/>
              </w:rPr>
              <w:t>eral</w:t>
            </w:r>
            <w:r w:rsidRPr="00AF7B36">
              <w:rPr>
                <w:color w:val="auto"/>
                <w:sz w:val="18"/>
                <w:szCs w:val="18"/>
              </w:rPr>
              <w:t xml:space="preserve"> Hearing Loss</w:t>
            </w:r>
          </w:p>
        </w:tc>
        <w:tc>
          <w:tcPr>
            <w:tcW w:w="1062"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6100</w:t>
            </w:r>
          </w:p>
        </w:tc>
        <w:tc>
          <w:tcPr>
            <w:tcW w:w="828"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10%</w:t>
            </w:r>
          </w:p>
        </w:tc>
        <w:tc>
          <w:tcPr>
            <w:tcW w:w="990"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 xml:space="preserve">20090216 </w:t>
            </w:r>
          </w:p>
        </w:tc>
      </w:tr>
      <w:tr w:rsidR="006D5F04" w:rsidRPr="00AF7B36" w:rsidTr="00B417BF">
        <w:trPr>
          <w:trHeight w:val="287"/>
          <w:jc w:val="center"/>
        </w:trPr>
        <w:tc>
          <w:tcPr>
            <w:tcW w:w="2196" w:type="dxa"/>
            <w:tcBorders>
              <w:right w:val="single" w:sz="4" w:space="0" w:color="auto"/>
            </w:tcBorders>
            <w:shd w:val="clear" w:color="auto" w:fill="FFFFFF" w:themeFill="background1"/>
            <w:vAlign w:val="center"/>
          </w:tcPr>
          <w:p w:rsidR="006D5F04" w:rsidRPr="00AF7B36" w:rsidRDefault="006D5F04" w:rsidP="0052791E">
            <w:pPr>
              <w:spacing w:line="180" w:lineRule="exact"/>
              <w:contextualSpacing/>
              <w:jc w:val="left"/>
              <w:rPr>
                <w:color w:val="auto"/>
                <w:sz w:val="18"/>
                <w:szCs w:val="18"/>
              </w:rPr>
            </w:pPr>
            <w:r w:rsidRPr="00AF7B36">
              <w:rPr>
                <w:color w:val="auto"/>
                <w:sz w:val="18"/>
                <w:szCs w:val="18"/>
              </w:rPr>
              <w:t>PTSD</w:t>
            </w:r>
          </w:p>
        </w:tc>
        <w:tc>
          <w:tcPr>
            <w:tcW w:w="1962" w:type="dxa"/>
            <w:gridSpan w:val="2"/>
            <w:tcBorders>
              <w:left w:val="single" w:sz="4" w:space="0" w:color="auto"/>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6D5F04" w:rsidRPr="00AF7B36" w:rsidRDefault="006D5F04" w:rsidP="0052791E">
            <w:pPr>
              <w:spacing w:line="180" w:lineRule="exact"/>
              <w:contextualSpacing/>
              <w:jc w:val="left"/>
              <w:rPr>
                <w:color w:val="auto"/>
                <w:sz w:val="18"/>
                <w:szCs w:val="18"/>
              </w:rPr>
            </w:pPr>
            <w:r w:rsidRPr="00AF7B36">
              <w:rPr>
                <w:color w:val="auto"/>
                <w:sz w:val="18"/>
                <w:szCs w:val="18"/>
              </w:rPr>
              <w:t>PTSD w/ Insomnia</w:t>
            </w:r>
          </w:p>
        </w:tc>
        <w:tc>
          <w:tcPr>
            <w:tcW w:w="1062" w:type="dxa"/>
            <w:tcBorders>
              <w:left w:val="single" w:sz="4" w:space="0" w:color="auto"/>
              <w:righ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9411</w:t>
            </w:r>
          </w:p>
        </w:tc>
        <w:tc>
          <w:tcPr>
            <w:tcW w:w="828"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30%</w:t>
            </w:r>
          </w:p>
        </w:tc>
        <w:tc>
          <w:tcPr>
            <w:tcW w:w="990"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20090221</w:t>
            </w:r>
          </w:p>
        </w:tc>
      </w:tr>
      <w:tr w:rsidR="006D5F04" w:rsidRPr="00AF7B36" w:rsidTr="00B417BF">
        <w:trPr>
          <w:trHeight w:val="287"/>
          <w:jc w:val="center"/>
        </w:trPr>
        <w:tc>
          <w:tcPr>
            <w:tcW w:w="2196" w:type="dxa"/>
            <w:tcBorders>
              <w:right w:val="single" w:sz="4" w:space="0" w:color="auto"/>
            </w:tcBorders>
            <w:shd w:val="clear" w:color="auto" w:fill="FFFFFF" w:themeFill="background1"/>
            <w:vAlign w:val="center"/>
          </w:tcPr>
          <w:p w:rsidR="006D5F04" w:rsidRPr="00AF7B36" w:rsidRDefault="006D5F04" w:rsidP="00E74A67">
            <w:pPr>
              <w:spacing w:line="180" w:lineRule="exact"/>
              <w:contextualSpacing/>
              <w:jc w:val="left"/>
              <w:rPr>
                <w:color w:val="auto"/>
                <w:sz w:val="18"/>
                <w:szCs w:val="18"/>
              </w:rPr>
            </w:pPr>
            <w:r w:rsidRPr="00AF7B36">
              <w:rPr>
                <w:color w:val="auto"/>
                <w:sz w:val="18"/>
                <w:szCs w:val="18"/>
              </w:rPr>
              <w:t>H</w:t>
            </w:r>
            <w:r w:rsidR="00E74A67" w:rsidRPr="00AF7B36">
              <w:rPr>
                <w:color w:val="auto"/>
                <w:sz w:val="18"/>
                <w:szCs w:val="18"/>
              </w:rPr>
              <w:t>ypertension</w:t>
            </w:r>
          </w:p>
        </w:tc>
        <w:tc>
          <w:tcPr>
            <w:tcW w:w="1962" w:type="dxa"/>
            <w:gridSpan w:val="2"/>
            <w:tcBorders>
              <w:left w:val="single" w:sz="4" w:space="0" w:color="auto"/>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6D5F04" w:rsidRPr="00AF7B36" w:rsidRDefault="006D5F04" w:rsidP="00E74A67">
            <w:pPr>
              <w:spacing w:line="180" w:lineRule="exact"/>
              <w:contextualSpacing/>
              <w:jc w:val="left"/>
              <w:rPr>
                <w:color w:val="auto"/>
                <w:sz w:val="18"/>
                <w:szCs w:val="18"/>
              </w:rPr>
            </w:pPr>
            <w:r w:rsidRPr="00AF7B36">
              <w:rPr>
                <w:color w:val="auto"/>
                <w:sz w:val="18"/>
                <w:szCs w:val="18"/>
              </w:rPr>
              <w:t>H</w:t>
            </w:r>
            <w:r w:rsidR="00E74A67" w:rsidRPr="00AF7B36">
              <w:rPr>
                <w:color w:val="auto"/>
                <w:sz w:val="18"/>
                <w:szCs w:val="18"/>
              </w:rPr>
              <w:t>ypertension</w:t>
            </w:r>
          </w:p>
        </w:tc>
        <w:tc>
          <w:tcPr>
            <w:tcW w:w="1062" w:type="dxa"/>
            <w:tcBorders>
              <w:left w:val="single" w:sz="4" w:space="0" w:color="auto"/>
              <w:righ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7101</w:t>
            </w:r>
          </w:p>
        </w:tc>
        <w:tc>
          <w:tcPr>
            <w:tcW w:w="828"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10%</w:t>
            </w:r>
          </w:p>
        </w:tc>
        <w:tc>
          <w:tcPr>
            <w:tcW w:w="990" w:type="dxa"/>
            <w:shd w:val="clear" w:color="auto" w:fill="FFFFFF" w:themeFill="background1"/>
            <w:vAlign w:val="center"/>
          </w:tcPr>
          <w:p w:rsidR="006D5F04" w:rsidRPr="00AF7B36" w:rsidRDefault="006D5F04" w:rsidP="00656003">
            <w:pPr>
              <w:spacing w:line="180" w:lineRule="exact"/>
              <w:contextualSpacing/>
              <w:rPr>
                <w:color w:val="auto"/>
                <w:sz w:val="18"/>
                <w:szCs w:val="18"/>
              </w:rPr>
            </w:pPr>
            <w:r w:rsidRPr="00AF7B36">
              <w:rPr>
                <w:color w:val="auto"/>
                <w:sz w:val="18"/>
                <w:szCs w:val="18"/>
              </w:rPr>
              <w:t>2008</w:t>
            </w:r>
            <w:r w:rsidR="00656003" w:rsidRPr="00AF7B36">
              <w:rPr>
                <w:color w:val="auto"/>
                <w:sz w:val="18"/>
                <w:szCs w:val="18"/>
              </w:rPr>
              <w:t>1001</w:t>
            </w:r>
          </w:p>
        </w:tc>
      </w:tr>
      <w:tr w:rsidR="006D5F04" w:rsidRPr="00AF7B36" w:rsidTr="00B417BF">
        <w:trPr>
          <w:trHeight w:val="287"/>
          <w:jc w:val="center"/>
        </w:trPr>
        <w:tc>
          <w:tcPr>
            <w:tcW w:w="2196" w:type="dxa"/>
            <w:tcBorders>
              <w:right w:val="single" w:sz="4" w:space="0" w:color="auto"/>
            </w:tcBorders>
            <w:shd w:val="clear" w:color="auto" w:fill="FFFFFF" w:themeFill="background1"/>
            <w:vAlign w:val="center"/>
          </w:tcPr>
          <w:p w:rsidR="006D5F04" w:rsidRPr="00AF7B36" w:rsidRDefault="006D5F04" w:rsidP="0052791E">
            <w:pPr>
              <w:spacing w:line="180" w:lineRule="exact"/>
              <w:contextualSpacing/>
              <w:jc w:val="left"/>
              <w:rPr>
                <w:color w:val="auto"/>
                <w:sz w:val="18"/>
                <w:szCs w:val="18"/>
              </w:rPr>
            </w:pPr>
            <w:r w:rsidRPr="00AF7B36">
              <w:rPr>
                <w:color w:val="auto"/>
                <w:sz w:val="18"/>
                <w:szCs w:val="18"/>
              </w:rPr>
              <w:t>Spondylosis L4-L5</w:t>
            </w:r>
          </w:p>
        </w:tc>
        <w:tc>
          <w:tcPr>
            <w:tcW w:w="1962" w:type="dxa"/>
            <w:gridSpan w:val="2"/>
            <w:tcBorders>
              <w:left w:val="single" w:sz="4" w:space="0" w:color="auto"/>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6D5F04" w:rsidRPr="00AF7B36" w:rsidRDefault="006D5F04" w:rsidP="00EA00F4">
            <w:pPr>
              <w:spacing w:line="180" w:lineRule="exact"/>
              <w:contextualSpacing/>
              <w:jc w:val="left"/>
              <w:rPr>
                <w:color w:val="auto"/>
                <w:sz w:val="18"/>
                <w:szCs w:val="18"/>
              </w:rPr>
            </w:pPr>
            <w:r w:rsidRPr="00AF7B36">
              <w:rPr>
                <w:color w:val="auto"/>
                <w:sz w:val="18"/>
                <w:szCs w:val="18"/>
              </w:rPr>
              <w:t>Minimal Spondylosis L4-L5</w:t>
            </w:r>
            <w:r w:rsidR="00EA00F4" w:rsidRPr="00AF7B36">
              <w:rPr>
                <w:color w:val="auto"/>
                <w:sz w:val="18"/>
                <w:szCs w:val="18"/>
              </w:rPr>
              <w:t>..</w:t>
            </w:r>
            <w:r w:rsidRPr="00AF7B36">
              <w:rPr>
                <w:color w:val="auto"/>
                <w:sz w:val="18"/>
                <w:szCs w:val="18"/>
              </w:rPr>
              <w:t>.</w:t>
            </w:r>
          </w:p>
        </w:tc>
        <w:tc>
          <w:tcPr>
            <w:tcW w:w="1062" w:type="dxa"/>
            <w:tcBorders>
              <w:left w:val="single" w:sz="4" w:space="0" w:color="auto"/>
              <w:righ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5240</w:t>
            </w:r>
          </w:p>
        </w:tc>
        <w:tc>
          <w:tcPr>
            <w:tcW w:w="828"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0%</w:t>
            </w:r>
          </w:p>
        </w:tc>
        <w:tc>
          <w:tcPr>
            <w:tcW w:w="990" w:type="dxa"/>
            <w:shd w:val="clear" w:color="auto" w:fill="FFFFFF" w:themeFill="background1"/>
            <w:vAlign w:val="center"/>
          </w:tcPr>
          <w:p w:rsidR="006D5F04" w:rsidRPr="00AF7B36" w:rsidRDefault="006D5F04" w:rsidP="00656003">
            <w:pPr>
              <w:spacing w:line="180" w:lineRule="exact"/>
              <w:contextualSpacing/>
              <w:rPr>
                <w:color w:val="auto"/>
                <w:sz w:val="18"/>
                <w:szCs w:val="18"/>
              </w:rPr>
            </w:pPr>
            <w:r w:rsidRPr="00AF7B36">
              <w:rPr>
                <w:color w:val="auto"/>
                <w:sz w:val="18"/>
                <w:szCs w:val="18"/>
              </w:rPr>
              <w:t>2008</w:t>
            </w:r>
            <w:r w:rsidR="00656003" w:rsidRPr="00AF7B36">
              <w:rPr>
                <w:color w:val="auto"/>
                <w:sz w:val="18"/>
                <w:szCs w:val="18"/>
              </w:rPr>
              <w:t>1001</w:t>
            </w:r>
          </w:p>
        </w:tc>
      </w:tr>
      <w:tr w:rsidR="006D5F04" w:rsidRPr="00AF7B36" w:rsidTr="00B417BF">
        <w:trPr>
          <w:trHeight w:val="287"/>
          <w:jc w:val="center"/>
        </w:trPr>
        <w:tc>
          <w:tcPr>
            <w:tcW w:w="2196" w:type="dxa"/>
            <w:tcBorders>
              <w:right w:val="single" w:sz="4" w:space="0" w:color="auto"/>
            </w:tcBorders>
            <w:shd w:val="clear" w:color="auto" w:fill="FFFFFF" w:themeFill="background1"/>
            <w:vAlign w:val="center"/>
          </w:tcPr>
          <w:p w:rsidR="006D5F04" w:rsidRPr="00AF7B36" w:rsidRDefault="006D5F04" w:rsidP="0052791E">
            <w:pPr>
              <w:spacing w:line="180" w:lineRule="exact"/>
              <w:contextualSpacing/>
              <w:jc w:val="left"/>
              <w:rPr>
                <w:color w:val="auto"/>
                <w:sz w:val="18"/>
                <w:szCs w:val="18"/>
              </w:rPr>
            </w:pPr>
            <w:r w:rsidRPr="00AF7B36">
              <w:rPr>
                <w:color w:val="auto"/>
                <w:sz w:val="18"/>
                <w:szCs w:val="18"/>
              </w:rPr>
              <w:t>Right Hand Weakness</w:t>
            </w:r>
          </w:p>
        </w:tc>
        <w:tc>
          <w:tcPr>
            <w:tcW w:w="1962" w:type="dxa"/>
            <w:gridSpan w:val="2"/>
            <w:tcBorders>
              <w:left w:val="single" w:sz="4" w:space="0" w:color="auto"/>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6D5F04" w:rsidRPr="00AF7B36" w:rsidRDefault="0052791E" w:rsidP="00E74A67">
            <w:pPr>
              <w:spacing w:line="180" w:lineRule="exact"/>
              <w:contextualSpacing/>
              <w:jc w:val="left"/>
              <w:rPr>
                <w:color w:val="auto"/>
                <w:sz w:val="18"/>
                <w:szCs w:val="18"/>
              </w:rPr>
            </w:pPr>
            <w:r w:rsidRPr="00AF7B36">
              <w:rPr>
                <w:color w:val="auto"/>
                <w:sz w:val="18"/>
                <w:szCs w:val="18"/>
              </w:rPr>
              <w:t>Decreased Strength R Hand</w:t>
            </w:r>
          </w:p>
        </w:tc>
        <w:tc>
          <w:tcPr>
            <w:tcW w:w="1062" w:type="dxa"/>
            <w:tcBorders>
              <w:left w:val="single" w:sz="4" w:space="0" w:color="auto"/>
              <w:right w:val="single" w:sz="4" w:space="0" w:color="auto"/>
            </w:tcBorders>
            <w:shd w:val="clear" w:color="auto" w:fill="FFFFFF" w:themeFill="background1"/>
            <w:vAlign w:val="center"/>
          </w:tcPr>
          <w:p w:rsidR="006D5F04" w:rsidRPr="00AF7B36" w:rsidRDefault="0052791E" w:rsidP="00B417BF">
            <w:pPr>
              <w:spacing w:line="180" w:lineRule="exact"/>
              <w:contextualSpacing/>
              <w:rPr>
                <w:color w:val="auto"/>
                <w:sz w:val="18"/>
                <w:szCs w:val="18"/>
              </w:rPr>
            </w:pPr>
            <w:r w:rsidRPr="00AF7B36">
              <w:rPr>
                <w:color w:val="auto"/>
                <w:sz w:val="18"/>
                <w:szCs w:val="18"/>
              </w:rPr>
              <w:t>5230</w:t>
            </w:r>
          </w:p>
        </w:tc>
        <w:tc>
          <w:tcPr>
            <w:tcW w:w="828" w:type="dxa"/>
            <w:tcBorders>
              <w:left w:val="single" w:sz="4" w:space="0" w:color="auto"/>
            </w:tcBorders>
            <w:shd w:val="clear" w:color="auto" w:fill="FFFFFF" w:themeFill="background1"/>
            <w:vAlign w:val="center"/>
          </w:tcPr>
          <w:p w:rsidR="006D5F04" w:rsidRPr="00AF7B36" w:rsidRDefault="0052791E" w:rsidP="00B417BF">
            <w:pPr>
              <w:spacing w:line="180" w:lineRule="exact"/>
              <w:contextualSpacing/>
              <w:rPr>
                <w:color w:val="auto"/>
                <w:sz w:val="18"/>
                <w:szCs w:val="18"/>
              </w:rPr>
            </w:pPr>
            <w:r w:rsidRPr="00AF7B36">
              <w:rPr>
                <w:color w:val="auto"/>
                <w:sz w:val="18"/>
                <w:szCs w:val="18"/>
              </w:rPr>
              <w:t>0%</w:t>
            </w:r>
          </w:p>
        </w:tc>
        <w:tc>
          <w:tcPr>
            <w:tcW w:w="990" w:type="dxa"/>
            <w:shd w:val="clear" w:color="auto" w:fill="FFFFFF" w:themeFill="background1"/>
            <w:vAlign w:val="center"/>
          </w:tcPr>
          <w:p w:rsidR="006D5F04" w:rsidRPr="00AF7B36" w:rsidRDefault="00B72E4B" w:rsidP="00656003">
            <w:pPr>
              <w:spacing w:line="180" w:lineRule="exact"/>
              <w:contextualSpacing/>
              <w:rPr>
                <w:color w:val="auto"/>
                <w:sz w:val="18"/>
                <w:szCs w:val="18"/>
              </w:rPr>
            </w:pPr>
            <w:r w:rsidRPr="00AF7B36">
              <w:rPr>
                <w:color w:val="auto"/>
                <w:sz w:val="18"/>
                <w:szCs w:val="18"/>
              </w:rPr>
              <w:t>2008</w:t>
            </w:r>
            <w:r w:rsidR="00656003" w:rsidRPr="00AF7B36">
              <w:rPr>
                <w:color w:val="auto"/>
                <w:sz w:val="18"/>
                <w:szCs w:val="18"/>
              </w:rPr>
              <w:t>1001</w:t>
            </w:r>
          </w:p>
        </w:tc>
      </w:tr>
      <w:tr w:rsidR="006D5F04" w:rsidRPr="00AF7B36" w:rsidTr="00B417BF">
        <w:trPr>
          <w:trHeight w:val="260"/>
          <w:jc w:val="center"/>
        </w:trPr>
        <w:tc>
          <w:tcPr>
            <w:tcW w:w="4158" w:type="dxa"/>
            <w:gridSpan w:val="3"/>
            <w:vMerge w:val="restart"/>
            <w:tcBorders>
              <w:right w:val="thinThickThinSmallGap" w:sz="2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6D5F04" w:rsidRPr="00AF7B36" w:rsidRDefault="0052791E" w:rsidP="0052791E">
            <w:pPr>
              <w:spacing w:line="180" w:lineRule="exact"/>
              <w:contextualSpacing/>
              <w:jc w:val="left"/>
              <w:rPr>
                <w:color w:val="auto"/>
                <w:sz w:val="18"/>
                <w:szCs w:val="18"/>
              </w:rPr>
            </w:pPr>
            <w:r w:rsidRPr="00AF7B36">
              <w:rPr>
                <w:color w:val="auto"/>
                <w:sz w:val="18"/>
                <w:szCs w:val="18"/>
              </w:rPr>
              <w:t xml:space="preserve">Bilateral </w:t>
            </w:r>
            <w:r w:rsidR="006D5F04" w:rsidRPr="00AF7B36">
              <w:rPr>
                <w:color w:val="auto"/>
                <w:sz w:val="18"/>
                <w:szCs w:val="18"/>
              </w:rPr>
              <w:t>Tinnitus</w:t>
            </w:r>
          </w:p>
        </w:tc>
        <w:tc>
          <w:tcPr>
            <w:tcW w:w="1062" w:type="dxa"/>
            <w:tcBorders>
              <w:left w:val="single" w:sz="4" w:space="0" w:color="auto"/>
            </w:tcBorders>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6260</w:t>
            </w:r>
          </w:p>
        </w:tc>
        <w:tc>
          <w:tcPr>
            <w:tcW w:w="828"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10%</w:t>
            </w:r>
          </w:p>
        </w:tc>
        <w:tc>
          <w:tcPr>
            <w:tcW w:w="990" w:type="dxa"/>
            <w:shd w:val="clear" w:color="auto" w:fill="FFFFFF" w:themeFill="background1"/>
            <w:vAlign w:val="center"/>
          </w:tcPr>
          <w:p w:rsidR="006D5F04" w:rsidRPr="00AF7B36" w:rsidRDefault="006D5F04" w:rsidP="00B417BF">
            <w:pPr>
              <w:spacing w:line="180" w:lineRule="exact"/>
              <w:contextualSpacing/>
              <w:rPr>
                <w:color w:val="auto"/>
                <w:sz w:val="18"/>
                <w:szCs w:val="18"/>
              </w:rPr>
            </w:pPr>
            <w:r w:rsidRPr="00AF7B36">
              <w:rPr>
                <w:color w:val="auto"/>
                <w:sz w:val="18"/>
                <w:szCs w:val="18"/>
              </w:rPr>
              <w:t>20090216</w:t>
            </w:r>
          </w:p>
        </w:tc>
      </w:tr>
      <w:tr w:rsidR="006D5F04" w:rsidRPr="00AF7B36" w:rsidTr="00B417BF">
        <w:trPr>
          <w:trHeight w:val="260"/>
          <w:jc w:val="center"/>
        </w:trPr>
        <w:tc>
          <w:tcPr>
            <w:tcW w:w="4158" w:type="dxa"/>
            <w:gridSpan w:val="3"/>
            <w:vMerge/>
            <w:tcBorders>
              <w:right w:val="thinThickThinSmallGap" w:sz="24" w:space="0" w:color="auto"/>
            </w:tcBorders>
            <w:shd w:val="clear" w:color="auto" w:fill="FFFFFF" w:themeFill="background1"/>
          </w:tcPr>
          <w:p w:rsidR="006D5F04" w:rsidRPr="00AF7B36" w:rsidRDefault="006D5F04" w:rsidP="00B417BF">
            <w:pPr>
              <w:spacing w:line="18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6D5F04" w:rsidRPr="00AF7B36" w:rsidRDefault="006D5F04" w:rsidP="007A1E39">
            <w:pPr>
              <w:spacing w:line="180" w:lineRule="exact"/>
              <w:contextualSpacing/>
              <w:rPr>
                <w:color w:val="auto"/>
                <w:sz w:val="18"/>
                <w:szCs w:val="18"/>
              </w:rPr>
            </w:pPr>
            <w:r w:rsidRPr="00AF7B36">
              <w:rPr>
                <w:rFonts w:cs="Times New Roman"/>
                <w:color w:val="auto"/>
                <w:sz w:val="18"/>
                <w:szCs w:val="18"/>
              </w:rPr>
              <w:t>0% x 3/Not Service Connected x 1</w:t>
            </w:r>
          </w:p>
        </w:tc>
        <w:tc>
          <w:tcPr>
            <w:tcW w:w="990" w:type="dxa"/>
            <w:shd w:val="clear" w:color="auto" w:fill="FFFFFF" w:themeFill="background1"/>
            <w:vAlign w:val="center"/>
          </w:tcPr>
          <w:p w:rsidR="006D5F04" w:rsidRPr="00AF7B36" w:rsidRDefault="006D5F04" w:rsidP="00656003">
            <w:pPr>
              <w:spacing w:line="180" w:lineRule="exact"/>
              <w:contextualSpacing/>
              <w:rPr>
                <w:color w:val="auto"/>
                <w:sz w:val="18"/>
                <w:szCs w:val="18"/>
              </w:rPr>
            </w:pPr>
            <w:r w:rsidRPr="00AF7B36">
              <w:rPr>
                <w:color w:val="auto"/>
                <w:sz w:val="18"/>
                <w:szCs w:val="18"/>
              </w:rPr>
              <w:t>2008</w:t>
            </w:r>
            <w:r w:rsidR="00656003" w:rsidRPr="00AF7B36">
              <w:rPr>
                <w:color w:val="auto"/>
                <w:sz w:val="18"/>
                <w:szCs w:val="18"/>
              </w:rPr>
              <w:t>1001</w:t>
            </w:r>
          </w:p>
        </w:tc>
      </w:tr>
      <w:tr w:rsidR="006D5F04" w:rsidRPr="00AF7B36" w:rsidTr="00B417B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6D5F04" w:rsidRPr="00AF7B36" w:rsidRDefault="006D5F04" w:rsidP="00B417BF">
            <w:pPr>
              <w:spacing w:line="200" w:lineRule="exact"/>
              <w:contextualSpacing/>
              <w:rPr>
                <w:b/>
                <w:color w:val="auto"/>
                <w:sz w:val="20"/>
                <w:szCs w:val="20"/>
              </w:rPr>
            </w:pPr>
            <w:r w:rsidRPr="00AF7B36">
              <w:rPr>
                <w:b/>
                <w:color w:val="auto"/>
                <w:sz w:val="20"/>
                <w:szCs w:val="20"/>
              </w:rPr>
              <w:t>Combined:  50%</w:t>
            </w:r>
          </w:p>
        </w:tc>
      </w:tr>
    </w:tbl>
    <w:p w:rsidR="004174F0" w:rsidRPr="00AF7B36" w:rsidRDefault="004174F0" w:rsidP="00BF0E94">
      <w:pPr>
        <w:pBdr>
          <w:bottom w:val="single" w:sz="12" w:space="1" w:color="auto"/>
        </w:pBdr>
        <w:tabs>
          <w:tab w:val="left" w:pos="288"/>
          <w:tab w:val="left" w:pos="4752"/>
        </w:tabs>
        <w:jc w:val="both"/>
        <w:rPr>
          <w:color w:val="auto"/>
        </w:rPr>
      </w:pPr>
    </w:p>
    <w:p w:rsidR="009369A6" w:rsidRPr="00AF7B36" w:rsidRDefault="009369A6" w:rsidP="007D60CB">
      <w:pPr>
        <w:jc w:val="left"/>
        <w:rPr>
          <w:color w:val="auto"/>
          <w:szCs w:val="24"/>
          <w:u w:val="single"/>
        </w:rPr>
      </w:pPr>
    </w:p>
    <w:p w:rsidR="002C6E5B" w:rsidRPr="00AF7B36" w:rsidRDefault="002C6E5B" w:rsidP="009369A6">
      <w:pPr>
        <w:jc w:val="left"/>
        <w:rPr>
          <w:color w:val="auto"/>
          <w:szCs w:val="24"/>
          <w:u w:val="single"/>
        </w:rPr>
      </w:pPr>
      <w:r w:rsidRPr="00AF7B36">
        <w:rPr>
          <w:color w:val="auto"/>
          <w:szCs w:val="24"/>
          <w:u w:val="single"/>
        </w:rPr>
        <w:t>ANALYSIS SUMMARY</w:t>
      </w:r>
      <w:r w:rsidRPr="00AF7B36">
        <w:rPr>
          <w:color w:val="auto"/>
          <w:szCs w:val="24"/>
        </w:rPr>
        <w:t>:</w:t>
      </w:r>
    </w:p>
    <w:p w:rsidR="004C60A3" w:rsidRPr="00AF7B36" w:rsidRDefault="004C60A3" w:rsidP="00BF0E94">
      <w:pPr>
        <w:jc w:val="left"/>
        <w:rPr>
          <w:color w:val="auto"/>
          <w:szCs w:val="24"/>
        </w:rPr>
      </w:pPr>
    </w:p>
    <w:p w:rsidR="00AC2BCC" w:rsidRPr="00AF7B36" w:rsidRDefault="00100F84" w:rsidP="007F4205">
      <w:pPr>
        <w:jc w:val="both"/>
        <w:rPr>
          <w:color w:val="auto"/>
          <w:szCs w:val="24"/>
        </w:rPr>
      </w:pPr>
      <w:proofErr w:type="gramStart"/>
      <w:r w:rsidRPr="00100F84">
        <w:rPr>
          <w:color w:val="000000" w:themeColor="text1"/>
          <w:szCs w:val="24"/>
          <w:u w:val="single"/>
        </w:rPr>
        <w:t>Cervical Spine</w:t>
      </w:r>
      <w:r w:rsidR="0080588E" w:rsidRPr="00100F84">
        <w:rPr>
          <w:color w:val="000000" w:themeColor="text1"/>
          <w:szCs w:val="24"/>
          <w:u w:val="single"/>
        </w:rPr>
        <w:t xml:space="preserve"> </w:t>
      </w:r>
      <w:r w:rsidR="003F2EEE" w:rsidRPr="00100F84">
        <w:rPr>
          <w:color w:val="000000" w:themeColor="text1"/>
          <w:szCs w:val="24"/>
          <w:u w:val="single"/>
        </w:rPr>
        <w:t>Condition</w:t>
      </w:r>
      <w:r w:rsidR="003F2EEE" w:rsidRPr="00100F84">
        <w:rPr>
          <w:color w:val="000000" w:themeColor="text1"/>
          <w:szCs w:val="24"/>
        </w:rPr>
        <w:t>.</w:t>
      </w:r>
      <w:proofErr w:type="gramEnd"/>
      <w:r w:rsidR="003F2EEE" w:rsidRPr="00100F84">
        <w:rPr>
          <w:color w:val="000000" w:themeColor="text1"/>
          <w:szCs w:val="24"/>
        </w:rPr>
        <w:t xml:space="preserve">  </w:t>
      </w:r>
      <w:r w:rsidR="00A57C35" w:rsidRPr="00100F84">
        <w:rPr>
          <w:color w:val="000000" w:themeColor="text1"/>
          <w:szCs w:val="24"/>
        </w:rPr>
        <w:t xml:space="preserve">There </w:t>
      </w:r>
      <w:r w:rsidR="00A57C35" w:rsidRPr="007A1E39">
        <w:rPr>
          <w:color w:val="000000" w:themeColor="text1"/>
          <w:szCs w:val="24"/>
        </w:rPr>
        <w:t xml:space="preserve">were </w:t>
      </w:r>
      <w:r w:rsidR="00656003" w:rsidRPr="007A1E39">
        <w:rPr>
          <w:color w:val="000000" w:themeColor="text1"/>
          <w:szCs w:val="24"/>
        </w:rPr>
        <w:t>two</w:t>
      </w:r>
      <w:r w:rsidR="00A57C35" w:rsidRPr="007A1E39">
        <w:rPr>
          <w:color w:val="000000" w:themeColor="text1"/>
          <w:szCs w:val="24"/>
        </w:rPr>
        <w:t xml:space="preserve"> </w:t>
      </w:r>
      <w:r w:rsidR="00917B6C" w:rsidRPr="007A1E39">
        <w:rPr>
          <w:color w:val="000000" w:themeColor="text1"/>
          <w:szCs w:val="24"/>
        </w:rPr>
        <w:t xml:space="preserve">post-operative </w:t>
      </w:r>
      <w:r w:rsidR="00623CEA" w:rsidRPr="007A1E39">
        <w:rPr>
          <w:color w:val="000000" w:themeColor="text1"/>
          <w:szCs w:val="24"/>
        </w:rPr>
        <w:t xml:space="preserve">cervical spine examinations, both </w:t>
      </w:r>
      <w:r w:rsidR="00EB7FC0" w:rsidRPr="007A1E39">
        <w:rPr>
          <w:color w:val="000000" w:themeColor="text1"/>
          <w:szCs w:val="24"/>
        </w:rPr>
        <w:t xml:space="preserve">citing the same single </w:t>
      </w:r>
      <w:r w:rsidR="00A57C35" w:rsidRPr="007A1E39">
        <w:rPr>
          <w:color w:val="000000" w:themeColor="text1"/>
          <w:szCs w:val="24"/>
        </w:rPr>
        <w:t>goniometric range</w:t>
      </w:r>
      <w:r w:rsidR="0080588E" w:rsidRPr="007A1E39">
        <w:rPr>
          <w:color w:val="000000" w:themeColor="text1"/>
          <w:szCs w:val="24"/>
        </w:rPr>
        <w:t xml:space="preserve"> </w:t>
      </w:r>
      <w:r w:rsidR="00A57C35" w:rsidRPr="007A1E39">
        <w:rPr>
          <w:color w:val="000000" w:themeColor="text1"/>
          <w:szCs w:val="24"/>
        </w:rPr>
        <w:t>of</w:t>
      </w:r>
      <w:r w:rsidR="0080588E" w:rsidRPr="007A1E39">
        <w:rPr>
          <w:color w:val="000000" w:themeColor="text1"/>
          <w:szCs w:val="24"/>
        </w:rPr>
        <w:t xml:space="preserve"> </w:t>
      </w:r>
      <w:r w:rsidR="00A57C35" w:rsidRPr="007A1E39">
        <w:rPr>
          <w:color w:val="000000" w:themeColor="text1"/>
          <w:szCs w:val="24"/>
        </w:rPr>
        <w:t>motion (ROM) evaluation</w:t>
      </w:r>
      <w:r w:rsidR="00623CEA" w:rsidRPr="007A1E39">
        <w:rPr>
          <w:color w:val="000000" w:themeColor="text1"/>
          <w:szCs w:val="24"/>
        </w:rPr>
        <w:t>,</w:t>
      </w:r>
      <w:r w:rsidR="00A57C35" w:rsidRPr="007A1E39">
        <w:rPr>
          <w:color w:val="000000" w:themeColor="text1"/>
          <w:szCs w:val="24"/>
        </w:rPr>
        <w:t xml:space="preserve"> in</w:t>
      </w:r>
      <w:r w:rsidR="00A57C35" w:rsidRPr="00100F84">
        <w:rPr>
          <w:color w:val="000000" w:themeColor="text1"/>
          <w:szCs w:val="24"/>
        </w:rPr>
        <w:t xml:space="preserve"> evidence, </w:t>
      </w:r>
      <w:r w:rsidR="00A57C35" w:rsidRPr="00AF7B36">
        <w:rPr>
          <w:color w:val="auto"/>
          <w:szCs w:val="24"/>
        </w:rPr>
        <w:t>which the Board weighed in arriving at its rating recommendation.</w:t>
      </w:r>
      <w:r w:rsidR="00623CEA" w:rsidRPr="00AF7B36">
        <w:rPr>
          <w:color w:val="auto"/>
          <w:szCs w:val="24"/>
        </w:rPr>
        <w:t xml:space="preserve">  </w:t>
      </w:r>
      <w:r w:rsidR="007D60CB" w:rsidRPr="00AF7B36">
        <w:rPr>
          <w:rFonts w:asciiTheme="minorHAnsi" w:hAnsiTheme="minorHAnsi"/>
          <w:color w:val="auto"/>
          <w:szCs w:val="24"/>
        </w:rPr>
        <w:t>T</w:t>
      </w:r>
      <w:r w:rsidR="00623CEA" w:rsidRPr="00AF7B36">
        <w:rPr>
          <w:rFonts w:asciiTheme="minorHAnsi" w:hAnsiTheme="minorHAnsi"/>
          <w:color w:val="auto"/>
          <w:szCs w:val="24"/>
        </w:rPr>
        <w:t>hese exams are summarized in the chart below.</w:t>
      </w:r>
    </w:p>
    <w:p w:rsidR="007F4205" w:rsidRPr="00AF7B36" w:rsidRDefault="007F4205" w:rsidP="007F4205">
      <w:pPr>
        <w:jc w:val="both"/>
        <w:rPr>
          <w:rFonts w:eastAsiaTheme="minorHAnsi"/>
          <w:color w:val="auto"/>
          <w:szCs w:val="24"/>
        </w:rPr>
      </w:pPr>
    </w:p>
    <w:tbl>
      <w:tblPr>
        <w:tblW w:w="0" w:type="auto"/>
        <w:jc w:val="center"/>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2749"/>
        <w:gridCol w:w="2696"/>
      </w:tblGrid>
      <w:tr w:rsidR="00335AAC" w:rsidRPr="00AF7B36" w:rsidTr="00335AAC">
        <w:trPr>
          <w:jc w:val="center"/>
        </w:trPr>
        <w:tc>
          <w:tcPr>
            <w:tcW w:w="21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5AAC" w:rsidRPr="00AF7B36" w:rsidRDefault="00335AAC" w:rsidP="007F4205">
            <w:pPr>
              <w:spacing w:line="200" w:lineRule="exact"/>
              <w:contextualSpacing/>
              <w:rPr>
                <w:rFonts w:asciiTheme="minorHAnsi" w:eastAsia="Calibri" w:hAnsiTheme="minorHAnsi"/>
                <w:b/>
                <w:color w:val="auto"/>
                <w:sz w:val="20"/>
              </w:rPr>
            </w:pPr>
            <w:r w:rsidRPr="00AF7B36">
              <w:rPr>
                <w:rFonts w:asciiTheme="minorHAnsi" w:eastAsia="Calibri" w:hAnsiTheme="minorHAnsi" w:cstheme="minorBidi"/>
                <w:color w:val="auto"/>
                <w:sz w:val="20"/>
              </w:rPr>
              <w:t>Goniometric ROM – Cervical</w:t>
            </w:r>
          </w:p>
        </w:tc>
        <w:tc>
          <w:tcPr>
            <w:tcW w:w="274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5AAC" w:rsidRPr="00AF7B36" w:rsidRDefault="00335AAC" w:rsidP="007A1E39">
            <w:pPr>
              <w:contextualSpacing/>
              <w:rPr>
                <w:rFonts w:asciiTheme="minorHAnsi" w:eastAsia="Calibri" w:hAnsiTheme="minorHAnsi"/>
                <w:color w:val="auto"/>
                <w:sz w:val="18"/>
                <w:szCs w:val="18"/>
              </w:rPr>
            </w:pPr>
            <w:r w:rsidRPr="00AF7B36">
              <w:rPr>
                <w:rFonts w:eastAsia="Calibri"/>
                <w:color w:val="auto"/>
                <w:sz w:val="18"/>
                <w:szCs w:val="18"/>
              </w:rPr>
              <w:t>VA C&amp;P (PT)</w:t>
            </w:r>
            <w:r w:rsidRPr="00AF7B36">
              <w:rPr>
                <w:rFonts w:eastAsiaTheme="minorHAnsi"/>
                <w:color w:val="auto"/>
                <w:sz w:val="18"/>
                <w:szCs w:val="18"/>
              </w:rPr>
              <w:t xml:space="preserve"> </w:t>
            </w:r>
            <w:r w:rsidRPr="00AF7B36">
              <w:rPr>
                <w:rFonts w:eastAsia="Calibri"/>
                <w:color w:val="auto"/>
                <w:sz w:val="18"/>
                <w:szCs w:val="18"/>
              </w:rPr>
              <w:t>~ 7 Mo. Pre-Sep</w:t>
            </w:r>
          </w:p>
        </w:tc>
        <w:tc>
          <w:tcPr>
            <w:tcW w:w="269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35AAC" w:rsidRPr="00AF7B36" w:rsidRDefault="00335AAC" w:rsidP="007A1E39">
            <w:pPr>
              <w:contextualSpacing/>
              <w:rPr>
                <w:rFonts w:asciiTheme="minorHAnsi" w:eastAsia="Calibri" w:hAnsiTheme="minorHAnsi"/>
                <w:color w:val="auto"/>
                <w:sz w:val="18"/>
                <w:szCs w:val="18"/>
              </w:rPr>
            </w:pPr>
            <w:r w:rsidRPr="00AF7B36">
              <w:rPr>
                <w:rFonts w:eastAsia="Calibri"/>
                <w:color w:val="auto"/>
                <w:sz w:val="18"/>
                <w:szCs w:val="18"/>
              </w:rPr>
              <w:t>MEB ~ 6 Mo. Pre-Sep</w:t>
            </w:r>
          </w:p>
        </w:tc>
      </w:tr>
      <w:tr w:rsidR="00335AAC" w:rsidRPr="00AF7B36" w:rsidTr="00335AAC">
        <w:trPr>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335AAC" w:rsidRPr="00AF7B36" w:rsidRDefault="00335AAC" w:rsidP="007F4205">
            <w:pPr>
              <w:spacing w:line="180" w:lineRule="exact"/>
              <w:contextualSpacing/>
              <w:rPr>
                <w:rFonts w:asciiTheme="minorHAnsi" w:eastAsia="Calibri" w:hAnsiTheme="minorHAnsi"/>
                <w:color w:val="auto"/>
                <w:sz w:val="18"/>
                <w:szCs w:val="18"/>
              </w:rPr>
            </w:pPr>
            <w:r w:rsidRPr="00AF7B36">
              <w:rPr>
                <w:rFonts w:asciiTheme="minorHAnsi" w:eastAsia="Calibri" w:hAnsiTheme="minorHAnsi"/>
                <w:color w:val="auto"/>
                <w:sz w:val="18"/>
                <w:szCs w:val="18"/>
              </w:rPr>
              <w:t>Flex (0-45)</w:t>
            </w:r>
          </w:p>
        </w:tc>
        <w:tc>
          <w:tcPr>
            <w:tcW w:w="2749" w:type="dxa"/>
            <w:tcBorders>
              <w:top w:val="single" w:sz="4" w:space="0" w:color="000000"/>
              <w:left w:val="single" w:sz="4" w:space="0" w:color="000000"/>
              <w:bottom w:val="single" w:sz="4" w:space="0" w:color="000000"/>
              <w:right w:val="single" w:sz="4" w:space="0" w:color="000000"/>
            </w:tcBorders>
            <w:vAlign w:val="center"/>
          </w:tcPr>
          <w:p w:rsidR="00335AAC" w:rsidRPr="00AF7B36" w:rsidRDefault="00335AAC" w:rsidP="007F4205">
            <w:pPr>
              <w:contextualSpacing/>
              <w:rPr>
                <w:rFonts w:eastAsia="Calibri"/>
                <w:color w:val="auto"/>
                <w:sz w:val="18"/>
                <w:szCs w:val="18"/>
              </w:rPr>
            </w:pPr>
            <w:r w:rsidRPr="00AF7B36">
              <w:rPr>
                <w:rFonts w:eastAsia="Calibri"/>
                <w:color w:val="auto"/>
                <w:sz w:val="18"/>
                <w:szCs w:val="18"/>
              </w:rPr>
              <w:t>45⁰</w:t>
            </w:r>
          </w:p>
        </w:tc>
        <w:tc>
          <w:tcPr>
            <w:tcW w:w="2696" w:type="dxa"/>
            <w:tcBorders>
              <w:top w:val="single" w:sz="4" w:space="0" w:color="000000"/>
              <w:left w:val="single" w:sz="4" w:space="0" w:color="000000"/>
              <w:bottom w:val="single" w:sz="4" w:space="0" w:color="000000"/>
              <w:right w:val="single" w:sz="4" w:space="0" w:color="000000"/>
            </w:tcBorders>
            <w:vAlign w:val="center"/>
          </w:tcPr>
          <w:p w:rsidR="00335AAC" w:rsidRPr="00AF7B36" w:rsidRDefault="00335AAC" w:rsidP="007F4205">
            <w:pPr>
              <w:contextualSpacing/>
              <w:rPr>
                <w:rFonts w:eastAsia="Calibri"/>
                <w:color w:val="auto"/>
                <w:sz w:val="18"/>
                <w:szCs w:val="18"/>
              </w:rPr>
            </w:pPr>
            <w:r w:rsidRPr="00AF7B36">
              <w:rPr>
                <w:rFonts w:eastAsia="Calibri"/>
                <w:color w:val="auto"/>
                <w:sz w:val="18"/>
                <w:szCs w:val="18"/>
              </w:rPr>
              <w:t>45⁰</w:t>
            </w:r>
          </w:p>
        </w:tc>
      </w:tr>
      <w:tr w:rsidR="00335AAC" w:rsidRPr="00AF7B36" w:rsidTr="00335AAC">
        <w:trPr>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335AAC" w:rsidRPr="00AF7B36" w:rsidRDefault="00335AAC" w:rsidP="007F4205">
            <w:pPr>
              <w:spacing w:line="180" w:lineRule="exact"/>
              <w:contextualSpacing/>
              <w:rPr>
                <w:rFonts w:asciiTheme="minorHAnsi" w:eastAsia="Calibri" w:hAnsiTheme="minorHAnsi"/>
                <w:color w:val="auto"/>
                <w:sz w:val="18"/>
                <w:szCs w:val="18"/>
              </w:rPr>
            </w:pPr>
            <w:r w:rsidRPr="00AF7B36">
              <w:rPr>
                <w:rFonts w:asciiTheme="minorHAnsi" w:eastAsia="Calibri" w:hAnsiTheme="minorHAnsi"/>
                <w:color w:val="auto"/>
                <w:sz w:val="18"/>
                <w:szCs w:val="18"/>
              </w:rPr>
              <w:t>COMBINED (340)</w:t>
            </w:r>
          </w:p>
        </w:tc>
        <w:tc>
          <w:tcPr>
            <w:tcW w:w="2749" w:type="dxa"/>
            <w:tcBorders>
              <w:top w:val="single" w:sz="4" w:space="0" w:color="000000"/>
              <w:left w:val="single" w:sz="4" w:space="0" w:color="000000"/>
              <w:bottom w:val="single" w:sz="4" w:space="0" w:color="000000"/>
              <w:right w:val="single" w:sz="4" w:space="0" w:color="000000"/>
            </w:tcBorders>
            <w:vAlign w:val="center"/>
          </w:tcPr>
          <w:p w:rsidR="00335AAC" w:rsidRPr="00AF7B36" w:rsidRDefault="00335AAC" w:rsidP="007F4205">
            <w:pPr>
              <w:rPr>
                <w:color w:val="auto"/>
                <w:sz w:val="18"/>
                <w:szCs w:val="18"/>
              </w:rPr>
            </w:pPr>
            <w:r w:rsidRPr="00AF7B36">
              <w:rPr>
                <w:rFonts w:eastAsia="Calibri"/>
                <w:color w:val="auto"/>
                <w:sz w:val="18"/>
                <w:szCs w:val="18"/>
              </w:rPr>
              <w:t>260⁰</w:t>
            </w:r>
          </w:p>
        </w:tc>
        <w:tc>
          <w:tcPr>
            <w:tcW w:w="2696" w:type="dxa"/>
            <w:tcBorders>
              <w:top w:val="single" w:sz="4" w:space="0" w:color="000000"/>
              <w:left w:val="single" w:sz="4" w:space="0" w:color="000000"/>
              <w:bottom w:val="single" w:sz="4" w:space="0" w:color="000000"/>
              <w:right w:val="single" w:sz="4" w:space="0" w:color="000000"/>
            </w:tcBorders>
            <w:vAlign w:val="center"/>
          </w:tcPr>
          <w:p w:rsidR="00335AAC" w:rsidRPr="00AF7B36" w:rsidRDefault="00335AAC" w:rsidP="007F4205">
            <w:pPr>
              <w:rPr>
                <w:color w:val="auto"/>
                <w:sz w:val="18"/>
                <w:szCs w:val="18"/>
              </w:rPr>
            </w:pPr>
            <w:r w:rsidRPr="00AF7B36">
              <w:rPr>
                <w:rFonts w:eastAsia="Calibri"/>
                <w:color w:val="auto"/>
                <w:sz w:val="18"/>
                <w:szCs w:val="18"/>
              </w:rPr>
              <w:t>260⁰</w:t>
            </w:r>
          </w:p>
        </w:tc>
      </w:tr>
      <w:tr w:rsidR="00335AAC" w:rsidRPr="00AF7B36" w:rsidTr="00335AAC">
        <w:trPr>
          <w:trHeight w:val="344"/>
          <w:jc w:val="center"/>
        </w:trPr>
        <w:tc>
          <w:tcPr>
            <w:tcW w:w="2148" w:type="dxa"/>
            <w:vMerge w:val="restart"/>
            <w:tcBorders>
              <w:top w:val="single" w:sz="4" w:space="0" w:color="000000"/>
              <w:left w:val="single" w:sz="4" w:space="0" w:color="000000"/>
              <w:right w:val="single" w:sz="4" w:space="0" w:color="000000"/>
            </w:tcBorders>
            <w:vAlign w:val="center"/>
            <w:hideMark/>
          </w:tcPr>
          <w:p w:rsidR="00335AAC" w:rsidRPr="00AF7B36" w:rsidRDefault="00335AAC" w:rsidP="007F4205">
            <w:pPr>
              <w:spacing w:line="180" w:lineRule="exact"/>
              <w:contextualSpacing/>
              <w:rPr>
                <w:rFonts w:asciiTheme="minorHAnsi" w:eastAsia="Calibri" w:hAnsiTheme="minorHAnsi"/>
                <w:color w:val="auto"/>
                <w:sz w:val="18"/>
                <w:szCs w:val="18"/>
              </w:rPr>
            </w:pPr>
            <w:r w:rsidRPr="00AF7B36">
              <w:rPr>
                <w:rFonts w:asciiTheme="minorHAnsi" w:eastAsia="Calibri" w:hAnsiTheme="minorHAnsi"/>
                <w:color w:val="auto"/>
                <w:sz w:val="18"/>
                <w:szCs w:val="18"/>
              </w:rPr>
              <w:t>Comment</w:t>
            </w:r>
          </w:p>
        </w:tc>
        <w:tc>
          <w:tcPr>
            <w:tcW w:w="5445" w:type="dxa"/>
            <w:gridSpan w:val="2"/>
            <w:tcBorders>
              <w:top w:val="single" w:sz="4" w:space="0" w:color="000000"/>
              <w:left w:val="single" w:sz="4" w:space="0" w:color="000000"/>
              <w:right w:val="single" w:sz="4" w:space="0" w:color="000000"/>
            </w:tcBorders>
            <w:vAlign w:val="center"/>
          </w:tcPr>
          <w:p w:rsidR="00335AAC" w:rsidRPr="00AF7B36" w:rsidRDefault="00335AAC" w:rsidP="006514AD">
            <w:pPr>
              <w:tabs>
                <w:tab w:val="left" w:pos="288"/>
                <w:tab w:val="left" w:pos="4752"/>
              </w:tabs>
              <w:spacing w:line="180" w:lineRule="exact"/>
              <w:rPr>
                <w:rFonts w:eastAsiaTheme="minorHAnsi"/>
                <w:color w:val="auto"/>
                <w:sz w:val="18"/>
                <w:szCs w:val="18"/>
              </w:rPr>
            </w:pPr>
            <w:r w:rsidRPr="00AF7B36">
              <w:rPr>
                <w:rFonts w:eastAsiaTheme="minorHAnsi"/>
                <w:color w:val="auto"/>
                <w:sz w:val="18"/>
                <w:szCs w:val="18"/>
              </w:rPr>
              <w:t>Pain limited motion, decreased cervical lordosis, scarring, no TTP, no spasm, no guarding, gait normal, no swelling, no atrophy</w:t>
            </w:r>
          </w:p>
        </w:tc>
      </w:tr>
      <w:tr w:rsidR="00335AAC" w:rsidRPr="00AF7B36" w:rsidTr="00335AAC">
        <w:trPr>
          <w:trHeight w:val="343"/>
          <w:jc w:val="center"/>
        </w:trPr>
        <w:tc>
          <w:tcPr>
            <w:tcW w:w="2148" w:type="dxa"/>
            <w:vMerge/>
            <w:tcBorders>
              <w:left w:val="single" w:sz="4" w:space="0" w:color="000000"/>
              <w:bottom w:val="single" w:sz="4" w:space="0" w:color="auto"/>
              <w:right w:val="single" w:sz="4" w:space="0" w:color="000000"/>
            </w:tcBorders>
            <w:vAlign w:val="center"/>
            <w:hideMark/>
          </w:tcPr>
          <w:p w:rsidR="00335AAC" w:rsidRPr="00AF7B36" w:rsidRDefault="00335AAC" w:rsidP="007F4205">
            <w:pPr>
              <w:spacing w:line="180" w:lineRule="exact"/>
              <w:contextualSpacing/>
              <w:rPr>
                <w:rFonts w:asciiTheme="minorHAnsi" w:eastAsia="Calibri" w:hAnsiTheme="minorHAnsi"/>
                <w:color w:val="auto"/>
                <w:sz w:val="18"/>
                <w:szCs w:val="18"/>
              </w:rPr>
            </w:pPr>
          </w:p>
        </w:tc>
        <w:tc>
          <w:tcPr>
            <w:tcW w:w="2749" w:type="dxa"/>
            <w:tcBorders>
              <w:left w:val="single" w:sz="4" w:space="0" w:color="000000"/>
              <w:bottom w:val="single" w:sz="4" w:space="0" w:color="auto"/>
              <w:right w:val="single" w:sz="4" w:space="0" w:color="000000"/>
            </w:tcBorders>
            <w:vAlign w:val="center"/>
          </w:tcPr>
          <w:p w:rsidR="00335AAC" w:rsidRPr="00AF7B36" w:rsidRDefault="00745C1C" w:rsidP="007F4205">
            <w:pPr>
              <w:tabs>
                <w:tab w:val="left" w:pos="288"/>
                <w:tab w:val="left" w:pos="4752"/>
              </w:tabs>
              <w:spacing w:line="180" w:lineRule="exact"/>
              <w:rPr>
                <w:rFonts w:eastAsiaTheme="minorHAnsi"/>
                <w:color w:val="auto"/>
                <w:sz w:val="18"/>
                <w:szCs w:val="18"/>
              </w:rPr>
            </w:pPr>
            <w:r w:rsidRPr="00AF7B36">
              <w:rPr>
                <w:rFonts w:eastAsiaTheme="minorHAnsi"/>
                <w:color w:val="auto"/>
                <w:sz w:val="18"/>
                <w:szCs w:val="18"/>
              </w:rPr>
              <w:t xml:space="preserve">Gait normal, with </w:t>
            </w:r>
            <w:r w:rsidR="00975C7E" w:rsidRPr="00AF7B36">
              <w:rPr>
                <w:rFonts w:eastAsiaTheme="minorHAnsi"/>
                <w:color w:val="auto"/>
                <w:sz w:val="18"/>
                <w:szCs w:val="18"/>
              </w:rPr>
              <w:t>cane used as ambulatory aid for balance</w:t>
            </w:r>
          </w:p>
        </w:tc>
        <w:tc>
          <w:tcPr>
            <w:tcW w:w="2696" w:type="dxa"/>
            <w:tcBorders>
              <w:top w:val="single" w:sz="4" w:space="0" w:color="000000"/>
              <w:left w:val="single" w:sz="4" w:space="0" w:color="000000"/>
              <w:bottom w:val="single" w:sz="4" w:space="0" w:color="auto"/>
              <w:right w:val="single" w:sz="4" w:space="0" w:color="000000"/>
            </w:tcBorders>
            <w:vAlign w:val="center"/>
          </w:tcPr>
          <w:p w:rsidR="00335AAC" w:rsidRPr="00AF7B36" w:rsidRDefault="00335AAC" w:rsidP="006514AD">
            <w:pPr>
              <w:tabs>
                <w:tab w:val="left" w:pos="288"/>
                <w:tab w:val="left" w:pos="4752"/>
              </w:tabs>
              <w:spacing w:line="180" w:lineRule="exact"/>
              <w:rPr>
                <w:rFonts w:eastAsiaTheme="minorHAnsi"/>
                <w:color w:val="auto"/>
                <w:sz w:val="18"/>
                <w:szCs w:val="18"/>
              </w:rPr>
            </w:pPr>
            <w:r w:rsidRPr="00AF7B36">
              <w:rPr>
                <w:rFonts w:eastAsiaTheme="minorHAnsi"/>
                <w:color w:val="auto"/>
                <w:sz w:val="18"/>
                <w:szCs w:val="18"/>
              </w:rPr>
              <w:t>Waddell neg, TTP</w:t>
            </w:r>
          </w:p>
        </w:tc>
      </w:tr>
      <w:tr w:rsidR="00335AAC" w:rsidRPr="00AF7B36" w:rsidTr="00335AAC">
        <w:trPr>
          <w:jc w:val="center"/>
        </w:trPr>
        <w:tc>
          <w:tcPr>
            <w:tcW w:w="2148" w:type="dxa"/>
            <w:tcBorders>
              <w:top w:val="single" w:sz="4" w:space="0" w:color="000000"/>
              <w:left w:val="single" w:sz="4" w:space="0" w:color="000000"/>
              <w:bottom w:val="single" w:sz="4" w:space="0" w:color="auto"/>
              <w:right w:val="single" w:sz="4" w:space="0" w:color="000000"/>
            </w:tcBorders>
            <w:vAlign w:val="center"/>
            <w:hideMark/>
          </w:tcPr>
          <w:p w:rsidR="00335AAC" w:rsidRPr="00AF7B36" w:rsidRDefault="00335AAC" w:rsidP="00975C7E">
            <w:pPr>
              <w:spacing w:line="180" w:lineRule="exact"/>
              <w:contextualSpacing/>
              <w:rPr>
                <w:rFonts w:asciiTheme="minorHAnsi" w:eastAsia="Calibri" w:hAnsiTheme="minorHAnsi"/>
                <w:color w:val="auto"/>
                <w:sz w:val="18"/>
                <w:szCs w:val="18"/>
              </w:rPr>
            </w:pPr>
            <w:r w:rsidRPr="00AF7B36">
              <w:rPr>
                <w:rFonts w:asciiTheme="minorHAnsi" w:eastAsia="Calibri" w:hAnsiTheme="minorHAnsi"/>
                <w:color w:val="auto"/>
                <w:sz w:val="18"/>
                <w:szCs w:val="18"/>
              </w:rPr>
              <w:t>§4.71a Rating</w:t>
            </w:r>
          </w:p>
        </w:tc>
        <w:tc>
          <w:tcPr>
            <w:tcW w:w="2749" w:type="dxa"/>
            <w:tcBorders>
              <w:top w:val="single" w:sz="4" w:space="0" w:color="000000"/>
              <w:left w:val="single" w:sz="4" w:space="0" w:color="000000"/>
              <w:bottom w:val="single" w:sz="4" w:space="0" w:color="auto"/>
              <w:right w:val="single" w:sz="4" w:space="0" w:color="000000"/>
            </w:tcBorders>
            <w:vAlign w:val="center"/>
          </w:tcPr>
          <w:p w:rsidR="00335AAC" w:rsidRPr="00AF7B36" w:rsidRDefault="00335AAC" w:rsidP="00975C7E">
            <w:pPr>
              <w:tabs>
                <w:tab w:val="left" w:pos="288"/>
                <w:tab w:val="left" w:pos="4752"/>
              </w:tabs>
              <w:spacing w:line="180" w:lineRule="exact"/>
              <w:rPr>
                <w:rFonts w:asciiTheme="minorHAnsi" w:eastAsiaTheme="minorHAnsi" w:hAnsiTheme="minorHAnsi"/>
                <w:color w:val="auto"/>
                <w:sz w:val="18"/>
                <w:szCs w:val="18"/>
              </w:rPr>
            </w:pPr>
            <w:r w:rsidRPr="00AF7B36">
              <w:rPr>
                <w:rFonts w:asciiTheme="minorHAnsi" w:eastAsiaTheme="minorHAnsi" w:hAnsiTheme="minorHAnsi"/>
                <w:color w:val="auto"/>
                <w:sz w:val="18"/>
                <w:szCs w:val="18"/>
              </w:rPr>
              <w:t>10%</w:t>
            </w:r>
          </w:p>
        </w:tc>
        <w:tc>
          <w:tcPr>
            <w:tcW w:w="2696" w:type="dxa"/>
            <w:tcBorders>
              <w:top w:val="single" w:sz="4" w:space="0" w:color="000000"/>
              <w:left w:val="single" w:sz="4" w:space="0" w:color="000000"/>
              <w:bottom w:val="single" w:sz="4" w:space="0" w:color="auto"/>
              <w:right w:val="single" w:sz="4" w:space="0" w:color="000000"/>
            </w:tcBorders>
            <w:vAlign w:val="center"/>
          </w:tcPr>
          <w:p w:rsidR="00335AAC" w:rsidRPr="00AF7B36" w:rsidRDefault="00335AAC" w:rsidP="00975C7E">
            <w:pPr>
              <w:tabs>
                <w:tab w:val="left" w:pos="288"/>
                <w:tab w:val="left" w:pos="4752"/>
              </w:tabs>
              <w:spacing w:line="180" w:lineRule="exact"/>
              <w:rPr>
                <w:rFonts w:asciiTheme="minorHAnsi" w:eastAsiaTheme="minorHAnsi" w:hAnsiTheme="minorHAnsi"/>
                <w:color w:val="auto"/>
                <w:sz w:val="18"/>
                <w:szCs w:val="18"/>
              </w:rPr>
            </w:pPr>
            <w:r w:rsidRPr="00AF7B36">
              <w:rPr>
                <w:rFonts w:asciiTheme="minorHAnsi" w:eastAsiaTheme="minorHAnsi" w:hAnsiTheme="minorHAnsi"/>
                <w:color w:val="auto"/>
                <w:sz w:val="18"/>
                <w:szCs w:val="18"/>
              </w:rPr>
              <w:t>10%</w:t>
            </w:r>
          </w:p>
        </w:tc>
      </w:tr>
    </w:tbl>
    <w:p w:rsidR="00AC2BCC" w:rsidRPr="00AF7B36" w:rsidRDefault="00AC2BCC" w:rsidP="00AC2BCC">
      <w:pPr>
        <w:spacing w:line="180" w:lineRule="exact"/>
        <w:rPr>
          <w:rFonts w:asciiTheme="minorHAnsi" w:eastAsiaTheme="minorHAnsi" w:hAnsiTheme="minorHAnsi" w:cstheme="minorBidi"/>
          <w:color w:val="auto"/>
          <w:sz w:val="18"/>
          <w:szCs w:val="18"/>
        </w:rPr>
      </w:pPr>
    </w:p>
    <w:p w:rsidR="00AC2BCC" w:rsidRPr="00AF7B36" w:rsidRDefault="00AC2BCC" w:rsidP="00100F84">
      <w:pPr>
        <w:jc w:val="left"/>
        <w:rPr>
          <w:color w:val="auto"/>
          <w:szCs w:val="24"/>
          <w:u w:val="single"/>
        </w:rPr>
      </w:pPr>
    </w:p>
    <w:p w:rsidR="00FE008A" w:rsidRPr="005529DD" w:rsidRDefault="001935F7" w:rsidP="001935F7">
      <w:pPr>
        <w:jc w:val="both"/>
        <w:rPr>
          <w:color w:val="000000" w:themeColor="text1"/>
          <w:szCs w:val="24"/>
        </w:rPr>
      </w:pPr>
      <w:r w:rsidRPr="001935F7">
        <w:rPr>
          <w:color w:val="000000" w:themeColor="text1"/>
          <w:szCs w:val="24"/>
        </w:rPr>
        <w:t xml:space="preserve">The </w:t>
      </w:r>
      <w:r w:rsidR="00E177A2">
        <w:rPr>
          <w:color w:val="000000" w:themeColor="text1"/>
          <w:szCs w:val="24"/>
        </w:rPr>
        <w:t>narrative summary (</w:t>
      </w:r>
      <w:r w:rsidR="00196554">
        <w:rPr>
          <w:color w:val="000000" w:themeColor="text1"/>
          <w:szCs w:val="24"/>
        </w:rPr>
        <w:t>NARSUM</w:t>
      </w:r>
      <w:r w:rsidR="00E177A2">
        <w:rPr>
          <w:color w:val="000000" w:themeColor="text1"/>
          <w:szCs w:val="24"/>
        </w:rPr>
        <w:t>)</w:t>
      </w:r>
      <w:r w:rsidR="00196554">
        <w:rPr>
          <w:color w:val="000000" w:themeColor="text1"/>
          <w:szCs w:val="24"/>
        </w:rPr>
        <w:t xml:space="preserve"> and </w:t>
      </w:r>
      <w:r w:rsidRPr="001935F7">
        <w:rPr>
          <w:color w:val="000000" w:themeColor="text1"/>
          <w:szCs w:val="24"/>
        </w:rPr>
        <w:t xml:space="preserve">VA </w:t>
      </w:r>
      <w:r w:rsidRPr="007A1E39">
        <w:rPr>
          <w:color w:val="000000" w:themeColor="text1"/>
          <w:szCs w:val="24"/>
        </w:rPr>
        <w:t>exam</w:t>
      </w:r>
      <w:r w:rsidR="00196554" w:rsidRPr="007A1E39">
        <w:rPr>
          <w:color w:val="000000" w:themeColor="text1"/>
          <w:szCs w:val="24"/>
        </w:rPr>
        <w:t xml:space="preserve"> cited the same </w:t>
      </w:r>
      <w:r w:rsidR="00AC2BCC" w:rsidRPr="007A1E39">
        <w:rPr>
          <w:color w:val="000000" w:themeColor="text1"/>
          <w:szCs w:val="24"/>
        </w:rPr>
        <w:t>ROM</w:t>
      </w:r>
      <w:r w:rsidR="00196554" w:rsidRPr="007A1E39">
        <w:rPr>
          <w:color w:val="000000" w:themeColor="text1"/>
          <w:szCs w:val="24"/>
        </w:rPr>
        <w:t xml:space="preserve"> data</w:t>
      </w:r>
      <w:r w:rsidRPr="007A1E39">
        <w:rPr>
          <w:color w:val="000000" w:themeColor="text1"/>
          <w:szCs w:val="24"/>
        </w:rPr>
        <w:t xml:space="preserve">, </w:t>
      </w:r>
      <w:r w:rsidR="00196554" w:rsidRPr="007A1E39">
        <w:rPr>
          <w:color w:val="000000" w:themeColor="text1"/>
          <w:szCs w:val="24"/>
        </w:rPr>
        <w:t xml:space="preserve">recorded </w:t>
      </w:r>
      <w:r w:rsidR="00E177A2">
        <w:rPr>
          <w:color w:val="000000" w:themeColor="text1"/>
          <w:szCs w:val="24"/>
        </w:rPr>
        <w:t>by physical t</w:t>
      </w:r>
      <w:r w:rsidR="00AC2BCC" w:rsidRPr="007A1E39">
        <w:rPr>
          <w:color w:val="000000" w:themeColor="text1"/>
          <w:szCs w:val="24"/>
        </w:rPr>
        <w:t xml:space="preserve">herapy (PT) </w:t>
      </w:r>
      <w:r w:rsidRPr="007A1E39">
        <w:rPr>
          <w:color w:val="000000" w:themeColor="text1"/>
          <w:szCs w:val="24"/>
        </w:rPr>
        <w:t>seven months pre-separation</w:t>
      </w:r>
      <w:r w:rsidR="00196554" w:rsidRPr="007A1E39">
        <w:rPr>
          <w:color w:val="000000" w:themeColor="text1"/>
          <w:szCs w:val="24"/>
        </w:rPr>
        <w:t>.  The</w:t>
      </w:r>
      <w:r w:rsidR="00606FA2" w:rsidRPr="007A1E39">
        <w:rPr>
          <w:color w:val="000000" w:themeColor="text1"/>
          <w:szCs w:val="24"/>
        </w:rPr>
        <w:t>se reports noted</w:t>
      </w:r>
      <w:r w:rsidRPr="007A1E39">
        <w:rPr>
          <w:color w:val="000000" w:themeColor="text1"/>
          <w:szCs w:val="24"/>
        </w:rPr>
        <w:t xml:space="preserve"> reduced ROMs meeting the 10% criteria IAW the General Rating Formula for Diseases and </w:t>
      </w:r>
      <w:proofErr w:type="spellStart"/>
      <w:r w:rsidRPr="007A1E39">
        <w:rPr>
          <w:color w:val="000000" w:themeColor="text1"/>
          <w:szCs w:val="24"/>
        </w:rPr>
        <w:t>Inuries</w:t>
      </w:r>
      <w:proofErr w:type="spellEnd"/>
      <w:r w:rsidRPr="007A1E39">
        <w:rPr>
          <w:color w:val="000000" w:themeColor="text1"/>
          <w:szCs w:val="24"/>
        </w:rPr>
        <w:t xml:space="preserve"> of the Spine, </w:t>
      </w:r>
      <w:r w:rsidRPr="007A1E39">
        <w:rPr>
          <w:rFonts w:cs="Calibri"/>
          <w:color w:val="000000" w:themeColor="text1"/>
          <w:szCs w:val="24"/>
        </w:rPr>
        <w:t>§</w:t>
      </w:r>
      <w:r w:rsidRPr="007A1E39">
        <w:rPr>
          <w:color w:val="000000" w:themeColor="text1"/>
          <w:szCs w:val="24"/>
        </w:rPr>
        <w:t xml:space="preserve">4.71a.  </w:t>
      </w:r>
      <w:r w:rsidR="00AC2BCC" w:rsidRPr="007A1E39">
        <w:rPr>
          <w:color w:val="000000" w:themeColor="text1"/>
          <w:szCs w:val="24"/>
        </w:rPr>
        <w:t>The PT examiner reported</w:t>
      </w:r>
      <w:r w:rsidR="00606FA2" w:rsidRPr="007A1E39">
        <w:rPr>
          <w:color w:val="000000" w:themeColor="text1"/>
          <w:szCs w:val="24"/>
        </w:rPr>
        <w:t xml:space="preserve"> </w:t>
      </w:r>
      <w:r w:rsidR="00117C71" w:rsidRPr="007A1E39">
        <w:rPr>
          <w:color w:val="000000" w:themeColor="text1"/>
          <w:szCs w:val="24"/>
        </w:rPr>
        <w:t>pain-</w:t>
      </w:r>
      <w:r w:rsidRPr="007A1E39">
        <w:rPr>
          <w:color w:val="000000" w:themeColor="text1"/>
          <w:szCs w:val="24"/>
        </w:rPr>
        <w:t xml:space="preserve">limited motion, decreased cervical lordosis, and scarring.  </w:t>
      </w:r>
      <w:r w:rsidR="00606FA2" w:rsidRPr="007A1E39">
        <w:rPr>
          <w:color w:val="000000" w:themeColor="text1"/>
          <w:szCs w:val="24"/>
        </w:rPr>
        <w:t>Specifically absent were tenderness</w:t>
      </w:r>
      <w:r w:rsidR="007F4205" w:rsidRPr="007A1E39">
        <w:rPr>
          <w:color w:val="000000" w:themeColor="text1"/>
          <w:szCs w:val="24"/>
        </w:rPr>
        <w:t>, spasm</w:t>
      </w:r>
      <w:r w:rsidR="00606FA2" w:rsidRPr="007A1E39">
        <w:rPr>
          <w:color w:val="000000" w:themeColor="text1"/>
          <w:szCs w:val="24"/>
        </w:rPr>
        <w:t xml:space="preserve">, guarding, abnormal gait, swelling, and atrophy.  </w:t>
      </w:r>
      <w:r w:rsidR="00335AAC" w:rsidRPr="007A1E39">
        <w:rPr>
          <w:color w:val="000000" w:themeColor="text1"/>
          <w:szCs w:val="24"/>
        </w:rPr>
        <w:t xml:space="preserve">Radiographs </w:t>
      </w:r>
      <w:r w:rsidR="00EB7FC0" w:rsidRPr="007A1E39">
        <w:rPr>
          <w:color w:val="000000" w:themeColor="text1"/>
          <w:szCs w:val="24"/>
        </w:rPr>
        <w:t>showed fusion at C5-6, with normal alignment, no fracture, and normal soft tissue.</w:t>
      </w:r>
      <w:r w:rsidR="00975C7E" w:rsidRPr="007A1E39">
        <w:rPr>
          <w:color w:val="000000" w:themeColor="text1"/>
          <w:szCs w:val="24"/>
        </w:rPr>
        <w:t xml:space="preserve">  The VA examiner noted, in addition to the above findings, that the CI’s gait was “normal, with cane used as ambulatory aid for balance purposes.”</w:t>
      </w:r>
      <w:r w:rsidR="00AF7B36">
        <w:rPr>
          <w:color w:val="000000" w:themeColor="text1"/>
          <w:szCs w:val="24"/>
        </w:rPr>
        <w:t xml:space="preserve">  </w:t>
      </w:r>
      <w:r w:rsidR="005529DD" w:rsidRPr="007A1E39">
        <w:rPr>
          <w:color w:val="000000" w:themeColor="text1"/>
          <w:szCs w:val="24"/>
        </w:rPr>
        <w:t xml:space="preserve">The NARSUM, </w:t>
      </w:r>
      <w:r w:rsidRPr="007A1E39">
        <w:rPr>
          <w:color w:val="000000" w:themeColor="text1"/>
          <w:szCs w:val="24"/>
        </w:rPr>
        <w:t>si</w:t>
      </w:r>
      <w:r w:rsidR="005529DD" w:rsidRPr="007A1E39">
        <w:rPr>
          <w:color w:val="000000" w:themeColor="text1"/>
          <w:szCs w:val="24"/>
        </w:rPr>
        <w:t xml:space="preserve">x months pre-separation, </w:t>
      </w:r>
      <w:r w:rsidR="006514AD" w:rsidRPr="007A1E39">
        <w:rPr>
          <w:color w:val="000000" w:themeColor="text1"/>
          <w:szCs w:val="24"/>
        </w:rPr>
        <w:t>noted, in addition to the above data, that Waddell</w:t>
      </w:r>
      <w:r w:rsidR="006514AD">
        <w:rPr>
          <w:color w:val="000000" w:themeColor="text1"/>
          <w:szCs w:val="24"/>
        </w:rPr>
        <w:t xml:space="preserve"> signs were negative and there was an ache on palpation of the anterior neck</w:t>
      </w:r>
      <w:r w:rsidR="005529DD">
        <w:rPr>
          <w:color w:val="000000" w:themeColor="text1"/>
          <w:szCs w:val="24"/>
        </w:rPr>
        <w:t xml:space="preserve">.  </w:t>
      </w:r>
      <w:r w:rsidR="00EB7FC0">
        <w:rPr>
          <w:color w:val="000000" w:themeColor="text1"/>
          <w:szCs w:val="24"/>
        </w:rPr>
        <w:t xml:space="preserve">The NARSUM also cited a pre-operative </w:t>
      </w:r>
      <w:r w:rsidRPr="001935F7">
        <w:rPr>
          <w:bCs/>
          <w:color w:val="000000" w:themeColor="text1"/>
          <w:szCs w:val="24"/>
        </w:rPr>
        <w:t xml:space="preserve">MRI </w:t>
      </w:r>
      <w:r w:rsidRPr="001935F7">
        <w:rPr>
          <w:color w:val="000000" w:themeColor="text1"/>
          <w:szCs w:val="24"/>
        </w:rPr>
        <w:t>show</w:t>
      </w:r>
      <w:r w:rsidR="00EB7FC0">
        <w:rPr>
          <w:color w:val="000000" w:themeColor="text1"/>
          <w:szCs w:val="24"/>
        </w:rPr>
        <w:t>ing</w:t>
      </w:r>
      <w:r w:rsidRPr="001935F7">
        <w:rPr>
          <w:color w:val="000000" w:themeColor="text1"/>
          <w:szCs w:val="24"/>
        </w:rPr>
        <w:t xml:space="preserve"> degenerative</w:t>
      </w:r>
      <w:r>
        <w:rPr>
          <w:color w:val="000000" w:themeColor="text1"/>
          <w:szCs w:val="24"/>
        </w:rPr>
        <w:t xml:space="preserve"> </w:t>
      </w:r>
      <w:r w:rsidRPr="001935F7">
        <w:rPr>
          <w:color w:val="000000" w:themeColor="text1"/>
          <w:szCs w:val="24"/>
        </w:rPr>
        <w:t>dis</w:t>
      </w:r>
      <w:r>
        <w:rPr>
          <w:color w:val="000000" w:themeColor="text1"/>
          <w:szCs w:val="24"/>
        </w:rPr>
        <w:t>c</w:t>
      </w:r>
      <w:r w:rsidRPr="001935F7">
        <w:rPr>
          <w:color w:val="000000" w:themeColor="text1"/>
          <w:szCs w:val="24"/>
        </w:rPr>
        <w:t xml:space="preserve"> changes at C5-C6 with focal protrusion </w:t>
      </w:r>
      <w:r w:rsidR="00EB7FC0">
        <w:rPr>
          <w:color w:val="000000" w:themeColor="text1"/>
          <w:szCs w:val="24"/>
        </w:rPr>
        <w:t>into</w:t>
      </w:r>
      <w:r w:rsidRPr="001935F7">
        <w:rPr>
          <w:color w:val="000000" w:themeColor="text1"/>
          <w:szCs w:val="24"/>
        </w:rPr>
        <w:t xml:space="preserve"> the left lateral recess narrowing the foramen</w:t>
      </w:r>
      <w:r w:rsidR="00EB7FC0">
        <w:rPr>
          <w:color w:val="000000" w:themeColor="text1"/>
          <w:szCs w:val="24"/>
        </w:rPr>
        <w:t xml:space="preserve">.  </w:t>
      </w:r>
      <w:r w:rsidR="00FE008A">
        <w:rPr>
          <w:rFonts w:asciiTheme="minorHAnsi" w:hAnsiTheme="minorHAnsi"/>
          <w:color w:val="auto"/>
          <w:szCs w:val="24"/>
        </w:rPr>
        <w:t xml:space="preserve">There </w:t>
      </w:r>
      <w:r w:rsidR="00FE008A" w:rsidRPr="007A1E39">
        <w:rPr>
          <w:rFonts w:asciiTheme="minorHAnsi" w:hAnsiTheme="minorHAnsi"/>
          <w:color w:val="auto"/>
          <w:szCs w:val="24"/>
        </w:rPr>
        <w:t>were no reports of incapacitating episodes requiring bed rest prescribed by a physician and treatment by a physician, as required for rating under intervertebral disc syndrome, so the condition is most appropriately rated using the General Rating Formula for Diseases and Injuries of the Spine.  The single goniometric evaluation and both exams proximate to separation would rate 10%</w:t>
      </w:r>
      <w:r w:rsidR="00E177A2">
        <w:rPr>
          <w:rFonts w:asciiTheme="minorHAnsi" w:hAnsiTheme="minorHAnsi"/>
          <w:color w:val="auto"/>
          <w:szCs w:val="24"/>
        </w:rPr>
        <w:t xml:space="preserve"> IAW the general rating f</w:t>
      </w:r>
      <w:r w:rsidR="00FE008A" w:rsidRPr="007A1E39">
        <w:rPr>
          <w:rFonts w:asciiTheme="minorHAnsi" w:hAnsiTheme="minorHAnsi"/>
          <w:color w:val="auto"/>
          <w:szCs w:val="24"/>
        </w:rPr>
        <w:t>ormula.  All evidence considered</w:t>
      </w:r>
      <w:proofErr w:type="gramStart"/>
      <w:r w:rsidR="00FE008A" w:rsidRPr="007A1E39">
        <w:rPr>
          <w:rFonts w:asciiTheme="minorHAnsi" w:hAnsiTheme="minorHAnsi"/>
          <w:color w:val="auto"/>
          <w:szCs w:val="24"/>
        </w:rPr>
        <w:t>,</w:t>
      </w:r>
      <w:proofErr w:type="gramEnd"/>
      <w:r w:rsidR="00FE008A" w:rsidRPr="007A1E39">
        <w:rPr>
          <w:rFonts w:asciiTheme="minorHAnsi" w:hAnsiTheme="minorHAnsi"/>
          <w:color w:val="auto"/>
          <w:szCs w:val="24"/>
        </w:rPr>
        <w:t xml:space="preserve"> there is not reasonable doubt in the CI’s favor</w:t>
      </w:r>
      <w:r w:rsidR="00FE008A" w:rsidRPr="00396779">
        <w:rPr>
          <w:rFonts w:asciiTheme="minorHAnsi" w:hAnsiTheme="minorHAnsi"/>
          <w:color w:val="auto"/>
          <w:szCs w:val="24"/>
        </w:rPr>
        <w:t xml:space="preserve"> supporting a change from the </w:t>
      </w:r>
      <w:r w:rsidR="00355AAB">
        <w:rPr>
          <w:rFonts w:asciiTheme="minorHAnsi" w:hAnsiTheme="minorHAnsi"/>
          <w:color w:val="auto"/>
          <w:szCs w:val="24"/>
        </w:rPr>
        <w:t>IPEB</w:t>
      </w:r>
      <w:r w:rsidR="00FE008A" w:rsidRPr="00396779">
        <w:rPr>
          <w:rFonts w:asciiTheme="minorHAnsi" w:hAnsiTheme="minorHAnsi"/>
          <w:color w:val="auto"/>
          <w:szCs w:val="24"/>
        </w:rPr>
        <w:t xml:space="preserve">’s rating decision for the </w:t>
      </w:r>
      <w:r w:rsidR="00FE008A">
        <w:rPr>
          <w:rFonts w:asciiTheme="minorHAnsi" w:hAnsiTheme="minorHAnsi"/>
          <w:color w:val="auto"/>
          <w:szCs w:val="24"/>
        </w:rPr>
        <w:t>cervical spine</w:t>
      </w:r>
      <w:r w:rsidR="00FE008A" w:rsidRPr="00396779">
        <w:rPr>
          <w:rFonts w:asciiTheme="minorHAnsi" w:hAnsiTheme="minorHAnsi"/>
          <w:color w:val="auto"/>
          <w:szCs w:val="24"/>
        </w:rPr>
        <w:t xml:space="preserve"> condition.</w:t>
      </w:r>
      <w:r w:rsidR="00FE008A">
        <w:rPr>
          <w:rFonts w:asciiTheme="minorHAnsi" w:hAnsiTheme="minorHAnsi"/>
          <w:color w:val="auto"/>
          <w:szCs w:val="24"/>
        </w:rPr>
        <w:t xml:space="preserve">  </w:t>
      </w:r>
    </w:p>
    <w:p w:rsidR="00E5592F" w:rsidRDefault="00E5592F" w:rsidP="005529DD">
      <w:pPr>
        <w:jc w:val="both"/>
        <w:rPr>
          <w:color w:val="000000" w:themeColor="text1"/>
          <w:szCs w:val="24"/>
        </w:rPr>
      </w:pPr>
    </w:p>
    <w:p w:rsidR="001935F7" w:rsidRDefault="00886C9A" w:rsidP="00CF3C05">
      <w:pPr>
        <w:jc w:val="both"/>
        <w:rPr>
          <w:color w:val="auto"/>
          <w:szCs w:val="24"/>
        </w:rPr>
      </w:pPr>
      <w:r>
        <w:rPr>
          <w:color w:val="auto"/>
          <w:szCs w:val="24"/>
          <w:u w:val="single"/>
        </w:rPr>
        <w:lastRenderedPageBreak/>
        <w:t>Neck</w:t>
      </w:r>
      <w:r w:rsidRPr="00CF065F">
        <w:rPr>
          <w:color w:val="auto"/>
          <w:szCs w:val="24"/>
          <w:u w:val="single"/>
        </w:rPr>
        <w:t xml:space="preserve"> Condition (</w:t>
      </w:r>
      <w:proofErr w:type="spellStart"/>
      <w:r w:rsidRPr="00CF065F">
        <w:rPr>
          <w:color w:val="auto"/>
          <w:szCs w:val="24"/>
          <w:u w:val="single"/>
        </w:rPr>
        <w:t>Radicul</w:t>
      </w:r>
      <w:r w:rsidRPr="007A1E39">
        <w:rPr>
          <w:color w:val="auto"/>
          <w:szCs w:val="24"/>
          <w:u w:val="single"/>
        </w:rPr>
        <w:t>opathy</w:t>
      </w:r>
      <w:proofErr w:type="spellEnd"/>
      <w:r w:rsidRPr="007A1E39">
        <w:rPr>
          <w:color w:val="auto"/>
          <w:szCs w:val="24"/>
          <w:u w:val="single"/>
        </w:rPr>
        <w:t>)</w:t>
      </w:r>
      <w:r w:rsidRPr="007A1E39">
        <w:rPr>
          <w:color w:val="auto"/>
          <w:szCs w:val="24"/>
        </w:rPr>
        <w:t xml:space="preserve">.  There was no evidence of </w:t>
      </w:r>
      <w:r w:rsidR="00117C71" w:rsidRPr="007A1E39">
        <w:rPr>
          <w:color w:val="auto"/>
          <w:szCs w:val="24"/>
        </w:rPr>
        <w:t xml:space="preserve">upper extremity </w:t>
      </w:r>
      <w:r w:rsidRPr="007A1E39">
        <w:rPr>
          <w:color w:val="auto"/>
          <w:szCs w:val="24"/>
        </w:rPr>
        <w:t xml:space="preserve">unfitting peripheral nerve impairment in this case.  The CI endorsed </w:t>
      </w:r>
      <w:r w:rsidR="009954C0" w:rsidRPr="007A1E39">
        <w:rPr>
          <w:color w:val="auto"/>
          <w:szCs w:val="24"/>
        </w:rPr>
        <w:t xml:space="preserve">occasional </w:t>
      </w:r>
      <w:r w:rsidRPr="007A1E39">
        <w:rPr>
          <w:color w:val="auto"/>
          <w:szCs w:val="24"/>
        </w:rPr>
        <w:t>radiation of his pain into his left arm</w:t>
      </w:r>
      <w:r w:rsidR="009954C0" w:rsidRPr="007A1E39">
        <w:rPr>
          <w:color w:val="auto"/>
          <w:szCs w:val="24"/>
        </w:rPr>
        <w:t>,</w:t>
      </w:r>
      <w:r w:rsidRPr="007A1E39">
        <w:rPr>
          <w:color w:val="auto"/>
          <w:szCs w:val="24"/>
        </w:rPr>
        <w:t xml:space="preserve"> </w:t>
      </w:r>
      <w:r w:rsidR="009954C0" w:rsidRPr="007A1E39">
        <w:rPr>
          <w:color w:val="auto"/>
          <w:szCs w:val="24"/>
        </w:rPr>
        <w:t xml:space="preserve">and </w:t>
      </w:r>
      <w:r w:rsidRPr="007A1E39">
        <w:rPr>
          <w:color w:val="auto"/>
          <w:szCs w:val="24"/>
        </w:rPr>
        <w:t xml:space="preserve">weakness </w:t>
      </w:r>
      <w:r w:rsidR="009954C0" w:rsidRPr="007A1E39">
        <w:rPr>
          <w:color w:val="auto"/>
          <w:szCs w:val="24"/>
        </w:rPr>
        <w:t xml:space="preserve">and numbness </w:t>
      </w:r>
      <w:r w:rsidRPr="007A1E39">
        <w:rPr>
          <w:color w:val="auto"/>
          <w:szCs w:val="24"/>
        </w:rPr>
        <w:t>in his left hand.  Any pain-radiculopathy is considered above under the CI’s primary unfitting cervical condition IAW the General Rating Formula for Diseas</w:t>
      </w:r>
      <w:r w:rsidR="005B30C4">
        <w:rPr>
          <w:color w:val="auto"/>
          <w:szCs w:val="24"/>
        </w:rPr>
        <w:t>es and Injuries of the Spine, “w</w:t>
      </w:r>
      <w:r w:rsidRPr="007A1E39">
        <w:rPr>
          <w:color w:val="auto"/>
          <w:szCs w:val="24"/>
        </w:rPr>
        <w:t xml:space="preserve">ith or without symptoms such as pain (whether or not it radiates), stiffness, or aching in the area of the spine affected by residuals of injury or disease.”  </w:t>
      </w:r>
      <w:r w:rsidR="00975C7E" w:rsidRPr="007A1E39">
        <w:rPr>
          <w:color w:val="auto"/>
          <w:szCs w:val="24"/>
        </w:rPr>
        <w:t xml:space="preserve">The NARSUM reported grip strength testing revealed weakness on the right, at 47 pounds average, compared to 91 pounds on the left.  </w:t>
      </w:r>
      <w:r w:rsidR="00FE008A" w:rsidRPr="007A1E39">
        <w:rPr>
          <w:color w:val="auto"/>
          <w:szCs w:val="24"/>
        </w:rPr>
        <w:t xml:space="preserve">This was most likely due to the CI’s right hand injury in 2004, where he smashed his hand in a .50 caliber machine gun.  </w:t>
      </w:r>
      <w:r w:rsidRPr="007A1E39">
        <w:rPr>
          <w:color w:val="auto"/>
          <w:szCs w:val="24"/>
        </w:rPr>
        <w:t xml:space="preserve">None of the exams in the record noted any sensory deficits, and </w:t>
      </w:r>
      <w:r w:rsidR="00917B6C" w:rsidRPr="007A1E39">
        <w:rPr>
          <w:color w:val="auto"/>
          <w:szCs w:val="24"/>
        </w:rPr>
        <w:t>upper</w:t>
      </w:r>
      <w:r w:rsidRPr="007A1E39">
        <w:rPr>
          <w:color w:val="auto"/>
          <w:szCs w:val="24"/>
        </w:rPr>
        <w:t xml:space="preserve"> extremity motor function was </w:t>
      </w:r>
      <w:r w:rsidR="00FE008A" w:rsidRPr="007A1E39">
        <w:rPr>
          <w:color w:val="auto"/>
          <w:szCs w:val="24"/>
        </w:rPr>
        <w:t xml:space="preserve">otherwise </w:t>
      </w:r>
      <w:r w:rsidRPr="007A1E39">
        <w:rPr>
          <w:color w:val="auto"/>
          <w:szCs w:val="24"/>
        </w:rPr>
        <w:t xml:space="preserve">normal throughout the record, without atrophy.  </w:t>
      </w:r>
      <w:r w:rsidR="00EB7FC0" w:rsidRPr="007A1E39">
        <w:rPr>
          <w:color w:val="auto"/>
          <w:szCs w:val="24"/>
        </w:rPr>
        <w:t xml:space="preserve">Electrophysiological studies (EMG/NCS) </w:t>
      </w:r>
      <w:r w:rsidR="00745C1C" w:rsidRPr="007A1E39">
        <w:rPr>
          <w:color w:val="auto"/>
          <w:szCs w:val="24"/>
        </w:rPr>
        <w:t xml:space="preserve">conducted </w:t>
      </w:r>
      <w:r w:rsidR="00EB7FC0" w:rsidRPr="007A1E39">
        <w:rPr>
          <w:color w:val="auto"/>
          <w:szCs w:val="24"/>
        </w:rPr>
        <w:t>five months pre-separation were normal</w:t>
      </w:r>
      <w:r w:rsidR="00745C1C" w:rsidRPr="007A1E39">
        <w:rPr>
          <w:color w:val="auto"/>
          <w:szCs w:val="24"/>
        </w:rPr>
        <w:t>,</w:t>
      </w:r>
      <w:r w:rsidR="00EB7FC0" w:rsidRPr="007A1E39">
        <w:rPr>
          <w:color w:val="auto"/>
          <w:szCs w:val="24"/>
        </w:rPr>
        <w:t xml:space="preserve"> </w:t>
      </w:r>
      <w:r w:rsidR="00745C1C" w:rsidRPr="007A1E39">
        <w:rPr>
          <w:color w:val="auto"/>
          <w:szCs w:val="24"/>
        </w:rPr>
        <w:t xml:space="preserve">showing </w:t>
      </w:r>
      <w:r w:rsidR="00EB7FC0" w:rsidRPr="007A1E39">
        <w:rPr>
          <w:color w:val="auto"/>
          <w:szCs w:val="24"/>
        </w:rPr>
        <w:t>no cervical radiculopathy</w:t>
      </w:r>
      <w:r w:rsidR="00745C1C" w:rsidRPr="007A1E39">
        <w:rPr>
          <w:color w:val="auto"/>
          <w:szCs w:val="24"/>
        </w:rPr>
        <w:t xml:space="preserve"> of the left upper extremity</w:t>
      </w:r>
      <w:r w:rsidR="00EB7FC0" w:rsidRPr="007A1E39">
        <w:rPr>
          <w:color w:val="auto"/>
          <w:szCs w:val="24"/>
        </w:rPr>
        <w:t>.</w:t>
      </w:r>
      <w:r w:rsidRPr="007A1E39">
        <w:rPr>
          <w:color w:val="auto"/>
          <w:szCs w:val="24"/>
        </w:rPr>
        <w:t xml:space="preserve">  This leaves no grounds for Board recommendation of an additionally unfitting neuropathy.  All evidence considered</w:t>
      </w:r>
      <w:proofErr w:type="gramStart"/>
      <w:r w:rsidRPr="007A1E39">
        <w:rPr>
          <w:color w:val="auto"/>
          <w:szCs w:val="24"/>
        </w:rPr>
        <w:t>,</w:t>
      </w:r>
      <w:proofErr w:type="gramEnd"/>
      <w:r w:rsidRPr="007A1E39">
        <w:rPr>
          <w:color w:val="auto"/>
          <w:szCs w:val="24"/>
        </w:rPr>
        <w:t xml:space="preserve"> there is not reasonable doubt in the CI’s favor supporting addition </w:t>
      </w:r>
      <w:r w:rsidRPr="003E0384">
        <w:rPr>
          <w:color w:val="auto"/>
          <w:szCs w:val="24"/>
        </w:rPr>
        <w:t xml:space="preserve">of any </w:t>
      </w:r>
      <w:r w:rsidR="002F2B13" w:rsidRPr="003E0384">
        <w:rPr>
          <w:color w:val="auto"/>
          <w:szCs w:val="24"/>
        </w:rPr>
        <w:t xml:space="preserve">upper </w:t>
      </w:r>
      <w:r w:rsidRPr="003E0384">
        <w:rPr>
          <w:color w:val="auto"/>
          <w:szCs w:val="24"/>
        </w:rPr>
        <w:t>extremity</w:t>
      </w:r>
      <w:r>
        <w:rPr>
          <w:color w:val="auto"/>
          <w:szCs w:val="24"/>
        </w:rPr>
        <w:t xml:space="preserve"> radiculopathy</w:t>
      </w:r>
      <w:r w:rsidRPr="00593E56">
        <w:rPr>
          <w:color w:val="auto"/>
          <w:szCs w:val="24"/>
        </w:rPr>
        <w:t xml:space="preserve"> as an unfitting co</w:t>
      </w:r>
      <w:r>
        <w:rPr>
          <w:color w:val="auto"/>
          <w:szCs w:val="24"/>
        </w:rPr>
        <w:t>ndition for separation rating.</w:t>
      </w:r>
    </w:p>
    <w:p w:rsidR="00886C9A" w:rsidRPr="005529DD" w:rsidRDefault="00886C9A" w:rsidP="005529DD">
      <w:pPr>
        <w:jc w:val="both"/>
        <w:rPr>
          <w:color w:val="000000" w:themeColor="text1"/>
          <w:szCs w:val="24"/>
        </w:rPr>
      </w:pPr>
    </w:p>
    <w:p w:rsidR="00093ED8" w:rsidRDefault="005844F1" w:rsidP="00F029CC">
      <w:pPr>
        <w:tabs>
          <w:tab w:val="left" w:pos="2932"/>
        </w:tabs>
        <w:jc w:val="both"/>
        <w:rPr>
          <w:color w:val="000000" w:themeColor="text1"/>
          <w:szCs w:val="24"/>
        </w:rPr>
      </w:pPr>
      <w:proofErr w:type="gramStart"/>
      <w:r>
        <w:rPr>
          <w:color w:val="000000" w:themeColor="text1"/>
          <w:szCs w:val="24"/>
          <w:u w:val="single"/>
        </w:rPr>
        <w:t>Bilateral H</w:t>
      </w:r>
      <w:r w:rsidR="00100F84">
        <w:rPr>
          <w:color w:val="000000" w:themeColor="text1"/>
          <w:szCs w:val="24"/>
          <w:u w:val="single"/>
        </w:rPr>
        <w:t>earing Loss Condition</w:t>
      </w:r>
      <w:r w:rsidR="00100F84" w:rsidRPr="00117C71">
        <w:rPr>
          <w:color w:val="000000" w:themeColor="text1"/>
          <w:szCs w:val="24"/>
        </w:rPr>
        <w:t>.</w:t>
      </w:r>
      <w:proofErr w:type="gramEnd"/>
      <w:r w:rsidR="00100F84">
        <w:rPr>
          <w:color w:val="000000" w:themeColor="text1"/>
          <w:szCs w:val="24"/>
        </w:rPr>
        <w:t xml:space="preserve">  </w:t>
      </w:r>
      <w:r>
        <w:rPr>
          <w:color w:val="000000" w:themeColor="text1"/>
          <w:szCs w:val="24"/>
        </w:rPr>
        <w:t xml:space="preserve">The </w:t>
      </w:r>
      <w:r w:rsidRPr="005844F1">
        <w:rPr>
          <w:color w:val="000000" w:themeColor="text1"/>
          <w:szCs w:val="24"/>
        </w:rPr>
        <w:t xml:space="preserve">PEB </w:t>
      </w:r>
      <w:r w:rsidR="0002617F">
        <w:rPr>
          <w:color w:val="000000" w:themeColor="text1"/>
          <w:szCs w:val="24"/>
        </w:rPr>
        <w:t xml:space="preserve">stated the CI’s hearing loss, which resulted from an IED explosion in Afghanistan in 2006, </w:t>
      </w:r>
      <w:r w:rsidR="007E3922">
        <w:rPr>
          <w:color w:val="000000" w:themeColor="text1"/>
          <w:szCs w:val="24"/>
        </w:rPr>
        <w:t xml:space="preserve">rated 0% IAW VASRD 4.85, Table VII, citing </w:t>
      </w:r>
      <w:r w:rsidR="0070223F">
        <w:rPr>
          <w:color w:val="000000" w:themeColor="text1"/>
          <w:szCs w:val="24"/>
        </w:rPr>
        <w:t>two</w:t>
      </w:r>
      <w:r w:rsidR="007E3922">
        <w:rPr>
          <w:color w:val="000000" w:themeColor="text1"/>
          <w:szCs w:val="24"/>
        </w:rPr>
        <w:t xml:space="preserve"> October 20</w:t>
      </w:r>
      <w:r w:rsidR="00B84306">
        <w:rPr>
          <w:color w:val="000000" w:themeColor="text1"/>
          <w:szCs w:val="24"/>
        </w:rPr>
        <w:t>07 a</w:t>
      </w:r>
      <w:r w:rsidR="007E3922">
        <w:rPr>
          <w:color w:val="000000" w:themeColor="text1"/>
          <w:szCs w:val="24"/>
        </w:rPr>
        <w:t>udiology evaluation</w:t>
      </w:r>
      <w:r w:rsidR="0070223F">
        <w:rPr>
          <w:color w:val="000000" w:themeColor="text1"/>
          <w:szCs w:val="24"/>
        </w:rPr>
        <w:t>s (4 and 23 October)</w:t>
      </w:r>
      <w:r w:rsidR="007E3922">
        <w:rPr>
          <w:color w:val="000000" w:themeColor="text1"/>
          <w:szCs w:val="24"/>
        </w:rPr>
        <w:t xml:space="preserve"> </w:t>
      </w:r>
      <w:r w:rsidR="0002617F">
        <w:rPr>
          <w:color w:val="000000" w:themeColor="text1"/>
          <w:szCs w:val="24"/>
        </w:rPr>
        <w:t>show</w:t>
      </w:r>
      <w:r w:rsidR="007E3922">
        <w:rPr>
          <w:color w:val="000000" w:themeColor="text1"/>
          <w:szCs w:val="24"/>
        </w:rPr>
        <w:t>ing</w:t>
      </w:r>
      <w:r w:rsidR="0002617F">
        <w:rPr>
          <w:color w:val="000000" w:themeColor="text1"/>
          <w:szCs w:val="24"/>
        </w:rPr>
        <w:t xml:space="preserve"> </w:t>
      </w:r>
      <w:r w:rsidR="007E3922">
        <w:rPr>
          <w:color w:val="000000" w:themeColor="text1"/>
          <w:szCs w:val="24"/>
        </w:rPr>
        <w:t xml:space="preserve">average </w:t>
      </w:r>
      <w:r w:rsidR="0002617F">
        <w:rPr>
          <w:color w:val="000000" w:themeColor="text1"/>
          <w:szCs w:val="24"/>
        </w:rPr>
        <w:t>pure</w:t>
      </w:r>
      <w:r w:rsidR="007E3922">
        <w:rPr>
          <w:color w:val="000000" w:themeColor="text1"/>
          <w:szCs w:val="24"/>
        </w:rPr>
        <w:t xml:space="preserve"> </w:t>
      </w:r>
      <w:r w:rsidR="0002617F">
        <w:rPr>
          <w:color w:val="000000" w:themeColor="text1"/>
          <w:szCs w:val="24"/>
        </w:rPr>
        <w:t xml:space="preserve">tone </w:t>
      </w:r>
      <w:r w:rsidR="007E3922">
        <w:rPr>
          <w:color w:val="000000" w:themeColor="text1"/>
          <w:szCs w:val="24"/>
        </w:rPr>
        <w:t>thresholds of 55 dB on the left</w:t>
      </w:r>
      <w:r w:rsidR="0070223F">
        <w:rPr>
          <w:color w:val="000000" w:themeColor="text1"/>
          <w:szCs w:val="24"/>
        </w:rPr>
        <w:t xml:space="preserve">, 39 on the </w:t>
      </w:r>
      <w:r w:rsidR="0070223F" w:rsidRPr="007A1E39">
        <w:rPr>
          <w:color w:val="000000" w:themeColor="text1"/>
          <w:szCs w:val="24"/>
        </w:rPr>
        <w:t>right (</w:t>
      </w:r>
      <w:r w:rsidR="00355AAB">
        <w:rPr>
          <w:color w:val="000000" w:themeColor="text1"/>
          <w:szCs w:val="24"/>
        </w:rPr>
        <w:t>IPEB</w:t>
      </w:r>
      <w:r w:rsidR="0070223F" w:rsidRPr="007A1E39">
        <w:rPr>
          <w:color w:val="000000" w:themeColor="text1"/>
          <w:szCs w:val="24"/>
        </w:rPr>
        <w:t xml:space="preserve"> typographical error had</w:t>
      </w:r>
      <w:r w:rsidR="0070223F">
        <w:rPr>
          <w:color w:val="000000" w:themeColor="text1"/>
          <w:szCs w:val="24"/>
        </w:rPr>
        <w:t xml:space="preserve"> both as “left”), with speech discrimination of 72% and 100% on th</w:t>
      </w:r>
      <w:r w:rsidR="00B84306">
        <w:rPr>
          <w:color w:val="000000" w:themeColor="text1"/>
          <w:szCs w:val="24"/>
        </w:rPr>
        <w:t xml:space="preserve">e left and right, respectively.  </w:t>
      </w:r>
      <w:r w:rsidR="00093ED8">
        <w:rPr>
          <w:color w:val="000000" w:themeColor="text1"/>
          <w:szCs w:val="24"/>
        </w:rPr>
        <w:t>There were t</w:t>
      </w:r>
      <w:r w:rsidR="00CA769D">
        <w:rPr>
          <w:color w:val="000000" w:themeColor="text1"/>
          <w:szCs w:val="24"/>
        </w:rPr>
        <w:t>hree</w:t>
      </w:r>
      <w:r w:rsidR="00093ED8">
        <w:rPr>
          <w:color w:val="000000" w:themeColor="text1"/>
          <w:szCs w:val="24"/>
        </w:rPr>
        <w:t xml:space="preserve"> </w:t>
      </w:r>
      <w:proofErr w:type="spellStart"/>
      <w:r w:rsidR="00093ED8">
        <w:rPr>
          <w:color w:val="000000" w:themeColor="text1"/>
          <w:szCs w:val="24"/>
        </w:rPr>
        <w:t>audiological</w:t>
      </w:r>
      <w:proofErr w:type="spellEnd"/>
      <w:r w:rsidR="00093ED8">
        <w:rPr>
          <w:color w:val="000000" w:themeColor="text1"/>
          <w:szCs w:val="24"/>
        </w:rPr>
        <w:t xml:space="preserve"> evaluations, including </w:t>
      </w:r>
      <w:r w:rsidR="00CA769D">
        <w:rPr>
          <w:color w:val="000000" w:themeColor="text1"/>
          <w:szCs w:val="24"/>
        </w:rPr>
        <w:t>p</w:t>
      </w:r>
      <w:r w:rsidR="00093ED8">
        <w:rPr>
          <w:color w:val="000000" w:themeColor="text1"/>
          <w:szCs w:val="24"/>
        </w:rPr>
        <w:t xml:space="preserve">ure tone audiograms, proximate to separation, which the Board weighed in arriving </w:t>
      </w:r>
      <w:r w:rsidR="00093ED8" w:rsidRPr="00093ED8">
        <w:rPr>
          <w:color w:val="000000" w:themeColor="text1"/>
          <w:szCs w:val="24"/>
        </w:rPr>
        <w:t xml:space="preserve">at its rating recommendation.  </w:t>
      </w:r>
      <w:r w:rsidR="00CA769D">
        <w:rPr>
          <w:color w:val="000000" w:themeColor="text1"/>
          <w:szCs w:val="24"/>
        </w:rPr>
        <w:t>T</w:t>
      </w:r>
      <w:r w:rsidR="00093ED8" w:rsidRPr="00093ED8">
        <w:rPr>
          <w:color w:val="000000" w:themeColor="text1"/>
          <w:szCs w:val="24"/>
        </w:rPr>
        <w:t>hese exams are summarized in the chart below.</w:t>
      </w:r>
    </w:p>
    <w:p w:rsidR="0057282C" w:rsidRPr="00AF7B36" w:rsidRDefault="0057282C" w:rsidP="0057282C">
      <w:pPr>
        <w:jc w:val="both"/>
        <w:rPr>
          <w:color w:val="auto"/>
          <w:szCs w:val="24"/>
        </w:rPr>
      </w:pPr>
    </w:p>
    <w:tbl>
      <w:tblPr>
        <w:tblpPr w:leftFromText="180" w:rightFromText="180" w:vertAnchor="text" w:horzAnchor="margin" w:tblpXSpec="center" w:tblpY="1"/>
        <w:tblOverlap w:val="neve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540"/>
        <w:gridCol w:w="630"/>
        <w:gridCol w:w="648"/>
        <w:gridCol w:w="720"/>
        <w:gridCol w:w="630"/>
        <w:gridCol w:w="630"/>
        <w:gridCol w:w="2430"/>
        <w:gridCol w:w="1170"/>
      </w:tblGrid>
      <w:tr w:rsidR="00AF7B36" w:rsidRPr="00AF7B36" w:rsidTr="00AF7B36">
        <w:tc>
          <w:tcPr>
            <w:tcW w:w="189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Audiometric Threshold (Hz)</w:t>
            </w:r>
            <w:r w:rsidR="00716B48" w:rsidRPr="00AF7B36">
              <w:rPr>
                <w:rFonts w:eastAsia="Calibri"/>
                <w:color w:val="auto"/>
                <w:sz w:val="18"/>
                <w:szCs w:val="18"/>
              </w:rPr>
              <w:t xml:space="preserve"> </w:t>
            </w:r>
            <w:r w:rsidR="00716B48" w:rsidRPr="00AF7B36">
              <w:rPr>
                <w:rFonts w:eastAsia="Calibri" w:cs="Calibri"/>
                <w:color w:val="auto"/>
                <w:sz w:val="18"/>
                <w:szCs w:val="18"/>
              </w:rPr>
              <w:t>→</w:t>
            </w:r>
          </w:p>
        </w:tc>
        <w:tc>
          <w:tcPr>
            <w:tcW w:w="54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500</w:t>
            </w:r>
          </w:p>
        </w:tc>
        <w:tc>
          <w:tcPr>
            <w:tcW w:w="63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1000</w:t>
            </w:r>
          </w:p>
        </w:tc>
        <w:tc>
          <w:tcPr>
            <w:tcW w:w="648"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2000</w:t>
            </w:r>
          </w:p>
        </w:tc>
        <w:tc>
          <w:tcPr>
            <w:tcW w:w="72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3000</w:t>
            </w:r>
          </w:p>
        </w:tc>
        <w:tc>
          <w:tcPr>
            <w:tcW w:w="63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4000</w:t>
            </w:r>
          </w:p>
        </w:tc>
        <w:tc>
          <w:tcPr>
            <w:tcW w:w="63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6000</w:t>
            </w:r>
          </w:p>
        </w:tc>
        <w:tc>
          <w:tcPr>
            <w:tcW w:w="2430" w:type="dxa"/>
            <w:shd w:val="clear" w:color="auto" w:fill="D9D9D9"/>
            <w:vAlign w:val="center"/>
          </w:tcPr>
          <w:p w:rsidR="0057282C" w:rsidRPr="00AF7B36" w:rsidRDefault="0057282C" w:rsidP="00AF7B36">
            <w:pPr>
              <w:spacing w:line="180" w:lineRule="exact"/>
              <w:contextualSpacing/>
              <w:rPr>
                <w:rFonts w:eastAsia="Calibri"/>
                <w:color w:val="auto"/>
                <w:sz w:val="18"/>
                <w:szCs w:val="18"/>
              </w:rPr>
            </w:pPr>
            <w:r w:rsidRPr="00AF7B36">
              <w:rPr>
                <w:rFonts w:eastAsia="Calibri"/>
                <w:color w:val="auto"/>
                <w:sz w:val="18"/>
                <w:szCs w:val="18"/>
              </w:rPr>
              <w:t>Comments</w:t>
            </w:r>
          </w:p>
        </w:tc>
        <w:tc>
          <w:tcPr>
            <w:tcW w:w="1170" w:type="dxa"/>
            <w:shd w:val="clear" w:color="auto" w:fill="D9D9D9"/>
          </w:tcPr>
          <w:p w:rsidR="0057282C" w:rsidRPr="00AF7B36" w:rsidRDefault="0057282C" w:rsidP="00AF7B36">
            <w:pPr>
              <w:spacing w:line="180" w:lineRule="exact"/>
              <w:contextualSpacing/>
              <w:rPr>
                <w:rFonts w:eastAsia="Calibri"/>
                <w:color w:val="auto"/>
                <w:sz w:val="18"/>
                <w:szCs w:val="18"/>
              </w:rPr>
            </w:pPr>
            <w:r w:rsidRPr="00AF7B36">
              <w:rPr>
                <w:bCs/>
                <w:color w:val="auto"/>
                <w:sz w:val="18"/>
                <w:szCs w:val="23"/>
              </w:rPr>
              <w:t>§ 4.85-4.86 Rating</w:t>
            </w:r>
          </w:p>
        </w:tc>
      </w:tr>
      <w:tr w:rsidR="00AF7B36" w:rsidRPr="00AF7B36" w:rsidTr="00AF7B36">
        <w:tc>
          <w:tcPr>
            <w:tcW w:w="8118" w:type="dxa"/>
            <w:gridSpan w:val="8"/>
            <w:vAlign w:val="center"/>
          </w:tcPr>
          <w:p w:rsidR="00AF7B36" w:rsidRPr="00AF7B36" w:rsidRDefault="00AF7B36" w:rsidP="00AF7B36">
            <w:pPr>
              <w:spacing w:line="180" w:lineRule="exact"/>
              <w:contextualSpacing/>
              <w:jc w:val="left"/>
              <w:rPr>
                <w:rFonts w:eastAsia="Calibri"/>
                <w:color w:val="auto"/>
                <w:sz w:val="18"/>
                <w:szCs w:val="18"/>
              </w:rPr>
            </w:pPr>
            <w:r w:rsidRPr="00AF7B36">
              <w:rPr>
                <w:color w:val="auto"/>
                <w:sz w:val="18"/>
                <w:szCs w:val="18"/>
              </w:rPr>
              <w:t>Audio ~7</w:t>
            </w:r>
            <w:r>
              <w:rPr>
                <w:color w:val="auto"/>
                <w:sz w:val="18"/>
                <w:szCs w:val="18"/>
              </w:rPr>
              <w:t xml:space="preserve"> </w:t>
            </w:r>
            <w:proofErr w:type="spellStart"/>
            <w:r w:rsidRPr="00AF7B36">
              <w:rPr>
                <w:color w:val="auto"/>
                <w:sz w:val="18"/>
                <w:szCs w:val="18"/>
              </w:rPr>
              <w:t>mos</w:t>
            </w:r>
            <w:proofErr w:type="spellEnd"/>
            <w:r w:rsidRPr="00AF7B36">
              <w:rPr>
                <w:color w:val="auto"/>
                <w:sz w:val="18"/>
                <w:szCs w:val="18"/>
              </w:rPr>
              <w:t xml:space="preserve"> Pre-Sep</w:t>
            </w:r>
          </w:p>
        </w:tc>
        <w:tc>
          <w:tcPr>
            <w:tcW w:w="1170" w:type="dxa"/>
            <w:vMerge w:val="restart"/>
            <w:vAlign w:val="center"/>
          </w:tcPr>
          <w:p w:rsidR="00AF7B36" w:rsidRPr="00AF7B36" w:rsidRDefault="00AF7B36" w:rsidP="00F639B8">
            <w:pPr>
              <w:spacing w:line="180" w:lineRule="exact"/>
              <w:contextualSpacing/>
              <w:rPr>
                <w:rFonts w:eastAsia="Calibri"/>
                <w:color w:val="auto"/>
                <w:sz w:val="18"/>
                <w:szCs w:val="18"/>
              </w:rPr>
            </w:pPr>
            <w:r w:rsidRPr="00AF7B36">
              <w:rPr>
                <w:rFonts w:eastAsia="Calibri"/>
                <w:color w:val="auto"/>
                <w:sz w:val="18"/>
                <w:szCs w:val="18"/>
              </w:rPr>
              <w:t>0%*</w:t>
            </w:r>
          </w:p>
        </w:tc>
      </w:tr>
      <w:tr w:rsidR="00AF7B36" w:rsidRPr="00AF7B36" w:rsidTr="00AF7B36">
        <w:tc>
          <w:tcPr>
            <w:tcW w:w="189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Right</w:t>
            </w:r>
          </w:p>
        </w:tc>
        <w:tc>
          <w:tcPr>
            <w:tcW w:w="54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20</w:t>
            </w: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15</w:t>
            </w:r>
          </w:p>
        </w:tc>
        <w:tc>
          <w:tcPr>
            <w:tcW w:w="648"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15</w:t>
            </w:r>
          </w:p>
        </w:tc>
        <w:tc>
          <w:tcPr>
            <w:tcW w:w="720" w:type="dxa"/>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50</w:t>
            </w:r>
          </w:p>
        </w:tc>
        <w:tc>
          <w:tcPr>
            <w:tcW w:w="630" w:type="dxa"/>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50</w:t>
            </w:r>
          </w:p>
        </w:tc>
        <w:tc>
          <w:tcPr>
            <w:tcW w:w="630" w:type="dxa"/>
            <w:shd w:val="pct15" w:color="auto" w:fill="auto"/>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70</w:t>
            </w:r>
          </w:p>
        </w:tc>
        <w:tc>
          <w:tcPr>
            <w:tcW w:w="2430" w:type="dxa"/>
            <w:vMerge w:val="restart"/>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Average R=33, L=50;</w:t>
            </w:r>
          </w:p>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 xml:space="preserve">SPRINT 35% (no </w:t>
            </w:r>
            <w:proofErr w:type="spellStart"/>
            <w:r w:rsidRPr="00AF7B36">
              <w:rPr>
                <w:rFonts w:eastAsia="Calibri"/>
                <w:color w:val="auto"/>
                <w:sz w:val="18"/>
                <w:szCs w:val="18"/>
              </w:rPr>
              <w:t>Md</w:t>
            </w:r>
            <w:proofErr w:type="spellEnd"/>
            <w:r w:rsidRPr="00AF7B36">
              <w:rPr>
                <w:rFonts w:eastAsia="Calibri"/>
                <w:color w:val="auto"/>
                <w:sz w:val="18"/>
                <w:szCs w:val="18"/>
              </w:rPr>
              <w:t xml:space="preserve"> CNC)</w:t>
            </w:r>
          </w:p>
        </w:tc>
        <w:tc>
          <w:tcPr>
            <w:tcW w:w="1170" w:type="dxa"/>
            <w:vMerge/>
            <w:vAlign w:val="center"/>
          </w:tcPr>
          <w:p w:rsidR="00AF7B36" w:rsidRPr="00AF7B36" w:rsidRDefault="00AF7B36" w:rsidP="00AF7B36">
            <w:pPr>
              <w:spacing w:line="180" w:lineRule="exact"/>
              <w:contextualSpacing/>
              <w:rPr>
                <w:rFonts w:eastAsia="Calibri"/>
                <w:color w:val="auto"/>
                <w:sz w:val="18"/>
                <w:szCs w:val="18"/>
              </w:rPr>
            </w:pPr>
          </w:p>
        </w:tc>
      </w:tr>
      <w:tr w:rsidR="00AF7B36" w:rsidRPr="00AF7B36" w:rsidTr="00AF7B36">
        <w:tc>
          <w:tcPr>
            <w:tcW w:w="1890" w:type="dxa"/>
            <w:vAlign w:val="center"/>
          </w:tcPr>
          <w:p w:rsidR="00AF7B36" w:rsidRPr="00AF7B36" w:rsidRDefault="00AF7B36" w:rsidP="00AF7B36">
            <w:pPr>
              <w:tabs>
                <w:tab w:val="left" w:pos="288"/>
                <w:tab w:val="left" w:pos="4752"/>
              </w:tabs>
              <w:spacing w:line="180" w:lineRule="exact"/>
              <w:rPr>
                <w:color w:val="auto"/>
                <w:sz w:val="18"/>
                <w:szCs w:val="18"/>
              </w:rPr>
            </w:pPr>
            <w:r w:rsidRPr="00AF7B36">
              <w:rPr>
                <w:color w:val="auto"/>
                <w:sz w:val="18"/>
                <w:szCs w:val="18"/>
              </w:rPr>
              <w:t>Left</w:t>
            </w:r>
          </w:p>
        </w:tc>
        <w:tc>
          <w:tcPr>
            <w:tcW w:w="540" w:type="dxa"/>
            <w:tcBorders>
              <w:bottom w:val="single" w:sz="4" w:space="0" w:color="000000"/>
            </w:tcBorders>
            <w:shd w:val="pct15" w:color="auto" w:fill="auto"/>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10</w:t>
            </w:r>
          </w:p>
        </w:tc>
        <w:tc>
          <w:tcPr>
            <w:tcW w:w="630" w:type="dxa"/>
            <w:tcBorders>
              <w:bottom w:val="single" w:sz="4" w:space="0" w:color="000000"/>
            </w:tcBorders>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30</w:t>
            </w:r>
          </w:p>
        </w:tc>
        <w:tc>
          <w:tcPr>
            <w:tcW w:w="648" w:type="dxa"/>
            <w:tcBorders>
              <w:bottom w:val="single" w:sz="4" w:space="0" w:color="000000"/>
            </w:tcBorders>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30</w:t>
            </w:r>
          </w:p>
        </w:tc>
        <w:tc>
          <w:tcPr>
            <w:tcW w:w="720" w:type="dxa"/>
            <w:tcBorders>
              <w:bottom w:val="single" w:sz="4" w:space="0" w:color="000000"/>
            </w:tcBorders>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75</w:t>
            </w:r>
          </w:p>
        </w:tc>
        <w:tc>
          <w:tcPr>
            <w:tcW w:w="630" w:type="dxa"/>
            <w:tcBorders>
              <w:bottom w:val="single" w:sz="4" w:space="0" w:color="000000"/>
            </w:tcBorders>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65</w:t>
            </w:r>
          </w:p>
        </w:tc>
        <w:tc>
          <w:tcPr>
            <w:tcW w:w="630" w:type="dxa"/>
            <w:tcBorders>
              <w:bottom w:val="single" w:sz="4" w:space="0" w:color="000000"/>
            </w:tcBorders>
            <w:shd w:val="pct15" w:color="auto" w:fill="auto"/>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90</w:t>
            </w:r>
          </w:p>
        </w:tc>
        <w:tc>
          <w:tcPr>
            <w:tcW w:w="2430" w:type="dxa"/>
            <w:vMerge/>
            <w:tcBorders>
              <w:bottom w:val="single" w:sz="4" w:space="0" w:color="000000"/>
            </w:tcBorders>
          </w:tcPr>
          <w:p w:rsidR="00AF7B36" w:rsidRPr="00AF7B36" w:rsidRDefault="00AF7B36" w:rsidP="00AF7B36">
            <w:pPr>
              <w:spacing w:line="180" w:lineRule="exact"/>
              <w:contextualSpacing/>
              <w:rPr>
                <w:rFonts w:eastAsia="Calibri"/>
                <w:color w:val="auto"/>
                <w:sz w:val="18"/>
                <w:szCs w:val="18"/>
              </w:rPr>
            </w:pPr>
          </w:p>
        </w:tc>
        <w:tc>
          <w:tcPr>
            <w:tcW w:w="1170" w:type="dxa"/>
            <w:vMerge/>
            <w:tcBorders>
              <w:bottom w:val="single" w:sz="4" w:space="0" w:color="000000"/>
            </w:tcBorders>
          </w:tcPr>
          <w:p w:rsidR="00AF7B36" w:rsidRPr="00AF7B36" w:rsidRDefault="00AF7B36" w:rsidP="00AF7B36">
            <w:pPr>
              <w:spacing w:line="180" w:lineRule="exact"/>
              <w:contextualSpacing/>
              <w:rPr>
                <w:rFonts w:eastAsia="Calibri"/>
                <w:color w:val="auto"/>
                <w:sz w:val="18"/>
                <w:szCs w:val="18"/>
              </w:rPr>
            </w:pPr>
          </w:p>
        </w:tc>
      </w:tr>
      <w:tr w:rsidR="00AF7B36" w:rsidRPr="00AF7B36" w:rsidTr="00AF7B36">
        <w:tc>
          <w:tcPr>
            <w:tcW w:w="8118" w:type="dxa"/>
            <w:gridSpan w:val="8"/>
            <w:vAlign w:val="center"/>
          </w:tcPr>
          <w:p w:rsidR="00AF7B36" w:rsidRPr="00AF7B36" w:rsidRDefault="00AF7B36" w:rsidP="00AF7B36">
            <w:pPr>
              <w:spacing w:line="180" w:lineRule="exact"/>
              <w:contextualSpacing/>
              <w:jc w:val="left"/>
              <w:rPr>
                <w:rFonts w:eastAsia="Calibri"/>
                <w:color w:val="auto"/>
                <w:sz w:val="18"/>
                <w:szCs w:val="18"/>
              </w:rPr>
            </w:pPr>
            <w:r w:rsidRPr="00AF7B36">
              <w:rPr>
                <w:color w:val="auto"/>
                <w:sz w:val="18"/>
                <w:szCs w:val="18"/>
              </w:rPr>
              <w:t xml:space="preserve">MEB ~6 </w:t>
            </w:r>
            <w:proofErr w:type="spellStart"/>
            <w:r w:rsidRPr="00AF7B36">
              <w:rPr>
                <w:color w:val="auto"/>
                <w:sz w:val="18"/>
                <w:szCs w:val="18"/>
              </w:rPr>
              <w:t>mos</w:t>
            </w:r>
            <w:proofErr w:type="spellEnd"/>
            <w:r w:rsidRPr="00AF7B36">
              <w:rPr>
                <w:color w:val="auto"/>
                <w:sz w:val="18"/>
                <w:szCs w:val="18"/>
              </w:rPr>
              <w:t xml:space="preserve"> Pre-Sep</w:t>
            </w:r>
          </w:p>
        </w:tc>
        <w:tc>
          <w:tcPr>
            <w:tcW w:w="1170" w:type="dxa"/>
            <w:vMerge w:val="restart"/>
            <w:vAlign w:val="center"/>
          </w:tcPr>
          <w:p w:rsidR="00AF7B36" w:rsidRPr="00AF7B36" w:rsidRDefault="00AF7B36" w:rsidP="00F6005B">
            <w:pPr>
              <w:spacing w:line="180" w:lineRule="exact"/>
              <w:contextualSpacing/>
              <w:rPr>
                <w:rFonts w:eastAsia="Calibri"/>
                <w:color w:val="auto"/>
                <w:sz w:val="18"/>
                <w:szCs w:val="18"/>
              </w:rPr>
            </w:pPr>
            <w:r w:rsidRPr="00AF7B36">
              <w:rPr>
                <w:rFonts w:eastAsia="Calibri"/>
                <w:color w:val="auto"/>
                <w:sz w:val="18"/>
                <w:szCs w:val="18"/>
              </w:rPr>
              <w:t>0%</w:t>
            </w:r>
          </w:p>
        </w:tc>
      </w:tr>
      <w:tr w:rsidR="00AF7B36" w:rsidRPr="00AF7B36" w:rsidTr="00AF7B36">
        <w:tc>
          <w:tcPr>
            <w:tcW w:w="1890" w:type="dxa"/>
            <w:vAlign w:val="center"/>
          </w:tcPr>
          <w:p w:rsidR="00AF7B36" w:rsidRPr="00AF7B36" w:rsidRDefault="00AF7B36" w:rsidP="00AF7B36">
            <w:pPr>
              <w:tabs>
                <w:tab w:val="left" w:pos="288"/>
                <w:tab w:val="left" w:pos="4752"/>
              </w:tabs>
              <w:spacing w:line="180" w:lineRule="exact"/>
              <w:rPr>
                <w:color w:val="auto"/>
                <w:sz w:val="18"/>
                <w:szCs w:val="18"/>
              </w:rPr>
            </w:pPr>
            <w:r w:rsidRPr="00AF7B36">
              <w:rPr>
                <w:color w:val="auto"/>
                <w:sz w:val="18"/>
                <w:szCs w:val="18"/>
              </w:rPr>
              <w:t>Right</w:t>
            </w:r>
          </w:p>
        </w:tc>
        <w:tc>
          <w:tcPr>
            <w:tcW w:w="54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15</w:t>
            </w:r>
          </w:p>
        </w:tc>
        <w:tc>
          <w:tcPr>
            <w:tcW w:w="648"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30</w:t>
            </w:r>
          </w:p>
        </w:tc>
        <w:tc>
          <w:tcPr>
            <w:tcW w:w="720" w:type="dxa"/>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55</w:t>
            </w:r>
          </w:p>
        </w:tc>
        <w:tc>
          <w:tcPr>
            <w:tcW w:w="630" w:type="dxa"/>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55</w:t>
            </w:r>
          </w:p>
        </w:tc>
        <w:tc>
          <w:tcPr>
            <w:tcW w:w="630" w:type="dxa"/>
            <w:shd w:val="pct15" w:color="auto" w:fill="auto"/>
          </w:tcPr>
          <w:p w:rsidR="00AF7B36" w:rsidRPr="00AF7B36" w:rsidRDefault="00AF7B36" w:rsidP="00AF7B36">
            <w:pPr>
              <w:spacing w:line="180" w:lineRule="exact"/>
              <w:contextualSpacing/>
              <w:rPr>
                <w:rFonts w:eastAsia="Calibri"/>
                <w:color w:val="auto"/>
                <w:sz w:val="18"/>
                <w:szCs w:val="18"/>
              </w:rPr>
            </w:pPr>
          </w:p>
        </w:tc>
        <w:tc>
          <w:tcPr>
            <w:tcW w:w="2430" w:type="dxa"/>
            <w:vMerge w:val="restart"/>
            <w:vAlign w:val="center"/>
          </w:tcPr>
          <w:p w:rsidR="00AF7B36" w:rsidRPr="00AF7B36" w:rsidRDefault="00AF7B36" w:rsidP="00AF7B36">
            <w:pPr>
              <w:spacing w:line="180" w:lineRule="exact"/>
              <w:contextualSpacing/>
              <w:rPr>
                <w:rFonts w:eastAsia="Calibri"/>
                <w:color w:val="auto"/>
                <w:sz w:val="18"/>
                <w:szCs w:val="18"/>
              </w:rPr>
            </w:pPr>
            <w:proofErr w:type="spellStart"/>
            <w:r w:rsidRPr="00AF7B36">
              <w:rPr>
                <w:rFonts w:eastAsia="Calibri"/>
                <w:color w:val="auto"/>
                <w:sz w:val="18"/>
                <w:szCs w:val="18"/>
              </w:rPr>
              <w:t>Avg</w:t>
            </w:r>
            <w:proofErr w:type="spellEnd"/>
            <w:r w:rsidRPr="00AF7B36">
              <w:rPr>
                <w:rFonts w:eastAsia="Calibri"/>
                <w:color w:val="auto"/>
                <w:sz w:val="18"/>
                <w:szCs w:val="18"/>
              </w:rPr>
              <w:t xml:space="preserve"> R=39, L=55; Word Recognition R=100%, L=72%</w:t>
            </w:r>
          </w:p>
        </w:tc>
        <w:tc>
          <w:tcPr>
            <w:tcW w:w="1170" w:type="dxa"/>
            <w:vMerge/>
            <w:vAlign w:val="center"/>
          </w:tcPr>
          <w:p w:rsidR="00AF7B36" w:rsidRPr="00AF7B36" w:rsidRDefault="00AF7B36" w:rsidP="00AF7B36">
            <w:pPr>
              <w:spacing w:line="180" w:lineRule="exact"/>
              <w:contextualSpacing/>
              <w:rPr>
                <w:rFonts w:eastAsia="Calibri"/>
                <w:color w:val="auto"/>
                <w:sz w:val="18"/>
                <w:szCs w:val="18"/>
              </w:rPr>
            </w:pPr>
          </w:p>
        </w:tc>
      </w:tr>
      <w:tr w:rsidR="00AF7B36" w:rsidRPr="00AF7B36" w:rsidTr="00AF7B36">
        <w:tc>
          <w:tcPr>
            <w:tcW w:w="1890" w:type="dxa"/>
            <w:vAlign w:val="center"/>
          </w:tcPr>
          <w:p w:rsidR="00AF7B36" w:rsidRPr="00AF7B36" w:rsidRDefault="00AF7B36" w:rsidP="00AF7B36">
            <w:pPr>
              <w:tabs>
                <w:tab w:val="left" w:pos="288"/>
                <w:tab w:val="left" w:pos="4752"/>
              </w:tabs>
              <w:spacing w:line="180" w:lineRule="exact"/>
              <w:rPr>
                <w:color w:val="auto"/>
                <w:sz w:val="18"/>
                <w:szCs w:val="18"/>
              </w:rPr>
            </w:pPr>
            <w:r w:rsidRPr="00AF7B36">
              <w:rPr>
                <w:color w:val="auto"/>
                <w:sz w:val="18"/>
                <w:szCs w:val="18"/>
              </w:rPr>
              <w:t>Left</w:t>
            </w:r>
          </w:p>
        </w:tc>
        <w:tc>
          <w:tcPr>
            <w:tcW w:w="54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30</w:t>
            </w:r>
          </w:p>
        </w:tc>
        <w:tc>
          <w:tcPr>
            <w:tcW w:w="648"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45</w:t>
            </w:r>
          </w:p>
        </w:tc>
        <w:tc>
          <w:tcPr>
            <w:tcW w:w="720" w:type="dxa"/>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75</w:t>
            </w:r>
          </w:p>
        </w:tc>
        <w:tc>
          <w:tcPr>
            <w:tcW w:w="630" w:type="dxa"/>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70</w:t>
            </w:r>
          </w:p>
        </w:tc>
        <w:tc>
          <w:tcPr>
            <w:tcW w:w="630" w:type="dxa"/>
            <w:shd w:val="pct15" w:color="auto" w:fill="auto"/>
          </w:tcPr>
          <w:p w:rsidR="00AF7B36" w:rsidRPr="00AF7B36" w:rsidRDefault="00AF7B36" w:rsidP="00AF7B36">
            <w:pPr>
              <w:spacing w:line="180" w:lineRule="exact"/>
              <w:contextualSpacing/>
              <w:rPr>
                <w:rFonts w:eastAsia="Calibri"/>
                <w:color w:val="auto"/>
                <w:sz w:val="18"/>
                <w:szCs w:val="18"/>
              </w:rPr>
            </w:pPr>
          </w:p>
        </w:tc>
        <w:tc>
          <w:tcPr>
            <w:tcW w:w="2430" w:type="dxa"/>
            <w:vMerge/>
          </w:tcPr>
          <w:p w:rsidR="00AF7B36" w:rsidRPr="00AF7B36" w:rsidRDefault="00AF7B36" w:rsidP="00AF7B36">
            <w:pPr>
              <w:spacing w:line="180" w:lineRule="exact"/>
              <w:contextualSpacing/>
              <w:rPr>
                <w:rFonts w:eastAsia="Calibri"/>
                <w:color w:val="auto"/>
                <w:sz w:val="18"/>
                <w:szCs w:val="18"/>
              </w:rPr>
            </w:pPr>
          </w:p>
        </w:tc>
        <w:tc>
          <w:tcPr>
            <w:tcW w:w="1170" w:type="dxa"/>
            <w:vMerge/>
          </w:tcPr>
          <w:p w:rsidR="00AF7B36" w:rsidRPr="00AF7B36" w:rsidRDefault="00AF7B36" w:rsidP="00AF7B36">
            <w:pPr>
              <w:spacing w:line="180" w:lineRule="exact"/>
              <w:contextualSpacing/>
              <w:rPr>
                <w:rFonts w:eastAsia="Calibri"/>
                <w:color w:val="auto"/>
                <w:sz w:val="18"/>
                <w:szCs w:val="18"/>
              </w:rPr>
            </w:pPr>
          </w:p>
        </w:tc>
      </w:tr>
      <w:tr w:rsidR="00AF7B36" w:rsidRPr="00AF7B36" w:rsidTr="00AF7B36">
        <w:tc>
          <w:tcPr>
            <w:tcW w:w="8118" w:type="dxa"/>
            <w:gridSpan w:val="8"/>
            <w:vAlign w:val="center"/>
          </w:tcPr>
          <w:p w:rsidR="00AF7B36" w:rsidRPr="00AF7B36" w:rsidRDefault="00AF7B36" w:rsidP="00AF7B36">
            <w:pPr>
              <w:spacing w:line="180" w:lineRule="exact"/>
              <w:contextualSpacing/>
              <w:jc w:val="left"/>
              <w:rPr>
                <w:rFonts w:eastAsia="Calibri"/>
                <w:color w:val="auto"/>
                <w:sz w:val="18"/>
                <w:szCs w:val="18"/>
              </w:rPr>
            </w:pPr>
            <w:r w:rsidRPr="00AF7B36">
              <w:rPr>
                <w:color w:val="auto"/>
                <w:sz w:val="18"/>
                <w:szCs w:val="18"/>
              </w:rPr>
              <w:t xml:space="preserve">VA C&amp;P ~2 </w:t>
            </w:r>
            <w:proofErr w:type="spellStart"/>
            <w:r w:rsidRPr="00AF7B36">
              <w:rPr>
                <w:color w:val="auto"/>
                <w:sz w:val="18"/>
                <w:szCs w:val="18"/>
              </w:rPr>
              <w:t>mos</w:t>
            </w:r>
            <w:proofErr w:type="spellEnd"/>
            <w:r w:rsidRPr="00AF7B36">
              <w:rPr>
                <w:color w:val="auto"/>
                <w:sz w:val="18"/>
                <w:szCs w:val="18"/>
              </w:rPr>
              <w:t xml:space="preserve"> Pre-Sep</w:t>
            </w:r>
          </w:p>
        </w:tc>
        <w:tc>
          <w:tcPr>
            <w:tcW w:w="1170" w:type="dxa"/>
            <w:vMerge w:val="restart"/>
            <w:vAlign w:val="center"/>
          </w:tcPr>
          <w:p w:rsidR="00AF7B36" w:rsidRPr="00AF7B36" w:rsidRDefault="00AF7B36" w:rsidP="000841AB">
            <w:pPr>
              <w:spacing w:line="180" w:lineRule="exact"/>
              <w:contextualSpacing/>
              <w:rPr>
                <w:rFonts w:eastAsia="Calibri"/>
                <w:color w:val="auto"/>
                <w:sz w:val="18"/>
                <w:szCs w:val="18"/>
              </w:rPr>
            </w:pPr>
            <w:r w:rsidRPr="00AF7B36">
              <w:rPr>
                <w:rFonts w:eastAsia="Calibri"/>
                <w:color w:val="auto"/>
                <w:sz w:val="18"/>
                <w:szCs w:val="18"/>
              </w:rPr>
              <w:t>10%</w:t>
            </w:r>
          </w:p>
        </w:tc>
      </w:tr>
      <w:tr w:rsidR="00AF7B36" w:rsidRPr="00AF7B36" w:rsidTr="00AF7B36">
        <w:tc>
          <w:tcPr>
            <w:tcW w:w="189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Right</w:t>
            </w:r>
          </w:p>
        </w:tc>
        <w:tc>
          <w:tcPr>
            <w:tcW w:w="54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30</w:t>
            </w: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35</w:t>
            </w:r>
          </w:p>
        </w:tc>
        <w:tc>
          <w:tcPr>
            <w:tcW w:w="648"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35</w:t>
            </w:r>
          </w:p>
        </w:tc>
        <w:tc>
          <w:tcPr>
            <w:tcW w:w="72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65</w:t>
            </w: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65</w:t>
            </w:r>
          </w:p>
        </w:tc>
        <w:tc>
          <w:tcPr>
            <w:tcW w:w="63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w:t>
            </w:r>
          </w:p>
        </w:tc>
        <w:tc>
          <w:tcPr>
            <w:tcW w:w="2430" w:type="dxa"/>
            <w:vMerge w:val="restart"/>
          </w:tcPr>
          <w:p w:rsidR="00AF7B36" w:rsidRPr="00AF7B36" w:rsidRDefault="00AF7B36" w:rsidP="00AF7B36">
            <w:pPr>
              <w:spacing w:line="180" w:lineRule="exact"/>
              <w:contextualSpacing/>
              <w:rPr>
                <w:rFonts w:eastAsia="Calibri"/>
                <w:color w:val="auto"/>
                <w:sz w:val="18"/>
                <w:szCs w:val="18"/>
              </w:rPr>
            </w:pPr>
            <w:proofErr w:type="spellStart"/>
            <w:r w:rsidRPr="00AF7B36">
              <w:rPr>
                <w:rFonts w:eastAsia="Calibri"/>
                <w:color w:val="auto"/>
                <w:sz w:val="18"/>
                <w:szCs w:val="18"/>
              </w:rPr>
              <w:t>Avg</w:t>
            </w:r>
            <w:proofErr w:type="spellEnd"/>
            <w:r w:rsidRPr="00AF7B36">
              <w:rPr>
                <w:rFonts w:eastAsia="Calibri"/>
                <w:color w:val="auto"/>
                <w:sz w:val="18"/>
                <w:szCs w:val="18"/>
              </w:rPr>
              <w:t xml:space="preserve"> R=50, L=63; </w:t>
            </w:r>
            <w:proofErr w:type="spellStart"/>
            <w:r w:rsidRPr="00AF7B36">
              <w:rPr>
                <w:rFonts w:eastAsia="Calibri"/>
                <w:color w:val="auto"/>
                <w:sz w:val="18"/>
                <w:szCs w:val="18"/>
              </w:rPr>
              <w:t>Md</w:t>
            </w:r>
            <w:proofErr w:type="spellEnd"/>
            <w:r w:rsidRPr="00AF7B36">
              <w:rPr>
                <w:rFonts w:eastAsia="Calibri"/>
                <w:color w:val="auto"/>
                <w:sz w:val="18"/>
                <w:szCs w:val="18"/>
              </w:rPr>
              <w:t xml:space="preserve"> CNC Speech </w:t>
            </w:r>
            <w:proofErr w:type="spellStart"/>
            <w:r w:rsidRPr="00AF7B36">
              <w:rPr>
                <w:rFonts w:eastAsia="Calibri"/>
                <w:color w:val="auto"/>
                <w:sz w:val="18"/>
                <w:szCs w:val="18"/>
              </w:rPr>
              <w:t>Descrim</w:t>
            </w:r>
            <w:proofErr w:type="spellEnd"/>
            <w:r w:rsidRPr="00AF7B36">
              <w:rPr>
                <w:rFonts w:eastAsia="Calibri"/>
                <w:color w:val="auto"/>
                <w:sz w:val="18"/>
                <w:szCs w:val="18"/>
              </w:rPr>
              <w:t xml:space="preserve"> 80% </w:t>
            </w:r>
            <w:proofErr w:type="spellStart"/>
            <w:r w:rsidRPr="00AF7B36">
              <w:rPr>
                <w:rFonts w:eastAsia="Calibri"/>
                <w:color w:val="auto"/>
                <w:sz w:val="18"/>
                <w:szCs w:val="18"/>
              </w:rPr>
              <w:t>bilat</w:t>
            </w:r>
            <w:proofErr w:type="spellEnd"/>
          </w:p>
        </w:tc>
        <w:tc>
          <w:tcPr>
            <w:tcW w:w="1170" w:type="dxa"/>
            <w:vMerge/>
            <w:vAlign w:val="center"/>
          </w:tcPr>
          <w:p w:rsidR="00AF7B36" w:rsidRPr="00AF7B36" w:rsidRDefault="00AF7B36" w:rsidP="00AF7B36">
            <w:pPr>
              <w:spacing w:line="180" w:lineRule="exact"/>
              <w:contextualSpacing/>
              <w:rPr>
                <w:rFonts w:eastAsia="Calibri"/>
                <w:color w:val="auto"/>
                <w:sz w:val="18"/>
                <w:szCs w:val="18"/>
              </w:rPr>
            </w:pPr>
          </w:p>
        </w:tc>
      </w:tr>
      <w:tr w:rsidR="00AF7B36" w:rsidRPr="00AF7B36" w:rsidTr="00AF7B36">
        <w:tc>
          <w:tcPr>
            <w:tcW w:w="1890" w:type="dxa"/>
            <w:vAlign w:val="center"/>
          </w:tcPr>
          <w:p w:rsidR="00AF7B36" w:rsidRPr="00AF7B36" w:rsidRDefault="00AF7B36" w:rsidP="00AF7B36">
            <w:pPr>
              <w:tabs>
                <w:tab w:val="left" w:pos="288"/>
                <w:tab w:val="left" w:pos="4752"/>
              </w:tabs>
              <w:spacing w:line="180" w:lineRule="exact"/>
              <w:rPr>
                <w:color w:val="auto"/>
                <w:sz w:val="18"/>
                <w:szCs w:val="18"/>
              </w:rPr>
            </w:pPr>
            <w:r w:rsidRPr="00AF7B36">
              <w:rPr>
                <w:color w:val="auto"/>
                <w:sz w:val="18"/>
                <w:szCs w:val="18"/>
              </w:rPr>
              <w:t>Left</w:t>
            </w:r>
          </w:p>
        </w:tc>
        <w:tc>
          <w:tcPr>
            <w:tcW w:w="54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30</w:t>
            </w: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40</w:t>
            </w:r>
          </w:p>
        </w:tc>
        <w:tc>
          <w:tcPr>
            <w:tcW w:w="648"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50</w:t>
            </w:r>
          </w:p>
        </w:tc>
        <w:tc>
          <w:tcPr>
            <w:tcW w:w="72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80</w:t>
            </w:r>
          </w:p>
        </w:tc>
        <w:tc>
          <w:tcPr>
            <w:tcW w:w="630" w:type="dxa"/>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80</w:t>
            </w:r>
          </w:p>
        </w:tc>
        <w:tc>
          <w:tcPr>
            <w:tcW w:w="630" w:type="dxa"/>
            <w:shd w:val="pct15" w:color="auto" w:fill="auto"/>
            <w:vAlign w:val="center"/>
          </w:tcPr>
          <w:p w:rsidR="00AF7B36" w:rsidRPr="00AF7B36" w:rsidRDefault="00AF7B36" w:rsidP="00AF7B36">
            <w:pPr>
              <w:spacing w:line="180" w:lineRule="exact"/>
              <w:contextualSpacing/>
              <w:rPr>
                <w:rFonts w:eastAsia="Calibri"/>
                <w:color w:val="auto"/>
                <w:sz w:val="18"/>
                <w:szCs w:val="18"/>
              </w:rPr>
            </w:pPr>
            <w:r w:rsidRPr="00AF7B36">
              <w:rPr>
                <w:rFonts w:eastAsia="Calibri"/>
                <w:color w:val="auto"/>
                <w:sz w:val="18"/>
                <w:szCs w:val="18"/>
              </w:rPr>
              <w:t>-</w:t>
            </w:r>
          </w:p>
        </w:tc>
        <w:tc>
          <w:tcPr>
            <w:tcW w:w="2430" w:type="dxa"/>
            <w:vMerge/>
          </w:tcPr>
          <w:p w:rsidR="00AF7B36" w:rsidRPr="00AF7B36" w:rsidRDefault="00AF7B36" w:rsidP="00AF7B36">
            <w:pPr>
              <w:spacing w:line="180" w:lineRule="exact"/>
              <w:contextualSpacing/>
              <w:rPr>
                <w:rFonts w:eastAsia="Calibri"/>
                <w:color w:val="auto"/>
                <w:sz w:val="18"/>
                <w:szCs w:val="18"/>
              </w:rPr>
            </w:pPr>
          </w:p>
        </w:tc>
        <w:tc>
          <w:tcPr>
            <w:tcW w:w="1170" w:type="dxa"/>
            <w:vMerge/>
          </w:tcPr>
          <w:p w:rsidR="00AF7B36" w:rsidRPr="00AF7B36" w:rsidRDefault="00AF7B36" w:rsidP="00AF7B36">
            <w:pPr>
              <w:spacing w:line="180" w:lineRule="exact"/>
              <w:contextualSpacing/>
              <w:rPr>
                <w:rFonts w:eastAsia="Calibri"/>
                <w:color w:val="auto"/>
                <w:sz w:val="18"/>
                <w:szCs w:val="18"/>
              </w:rPr>
            </w:pPr>
          </w:p>
        </w:tc>
      </w:tr>
    </w:tbl>
    <w:p w:rsidR="0057282C" w:rsidRPr="00AF7B36" w:rsidRDefault="009D3F17" w:rsidP="006A0831">
      <w:pPr>
        <w:spacing w:line="200" w:lineRule="exact"/>
        <w:jc w:val="left"/>
        <w:rPr>
          <w:color w:val="auto"/>
          <w:sz w:val="20"/>
        </w:rPr>
      </w:pPr>
      <w:r w:rsidRPr="00AF7B36">
        <w:rPr>
          <w:color w:val="auto"/>
          <w:sz w:val="20"/>
        </w:rPr>
        <w:t xml:space="preserve">* Based on pure tone threshold averages only, using Table </w:t>
      </w:r>
      <w:proofErr w:type="spellStart"/>
      <w:r w:rsidRPr="00AF7B36">
        <w:rPr>
          <w:color w:val="auto"/>
          <w:sz w:val="20"/>
        </w:rPr>
        <w:t>VIa</w:t>
      </w:r>
      <w:proofErr w:type="spellEnd"/>
      <w:r w:rsidRPr="00AF7B36">
        <w:rPr>
          <w:color w:val="auto"/>
          <w:sz w:val="20"/>
        </w:rPr>
        <w:t xml:space="preserve">, VASRD </w:t>
      </w:r>
      <w:r w:rsidRPr="00AF7B36">
        <w:rPr>
          <w:rFonts w:cs="Calibri"/>
          <w:color w:val="auto"/>
          <w:sz w:val="20"/>
        </w:rPr>
        <w:t>§</w:t>
      </w:r>
      <w:r w:rsidRPr="00AF7B36">
        <w:rPr>
          <w:color w:val="auto"/>
          <w:sz w:val="20"/>
        </w:rPr>
        <w:t>4.85 (exam did not include Maryland CNC Speech Recognition scores)</w:t>
      </w:r>
    </w:p>
    <w:p w:rsidR="0002617F" w:rsidRPr="00AF7B36" w:rsidRDefault="0002617F" w:rsidP="00F029CC">
      <w:pPr>
        <w:tabs>
          <w:tab w:val="left" w:pos="2932"/>
        </w:tabs>
        <w:jc w:val="both"/>
        <w:rPr>
          <w:color w:val="auto"/>
          <w:szCs w:val="24"/>
        </w:rPr>
      </w:pPr>
    </w:p>
    <w:p w:rsidR="005844F1" w:rsidRDefault="00CA769D" w:rsidP="00C33174">
      <w:pPr>
        <w:tabs>
          <w:tab w:val="left" w:pos="2932"/>
        </w:tabs>
        <w:jc w:val="both"/>
        <w:rPr>
          <w:rFonts w:asciiTheme="minorHAnsi" w:hAnsiTheme="minorHAnsi"/>
          <w:color w:val="auto"/>
          <w:szCs w:val="24"/>
        </w:rPr>
      </w:pPr>
      <w:r w:rsidRPr="00CA769D">
        <w:rPr>
          <w:color w:val="000000" w:themeColor="text1"/>
          <w:szCs w:val="24"/>
        </w:rPr>
        <w:t xml:space="preserve">The </w:t>
      </w:r>
      <w:r w:rsidR="00355AAB">
        <w:rPr>
          <w:color w:val="000000" w:themeColor="text1"/>
          <w:szCs w:val="24"/>
        </w:rPr>
        <w:t>IPEB</w:t>
      </w:r>
      <w:r w:rsidRPr="00CA769D">
        <w:rPr>
          <w:color w:val="000000" w:themeColor="text1"/>
          <w:szCs w:val="24"/>
        </w:rPr>
        <w:t xml:space="preserve"> rated</w:t>
      </w:r>
      <w:r w:rsidR="005844F1" w:rsidRPr="00CA769D">
        <w:rPr>
          <w:color w:val="000000" w:themeColor="text1"/>
          <w:szCs w:val="24"/>
        </w:rPr>
        <w:t xml:space="preserve"> of the hearing condition IAW VASRD §4.85, except that the speech discrimination </w:t>
      </w:r>
      <w:r w:rsidR="005844F1" w:rsidRPr="007A1E39">
        <w:rPr>
          <w:color w:val="000000" w:themeColor="text1"/>
          <w:szCs w:val="24"/>
        </w:rPr>
        <w:t xml:space="preserve">component was derived from </w:t>
      </w:r>
      <w:r w:rsidR="00C33174" w:rsidRPr="007A1E39">
        <w:rPr>
          <w:color w:val="000000" w:themeColor="text1"/>
          <w:szCs w:val="24"/>
        </w:rPr>
        <w:t>“</w:t>
      </w:r>
      <w:r w:rsidR="005844F1" w:rsidRPr="007A1E39">
        <w:rPr>
          <w:color w:val="000000" w:themeColor="text1"/>
          <w:szCs w:val="24"/>
        </w:rPr>
        <w:t>word recognition</w:t>
      </w:r>
      <w:r w:rsidR="00C33174" w:rsidRPr="007A1E39">
        <w:rPr>
          <w:color w:val="000000" w:themeColor="text1"/>
          <w:szCs w:val="24"/>
        </w:rPr>
        <w:t>”</w:t>
      </w:r>
      <w:r w:rsidR="005844F1" w:rsidRPr="007A1E39">
        <w:rPr>
          <w:color w:val="000000" w:themeColor="text1"/>
          <w:szCs w:val="24"/>
        </w:rPr>
        <w:t xml:space="preserve"> scores on the MEB </w:t>
      </w:r>
      <w:proofErr w:type="spellStart"/>
      <w:r w:rsidR="005844F1" w:rsidRPr="007A1E39">
        <w:rPr>
          <w:color w:val="000000" w:themeColor="text1"/>
          <w:szCs w:val="24"/>
        </w:rPr>
        <w:t>audiometry</w:t>
      </w:r>
      <w:proofErr w:type="spellEnd"/>
      <w:r w:rsidR="005844F1" w:rsidRPr="007A1E39">
        <w:rPr>
          <w:color w:val="000000" w:themeColor="text1"/>
          <w:szCs w:val="24"/>
        </w:rPr>
        <w:t xml:space="preserve"> report (</w:t>
      </w:r>
      <w:r w:rsidRPr="007A1E39">
        <w:rPr>
          <w:color w:val="000000" w:themeColor="text1"/>
          <w:szCs w:val="24"/>
        </w:rPr>
        <w:t>10</w:t>
      </w:r>
      <w:r w:rsidR="005844F1" w:rsidRPr="007A1E39">
        <w:rPr>
          <w:color w:val="000000" w:themeColor="text1"/>
          <w:szCs w:val="24"/>
        </w:rPr>
        <w:t xml:space="preserve">0% for the right ear, </w:t>
      </w:r>
      <w:r w:rsidRPr="007A1E39">
        <w:rPr>
          <w:color w:val="000000" w:themeColor="text1"/>
          <w:szCs w:val="24"/>
        </w:rPr>
        <w:t>72</w:t>
      </w:r>
      <w:r w:rsidR="005844F1" w:rsidRPr="007A1E39">
        <w:rPr>
          <w:color w:val="000000" w:themeColor="text1"/>
          <w:szCs w:val="24"/>
        </w:rPr>
        <w:t xml:space="preserve">% for the left ear).  VASRD §4.85 (a) stipulates that the examination for hearing impairment </w:t>
      </w:r>
      <w:r w:rsidR="00C33174" w:rsidRPr="007A1E39">
        <w:rPr>
          <w:color w:val="000000" w:themeColor="text1"/>
          <w:szCs w:val="24"/>
        </w:rPr>
        <w:t>“</w:t>
      </w:r>
      <w:r w:rsidR="005844F1" w:rsidRPr="007A1E39">
        <w:rPr>
          <w:color w:val="000000" w:themeColor="text1"/>
          <w:szCs w:val="24"/>
        </w:rPr>
        <w:t>must include a controlled speech discrimination test (Maryland CNC).</w:t>
      </w:r>
      <w:r w:rsidR="00C33174" w:rsidRPr="007A1E39">
        <w:rPr>
          <w:color w:val="000000" w:themeColor="text1"/>
          <w:szCs w:val="24"/>
        </w:rPr>
        <w:t>”</w:t>
      </w:r>
      <w:r w:rsidR="005844F1" w:rsidRPr="007A1E39">
        <w:rPr>
          <w:color w:val="000000" w:themeColor="text1"/>
          <w:szCs w:val="24"/>
        </w:rPr>
        <w:t xml:space="preserve">  </w:t>
      </w:r>
      <w:r w:rsidR="00C33174" w:rsidRPr="007A1E39">
        <w:rPr>
          <w:color w:val="000000" w:themeColor="text1"/>
          <w:szCs w:val="24"/>
        </w:rPr>
        <w:t>T</w:t>
      </w:r>
      <w:r w:rsidR="005844F1" w:rsidRPr="007A1E39">
        <w:rPr>
          <w:color w:val="000000" w:themeColor="text1"/>
          <w:szCs w:val="24"/>
        </w:rPr>
        <w:t xml:space="preserve">he </w:t>
      </w:r>
      <w:proofErr w:type="spellStart"/>
      <w:r w:rsidR="005844F1" w:rsidRPr="007A1E39">
        <w:rPr>
          <w:color w:val="000000" w:themeColor="text1"/>
          <w:szCs w:val="24"/>
        </w:rPr>
        <w:t>puretone</w:t>
      </w:r>
      <w:proofErr w:type="spellEnd"/>
      <w:r w:rsidR="005844F1" w:rsidRPr="007A1E39">
        <w:rPr>
          <w:color w:val="000000" w:themeColor="text1"/>
          <w:szCs w:val="24"/>
        </w:rPr>
        <w:t xml:space="preserve"> detection across all decibel ranges was </w:t>
      </w:r>
      <w:r w:rsidR="00C33174" w:rsidRPr="007A1E39">
        <w:rPr>
          <w:color w:val="000000" w:themeColor="text1"/>
          <w:szCs w:val="24"/>
        </w:rPr>
        <w:t xml:space="preserve">worse (higher thresholds) </w:t>
      </w:r>
      <w:r w:rsidR="005844F1" w:rsidRPr="007A1E39">
        <w:rPr>
          <w:color w:val="000000" w:themeColor="text1"/>
          <w:szCs w:val="24"/>
        </w:rPr>
        <w:t xml:space="preserve">in the </w:t>
      </w:r>
      <w:r w:rsidR="00C33174" w:rsidRPr="007A1E39">
        <w:rPr>
          <w:color w:val="000000" w:themeColor="text1"/>
          <w:szCs w:val="24"/>
        </w:rPr>
        <w:t xml:space="preserve">VA versus the </w:t>
      </w:r>
      <w:r w:rsidR="005844F1" w:rsidRPr="007A1E39">
        <w:rPr>
          <w:color w:val="000000" w:themeColor="text1"/>
          <w:szCs w:val="24"/>
        </w:rPr>
        <w:t xml:space="preserve">MEB </w:t>
      </w:r>
      <w:proofErr w:type="spellStart"/>
      <w:r w:rsidR="005844F1" w:rsidRPr="007A1E39">
        <w:rPr>
          <w:color w:val="000000" w:themeColor="text1"/>
          <w:szCs w:val="24"/>
        </w:rPr>
        <w:t>audiometry</w:t>
      </w:r>
      <w:proofErr w:type="spellEnd"/>
      <w:r w:rsidR="005844F1" w:rsidRPr="007A1E39">
        <w:rPr>
          <w:color w:val="000000" w:themeColor="text1"/>
          <w:szCs w:val="24"/>
        </w:rPr>
        <w:t xml:space="preserve"> exams</w:t>
      </w:r>
      <w:r w:rsidR="00E80C37" w:rsidRPr="007A1E39">
        <w:rPr>
          <w:color w:val="000000" w:themeColor="text1"/>
          <w:szCs w:val="24"/>
        </w:rPr>
        <w:t xml:space="preserve"> (with no record of auditory trauma that would explain the increase)</w:t>
      </w:r>
      <w:r w:rsidR="00C33174" w:rsidRPr="007A1E39">
        <w:rPr>
          <w:color w:val="000000" w:themeColor="text1"/>
          <w:szCs w:val="24"/>
        </w:rPr>
        <w:t>.  T</w:t>
      </w:r>
      <w:r w:rsidR="005844F1" w:rsidRPr="007A1E39">
        <w:rPr>
          <w:color w:val="000000" w:themeColor="text1"/>
          <w:szCs w:val="24"/>
        </w:rPr>
        <w:t>he VA</w:t>
      </w:r>
      <w:r w:rsidR="00C33174" w:rsidRPr="007A1E39">
        <w:rPr>
          <w:color w:val="000000" w:themeColor="text1"/>
          <w:szCs w:val="24"/>
        </w:rPr>
        <w:t>, however,</w:t>
      </w:r>
      <w:r w:rsidR="005844F1" w:rsidRPr="007A1E39">
        <w:rPr>
          <w:color w:val="000000" w:themeColor="text1"/>
          <w:szCs w:val="24"/>
        </w:rPr>
        <w:t xml:space="preserve"> obtained Maryland CNC speech discrimination scores </w:t>
      </w:r>
      <w:r w:rsidR="00C33174" w:rsidRPr="007A1E39">
        <w:rPr>
          <w:color w:val="000000" w:themeColor="text1"/>
          <w:szCs w:val="24"/>
        </w:rPr>
        <w:t>(</w:t>
      </w:r>
      <w:r w:rsidR="005844F1" w:rsidRPr="007A1E39">
        <w:rPr>
          <w:color w:val="000000" w:themeColor="text1"/>
          <w:szCs w:val="24"/>
        </w:rPr>
        <w:t>8</w:t>
      </w:r>
      <w:r w:rsidRPr="007A1E39">
        <w:rPr>
          <w:color w:val="000000" w:themeColor="text1"/>
          <w:szCs w:val="24"/>
        </w:rPr>
        <w:t>0</w:t>
      </w:r>
      <w:r w:rsidR="005844F1" w:rsidRPr="007A1E39">
        <w:rPr>
          <w:color w:val="000000" w:themeColor="text1"/>
          <w:szCs w:val="24"/>
        </w:rPr>
        <w:t xml:space="preserve">% </w:t>
      </w:r>
      <w:r w:rsidR="00C33174" w:rsidRPr="007A1E39">
        <w:rPr>
          <w:color w:val="000000" w:themeColor="text1"/>
          <w:szCs w:val="24"/>
        </w:rPr>
        <w:t xml:space="preserve">bilaterally), while the MEB report did not.  </w:t>
      </w:r>
      <w:r w:rsidR="006A0831" w:rsidRPr="007A1E39">
        <w:rPr>
          <w:color w:val="000000" w:themeColor="text1"/>
          <w:szCs w:val="24"/>
        </w:rPr>
        <w:t>The Maryland CNC speech discrimination test is no longer in common use for diagnostic or therapeutic clinical decision making.  More “modern” speech discrimination tests, although ideal for clinical diagnosis and treatment considerations do not clearly align with results from the older Maryland CNC test which is the VA-required standard for disability rating.</w:t>
      </w:r>
      <w:r w:rsidR="006A0831">
        <w:rPr>
          <w:color w:val="000000" w:themeColor="text1"/>
          <w:szCs w:val="24"/>
        </w:rPr>
        <w:t xml:space="preserve">  </w:t>
      </w:r>
      <w:r w:rsidR="005844F1" w:rsidRPr="00C33174">
        <w:rPr>
          <w:color w:val="000000" w:themeColor="text1"/>
          <w:szCs w:val="24"/>
        </w:rPr>
        <w:t>Given that the probative value of the speech discrimination measurements by the MEB is compromised</w:t>
      </w:r>
      <w:r w:rsidR="006A0831">
        <w:rPr>
          <w:color w:val="000000" w:themeColor="text1"/>
          <w:szCs w:val="24"/>
        </w:rPr>
        <w:t xml:space="preserve"> (almost certainly the incorrect disability test)</w:t>
      </w:r>
      <w:r w:rsidR="005844F1" w:rsidRPr="00C33174">
        <w:rPr>
          <w:color w:val="000000" w:themeColor="text1"/>
          <w:szCs w:val="24"/>
        </w:rPr>
        <w:t xml:space="preserve">, reasonable doubt would favor the CI in relying on the VA </w:t>
      </w:r>
      <w:proofErr w:type="spellStart"/>
      <w:r w:rsidR="005844F1" w:rsidRPr="00C33174">
        <w:rPr>
          <w:color w:val="000000" w:themeColor="text1"/>
          <w:szCs w:val="24"/>
        </w:rPr>
        <w:t>audiometry</w:t>
      </w:r>
      <w:proofErr w:type="spellEnd"/>
      <w:r w:rsidR="005844F1" w:rsidRPr="00C33174">
        <w:rPr>
          <w:color w:val="000000" w:themeColor="text1"/>
          <w:szCs w:val="24"/>
        </w:rPr>
        <w:t xml:space="preserve"> exam for deriving a rating recommendation under §4.85.  </w:t>
      </w:r>
      <w:r w:rsidR="005844F1" w:rsidRPr="00396779">
        <w:rPr>
          <w:rFonts w:asciiTheme="minorHAnsi" w:hAnsiTheme="minorHAnsi"/>
          <w:color w:val="auto"/>
          <w:szCs w:val="24"/>
        </w:rPr>
        <w:t xml:space="preserve">After due deliberation, considering all of the </w:t>
      </w:r>
      <w:r w:rsidR="005844F1" w:rsidRPr="00C33174">
        <w:rPr>
          <w:rFonts w:asciiTheme="minorHAnsi" w:hAnsiTheme="minorHAnsi"/>
          <w:color w:val="auto"/>
          <w:szCs w:val="24"/>
        </w:rPr>
        <w:t xml:space="preserve">evidence and mindful of VASRD §4.3 (reasonable </w:t>
      </w:r>
      <w:r w:rsidR="005844F1" w:rsidRPr="007A1E39">
        <w:rPr>
          <w:rFonts w:asciiTheme="minorHAnsi" w:hAnsiTheme="minorHAnsi"/>
          <w:color w:val="auto"/>
          <w:szCs w:val="24"/>
        </w:rPr>
        <w:t xml:space="preserve">doubt), the Board recommends a separation rating of </w:t>
      </w:r>
      <w:r w:rsidR="00F4420C" w:rsidRPr="007A1E39">
        <w:rPr>
          <w:rFonts w:asciiTheme="minorHAnsi" w:hAnsiTheme="minorHAnsi"/>
          <w:color w:val="auto"/>
          <w:szCs w:val="24"/>
        </w:rPr>
        <w:t>1</w:t>
      </w:r>
      <w:r w:rsidR="005844F1" w:rsidRPr="007A1E39">
        <w:rPr>
          <w:rFonts w:asciiTheme="minorHAnsi" w:hAnsiTheme="minorHAnsi"/>
          <w:color w:val="auto"/>
          <w:szCs w:val="24"/>
        </w:rPr>
        <w:t xml:space="preserve">0% for the </w:t>
      </w:r>
      <w:r w:rsidR="00C33174" w:rsidRPr="007A1E39">
        <w:rPr>
          <w:rFonts w:asciiTheme="minorHAnsi" w:hAnsiTheme="minorHAnsi"/>
          <w:color w:val="auto"/>
          <w:szCs w:val="24"/>
        </w:rPr>
        <w:t>bilateral hearing loss</w:t>
      </w:r>
      <w:r w:rsidR="005844F1" w:rsidRPr="00396779">
        <w:rPr>
          <w:rFonts w:asciiTheme="minorHAnsi" w:hAnsiTheme="minorHAnsi"/>
          <w:color w:val="auto"/>
          <w:szCs w:val="24"/>
        </w:rPr>
        <w:t xml:space="preserve"> </w:t>
      </w:r>
      <w:r w:rsidR="005844F1" w:rsidRPr="00B427BB">
        <w:rPr>
          <w:rFonts w:asciiTheme="minorHAnsi" w:hAnsiTheme="minorHAnsi"/>
          <w:color w:val="auto"/>
          <w:szCs w:val="24"/>
        </w:rPr>
        <w:t>condition.</w:t>
      </w:r>
      <w:r w:rsidR="005844F1">
        <w:rPr>
          <w:rFonts w:asciiTheme="minorHAnsi" w:hAnsiTheme="minorHAnsi"/>
          <w:color w:val="auto"/>
          <w:szCs w:val="24"/>
        </w:rPr>
        <w:t xml:space="preserve">  </w:t>
      </w:r>
    </w:p>
    <w:p w:rsidR="005B30C4" w:rsidRPr="00357D08" w:rsidRDefault="005B30C4" w:rsidP="00C33174">
      <w:pPr>
        <w:tabs>
          <w:tab w:val="left" w:pos="2932"/>
        </w:tabs>
        <w:jc w:val="both"/>
        <w:rPr>
          <w:color w:val="000000" w:themeColor="text1"/>
          <w:szCs w:val="24"/>
        </w:rPr>
      </w:pPr>
    </w:p>
    <w:p w:rsidR="00601F0F" w:rsidRDefault="004C60A3" w:rsidP="003F4180">
      <w:pPr>
        <w:jc w:val="both"/>
        <w:rPr>
          <w:color w:val="000000" w:themeColor="text1"/>
          <w:szCs w:val="24"/>
        </w:rPr>
      </w:pPr>
      <w:proofErr w:type="gramStart"/>
      <w:r w:rsidRPr="007A1E39">
        <w:rPr>
          <w:rFonts w:eastAsia="HiddenHorzOCR"/>
          <w:color w:val="000000" w:themeColor="text1"/>
          <w:szCs w:val="24"/>
          <w:u w:val="single"/>
        </w:rPr>
        <w:t>Ot</w:t>
      </w:r>
      <w:r w:rsidR="003604A5" w:rsidRPr="007A1E39">
        <w:rPr>
          <w:rFonts w:eastAsia="HiddenHorzOCR"/>
          <w:color w:val="000000" w:themeColor="text1"/>
          <w:szCs w:val="24"/>
          <w:u w:val="single"/>
        </w:rPr>
        <w:t xml:space="preserve">her </w:t>
      </w:r>
      <w:r w:rsidR="00355AAB">
        <w:rPr>
          <w:rFonts w:eastAsia="HiddenHorzOCR"/>
          <w:color w:val="000000" w:themeColor="text1"/>
          <w:szCs w:val="24"/>
          <w:u w:val="single"/>
        </w:rPr>
        <w:t>IPEB</w:t>
      </w:r>
      <w:r w:rsidR="008F30F4" w:rsidRPr="007A1E39">
        <w:rPr>
          <w:rFonts w:eastAsia="HiddenHorzOCR"/>
          <w:color w:val="000000" w:themeColor="text1"/>
          <w:szCs w:val="24"/>
          <w:u w:val="single"/>
        </w:rPr>
        <w:t xml:space="preserve"> </w:t>
      </w:r>
      <w:r w:rsidR="003604A5" w:rsidRPr="007A1E39">
        <w:rPr>
          <w:rFonts w:eastAsia="HiddenHorzOCR"/>
          <w:color w:val="000000" w:themeColor="text1"/>
          <w:szCs w:val="24"/>
          <w:u w:val="single"/>
        </w:rPr>
        <w:t>Conditions</w:t>
      </w:r>
      <w:r w:rsidR="008C253D" w:rsidRPr="007A1E39">
        <w:rPr>
          <w:rFonts w:eastAsia="HiddenHorzOCR"/>
          <w:color w:val="000000" w:themeColor="text1"/>
          <w:szCs w:val="24"/>
        </w:rPr>
        <w:t>.</w:t>
      </w:r>
      <w:proofErr w:type="gramEnd"/>
      <w:r w:rsidR="008C253D" w:rsidRPr="007A1E39">
        <w:rPr>
          <w:rFonts w:eastAsia="HiddenHorzOCR"/>
          <w:color w:val="000000" w:themeColor="text1"/>
          <w:szCs w:val="24"/>
        </w:rPr>
        <w:t xml:space="preserve">  </w:t>
      </w:r>
      <w:r w:rsidR="008C3223" w:rsidRPr="007A1E39">
        <w:rPr>
          <w:color w:val="000000" w:themeColor="text1"/>
          <w:szCs w:val="24"/>
        </w:rPr>
        <w:t xml:space="preserve">The other conditions forwarded by the MEB </w:t>
      </w:r>
      <w:r w:rsidR="008F1F1B" w:rsidRPr="007A1E39">
        <w:rPr>
          <w:color w:val="000000" w:themeColor="text1"/>
          <w:szCs w:val="24"/>
        </w:rPr>
        <w:t xml:space="preserve">as failing retention standards </w:t>
      </w:r>
      <w:r w:rsidR="008C3223" w:rsidRPr="007A1E39">
        <w:rPr>
          <w:color w:val="000000" w:themeColor="text1"/>
          <w:szCs w:val="24"/>
        </w:rPr>
        <w:t xml:space="preserve">and adjudicated as not unfitting by the </w:t>
      </w:r>
      <w:r w:rsidR="00355AAB">
        <w:rPr>
          <w:color w:val="000000" w:themeColor="text1"/>
          <w:szCs w:val="24"/>
        </w:rPr>
        <w:t>IPEB</w:t>
      </w:r>
      <w:r w:rsidR="008C3223" w:rsidRPr="007A1E39">
        <w:rPr>
          <w:color w:val="000000" w:themeColor="text1"/>
          <w:szCs w:val="24"/>
        </w:rPr>
        <w:t xml:space="preserve"> were </w:t>
      </w:r>
      <w:r w:rsidR="008C253D" w:rsidRPr="007A1E39">
        <w:rPr>
          <w:color w:val="000000" w:themeColor="text1"/>
          <w:szCs w:val="24"/>
        </w:rPr>
        <w:t>PTSD</w:t>
      </w:r>
      <w:r w:rsidR="008F1F1B" w:rsidRPr="007A1E39">
        <w:rPr>
          <w:color w:val="000000" w:themeColor="text1"/>
          <w:szCs w:val="24"/>
        </w:rPr>
        <w:t xml:space="preserve"> (VA 30%)</w:t>
      </w:r>
      <w:r w:rsidR="008C253D" w:rsidRPr="007A1E39">
        <w:rPr>
          <w:color w:val="000000" w:themeColor="text1"/>
          <w:szCs w:val="24"/>
        </w:rPr>
        <w:t xml:space="preserve">, </w:t>
      </w:r>
      <w:r w:rsidR="008F1F1B" w:rsidRPr="007A1E39">
        <w:rPr>
          <w:color w:val="000000" w:themeColor="text1"/>
          <w:szCs w:val="24"/>
        </w:rPr>
        <w:t>hypertension (VA 10%)</w:t>
      </w:r>
      <w:r w:rsidR="008C253D" w:rsidRPr="007A1E39">
        <w:rPr>
          <w:color w:val="000000" w:themeColor="text1"/>
          <w:szCs w:val="24"/>
        </w:rPr>
        <w:t xml:space="preserve">, </w:t>
      </w:r>
      <w:proofErr w:type="spellStart"/>
      <w:r w:rsidR="008C253D" w:rsidRPr="007A1E39">
        <w:rPr>
          <w:color w:val="000000" w:themeColor="text1"/>
          <w:szCs w:val="24"/>
        </w:rPr>
        <w:t>spondylosis</w:t>
      </w:r>
      <w:proofErr w:type="spellEnd"/>
      <w:r w:rsidR="008C253D" w:rsidRPr="007A1E39">
        <w:rPr>
          <w:color w:val="000000" w:themeColor="text1"/>
          <w:szCs w:val="24"/>
        </w:rPr>
        <w:t xml:space="preserve"> L4-</w:t>
      </w:r>
      <w:r w:rsidR="006441EF" w:rsidRPr="007A1E39">
        <w:rPr>
          <w:color w:val="000000" w:themeColor="text1"/>
          <w:szCs w:val="24"/>
        </w:rPr>
        <w:t>L</w:t>
      </w:r>
      <w:r w:rsidR="008C253D" w:rsidRPr="007A1E39">
        <w:rPr>
          <w:color w:val="000000" w:themeColor="text1"/>
          <w:szCs w:val="24"/>
        </w:rPr>
        <w:t>5</w:t>
      </w:r>
      <w:r w:rsidR="008F1F1B" w:rsidRPr="007A1E39">
        <w:rPr>
          <w:color w:val="000000" w:themeColor="text1"/>
          <w:szCs w:val="24"/>
        </w:rPr>
        <w:t xml:space="preserve"> (VA 0%),</w:t>
      </w:r>
      <w:r w:rsidR="008C253D" w:rsidRPr="007A1E39">
        <w:rPr>
          <w:color w:val="000000" w:themeColor="text1"/>
          <w:szCs w:val="24"/>
        </w:rPr>
        <w:t xml:space="preserve"> and right hand weakness</w:t>
      </w:r>
      <w:r w:rsidR="008F1F1B" w:rsidRPr="007A1E39">
        <w:rPr>
          <w:color w:val="000000" w:themeColor="text1"/>
          <w:szCs w:val="24"/>
        </w:rPr>
        <w:t xml:space="preserve"> (VA 0%)</w:t>
      </w:r>
      <w:r w:rsidR="008C3223" w:rsidRPr="007A1E39">
        <w:rPr>
          <w:color w:val="000000" w:themeColor="text1"/>
          <w:szCs w:val="24"/>
        </w:rPr>
        <w:t xml:space="preserve">.  </w:t>
      </w:r>
      <w:r w:rsidR="00601F0F" w:rsidRPr="007A1E39">
        <w:rPr>
          <w:color w:val="000000" w:themeColor="text1"/>
          <w:szCs w:val="24"/>
        </w:rPr>
        <w:t xml:space="preserve">PTSD was profiled (S3), but the other conditions were not, and none were implicated in the commander’s statement.  PTSD will be discussed separately below.  The hypertension, </w:t>
      </w:r>
      <w:proofErr w:type="spellStart"/>
      <w:r w:rsidR="00601F0F" w:rsidRPr="007A1E39">
        <w:rPr>
          <w:color w:val="000000" w:themeColor="text1"/>
          <w:szCs w:val="24"/>
        </w:rPr>
        <w:t>spondylosis</w:t>
      </w:r>
      <w:proofErr w:type="spellEnd"/>
      <w:r w:rsidR="00601F0F" w:rsidRPr="007A1E39">
        <w:rPr>
          <w:color w:val="000000" w:themeColor="text1"/>
          <w:szCs w:val="24"/>
        </w:rPr>
        <w:t xml:space="preserve"> L4-L5, and right hand conditions were reviewed by the action officer and considered by the Board.  There was no indication from the record that any of these conditions significantly interfered with satisfactory duty performance.  All evidence considered</w:t>
      </w:r>
      <w:proofErr w:type="gramStart"/>
      <w:r w:rsidR="00601F0F" w:rsidRPr="007A1E39">
        <w:rPr>
          <w:color w:val="000000" w:themeColor="text1"/>
          <w:szCs w:val="24"/>
        </w:rPr>
        <w:t>,</w:t>
      </w:r>
      <w:proofErr w:type="gramEnd"/>
      <w:r w:rsidR="00601F0F" w:rsidRPr="007A1E39">
        <w:rPr>
          <w:color w:val="000000" w:themeColor="text1"/>
          <w:szCs w:val="24"/>
        </w:rPr>
        <w:t xml:space="preserve"> there is not reasonable doubt in the CI’s favor supporting recharacterization of the PEB fitness adjudication for any of the stated conditions.</w:t>
      </w:r>
    </w:p>
    <w:p w:rsidR="00601F0F" w:rsidRDefault="00601F0F" w:rsidP="003F4180">
      <w:pPr>
        <w:jc w:val="both"/>
        <w:rPr>
          <w:color w:val="000000" w:themeColor="text1"/>
          <w:szCs w:val="24"/>
        </w:rPr>
      </w:pPr>
    </w:p>
    <w:p w:rsidR="008F1F1B" w:rsidRPr="007A1E39" w:rsidRDefault="00601F0F" w:rsidP="00CF3C05">
      <w:pPr>
        <w:jc w:val="both"/>
        <w:rPr>
          <w:color w:val="000000" w:themeColor="text1"/>
          <w:szCs w:val="24"/>
        </w:rPr>
      </w:pPr>
      <w:proofErr w:type="gramStart"/>
      <w:r w:rsidRPr="007A1E39">
        <w:rPr>
          <w:color w:val="000000" w:themeColor="text1"/>
          <w:szCs w:val="24"/>
          <w:u w:val="single"/>
        </w:rPr>
        <w:t>PTSD</w:t>
      </w:r>
      <w:r w:rsidRPr="007A1E39">
        <w:rPr>
          <w:color w:val="000000" w:themeColor="text1"/>
          <w:szCs w:val="24"/>
        </w:rPr>
        <w:t>.</w:t>
      </w:r>
      <w:proofErr w:type="gramEnd"/>
      <w:r w:rsidRPr="007A1E39">
        <w:rPr>
          <w:color w:val="000000" w:themeColor="text1"/>
          <w:szCs w:val="24"/>
        </w:rPr>
        <w:t xml:space="preserve">  The Board’s main charge in respect to the PTSD condition is an assessment of the appropriateness of the PEB’s fitness adjudication.  </w:t>
      </w:r>
      <w:r w:rsidR="008F1F1B" w:rsidRPr="007A1E39">
        <w:rPr>
          <w:color w:val="000000" w:themeColor="text1"/>
          <w:szCs w:val="24"/>
        </w:rPr>
        <w:t>The PEB specifically noted that PTSD was not separately unfitting, stating:</w:t>
      </w:r>
    </w:p>
    <w:p w:rsidR="008F1F1B" w:rsidRPr="007A1E39" w:rsidRDefault="008F1F1B" w:rsidP="003F4180">
      <w:pPr>
        <w:jc w:val="both"/>
        <w:rPr>
          <w:color w:val="000000" w:themeColor="text1"/>
          <w:szCs w:val="24"/>
        </w:rPr>
      </w:pPr>
    </w:p>
    <w:p w:rsidR="008F1F1B" w:rsidRDefault="008F1F1B" w:rsidP="00060BF7">
      <w:pPr>
        <w:spacing w:line="220" w:lineRule="exact"/>
        <w:ind w:left="720" w:right="720"/>
        <w:jc w:val="both"/>
        <w:rPr>
          <w:color w:val="000000" w:themeColor="text1"/>
          <w:szCs w:val="24"/>
        </w:rPr>
      </w:pPr>
      <w:r w:rsidRPr="007A1E39">
        <w:rPr>
          <w:color w:val="000000" w:themeColor="text1"/>
          <w:sz w:val="22"/>
          <w:szCs w:val="24"/>
        </w:rPr>
        <w:t>There is no evidenc</w:t>
      </w:r>
      <w:r w:rsidR="00B47AAB">
        <w:rPr>
          <w:color w:val="000000" w:themeColor="text1"/>
          <w:sz w:val="22"/>
          <w:szCs w:val="24"/>
        </w:rPr>
        <w:t>e from the S</w:t>
      </w:r>
      <w:r w:rsidR="00357D08">
        <w:rPr>
          <w:color w:val="000000" w:themeColor="text1"/>
          <w:sz w:val="22"/>
          <w:szCs w:val="24"/>
        </w:rPr>
        <w:t xml:space="preserve">oldier’s </w:t>
      </w:r>
      <w:r w:rsidR="00B47AAB">
        <w:rPr>
          <w:color w:val="000000" w:themeColor="text1"/>
          <w:sz w:val="22"/>
          <w:szCs w:val="24"/>
        </w:rPr>
        <w:t>NCO evaluation reports (</w:t>
      </w:r>
      <w:r w:rsidR="00357D08">
        <w:rPr>
          <w:color w:val="000000" w:themeColor="text1"/>
          <w:sz w:val="22"/>
          <w:szCs w:val="24"/>
        </w:rPr>
        <w:t>NCOERs</w:t>
      </w:r>
      <w:r w:rsidR="00B47AAB">
        <w:rPr>
          <w:color w:val="000000" w:themeColor="text1"/>
          <w:sz w:val="22"/>
          <w:szCs w:val="24"/>
        </w:rPr>
        <w:t>)</w:t>
      </w:r>
      <w:r w:rsidR="00357D08">
        <w:rPr>
          <w:color w:val="000000" w:themeColor="text1"/>
          <w:sz w:val="22"/>
          <w:szCs w:val="24"/>
        </w:rPr>
        <w:t xml:space="preserve"> or commander’s s</w:t>
      </w:r>
      <w:r w:rsidRPr="007A1E39">
        <w:rPr>
          <w:color w:val="000000" w:themeColor="text1"/>
          <w:sz w:val="22"/>
          <w:szCs w:val="24"/>
        </w:rPr>
        <w:t>tatement that this condition has adversely impacted Soldier’s duty performance.  Psychiatric addendum to NARSUM shows excellent response to medication, with increased energy, decreased anxiety, and improved relationship with his wi</w:t>
      </w:r>
      <w:r w:rsidR="00C43806" w:rsidRPr="007A1E39">
        <w:rPr>
          <w:color w:val="000000" w:themeColor="text1"/>
          <w:sz w:val="22"/>
          <w:szCs w:val="24"/>
        </w:rPr>
        <w:t>f</w:t>
      </w:r>
      <w:r w:rsidRPr="007A1E39">
        <w:rPr>
          <w:color w:val="000000" w:themeColor="text1"/>
          <w:sz w:val="22"/>
          <w:szCs w:val="24"/>
        </w:rPr>
        <w:t>e.  DA Form 3349 shows no functional limitations due to PTSD</w:t>
      </w:r>
      <w:r w:rsidRPr="007A1E39">
        <w:rPr>
          <w:color w:val="000000" w:themeColor="text1"/>
          <w:szCs w:val="24"/>
        </w:rPr>
        <w:t>.</w:t>
      </w:r>
    </w:p>
    <w:p w:rsidR="00856D0B" w:rsidRDefault="00856D0B" w:rsidP="003F4180">
      <w:pPr>
        <w:jc w:val="both"/>
        <w:rPr>
          <w:color w:val="000000" w:themeColor="text1"/>
          <w:szCs w:val="24"/>
        </w:rPr>
      </w:pPr>
    </w:p>
    <w:p w:rsidR="006310A7" w:rsidRDefault="00EA07C0" w:rsidP="003F4180">
      <w:pPr>
        <w:jc w:val="both"/>
        <w:rPr>
          <w:color w:val="000000" w:themeColor="text1"/>
          <w:szCs w:val="24"/>
        </w:rPr>
      </w:pPr>
      <w:r w:rsidRPr="007A1E39">
        <w:rPr>
          <w:color w:val="000000" w:themeColor="text1"/>
          <w:szCs w:val="24"/>
        </w:rPr>
        <w:t>The psychiatric addendum to the MEB, five months pr</w:t>
      </w:r>
      <w:r w:rsidR="00850203" w:rsidRPr="007A1E39">
        <w:rPr>
          <w:color w:val="000000" w:themeColor="text1"/>
          <w:szCs w:val="24"/>
        </w:rPr>
        <w:t>e</w:t>
      </w:r>
      <w:r w:rsidRPr="007A1E39">
        <w:rPr>
          <w:color w:val="000000" w:themeColor="text1"/>
          <w:szCs w:val="24"/>
        </w:rPr>
        <w:t xml:space="preserve">-separation, </w:t>
      </w:r>
      <w:r w:rsidR="00740E32" w:rsidRPr="007A1E39">
        <w:rPr>
          <w:color w:val="000000" w:themeColor="text1"/>
          <w:szCs w:val="24"/>
        </w:rPr>
        <w:t xml:space="preserve">characterized the CI’s PTSD as causing </w:t>
      </w:r>
      <w:r w:rsidR="00AD1778" w:rsidRPr="007A1E39">
        <w:rPr>
          <w:color w:val="000000" w:themeColor="text1"/>
          <w:szCs w:val="24"/>
        </w:rPr>
        <w:t>“</w:t>
      </w:r>
      <w:r w:rsidR="00602728" w:rsidRPr="007A1E39">
        <w:rPr>
          <w:color w:val="000000" w:themeColor="text1"/>
          <w:szCs w:val="24"/>
        </w:rPr>
        <w:t>d</w:t>
      </w:r>
      <w:r w:rsidR="00AD1778" w:rsidRPr="007A1E39">
        <w:rPr>
          <w:color w:val="000000" w:themeColor="text1"/>
          <w:szCs w:val="24"/>
        </w:rPr>
        <w:t xml:space="preserve">efinite” military impairment and </w:t>
      </w:r>
      <w:r w:rsidR="00740E32" w:rsidRPr="007A1E39">
        <w:rPr>
          <w:color w:val="000000" w:themeColor="text1"/>
          <w:szCs w:val="24"/>
        </w:rPr>
        <w:t xml:space="preserve">“mild” social and industrial impairment (DoDI 1332.39 10% language).  </w:t>
      </w:r>
      <w:r w:rsidR="000E4D74">
        <w:rPr>
          <w:color w:val="000000" w:themeColor="text1"/>
          <w:szCs w:val="24"/>
        </w:rPr>
        <w:t>The examiner stated “s</w:t>
      </w:r>
      <w:r w:rsidR="00AD1778" w:rsidRPr="007A1E39">
        <w:rPr>
          <w:color w:val="000000" w:themeColor="text1"/>
          <w:szCs w:val="24"/>
        </w:rPr>
        <w:t xml:space="preserve">ymptoms of </w:t>
      </w:r>
      <w:proofErr w:type="spellStart"/>
      <w:r w:rsidR="00AD1778" w:rsidRPr="007A1E39">
        <w:rPr>
          <w:color w:val="000000" w:themeColor="text1"/>
          <w:szCs w:val="24"/>
        </w:rPr>
        <w:t>reexperiencing</w:t>
      </w:r>
      <w:proofErr w:type="spellEnd"/>
      <w:r w:rsidR="00AD1778" w:rsidRPr="007A1E39">
        <w:rPr>
          <w:color w:val="000000" w:themeColor="text1"/>
          <w:szCs w:val="24"/>
        </w:rPr>
        <w:t>, avoidance and increased arousal have abated but would likely become more prominent if put back into position of responsibility” and assigned an S3 profile which included inability to deploy.  The psychiatrist stated “we are of the opinion that the Soldier’s condition interferes with the performance of his duties and is medically unacceptable in accordance with A</w:t>
      </w:r>
      <w:r w:rsidR="000E4D74">
        <w:rPr>
          <w:color w:val="000000" w:themeColor="text1"/>
          <w:szCs w:val="24"/>
        </w:rPr>
        <w:t>R</w:t>
      </w:r>
      <w:r w:rsidR="00AD1778" w:rsidRPr="007A1E39">
        <w:rPr>
          <w:color w:val="000000" w:themeColor="text1"/>
          <w:szCs w:val="24"/>
        </w:rPr>
        <w:t xml:space="preserve"> 40-501, Chapter 3-33…</w:t>
      </w:r>
      <w:r w:rsidR="007A1E39" w:rsidRPr="007A1E39">
        <w:rPr>
          <w:color w:val="000000" w:themeColor="text1"/>
          <w:szCs w:val="24"/>
        </w:rPr>
        <w:t>.</w:t>
      </w:r>
      <w:r w:rsidR="00AD1778" w:rsidRPr="007A1E39">
        <w:rPr>
          <w:color w:val="000000" w:themeColor="text1"/>
          <w:szCs w:val="24"/>
        </w:rPr>
        <w:t>”  The PTSD sym</w:t>
      </w:r>
      <w:r w:rsidR="000E4D74">
        <w:rPr>
          <w:color w:val="000000" w:themeColor="text1"/>
          <w:szCs w:val="24"/>
        </w:rPr>
        <w:t xml:space="preserve">ptoms included alcohol use and </w:t>
      </w:r>
      <w:r w:rsidR="00AD1778" w:rsidRPr="007A1E39">
        <w:rPr>
          <w:color w:val="000000" w:themeColor="text1"/>
          <w:szCs w:val="24"/>
        </w:rPr>
        <w:t xml:space="preserve">NCOER that covers this period gave him several ratings lower than he had previously enjoyed in </w:t>
      </w:r>
      <w:r w:rsidR="000E4D74">
        <w:rPr>
          <w:color w:val="000000" w:themeColor="text1"/>
          <w:szCs w:val="24"/>
        </w:rPr>
        <w:t>his career with comments like, “</w:t>
      </w:r>
      <w:r w:rsidR="00AD1778" w:rsidRPr="007A1E39">
        <w:rPr>
          <w:color w:val="000000" w:themeColor="text1"/>
          <w:szCs w:val="24"/>
        </w:rPr>
        <w:t xml:space="preserve">slowing down” and “taking too much time” in performing his duties.  The Soldier reports he was experiencing significant anxiety “in making sure things were right” which resulted in needing more time to accomplish his duties and planning.  </w:t>
      </w:r>
      <w:r w:rsidR="00740E32" w:rsidRPr="007A1E39">
        <w:rPr>
          <w:color w:val="000000" w:themeColor="text1"/>
          <w:szCs w:val="24"/>
        </w:rPr>
        <w:t>The examin</w:t>
      </w:r>
      <w:r w:rsidR="00AD1778" w:rsidRPr="007A1E39">
        <w:rPr>
          <w:color w:val="000000" w:themeColor="text1"/>
          <w:szCs w:val="24"/>
        </w:rPr>
        <w:t>er</w:t>
      </w:r>
      <w:r w:rsidR="00740E32" w:rsidRPr="007A1E39">
        <w:rPr>
          <w:color w:val="000000" w:themeColor="text1"/>
          <w:szCs w:val="24"/>
        </w:rPr>
        <w:t xml:space="preserve"> </w:t>
      </w:r>
      <w:r w:rsidRPr="007A1E39">
        <w:rPr>
          <w:color w:val="000000" w:themeColor="text1"/>
          <w:szCs w:val="24"/>
        </w:rPr>
        <w:t xml:space="preserve">reported the CI’s post-deployment PTSD symptoms, which included anxiety, irritability, social isolation, avoidance, </w:t>
      </w:r>
      <w:r w:rsidR="00C96825" w:rsidRPr="007A1E39">
        <w:rPr>
          <w:color w:val="000000" w:themeColor="text1"/>
          <w:szCs w:val="24"/>
        </w:rPr>
        <w:t xml:space="preserve">one episode of visual hallucinations, </w:t>
      </w:r>
      <w:r w:rsidRPr="007A1E39">
        <w:rPr>
          <w:color w:val="000000" w:themeColor="text1"/>
          <w:szCs w:val="24"/>
        </w:rPr>
        <w:t>insomnia, and nightmares, had improved significantly with treatment (</w:t>
      </w:r>
      <w:r w:rsidR="00740E32" w:rsidRPr="007A1E39">
        <w:rPr>
          <w:color w:val="000000" w:themeColor="text1"/>
          <w:szCs w:val="24"/>
        </w:rPr>
        <w:t xml:space="preserve">two psychotropic </w:t>
      </w:r>
      <w:r w:rsidRPr="007A1E39">
        <w:rPr>
          <w:color w:val="000000" w:themeColor="text1"/>
          <w:szCs w:val="24"/>
        </w:rPr>
        <w:t>medications and psychotherapy), although his insomnia persisted.  The CI was experiencing nightmares about two to three times per week, and sleeping abo</w:t>
      </w:r>
      <w:r w:rsidR="000E4D74">
        <w:rPr>
          <w:color w:val="000000" w:themeColor="text1"/>
          <w:szCs w:val="24"/>
        </w:rPr>
        <w:t xml:space="preserve">ut five hours per night, using </w:t>
      </w:r>
      <w:proofErr w:type="spellStart"/>
      <w:r w:rsidR="000E4D74">
        <w:rPr>
          <w:color w:val="000000" w:themeColor="text1"/>
          <w:szCs w:val="24"/>
        </w:rPr>
        <w:t>Z</w:t>
      </w:r>
      <w:r w:rsidRPr="007A1E39">
        <w:rPr>
          <w:color w:val="000000" w:themeColor="text1"/>
          <w:szCs w:val="24"/>
        </w:rPr>
        <w:t>olpidem</w:t>
      </w:r>
      <w:proofErr w:type="spellEnd"/>
      <w:r w:rsidRPr="007A1E39">
        <w:rPr>
          <w:color w:val="000000" w:themeColor="text1"/>
          <w:szCs w:val="24"/>
        </w:rPr>
        <w:t xml:space="preserve"> two to three nights per week.  His relationship with his wife was good, and he was “able to get out </w:t>
      </w:r>
      <w:proofErr w:type="gramStart"/>
      <w:r w:rsidRPr="007A1E39">
        <w:rPr>
          <w:color w:val="000000" w:themeColor="text1"/>
          <w:szCs w:val="24"/>
        </w:rPr>
        <w:t>to do</w:t>
      </w:r>
      <w:proofErr w:type="gramEnd"/>
      <w:r w:rsidRPr="007A1E39">
        <w:rPr>
          <w:color w:val="000000" w:themeColor="text1"/>
          <w:szCs w:val="24"/>
        </w:rPr>
        <w:t xml:space="preserve"> things he enjoys.”  Mental status exam (MSE) </w:t>
      </w:r>
      <w:r w:rsidR="00740E32" w:rsidRPr="007A1E39">
        <w:rPr>
          <w:color w:val="000000" w:themeColor="text1"/>
          <w:szCs w:val="24"/>
        </w:rPr>
        <w:t>revealed “fairly good” mood, with no suicidal or homicidal ideation (no other elements of the MSE were addressed).  Global Assessment of Functioning (GAF) was 70, indicating some mild symptoms or some difficulty in social or occupational functioning, but generally functioning pretty well, having some meaningful interpersonal relationships.</w:t>
      </w:r>
    </w:p>
    <w:p w:rsidR="00740E32" w:rsidRDefault="00740E32" w:rsidP="003F4180">
      <w:pPr>
        <w:jc w:val="both"/>
        <w:rPr>
          <w:color w:val="000000" w:themeColor="text1"/>
          <w:szCs w:val="24"/>
        </w:rPr>
      </w:pPr>
    </w:p>
    <w:p w:rsidR="00740E32" w:rsidRDefault="00740E32" w:rsidP="003F4180">
      <w:pPr>
        <w:jc w:val="both"/>
        <w:rPr>
          <w:color w:val="000000" w:themeColor="text1"/>
          <w:szCs w:val="24"/>
        </w:rPr>
      </w:pPr>
      <w:r w:rsidRPr="007A1E39">
        <w:rPr>
          <w:color w:val="000000" w:themeColor="text1"/>
          <w:szCs w:val="24"/>
        </w:rPr>
        <w:t xml:space="preserve">The VA psychiatric exam, two months pre-separation, </w:t>
      </w:r>
      <w:r w:rsidR="00C96825" w:rsidRPr="007A1E39">
        <w:rPr>
          <w:color w:val="000000" w:themeColor="text1"/>
          <w:szCs w:val="24"/>
        </w:rPr>
        <w:t xml:space="preserve">described more severe PTSD symptoms, and the examiner </w:t>
      </w:r>
      <w:r w:rsidR="00D2143B" w:rsidRPr="007A1E39">
        <w:rPr>
          <w:color w:val="000000" w:themeColor="text1"/>
          <w:szCs w:val="24"/>
        </w:rPr>
        <w:t xml:space="preserve">used </w:t>
      </w:r>
      <w:r w:rsidR="00D2143B" w:rsidRPr="007A1E39">
        <w:rPr>
          <w:rFonts w:cs="Calibri"/>
          <w:color w:val="000000" w:themeColor="text1"/>
          <w:szCs w:val="24"/>
        </w:rPr>
        <w:t>§</w:t>
      </w:r>
      <w:r w:rsidR="00D2143B" w:rsidRPr="007A1E39">
        <w:rPr>
          <w:color w:val="000000" w:themeColor="text1"/>
          <w:szCs w:val="24"/>
        </w:rPr>
        <w:t>4.130 30% language to summarize that</w:t>
      </w:r>
      <w:r w:rsidR="00B47AAB">
        <w:rPr>
          <w:color w:val="000000" w:themeColor="text1"/>
          <w:szCs w:val="24"/>
        </w:rPr>
        <w:t xml:space="preserve"> the CI’s PTSD symptoms caused </w:t>
      </w:r>
      <w:r w:rsidR="00D2143B" w:rsidRPr="007A1E39">
        <w:rPr>
          <w:color w:val="000000" w:themeColor="text1"/>
          <w:szCs w:val="24"/>
        </w:rPr>
        <w:t xml:space="preserve">occupational and social impairment with occasional decrease in work efficiency and intermittent periods of inability to perform occupational tasks (although generally functioning satisfactorily, with routine behavior, self-care, and conversation normal).  In addition to the MEB-described symptoms, the VA examiner noted mild memory </w:t>
      </w:r>
      <w:r w:rsidR="00465164" w:rsidRPr="007A1E39">
        <w:rPr>
          <w:color w:val="000000" w:themeColor="text1"/>
          <w:szCs w:val="24"/>
        </w:rPr>
        <w:t>loss, difficulty con</w:t>
      </w:r>
      <w:r w:rsidR="004625F3" w:rsidRPr="007A1E39">
        <w:rPr>
          <w:color w:val="000000" w:themeColor="text1"/>
          <w:szCs w:val="24"/>
        </w:rPr>
        <w:t>c</w:t>
      </w:r>
      <w:r w:rsidR="00465164" w:rsidRPr="007A1E39">
        <w:rPr>
          <w:color w:val="000000" w:themeColor="text1"/>
          <w:szCs w:val="24"/>
        </w:rPr>
        <w:t xml:space="preserve">entrating, and </w:t>
      </w:r>
      <w:proofErr w:type="spellStart"/>
      <w:r w:rsidR="00465164" w:rsidRPr="007A1E39">
        <w:rPr>
          <w:color w:val="000000" w:themeColor="text1"/>
          <w:szCs w:val="24"/>
        </w:rPr>
        <w:t>hypervigilance</w:t>
      </w:r>
      <w:proofErr w:type="spellEnd"/>
      <w:r w:rsidR="00465164" w:rsidRPr="007A1E39">
        <w:rPr>
          <w:color w:val="000000" w:themeColor="text1"/>
          <w:szCs w:val="24"/>
        </w:rPr>
        <w:t xml:space="preserve"> with exaggerated startle response.  </w:t>
      </w:r>
      <w:r w:rsidR="004625F3" w:rsidRPr="007A1E39">
        <w:rPr>
          <w:color w:val="000000" w:themeColor="text1"/>
          <w:szCs w:val="24"/>
        </w:rPr>
        <w:t xml:space="preserve">The examiner also reported “impaired impulse control, some unprovoked irritability and periods of violence that affects motivation by </w:t>
      </w:r>
      <w:proofErr w:type="spellStart"/>
      <w:r w:rsidR="004625F3" w:rsidRPr="007A1E39">
        <w:rPr>
          <w:color w:val="000000" w:themeColor="text1"/>
          <w:szCs w:val="24"/>
        </w:rPr>
        <w:t>ambivelance</w:t>
      </w:r>
      <w:proofErr w:type="spellEnd"/>
      <w:r w:rsidR="004625F3" w:rsidRPr="007A1E39">
        <w:rPr>
          <w:color w:val="000000" w:themeColor="text1"/>
          <w:szCs w:val="24"/>
        </w:rPr>
        <w:t xml:space="preserve"> and that affects mood by having excessive guilt.”  </w:t>
      </w:r>
      <w:proofErr w:type="spellStart"/>
      <w:r w:rsidR="004625F3" w:rsidRPr="007A1E39">
        <w:rPr>
          <w:color w:val="000000" w:themeColor="text1"/>
          <w:szCs w:val="24"/>
        </w:rPr>
        <w:t>Obsessional</w:t>
      </w:r>
      <w:proofErr w:type="spellEnd"/>
      <w:r w:rsidR="004625F3" w:rsidRPr="007A1E39">
        <w:rPr>
          <w:color w:val="000000" w:themeColor="text1"/>
          <w:szCs w:val="24"/>
        </w:rPr>
        <w:t xml:space="preserve"> rituals (such as keeping an eye on the door) were noted, but did not interfere with routine activities.  The </w:t>
      </w:r>
      <w:r w:rsidR="004625F3" w:rsidRPr="007A1E39">
        <w:rPr>
          <w:color w:val="000000" w:themeColor="text1"/>
          <w:szCs w:val="24"/>
        </w:rPr>
        <w:lastRenderedPageBreak/>
        <w:t xml:space="preserve">examiner noted the CI’s symptoms caused “major changes” in his daily activities and social functioning.  He had a “rocky” relationship with his spouse, but good relationships with his children.  At work, he reported having </w:t>
      </w:r>
      <w:proofErr w:type="gramStart"/>
      <w:r w:rsidR="004625F3" w:rsidRPr="007A1E39">
        <w:rPr>
          <w:color w:val="000000" w:themeColor="text1"/>
          <w:szCs w:val="24"/>
        </w:rPr>
        <w:t>a good relationships</w:t>
      </w:r>
      <w:proofErr w:type="gramEnd"/>
      <w:r w:rsidR="004625F3" w:rsidRPr="007A1E39">
        <w:rPr>
          <w:color w:val="000000" w:themeColor="text1"/>
          <w:szCs w:val="24"/>
        </w:rPr>
        <w:t xml:space="preserve"> with his supervisor and coworkers, and had not missed any work due to his condition.  </w:t>
      </w:r>
      <w:r w:rsidR="00465164" w:rsidRPr="007A1E39">
        <w:rPr>
          <w:color w:val="000000" w:themeColor="text1"/>
          <w:szCs w:val="24"/>
        </w:rPr>
        <w:t xml:space="preserve">MSE was significant for depressed mood and flattened affect.  </w:t>
      </w:r>
      <w:r w:rsidRPr="007A1E39">
        <w:rPr>
          <w:color w:val="000000" w:themeColor="text1"/>
          <w:szCs w:val="24"/>
        </w:rPr>
        <w:t xml:space="preserve">GAF was assessed at 50-55, suggesting moderate symptoms or moderate difficulty in social or occupational functioning (51-60; </w:t>
      </w:r>
      <w:r w:rsidR="004625F3" w:rsidRPr="007A1E39">
        <w:rPr>
          <w:color w:val="000000" w:themeColor="text1"/>
          <w:szCs w:val="24"/>
        </w:rPr>
        <w:t xml:space="preserve">the </w:t>
      </w:r>
      <w:r w:rsidRPr="007A1E39">
        <w:rPr>
          <w:color w:val="000000" w:themeColor="text1"/>
          <w:szCs w:val="24"/>
        </w:rPr>
        <w:t xml:space="preserve">next lower category </w:t>
      </w:r>
      <w:r w:rsidR="00B44E26" w:rsidRPr="007A1E39">
        <w:rPr>
          <w:color w:val="000000" w:themeColor="text1"/>
          <w:szCs w:val="24"/>
        </w:rPr>
        <w:t>is 41-50, indicating serious symptoms o</w:t>
      </w:r>
      <w:r w:rsidR="00B44E26" w:rsidRPr="00B44E26">
        <w:rPr>
          <w:color w:val="000000" w:themeColor="text1"/>
          <w:szCs w:val="24"/>
        </w:rPr>
        <w:t>r any serious impairment in social or occupational functioning</w:t>
      </w:r>
      <w:r>
        <w:rPr>
          <w:color w:val="000000" w:themeColor="text1"/>
          <w:szCs w:val="24"/>
        </w:rPr>
        <w:t>)</w:t>
      </w:r>
      <w:r w:rsidR="00B44E26">
        <w:rPr>
          <w:color w:val="000000" w:themeColor="text1"/>
          <w:szCs w:val="24"/>
        </w:rPr>
        <w:t>.  The VA assigned a 30% evaluation based on this exam.</w:t>
      </w:r>
      <w:r w:rsidR="00385A39">
        <w:rPr>
          <w:color w:val="000000" w:themeColor="text1"/>
          <w:szCs w:val="24"/>
        </w:rPr>
        <w:t xml:space="preserve">  </w:t>
      </w:r>
    </w:p>
    <w:p w:rsidR="001D6905" w:rsidRDefault="001D6905" w:rsidP="003F4180">
      <w:pPr>
        <w:jc w:val="both"/>
        <w:rPr>
          <w:color w:val="000000" w:themeColor="text1"/>
          <w:szCs w:val="24"/>
        </w:rPr>
      </w:pPr>
    </w:p>
    <w:p w:rsidR="00833504" w:rsidRPr="009951EE" w:rsidRDefault="001D6905" w:rsidP="003F4180">
      <w:pPr>
        <w:jc w:val="both"/>
        <w:rPr>
          <w:color w:val="000000" w:themeColor="text1"/>
          <w:szCs w:val="24"/>
        </w:rPr>
      </w:pPr>
      <w:r>
        <w:rPr>
          <w:color w:val="000000" w:themeColor="text1"/>
          <w:szCs w:val="24"/>
        </w:rPr>
        <w:t xml:space="preserve">A second </w:t>
      </w:r>
      <w:r w:rsidRPr="007A1E39">
        <w:rPr>
          <w:color w:val="000000" w:themeColor="text1"/>
          <w:szCs w:val="24"/>
        </w:rPr>
        <w:t xml:space="preserve">VA exam, </w:t>
      </w:r>
      <w:r w:rsidR="00AF7B36" w:rsidRPr="00B47AAB">
        <w:rPr>
          <w:color w:val="000000" w:themeColor="text1"/>
          <w:szCs w:val="24"/>
        </w:rPr>
        <w:t>11</w:t>
      </w:r>
      <w:r w:rsidR="00355AAB">
        <w:rPr>
          <w:color w:val="000000" w:themeColor="text1"/>
          <w:szCs w:val="24"/>
        </w:rPr>
        <w:t>-</w:t>
      </w:r>
      <w:r w:rsidRPr="007A1E39">
        <w:rPr>
          <w:color w:val="000000" w:themeColor="text1"/>
          <w:szCs w:val="24"/>
        </w:rPr>
        <w:t xml:space="preserve">months post-separation, </w:t>
      </w:r>
      <w:r w:rsidR="00833504" w:rsidRPr="007A1E39">
        <w:rPr>
          <w:color w:val="000000" w:themeColor="text1"/>
          <w:szCs w:val="24"/>
        </w:rPr>
        <w:t xml:space="preserve">described continued significant PTSD symptoms.  In addition to the above-mentioned symptoms, the CI </w:t>
      </w:r>
      <w:r w:rsidR="00AA6329" w:rsidRPr="007A1E39">
        <w:rPr>
          <w:color w:val="000000" w:themeColor="text1"/>
          <w:szCs w:val="24"/>
        </w:rPr>
        <w:t xml:space="preserve">reported anger, aggression, confusion when dealing with finances, memory loss that impairs his ability to safely and efficiently cook in the kitchen, and nightmares that cause his spouse to sleep in another room due to his inadvertently striking her during nightmares.  His wife handled the finances, and had quit her out-of-state job so she could be at home more with the CI.  </w:t>
      </w:r>
      <w:r w:rsidR="00385A39" w:rsidRPr="007A1E39">
        <w:rPr>
          <w:color w:val="000000" w:themeColor="text1"/>
          <w:szCs w:val="24"/>
        </w:rPr>
        <w:t xml:space="preserve">His reported a “fair” response to psychotherapy and three psychotropic medications (increased from two).  </w:t>
      </w:r>
      <w:r w:rsidR="00AA6329" w:rsidRPr="007A1E39">
        <w:rPr>
          <w:color w:val="000000" w:themeColor="text1"/>
          <w:szCs w:val="24"/>
        </w:rPr>
        <w:t xml:space="preserve">He denied having any significant social relationships, although he did talk to his two brothers several times per month.  </w:t>
      </w:r>
      <w:r w:rsidR="00833504" w:rsidRPr="007A1E39">
        <w:rPr>
          <w:color w:val="000000" w:themeColor="text1"/>
          <w:szCs w:val="24"/>
        </w:rPr>
        <w:t>MSE revealed anxious mood with appropriate affect, impaired attention/concentration (one error and slowness to respond with serial sevens), moderately impaired recent memory, and mildly impaired immediate memory.  GAF was 51</w:t>
      </w:r>
      <w:r w:rsidR="00833504">
        <w:rPr>
          <w:color w:val="000000" w:themeColor="text1"/>
          <w:szCs w:val="24"/>
        </w:rPr>
        <w:t xml:space="preserve">, the same (moderate) range as the two-month </w:t>
      </w:r>
      <w:r w:rsidR="00A65114">
        <w:rPr>
          <w:color w:val="000000" w:themeColor="text1"/>
          <w:szCs w:val="24"/>
        </w:rPr>
        <w:t xml:space="preserve">VA </w:t>
      </w:r>
      <w:r w:rsidR="00833504">
        <w:rPr>
          <w:color w:val="000000" w:themeColor="text1"/>
          <w:szCs w:val="24"/>
        </w:rPr>
        <w:t xml:space="preserve">pre-separation exam.  The VA continued their 30% </w:t>
      </w:r>
      <w:r w:rsidR="00833504" w:rsidRPr="009951EE">
        <w:rPr>
          <w:color w:val="000000" w:themeColor="text1"/>
          <w:szCs w:val="24"/>
        </w:rPr>
        <w:t xml:space="preserve">evaluation based on this exam as well as VA treatment records (January through March 2010).  </w:t>
      </w:r>
    </w:p>
    <w:p w:rsidR="002D6361" w:rsidRPr="009951EE" w:rsidRDefault="002D6361" w:rsidP="003F4180">
      <w:pPr>
        <w:jc w:val="both"/>
        <w:rPr>
          <w:color w:val="000000" w:themeColor="text1"/>
          <w:szCs w:val="24"/>
        </w:rPr>
      </w:pPr>
    </w:p>
    <w:p w:rsidR="00D543EB" w:rsidRPr="00657432" w:rsidRDefault="00601F0F" w:rsidP="00A65114">
      <w:pPr>
        <w:jc w:val="both"/>
        <w:rPr>
          <w:color w:val="auto"/>
          <w:szCs w:val="24"/>
        </w:rPr>
      </w:pPr>
      <w:r w:rsidRPr="009951EE">
        <w:rPr>
          <w:color w:val="auto"/>
          <w:szCs w:val="24"/>
        </w:rPr>
        <w:t xml:space="preserve">The Board’s threshold for countering DES fitness determinations is higher than the VASRD §4.3 (reasonable doubt) </w:t>
      </w:r>
      <w:r w:rsidRPr="00EE2866">
        <w:rPr>
          <w:color w:val="auto"/>
          <w:szCs w:val="24"/>
        </w:rPr>
        <w:t xml:space="preserve">standard used for its rating recommendations, but remains adherent to the DoDI 6040.44 “fair and equitable” standard. </w:t>
      </w:r>
      <w:r w:rsidR="00D543EB" w:rsidRPr="00EE2866">
        <w:rPr>
          <w:color w:val="auto"/>
          <w:szCs w:val="24"/>
        </w:rPr>
        <w:t xml:space="preserve"> </w:t>
      </w:r>
      <w:r w:rsidR="00D543EB" w:rsidRPr="00EE2866">
        <w:rPr>
          <w:rFonts w:eastAsia="HiddenHorzOCR"/>
          <w:color w:val="000000" w:themeColor="text1"/>
          <w:szCs w:val="24"/>
        </w:rPr>
        <w:t>The psychiatric addendum was clea</w:t>
      </w:r>
      <w:r w:rsidR="007A1E39" w:rsidRPr="00EE2866">
        <w:rPr>
          <w:rFonts w:eastAsia="HiddenHorzOCR"/>
          <w:color w:val="000000" w:themeColor="text1"/>
          <w:szCs w:val="24"/>
        </w:rPr>
        <w:t>r in providing an S</w:t>
      </w:r>
      <w:r w:rsidR="00D543EB" w:rsidRPr="00EE2866">
        <w:rPr>
          <w:rFonts w:eastAsia="HiddenHorzOCR"/>
          <w:color w:val="000000" w:themeColor="text1"/>
          <w:szCs w:val="24"/>
        </w:rPr>
        <w:t>3 profile and indicating definite impairment for military duty.  PTSD was listed on the DA</w:t>
      </w:r>
      <w:r w:rsidR="00B47AAB">
        <w:rPr>
          <w:rFonts w:eastAsia="HiddenHorzOCR"/>
          <w:color w:val="000000" w:themeColor="text1"/>
          <w:szCs w:val="24"/>
        </w:rPr>
        <w:t> </w:t>
      </w:r>
      <w:r w:rsidR="00D543EB" w:rsidRPr="00EE2866">
        <w:rPr>
          <w:rFonts w:eastAsia="HiddenHorzOCR"/>
          <w:color w:val="000000" w:themeColor="text1"/>
          <w:szCs w:val="24"/>
        </w:rPr>
        <w:t>Form 3349 and profile restricted deployment.  The psychiatric</w:t>
      </w:r>
      <w:r w:rsidR="00B47AAB">
        <w:rPr>
          <w:rFonts w:eastAsia="HiddenHorzOCR"/>
          <w:color w:val="000000" w:themeColor="text1"/>
          <w:szCs w:val="24"/>
        </w:rPr>
        <w:t xml:space="preserve"> recommendations comment that “s</w:t>
      </w:r>
      <w:r w:rsidR="00D543EB" w:rsidRPr="00EE2866">
        <w:rPr>
          <w:color w:val="000000" w:themeColor="text1"/>
          <w:szCs w:val="24"/>
        </w:rPr>
        <w:t>ymp</w:t>
      </w:r>
      <w:r w:rsidR="009951EE" w:rsidRPr="00EE2866">
        <w:rPr>
          <w:color w:val="000000" w:themeColor="text1"/>
          <w:szCs w:val="24"/>
        </w:rPr>
        <w:t>toms</w:t>
      </w:r>
      <w:r w:rsidR="00D543EB" w:rsidRPr="00EE2866">
        <w:rPr>
          <w:color w:val="000000" w:themeColor="text1"/>
          <w:szCs w:val="24"/>
        </w:rPr>
        <w:t>… have abated but would likely become more prominent if put back into position of responsibility</w:t>
      </w:r>
      <w:r w:rsidR="007A1E39" w:rsidRPr="00EE2866">
        <w:rPr>
          <w:color w:val="000000" w:themeColor="text1"/>
          <w:szCs w:val="24"/>
        </w:rPr>
        <w:t>,</w:t>
      </w:r>
      <w:r w:rsidR="00D543EB" w:rsidRPr="00EE2866">
        <w:rPr>
          <w:color w:val="000000" w:themeColor="text1"/>
          <w:szCs w:val="24"/>
        </w:rPr>
        <w:t xml:space="preserve">” align with the </w:t>
      </w:r>
      <w:r w:rsidR="00355AAB">
        <w:rPr>
          <w:color w:val="000000" w:themeColor="text1"/>
          <w:szCs w:val="24"/>
        </w:rPr>
        <w:t>IPEB</w:t>
      </w:r>
      <w:r w:rsidR="00D543EB" w:rsidRPr="00EE2866">
        <w:rPr>
          <w:color w:val="000000" w:themeColor="text1"/>
          <w:szCs w:val="24"/>
        </w:rPr>
        <w:t xml:space="preserve"> disability description of “excellent response to medication</w:t>
      </w:r>
      <w:r w:rsidR="007A1E39" w:rsidRPr="00EE2866">
        <w:rPr>
          <w:color w:val="000000" w:themeColor="text1"/>
          <w:szCs w:val="24"/>
        </w:rPr>
        <w:t>,</w:t>
      </w:r>
      <w:r w:rsidR="00D543EB" w:rsidRPr="00EE2866">
        <w:rPr>
          <w:color w:val="000000" w:themeColor="text1"/>
          <w:szCs w:val="24"/>
        </w:rPr>
        <w:t>” but indicated a poor progn</w:t>
      </w:r>
      <w:r w:rsidR="00D543EB">
        <w:rPr>
          <w:color w:val="000000" w:themeColor="text1"/>
          <w:szCs w:val="24"/>
        </w:rPr>
        <w:t>osis for return to duty</w:t>
      </w:r>
      <w:r w:rsidR="00D543EB" w:rsidRPr="003E0384">
        <w:rPr>
          <w:color w:val="000000" w:themeColor="text1"/>
          <w:szCs w:val="24"/>
        </w:rPr>
        <w:t>.</w:t>
      </w:r>
      <w:r w:rsidR="009951EE" w:rsidRPr="003E0384">
        <w:rPr>
          <w:color w:val="000000" w:themeColor="text1"/>
          <w:szCs w:val="24"/>
        </w:rPr>
        <w:t xml:space="preserve">  Nevertheless, </w:t>
      </w:r>
      <w:r w:rsidR="00EE2866" w:rsidRPr="003E0384">
        <w:rPr>
          <w:color w:val="000000" w:themeColor="text1"/>
          <w:szCs w:val="24"/>
        </w:rPr>
        <w:t xml:space="preserve">the </w:t>
      </w:r>
      <w:r w:rsidR="00355AAB">
        <w:rPr>
          <w:color w:val="000000" w:themeColor="text1"/>
          <w:szCs w:val="24"/>
        </w:rPr>
        <w:t>IPEB</w:t>
      </w:r>
      <w:r w:rsidR="00EE2866" w:rsidRPr="003E0384">
        <w:rPr>
          <w:color w:val="000000" w:themeColor="text1"/>
          <w:szCs w:val="24"/>
        </w:rPr>
        <w:t>’s adjudication, commander’s statements, an</w:t>
      </w:r>
      <w:r w:rsidR="00EE2866" w:rsidRPr="00B47AAB">
        <w:rPr>
          <w:color w:val="000000" w:themeColor="text1"/>
          <w:szCs w:val="24"/>
        </w:rPr>
        <w:t>d NCOERs in t</w:t>
      </w:r>
      <w:r w:rsidR="00EE2866" w:rsidRPr="003E0384">
        <w:rPr>
          <w:color w:val="000000" w:themeColor="text1"/>
          <w:szCs w:val="24"/>
        </w:rPr>
        <w:t>he record did not provide evidence of significant occupational impairment prior to separation.</w:t>
      </w:r>
      <w:r w:rsidR="00AF7B36" w:rsidRPr="003E0384">
        <w:rPr>
          <w:color w:val="000000" w:themeColor="text1"/>
          <w:szCs w:val="24"/>
        </w:rPr>
        <w:t xml:space="preserve">  </w:t>
      </w:r>
      <w:r w:rsidR="006A01F6" w:rsidRPr="003E0384">
        <w:rPr>
          <w:color w:val="auto"/>
          <w:szCs w:val="24"/>
        </w:rPr>
        <w:t>The increased symptoms noted at the VA exam may be attributable to the highly stressful process of the CI</w:t>
      </w:r>
      <w:r w:rsidR="009951EE" w:rsidRPr="003E0384">
        <w:rPr>
          <w:color w:val="auto"/>
          <w:szCs w:val="24"/>
        </w:rPr>
        <w:t>’s</w:t>
      </w:r>
      <w:r w:rsidR="006A01F6" w:rsidRPr="003E0384">
        <w:rPr>
          <w:color w:val="auto"/>
          <w:szCs w:val="24"/>
        </w:rPr>
        <w:t xml:space="preserve"> impending military separation as the exam was after the IPEB separation determination.</w:t>
      </w:r>
      <w:r w:rsidR="006A01F6" w:rsidRPr="00657432">
        <w:rPr>
          <w:color w:val="auto"/>
          <w:szCs w:val="24"/>
        </w:rPr>
        <w:t xml:space="preserve">  </w:t>
      </w:r>
      <w:r w:rsidRPr="00657432">
        <w:rPr>
          <w:color w:val="auto"/>
          <w:szCs w:val="24"/>
        </w:rPr>
        <w:t xml:space="preserve">After due deliberation, and in consideration of the totality of the evidence, the Board cannot find adequate justification for recommending the </w:t>
      </w:r>
      <w:r w:rsidR="00D543EB" w:rsidRPr="00657432">
        <w:rPr>
          <w:color w:val="auto"/>
          <w:szCs w:val="24"/>
        </w:rPr>
        <w:t>PTSD</w:t>
      </w:r>
      <w:r w:rsidRPr="00657432">
        <w:rPr>
          <w:color w:val="auto"/>
          <w:szCs w:val="24"/>
        </w:rPr>
        <w:t xml:space="preserve"> condition as additionally unfitting for separation rating.</w:t>
      </w:r>
      <w:r w:rsidR="00D543EB" w:rsidRPr="00657432">
        <w:rPr>
          <w:color w:val="auto"/>
          <w:szCs w:val="24"/>
        </w:rPr>
        <w:t xml:space="preserve"> </w:t>
      </w:r>
      <w:r w:rsidRPr="00657432">
        <w:rPr>
          <w:color w:val="auto"/>
          <w:szCs w:val="24"/>
        </w:rPr>
        <w:t xml:space="preserve"> </w:t>
      </w:r>
    </w:p>
    <w:p w:rsidR="008B720A" w:rsidRDefault="008B720A" w:rsidP="002F2AE9">
      <w:pPr>
        <w:jc w:val="both"/>
        <w:rPr>
          <w:color w:val="000000" w:themeColor="text1"/>
          <w:szCs w:val="24"/>
        </w:rPr>
      </w:pPr>
    </w:p>
    <w:p w:rsidR="00EC337D" w:rsidRPr="001F29F9" w:rsidRDefault="00EC337D" w:rsidP="003F4180">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Pr="007A1E39">
        <w:rPr>
          <w:rFonts w:eastAsia="HiddenHorzOCR"/>
          <w:color w:val="000000" w:themeColor="text1"/>
          <w:szCs w:val="24"/>
        </w:rPr>
        <w:t xml:space="preserve">The CI’s application asserts that compensable ratings should be considered </w:t>
      </w:r>
      <w:r w:rsidRPr="00B47AAB">
        <w:rPr>
          <w:rFonts w:eastAsia="HiddenHorzOCR"/>
          <w:color w:val="000000" w:themeColor="text1"/>
          <w:szCs w:val="24"/>
        </w:rPr>
        <w:t xml:space="preserve">for </w:t>
      </w:r>
      <w:r w:rsidR="003F4180" w:rsidRPr="00B47AAB">
        <w:rPr>
          <w:rFonts w:asciiTheme="minorHAnsi" w:hAnsiTheme="minorHAnsi"/>
          <w:color w:val="auto"/>
        </w:rPr>
        <w:t>TBI, spinal</w:t>
      </w:r>
      <w:r w:rsidR="003F4180" w:rsidRPr="007A1E39">
        <w:rPr>
          <w:rFonts w:asciiTheme="minorHAnsi" w:hAnsiTheme="minorHAnsi"/>
          <w:color w:val="auto"/>
        </w:rPr>
        <w:t xml:space="preserve"> neuropathy affecting use of my left arm</w:t>
      </w:r>
      <w:r w:rsidR="00E45271" w:rsidRPr="007A1E39">
        <w:rPr>
          <w:rFonts w:asciiTheme="minorHAnsi" w:hAnsiTheme="minorHAnsi"/>
          <w:color w:val="auto"/>
        </w:rPr>
        <w:t xml:space="preserve"> (discussed above</w:t>
      </w:r>
      <w:r w:rsidR="00F653B6" w:rsidRPr="007A1E39">
        <w:rPr>
          <w:rFonts w:asciiTheme="minorHAnsi" w:hAnsiTheme="minorHAnsi"/>
          <w:color w:val="auto"/>
        </w:rPr>
        <w:t xml:space="preserve"> under radiculopathy</w:t>
      </w:r>
      <w:r w:rsidR="00E45271" w:rsidRPr="007A1E39">
        <w:rPr>
          <w:rFonts w:asciiTheme="minorHAnsi" w:hAnsiTheme="minorHAnsi"/>
          <w:color w:val="auto"/>
        </w:rPr>
        <w:t>)</w:t>
      </w:r>
      <w:r w:rsidR="003F4180" w:rsidRPr="007A1E39">
        <w:rPr>
          <w:rFonts w:asciiTheme="minorHAnsi" w:hAnsiTheme="minorHAnsi"/>
          <w:color w:val="auto"/>
        </w:rPr>
        <w:t xml:space="preserve"> and cognitive skills impairment</w:t>
      </w:r>
      <w:r w:rsidR="00E45271" w:rsidRPr="007A1E39">
        <w:rPr>
          <w:rFonts w:asciiTheme="minorHAnsi" w:hAnsiTheme="minorHAnsi"/>
          <w:color w:val="auto"/>
        </w:rPr>
        <w:t xml:space="preserve"> (</w:t>
      </w:r>
      <w:r w:rsidR="00F653B6" w:rsidRPr="007A1E39">
        <w:rPr>
          <w:rFonts w:asciiTheme="minorHAnsi" w:hAnsiTheme="minorHAnsi"/>
          <w:color w:val="auto"/>
        </w:rPr>
        <w:t>included above with PTSD symptoms</w:t>
      </w:r>
      <w:r w:rsidR="00E45271" w:rsidRPr="007A1E39">
        <w:rPr>
          <w:rFonts w:asciiTheme="minorHAnsi" w:hAnsiTheme="minorHAnsi"/>
          <w:color w:val="auto"/>
        </w:rPr>
        <w:t>)</w:t>
      </w:r>
      <w:r w:rsidRPr="007A1E39">
        <w:rPr>
          <w:rFonts w:eastAsia="HiddenHorzOCR"/>
          <w:color w:val="000000" w:themeColor="text1"/>
          <w:szCs w:val="24"/>
        </w:rPr>
        <w:t xml:space="preserve">.  </w:t>
      </w:r>
      <w:r w:rsidR="00E74A67" w:rsidRPr="007A1E39">
        <w:rPr>
          <w:rFonts w:eastAsia="HiddenHorzOCR"/>
          <w:color w:val="000000" w:themeColor="text1"/>
          <w:szCs w:val="24"/>
        </w:rPr>
        <w:t xml:space="preserve">TBI was not documented in the DES file.  The CI reportedly did not lose consciousness after the IED blast, but the Board concedes the history is potentially consistent with TBI.  Nevertheless, </w:t>
      </w:r>
      <w:r w:rsidR="00E74A67" w:rsidRPr="007A1E39">
        <w:rPr>
          <w:rFonts w:asciiTheme="minorHAnsi" w:hAnsiTheme="minorHAnsi"/>
          <w:color w:val="auto"/>
          <w:szCs w:val="24"/>
        </w:rPr>
        <w:t xml:space="preserve">the Board does not have the authority under DoDI 6040.44 to render fitness or rating recommendations for any conditions not considered by the DES.  The other two conditions were included in previous discussions, above.  </w:t>
      </w:r>
      <w:r w:rsidRPr="007A1E39">
        <w:rPr>
          <w:color w:val="000000" w:themeColor="text1"/>
          <w:szCs w:val="24"/>
        </w:rPr>
        <w:t>There was no evidence for concluding that any of the conditions interfered with duty performance</w:t>
      </w:r>
      <w:r w:rsidRPr="001F29F9">
        <w:rPr>
          <w:color w:val="000000" w:themeColor="text1"/>
          <w:szCs w:val="24"/>
        </w:rPr>
        <w:t xml:space="preserv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EC337D" w:rsidRPr="001F29F9" w:rsidRDefault="00EC337D" w:rsidP="00BF0E94">
      <w:pPr>
        <w:jc w:val="both"/>
        <w:rPr>
          <w:color w:val="000000" w:themeColor="text1"/>
          <w:szCs w:val="24"/>
        </w:rPr>
      </w:pPr>
    </w:p>
    <w:p w:rsidR="00CA68C5" w:rsidRPr="001F29F9" w:rsidRDefault="00CA68C5" w:rsidP="00CA68C5">
      <w:pPr>
        <w:jc w:val="both"/>
        <w:rPr>
          <w:color w:val="000000" w:themeColor="text1"/>
          <w:szCs w:val="24"/>
        </w:rPr>
      </w:pPr>
      <w:proofErr w:type="gramStart"/>
      <w:r w:rsidRPr="001F29F9">
        <w:rPr>
          <w:color w:val="000000" w:themeColor="text1"/>
          <w:szCs w:val="24"/>
          <w:u w:val="single"/>
        </w:rPr>
        <w:t>Remaining Conditions</w:t>
      </w:r>
      <w:r w:rsidRPr="009012B2">
        <w:rPr>
          <w:color w:val="000000" w:themeColor="text1"/>
          <w:szCs w:val="24"/>
        </w:rPr>
        <w:t>.</w:t>
      </w:r>
      <w:proofErr w:type="gramEnd"/>
      <w:r w:rsidRPr="001F29F9">
        <w:rPr>
          <w:color w:val="000000" w:themeColor="text1"/>
          <w:szCs w:val="24"/>
        </w:rPr>
        <w:t xml:space="preserve">  </w:t>
      </w:r>
      <w:r w:rsidRPr="00D77044">
        <w:rPr>
          <w:color w:val="000000" w:themeColor="text1"/>
          <w:szCs w:val="24"/>
        </w:rPr>
        <w:t>Other conditions identified in the DES file were dizziness after prolonged standing (</w:t>
      </w:r>
      <w:r w:rsidR="00A23EE0" w:rsidRPr="00D77044">
        <w:rPr>
          <w:color w:val="000000" w:themeColor="text1"/>
          <w:szCs w:val="24"/>
        </w:rPr>
        <w:t xml:space="preserve">with </w:t>
      </w:r>
      <w:r w:rsidRPr="00D77044">
        <w:rPr>
          <w:color w:val="000000" w:themeColor="text1"/>
          <w:szCs w:val="24"/>
        </w:rPr>
        <w:t>use</w:t>
      </w:r>
      <w:r w:rsidR="00A23EE0" w:rsidRPr="00D77044">
        <w:rPr>
          <w:color w:val="000000" w:themeColor="text1"/>
          <w:szCs w:val="24"/>
        </w:rPr>
        <w:t xml:space="preserve"> of cane for balance), chest pain after walking steps [stairs], </w:t>
      </w:r>
      <w:r w:rsidRPr="00D77044">
        <w:rPr>
          <w:color w:val="000000" w:themeColor="text1"/>
          <w:szCs w:val="24"/>
        </w:rPr>
        <w:t>dislocated finger</w:t>
      </w:r>
      <w:r w:rsidR="00A23EE0" w:rsidRPr="00D77044">
        <w:rPr>
          <w:color w:val="000000" w:themeColor="text1"/>
          <w:szCs w:val="24"/>
        </w:rPr>
        <w:t xml:space="preserve"> (with hand and finger pain s/p surgery)</w:t>
      </w:r>
      <w:r w:rsidRPr="00D77044">
        <w:rPr>
          <w:color w:val="000000" w:themeColor="text1"/>
          <w:szCs w:val="24"/>
        </w:rPr>
        <w:t xml:space="preserve">, and hyperlipidemia.  Several </w:t>
      </w:r>
      <w:r w:rsidRPr="00D77044">
        <w:rPr>
          <w:color w:val="000000" w:themeColor="text1"/>
          <w:szCs w:val="24"/>
        </w:rPr>
        <w:lastRenderedPageBreak/>
        <w:t>additional non-acute conditions or medical complaints were also documented.  None of these conditions were occupationally significant during the MEB period, none carried attached profiles, and none were implicated in the commander’s statement.  These conditions were reviewed by the action officer and considered by the Board</w:t>
      </w:r>
      <w:r w:rsidR="00601F0F" w:rsidRPr="00D77044">
        <w:rPr>
          <w:color w:val="000000" w:themeColor="text1"/>
          <w:szCs w:val="24"/>
        </w:rPr>
        <w:t xml:space="preserve"> including considering overlap with </w:t>
      </w:r>
      <w:r w:rsidR="00355AAB">
        <w:rPr>
          <w:color w:val="000000" w:themeColor="text1"/>
          <w:szCs w:val="24"/>
        </w:rPr>
        <w:t>IPEB</w:t>
      </w:r>
      <w:r w:rsidR="00601F0F" w:rsidRPr="00D77044">
        <w:rPr>
          <w:color w:val="000000" w:themeColor="text1"/>
          <w:szCs w:val="24"/>
        </w:rPr>
        <w:t xml:space="preserve"> adjudicated conditions</w:t>
      </w:r>
      <w:r w:rsidRPr="00D77044">
        <w:rPr>
          <w:color w:val="000000" w:themeColor="text1"/>
          <w:szCs w:val="24"/>
        </w:rPr>
        <w:t xml:space="preserve">.  It was determined that none could be argued as unfitting and subject to separation rating.  </w:t>
      </w:r>
      <w:r w:rsidR="00E74A67" w:rsidRPr="00D77044">
        <w:rPr>
          <w:rFonts w:asciiTheme="minorHAnsi" w:hAnsiTheme="minorHAnsi"/>
          <w:color w:val="auto"/>
          <w:szCs w:val="24"/>
        </w:rPr>
        <w:t>No other conditions</w:t>
      </w:r>
      <w:r w:rsidR="00E74A67" w:rsidRPr="00F6196E">
        <w:rPr>
          <w:rFonts w:asciiTheme="minorHAnsi" w:hAnsiTheme="minorHAnsi"/>
          <w:color w:val="auto"/>
          <w:szCs w:val="24"/>
        </w:rPr>
        <w:t xml:space="preserve"> were service 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5844F1" w:rsidRPr="00396779" w:rsidRDefault="00C56FC8" w:rsidP="005844F1">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w:t>
      </w:r>
      <w:r w:rsidR="00355AAB">
        <w:rPr>
          <w:rFonts w:eastAsiaTheme="minorHAnsi"/>
          <w:color w:val="000000" w:themeColor="text1"/>
          <w:szCs w:val="24"/>
        </w:rPr>
        <w:t>IPEB</w:t>
      </w:r>
      <w:r w:rsidRPr="001F29F9">
        <w:rPr>
          <w:rFonts w:eastAsiaTheme="minorHAnsi"/>
          <w:color w:val="000000" w:themeColor="text1"/>
          <w:szCs w:val="24"/>
        </w:rPr>
        <w:t xml:space="preserve"> will not be considered by the Board to the extent they were inconsistent with the VASRD in effect at the time of the adjudication.</w:t>
      </w:r>
      <w:r w:rsidR="005844F1">
        <w:rPr>
          <w:rFonts w:eastAsiaTheme="minorHAnsi"/>
          <w:color w:val="000000" w:themeColor="text1"/>
          <w:szCs w:val="24"/>
        </w:rPr>
        <w:t xml:space="preserve">  </w:t>
      </w:r>
      <w:r w:rsidR="005844F1" w:rsidRPr="00396779">
        <w:rPr>
          <w:rFonts w:asciiTheme="minorHAnsi" w:eastAsiaTheme="minorHAnsi" w:hAnsiTheme="minorHAnsi"/>
          <w:color w:val="auto"/>
          <w:szCs w:val="24"/>
        </w:rPr>
        <w:t xml:space="preserve">The Board did not surmise from the record or </w:t>
      </w:r>
      <w:r w:rsidR="00355AAB">
        <w:rPr>
          <w:rFonts w:asciiTheme="minorHAnsi" w:eastAsiaTheme="minorHAnsi" w:hAnsiTheme="minorHAnsi"/>
          <w:color w:val="auto"/>
          <w:szCs w:val="24"/>
        </w:rPr>
        <w:t>IPEB</w:t>
      </w:r>
      <w:r w:rsidR="005844F1" w:rsidRPr="00396779">
        <w:rPr>
          <w:rFonts w:asciiTheme="minorHAnsi" w:eastAsiaTheme="minorHAnsi" w:hAnsiTheme="minorHAnsi"/>
          <w:color w:val="auto"/>
          <w:szCs w:val="24"/>
        </w:rPr>
        <w:t xml:space="preserve"> ruling in this case that any prerogatives outside the VASRD were exercised.</w:t>
      </w:r>
      <w:r w:rsidR="005844F1">
        <w:rPr>
          <w:rFonts w:asciiTheme="minorHAnsi" w:eastAsiaTheme="minorHAnsi" w:hAnsiTheme="minorHAnsi"/>
          <w:color w:val="auto"/>
          <w:szCs w:val="24"/>
        </w:rPr>
        <w:t xml:space="preserve">  </w:t>
      </w:r>
      <w:r w:rsidR="005844F1" w:rsidRPr="002224E4">
        <w:rPr>
          <w:rFonts w:asciiTheme="minorHAnsi" w:eastAsiaTheme="minorHAnsi" w:hAnsiTheme="minorHAnsi"/>
          <w:color w:val="auto"/>
          <w:szCs w:val="24"/>
        </w:rPr>
        <w:t xml:space="preserve">In the </w:t>
      </w:r>
      <w:r w:rsidR="005844F1" w:rsidRPr="00D77044">
        <w:rPr>
          <w:rFonts w:asciiTheme="minorHAnsi" w:eastAsiaTheme="minorHAnsi" w:hAnsiTheme="minorHAnsi"/>
          <w:color w:val="auto"/>
          <w:szCs w:val="24"/>
        </w:rPr>
        <w:t xml:space="preserve">matter of the cervical spine condition and </w:t>
      </w:r>
      <w:r w:rsidR="005844F1" w:rsidRPr="00D77044">
        <w:rPr>
          <w:rFonts w:asciiTheme="minorHAnsi" w:hAnsiTheme="minorHAnsi"/>
          <w:color w:val="auto"/>
          <w:szCs w:val="24"/>
        </w:rPr>
        <w:t>IAW VASRD §4.71a</w:t>
      </w:r>
      <w:r w:rsidR="005844F1" w:rsidRPr="00D77044">
        <w:rPr>
          <w:rFonts w:asciiTheme="minorHAnsi" w:eastAsiaTheme="minorHAnsi" w:hAnsiTheme="minorHAnsi"/>
          <w:color w:val="auto"/>
          <w:szCs w:val="24"/>
        </w:rPr>
        <w:t xml:space="preserve">, the Board unanimously recommends no change in the </w:t>
      </w:r>
      <w:r w:rsidR="00355AAB">
        <w:rPr>
          <w:rFonts w:asciiTheme="minorHAnsi" w:eastAsiaTheme="minorHAnsi" w:hAnsiTheme="minorHAnsi"/>
          <w:color w:val="auto"/>
          <w:szCs w:val="24"/>
        </w:rPr>
        <w:t>IPEB</w:t>
      </w:r>
      <w:r w:rsidR="005844F1" w:rsidRPr="00D77044">
        <w:rPr>
          <w:rFonts w:asciiTheme="minorHAnsi" w:eastAsiaTheme="minorHAnsi" w:hAnsiTheme="minorHAnsi"/>
          <w:color w:val="auto"/>
          <w:szCs w:val="24"/>
        </w:rPr>
        <w:t xml:space="preserve"> adjudication</w:t>
      </w:r>
      <w:r w:rsidR="005844F1" w:rsidRPr="00D77044">
        <w:rPr>
          <w:rFonts w:asciiTheme="minorHAnsi" w:hAnsiTheme="minorHAnsi"/>
          <w:color w:val="auto"/>
          <w:szCs w:val="24"/>
        </w:rPr>
        <w:t xml:space="preserve">.  </w:t>
      </w:r>
      <w:r w:rsidR="005844F1" w:rsidRPr="00D77044">
        <w:rPr>
          <w:rFonts w:asciiTheme="minorHAnsi" w:eastAsiaTheme="minorHAnsi" w:hAnsiTheme="minorHAnsi"/>
          <w:color w:val="auto"/>
          <w:szCs w:val="24"/>
        </w:rPr>
        <w:t xml:space="preserve">In the matter of the bilateral hearing loss condition, the Board unanimously recommends a rating of </w:t>
      </w:r>
      <w:r w:rsidR="00601F0F" w:rsidRPr="00D77044">
        <w:rPr>
          <w:rFonts w:asciiTheme="minorHAnsi" w:eastAsiaTheme="minorHAnsi" w:hAnsiTheme="minorHAnsi"/>
          <w:color w:val="auto"/>
          <w:szCs w:val="24"/>
        </w:rPr>
        <w:t>1</w:t>
      </w:r>
      <w:r w:rsidR="005844F1" w:rsidRPr="00D77044">
        <w:rPr>
          <w:rFonts w:asciiTheme="minorHAnsi" w:eastAsiaTheme="minorHAnsi" w:hAnsiTheme="minorHAnsi"/>
          <w:color w:val="auto"/>
          <w:szCs w:val="24"/>
        </w:rPr>
        <w:t xml:space="preserve">0% coded </w:t>
      </w:r>
      <w:r w:rsidR="00601F0F" w:rsidRPr="00D77044">
        <w:rPr>
          <w:rFonts w:asciiTheme="minorHAnsi" w:eastAsiaTheme="minorHAnsi" w:hAnsiTheme="minorHAnsi"/>
          <w:color w:val="auto"/>
          <w:szCs w:val="24"/>
        </w:rPr>
        <w:t>6100</w:t>
      </w:r>
      <w:r w:rsidR="005844F1" w:rsidRPr="00D77044">
        <w:rPr>
          <w:rFonts w:asciiTheme="minorHAnsi" w:eastAsiaTheme="minorHAnsi" w:hAnsiTheme="minorHAnsi"/>
          <w:color w:val="auto"/>
          <w:szCs w:val="24"/>
        </w:rPr>
        <w:t xml:space="preserve"> </w:t>
      </w:r>
      <w:r w:rsidR="005844F1" w:rsidRPr="00D77044">
        <w:rPr>
          <w:rFonts w:asciiTheme="minorHAnsi" w:hAnsiTheme="minorHAnsi"/>
          <w:color w:val="auto"/>
          <w:szCs w:val="24"/>
        </w:rPr>
        <w:t>IAW VASRD §</w:t>
      </w:r>
      <w:r w:rsidR="00601F0F" w:rsidRPr="00D77044">
        <w:rPr>
          <w:color w:val="000000" w:themeColor="text1"/>
          <w:szCs w:val="24"/>
        </w:rPr>
        <w:t>4.85</w:t>
      </w:r>
      <w:r w:rsidR="005844F1" w:rsidRPr="00D77044">
        <w:rPr>
          <w:rFonts w:asciiTheme="minorHAnsi" w:hAnsiTheme="minorHAnsi"/>
          <w:color w:val="auto"/>
          <w:szCs w:val="24"/>
        </w:rPr>
        <w:t>.</w:t>
      </w:r>
      <w:r w:rsidR="005844F1" w:rsidRPr="00396779">
        <w:rPr>
          <w:rFonts w:asciiTheme="minorHAnsi" w:hAnsiTheme="minorHAnsi"/>
          <w:color w:val="auto"/>
          <w:szCs w:val="24"/>
        </w:rPr>
        <w:t xml:space="preserve">  </w:t>
      </w:r>
      <w:r w:rsidR="005844F1" w:rsidRPr="00D77044">
        <w:rPr>
          <w:rFonts w:asciiTheme="minorHAnsi" w:hAnsiTheme="minorHAnsi"/>
          <w:color w:val="auto"/>
          <w:szCs w:val="24"/>
        </w:rPr>
        <w:t xml:space="preserve">In the matter of the </w:t>
      </w:r>
      <w:r w:rsidR="00CA68C5" w:rsidRPr="00D77044">
        <w:rPr>
          <w:color w:val="000000" w:themeColor="text1"/>
          <w:szCs w:val="24"/>
        </w:rPr>
        <w:t xml:space="preserve">PTSD, hypertension, </w:t>
      </w:r>
      <w:proofErr w:type="spellStart"/>
      <w:r w:rsidR="00CA68C5" w:rsidRPr="00D77044">
        <w:rPr>
          <w:color w:val="000000" w:themeColor="text1"/>
          <w:szCs w:val="24"/>
        </w:rPr>
        <w:t>spondylosis</w:t>
      </w:r>
      <w:proofErr w:type="spellEnd"/>
      <w:r w:rsidR="00CA68C5" w:rsidRPr="00D77044">
        <w:rPr>
          <w:color w:val="000000" w:themeColor="text1"/>
          <w:szCs w:val="24"/>
        </w:rPr>
        <w:t xml:space="preserve"> L4-L5, and right hand weakness</w:t>
      </w:r>
      <w:r w:rsidR="00CA68C5" w:rsidRPr="00D77044">
        <w:rPr>
          <w:rFonts w:asciiTheme="minorHAnsi" w:hAnsiTheme="minorHAnsi"/>
          <w:color w:val="auto"/>
          <w:szCs w:val="24"/>
        </w:rPr>
        <w:t xml:space="preserve"> </w:t>
      </w:r>
      <w:r w:rsidR="005844F1" w:rsidRPr="00D77044">
        <w:rPr>
          <w:rFonts w:asciiTheme="minorHAnsi" w:hAnsiTheme="minorHAnsi"/>
          <w:color w:val="auto"/>
          <w:szCs w:val="24"/>
        </w:rPr>
        <w:t xml:space="preserve">conditions, the Board unanimously recommends no change from the </w:t>
      </w:r>
      <w:r w:rsidR="00355AAB">
        <w:rPr>
          <w:rFonts w:asciiTheme="minorHAnsi" w:hAnsiTheme="minorHAnsi"/>
          <w:color w:val="auto"/>
          <w:szCs w:val="24"/>
        </w:rPr>
        <w:t>IPEB</w:t>
      </w:r>
      <w:r w:rsidR="005844F1" w:rsidRPr="00D77044">
        <w:rPr>
          <w:rFonts w:asciiTheme="minorHAnsi" w:hAnsiTheme="minorHAnsi"/>
          <w:color w:val="auto"/>
          <w:szCs w:val="24"/>
        </w:rPr>
        <w:t xml:space="preserve"> adjudications as not</w:t>
      </w:r>
      <w:r w:rsidR="005844F1" w:rsidRPr="00697413">
        <w:rPr>
          <w:rFonts w:asciiTheme="minorHAnsi" w:hAnsiTheme="minorHAnsi"/>
          <w:color w:val="auto"/>
          <w:szCs w:val="24"/>
        </w:rPr>
        <w:t xml:space="preserve"> </w:t>
      </w:r>
      <w:r w:rsidR="005844F1" w:rsidRPr="008274B2">
        <w:rPr>
          <w:rFonts w:asciiTheme="minorHAnsi" w:hAnsiTheme="minorHAnsi"/>
          <w:color w:val="auto"/>
          <w:szCs w:val="24"/>
        </w:rPr>
        <w:t>unfitting.</w:t>
      </w:r>
      <w:r w:rsidR="00D77044">
        <w:rPr>
          <w:rFonts w:asciiTheme="minorHAnsi" w:hAnsiTheme="minorHAnsi"/>
          <w:color w:val="auto"/>
          <w:szCs w:val="24"/>
        </w:rPr>
        <w:t xml:space="preserve">  </w:t>
      </w:r>
      <w:r w:rsidR="00601F0F">
        <w:rPr>
          <w:rFonts w:asciiTheme="minorHAnsi" w:hAnsiTheme="minorHAnsi"/>
          <w:color w:val="auto"/>
          <w:szCs w:val="24"/>
        </w:rPr>
        <w:t xml:space="preserve">In the matter of </w:t>
      </w:r>
      <w:r w:rsidR="005844F1" w:rsidRPr="00396779">
        <w:rPr>
          <w:rFonts w:asciiTheme="minorHAnsi" w:hAnsiTheme="minorHAnsi"/>
          <w:color w:val="auto"/>
          <w:szCs w:val="24"/>
        </w:rPr>
        <w:t xml:space="preserve">any other medical conditions eligible for Board consideration; the </w:t>
      </w:r>
      <w:r w:rsidR="005844F1" w:rsidRPr="00D77044">
        <w:rPr>
          <w:rFonts w:asciiTheme="minorHAnsi" w:hAnsiTheme="minorHAnsi"/>
          <w:color w:val="auto"/>
          <w:szCs w:val="24"/>
        </w:rPr>
        <w:t>Board unanimously agrees that</w:t>
      </w:r>
      <w:r w:rsidR="005844F1" w:rsidRPr="00396779">
        <w:rPr>
          <w:rFonts w:asciiTheme="minorHAnsi" w:hAnsiTheme="minorHAnsi"/>
          <w:color w:val="auto"/>
          <w:szCs w:val="24"/>
        </w:rPr>
        <w:t xml:space="preserve"> it cannot</w:t>
      </w:r>
      <w:r w:rsidR="005844F1" w:rsidRPr="00396779">
        <w:rPr>
          <w:rFonts w:asciiTheme="minorHAnsi" w:hAnsiTheme="minorHAnsi"/>
          <w:color w:val="000080"/>
          <w:szCs w:val="24"/>
        </w:rPr>
        <w:t xml:space="preserve"> </w:t>
      </w:r>
      <w:r w:rsidR="005844F1" w:rsidRPr="00396779">
        <w:rPr>
          <w:rFonts w:asciiTheme="minorHAnsi" w:hAnsiTheme="minorHAnsi"/>
          <w:color w:val="auto"/>
          <w:szCs w:val="24"/>
        </w:rPr>
        <w:t>recommend any findings of unfit for additional rating at separation.</w:t>
      </w:r>
    </w:p>
    <w:p w:rsidR="00E5592F" w:rsidRPr="001F29F9" w:rsidRDefault="00E5592F" w:rsidP="00BF0E94">
      <w:pPr>
        <w:pBdr>
          <w:bottom w:val="single" w:sz="12" w:space="1" w:color="auto"/>
        </w:pBdr>
        <w:tabs>
          <w:tab w:val="left" w:pos="288"/>
          <w:tab w:val="left" w:pos="4752"/>
        </w:tabs>
        <w:jc w:val="both"/>
        <w:rPr>
          <w:color w:val="000000" w:themeColor="text1"/>
        </w:rPr>
      </w:pPr>
    </w:p>
    <w:p w:rsidR="00F1737C" w:rsidRPr="009012B2" w:rsidRDefault="00F1737C" w:rsidP="006364ED">
      <w:pPr>
        <w:jc w:val="left"/>
        <w:rPr>
          <w:color w:val="auto"/>
          <w:szCs w:val="24"/>
        </w:rPr>
      </w:pPr>
    </w:p>
    <w:p w:rsidR="00C56FC8" w:rsidRPr="009012B2" w:rsidRDefault="00C56FC8" w:rsidP="006310A7">
      <w:pPr>
        <w:jc w:val="both"/>
        <w:rPr>
          <w:color w:val="auto"/>
          <w:szCs w:val="24"/>
        </w:rPr>
      </w:pPr>
      <w:r w:rsidRPr="009012B2">
        <w:rPr>
          <w:color w:val="auto"/>
          <w:szCs w:val="24"/>
          <w:u w:val="single"/>
        </w:rPr>
        <w:t>RECOMMENDATION</w:t>
      </w:r>
      <w:r w:rsidRPr="009012B2">
        <w:rPr>
          <w:color w:val="auto"/>
          <w:szCs w:val="24"/>
        </w:rPr>
        <w:t xml:space="preserve">: </w:t>
      </w:r>
      <w:r w:rsidR="00E53460" w:rsidRPr="009012B2">
        <w:rPr>
          <w:color w:val="auto"/>
          <w:szCs w:val="24"/>
        </w:rPr>
        <w:t xml:space="preserve"> </w:t>
      </w:r>
      <w:r w:rsidRPr="009012B2">
        <w:rPr>
          <w:color w:val="auto"/>
          <w:szCs w:val="24"/>
        </w:rPr>
        <w:t>The Board recommends that the CI’s prior determination be modified as follows, effective as of the date of his</w:t>
      </w:r>
      <w:r w:rsidR="00911B11" w:rsidRPr="009012B2">
        <w:rPr>
          <w:color w:val="auto"/>
          <w:szCs w:val="24"/>
        </w:rPr>
        <w:t xml:space="preserve"> prior medical separation:</w:t>
      </w:r>
    </w:p>
    <w:p w:rsidR="00BA6A9C" w:rsidRPr="009012B2"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9012B2" w:rsidTr="0080588E">
        <w:trPr>
          <w:trHeight w:val="233"/>
          <w:jc w:val="center"/>
        </w:trPr>
        <w:tc>
          <w:tcPr>
            <w:tcW w:w="6282" w:type="dxa"/>
            <w:shd w:val="clear" w:color="auto" w:fill="D9D9D9"/>
            <w:vAlign w:val="center"/>
          </w:tcPr>
          <w:p w:rsidR="00A95BBA" w:rsidRPr="009012B2" w:rsidRDefault="00A95BBA" w:rsidP="00BF0E94">
            <w:pPr>
              <w:tabs>
                <w:tab w:val="left" w:pos="288"/>
                <w:tab w:val="left" w:pos="4752"/>
              </w:tabs>
              <w:rPr>
                <w:b/>
                <w:color w:val="auto"/>
                <w:szCs w:val="24"/>
              </w:rPr>
            </w:pPr>
            <w:r w:rsidRPr="009012B2">
              <w:rPr>
                <w:b/>
                <w:color w:val="auto"/>
                <w:szCs w:val="24"/>
              </w:rPr>
              <w:t>UNFITTING CONDITION</w:t>
            </w:r>
          </w:p>
        </w:tc>
        <w:tc>
          <w:tcPr>
            <w:tcW w:w="1710" w:type="dxa"/>
            <w:shd w:val="clear" w:color="auto" w:fill="D9D9D9"/>
            <w:vAlign w:val="center"/>
          </w:tcPr>
          <w:p w:rsidR="00A95BBA" w:rsidRPr="009012B2" w:rsidRDefault="00A95BBA" w:rsidP="00BF0E94">
            <w:pPr>
              <w:tabs>
                <w:tab w:val="left" w:pos="288"/>
                <w:tab w:val="left" w:pos="4752"/>
              </w:tabs>
              <w:rPr>
                <w:b/>
                <w:color w:val="auto"/>
                <w:szCs w:val="24"/>
              </w:rPr>
            </w:pPr>
            <w:r w:rsidRPr="009012B2">
              <w:rPr>
                <w:b/>
                <w:color w:val="auto"/>
                <w:szCs w:val="24"/>
              </w:rPr>
              <w:t>VASRD CODE</w:t>
            </w:r>
          </w:p>
        </w:tc>
        <w:tc>
          <w:tcPr>
            <w:tcW w:w="1170" w:type="dxa"/>
            <w:shd w:val="clear" w:color="auto" w:fill="D9D9D9"/>
            <w:vAlign w:val="center"/>
          </w:tcPr>
          <w:p w:rsidR="00A95BBA" w:rsidRPr="009012B2" w:rsidRDefault="00A95BBA" w:rsidP="00BF0E94">
            <w:pPr>
              <w:tabs>
                <w:tab w:val="left" w:pos="288"/>
                <w:tab w:val="left" w:pos="4752"/>
              </w:tabs>
              <w:rPr>
                <w:b/>
                <w:color w:val="auto"/>
                <w:szCs w:val="24"/>
              </w:rPr>
            </w:pPr>
            <w:r w:rsidRPr="009012B2">
              <w:rPr>
                <w:b/>
                <w:color w:val="auto"/>
                <w:szCs w:val="24"/>
              </w:rPr>
              <w:t>RATING</w:t>
            </w:r>
          </w:p>
        </w:tc>
      </w:tr>
      <w:tr w:rsidR="00A95BBA" w:rsidRPr="009012B2" w:rsidTr="0080588E">
        <w:trPr>
          <w:jc w:val="center"/>
        </w:trPr>
        <w:tc>
          <w:tcPr>
            <w:tcW w:w="6282" w:type="dxa"/>
            <w:vAlign w:val="center"/>
          </w:tcPr>
          <w:p w:rsidR="00A95BBA" w:rsidRPr="009012B2" w:rsidRDefault="006310A7" w:rsidP="006310A7">
            <w:pPr>
              <w:tabs>
                <w:tab w:val="left" w:pos="288"/>
                <w:tab w:val="left" w:pos="4752"/>
              </w:tabs>
              <w:jc w:val="left"/>
              <w:rPr>
                <w:color w:val="auto"/>
                <w:szCs w:val="24"/>
              </w:rPr>
            </w:pPr>
            <w:r w:rsidRPr="009012B2">
              <w:rPr>
                <w:color w:val="auto"/>
                <w:szCs w:val="24"/>
              </w:rPr>
              <w:t>Status Post Cervical Spine Fusion C5-C6</w:t>
            </w:r>
          </w:p>
        </w:tc>
        <w:tc>
          <w:tcPr>
            <w:tcW w:w="1710" w:type="dxa"/>
            <w:vAlign w:val="center"/>
          </w:tcPr>
          <w:p w:rsidR="00A95BBA" w:rsidRPr="009012B2" w:rsidRDefault="006310A7" w:rsidP="00BF0E94">
            <w:pPr>
              <w:tabs>
                <w:tab w:val="left" w:pos="288"/>
                <w:tab w:val="left" w:pos="4752"/>
              </w:tabs>
              <w:rPr>
                <w:color w:val="auto"/>
                <w:szCs w:val="24"/>
              </w:rPr>
            </w:pPr>
            <w:r w:rsidRPr="009012B2">
              <w:rPr>
                <w:color w:val="auto"/>
                <w:szCs w:val="24"/>
              </w:rPr>
              <w:t>5241</w:t>
            </w:r>
          </w:p>
        </w:tc>
        <w:tc>
          <w:tcPr>
            <w:tcW w:w="1170" w:type="dxa"/>
            <w:vAlign w:val="center"/>
          </w:tcPr>
          <w:p w:rsidR="00A95BBA" w:rsidRPr="009012B2" w:rsidRDefault="006310A7" w:rsidP="00BF0E94">
            <w:pPr>
              <w:tabs>
                <w:tab w:val="left" w:pos="288"/>
                <w:tab w:val="left" w:pos="4752"/>
              </w:tabs>
              <w:rPr>
                <w:color w:val="auto"/>
                <w:szCs w:val="24"/>
              </w:rPr>
            </w:pPr>
            <w:r w:rsidRPr="009012B2">
              <w:rPr>
                <w:color w:val="auto"/>
                <w:szCs w:val="24"/>
              </w:rPr>
              <w:t>10%</w:t>
            </w:r>
          </w:p>
        </w:tc>
      </w:tr>
      <w:tr w:rsidR="006310A7" w:rsidRPr="009012B2" w:rsidTr="0080588E">
        <w:trPr>
          <w:jc w:val="center"/>
        </w:trPr>
        <w:tc>
          <w:tcPr>
            <w:tcW w:w="6282" w:type="dxa"/>
            <w:vAlign w:val="center"/>
          </w:tcPr>
          <w:p w:rsidR="006310A7" w:rsidRPr="009012B2" w:rsidRDefault="006310A7" w:rsidP="00BF0E94">
            <w:pPr>
              <w:tabs>
                <w:tab w:val="left" w:pos="288"/>
                <w:tab w:val="left" w:pos="4752"/>
              </w:tabs>
              <w:jc w:val="left"/>
              <w:rPr>
                <w:color w:val="auto"/>
                <w:szCs w:val="24"/>
              </w:rPr>
            </w:pPr>
            <w:r w:rsidRPr="009012B2">
              <w:rPr>
                <w:color w:val="auto"/>
                <w:szCs w:val="24"/>
              </w:rPr>
              <w:t>Bilateral Hearing Loss</w:t>
            </w:r>
          </w:p>
        </w:tc>
        <w:tc>
          <w:tcPr>
            <w:tcW w:w="1710" w:type="dxa"/>
            <w:vAlign w:val="center"/>
          </w:tcPr>
          <w:p w:rsidR="006310A7" w:rsidRPr="009012B2" w:rsidRDefault="006310A7" w:rsidP="00BF0E94">
            <w:pPr>
              <w:tabs>
                <w:tab w:val="left" w:pos="288"/>
                <w:tab w:val="left" w:pos="4752"/>
              </w:tabs>
              <w:rPr>
                <w:color w:val="auto"/>
                <w:szCs w:val="24"/>
              </w:rPr>
            </w:pPr>
            <w:r w:rsidRPr="009012B2">
              <w:rPr>
                <w:color w:val="auto"/>
                <w:szCs w:val="24"/>
              </w:rPr>
              <w:t>6100</w:t>
            </w:r>
          </w:p>
        </w:tc>
        <w:tc>
          <w:tcPr>
            <w:tcW w:w="1170" w:type="dxa"/>
            <w:vAlign w:val="center"/>
          </w:tcPr>
          <w:p w:rsidR="006310A7" w:rsidRPr="009012B2" w:rsidRDefault="006310A7" w:rsidP="00BF0E94">
            <w:pPr>
              <w:tabs>
                <w:tab w:val="left" w:pos="288"/>
                <w:tab w:val="left" w:pos="4752"/>
              </w:tabs>
              <w:rPr>
                <w:color w:val="auto"/>
                <w:szCs w:val="24"/>
              </w:rPr>
            </w:pPr>
            <w:r w:rsidRPr="009012B2">
              <w:rPr>
                <w:color w:val="auto"/>
                <w:szCs w:val="24"/>
              </w:rPr>
              <w:t>10%</w:t>
            </w:r>
          </w:p>
        </w:tc>
      </w:tr>
      <w:tr w:rsidR="00A95BBA" w:rsidRPr="009012B2"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012B2" w:rsidRDefault="00A95BBA" w:rsidP="00BF0E94">
            <w:pPr>
              <w:tabs>
                <w:tab w:val="left" w:pos="288"/>
                <w:tab w:val="left" w:pos="4752"/>
              </w:tabs>
              <w:rPr>
                <w:b/>
                <w:color w:val="auto"/>
                <w:szCs w:val="24"/>
              </w:rPr>
            </w:pPr>
            <w:r w:rsidRPr="009012B2">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9012B2" w:rsidRDefault="006310A7" w:rsidP="00BF0E94">
            <w:pPr>
              <w:tabs>
                <w:tab w:val="left" w:pos="288"/>
                <w:tab w:val="left" w:pos="4752"/>
              </w:tabs>
              <w:rPr>
                <w:b/>
                <w:color w:val="auto"/>
                <w:szCs w:val="24"/>
              </w:rPr>
            </w:pPr>
            <w:r w:rsidRPr="009012B2">
              <w:rPr>
                <w:b/>
                <w:color w:val="auto"/>
                <w:szCs w:val="24"/>
              </w:rPr>
              <w:t>2</w:t>
            </w:r>
            <w:r w:rsidR="00A95BBA" w:rsidRPr="009012B2">
              <w:rPr>
                <w:b/>
                <w:color w:val="auto"/>
                <w:szCs w:val="24"/>
              </w:rPr>
              <w:t>0%</w:t>
            </w:r>
          </w:p>
        </w:tc>
      </w:tr>
    </w:tbl>
    <w:p w:rsidR="005B1D09" w:rsidRPr="009012B2" w:rsidRDefault="005B1D09" w:rsidP="00BF0E94">
      <w:pPr>
        <w:pBdr>
          <w:bottom w:val="single" w:sz="12" w:space="1" w:color="auto"/>
        </w:pBdr>
        <w:tabs>
          <w:tab w:val="left" w:pos="288"/>
          <w:tab w:val="left" w:pos="4752"/>
        </w:tabs>
        <w:jc w:val="both"/>
        <w:rPr>
          <w:color w:val="auto"/>
        </w:rPr>
      </w:pPr>
    </w:p>
    <w:p w:rsidR="005B1D09" w:rsidRPr="009012B2" w:rsidRDefault="005B1D09" w:rsidP="00BF0E94">
      <w:pPr>
        <w:rPr>
          <w:color w:val="auto"/>
          <w:szCs w:val="24"/>
        </w:rPr>
      </w:pPr>
    </w:p>
    <w:p w:rsidR="00D91DA6" w:rsidRPr="009012B2" w:rsidRDefault="00FB1725" w:rsidP="00BF0E94">
      <w:pPr>
        <w:tabs>
          <w:tab w:val="left" w:pos="288"/>
          <w:tab w:val="left" w:pos="4752"/>
        </w:tabs>
        <w:jc w:val="both"/>
        <w:rPr>
          <w:color w:val="auto"/>
        </w:rPr>
      </w:pPr>
      <w:r w:rsidRPr="009012B2">
        <w:rPr>
          <w:color w:val="auto"/>
        </w:rPr>
        <w:t>The following documentary evidence was considered:</w:t>
      </w:r>
    </w:p>
    <w:p w:rsidR="00EB5EFD" w:rsidRPr="009012B2" w:rsidRDefault="00EB5EFD" w:rsidP="00BF0E94">
      <w:pPr>
        <w:tabs>
          <w:tab w:val="left" w:pos="288"/>
          <w:tab w:val="left" w:pos="4752"/>
        </w:tabs>
        <w:jc w:val="both"/>
        <w:rPr>
          <w:color w:val="auto"/>
        </w:rPr>
      </w:pPr>
    </w:p>
    <w:p w:rsidR="00114F20" w:rsidRPr="009012B2" w:rsidRDefault="00FB1725" w:rsidP="00B3575C">
      <w:pPr>
        <w:tabs>
          <w:tab w:val="left" w:pos="288"/>
          <w:tab w:val="left" w:pos="4752"/>
        </w:tabs>
        <w:spacing w:line="440" w:lineRule="exact"/>
        <w:jc w:val="both"/>
        <w:rPr>
          <w:color w:val="auto"/>
        </w:rPr>
      </w:pPr>
      <w:r w:rsidRPr="009012B2">
        <w:rPr>
          <w:color w:val="auto"/>
        </w:rPr>
        <w:t xml:space="preserve">Exhibit A.  DD Form 294, </w:t>
      </w:r>
      <w:r w:rsidRPr="009012B2">
        <w:rPr>
          <w:color w:val="auto"/>
          <w:szCs w:val="24"/>
        </w:rPr>
        <w:t>dated 20</w:t>
      </w:r>
      <w:r w:rsidR="001215DF" w:rsidRPr="009012B2">
        <w:rPr>
          <w:color w:val="auto"/>
          <w:szCs w:val="24"/>
        </w:rPr>
        <w:t>1</w:t>
      </w:r>
      <w:r w:rsidR="00564FC7" w:rsidRPr="009012B2">
        <w:rPr>
          <w:color w:val="auto"/>
          <w:szCs w:val="24"/>
        </w:rPr>
        <w:t>10701</w:t>
      </w:r>
      <w:r w:rsidR="00B47AAB">
        <w:rPr>
          <w:color w:val="auto"/>
        </w:rPr>
        <w:t>, w/</w:t>
      </w:r>
      <w:proofErr w:type="spellStart"/>
      <w:r w:rsidR="00B47AAB">
        <w:rPr>
          <w:color w:val="auto"/>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B47AAB">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B47AAB">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523E97" w:rsidRPr="00DE2CDE" w:rsidRDefault="00523E97" w:rsidP="00523E97">
      <w:pPr>
        <w:tabs>
          <w:tab w:val="left" w:pos="0"/>
          <w:tab w:val="left" w:pos="4320"/>
        </w:tabs>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r>
      <w:r w:rsidR="00C228BC">
        <w:rPr>
          <w:rFonts w:asciiTheme="minorHAnsi" w:hAnsiTheme="minorHAnsi"/>
          <w:color w:val="auto"/>
        </w:rPr>
        <w:t xml:space="preserve"> </w:t>
      </w:r>
    </w:p>
    <w:p w:rsidR="00523E97" w:rsidRPr="00DE2CDE" w:rsidRDefault="00523E97" w:rsidP="00523E97">
      <w:pPr>
        <w:tabs>
          <w:tab w:val="left" w:pos="0"/>
          <w:tab w:val="left" w:pos="4320"/>
        </w:tabs>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C228BC" w:rsidRDefault="00523E97" w:rsidP="00523E97">
      <w:pPr>
        <w:tabs>
          <w:tab w:val="left" w:pos="0"/>
          <w:tab w:val="left" w:pos="4320"/>
        </w:tabs>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C228BC" w:rsidRDefault="00C228BC">
      <w:pPr>
        <w:rPr>
          <w:rFonts w:asciiTheme="minorHAnsi" w:hAnsiTheme="minorHAnsi"/>
          <w:color w:val="auto"/>
        </w:rPr>
      </w:pPr>
      <w:r>
        <w:rPr>
          <w:rFonts w:asciiTheme="minorHAnsi" w:hAnsiTheme="minorHAnsi"/>
          <w:color w:val="auto"/>
        </w:rPr>
        <w:br w:type="page"/>
      </w:r>
    </w:p>
    <w:p w:rsidR="00523E97" w:rsidRPr="00DE2CDE" w:rsidRDefault="00C228BC" w:rsidP="00523E97">
      <w:pPr>
        <w:tabs>
          <w:tab w:val="left" w:pos="0"/>
          <w:tab w:val="left" w:pos="4320"/>
        </w:tabs>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520609"/>
            <wp:positionH relativeFrom="margin">
              <wp:align>left</wp:align>
            </wp:positionH>
            <wp:positionV relativeFrom="margin">
              <wp:align>top</wp:align>
            </wp:positionV>
            <wp:extent cx="5938078" cy="7686261"/>
            <wp:effectExtent l="19050" t="0" r="5522" b="0"/>
            <wp:wrapSquare wrapText="bothSides"/>
            <wp:docPr id="1" name="Picture 1" descr="D:\READING room\11-48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1-482.tiff"/>
                    <pic:cNvPicPr>
                      <a:picLocks noChangeAspect="1" noChangeArrowheads="1"/>
                    </pic:cNvPicPr>
                  </pic:nvPicPr>
                  <pic:blipFill>
                    <a:blip r:embed="rId8" cstate="print"/>
                    <a:srcRect/>
                    <a:stretch>
                      <a:fillRect/>
                    </a:stretch>
                  </pic:blipFill>
                  <pic:spPr bwMode="auto">
                    <a:xfrm>
                      <a:off x="0" y="0"/>
                      <a:ext cx="5938078" cy="7686261"/>
                    </a:xfrm>
                    <a:prstGeom prst="rect">
                      <a:avLst/>
                    </a:prstGeom>
                    <a:noFill/>
                    <a:ln w="9525">
                      <a:noFill/>
                      <a:miter lim="800000"/>
                      <a:headEnd/>
                      <a:tailEnd/>
                    </a:ln>
                  </pic:spPr>
                </pic:pic>
              </a:graphicData>
            </a:graphic>
          </wp:anchor>
        </w:drawing>
      </w:r>
    </w:p>
    <w:sectPr w:rsidR="00523E97" w:rsidRPr="00DE2CDE"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90" w:rsidRDefault="004E6190">
      <w:r>
        <w:separator/>
      </w:r>
    </w:p>
  </w:endnote>
  <w:endnote w:type="continuationSeparator" w:id="0">
    <w:p w:rsidR="004E6190" w:rsidRDefault="004E6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A7489" w:rsidRPr="00374247" w:rsidRDefault="005A7489" w:rsidP="00374247">
        <w:pPr>
          <w:pStyle w:val="Footer"/>
          <w:ind w:firstLine="4320"/>
          <w:rPr>
            <w:color w:val="auto"/>
            <w:szCs w:val="24"/>
          </w:rPr>
        </w:pPr>
        <w:r w:rsidRPr="008C253D">
          <w:rPr>
            <w:color w:val="auto"/>
            <w:szCs w:val="24"/>
          </w:rPr>
          <w:t xml:space="preserve">   </w:t>
        </w:r>
        <w:r w:rsidR="008D32A2" w:rsidRPr="008C253D">
          <w:rPr>
            <w:color w:val="auto"/>
            <w:szCs w:val="24"/>
          </w:rPr>
          <w:fldChar w:fldCharType="begin"/>
        </w:r>
        <w:r w:rsidRPr="008C253D">
          <w:rPr>
            <w:color w:val="auto"/>
            <w:szCs w:val="24"/>
          </w:rPr>
          <w:instrText xml:space="preserve"> PAGE   \* MERGEFORMAT </w:instrText>
        </w:r>
        <w:r w:rsidR="008D32A2" w:rsidRPr="008C253D">
          <w:rPr>
            <w:color w:val="auto"/>
            <w:szCs w:val="24"/>
          </w:rPr>
          <w:fldChar w:fldCharType="separate"/>
        </w:r>
        <w:r w:rsidR="00C228BC" w:rsidRPr="00C228BC">
          <w:rPr>
            <w:noProof/>
            <w:color w:val="auto"/>
          </w:rPr>
          <w:t>2</w:t>
        </w:r>
        <w:r w:rsidR="008D32A2" w:rsidRPr="008C253D">
          <w:rPr>
            <w:color w:val="auto"/>
            <w:szCs w:val="24"/>
          </w:rPr>
          <w:fldChar w:fldCharType="end"/>
        </w:r>
        <w:r w:rsidRPr="008C253D">
          <w:rPr>
            <w:color w:val="auto"/>
            <w:szCs w:val="24"/>
          </w:rPr>
          <w:t xml:space="preserve">                                                           PD1100482</w:t>
        </w:r>
      </w:p>
    </w:sdtContent>
  </w:sdt>
  <w:p w:rsidR="005A7489" w:rsidRPr="00684CE6" w:rsidRDefault="005A748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90" w:rsidRDefault="004E6190">
      <w:r>
        <w:separator/>
      </w:r>
    </w:p>
  </w:footnote>
  <w:footnote w:type="continuationSeparator" w:id="0">
    <w:p w:rsidR="004E6190" w:rsidRDefault="004E6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92C76"/>
    <w:multiLevelType w:val="multilevel"/>
    <w:tmpl w:val="CBAC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78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3D9C"/>
    <w:rsid w:val="00024002"/>
    <w:rsid w:val="00024DE7"/>
    <w:rsid w:val="00026092"/>
    <w:rsid w:val="0002617F"/>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BF7"/>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3ED8"/>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1F2B"/>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4D74"/>
    <w:rsid w:val="000E5577"/>
    <w:rsid w:val="000E7034"/>
    <w:rsid w:val="000F02BE"/>
    <w:rsid w:val="000F0928"/>
    <w:rsid w:val="000F0B3D"/>
    <w:rsid w:val="000F1E65"/>
    <w:rsid w:val="000F427B"/>
    <w:rsid w:val="000F43D0"/>
    <w:rsid w:val="000F4F18"/>
    <w:rsid w:val="000F688E"/>
    <w:rsid w:val="000F7181"/>
    <w:rsid w:val="000F7581"/>
    <w:rsid w:val="001007CE"/>
    <w:rsid w:val="001007DE"/>
    <w:rsid w:val="001008C1"/>
    <w:rsid w:val="00100F84"/>
    <w:rsid w:val="001023DB"/>
    <w:rsid w:val="00102B8D"/>
    <w:rsid w:val="001031F4"/>
    <w:rsid w:val="00103948"/>
    <w:rsid w:val="00103CCF"/>
    <w:rsid w:val="0010417F"/>
    <w:rsid w:val="001042D2"/>
    <w:rsid w:val="0010530E"/>
    <w:rsid w:val="00105C07"/>
    <w:rsid w:val="00106920"/>
    <w:rsid w:val="00106AD8"/>
    <w:rsid w:val="00106E69"/>
    <w:rsid w:val="001078DB"/>
    <w:rsid w:val="001079FA"/>
    <w:rsid w:val="00107EC5"/>
    <w:rsid w:val="001103CD"/>
    <w:rsid w:val="00113D2A"/>
    <w:rsid w:val="00114F20"/>
    <w:rsid w:val="0011590B"/>
    <w:rsid w:val="00117C71"/>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332D"/>
    <w:rsid w:val="001648A8"/>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5F7"/>
    <w:rsid w:val="00193814"/>
    <w:rsid w:val="00193AAB"/>
    <w:rsid w:val="00193AD5"/>
    <w:rsid w:val="00194930"/>
    <w:rsid w:val="00195AAC"/>
    <w:rsid w:val="00196554"/>
    <w:rsid w:val="001A025E"/>
    <w:rsid w:val="001A08CD"/>
    <w:rsid w:val="001A0A1E"/>
    <w:rsid w:val="001A2182"/>
    <w:rsid w:val="001A323E"/>
    <w:rsid w:val="001A5320"/>
    <w:rsid w:val="001A5E62"/>
    <w:rsid w:val="001A6848"/>
    <w:rsid w:val="001A69BD"/>
    <w:rsid w:val="001A7538"/>
    <w:rsid w:val="001B06FB"/>
    <w:rsid w:val="001B0B1A"/>
    <w:rsid w:val="001B20E6"/>
    <w:rsid w:val="001B2871"/>
    <w:rsid w:val="001B4C0B"/>
    <w:rsid w:val="001B4D12"/>
    <w:rsid w:val="001B4EC2"/>
    <w:rsid w:val="001B538D"/>
    <w:rsid w:val="001B538E"/>
    <w:rsid w:val="001B5B59"/>
    <w:rsid w:val="001B60E0"/>
    <w:rsid w:val="001B755A"/>
    <w:rsid w:val="001B7C8C"/>
    <w:rsid w:val="001C051D"/>
    <w:rsid w:val="001C0688"/>
    <w:rsid w:val="001C181A"/>
    <w:rsid w:val="001C1877"/>
    <w:rsid w:val="001C2053"/>
    <w:rsid w:val="001C252F"/>
    <w:rsid w:val="001C28D1"/>
    <w:rsid w:val="001C3473"/>
    <w:rsid w:val="001C525B"/>
    <w:rsid w:val="001C5BDA"/>
    <w:rsid w:val="001C5CFC"/>
    <w:rsid w:val="001C7231"/>
    <w:rsid w:val="001C7418"/>
    <w:rsid w:val="001C7EBE"/>
    <w:rsid w:val="001D0051"/>
    <w:rsid w:val="001D150B"/>
    <w:rsid w:val="001D169A"/>
    <w:rsid w:val="001D2224"/>
    <w:rsid w:val="001D31AA"/>
    <w:rsid w:val="001D332C"/>
    <w:rsid w:val="001D37B9"/>
    <w:rsid w:val="001D3DC0"/>
    <w:rsid w:val="001D4F88"/>
    <w:rsid w:val="001D64F3"/>
    <w:rsid w:val="001D68CF"/>
    <w:rsid w:val="001D6905"/>
    <w:rsid w:val="001D6A8C"/>
    <w:rsid w:val="001D7A56"/>
    <w:rsid w:val="001E15C0"/>
    <w:rsid w:val="001E18E0"/>
    <w:rsid w:val="001E18E2"/>
    <w:rsid w:val="001E19D0"/>
    <w:rsid w:val="001E2A30"/>
    <w:rsid w:val="001E2FF1"/>
    <w:rsid w:val="001E3FE1"/>
    <w:rsid w:val="001E41FE"/>
    <w:rsid w:val="001E635C"/>
    <w:rsid w:val="001E67BB"/>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5C5"/>
    <w:rsid w:val="00292AB2"/>
    <w:rsid w:val="00292B82"/>
    <w:rsid w:val="00293DB6"/>
    <w:rsid w:val="00293FE8"/>
    <w:rsid w:val="00294437"/>
    <w:rsid w:val="00296686"/>
    <w:rsid w:val="00297A00"/>
    <w:rsid w:val="00297A45"/>
    <w:rsid w:val="00297E20"/>
    <w:rsid w:val="002A233F"/>
    <w:rsid w:val="002A3237"/>
    <w:rsid w:val="002A3D37"/>
    <w:rsid w:val="002A4119"/>
    <w:rsid w:val="002A58B7"/>
    <w:rsid w:val="002A5943"/>
    <w:rsid w:val="002A5C3C"/>
    <w:rsid w:val="002A685E"/>
    <w:rsid w:val="002A72C7"/>
    <w:rsid w:val="002B0204"/>
    <w:rsid w:val="002B02BC"/>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361"/>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AE9"/>
    <w:rsid w:val="002F2B13"/>
    <w:rsid w:val="002F2D63"/>
    <w:rsid w:val="002F6AD8"/>
    <w:rsid w:val="002F7F81"/>
    <w:rsid w:val="00300A36"/>
    <w:rsid w:val="00301B45"/>
    <w:rsid w:val="00305856"/>
    <w:rsid w:val="00305867"/>
    <w:rsid w:val="0030678B"/>
    <w:rsid w:val="00306D16"/>
    <w:rsid w:val="00307595"/>
    <w:rsid w:val="00307DA6"/>
    <w:rsid w:val="00310CD7"/>
    <w:rsid w:val="00311EBD"/>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AAC"/>
    <w:rsid w:val="0033601F"/>
    <w:rsid w:val="00336805"/>
    <w:rsid w:val="00337351"/>
    <w:rsid w:val="00341A54"/>
    <w:rsid w:val="00344A4F"/>
    <w:rsid w:val="00344D17"/>
    <w:rsid w:val="00345A04"/>
    <w:rsid w:val="0034669F"/>
    <w:rsid w:val="003470C4"/>
    <w:rsid w:val="00351498"/>
    <w:rsid w:val="00352B22"/>
    <w:rsid w:val="00352CBF"/>
    <w:rsid w:val="00354547"/>
    <w:rsid w:val="003549F5"/>
    <w:rsid w:val="00355AAB"/>
    <w:rsid w:val="00355ACB"/>
    <w:rsid w:val="003567DE"/>
    <w:rsid w:val="003574F3"/>
    <w:rsid w:val="00357831"/>
    <w:rsid w:val="00357D08"/>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A39"/>
    <w:rsid w:val="00385D6F"/>
    <w:rsid w:val="00386D43"/>
    <w:rsid w:val="00387095"/>
    <w:rsid w:val="003871B6"/>
    <w:rsid w:val="00387E95"/>
    <w:rsid w:val="00390092"/>
    <w:rsid w:val="00390CFA"/>
    <w:rsid w:val="00391858"/>
    <w:rsid w:val="00393651"/>
    <w:rsid w:val="00394926"/>
    <w:rsid w:val="00394FF9"/>
    <w:rsid w:val="00395651"/>
    <w:rsid w:val="00395E12"/>
    <w:rsid w:val="003962A8"/>
    <w:rsid w:val="00396779"/>
    <w:rsid w:val="00397DB7"/>
    <w:rsid w:val="003A199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B4A"/>
    <w:rsid w:val="003C5046"/>
    <w:rsid w:val="003C541E"/>
    <w:rsid w:val="003C5B54"/>
    <w:rsid w:val="003C6068"/>
    <w:rsid w:val="003C7AEC"/>
    <w:rsid w:val="003D2BA3"/>
    <w:rsid w:val="003D316B"/>
    <w:rsid w:val="003D3C22"/>
    <w:rsid w:val="003D56A0"/>
    <w:rsid w:val="003D609F"/>
    <w:rsid w:val="003D69F5"/>
    <w:rsid w:val="003D7089"/>
    <w:rsid w:val="003D7DDB"/>
    <w:rsid w:val="003E024F"/>
    <w:rsid w:val="003E02C7"/>
    <w:rsid w:val="003E0384"/>
    <w:rsid w:val="003E0543"/>
    <w:rsid w:val="003E061D"/>
    <w:rsid w:val="003E0B5A"/>
    <w:rsid w:val="003E1682"/>
    <w:rsid w:val="003E31E3"/>
    <w:rsid w:val="003E3E93"/>
    <w:rsid w:val="003E46D1"/>
    <w:rsid w:val="003E6214"/>
    <w:rsid w:val="003F070E"/>
    <w:rsid w:val="003F1206"/>
    <w:rsid w:val="003F145B"/>
    <w:rsid w:val="003F2418"/>
    <w:rsid w:val="003F28DB"/>
    <w:rsid w:val="003F2EEE"/>
    <w:rsid w:val="003F3F17"/>
    <w:rsid w:val="003F4180"/>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C65"/>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5F3"/>
    <w:rsid w:val="00462F68"/>
    <w:rsid w:val="0046369B"/>
    <w:rsid w:val="004640E9"/>
    <w:rsid w:val="004647EB"/>
    <w:rsid w:val="00465164"/>
    <w:rsid w:val="00466974"/>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A01"/>
    <w:rsid w:val="004D3C7F"/>
    <w:rsid w:val="004D42CB"/>
    <w:rsid w:val="004D6E90"/>
    <w:rsid w:val="004D6F2B"/>
    <w:rsid w:val="004E0248"/>
    <w:rsid w:val="004E21A3"/>
    <w:rsid w:val="004E32EA"/>
    <w:rsid w:val="004E3517"/>
    <w:rsid w:val="004E6190"/>
    <w:rsid w:val="004E6866"/>
    <w:rsid w:val="004E6F01"/>
    <w:rsid w:val="004E7E5C"/>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3E97"/>
    <w:rsid w:val="00525003"/>
    <w:rsid w:val="0052590B"/>
    <w:rsid w:val="0052592B"/>
    <w:rsid w:val="00526591"/>
    <w:rsid w:val="00527178"/>
    <w:rsid w:val="00527618"/>
    <w:rsid w:val="005278CB"/>
    <w:rsid w:val="0052791E"/>
    <w:rsid w:val="00530388"/>
    <w:rsid w:val="00531DA0"/>
    <w:rsid w:val="00532E9D"/>
    <w:rsid w:val="00533075"/>
    <w:rsid w:val="00534D42"/>
    <w:rsid w:val="005350A5"/>
    <w:rsid w:val="00536379"/>
    <w:rsid w:val="00537238"/>
    <w:rsid w:val="005400C5"/>
    <w:rsid w:val="005404CD"/>
    <w:rsid w:val="00540BE0"/>
    <w:rsid w:val="00540BEF"/>
    <w:rsid w:val="00540F6C"/>
    <w:rsid w:val="00542B34"/>
    <w:rsid w:val="00542C9A"/>
    <w:rsid w:val="005436C2"/>
    <w:rsid w:val="005442D4"/>
    <w:rsid w:val="0054586A"/>
    <w:rsid w:val="005458A6"/>
    <w:rsid w:val="0054631F"/>
    <w:rsid w:val="00546C24"/>
    <w:rsid w:val="005471BA"/>
    <w:rsid w:val="00547BDA"/>
    <w:rsid w:val="00547BE6"/>
    <w:rsid w:val="0055034F"/>
    <w:rsid w:val="00550476"/>
    <w:rsid w:val="0055288D"/>
    <w:rsid w:val="005529DD"/>
    <w:rsid w:val="00555259"/>
    <w:rsid w:val="00555C66"/>
    <w:rsid w:val="005569EF"/>
    <w:rsid w:val="00556BDE"/>
    <w:rsid w:val="00560D57"/>
    <w:rsid w:val="00562A94"/>
    <w:rsid w:val="00563FAD"/>
    <w:rsid w:val="00564FC7"/>
    <w:rsid w:val="005701C1"/>
    <w:rsid w:val="005703BF"/>
    <w:rsid w:val="00570754"/>
    <w:rsid w:val="005709F7"/>
    <w:rsid w:val="00570EAA"/>
    <w:rsid w:val="005710A9"/>
    <w:rsid w:val="005716B0"/>
    <w:rsid w:val="00571B11"/>
    <w:rsid w:val="00571D1B"/>
    <w:rsid w:val="00571DA3"/>
    <w:rsid w:val="0057282C"/>
    <w:rsid w:val="005738F5"/>
    <w:rsid w:val="00573D34"/>
    <w:rsid w:val="00574A1B"/>
    <w:rsid w:val="00575963"/>
    <w:rsid w:val="00575EBE"/>
    <w:rsid w:val="0058039C"/>
    <w:rsid w:val="00580A63"/>
    <w:rsid w:val="00583379"/>
    <w:rsid w:val="0058417C"/>
    <w:rsid w:val="005844F1"/>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489"/>
    <w:rsid w:val="005A7D5D"/>
    <w:rsid w:val="005B0040"/>
    <w:rsid w:val="005B011A"/>
    <w:rsid w:val="005B0283"/>
    <w:rsid w:val="005B1ADA"/>
    <w:rsid w:val="005B1D09"/>
    <w:rsid w:val="005B1D8F"/>
    <w:rsid w:val="005B1E94"/>
    <w:rsid w:val="005B30C4"/>
    <w:rsid w:val="005B4C47"/>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F0F"/>
    <w:rsid w:val="00602728"/>
    <w:rsid w:val="006036C2"/>
    <w:rsid w:val="00605AAB"/>
    <w:rsid w:val="00606BEB"/>
    <w:rsid w:val="00606FA2"/>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CEA"/>
    <w:rsid w:val="00624D0C"/>
    <w:rsid w:val="00626A0F"/>
    <w:rsid w:val="006274B4"/>
    <w:rsid w:val="006307BA"/>
    <w:rsid w:val="006310A7"/>
    <w:rsid w:val="006315BA"/>
    <w:rsid w:val="00634C4A"/>
    <w:rsid w:val="0063532E"/>
    <w:rsid w:val="0063579F"/>
    <w:rsid w:val="006364ED"/>
    <w:rsid w:val="00637063"/>
    <w:rsid w:val="0063737C"/>
    <w:rsid w:val="00637BDC"/>
    <w:rsid w:val="00640363"/>
    <w:rsid w:val="00640622"/>
    <w:rsid w:val="006418C9"/>
    <w:rsid w:val="00642BD6"/>
    <w:rsid w:val="00643C8F"/>
    <w:rsid w:val="006441EF"/>
    <w:rsid w:val="00645046"/>
    <w:rsid w:val="0064527A"/>
    <w:rsid w:val="006458FD"/>
    <w:rsid w:val="00645DE8"/>
    <w:rsid w:val="00645EA2"/>
    <w:rsid w:val="006514AD"/>
    <w:rsid w:val="00651E6D"/>
    <w:rsid w:val="00652281"/>
    <w:rsid w:val="0065237D"/>
    <w:rsid w:val="00652943"/>
    <w:rsid w:val="00653AB2"/>
    <w:rsid w:val="00653D2D"/>
    <w:rsid w:val="0065435E"/>
    <w:rsid w:val="00654551"/>
    <w:rsid w:val="00654F91"/>
    <w:rsid w:val="006555E7"/>
    <w:rsid w:val="00655CCC"/>
    <w:rsid w:val="00656003"/>
    <w:rsid w:val="006560B6"/>
    <w:rsid w:val="0065726D"/>
    <w:rsid w:val="006573F2"/>
    <w:rsid w:val="0065743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1F6"/>
    <w:rsid w:val="006A0831"/>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4E7D"/>
    <w:rsid w:val="006B53C4"/>
    <w:rsid w:val="006B586B"/>
    <w:rsid w:val="006B5923"/>
    <w:rsid w:val="006B67D9"/>
    <w:rsid w:val="006B6C14"/>
    <w:rsid w:val="006B7159"/>
    <w:rsid w:val="006B715E"/>
    <w:rsid w:val="006C1D6E"/>
    <w:rsid w:val="006C2EF6"/>
    <w:rsid w:val="006C3A68"/>
    <w:rsid w:val="006C3B08"/>
    <w:rsid w:val="006C3D3B"/>
    <w:rsid w:val="006C6AB1"/>
    <w:rsid w:val="006C6E6B"/>
    <w:rsid w:val="006C73D4"/>
    <w:rsid w:val="006D145F"/>
    <w:rsid w:val="006D2000"/>
    <w:rsid w:val="006D2D39"/>
    <w:rsid w:val="006D2F31"/>
    <w:rsid w:val="006D4250"/>
    <w:rsid w:val="006D4E0E"/>
    <w:rsid w:val="006D5861"/>
    <w:rsid w:val="006D5CE2"/>
    <w:rsid w:val="006D5F04"/>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223F"/>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0E61"/>
    <w:rsid w:val="00711350"/>
    <w:rsid w:val="00711538"/>
    <w:rsid w:val="007116BC"/>
    <w:rsid w:val="00711961"/>
    <w:rsid w:val="00711CA6"/>
    <w:rsid w:val="007165CE"/>
    <w:rsid w:val="00716B48"/>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1F1"/>
    <w:rsid w:val="00735704"/>
    <w:rsid w:val="00735A7A"/>
    <w:rsid w:val="00736A49"/>
    <w:rsid w:val="00740E32"/>
    <w:rsid w:val="007419A1"/>
    <w:rsid w:val="00743B71"/>
    <w:rsid w:val="00743C2D"/>
    <w:rsid w:val="00743C3A"/>
    <w:rsid w:val="00743E36"/>
    <w:rsid w:val="00743F05"/>
    <w:rsid w:val="007441C1"/>
    <w:rsid w:val="007446F7"/>
    <w:rsid w:val="00744EBB"/>
    <w:rsid w:val="00745B0A"/>
    <w:rsid w:val="00745C1C"/>
    <w:rsid w:val="00745DBE"/>
    <w:rsid w:val="007468AC"/>
    <w:rsid w:val="00746AE2"/>
    <w:rsid w:val="00750C82"/>
    <w:rsid w:val="00750E3A"/>
    <w:rsid w:val="00751455"/>
    <w:rsid w:val="00752035"/>
    <w:rsid w:val="00757705"/>
    <w:rsid w:val="0076100C"/>
    <w:rsid w:val="007612A5"/>
    <w:rsid w:val="00763202"/>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E39"/>
    <w:rsid w:val="007A2346"/>
    <w:rsid w:val="007A28E4"/>
    <w:rsid w:val="007A2BF8"/>
    <w:rsid w:val="007A3071"/>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0CB"/>
    <w:rsid w:val="007D67CB"/>
    <w:rsid w:val="007D6BFE"/>
    <w:rsid w:val="007E176C"/>
    <w:rsid w:val="007E2046"/>
    <w:rsid w:val="007E3883"/>
    <w:rsid w:val="007E3922"/>
    <w:rsid w:val="007E4876"/>
    <w:rsid w:val="007E48CD"/>
    <w:rsid w:val="007E4ACB"/>
    <w:rsid w:val="007E4FBB"/>
    <w:rsid w:val="007E55BF"/>
    <w:rsid w:val="007E59E3"/>
    <w:rsid w:val="007E5E39"/>
    <w:rsid w:val="007E71B1"/>
    <w:rsid w:val="007E72A8"/>
    <w:rsid w:val="007E7B4E"/>
    <w:rsid w:val="007E7F02"/>
    <w:rsid w:val="007F0292"/>
    <w:rsid w:val="007F0722"/>
    <w:rsid w:val="007F0AB7"/>
    <w:rsid w:val="007F0CE2"/>
    <w:rsid w:val="007F0EFF"/>
    <w:rsid w:val="007F1375"/>
    <w:rsid w:val="007F1AFD"/>
    <w:rsid w:val="007F30E4"/>
    <w:rsid w:val="007F4205"/>
    <w:rsid w:val="0080064F"/>
    <w:rsid w:val="00801B85"/>
    <w:rsid w:val="00803850"/>
    <w:rsid w:val="008039E8"/>
    <w:rsid w:val="00804385"/>
    <w:rsid w:val="00804E0E"/>
    <w:rsid w:val="008051EB"/>
    <w:rsid w:val="0080588E"/>
    <w:rsid w:val="00805985"/>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4B2"/>
    <w:rsid w:val="00827B29"/>
    <w:rsid w:val="00827DB6"/>
    <w:rsid w:val="008304B2"/>
    <w:rsid w:val="00830999"/>
    <w:rsid w:val="00830D5E"/>
    <w:rsid w:val="00830F69"/>
    <w:rsid w:val="00831940"/>
    <w:rsid w:val="008324D9"/>
    <w:rsid w:val="00833418"/>
    <w:rsid w:val="00833504"/>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203"/>
    <w:rsid w:val="0085089F"/>
    <w:rsid w:val="0085206E"/>
    <w:rsid w:val="00852273"/>
    <w:rsid w:val="0085293D"/>
    <w:rsid w:val="00852AD4"/>
    <w:rsid w:val="00852BA8"/>
    <w:rsid w:val="00852BF0"/>
    <w:rsid w:val="00853718"/>
    <w:rsid w:val="008541EF"/>
    <w:rsid w:val="00856428"/>
    <w:rsid w:val="00856AC7"/>
    <w:rsid w:val="00856D0B"/>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583"/>
    <w:rsid w:val="00886C9A"/>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20A"/>
    <w:rsid w:val="008C22F3"/>
    <w:rsid w:val="008C253D"/>
    <w:rsid w:val="008C3223"/>
    <w:rsid w:val="008C3FD0"/>
    <w:rsid w:val="008C4F01"/>
    <w:rsid w:val="008C5152"/>
    <w:rsid w:val="008C710E"/>
    <w:rsid w:val="008C759C"/>
    <w:rsid w:val="008D1484"/>
    <w:rsid w:val="008D29E7"/>
    <w:rsid w:val="008D32A2"/>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1F1B"/>
    <w:rsid w:val="008F30F4"/>
    <w:rsid w:val="008F58E1"/>
    <w:rsid w:val="008F6E05"/>
    <w:rsid w:val="008F6FC8"/>
    <w:rsid w:val="0090045D"/>
    <w:rsid w:val="00900906"/>
    <w:rsid w:val="00900D8F"/>
    <w:rsid w:val="00901229"/>
    <w:rsid w:val="009012B2"/>
    <w:rsid w:val="009014E3"/>
    <w:rsid w:val="009020ED"/>
    <w:rsid w:val="009026E8"/>
    <w:rsid w:val="00902FDD"/>
    <w:rsid w:val="00905EEF"/>
    <w:rsid w:val="00906EB7"/>
    <w:rsid w:val="00907FE6"/>
    <w:rsid w:val="009102BF"/>
    <w:rsid w:val="00911490"/>
    <w:rsid w:val="009115F2"/>
    <w:rsid w:val="00911B11"/>
    <w:rsid w:val="00914ADB"/>
    <w:rsid w:val="00917182"/>
    <w:rsid w:val="00917B6C"/>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D95"/>
    <w:rsid w:val="00971810"/>
    <w:rsid w:val="00972996"/>
    <w:rsid w:val="009730B4"/>
    <w:rsid w:val="0097320E"/>
    <w:rsid w:val="009732B8"/>
    <w:rsid w:val="00974647"/>
    <w:rsid w:val="0097514A"/>
    <w:rsid w:val="009759C2"/>
    <w:rsid w:val="00975C72"/>
    <w:rsid w:val="00975C7E"/>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ABB"/>
    <w:rsid w:val="00990FD6"/>
    <w:rsid w:val="009935C3"/>
    <w:rsid w:val="0099421F"/>
    <w:rsid w:val="0099467C"/>
    <w:rsid w:val="00994FC8"/>
    <w:rsid w:val="009951EE"/>
    <w:rsid w:val="009954C0"/>
    <w:rsid w:val="009A08C2"/>
    <w:rsid w:val="009A0DE3"/>
    <w:rsid w:val="009A1643"/>
    <w:rsid w:val="009A215A"/>
    <w:rsid w:val="009A26B9"/>
    <w:rsid w:val="009A49D3"/>
    <w:rsid w:val="009A4F1B"/>
    <w:rsid w:val="009A66C5"/>
    <w:rsid w:val="009A66E7"/>
    <w:rsid w:val="009A79BA"/>
    <w:rsid w:val="009B0CAD"/>
    <w:rsid w:val="009B10F9"/>
    <w:rsid w:val="009B14D1"/>
    <w:rsid w:val="009B1534"/>
    <w:rsid w:val="009B4963"/>
    <w:rsid w:val="009B4A3B"/>
    <w:rsid w:val="009B4F06"/>
    <w:rsid w:val="009B6023"/>
    <w:rsid w:val="009B69D3"/>
    <w:rsid w:val="009B721E"/>
    <w:rsid w:val="009B7BA7"/>
    <w:rsid w:val="009B7C01"/>
    <w:rsid w:val="009C0938"/>
    <w:rsid w:val="009C0C22"/>
    <w:rsid w:val="009C15D9"/>
    <w:rsid w:val="009C1A1D"/>
    <w:rsid w:val="009C22C8"/>
    <w:rsid w:val="009C310F"/>
    <w:rsid w:val="009C3F82"/>
    <w:rsid w:val="009C582A"/>
    <w:rsid w:val="009C5C56"/>
    <w:rsid w:val="009C72DD"/>
    <w:rsid w:val="009C78FD"/>
    <w:rsid w:val="009C7DF5"/>
    <w:rsid w:val="009D056C"/>
    <w:rsid w:val="009D060F"/>
    <w:rsid w:val="009D1ADE"/>
    <w:rsid w:val="009D297C"/>
    <w:rsid w:val="009D3652"/>
    <w:rsid w:val="009D37CA"/>
    <w:rsid w:val="009D3F17"/>
    <w:rsid w:val="009D4229"/>
    <w:rsid w:val="009D4268"/>
    <w:rsid w:val="009D5DE9"/>
    <w:rsid w:val="009E004A"/>
    <w:rsid w:val="009E09D0"/>
    <w:rsid w:val="009E1181"/>
    <w:rsid w:val="009E1283"/>
    <w:rsid w:val="009E3A7F"/>
    <w:rsid w:val="009E4C9B"/>
    <w:rsid w:val="009E4DFC"/>
    <w:rsid w:val="009E5789"/>
    <w:rsid w:val="009E57B1"/>
    <w:rsid w:val="009E6379"/>
    <w:rsid w:val="009F020F"/>
    <w:rsid w:val="009F2EA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EE0"/>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114"/>
    <w:rsid w:val="00A65C78"/>
    <w:rsid w:val="00A65F67"/>
    <w:rsid w:val="00A660A8"/>
    <w:rsid w:val="00A66A45"/>
    <w:rsid w:val="00A6743E"/>
    <w:rsid w:val="00A67591"/>
    <w:rsid w:val="00A677D8"/>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68A1"/>
    <w:rsid w:val="00A97B11"/>
    <w:rsid w:val="00A97CD9"/>
    <w:rsid w:val="00AA020A"/>
    <w:rsid w:val="00AA04B3"/>
    <w:rsid w:val="00AA1253"/>
    <w:rsid w:val="00AA1ED0"/>
    <w:rsid w:val="00AA1F5B"/>
    <w:rsid w:val="00AA28EF"/>
    <w:rsid w:val="00AA3593"/>
    <w:rsid w:val="00AA38CA"/>
    <w:rsid w:val="00AA493E"/>
    <w:rsid w:val="00AA6329"/>
    <w:rsid w:val="00AA73AF"/>
    <w:rsid w:val="00AB062D"/>
    <w:rsid w:val="00AB0A8A"/>
    <w:rsid w:val="00AB1754"/>
    <w:rsid w:val="00AB1F8D"/>
    <w:rsid w:val="00AB27DD"/>
    <w:rsid w:val="00AB4BA4"/>
    <w:rsid w:val="00AB592E"/>
    <w:rsid w:val="00AC0C1C"/>
    <w:rsid w:val="00AC1305"/>
    <w:rsid w:val="00AC2BCC"/>
    <w:rsid w:val="00AC37BE"/>
    <w:rsid w:val="00AC439D"/>
    <w:rsid w:val="00AC5167"/>
    <w:rsid w:val="00AC62CC"/>
    <w:rsid w:val="00AC713F"/>
    <w:rsid w:val="00AC7329"/>
    <w:rsid w:val="00AC7D96"/>
    <w:rsid w:val="00AD00E4"/>
    <w:rsid w:val="00AD067E"/>
    <w:rsid w:val="00AD168B"/>
    <w:rsid w:val="00AD1778"/>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AF7B36"/>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7BF"/>
    <w:rsid w:val="00B427BB"/>
    <w:rsid w:val="00B43BA2"/>
    <w:rsid w:val="00B449EE"/>
    <w:rsid w:val="00B44E26"/>
    <w:rsid w:val="00B454AE"/>
    <w:rsid w:val="00B47AAB"/>
    <w:rsid w:val="00B50227"/>
    <w:rsid w:val="00B50510"/>
    <w:rsid w:val="00B522CD"/>
    <w:rsid w:val="00B53A64"/>
    <w:rsid w:val="00B55143"/>
    <w:rsid w:val="00B553B2"/>
    <w:rsid w:val="00B555C8"/>
    <w:rsid w:val="00B55649"/>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4B"/>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306"/>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9C3"/>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5"/>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174"/>
    <w:rsid w:val="00C162E1"/>
    <w:rsid w:val="00C16BE4"/>
    <w:rsid w:val="00C16E9F"/>
    <w:rsid w:val="00C1713D"/>
    <w:rsid w:val="00C17523"/>
    <w:rsid w:val="00C177F1"/>
    <w:rsid w:val="00C17EE6"/>
    <w:rsid w:val="00C217F7"/>
    <w:rsid w:val="00C2272E"/>
    <w:rsid w:val="00C228BC"/>
    <w:rsid w:val="00C22F3A"/>
    <w:rsid w:val="00C23311"/>
    <w:rsid w:val="00C24AD9"/>
    <w:rsid w:val="00C25978"/>
    <w:rsid w:val="00C261C6"/>
    <w:rsid w:val="00C26621"/>
    <w:rsid w:val="00C26B27"/>
    <w:rsid w:val="00C26E7C"/>
    <w:rsid w:val="00C276CD"/>
    <w:rsid w:val="00C27827"/>
    <w:rsid w:val="00C30A97"/>
    <w:rsid w:val="00C31DDC"/>
    <w:rsid w:val="00C3223A"/>
    <w:rsid w:val="00C33174"/>
    <w:rsid w:val="00C34168"/>
    <w:rsid w:val="00C34247"/>
    <w:rsid w:val="00C34326"/>
    <w:rsid w:val="00C34CEB"/>
    <w:rsid w:val="00C35CCB"/>
    <w:rsid w:val="00C36201"/>
    <w:rsid w:val="00C368E8"/>
    <w:rsid w:val="00C36C3D"/>
    <w:rsid w:val="00C372C7"/>
    <w:rsid w:val="00C376A7"/>
    <w:rsid w:val="00C42443"/>
    <w:rsid w:val="00C42CBA"/>
    <w:rsid w:val="00C4338C"/>
    <w:rsid w:val="00C43806"/>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3EC"/>
    <w:rsid w:val="00C62EB2"/>
    <w:rsid w:val="00C63431"/>
    <w:rsid w:val="00C64C87"/>
    <w:rsid w:val="00C65414"/>
    <w:rsid w:val="00C665FE"/>
    <w:rsid w:val="00C70E12"/>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825"/>
    <w:rsid w:val="00C97000"/>
    <w:rsid w:val="00C975BD"/>
    <w:rsid w:val="00CA068D"/>
    <w:rsid w:val="00CA08DF"/>
    <w:rsid w:val="00CA1228"/>
    <w:rsid w:val="00CA1C73"/>
    <w:rsid w:val="00CA2790"/>
    <w:rsid w:val="00CA282D"/>
    <w:rsid w:val="00CA3F73"/>
    <w:rsid w:val="00CA4670"/>
    <w:rsid w:val="00CA5F89"/>
    <w:rsid w:val="00CA68C5"/>
    <w:rsid w:val="00CA6B1A"/>
    <w:rsid w:val="00CA769D"/>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3C05"/>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43B"/>
    <w:rsid w:val="00D229E7"/>
    <w:rsid w:val="00D2321B"/>
    <w:rsid w:val="00D23350"/>
    <w:rsid w:val="00D237E7"/>
    <w:rsid w:val="00D23DE4"/>
    <w:rsid w:val="00D257C8"/>
    <w:rsid w:val="00D25A5C"/>
    <w:rsid w:val="00D26873"/>
    <w:rsid w:val="00D27C99"/>
    <w:rsid w:val="00D31683"/>
    <w:rsid w:val="00D33452"/>
    <w:rsid w:val="00D336C8"/>
    <w:rsid w:val="00D339E8"/>
    <w:rsid w:val="00D33FDD"/>
    <w:rsid w:val="00D3654A"/>
    <w:rsid w:val="00D3662E"/>
    <w:rsid w:val="00D373F1"/>
    <w:rsid w:val="00D37567"/>
    <w:rsid w:val="00D3763F"/>
    <w:rsid w:val="00D40B1F"/>
    <w:rsid w:val="00D40D75"/>
    <w:rsid w:val="00D419CA"/>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3EB"/>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7044"/>
    <w:rsid w:val="00D80490"/>
    <w:rsid w:val="00D828F9"/>
    <w:rsid w:val="00D829AD"/>
    <w:rsid w:val="00D82EE2"/>
    <w:rsid w:val="00D83D1B"/>
    <w:rsid w:val="00D8405F"/>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BDB"/>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76E"/>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0798C"/>
    <w:rsid w:val="00E100E3"/>
    <w:rsid w:val="00E1012B"/>
    <w:rsid w:val="00E103C8"/>
    <w:rsid w:val="00E1085B"/>
    <w:rsid w:val="00E1308B"/>
    <w:rsid w:val="00E14581"/>
    <w:rsid w:val="00E14623"/>
    <w:rsid w:val="00E15539"/>
    <w:rsid w:val="00E16541"/>
    <w:rsid w:val="00E177A2"/>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479"/>
    <w:rsid w:val="00E3077F"/>
    <w:rsid w:val="00E322F7"/>
    <w:rsid w:val="00E3369B"/>
    <w:rsid w:val="00E362D2"/>
    <w:rsid w:val="00E36D76"/>
    <w:rsid w:val="00E40478"/>
    <w:rsid w:val="00E405EA"/>
    <w:rsid w:val="00E408B7"/>
    <w:rsid w:val="00E412EB"/>
    <w:rsid w:val="00E41637"/>
    <w:rsid w:val="00E42789"/>
    <w:rsid w:val="00E43F59"/>
    <w:rsid w:val="00E45271"/>
    <w:rsid w:val="00E464F0"/>
    <w:rsid w:val="00E46EF3"/>
    <w:rsid w:val="00E47370"/>
    <w:rsid w:val="00E473E9"/>
    <w:rsid w:val="00E47B47"/>
    <w:rsid w:val="00E50BEB"/>
    <w:rsid w:val="00E53460"/>
    <w:rsid w:val="00E548FA"/>
    <w:rsid w:val="00E5592F"/>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1F6"/>
    <w:rsid w:val="00E71485"/>
    <w:rsid w:val="00E7200B"/>
    <w:rsid w:val="00E738CB"/>
    <w:rsid w:val="00E73C88"/>
    <w:rsid w:val="00E74437"/>
    <w:rsid w:val="00E7443D"/>
    <w:rsid w:val="00E74A67"/>
    <w:rsid w:val="00E75ACE"/>
    <w:rsid w:val="00E771AF"/>
    <w:rsid w:val="00E80386"/>
    <w:rsid w:val="00E809C3"/>
    <w:rsid w:val="00E80C37"/>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0F4"/>
    <w:rsid w:val="00EA07C0"/>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7E7"/>
    <w:rsid w:val="00EB5EFD"/>
    <w:rsid w:val="00EB679F"/>
    <w:rsid w:val="00EB76E4"/>
    <w:rsid w:val="00EB7FC0"/>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866"/>
    <w:rsid w:val="00EE48BB"/>
    <w:rsid w:val="00EE6FE0"/>
    <w:rsid w:val="00EE704A"/>
    <w:rsid w:val="00EE7840"/>
    <w:rsid w:val="00EF2E75"/>
    <w:rsid w:val="00EF4C74"/>
    <w:rsid w:val="00EF5268"/>
    <w:rsid w:val="00EF608E"/>
    <w:rsid w:val="00EF6C4A"/>
    <w:rsid w:val="00F0044B"/>
    <w:rsid w:val="00F00DEF"/>
    <w:rsid w:val="00F00E60"/>
    <w:rsid w:val="00F029CC"/>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4E6"/>
    <w:rsid w:val="00F16636"/>
    <w:rsid w:val="00F171F9"/>
    <w:rsid w:val="00F1737C"/>
    <w:rsid w:val="00F173AA"/>
    <w:rsid w:val="00F228BC"/>
    <w:rsid w:val="00F22A26"/>
    <w:rsid w:val="00F24072"/>
    <w:rsid w:val="00F26432"/>
    <w:rsid w:val="00F3197A"/>
    <w:rsid w:val="00F32139"/>
    <w:rsid w:val="00F33957"/>
    <w:rsid w:val="00F33CF0"/>
    <w:rsid w:val="00F33D56"/>
    <w:rsid w:val="00F34E08"/>
    <w:rsid w:val="00F41D91"/>
    <w:rsid w:val="00F41F52"/>
    <w:rsid w:val="00F41FA1"/>
    <w:rsid w:val="00F42363"/>
    <w:rsid w:val="00F427C4"/>
    <w:rsid w:val="00F43D6C"/>
    <w:rsid w:val="00F4420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3B6"/>
    <w:rsid w:val="00F65E1F"/>
    <w:rsid w:val="00F65ED5"/>
    <w:rsid w:val="00F6608B"/>
    <w:rsid w:val="00F6636A"/>
    <w:rsid w:val="00F667C5"/>
    <w:rsid w:val="00F67E31"/>
    <w:rsid w:val="00F67F91"/>
    <w:rsid w:val="00F70B44"/>
    <w:rsid w:val="00F70F52"/>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AA4"/>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008A"/>
    <w:rsid w:val="00FE2A48"/>
    <w:rsid w:val="00FE2DEF"/>
    <w:rsid w:val="00FE323C"/>
    <w:rsid w:val="00FE3A27"/>
    <w:rsid w:val="00FE521D"/>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styleId="HTMLCite">
    <w:name w:val="HTML Cite"/>
    <w:basedOn w:val="DefaultParagraphFont"/>
    <w:uiPriority w:val="99"/>
    <w:unhideWhenUsed/>
    <w:rsid w:val="00EB57E7"/>
    <w:rPr>
      <w:i/>
      <w:iCs/>
    </w:rPr>
  </w:style>
  <w:style w:type="character" w:styleId="Emphasis">
    <w:name w:val="Emphasis"/>
    <w:basedOn w:val="DefaultParagraphFont"/>
    <w:uiPriority w:val="20"/>
    <w:qFormat/>
    <w:rsid w:val="00EB57E7"/>
    <w:rPr>
      <w:b/>
      <w:bCs/>
      <w:i w:val="0"/>
      <w:iCs w:val="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18887879">
      <w:bodyDiv w:val="1"/>
      <w:marLeft w:val="0"/>
      <w:marRight w:val="0"/>
      <w:marTop w:val="32"/>
      <w:marBottom w:val="32"/>
      <w:divBdr>
        <w:top w:val="none" w:sz="0" w:space="0" w:color="auto"/>
        <w:left w:val="none" w:sz="0" w:space="0" w:color="auto"/>
        <w:bottom w:val="none" w:sz="0" w:space="0" w:color="auto"/>
        <w:right w:val="none" w:sz="0" w:space="0" w:color="auto"/>
      </w:divBdr>
      <w:divsChild>
        <w:div w:id="937827947">
          <w:marLeft w:val="0"/>
          <w:marRight w:val="0"/>
          <w:marTop w:val="0"/>
          <w:marBottom w:val="0"/>
          <w:divBdr>
            <w:top w:val="none" w:sz="0" w:space="0" w:color="auto"/>
            <w:left w:val="none" w:sz="0" w:space="0" w:color="auto"/>
            <w:bottom w:val="none" w:sz="0" w:space="0" w:color="auto"/>
            <w:right w:val="none" w:sz="0" w:space="0" w:color="auto"/>
          </w:divBdr>
          <w:divsChild>
            <w:div w:id="1023558415">
              <w:marLeft w:val="0"/>
              <w:marRight w:val="0"/>
              <w:marTop w:val="0"/>
              <w:marBottom w:val="0"/>
              <w:divBdr>
                <w:top w:val="none" w:sz="0" w:space="0" w:color="auto"/>
                <w:left w:val="none" w:sz="0" w:space="0" w:color="auto"/>
                <w:bottom w:val="none" w:sz="0" w:space="0" w:color="auto"/>
                <w:right w:val="none" w:sz="0" w:space="0" w:color="auto"/>
              </w:divBdr>
              <w:divsChild>
                <w:div w:id="1672833563">
                  <w:marLeft w:val="0"/>
                  <w:marRight w:val="0"/>
                  <w:marTop w:val="0"/>
                  <w:marBottom w:val="0"/>
                  <w:divBdr>
                    <w:top w:val="none" w:sz="0" w:space="0" w:color="auto"/>
                    <w:left w:val="none" w:sz="0" w:space="0" w:color="auto"/>
                    <w:bottom w:val="none" w:sz="0" w:space="0" w:color="auto"/>
                    <w:right w:val="none" w:sz="0" w:space="0" w:color="auto"/>
                  </w:divBdr>
                  <w:divsChild>
                    <w:div w:id="641158312">
                      <w:marLeft w:val="0"/>
                      <w:marRight w:val="0"/>
                      <w:marTop w:val="0"/>
                      <w:marBottom w:val="0"/>
                      <w:divBdr>
                        <w:top w:val="none" w:sz="0" w:space="0" w:color="auto"/>
                        <w:left w:val="none" w:sz="0" w:space="0" w:color="auto"/>
                        <w:bottom w:val="none" w:sz="0" w:space="0" w:color="auto"/>
                        <w:right w:val="none" w:sz="0" w:space="0" w:color="auto"/>
                      </w:divBdr>
                      <w:divsChild>
                        <w:div w:id="2015691864">
                          <w:marLeft w:val="0"/>
                          <w:marRight w:val="0"/>
                          <w:marTop w:val="222"/>
                          <w:marBottom w:val="0"/>
                          <w:divBdr>
                            <w:top w:val="none" w:sz="0" w:space="0" w:color="auto"/>
                            <w:left w:val="none" w:sz="0" w:space="0" w:color="auto"/>
                            <w:bottom w:val="none" w:sz="0" w:space="0" w:color="auto"/>
                            <w:right w:val="none" w:sz="0" w:space="0" w:color="auto"/>
                          </w:divBdr>
                          <w:divsChild>
                            <w:div w:id="946425731">
                              <w:marLeft w:val="1398"/>
                              <w:marRight w:val="2689"/>
                              <w:marTop w:val="0"/>
                              <w:marBottom w:val="0"/>
                              <w:divBdr>
                                <w:top w:val="none" w:sz="0" w:space="0" w:color="auto"/>
                                <w:left w:val="none" w:sz="0" w:space="0" w:color="auto"/>
                                <w:bottom w:val="none" w:sz="0" w:space="0" w:color="auto"/>
                                <w:right w:val="none" w:sz="0" w:space="0" w:color="auto"/>
                              </w:divBdr>
                              <w:divsChild>
                                <w:div w:id="890649035">
                                  <w:marLeft w:val="0"/>
                                  <w:marRight w:val="0"/>
                                  <w:marTop w:val="0"/>
                                  <w:marBottom w:val="0"/>
                                  <w:divBdr>
                                    <w:top w:val="none" w:sz="0" w:space="0" w:color="auto"/>
                                    <w:left w:val="none" w:sz="0" w:space="0" w:color="auto"/>
                                    <w:bottom w:val="none" w:sz="0" w:space="0" w:color="auto"/>
                                    <w:right w:val="none" w:sz="0" w:space="0" w:color="auto"/>
                                  </w:divBdr>
                                  <w:divsChild>
                                    <w:div w:id="1711568065">
                                      <w:marLeft w:val="0"/>
                                      <w:marRight w:val="0"/>
                                      <w:marTop w:val="0"/>
                                      <w:marBottom w:val="0"/>
                                      <w:divBdr>
                                        <w:top w:val="none" w:sz="0" w:space="0" w:color="auto"/>
                                        <w:left w:val="none" w:sz="0" w:space="0" w:color="auto"/>
                                        <w:bottom w:val="none" w:sz="0" w:space="0" w:color="auto"/>
                                        <w:right w:val="none" w:sz="0" w:space="0" w:color="auto"/>
                                      </w:divBdr>
                                      <w:divsChild>
                                        <w:div w:id="177543022">
                                          <w:marLeft w:val="0"/>
                                          <w:marRight w:val="0"/>
                                          <w:marTop w:val="0"/>
                                          <w:marBottom w:val="0"/>
                                          <w:divBdr>
                                            <w:top w:val="none" w:sz="0" w:space="0" w:color="auto"/>
                                            <w:left w:val="none" w:sz="0" w:space="0" w:color="auto"/>
                                            <w:bottom w:val="none" w:sz="0" w:space="0" w:color="auto"/>
                                            <w:right w:val="none" w:sz="0" w:space="0" w:color="auto"/>
                                          </w:divBdr>
                                          <w:divsChild>
                                            <w:div w:id="1782676559">
                                              <w:marLeft w:val="0"/>
                                              <w:marRight w:val="0"/>
                                              <w:marTop w:val="0"/>
                                              <w:marBottom w:val="0"/>
                                              <w:divBdr>
                                                <w:top w:val="none" w:sz="0" w:space="0" w:color="auto"/>
                                                <w:left w:val="none" w:sz="0" w:space="0" w:color="auto"/>
                                                <w:bottom w:val="none" w:sz="0" w:space="0" w:color="auto"/>
                                                <w:right w:val="none" w:sz="0" w:space="0" w:color="auto"/>
                                              </w:divBdr>
                                              <w:divsChild>
                                                <w:div w:id="1256011456">
                                                  <w:marLeft w:val="0"/>
                                                  <w:marRight w:val="0"/>
                                                  <w:marTop w:val="0"/>
                                                  <w:marBottom w:val="0"/>
                                                  <w:divBdr>
                                                    <w:top w:val="none" w:sz="0" w:space="0" w:color="auto"/>
                                                    <w:left w:val="none" w:sz="0" w:space="0" w:color="auto"/>
                                                    <w:bottom w:val="none" w:sz="0" w:space="0" w:color="auto"/>
                                                    <w:right w:val="none" w:sz="0" w:space="0" w:color="auto"/>
                                                  </w:divBdr>
                                                  <w:divsChild>
                                                    <w:div w:id="1105879211">
                                                      <w:marLeft w:val="0"/>
                                                      <w:marRight w:val="0"/>
                                                      <w:marTop w:val="0"/>
                                                      <w:marBottom w:val="0"/>
                                                      <w:divBdr>
                                                        <w:top w:val="none" w:sz="0" w:space="0" w:color="auto"/>
                                                        <w:left w:val="none" w:sz="0" w:space="0" w:color="auto"/>
                                                        <w:bottom w:val="none" w:sz="0" w:space="0" w:color="auto"/>
                                                        <w:right w:val="none" w:sz="0" w:space="0" w:color="auto"/>
                                                      </w:divBdr>
                                                    </w:div>
                                                    <w:div w:id="926841554">
                                                      <w:marLeft w:val="0"/>
                                                      <w:marRight w:val="0"/>
                                                      <w:marTop w:val="0"/>
                                                      <w:marBottom w:val="0"/>
                                                      <w:divBdr>
                                                        <w:top w:val="none" w:sz="0" w:space="0" w:color="auto"/>
                                                        <w:left w:val="none" w:sz="0" w:space="0" w:color="auto"/>
                                                        <w:bottom w:val="none" w:sz="0" w:space="0" w:color="auto"/>
                                                        <w:right w:val="none" w:sz="0" w:space="0" w:color="auto"/>
                                                      </w:divBdr>
                                                    </w:div>
                                                    <w:div w:id="111364343">
                                                      <w:marLeft w:val="0"/>
                                                      <w:marRight w:val="0"/>
                                                      <w:marTop w:val="0"/>
                                                      <w:marBottom w:val="0"/>
                                                      <w:divBdr>
                                                        <w:top w:val="none" w:sz="0" w:space="0" w:color="auto"/>
                                                        <w:left w:val="none" w:sz="0" w:space="0" w:color="auto"/>
                                                        <w:bottom w:val="none" w:sz="0" w:space="0" w:color="auto"/>
                                                        <w:right w:val="none" w:sz="0" w:space="0" w:color="auto"/>
                                                      </w:divBdr>
                                                      <w:divsChild>
                                                        <w:div w:id="1896233311">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E970-F9B4-433F-9A5D-EF562BD2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2012-01-19T19:20:00Z</cp:lastPrinted>
  <dcterms:created xsi:type="dcterms:W3CDTF">2012-01-13T16:30:00Z</dcterms:created>
  <dcterms:modified xsi:type="dcterms:W3CDTF">2012-02-14T15:09:00Z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