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E372AD" w:rsidRDefault="00F629C0" w:rsidP="008C2995">
      <w:pPr>
        <w:tabs>
          <w:tab w:val="left" w:pos="288"/>
          <w:tab w:val="left" w:pos="4752"/>
          <w:tab w:val="left" w:pos="5850"/>
          <w:tab w:val="left" w:pos="9270"/>
        </w:tabs>
        <w:jc w:val="both"/>
        <w:rPr>
          <w:caps/>
          <w:color w:val="000000" w:themeColor="text1"/>
        </w:rPr>
      </w:pPr>
      <w:r w:rsidRPr="00E372AD">
        <w:rPr>
          <w:caps/>
          <w:color w:val="000000" w:themeColor="text1"/>
        </w:rPr>
        <w:t xml:space="preserve">NAME:  </w:t>
      </w:r>
      <w:r w:rsidR="008C2995">
        <w:rPr>
          <w:caps/>
          <w:color w:val="000000" w:themeColor="text1"/>
        </w:rPr>
        <w:t>XXXXXXXXXXXXXXXXXXXXX</w:t>
      </w:r>
      <w:r w:rsidR="004216DA" w:rsidRPr="00E372AD">
        <w:rPr>
          <w:caps/>
          <w:color w:val="000000" w:themeColor="text1"/>
        </w:rPr>
        <w:t xml:space="preserve">           </w:t>
      </w:r>
      <w:r w:rsidR="00332DE3" w:rsidRPr="00E372AD">
        <w:rPr>
          <w:caps/>
          <w:color w:val="000000" w:themeColor="text1"/>
        </w:rPr>
        <w:t xml:space="preserve"> </w:t>
      </w:r>
      <w:r w:rsidR="004216DA" w:rsidRPr="00E372AD">
        <w:rPr>
          <w:caps/>
          <w:color w:val="000000" w:themeColor="text1"/>
        </w:rPr>
        <w:t xml:space="preserve">  </w:t>
      </w:r>
      <w:r w:rsidR="00E372AD" w:rsidRPr="00E372AD">
        <w:rPr>
          <w:caps/>
          <w:color w:val="000000" w:themeColor="text1"/>
        </w:rPr>
        <w:t xml:space="preserve">  </w:t>
      </w:r>
      <w:r w:rsidR="008C2995">
        <w:rPr>
          <w:caps/>
          <w:color w:val="000000" w:themeColor="text1"/>
        </w:rPr>
        <w:tab/>
      </w:r>
      <w:r w:rsidR="008C2995">
        <w:rPr>
          <w:caps/>
          <w:color w:val="000000" w:themeColor="text1"/>
        </w:rPr>
        <w:tab/>
      </w:r>
      <w:r w:rsidRPr="00E372AD">
        <w:rPr>
          <w:caps/>
          <w:color w:val="000000" w:themeColor="text1"/>
        </w:rPr>
        <w:t xml:space="preserve">BRANCH OF SERVICE: </w:t>
      </w:r>
      <w:r w:rsidR="00332DE3" w:rsidRPr="00E372AD">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E372AD">
        <w:rPr>
          <w:caps/>
          <w:color w:val="000000" w:themeColor="text1"/>
        </w:rPr>
        <w:t>C</w:t>
      </w:r>
      <w:r w:rsidR="00DE3AAD" w:rsidRPr="00E372AD">
        <w:rPr>
          <w:caps/>
          <w:color w:val="000000" w:themeColor="text1"/>
        </w:rPr>
        <w:t>ASE NUMBER:  PD</w:t>
      </w:r>
      <w:r w:rsidR="008F58E1" w:rsidRPr="00E372AD">
        <w:rPr>
          <w:caps/>
          <w:color w:val="000000" w:themeColor="text1"/>
        </w:rPr>
        <w:t>11</w:t>
      </w:r>
      <w:r w:rsidR="00DE3AAD" w:rsidRPr="00E372AD">
        <w:rPr>
          <w:caps/>
          <w:color w:val="000000" w:themeColor="text1"/>
        </w:rPr>
        <w:t>00</w:t>
      </w:r>
      <w:r w:rsidR="00E372AD" w:rsidRPr="00E372AD">
        <w:rPr>
          <w:caps/>
          <w:color w:val="000000" w:themeColor="text1"/>
        </w:rPr>
        <w:t>474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314A7F">
        <w:rPr>
          <w:color w:val="000000" w:themeColor="text1"/>
        </w:rPr>
        <w:t xml:space="preserve"> </w:t>
      </w:r>
      <w:r w:rsidR="00E0346A" w:rsidRPr="001F29F9">
        <w:rPr>
          <w:color w:val="000000" w:themeColor="text1"/>
        </w:rPr>
        <w:t xml:space="preserve"> </w:t>
      </w:r>
      <w:r w:rsidR="00A00B09">
        <w:rPr>
          <w:color w:val="000000" w:themeColor="text1"/>
        </w:rPr>
        <w:t xml:space="preserve"> </w:t>
      </w:r>
      <w:r w:rsidR="00DE3AAD" w:rsidRPr="001F29F9">
        <w:rPr>
          <w:color w:val="000000" w:themeColor="text1"/>
        </w:rPr>
        <w:t>SEPARATION DATE:  200</w:t>
      </w:r>
      <w:r w:rsidR="00E372AD">
        <w:rPr>
          <w:color w:val="000000" w:themeColor="text1"/>
        </w:rPr>
        <w:t>3072</w:t>
      </w:r>
      <w:r w:rsidR="00CB35AF">
        <w:rPr>
          <w:color w:val="000000" w:themeColor="text1"/>
        </w:rPr>
        <w:t>5</w:t>
      </w:r>
    </w:p>
    <w:p w:rsidR="005964FF" w:rsidRDefault="004F3639" w:rsidP="00BF0E94">
      <w:pPr>
        <w:tabs>
          <w:tab w:val="left" w:pos="288"/>
          <w:tab w:val="left" w:pos="5130"/>
        </w:tabs>
        <w:jc w:val="both"/>
        <w:rPr>
          <w:caps/>
          <w:color w:val="000000" w:themeColor="text1"/>
        </w:rPr>
      </w:pPr>
      <w:r w:rsidRPr="001F29F9">
        <w:rPr>
          <w:caps/>
          <w:color w:val="000000" w:themeColor="text1"/>
        </w:rPr>
        <w:t>BOARD DATE:  201</w:t>
      </w:r>
      <w:r w:rsidR="00E27D76">
        <w:rPr>
          <w:caps/>
          <w:color w:val="000000" w:themeColor="text1"/>
        </w:rPr>
        <w:t>2</w:t>
      </w:r>
      <w:r w:rsidR="005964FF">
        <w:rPr>
          <w:caps/>
          <w:color w:val="000000" w:themeColor="text1"/>
        </w:rPr>
        <w:t>0430</w:t>
      </w:r>
    </w:p>
    <w:p w:rsidR="00E27D76" w:rsidRPr="001F29F9" w:rsidRDefault="00E27D76" w:rsidP="00E27D76">
      <w:pPr>
        <w:pBdr>
          <w:bottom w:val="single" w:sz="12" w:space="1" w:color="auto"/>
        </w:pBdr>
        <w:tabs>
          <w:tab w:val="left" w:pos="288"/>
          <w:tab w:val="left" w:pos="4752"/>
        </w:tabs>
        <w:jc w:val="both"/>
        <w:rPr>
          <w:color w:val="000000" w:themeColor="text1"/>
        </w:rPr>
      </w:pPr>
    </w:p>
    <w:p w:rsidR="009369A6" w:rsidRPr="00E372AD" w:rsidRDefault="009369A6" w:rsidP="00BF0E94">
      <w:pPr>
        <w:tabs>
          <w:tab w:val="left" w:pos="288"/>
          <w:tab w:val="left" w:pos="4752"/>
        </w:tabs>
        <w:jc w:val="both"/>
        <w:rPr>
          <w:color w:val="000000" w:themeColor="text1"/>
        </w:rPr>
      </w:pPr>
    </w:p>
    <w:p w:rsidR="002F2981" w:rsidRPr="001F29F9" w:rsidRDefault="00FB0E80" w:rsidP="00BF0E94">
      <w:pPr>
        <w:tabs>
          <w:tab w:val="left" w:pos="288"/>
          <w:tab w:val="left" w:pos="4752"/>
        </w:tabs>
        <w:jc w:val="both"/>
        <w:rPr>
          <w:color w:val="000000" w:themeColor="text1"/>
        </w:rPr>
      </w:pPr>
      <w:r w:rsidRPr="00E372AD">
        <w:rPr>
          <w:color w:val="000000" w:themeColor="text1"/>
          <w:u w:val="single"/>
        </w:rPr>
        <w:t>SUMMARY OF CASE</w:t>
      </w:r>
      <w:r w:rsidRPr="00E372AD">
        <w:rPr>
          <w:color w:val="000000" w:themeColor="text1"/>
        </w:rPr>
        <w:t xml:space="preserve">:  </w:t>
      </w:r>
      <w:r w:rsidR="009759C2" w:rsidRPr="00E372AD">
        <w:rPr>
          <w:color w:val="000000" w:themeColor="text1"/>
        </w:rPr>
        <w:t>Data extracted from the available evidence of record reflects that this covered individual (CI)</w:t>
      </w:r>
      <w:r w:rsidR="00570754" w:rsidRPr="00E372AD">
        <w:rPr>
          <w:color w:val="000000" w:themeColor="text1"/>
        </w:rPr>
        <w:t xml:space="preserve"> </w:t>
      </w:r>
      <w:r w:rsidR="002C6E5B" w:rsidRPr="00E372AD">
        <w:rPr>
          <w:color w:val="000000" w:themeColor="text1"/>
          <w:szCs w:val="24"/>
        </w:rPr>
        <w:t xml:space="preserve">was </w:t>
      </w:r>
      <w:r w:rsidR="00E322F7" w:rsidRPr="00E372AD">
        <w:rPr>
          <w:color w:val="000000" w:themeColor="text1"/>
          <w:szCs w:val="24"/>
        </w:rPr>
        <w:t>an active duty</w:t>
      </w:r>
      <w:r w:rsidR="006D4E0E" w:rsidRPr="00E372AD">
        <w:rPr>
          <w:color w:val="000000" w:themeColor="text1"/>
          <w:szCs w:val="24"/>
        </w:rPr>
        <w:t xml:space="preserve"> </w:t>
      </w:r>
      <w:r w:rsidR="00E372AD" w:rsidRPr="00E372AD">
        <w:rPr>
          <w:color w:val="000000" w:themeColor="text1"/>
          <w:szCs w:val="24"/>
        </w:rPr>
        <w:t>SRA</w:t>
      </w:r>
      <w:r w:rsidR="00661BA2" w:rsidRPr="00E372AD">
        <w:rPr>
          <w:color w:val="000000" w:themeColor="text1"/>
          <w:szCs w:val="24"/>
        </w:rPr>
        <w:t>/E-</w:t>
      </w:r>
      <w:r w:rsidR="00E372AD" w:rsidRPr="00E372AD">
        <w:rPr>
          <w:color w:val="000000" w:themeColor="text1"/>
          <w:szCs w:val="24"/>
        </w:rPr>
        <w:t>4</w:t>
      </w:r>
      <w:r w:rsidR="00705C40" w:rsidRPr="00E372AD">
        <w:rPr>
          <w:color w:val="000000" w:themeColor="text1"/>
          <w:szCs w:val="24"/>
        </w:rPr>
        <w:t xml:space="preserve"> (</w:t>
      </w:r>
      <w:r w:rsidR="00E372AD" w:rsidRPr="00E372AD">
        <w:rPr>
          <w:color w:val="000000" w:themeColor="text1"/>
          <w:szCs w:val="24"/>
        </w:rPr>
        <w:t>3A051</w:t>
      </w:r>
      <w:r w:rsidR="00B74A5A">
        <w:rPr>
          <w:color w:val="000000" w:themeColor="text1"/>
          <w:szCs w:val="24"/>
        </w:rPr>
        <w:t>/</w:t>
      </w:r>
      <w:r w:rsidR="00E372AD" w:rsidRPr="00E372AD">
        <w:rPr>
          <w:color w:val="000000" w:themeColor="text1"/>
          <w:szCs w:val="24"/>
        </w:rPr>
        <w:t>Information Management Journeyman</w:t>
      </w:r>
      <w:r w:rsidR="00E322F7" w:rsidRPr="00E372AD">
        <w:rPr>
          <w:color w:val="000000" w:themeColor="text1"/>
          <w:szCs w:val="24"/>
        </w:rPr>
        <w:t>)</w:t>
      </w:r>
      <w:r w:rsidR="00C75F3D" w:rsidRPr="00E372AD">
        <w:rPr>
          <w:color w:val="000000" w:themeColor="text1"/>
          <w:szCs w:val="24"/>
        </w:rPr>
        <w:t xml:space="preserve">, </w:t>
      </w:r>
      <w:r w:rsidR="002C6E5B" w:rsidRPr="00E372AD">
        <w:rPr>
          <w:color w:val="000000" w:themeColor="text1"/>
          <w:szCs w:val="24"/>
        </w:rPr>
        <w:t xml:space="preserve">medically separated for </w:t>
      </w:r>
      <w:r w:rsidR="00B74A5A">
        <w:rPr>
          <w:color w:val="000000" w:themeColor="text1"/>
          <w:szCs w:val="24"/>
        </w:rPr>
        <w:t>diabetes m</w:t>
      </w:r>
      <w:r w:rsidR="00E372AD" w:rsidRPr="00E372AD">
        <w:rPr>
          <w:color w:val="000000" w:themeColor="text1"/>
          <w:szCs w:val="24"/>
        </w:rPr>
        <w:t xml:space="preserve">ellitus </w:t>
      </w:r>
      <w:r w:rsidR="00B74A5A">
        <w:rPr>
          <w:color w:val="000000" w:themeColor="text1"/>
          <w:szCs w:val="24"/>
        </w:rPr>
        <w:t>t</w:t>
      </w:r>
      <w:r w:rsidR="00E372AD" w:rsidRPr="00E372AD">
        <w:rPr>
          <w:color w:val="000000" w:themeColor="text1"/>
          <w:szCs w:val="24"/>
        </w:rPr>
        <w:t xml:space="preserve">ype </w:t>
      </w:r>
      <w:r w:rsidR="00CB35AF">
        <w:rPr>
          <w:color w:val="000000" w:themeColor="text1"/>
          <w:szCs w:val="24"/>
        </w:rPr>
        <w:t>I</w:t>
      </w:r>
      <w:r w:rsidR="00E372AD" w:rsidRPr="00E372AD">
        <w:rPr>
          <w:color w:val="000000" w:themeColor="text1"/>
          <w:szCs w:val="24"/>
        </w:rPr>
        <w:t xml:space="preserve"> requiring insulin.</w:t>
      </w:r>
      <w:r w:rsidR="00E27D76">
        <w:rPr>
          <w:color w:val="000000" w:themeColor="text1"/>
          <w:szCs w:val="24"/>
        </w:rPr>
        <w:t xml:space="preserve">  </w:t>
      </w:r>
      <w:r w:rsidR="00E372AD" w:rsidRPr="00E372AD">
        <w:rPr>
          <w:color w:val="000000" w:themeColor="text1"/>
          <w:szCs w:val="24"/>
        </w:rPr>
        <w:t>She</w:t>
      </w:r>
      <w:r w:rsidR="00643C8F" w:rsidRPr="00E372AD">
        <w:rPr>
          <w:color w:val="000000" w:themeColor="text1"/>
          <w:szCs w:val="24"/>
        </w:rPr>
        <w:t xml:space="preserve"> was issued a </w:t>
      </w:r>
      <w:r w:rsidR="00E372AD" w:rsidRPr="00E372AD">
        <w:rPr>
          <w:color w:val="000000" w:themeColor="text1"/>
          <w:szCs w:val="24"/>
        </w:rPr>
        <w:t>temporary</w:t>
      </w:r>
      <w:r w:rsidR="00643C8F" w:rsidRPr="00E372AD">
        <w:rPr>
          <w:color w:val="000000" w:themeColor="text1"/>
          <w:szCs w:val="24"/>
        </w:rPr>
        <w:t xml:space="preserve"> </w:t>
      </w:r>
      <w:r w:rsidR="00E372AD" w:rsidRPr="00E372AD">
        <w:rPr>
          <w:color w:val="000000" w:themeColor="text1"/>
          <w:szCs w:val="24"/>
        </w:rPr>
        <w:t>P</w:t>
      </w:r>
      <w:r w:rsidR="00643C8F" w:rsidRPr="00E372AD">
        <w:rPr>
          <w:color w:val="000000" w:themeColor="text1"/>
          <w:szCs w:val="24"/>
        </w:rPr>
        <w:t>4 profile and underwent a Medical Evaluation Board (MEB).</w:t>
      </w:r>
      <w:r w:rsidR="00E27D76">
        <w:rPr>
          <w:color w:val="000000" w:themeColor="text1"/>
          <w:szCs w:val="24"/>
        </w:rPr>
        <w:t xml:space="preserve">  </w:t>
      </w:r>
      <w:r w:rsidR="00E372AD" w:rsidRPr="00E372AD">
        <w:rPr>
          <w:color w:val="000000" w:themeColor="text1"/>
          <w:szCs w:val="24"/>
        </w:rPr>
        <w:t xml:space="preserve">Diabetes </w:t>
      </w:r>
      <w:r w:rsidR="00B74A5A">
        <w:rPr>
          <w:color w:val="000000" w:themeColor="text1"/>
          <w:szCs w:val="24"/>
        </w:rPr>
        <w:t>m</w:t>
      </w:r>
      <w:r w:rsidR="00E372AD" w:rsidRPr="00E372AD">
        <w:rPr>
          <w:color w:val="000000" w:themeColor="text1"/>
          <w:szCs w:val="24"/>
        </w:rPr>
        <w:t xml:space="preserve">ellitus </w:t>
      </w:r>
      <w:r w:rsidR="00B74A5A">
        <w:rPr>
          <w:color w:val="000000" w:themeColor="text1"/>
          <w:szCs w:val="24"/>
        </w:rPr>
        <w:t>t</w:t>
      </w:r>
      <w:r w:rsidR="00E372AD" w:rsidRPr="00E372AD">
        <w:rPr>
          <w:color w:val="000000" w:themeColor="text1"/>
          <w:szCs w:val="24"/>
        </w:rPr>
        <w:t>ype 1 was</w:t>
      </w:r>
      <w:r w:rsidR="000A33C8" w:rsidRPr="00E372AD">
        <w:rPr>
          <w:color w:val="000000" w:themeColor="text1"/>
          <w:szCs w:val="24"/>
        </w:rPr>
        <w:t xml:space="preserve"> forwarded to the Physical Evaluation Board (PEB) as medically unacceptable IAW </w:t>
      </w:r>
      <w:r w:rsidR="00376E08" w:rsidRPr="00E372AD">
        <w:rPr>
          <w:color w:val="000000" w:themeColor="text1"/>
          <w:szCs w:val="24"/>
        </w:rPr>
        <w:t>AFI 48-123.</w:t>
      </w:r>
      <w:r w:rsidR="00E27D76">
        <w:rPr>
          <w:color w:val="000000" w:themeColor="text1"/>
          <w:szCs w:val="24"/>
        </w:rPr>
        <w:t xml:space="preserve">  </w:t>
      </w:r>
      <w:r w:rsidR="001A5E62" w:rsidRPr="00E372AD">
        <w:rPr>
          <w:color w:val="000000" w:themeColor="text1"/>
          <w:szCs w:val="24"/>
        </w:rPr>
        <w:t>No other conditions appeared on the MEB’s submission.  Other conditions included in the</w:t>
      </w:r>
      <w:r w:rsidR="00DC17F2" w:rsidRPr="00E372AD">
        <w:rPr>
          <w:color w:val="000000" w:themeColor="text1"/>
          <w:szCs w:val="24"/>
        </w:rPr>
        <w:t xml:space="preserve"> </w:t>
      </w:r>
      <w:r w:rsidR="00555C66" w:rsidRPr="00E372AD">
        <w:rPr>
          <w:color w:val="000000" w:themeColor="text1"/>
          <w:szCs w:val="24"/>
        </w:rPr>
        <w:t xml:space="preserve">Disability Evaluation System (DES) </w:t>
      </w:r>
      <w:r w:rsidR="001A5E62" w:rsidRPr="00E372AD">
        <w:rPr>
          <w:color w:val="000000" w:themeColor="text1"/>
          <w:szCs w:val="24"/>
        </w:rPr>
        <w:t>packet will be discussed below.</w:t>
      </w:r>
      <w:r w:rsidR="00E27D76">
        <w:rPr>
          <w:color w:val="000000" w:themeColor="text1"/>
          <w:szCs w:val="24"/>
        </w:rPr>
        <w:t xml:space="preserve">  </w:t>
      </w:r>
      <w:r w:rsidR="00842BAA" w:rsidRPr="00E372AD">
        <w:rPr>
          <w:color w:val="000000" w:themeColor="text1"/>
          <w:szCs w:val="24"/>
        </w:rPr>
        <w:t xml:space="preserve">The PEB adjudicated the </w:t>
      </w:r>
      <w:r w:rsidR="00B74A5A">
        <w:rPr>
          <w:color w:val="000000" w:themeColor="text1"/>
          <w:szCs w:val="24"/>
        </w:rPr>
        <w:t>d</w:t>
      </w:r>
      <w:r w:rsidR="00E372AD" w:rsidRPr="00E372AD">
        <w:rPr>
          <w:color w:val="000000" w:themeColor="text1"/>
          <w:szCs w:val="24"/>
        </w:rPr>
        <w:t>iabetes</w:t>
      </w:r>
      <w:r w:rsidR="00842BAA" w:rsidRPr="00E372AD">
        <w:rPr>
          <w:color w:val="000000" w:themeColor="text1"/>
          <w:szCs w:val="24"/>
        </w:rPr>
        <w:t xml:space="preserve"> condition as unfitting, rated </w:t>
      </w:r>
      <w:r w:rsidR="00E372AD" w:rsidRPr="00E372AD">
        <w:rPr>
          <w:color w:val="000000" w:themeColor="text1"/>
          <w:szCs w:val="24"/>
        </w:rPr>
        <w:t>20</w:t>
      </w:r>
      <w:r w:rsidR="00842BAA" w:rsidRPr="00E372AD">
        <w:rPr>
          <w:color w:val="000000" w:themeColor="text1"/>
          <w:szCs w:val="24"/>
        </w:rPr>
        <w:t xml:space="preserve">% with application of the </w:t>
      </w:r>
      <w:proofErr w:type="spellStart"/>
      <w:r w:rsidR="00842BAA" w:rsidRPr="00E372AD">
        <w:rPr>
          <w:color w:val="000000" w:themeColor="text1"/>
          <w:szCs w:val="24"/>
        </w:rPr>
        <w:t>DoDI</w:t>
      </w:r>
      <w:proofErr w:type="spellEnd"/>
      <w:r w:rsidR="00842BAA" w:rsidRPr="00E372AD">
        <w:rPr>
          <w:color w:val="000000" w:themeColor="text1"/>
          <w:szCs w:val="24"/>
        </w:rPr>
        <w:t xml:space="preserve"> 1332.39 and Veterans Administration Schedule for Rating Disabilities (VASRD</w:t>
      </w:r>
      <w:r w:rsidR="00E372AD" w:rsidRPr="00E372AD">
        <w:rPr>
          <w:color w:val="000000" w:themeColor="text1"/>
          <w:szCs w:val="24"/>
        </w:rPr>
        <w:t>)</w:t>
      </w:r>
      <w:r w:rsidR="00842BAA" w:rsidRPr="00E372AD">
        <w:rPr>
          <w:color w:val="000000" w:themeColor="text1"/>
          <w:szCs w:val="24"/>
        </w:rPr>
        <w:t>.</w:t>
      </w:r>
      <w:r w:rsidR="00E27D76">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E372AD">
        <w:rPr>
          <w:color w:val="000000" w:themeColor="text1"/>
        </w:rPr>
        <w:t>20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E372AD">
        <w:rPr>
          <w:color w:val="000000" w:themeColor="text1"/>
        </w:rPr>
        <w:t xml:space="preserve">  “Disability was rated based on being Type II Diabetic.  I was diagnosed with type I.  I have been insulin dependent since the diagnosis.  My records should be reviewed due to VA rating me as 40% based on being a Type II Diabetic.  I was diagnosed as being Type I (insulin dependent) while on active duty.</w:t>
      </w:r>
      <w:r w:rsidR="00135721">
        <w:rPr>
          <w:color w:val="000000" w:themeColor="text1"/>
        </w:rPr>
        <w:t xml:space="preserve">  Please review all of my medical records for evidence of </w:t>
      </w:r>
      <w:r w:rsidR="00135721" w:rsidRPr="00135721">
        <w:rPr>
          <w:color w:val="000000" w:themeColor="text1"/>
        </w:rPr>
        <w:t>being Type I Diabetic, Hypertension and having a DVT while on active duty.</w:t>
      </w:r>
      <w:r w:rsidR="00E372AD" w:rsidRPr="00135721">
        <w:rPr>
          <w:color w:val="000000" w:themeColor="text1"/>
        </w:rPr>
        <w:t>”</w:t>
      </w:r>
      <w:r w:rsidR="00E27D76">
        <w:rPr>
          <w:color w:val="000000" w:themeColor="text1"/>
        </w:rPr>
        <w:t xml:space="preserve">  </w:t>
      </w:r>
      <w:r w:rsidR="00D54DDB" w:rsidRPr="00135721">
        <w:rPr>
          <w:rFonts w:eastAsiaTheme="minorHAnsi"/>
          <w:color w:val="000000" w:themeColor="text1"/>
          <w:szCs w:val="24"/>
        </w:rPr>
        <w:t>She</w:t>
      </w:r>
      <w:r w:rsidR="00ED5284" w:rsidRPr="00135721">
        <w:rPr>
          <w:rFonts w:eastAsiaTheme="minorHAnsi"/>
          <w:color w:val="000000" w:themeColor="text1"/>
          <w:szCs w:val="24"/>
        </w:rPr>
        <w:t xml:space="preserve"> additionally lists all of </w:t>
      </w:r>
      <w:r w:rsidR="00D86AB5" w:rsidRPr="00135721">
        <w:rPr>
          <w:rFonts w:eastAsiaTheme="minorHAnsi"/>
          <w:color w:val="000000" w:themeColor="text1"/>
          <w:szCs w:val="24"/>
        </w:rPr>
        <w:t>her</w:t>
      </w:r>
      <w:r w:rsidR="00ED5284" w:rsidRPr="00135721">
        <w:rPr>
          <w:rFonts w:eastAsiaTheme="minorHAnsi"/>
          <w:color w:val="000000" w:themeColor="text1"/>
          <w:szCs w:val="24"/>
        </w:rPr>
        <w:t xml:space="preserve"> VA</w:t>
      </w:r>
      <w:r w:rsidR="00ED5284" w:rsidRPr="001F29F9">
        <w:rPr>
          <w:rFonts w:eastAsiaTheme="minorHAnsi"/>
          <w:color w:val="000000" w:themeColor="text1"/>
          <w:szCs w:val="24"/>
        </w:rPr>
        <w:t xml:space="preserve">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135721" w:rsidRDefault="00135721"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135721">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520"/>
        <w:gridCol w:w="990"/>
        <w:gridCol w:w="720"/>
        <w:gridCol w:w="990"/>
      </w:tblGrid>
      <w:tr w:rsidR="002B4E22" w:rsidRPr="00135721"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35721" w:rsidRDefault="00B731E4" w:rsidP="00B74A5A">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Service PEB – Dated 200</w:t>
            </w:r>
            <w:r w:rsidR="00135721" w:rsidRPr="00135721">
              <w:rPr>
                <w:rFonts w:ascii="Calibri" w:hAnsi="Calibri" w:cs="Calibri"/>
                <w:b/>
                <w:color w:val="000000" w:themeColor="text1"/>
                <w:sz w:val="18"/>
                <w:szCs w:val="18"/>
              </w:rPr>
              <w:t>30305</w:t>
            </w:r>
          </w:p>
        </w:tc>
        <w:tc>
          <w:tcPr>
            <w:tcW w:w="5220" w:type="dxa"/>
            <w:gridSpan w:val="4"/>
            <w:tcBorders>
              <w:left w:val="thinThickThinSmallGap" w:sz="24" w:space="0" w:color="auto"/>
            </w:tcBorders>
            <w:shd w:val="clear" w:color="auto" w:fill="D9D9D9" w:themeFill="background1" w:themeFillShade="D9"/>
            <w:vAlign w:val="center"/>
          </w:tcPr>
          <w:p w:rsidR="002B4E22" w:rsidRPr="00135721" w:rsidRDefault="002B4E22" w:rsidP="00135721">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VA (</w:t>
            </w:r>
            <w:r w:rsidR="00135721" w:rsidRPr="00135721">
              <w:rPr>
                <w:rFonts w:ascii="Calibri" w:hAnsi="Calibri" w:cs="Calibri"/>
                <w:b/>
                <w:color w:val="000000" w:themeColor="text1"/>
                <w:sz w:val="18"/>
                <w:szCs w:val="18"/>
              </w:rPr>
              <w:t>3</w:t>
            </w:r>
            <w:r w:rsidR="0079154B" w:rsidRPr="00135721">
              <w:rPr>
                <w:rFonts w:ascii="Calibri" w:hAnsi="Calibri" w:cs="Calibri"/>
                <w:b/>
                <w:color w:val="000000" w:themeColor="text1"/>
                <w:sz w:val="18"/>
                <w:szCs w:val="18"/>
              </w:rPr>
              <w:t xml:space="preserve"> </w:t>
            </w:r>
            <w:r w:rsidRPr="00135721">
              <w:rPr>
                <w:rFonts w:ascii="Calibri" w:hAnsi="Calibri" w:cs="Calibri"/>
                <w:b/>
                <w:color w:val="000000" w:themeColor="text1"/>
                <w:sz w:val="18"/>
                <w:szCs w:val="18"/>
              </w:rPr>
              <w:t xml:space="preserve">Mo. After Separation) – All Effective Date </w:t>
            </w:r>
            <w:r w:rsidR="002D08F3" w:rsidRPr="00135721">
              <w:rPr>
                <w:rFonts w:ascii="Calibri" w:hAnsi="Calibri" w:cs="Calibri"/>
                <w:b/>
                <w:color w:val="000000" w:themeColor="text1"/>
                <w:sz w:val="18"/>
                <w:szCs w:val="18"/>
              </w:rPr>
              <w:t>200</w:t>
            </w:r>
            <w:r w:rsidR="00135721" w:rsidRPr="00135721">
              <w:rPr>
                <w:rFonts w:ascii="Calibri" w:hAnsi="Calibri" w:cs="Calibri"/>
                <w:b/>
                <w:color w:val="000000" w:themeColor="text1"/>
                <w:sz w:val="18"/>
                <w:szCs w:val="18"/>
              </w:rPr>
              <w:t>30726</w:t>
            </w:r>
          </w:p>
        </w:tc>
      </w:tr>
      <w:tr w:rsidR="002B4E22" w:rsidRPr="00135721" w:rsidTr="00E27D76">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Condition</w:t>
            </w:r>
          </w:p>
        </w:tc>
        <w:tc>
          <w:tcPr>
            <w:tcW w:w="990" w:type="dxa"/>
            <w:tcBorders>
              <w:bottom w:val="single" w:sz="4" w:space="0" w:color="000000" w:themeColor="text1"/>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35721" w:rsidRDefault="002B4E22" w:rsidP="00BF0E94">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Exam</w:t>
            </w:r>
          </w:p>
        </w:tc>
      </w:tr>
      <w:tr w:rsidR="00C03C21" w:rsidRPr="00135721" w:rsidTr="00E27D76">
        <w:trPr>
          <w:trHeight w:val="287"/>
          <w:jc w:val="center"/>
        </w:trPr>
        <w:tc>
          <w:tcPr>
            <w:tcW w:w="2178" w:type="dxa"/>
            <w:tcBorders>
              <w:right w:val="single" w:sz="4" w:space="0" w:color="auto"/>
            </w:tcBorders>
            <w:shd w:val="clear" w:color="auto" w:fill="FFFFFF" w:themeFill="background1"/>
            <w:vAlign w:val="center"/>
          </w:tcPr>
          <w:p w:rsidR="00BC5860" w:rsidRPr="00135721" w:rsidRDefault="00135721">
            <w:pPr>
              <w:spacing w:line="180" w:lineRule="exact"/>
              <w:contextualSpacing/>
              <w:jc w:val="left"/>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Diabetes Mellitus Type I</w:t>
            </w:r>
          </w:p>
        </w:tc>
        <w:tc>
          <w:tcPr>
            <w:tcW w:w="1080" w:type="dxa"/>
            <w:tcBorders>
              <w:left w:val="single" w:sz="4" w:space="0" w:color="auto"/>
            </w:tcBorders>
            <w:shd w:val="clear" w:color="auto" w:fill="FFFFFF" w:themeFill="background1"/>
            <w:vAlign w:val="center"/>
          </w:tcPr>
          <w:p w:rsidR="00BC5860" w:rsidRPr="00135721" w:rsidRDefault="00135721">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7913</w:t>
            </w:r>
          </w:p>
        </w:tc>
        <w:tc>
          <w:tcPr>
            <w:tcW w:w="900" w:type="dxa"/>
            <w:tcBorders>
              <w:right w:val="thinThickThinSmallGap" w:sz="24" w:space="0" w:color="auto"/>
            </w:tcBorders>
            <w:shd w:val="clear" w:color="auto" w:fill="FFFFFF" w:themeFill="background1"/>
            <w:vAlign w:val="center"/>
          </w:tcPr>
          <w:p w:rsidR="00BC5860" w:rsidRPr="00135721" w:rsidRDefault="00135721">
            <w:pPr>
              <w:spacing w:line="180" w:lineRule="exact"/>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20%</w:t>
            </w:r>
          </w:p>
        </w:tc>
        <w:tc>
          <w:tcPr>
            <w:tcW w:w="2520" w:type="dxa"/>
            <w:tcBorders>
              <w:left w:val="thinThickThinSmallGap" w:sz="24" w:space="0" w:color="auto"/>
            </w:tcBorders>
            <w:shd w:val="clear" w:color="auto" w:fill="FFFFFF" w:themeFill="background1"/>
            <w:vAlign w:val="center"/>
          </w:tcPr>
          <w:p w:rsidR="00BC5860" w:rsidRPr="00135721" w:rsidRDefault="00135721">
            <w:pPr>
              <w:spacing w:line="180" w:lineRule="exact"/>
              <w:contextualSpacing/>
              <w:jc w:val="left"/>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Diabetes Mellitus Type I</w:t>
            </w:r>
          </w:p>
        </w:tc>
        <w:tc>
          <w:tcPr>
            <w:tcW w:w="990" w:type="dxa"/>
            <w:shd w:val="clear" w:color="auto" w:fill="FFFFFF" w:themeFill="background1"/>
            <w:vAlign w:val="center"/>
          </w:tcPr>
          <w:p w:rsidR="00BC5860" w:rsidRPr="00135721" w:rsidRDefault="00135721">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7913</w:t>
            </w:r>
          </w:p>
        </w:tc>
        <w:tc>
          <w:tcPr>
            <w:tcW w:w="720" w:type="dxa"/>
            <w:shd w:val="clear" w:color="auto" w:fill="FFFFFF" w:themeFill="background1"/>
            <w:vAlign w:val="center"/>
          </w:tcPr>
          <w:p w:rsidR="00BC5860" w:rsidRPr="00135721" w:rsidRDefault="00135721">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20%</w:t>
            </w:r>
          </w:p>
        </w:tc>
        <w:tc>
          <w:tcPr>
            <w:tcW w:w="990" w:type="dxa"/>
            <w:shd w:val="clear" w:color="auto" w:fill="FFFFFF" w:themeFill="background1"/>
            <w:vAlign w:val="center"/>
          </w:tcPr>
          <w:p w:rsidR="00BC5860" w:rsidRPr="00135721" w:rsidRDefault="00135721">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20031029</w:t>
            </w:r>
          </w:p>
        </w:tc>
      </w:tr>
      <w:tr w:rsidR="00E27D76" w:rsidRPr="00135721" w:rsidTr="00E27D76">
        <w:trPr>
          <w:trHeight w:val="287"/>
          <w:jc w:val="center"/>
        </w:trPr>
        <w:tc>
          <w:tcPr>
            <w:tcW w:w="4158" w:type="dxa"/>
            <w:gridSpan w:val="3"/>
            <w:tcBorders>
              <w:right w:val="thinThickThinSmallGap" w:sz="24" w:space="0" w:color="auto"/>
            </w:tcBorders>
            <w:shd w:val="clear" w:color="auto" w:fill="FFFFFF" w:themeFill="background1"/>
            <w:vAlign w:val="center"/>
          </w:tcPr>
          <w:p w:rsidR="00E27D76" w:rsidRPr="00135721" w:rsidRDefault="00E27D76" w:rsidP="00E27D76">
            <w:pPr>
              <w:spacing w:line="180" w:lineRule="exact"/>
              <w:rPr>
                <w:rFonts w:cs="Calibri"/>
                <w:color w:val="000000" w:themeColor="text1"/>
                <w:sz w:val="18"/>
                <w:szCs w:val="18"/>
              </w:rPr>
            </w:pPr>
            <w:r w:rsidRPr="00135721">
              <w:rPr>
                <w:rFonts w:ascii="Calibri" w:hAnsi="Calibri" w:cs="Calibri"/>
                <w:color w:val="000000" w:themeColor="text1"/>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E27D76" w:rsidRPr="00E27D76" w:rsidRDefault="00E27D76" w:rsidP="00E27D76">
            <w:pPr>
              <w:spacing w:line="180" w:lineRule="exact"/>
              <w:contextualSpacing/>
              <w:jc w:val="left"/>
              <w:rPr>
                <w:rFonts w:ascii="Calibri" w:hAnsi="Calibri" w:cs="Calibri"/>
                <w:color w:val="000000" w:themeColor="text1"/>
                <w:sz w:val="18"/>
                <w:szCs w:val="18"/>
              </w:rPr>
            </w:pPr>
            <w:r w:rsidRPr="00135721">
              <w:rPr>
                <w:rFonts w:ascii="Calibri" w:hAnsi="Calibri" w:cs="Calibri"/>
                <w:color w:val="000000" w:themeColor="text1"/>
                <w:sz w:val="18"/>
                <w:szCs w:val="18"/>
              </w:rPr>
              <w:t>Hypertension</w:t>
            </w:r>
          </w:p>
        </w:tc>
        <w:tc>
          <w:tcPr>
            <w:tcW w:w="990" w:type="dxa"/>
            <w:tcBorders>
              <w:left w:val="single" w:sz="4" w:space="0" w:color="auto"/>
            </w:tcBorders>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7101</w:t>
            </w:r>
          </w:p>
        </w:tc>
        <w:tc>
          <w:tcPr>
            <w:tcW w:w="720" w:type="dxa"/>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10%</w:t>
            </w:r>
          </w:p>
        </w:tc>
        <w:tc>
          <w:tcPr>
            <w:tcW w:w="990" w:type="dxa"/>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20031029</w:t>
            </w:r>
          </w:p>
        </w:tc>
      </w:tr>
      <w:tr w:rsidR="00E27D76" w:rsidRPr="00135721" w:rsidTr="00E27D76">
        <w:trPr>
          <w:trHeight w:val="287"/>
          <w:jc w:val="center"/>
        </w:trPr>
        <w:tc>
          <w:tcPr>
            <w:tcW w:w="2178" w:type="dxa"/>
            <w:vMerge w:val="restart"/>
            <w:tcBorders>
              <w:right w:val="nil"/>
            </w:tcBorders>
            <w:shd w:val="clear" w:color="auto" w:fill="FFFFFF" w:themeFill="background1"/>
            <w:vAlign w:val="center"/>
          </w:tcPr>
          <w:p w:rsidR="00E27D76" w:rsidRPr="00135721" w:rsidRDefault="00E27D76" w:rsidP="00E27D76">
            <w:pPr>
              <w:spacing w:line="180" w:lineRule="exact"/>
              <w:contextualSpacing/>
              <w:jc w:val="left"/>
              <w:rPr>
                <w:rFonts w:ascii="Calibri" w:eastAsia="Times New Roman" w:hAnsi="Calibri" w:cs="Calibri"/>
                <w:color w:val="000000" w:themeColor="text1"/>
                <w:sz w:val="18"/>
                <w:szCs w:val="18"/>
              </w:rPr>
            </w:pPr>
          </w:p>
        </w:tc>
        <w:tc>
          <w:tcPr>
            <w:tcW w:w="1980" w:type="dxa"/>
            <w:gridSpan w:val="2"/>
            <w:tcBorders>
              <w:left w:val="nil"/>
              <w:bottom w:val="nil"/>
              <w:right w:val="thinThickThinSmallGap" w:sz="24" w:space="0" w:color="auto"/>
            </w:tcBorders>
            <w:shd w:val="clear" w:color="auto" w:fill="FFFFFF" w:themeFill="background1"/>
            <w:vAlign w:val="center"/>
          </w:tcPr>
          <w:p w:rsidR="00E27D76" w:rsidRPr="00135721" w:rsidRDefault="00E27D76" w:rsidP="00E27D76">
            <w:pPr>
              <w:spacing w:line="180" w:lineRule="exact"/>
              <w:contextualSpacing/>
              <w:jc w:val="left"/>
              <w:rPr>
                <w:rFonts w:ascii="Calibri" w:eastAsia="Times New Roman" w:hAnsi="Calibri"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E27D76" w:rsidRPr="00E27D76" w:rsidRDefault="00E27D76" w:rsidP="00E27D76">
            <w:pPr>
              <w:spacing w:line="180" w:lineRule="exact"/>
              <w:contextualSpacing/>
              <w:jc w:val="left"/>
              <w:rPr>
                <w:rFonts w:ascii="Calibri" w:hAnsi="Calibri" w:cs="Calibri"/>
                <w:color w:val="000000" w:themeColor="text1"/>
                <w:sz w:val="18"/>
                <w:szCs w:val="18"/>
              </w:rPr>
            </w:pPr>
            <w:proofErr w:type="spellStart"/>
            <w:r w:rsidRPr="00E27D76">
              <w:rPr>
                <w:rFonts w:ascii="Calibri" w:hAnsi="Calibri" w:cs="Calibri"/>
                <w:color w:val="000000" w:themeColor="text1"/>
                <w:sz w:val="18"/>
                <w:szCs w:val="18"/>
              </w:rPr>
              <w:t>Rt</w:t>
            </w:r>
            <w:proofErr w:type="spellEnd"/>
            <w:r w:rsidRPr="00E27D76">
              <w:rPr>
                <w:rFonts w:ascii="Calibri" w:hAnsi="Calibri" w:cs="Calibri"/>
                <w:color w:val="000000" w:themeColor="text1"/>
                <w:sz w:val="18"/>
                <w:szCs w:val="18"/>
              </w:rPr>
              <w:t xml:space="preserve"> Calf Deep Vein </w:t>
            </w:r>
            <w:r>
              <w:rPr>
                <w:rFonts w:ascii="Calibri" w:hAnsi="Calibri" w:cs="Calibri"/>
                <w:color w:val="000000" w:themeColor="text1"/>
                <w:sz w:val="18"/>
                <w:szCs w:val="18"/>
              </w:rPr>
              <w:t>T</w:t>
            </w:r>
            <w:r w:rsidRPr="00E27D76">
              <w:rPr>
                <w:rFonts w:ascii="Calibri" w:hAnsi="Calibri" w:cs="Calibri"/>
                <w:color w:val="000000" w:themeColor="text1"/>
                <w:sz w:val="18"/>
                <w:szCs w:val="18"/>
              </w:rPr>
              <w:t>hrombosis</w:t>
            </w:r>
          </w:p>
        </w:tc>
        <w:tc>
          <w:tcPr>
            <w:tcW w:w="990" w:type="dxa"/>
            <w:tcBorders>
              <w:left w:val="single" w:sz="4" w:space="0" w:color="auto"/>
            </w:tcBorders>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eastAsia="Times New Roman" w:hAnsi="Calibri" w:cs="Calibri"/>
                <w:color w:val="000000" w:themeColor="text1"/>
                <w:sz w:val="18"/>
                <w:szCs w:val="18"/>
              </w:rPr>
              <w:t>7121</w:t>
            </w:r>
          </w:p>
        </w:tc>
        <w:tc>
          <w:tcPr>
            <w:tcW w:w="720" w:type="dxa"/>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eastAsia="Times New Roman" w:hAnsi="Calibri" w:cs="Calibri"/>
                <w:color w:val="000000" w:themeColor="text1"/>
                <w:sz w:val="18"/>
                <w:szCs w:val="18"/>
              </w:rPr>
              <w:t>20031029</w:t>
            </w:r>
          </w:p>
        </w:tc>
      </w:tr>
      <w:tr w:rsidR="00E27D76" w:rsidRPr="00135721" w:rsidTr="00CD4624">
        <w:trPr>
          <w:trHeight w:val="287"/>
          <w:jc w:val="center"/>
        </w:trPr>
        <w:tc>
          <w:tcPr>
            <w:tcW w:w="2178" w:type="dxa"/>
            <w:vMerge/>
            <w:tcBorders>
              <w:bottom w:val="nil"/>
              <w:right w:val="nil"/>
            </w:tcBorders>
            <w:shd w:val="clear" w:color="auto" w:fill="FFFFFF" w:themeFill="background1"/>
            <w:vAlign w:val="center"/>
          </w:tcPr>
          <w:p w:rsidR="00E27D76" w:rsidRPr="00135721" w:rsidRDefault="00E27D76" w:rsidP="00E27D76">
            <w:pPr>
              <w:spacing w:line="180" w:lineRule="exact"/>
              <w:contextualSpacing/>
              <w:jc w:val="left"/>
              <w:rPr>
                <w:rFonts w:ascii="Calibri" w:eastAsia="Times New Roman" w:hAnsi="Calibri" w:cs="Calibri"/>
                <w:color w:val="000000" w:themeColor="text1"/>
                <w:sz w:val="18"/>
                <w:szCs w:val="18"/>
              </w:rPr>
            </w:pPr>
          </w:p>
        </w:tc>
        <w:tc>
          <w:tcPr>
            <w:tcW w:w="1980" w:type="dxa"/>
            <w:gridSpan w:val="2"/>
            <w:tcBorders>
              <w:top w:val="nil"/>
              <w:left w:val="nil"/>
              <w:bottom w:val="nil"/>
              <w:right w:val="thinThickThinSmallGap" w:sz="24" w:space="0" w:color="auto"/>
            </w:tcBorders>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E27D76" w:rsidRPr="00135721" w:rsidRDefault="00B74A5A" w:rsidP="00E27D7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1/Not Service-</w:t>
            </w:r>
            <w:r w:rsidR="00E27D76" w:rsidRPr="00135721">
              <w:rPr>
                <w:rFonts w:ascii="Calibri" w:hAnsi="Calibri" w:cs="Calibri"/>
                <w:color w:val="000000" w:themeColor="text1"/>
                <w:sz w:val="18"/>
                <w:szCs w:val="18"/>
              </w:rPr>
              <w:t>Connected x 0</w:t>
            </w:r>
          </w:p>
        </w:tc>
        <w:tc>
          <w:tcPr>
            <w:tcW w:w="990" w:type="dxa"/>
            <w:shd w:val="clear" w:color="auto" w:fill="FFFFFF" w:themeFill="background1"/>
            <w:vAlign w:val="center"/>
          </w:tcPr>
          <w:p w:rsidR="00E27D76" w:rsidRPr="00135721" w:rsidRDefault="00E27D76" w:rsidP="00E27D76">
            <w:pPr>
              <w:spacing w:line="180" w:lineRule="exact"/>
              <w:contextualSpacing/>
              <w:rPr>
                <w:rFonts w:ascii="Calibri" w:eastAsia="Times New Roman" w:hAnsi="Calibri" w:cs="Calibri"/>
                <w:color w:val="000000" w:themeColor="text1"/>
                <w:sz w:val="18"/>
                <w:szCs w:val="18"/>
              </w:rPr>
            </w:pPr>
            <w:r w:rsidRPr="00135721">
              <w:rPr>
                <w:rFonts w:ascii="Calibri" w:hAnsi="Calibri" w:cs="Calibri"/>
                <w:color w:val="000000" w:themeColor="text1"/>
                <w:sz w:val="18"/>
                <w:szCs w:val="18"/>
              </w:rPr>
              <w:t>20031029</w:t>
            </w:r>
          </w:p>
        </w:tc>
      </w:tr>
      <w:tr w:rsidR="00E27D76"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E27D76" w:rsidRPr="00135721" w:rsidRDefault="00E27D76" w:rsidP="00E27D76">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E27D76" w:rsidRPr="001F29F9" w:rsidRDefault="00E27D76" w:rsidP="00E27D76">
            <w:pPr>
              <w:contextualSpacing/>
              <w:rPr>
                <w:rFonts w:ascii="Calibri" w:hAnsi="Calibri" w:cs="Calibri"/>
                <w:b/>
                <w:color w:val="000000" w:themeColor="text1"/>
                <w:sz w:val="18"/>
                <w:szCs w:val="18"/>
              </w:rPr>
            </w:pPr>
            <w:r w:rsidRPr="00135721">
              <w:rPr>
                <w:rFonts w:ascii="Calibri" w:hAnsi="Calibri" w:cs="Calibri"/>
                <w:b/>
                <w:color w:val="000000" w:themeColor="text1"/>
                <w:sz w:val="18"/>
                <w:szCs w:val="18"/>
              </w:rPr>
              <w:t>Combined:  40%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135721" w:rsidRDefault="00135721" w:rsidP="00135721">
      <w:pPr>
        <w:jc w:val="both"/>
        <w:rPr>
          <w:color w:val="000000" w:themeColor="text1"/>
        </w:rPr>
      </w:pPr>
    </w:p>
    <w:p w:rsidR="004C60A3" w:rsidRDefault="002C6E5B" w:rsidP="00874FA5">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874FA5">
        <w:rPr>
          <w:color w:val="000000" w:themeColor="text1"/>
          <w:szCs w:val="24"/>
        </w:rPr>
        <w:t xml:space="preserve">  </w:t>
      </w:r>
      <w:r w:rsidR="00874FA5" w:rsidRPr="00A76BA0">
        <w:rPr>
          <w:rFonts w:asciiTheme="minorHAnsi" w:hAnsiTheme="minorHAnsi"/>
          <w:color w:val="auto"/>
          <w:szCs w:val="24"/>
        </w:rPr>
        <w:t xml:space="preserve">The </w:t>
      </w:r>
      <w:r w:rsidR="00B74A5A">
        <w:rPr>
          <w:rFonts w:asciiTheme="minorHAnsi" w:hAnsiTheme="minorHAnsi"/>
          <w:color w:val="auto"/>
          <w:szCs w:val="24"/>
        </w:rPr>
        <w:t>DES</w:t>
      </w:r>
      <w:r w:rsidR="00874FA5" w:rsidRPr="00A76BA0">
        <w:rPr>
          <w:rFonts w:asciiTheme="minorHAnsi" w:hAnsiTheme="minorHAnsi"/>
          <w:color w:val="auto"/>
          <w:szCs w:val="24"/>
        </w:rPr>
        <w:t xml:space="preserve"> is responsible for maintaining a fit and v</w:t>
      </w:r>
      <w:r w:rsidR="00833427">
        <w:rPr>
          <w:rFonts w:asciiTheme="minorHAnsi" w:hAnsiTheme="minorHAnsi"/>
          <w:color w:val="auto"/>
          <w:szCs w:val="24"/>
        </w:rPr>
        <w:t xml:space="preserve">ital fighting force. While the </w:t>
      </w:r>
      <w:r w:rsidR="00874FA5"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874FA5">
        <w:rPr>
          <w:rFonts w:asciiTheme="minorHAnsi" w:hAnsiTheme="minorHAnsi"/>
          <w:color w:val="auto"/>
          <w:szCs w:val="24"/>
        </w:rPr>
        <w:t xml:space="preserve">disposition.  </w:t>
      </w:r>
      <w:r w:rsidR="00B74A5A">
        <w:rPr>
          <w:rFonts w:asciiTheme="minorHAnsi" w:hAnsiTheme="minorHAnsi"/>
          <w:color w:val="auto"/>
          <w:szCs w:val="24"/>
        </w:rPr>
        <w:t xml:space="preserve">The </w:t>
      </w:r>
      <w:r w:rsidR="00874FA5"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B74A5A">
        <w:rPr>
          <w:rFonts w:asciiTheme="minorHAnsi" w:hAnsiTheme="minorHAnsi"/>
          <w:color w:val="auto"/>
          <w:szCs w:val="24"/>
        </w:rPr>
        <w:t>itions determined to be service-</w:t>
      </w:r>
      <w:r w:rsidR="00874FA5" w:rsidRPr="00F7313C">
        <w:rPr>
          <w:rFonts w:asciiTheme="minorHAnsi" w:hAnsiTheme="minorHAnsi"/>
          <w:color w:val="auto"/>
          <w:szCs w:val="24"/>
        </w:rPr>
        <w:t xml:space="preserve">connected by the </w:t>
      </w:r>
      <w:r w:rsidR="00B74A5A">
        <w:rPr>
          <w:rFonts w:asciiTheme="minorHAnsi" w:hAnsiTheme="minorHAnsi"/>
          <w:color w:val="auto"/>
          <w:szCs w:val="24"/>
        </w:rPr>
        <w:t>Department of Veterans’ Affairs (D</w:t>
      </w:r>
      <w:r w:rsidR="00874FA5" w:rsidRPr="00F7313C">
        <w:rPr>
          <w:rFonts w:asciiTheme="minorHAnsi" w:hAnsiTheme="minorHAnsi"/>
          <w:color w:val="auto"/>
          <w:szCs w:val="24"/>
        </w:rPr>
        <w:t>VA</w:t>
      </w:r>
      <w:r w:rsidR="00B74A5A">
        <w:rPr>
          <w:rFonts w:asciiTheme="minorHAnsi" w:hAnsiTheme="minorHAnsi"/>
          <w:color w:val="auto"/>
          <w:szCs w:val="24"/>
        </w:rPr>
        <w:t>)</w:t>
      </w:r>
      <w:r w:rsidR="00874FA5" w:rsidRPr="00F7313C">
        <w:rPr>
          <w:rFonts w:asciiTheme="minorHAnsi" w:hAnsiTheme="minorHAnsi"/>
          <w:color w:val="auto"/>
          <w:szCs w:val="24"/>
        </w:rPr>
        <w:t xml:space="preserve"> but not determined to be unfitting by the PEB.  </w:t>
      </w:r>
      <w:r w:rsidR="00874FA5" w:rsidRPr="00A76BA0">
        <w:rPr>
          <w:rFonts w:asciiTheme="minorHAnsi" w:hAnsiTheme="minorHAnsi"/>
          <w:color w:val="auto"/>
          <w:szCs w:val="24"/>
        </w:rPr>
        <w:t xml:space="preserve">However the </w:t>
      </w:r>
      <w:r w:rsidR="00B74A5A">
        <w:rPr>
          <w:rFonts w:asciiTheme="minorHAnsi" w:hAnsiTheme="minorHAnsi"/>
          <w:color w:val="auto"/>
          <w:szCs w:val="24"/>
        </w:rPr>
        <w:t>DVA</w:t>
      </w:r>
      <w:r w:rsidR="00874FA5" w:rsidRPr="00A76BA0">
        <w:rPr>
          <w:rFonts w:asciiTheme="minorHAnsi" w:hAnsiTheme="minorHAnsi"/>
          <w:color w:val="auto"/>
          <w:szCs w:val="24"/>
        </w:rPr>
        <w:t xml:space="preserve">, operating under a different set of laws (Title 38, United States Code), is empowered to compensate </w:t>
      </w:r>
      <w:r w:rsidR="00874FA5">
        <w:rPr>
          <w:rFonts w:asciiTheme="minorHAnsi" w:hAnsiTheme="minorHAnsi"/>
          <w:color w:val="auto"/>
          <w:szCs w:val="24"/>
        </w:rPr>
        <w:t xml:space="preserve">all </w:t>
      </w:r>
      <w:r w:rsidR="00B74A5A">
        <w:rPr>
          <w:rFonts w:asciiTheme="minorHAnsi" w:hAnsiTheme="minorHAnsi"/>
          <w:color w:val="auto"/>
          <w:szCs w:val="24"/>
        </w:rPr>
        <w:t>service-</w:t>
      </w:r>
      <w:r w:rsidR="00874FA5" w:rsidRPr="00A76BA0">
        <w:rPr>
          <w:rFonts w:asciiTheme="minorHAnsi" w:hAnsiTheme="minorHAnsi"/>
          <w:color w:val="auto"/>
          <w:szCs w:val="24"/>
        </w:rPr>
        <w:t xml:space="preserve">connected conditions and to periodically re-evaluate said conditions for the purpose of adjusting the </w:t>
      </w:r>
      <w:r w:rsidR="00B74A5A">
        <w:rPr>
          <w:rFonts w:asciiTheme="minorHAnsi" w:hAnsiTheme="minorHAnsi"/>
          <w:color w:val="auto"/>
          <w:szCs w:val="24"/>
        </w:rPr>
        <w:t>V</w:t>
      </w:r>
      <w:r w:rsidR="00874FA5" w:rsidRPr="00A76BA0">
        <w:rPr>
          <w:rFonts w:asciiTheme="minorHAnsi" w:hAnsiTheme="minorHAnsi"/>
          <w:color w:val="auto"/>
          <w:szCs w:val="24"/>
        </w:rPr>
        <w:t xml:space="preserve">eteran’s disability rating should </w:t>
      </w:r>
      <w:r w:rsidR="00B74A5A">
        <w:rPr>
          <w:rFonts w:asciiTheme="minorHAnsi" w:hAnsiTheme="minorHAnsi"/>
          <w:color w:val="auto"/>
          <w:szCs w:val="24"/>
        </w:rPr>
        <w:t>the</w:t>
      </w:r>
      <w:r w:rsidR="00874FA5" w:rsidRPr="00A76BA0">
        <w:rPr>
          <w:rFonts w:asciiTheme="minorHAnsi" w:hAnsiTheme="minorHAnsi"/>
          <w:color w:val="auto"/>
          <w:szCs w:val="24"/>
        </w:rPr>
        <w:t xml:space="preserve"> degree of impairment vary over time.</w:t>
      </w:r>
      <w:r w:rsidR="00874FA5">
        <w:rPr>
          <w:rFonts w:asciiTheme="minorHAnsi" w:hAnsiTheme="minorHAnsi"/>
          <w:color w:val="auto"/>
          <w:szCs w:val="24"/>
        </w:rPr>
        <w:t xml:space="preserve">  </w:t>
      </w:r>
      <w:r w:rsidR="00874FA5" w:rsidRPr="007B5D59">
        <w:rPr>
          <w:rFonts w:asciiTheme="minorHAnsi" w:hAnsiTheme="minorHAnsi"/>
          <w:color w:val="auto"/>
          <w:szCs w:val="24"/>
        </w:rPr>
        <w:t xml:space="preserve">The Board’s role is confined to the review of medical </w:t>
      </w:r>
      <w:r w:rsidR="00874FA5" w:rsidRPr="007B5D59">
        <w:rPr>
          <w:rFonts w:asciiTheme="minorHAnsi" w:hAnsiTheme="minorHAnsi"/>
          <w:color w:val="auto"/>
          <w:szCs w:val="24"/>
        </w:rPr>
        <w:lastRenderedPageBreak/>
        <w:t>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874FA5">
        <w:rPr>
          <w:rFonts w:asciiTheme="minorHAnsi" w:hAnsiTheme="minorHAnsi"/>
          <w:color w:val="auto"/>
          <w:szCs w:val="24"/>
        </w:rPr>
        <w:t xml:space="preserve">  </w:t>
      </w:r>
      <w:r w:rsidR="00874FA5"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874FA5" w:rsidRPr="007B5D59">
        <w:rPr>
          <w:rFonts w:asciiTheme="minorHAnsi" w:hAnsiTheme="minorHAnsi"/>
          <w:color w:val="auto"/>
          <w:szCs w:val="24"/>
        </w:rPr>
        <w:t>DoDI</w:t>
      </w:r>
      <w:proofErr w:type="spellEnd"/>
      <w:r w:rsidR="00874FA5" w:rsidRPr="007B5D59">
        <w:rPr>
          <w:rFonts w:asciiTheme="minorHAnsi" w:hAnsiTheme="minorHAnsi"/>
          <w:color w:val="auto"/>
          <w:szCs w:val="24"/>
        </w:rPr>
        <w:t xml:space="preserve"> 6040.44 “fair and equitable” standard.</w:t>
      </w:r>
      <w:r w:rsidR="00874FA5">
        <w:rPr>
          <w:rFonts w:asciiTheme="minorHAnsi" w:hAnsiTheme="minorHAnsi"/>
          <w:color w:val="auto"/>
          <w:szCs w:val="24"/>
        </w:rPr>
        <w:t xml:space="preserve">  </w:t>
      </w:r>
      <w:r w:rsidR="00874FA5" w:rsidRPr="001F5378">
        <w:rPr>
          <w:rFonts w:asciiTheme="minorHAnsi" w:hAnsiTheme="minorHAnsi"/>
          <w:color w:val="auto"/>
          <w:szCs w:val="24"/>
        </w:rPr>
        <w:t xml:space="preserve">Furthermore, a </w:t>
      </w:r>
      <w:r w:rsidR="00B74A5A">
        <w:rPr>
          <w:rFonts w:asciiTheme="minorHAnsi" w:hAnsiTheme="minorHAnsi"/>
          <w:color w:val="auto"/>
          <w:szCs w:val="24"/>
        </w:rPr>
        <w:t>“</w:t>
      </w:r>
      <w:r w:rsidR="00874FA5" w:rsidRPr="001F5378">
        <w:rPr>
          <w:rFonts w:asciiTheme="minorHAnsi" w:hAnsiTheme="minorHAnsi"/>
          <w:color w:val="auto"/>
          <w:szCs w:val="24"/>
        </w:rPr>
        <w:t>crystal ball</w:t>
      </w:r>
      <w:r w:rsidR="00B74A5A">
        <w:rPr>
          <w:rFonts w:asciiTheme="minorHAnsi" w:hAnsiTheme="minorHAnsi"/>
          <w:color w:val="auto"/>
          <w:szCs w:val="24"/>
        </w:rPr>
        <w:t>”</w:t>
      </w:r>
      <w:r w:rsidR="00874FA5" w:rsidRPr="001F5378">
        <w:rPr>
          <w:rFonts w:asciiTheme="minorHAnsi" w:hAnsiTheme="minorHAnsi"/>
          <w:color w:val="auto"/>
          <w:szCs w:val="24"/>
        </w:rPr>
        <w:t xml:space="preserve"> requirement is not imposed on the service </w:t>
      </w:r>
      <w:r w:rsidR="00B74A5A">
        <w:rPr>
          <w:rFonts w:asciiTheme="minorHAnsi" w:hAnsiTheme="minorHAnsi"/>
          <w:color w:val="auto"/>
          <w:szCs w:val="24"/>
        </w:rPr>
        <w:t>PEB’s by the Board; and, the 12-</w:t>
      </w:r>
      <w:r w:rsidR="00874FA5" w:rsidRPr="001F5378">
        <w:rPr>
          <w:rFonts w:asciiTheme="minorHAnsi" w:hAnsiTheme="minorHAnsi"/>
          <w:color w:val="auto"/>
          <w:szCs w:val="24"/>
        </w:rPr>
        <w:t xml:space="preserve">month window specified in </w:t>
      </w:r>
      <w:proofErr w:type="spellStart"/>
      <w:r w:rsidR="00874FA5" w:rsidRPr="001F5378">
        <w:rPr>
          <w:rFonts w:asciiTheme="minorHAnsi" w:hAnsiTheme="minorHAnsi"/>
          <w:color w:val="auto"/>
          <w:szCs w:val="24"/>
        </w:rPr>
        <w:t>DoDI</w:t>
      </w:r>
      <w:proofErr w:type="spellEnd"/>
      <w:r w:rsidR="00874FA5" w:rsidRPr="001F5378">
        <w:rPr>
          <w:rFonts w:asciiTheme="minorHAnsi" w:hAnsiTheme="minorHAnsi"/>
          <w:color w:val="auto"/>
          <w:szCs w:val="24"/>
        </w:rPr>
        <w:t xml:space="preserve"> 6040.44 is appropriate for rating comparisons but not for new developments after separation.</w:t>
      </w:r>
      <w:r w:rsidR="00874FA5">
        <w:rPr>
          <w:rFonts w:asciiTheme="minorHAnsi" w:hAnsiTheme="minorHAnsi"/>
          <w:color w:val="auto"/>
          <w:szCs w:val="24"/>
        </w:rPr>
        <w:t xml:space="preserve">  </w:t>
      </w:r>
    </w:p>
    <w:p w:rsidR="00874FA5" w:rsidRDefault="00874FA5" w:rsidP="00B948EC">
      <w:pPr>
        <w:jc w:val="both"/>
        <w:rPr>
          <w:rFonts w:asciiTheme="minorHAnsi" w:hAnsiTheme="minorHAnsi"/>
          <w:color w:val="auto"/>
          <w:szCs w:val="24"/>
        </w:rPr>
      </w:pPr>
    </w:p>
    <w:p w:rsidR="00E27D76" w:rsidRPr="00F6038D" w:rsidRDefault="00135721" w:rsidP="00B948EC">
      <w:pPr>
        <w:jc w:val="both"/>
        <w:rPr>
          <w:rFonts w:eastAsia="HiddenHorzOCR"/>
          <w:color w:val="000000" w:themeColor="text1"/>
          <w:szCs w:val="24"/>
        </w:rPr>
      </w:pPr>
      <w:r w:rsidRPr="00E27D76">
        <w:rPr>
          <w:color w:val="000000" w:themeColor="text1"/>
          <w:szCs w:val="24"/>
          <w:u w:val="single"/>
        </w:rPr>
        <w:t>Diabetes</w:t>
      </w:r>
      <w:r w:rsidR="0080588E" w:rsidRPr="00E27D76">
        <w:rPr>
          <w:color w:val="000000" w:themeColor="text1"/>
          <w:szCs w:val="24"/>
          <w:u w:val="single"/>
        </w:rPr>
        <w:t xml:space="preserve"> </w:t>
      </w:r>
      <w:r w:rsidR="00FB60E0">
        <w:rPr>
          <w:color w:val="000000" w:themeColor="text1"/>
          <w:szCs w:val="24"/>
          <w:u w:val="single"/>
        </w:rPr>
        <w:t>Mellitus</w:t>
      </w:r>
      <w:r w:rsidR="00E27D76">
        <w:rPr>
          <w:color w:val="000000" w:themeColor="text1"/>
          <w:szCs w:val="24"/>
          <w:u w:val="single"/>
        </w:rPr>
        <w:t xml:space="preserve"> Type I </w:t>
      </w:r>
      <w:r w:rsidR="003F2EEE" w:rsidRPr="00E27D76">
        <w:rPr>
          <w:color w:val="000000" w:themeColor="text1"/>
          <w:szCs w:val="24"/>
          <w:u w:val="single"/>
        </w:rPr>
        <w:t>Condition</w:t>
      </w:r>
      <w:r w:rsidR="003F2EEE" w:rsidRPr="00E27D76">
        <w:rPr>
          <w:color w:val="000000" w:themeColor="text1"/>
          <w:szCs w:val="24"/>
        </w:rPr>
        <w:t xml:space="preserve">.  </w:t>
      </w:r>
      <w:r w:rsidR="00874FA5">
        <w:rPr>
          <w:color w:val="000000" w:themeColor="text1"/>
          <w:szCs w:val="24"/>
        </w:rPr>
        <w:t xml:space="preserve">The CI was hospitalized in December 2002 for new onset type I diabetes mellitus and begun on insulin and diet therapy.  </w:t>
      </w:r>
      <w:r w:rsidR="00874FA5">
        <w:rPr>
          <w:rFonts w:asciiTheme="minorHAnsi" w:hAnsiTheme="minorHAnsi"/>
          <w:color w:val="auto"/>
          <w:szCs w:val="24"/>
        </w:rPr>
        <w:t xml:space="preserve">After beginning treatment, she had no further symptoms due to diabetes, and no episodes of </w:t>
      </w:r>
      <w:proofErr w:type="spellStart"/>
      <w:r w:rsidR="00874FA5">
        <w:rPr>
          <w:rFonts w:asciiTheme="minorHAnsi" w:hAnsiTheme="minorHAnsi"/>
          <w:color w:val="auto"/>
          <w:szCs w:val="24"/>
        </w:rPr>
        <w:t>ketoacidosis</w:t>
      </w:r>
      <w:proofErr w:type="spellEnd"/>
      <w:r w:rsidR="00874FA5">
        <w:rPr>
          <w:rFonts w:asciiTheme="minorHAnsi" w:hAnsiTheme="minorHAnsi"/>
          <w:color w:val="auto"/>
          <w:szCs w:val="24"/>
        </w:rPr>
        <w:t xml:space="preserve"> or hypoglycemia (low blood sugar) requiring </w:t>
      </w:r>
      <w:r w:rsidR="00874FA5" w:rsidRPr="005964FF">
        <w:rPr>
          <w:rFonts w:eastAsia="HiddenHorzOCR"/>
          <w:color w:val="000000" w:themeColor="text1"/>
          <w:szCs w:val="24"/>
        </w:rPr>
        <w:t xml:space="preserve">hospitalization.  At the time of the MEB </w:t>
      </w:r>
      <w:r w:rsidR="00B74A5A">
        <w:rPr>
          <w:rFonts w:eastAsia="HiddenHorzOCR"/>
          <w:color w:val="000000" w:themeColor="text1"/>
          <w:szCs w:val="24"/>
        </w:rPr>
        <w:t>narrative summary (</w:t>
      </w:r>
      <w:r w:rsidR="00874FA5" w:rsidRPr="005964FF">
        <w:rPr>
          <w:rFonts w:eastAsia="HiddenHorzOCR"/>
          <w:color w:val="000000" w:themeColor="text1"/>
          <w:szCs w:val="24"/>
        </w:rPr>
        <w:t>NARSUM</w:t>
      </w:r>
      <w:r w:rsidR="00B74A5A">
        <w:rPr>
          <w:rFonts w:eastAsia="HiddenHorzOCR"/>
          <w:color w:val="000000" w:themeColor="text1"/>
          <w:szCs w:val="24"/>
        </w:rPr>
        <w:t>)</w:t>
      </w:r>
      <w:r w:rsidR="00874FA5" w:rsidRPr="005964FF">
        <w:rPr>
          <w:rFonts w:eastAsia="HiddenHorzOCR"/>
          <w:color w:val="000000" w:themeColor="text1"/>
          <w:szCs w:val="24"/>
        </w:rPr>
        <w:t xml:space="preserve">, dated 12 </w:t>
      </w:r>
      <w:r w:rsidR="00FB60E0" w:rsidRPr="005964FF">
        <w:rPr>
          <w:rFonts w:eastAsia="HiddenHorzOCR"/>
          <w:color w:val="000000" w:themeColor="text1"/>
          <w:szCs w:val="24"/>
        </w:rPr>
        <w:t>February</w:t>
      </w:r>
      <w:r w:rsidR="00874FA5" w:rsidRPr="005964FF">
        <w:rPr>
          <w:rFonts w:eastAsia="HiddenHorzOCR"/>
          <w:color w:val="000000" w:themeColor="text1"/>
          <w:szCs w:val="24"/>
        </w:rPr>
        <w:t xml:space="preserve"> 2002, she was doing well and the examination was normal.  The examiner reported that there was no </w:t>
      </w:r>
      <w:r w:rsidR="00874FA5">
        <w:rPr>
          <w:rFonts w:eastAsia="HiddenHorzOCR"/>
          <w:color w:val="000000" w:themeColor="text1"/>
          <w:szCs w:val="24"/>
        </w:rPr>
        <w:t xml:space="preserve">evidence of end organ damage </w:t>
      </w:r>
      <w:r w:rsidR="00FB60E0">
        <w:rPr>
          <w:rFonts w:eastAsia="HiddenHorzOCR"/>
          <w:color w:val="000000" w:themeColor="text1"/>
          <w:szCs w:val="24"/>
        </w:rPr>
        <w:t>and</w:t>
      </w:r>
      <w:r w:rsidR="00874FA5">
        <w:rPr>
          <w:rFonts w:eastAsia="HiddenHorzOCR"/>
          <w:color w:val="000000" w:themeColor="text1"/>
          <w:szCs w:val="24"/>
        </w:rPr>
        <w:t xml:space="preserve"> the diabetes was under good control with diet and insulin. </w:t>
      </w:r>
      <w:r w:rsidR="00DD042B">
        <w:rPr>
          <w:rFonts w:eastAsia="HiddenHorzOCR"/>
          <w:color w:val="000000" w:themeColor="text1"/>
          <w:szCs w:val="24"/>
        </w:rPr>
        <w:t xml:space="preserve"> </w:t>
      </w:r>
      <w:r w:rsidR="00874FA5">
        <w:rPr>
          <w:rFonts w:eastAsia="HiddenHorzOCR"/>
          <w:color w:val="000000" w:themeColor="text1"/>
          <w:szCs w:val="24"/>
        </w:rPr>
        <w:t>Labor</w:t>
      </w:r>
      <w:r w:rsidR="00DD042B">
        <w:rPr>
          <w:rFonts w:eastAsia="HiddenHorzOCR"/>
          <w:color w:val="000000" w:themeColor="text1"/>
          <w:szCs w:val="24"/>
        </w:rPr>
        <w:t>a</w:t>
      </w:r>
      <w:r w:rsidR="00874FA5">
        <w:rPr>
          <w:rFonts w:eastAsia="HiddenHorzOCR"/>
          <w:color w:val="000000" w:themeColor="text1"/>
          <w:szCs w:val="24"/>
        </w:rPr>
        <w:t xml:space="preserve">tory testing </w:t>
      </w:r>
      <w:r w:rsidR="00833427">
        <w:rPr>
          <w:rFonts w:eastAsia="HiddenHorzOCR"/>
          <w:color w:val="000000" w:themeColor="text1"/>
          <w:szCs w:val="24"/>
        </w:rPr>
        <w:t xml:space="preserve">on </w:t>
      </w:r>
      <w:r w:rsidR="00874FA5">
        <w:rPr>
          <w:rFonts w:eastAsia="HiddenHorzOCR"/>
          <w:color w:val="000000" w:themeColor="text1"/>
          <w:szCs w:val="24"/>
        </w:rPr>
        <w:t>26 February 2003 confirmed good control.</w:t>
      </w:r>
      <w:r w:rsidR="005964FF">
        <w:rPr>
          <w:rFonts w:eastAsia="HiddenHorzOCR"/>
          <w:color w:val="000000" w:themeColor="text1"/>
          <w:szCs w:val="24"/>
        </w:rPr>
        <w:t xml:space="preserve">  </w:t>
      </w:r>
      <w:r w:rsidR="00874FA5" w:rsidRPr="005964FF">
        <w:rPr>
          <w:rFonts w:eastAsia="HiddenHorzOCR"/>
          <w:color w:val="000000" w:themeColor="text1"/>
          <w:szCs w:val="24"/>
        </w:rPr>
        <w:t>T</w:t>
      </w:r>
      <w:r w:rsidR="00874FA5">
        <w:rPr>
          <w:rFonts w:eastAsia="HiddenHorzOCR"/>
          <w:color w:val="000000" w:themeColor="text1"/>
          <w:szCs w:val="24"/>
        </w:rPr>
        <w:t xml:space="preserve">he CI experienced an episode of hypoglycemia in May 2003 when she missed a meal while traveling.  The VA </w:t>
      </w:r>
      <w:r w:rsidR="00B74A5A">
        <w:rPr>
          <w:rFonts w:eastAsia="HiddenHorzOCR"/>
          <w:color w:val="000000" w:themeColor="text1"/>
          <w:szCs w:val="24"/>
        </w:rPr>
        <w:t>C</w:t>
      </w:r>
      <w:r w:rsidR="00874FA5">
        <w:rPr>
          <w:rFonts w:eastAsia="HiddenHorzOCR"/>
          <w:color w:val="000000" w:themeColor="text1"/>
          <w:szCs w:val="24"/>
        </w:rPr>
        <w:t xml:space="preserve">ompensation and </w:t>
      </w:r>
      <w:r w:rsidR="00B74A5A">
        <w:rPr>
          <w:rFonts w:eastAsia="HiddenHorzOCR"/>
          <w:color w:val="000000" w:themeColor="text1"/>
          <w:szCs w:val="24"/>
        </w:rPr>
        <w:t>P</w:t>
      </w:r>
      <w:r w:rsidR="00874FA5">
        <w:rPr>
          <w:rFonts w:eastAsia="HiddenHorzOCR"/>
          <w:color w:val="000000" w:themeColor="text1"/>
          <w:szCs w:val="24"/>
        </w:rPr>
        <w:t xml:space="preserve">ension examination </w:t>
      </w:r>
      <w:r w:rsidR="00833427">
        <w:rPr>
          <w:rFonts w:eastAsia="HiddenHorzOCR"/>
          <w:color w:val="000000" w:themeColor="text1"/>
          <w:szCs w:val="24"/>
        </w:rPr>
        <w:t xml:space="preserve">on </w:t>
      </w:r>
      <w:r w:rsidR="00874FA5">
        <w:rPr>
          <w:rFonts w:eastAsia="HiddenHorzOCR"/>
          <w:color w:val="000000" w:themeColor="text1"/>
          <w:szCs w:val="24"/>
        </w:rPr>
        <w:t xml:space="preserve">29 October 2003, </w:t>
      </w:r>
      <w:r w:rsidR="00B74A5A">
        <w:rPr>
          <w:rFonts w:eastAsia="HiddenHorzOCR"/>
          <w:color w:val="000000" w:themeColor="text1"/>
          <w:szCs w:val="24"/>
        </w:rPr>
        <w:t>3</w:t>
      </w:r>
      <w:r w:rsidR="00874FA5">
        <w:rPr>
          <w:rFonts w:eastAsia="HiddenHorzOCR"/>
          <w:color w:val="000000" w:themeColor="text1"/>
          <w:szCs w:val="24"/>
        </w:rPr>
        <w:t xml:space="preserve"> months after separation reported similar findings and conclusions.</w:t>
      </w:r>
      <w:r w:rsidR="00B948EC">
        <w:rPr>
          <w:rFonts w:eastAsia="HiddenHorzOCR"/>
          <w:color w:val="000000" w:themeColor="text1"/>
          <w:szCs w:val="24"/>
        </w:rPr>
        <w:t xml:space="preserve">  </w:t>
      </w:r>
      <w:r w:rsidR="00B948EC" w:rsidRPr="005964FF">
        <w:rPr>
          <w:rFonts w:eastAsia="HiddenHorzOCR"/>
          <w:color w:val="000000" w:themeColor="text1"/>
          <w:szCs w:val="24"/>
        </w:rPr>
        <w:t xml:space="preserve">Both the PEB and VA assigned a 20% rating based on the respective examinations.  </w:t>
      </w:r>
      <w:r w:rsidR="00874FA5" w:rsidRPr="005964FF">
        <w:rPr>
          <w:rFonts w:eastAsia="HiddenHorzOCR"/>
          <w:color w:val="000000" w:themeColor="text1"/>
          <w:szCs w:val="24"/>
        </w:rPr>
        <w:t xml:space="preserve">An evaluation of 20% is assigned if there is a requirement for insulin or oral hypoglycemic agent, and restricted diet.  A higher evaluation of 40% is not warranted unless </w:t>
      </w:r>
      <w:proofErr w:type="gramStart"/>
      <w:r w:rsidR="00874FA5" w:rsidRPr="005964FF">
        <w:rPr>
          <w:rFonts w:eastAsia="HiddenHorzOCR"/>
          <w:color w:val="000000" w:themeColor="text1"/>
          <w:szCs w:val="24"/>
        </w:rPr>
        <w:t>regulation of activities are</w:t>
      </w:r>
      <w:proofErr w:type="gramEnd"/>
      <w:r w:rsidR="00874FA5" w:rsidRPr="005964FF">
        <w:rPr>
          <w:rFonts w:eastAsia="HiddenHorzOCR"/>
          <w:color w:val="000000" w:themeColor="text1"/>
          <w:szCs w:val="24"/>
        </w:rPr>
        <w:t xml:space="preserve"> medically required.  Because the CI’s condition required </w:t>
      </w:r>
      <w:r w:rsidR="00874FA5" w:rsidRPr="00FB60E0">
        <w:rPr>
          <w:rFonts w:eastAsia="HiddenHorzOCR"/>
          <w:color w:val="000000" w:themeColor="text1"/>
          <w:szCs w:val="24"/>
        </w:rPr>
        <w:t xml:space="preserve">insulin </w:t>
      </w:r>
      <w:r w:rsidR="00874FA5" w:rsidRPr="005964FF">
        <w:rPr>
          <w:rFonts w:eastAsia="HiddenHorzOCR"/>
          <w:color w:val="000000" w:themeColor="text1"/>
          <w:szCs w:val="24"/>
        </w:rPr>
        <w:t>as well as dietary restrictions, it met the criteria for a 20% rating.</w:t>
      </w:r>
      <w:r w:rsidR="00B948EC" w:rsidRPr="005964FF">
        <w:rPr>
          <w:rFonts w:eastAsia="HiddenHorzOCR"/>
          <w:color w:val="000000" w:themeColor="text1"/>
          <w:szCs w:val="24"/>
        </w:rPr>
        <w:t xml:space="preserve">  </w:t>
      </w:r>
      <w:r w:rsidR="00874FA5" w:rsidRPr="005964FF">
        <w:rPr>
          <w:rFonts w:eastAsia="HiddenHorzOCR"/>
          <w:color w:val="000000" w:themeColor="text1"/>
          <w:szCs w:val="24"/>
        </w:rPr>
        <w:t>The evidence at the</w:t>
      </w:r>
      <w:r w:rsidR="00874FA5" w:rsidRPr="00FB60E0">
        <w:rPr>
          <w:rFonts w:eastAsia="HiddenHorzOCR"/>
          <w:color w:val="000000" w:themeColor="text1"/>
          <w:szCs w:val="24"/>
        </w:rPr>
        <w:t xml:space="preserve"> time of separation</w:t>
      </w:r>
      <w:r w:rsidR="00874FA5" w:rsidRPr="00DF00EC">
        <w:rPr>
          <w:rFonts w:asciiTheme="minorHAnsi" w:hAnsiTheme="minorHAnsi"/>
          <w:color w:val="auto"/>
          <w:szCs w:val="24"/>
        </w:rPr>
        <w:t xml:space="preserve"> justified the 20% rating determined by the PEB and IAW VASRD §4.119.</w:t>
      </w:r>
      <w:r w:rsidR="00874FA5">
        <w:rPr>
          <w:rFonts w:asciiTheme="minorHAnsi" w:hAnsiTheme="minorHAnsi"/>
          <w:color w:val="auto"/>
          <w:szCs w:val="24"/>
        </w:rPr>
        <w:t xml:space="preserve">  </w:t>
      </w:r>
      <w:r w:rsidR="00874FA5" w:rsidRPr="00DF00EC">
        <w:rPr>
          <w:rFonts w:asciiTheme="minorHAnsi" w:hAnsiTheme="minorHAnsi"/>
          <w:color w:val="auto"/>
          <w:szCs w:val="24"/>
        </w:rPr>
        <w:t xml:space="preserve">The CI did not require medically prescribed regulation of activities necessary to justify the higher 40% rating, </w:t>
      </w:r>
      <w:r w:rsidR="00B948EC">
        <w:rPr>
          <w:rFonts w:asciiTheme="minorHAnsi" w:hAnsiTheme="minorHAnsi"/>
          <w:color w:val="auto"/>
          <w:szCs w:val="24"/>
        </w:rPr>
        <w:t>sh</w:t>
      </w:r>
      <w:r w:rsidR="00874FA5">
        <w:rPr>
          <w:rFonts w:asciiTheme="minorHAnsi" w:hAnsiTheme="minorHAnsi"/>
          <w:color w:val="auto"/>
          <w:szCs w:val="24"/>
        </w:rPr>
        <w:t xml:space="preserve">e did not require frequent visits to a diabetic care provider, </w:t>
      </w:r>
      <w:r w:rsidR="00874FA5" w:rsidRPr="00DF00EC">
        <w:rPr>
          <w:rFonts w:asciiTheme="minorHAnsi" w:hAnsiTheme="minorHAnsi"/>
          <w:color w:val="auto"/>
          <w:szCs w:val="24"/>
        </w:rPr>
        <w:t xml:space="preserve">nor were there episodes of </w:t>
      </w:r>
      <w:proofErr w:type="spellStart"/>
      <w:r w:rsidR="00874FA5" w:rsidRPr="00DF00EC">
        <w:rPr>
          <w:rFonts w:asciiTheme="minorHAnsi" w:hAnsiTheme="minorHAnsi"/>
          <w:color w:val="auto"/>
          <w:szCs w:val="24"/>
        </w:rPr>
        <w:t>ketoacidosis</w:t>
      </w:r>
      <w:proofErr w:type="spellEnd"/>
      <w:r w:rsidR="00874FA5" w:rsidRPr="00DF00EC">
        <w:rPr>
          <w:rFonts w:asciiTheme="minorHAnsi" w:hAnsiTheme="minorHAnsi"/>
          <w:color w:val="auto"/>
          <w:szCs w:val="24"/>
        </w:rPr>
        <w:t xml:space="preserve">, hypoglycemic reactions, hospitalizations or diabetic complications that could support higher ratings.  </w:t>
      </w:r>
      <w:r w:rsidR="00B948EC">
        <w:rPr>
          <w:rFonts w:asciiTheme="minorHAnsi" w:hAnsiTheme="minorHAnsi"/>
          <w:color w:val="auto"/>
          <w:szCs w:val="24"/>
        </w:rPr>
        <w:t>The CI contends her rating was based on type II diabetes rather than ty</w:t>
      </w:r>
      <w:r w:rsidR="00B74A5A">
        <w:rPr>
          <w:rFonts w:asciiTheme="minorHAnsi" w:hAnsiTheme="minorHAnsi"/>
          <w:color w:val="auto"/>
          <w:szCs w:val="24"/>
        </w:rPr>
        <w:t>pe I diabetes.  The MEB/</w:t>
      </w:r>
      <w:r w:rsidR="00B948EC">
        <w:rPr>
          <w:rFonts w:asciiTheme="minorHAnsi" w:hAnsiTheme="minorHAnsi"/>
          <w:color w:val="auto"/>
          <w:szCs w:val="24"/>
        </w:rPr>
        <w:t xml:space="preserve">PEB records show diagnosis and rating for type I diabetes.  Regardless, the same rating criteria are applied to diabetes whether it is type I or type II.  </w:t>
      </w:r>
      <w:r w:rsidR="00874FA5" w:rsidRPr="00DF00EC">
        <w:rPr>
          <w:rFonts w:asciiTheme="minorHAnsi" w:hAnsiTheme="minorHAnsi"/>
          <w:color w:val="auto"/>
          <w:szCs w:val="24"/>
        </w:rPr>
        <w:t>All evidence considered</w:t>
      </w:r>
      <w:proofErr w:type="gramStart"/>
      <w:r w:rsidR="00874FA5" w:rsidRPr="00DF00EC">
        <w:rPr>
          <w:rFonts w:asciiTheme="minorHAnsi" w:hAnsiTheme="minorHAnsi"/>
          <w:color w:val="auto"/>
          <w:szCs w:val="24"/>
        </w:rPr>
        <w:t>,</w:t>
      </w:r>
      <w:proofErr w:type="gramEnd"/>
      <w:r w:rsidR="00874FA5" w:rsidRPr="00DF00EC">
        <w:rPr>
          <w:rFonts w:asciiTheme="minorHAnsi" w:hAnsiTheme="minorHAnsi"/>
          <w:color w:val="auto"/>
          <w:szCs w:val="24"/>
        </w:rPr>
        <w:t xml:space="preserve"> there is not reasonable doubt in the CI’s favor supporting a change from the PEB’s rating decision for the diabetic condition.  </w:t>
      </w:r>
    </w:p>
    <w:p w:rsidR="00E27D76" w:rsidRPr="00F6038D" w:rsidRDefault="00E27D76" w:rsidP="002B3D25">
      <w:pPr>
        <w:jc w:val="both"/>
        <w:rPr>
          <w:rFonts w:eastAsia="HiddenHorzOCR"/>
          <w:color w:val="000000" w:themeColor="text1"/>
          <w:szCs w:val="24"/>
        </w:rPr>
      </w:pPr>
    </w:p>
    <w:p w:rsidR="002B3D25" w:rsidRDefault="00EC337D" w:rsidP="00BF0E94">
      <w:pPr>
        <w:jc w:val="both"/>
        <w:rPr>
          <w:color w:val="000000" w:themeColor="text1"/>
          <w:szCs w:val="24"/>
        </w:rPr>
      </w:pPr>
      <w:proofErr w:type="gramStart"/>
      <w:r w:rsidRPr="001F29F9">
        <w:rPr>
          <w:rFonts w:eastAsia="HiddenHorzOCR"/>
          <w:color w:val="000000" w:themeColor="text1"/>
          <w:szCs w:val="24"/>
          <w:u w:val="single"/>
        </w:rPr>
        <w:t>Other Contended Conditions</w:t>
      </w:r>
      <w:r w:rsidR="002B3D25">
        <w:rPr>
          <w:rFonts w:eastAsia="HiddenHorzOCR"/>
          <w:color w:val="000000" w:themeColor="text1"/>
          <w:szCs w:val="24"/>
          <w:u w:val="single"/>
        </w:rPr>
        <w:t>.</w:t>
      </w:r>
      <w:proofErr w:type="gramEnd"/>
      <w:r w:rsidR="002B3D25">
        <w:rPr>
          <w:rFonts w:eastAsia="HiddenHorzOCR"/>
          <w:color w:val="000000" w:themeColor="text1"/>
          <w:szCs w:val="24"/>
          <w:u w:val="single"/>
        </w:rPr>
        <w:t xml:space="preserve">  </w:t>
      </w:r>
      <w:r w:rsidRPr="001F29F9">
        <w:rPr>
          <w:rFonts w:eastAsia="HiddenHorzOCR"/>
          <w:color w:val="000000" w:themeColor="text1"/>
          <w:szCs w:val="24"/>
        </w:rPr>
        <w:t xml:space="preserve">The CI’s application asserts that compensable ratings should be considered for </w:t>
      </w:r>
      <w:r w:rsidR="00B948EC">
        <w:rPr>
          <w:rFonts w:eastAsia="HiddenHorzOCR"/>
          <w:color w:val="000000" w:themeColor="text1"/>
          <w:szCs w:val="24"/>
        </w:rPr>
        <w:t>d</w:t>
      </w:r>
      <w:r w:rsidR="00135721">
        <w:rPr>
          <w:rFonts w:eastAsia="HiddenHorzOCR"/>
          <w:color w:val="000000" w:themeColor="text1"/>
          <w:szCs w:val="24"/>
        </w:rPr>
        <w:t xml:space="preserve">eep </w:t>
      </w:r>
      <w:r w:rsidR="00B948EC">
        <w:rPr>
          <w:rFonts w:eastAsia="HiddenHorzOCR"/>
          <w:color w:val="000000" w:themeColor="text1"/>
          <w:szCs w:val="24"/>
        </w:rPr>
        <w:t>v</w:t>
      </w:r>
      <w:r w:rsidR="00135721">
        <w:rPr>
          <w:rFonts w:eastAsia="HiddenHorzOCR"/>
          <w:color w:val="000000" w:themeColor="text1"/>
          <w:szCs w:val="24"/>
        </w:rPr>
        <w:t xml:space="preserve">ein </w:t>
      </w:r>
      <w:r w:rsidR="00B948EC">
        <w:rPr>
          <w:rFonts w:eastAsia="HiddenHorzOCR"/>
          <w:color w:val="000000" w:themeColor="text1"/>
          <w:szCs w:val="24"/>
        </w:rPr>
        <w:t>t</w:t>
      </w:r>
      <w:r w:rsidR="00135721">
        <w:rPr>
          <w:rFonts w:eastAsia="HiddenHorzOCR"/>
          <w:color w:val="000000" w:themeColor="text1"/>
          <w:szCs w:val="24"/>
        </w:rPr>
        <w:t xml:space="preserve">hrombosis and </w:t>
      </w:r>
      <w:r w:rsidR="00B948EC">
        <w:rPr>
          <w:rFonts w:eastAsia="HiddenHorzOCR"/>
          <w:color w:val="000000" w:themeColor="text1"/>
          <w:szCs w:val="24"/>
        </w:rPr>
        <w:t>h</w:t>
      </w:r>
      <w:r w:rsidR="00135721">
        <w:rPr>
          <w:rFonts w:eastAsia="HiddenHorzOCR"/>
          <w:color w:val="000000" w:themeColor="text1"/>
          <w:szCs w:val="24"/>
        </w:rPr>
        <w:t>ypertension</w:t>
      </w:r>
      <w:r w:rsidRPr="001F29F9">
        <w:rPr>
          <w:rFonts w:eastAsia="HiddenHorzOCR"/>
          <w:color w:val="000000" w:themeColor="text1"/>
          <w:szCs w:val="24"/>
        </w:rPr>
        <w:t>.</w:t>
      </w:r>
      <w:r w:rsidR="00B948EC">
        <w:rPr>
          <w:rFonts w:eastAsia="HiddenHorzOCR"/>
          <w:color w:val="000000" w:themeColor="text1"/>
          <w:szCs w:val="24"/>
        </w:rPr>
        <w:t xml:space="preserve">  Following the PEB, the CI developed a deep vein </w:t>
      </w:r>
      <w:r w:rsidR="00FB60E0">
        <w:rPr>
          <w:rFonts w:eastAsia="HiddenHorzOCR"/>
          <w:color w:val="000000" w:themeColor="text1"/>
          <w:szCs w:val="24"/>
        </w:rPr>
        <w:t>thrombosis</w:t>
      </w:r>
      <w:r w:rsidR="00B948EC">
        <w:rPr>
          <w:rFonts w:eastAsia="HiddenHorzOCR"/>
          <w:color w:val="000000" w:themeColor="text1"/>
          <w:szCs w:val="24"/>
        </w:rPr>
        <w:t xml:space="preserve"> of the right calf in March 2003 treated with Coumadin.  She reported persistent pa</w:t>
      </w:r>
      <w:r w:rsidR="00833427">
        <w:rPr>
          <w:rFonts w:eastAsia="HiddenHorzOCR"/>
          <w:color w:val="000000" w:themeColor="text1"/>
          <w:szCs w:val="24"/>
        </w:rPr>
        <w:t>in in the leg diagnosed as post-</w:t>
      </w:r>
      <w:proofErr w:type="spellStart"/>
      <w:r w:rsidR="00B948EC">
        <w:rPr>
          <w:rFonts w:eastAsia="HiddenHorzOCR"/>
          <w:color w:val="000000" w:themeColor="text1"/>
          <w:szCs w:val="24"/>
        </w:rPr>
        <w:t>phlebitic</w:t>
      </w:r>
      <w:proofErr w:type="spellEnd"/>
      <w:r w:rsidR="00B948EC">
        <w:rPr>
          <w:rFonts w:eastAsia="HiddenHorzOCR"/>
          <w:color w:val="000000" w:themeColor="text1"/>
          <w:szCs w:val="24"/>
        </w:rPr>
        <w:t xml:space="preserve"> syndrome.  Examinations by her physicians in April and May 2003 documented absence of swell</w:t>
      </w:r>
      <w:r w:rsidR="00B74A5A">
        <w:rPr>
          <w:rFonts w:eastAsia="HiddenHorzOCR"/>
          <w:color w:val="000000" w:themeColor="text1"/>
          <w:szCs w:val="24"/>
        </w:rPr>
        <w:t>ing or redness, with full range-of-</w:t>
      </w:r>
      <w:r w:rsidR="00B948EC">
        <w:rPr>
          <w:rFonts w:eastAsia="HiddenHorzOCR"/>
          <w:color w:val="000000" w:themeColor="text1"/>
          <w:szCs w:val="24"/>
        </w:rPr>
        <w:t>motion</w:t>
      </w:r>
      <w:r w:rsidR="00B74A5A">
        <w:rPr>
          <w:rFonts w:eastAsia="HiddenHorzOCR"/>
          <w:color w:val="000000" w:themeColor="text1"/>
          <w:szCs w:val="24"/>
        </w:rPr>
        <w:t xml:space="preserve"> (ROM)</w:t>
      </w:r>
      <w:r w:rsidR="00B948EC">
        <w:rPr>
          <w:rFonts w:eastAsia="HiddenHorzOCR"/>
          <w:color w:val="000000" w:themeColor="text1"/>
          <w:szCs w:val="24"/>
        </w:rPr>
        <w:t>, normal strength, and intact sensation of both lower extremities.  During this time she also complained of symptoms of painful feet, ankles and shins, without trauma or apparent cause, and with similar examinations.</w:t>
      </w:r>
      <w:r w:rsidR="002B3D25">
        <w:rPr>
          <w:rFonts w:eastAsia="HiddenHorzOCR"/>
          <w:color w:val="000000" w:themeColor="text1"/>
          <w:szCs w:val="24"/>
        </w:rPr>
        <w:t xml:space="preserve">  Various diagnoses were noted including shin </w:t>
      </w:r>
      <w:r w:rsidR="00FB60E0">
        <w:rPr>
          <w:rFonts w:eastAsia="HiddenHorzOCR"/>
          <w:color w:val="000000" w:themeColor="text1"/>
          <w:szCs w:val="24"/>
        </w:rPr>
        <w:t>splints</w:t>
      </w:r>
      <w:r w:rsidR="002B3D25">
        <w:rPr>
          <w:rFonts w:eastAsia="HiddenHorzOCR"/>
          <w:color w:val="000000" w:themeColor="text1"/>
          <w:szCs w:val="24"/>
        </w:rPr>
        <w:t xml:space="preserve">, plantar fasciitis, and tendonitis. </w:t>
      </w:r>
      <w:r w:rsidR="00B948EC">
        <w:rPr>
          <w:rFonts w:eastAsia="HiddenHorzOCR"/>
          <w:color w:val="000000" w:themeColor="text1"/>
          <w:szCs w:val="24"/>
        </w:rPr>
        <w:t xml:space="preserve"> </w:t>
      </w:r>
      <w:r w:rsidR="002B3D25">
        <w:rPr>
          <w:rFonts w:eastAsia="HiddenHorzOCR"/>
          <w:color w:val="000000" w:themeColor="text1"/>
          <w:szCs w:val="24"/>
        </w:rPr>
        <w:t>At the time of the C&amp;P exam</w:t>
      </w:r>
      <w:r w:rsidR="00FB60E0">
        <w:rPr>
          <w:rFonts w:eastAsia="HiddenHorzOCR"/>
          <w:color w:val="000000" w:themeColor="text1"/>
          <w:szCs w:val="24"/>
        </w:rPr>
        <w:t>in</w:t>
      </w:r>
      <w:r w:rsidR="002B3D25">
        <w:rPr>
          <w:rFonts w:eastAsia="HiddenHorzOCR"/>
          <w:color w:val="000000" w:themeColor="text1"/>
          <w:szCs w:val="24"/>
        </w:rPr>
        <w:t xml:space="preserve">ation, </w:t>
      </w:r>
      <w:r w:rsidR="00B74A5A">
        <w:rPr>
          <w:rFonts w:eastAsia="HiddenHorzOCR"/>
          <w:color w:val="000000" w:themeColor="text1"/>
          <w:szCs w:val="24"/>
        </w:rPr>
        <w:t xml:space="preserve">on </w:t>
      </w:r>
      <w:r w:rsidR="00833427">
        <w:rPr>
          <w:rFonts w:eastAsia="HiddenHorzOCR"/>
          <w:color w:val="000000" w:themeColor="text1"/>
          <w:szCs w:val="24"/>
        </w:rPr>
        <w:t xml:space="preserve">                         </w:t>
      </w:r>
      <w:r w:rsidR="005C2165" w:rsidRPr="00F6038D">
        <w:rPr>
          <w:rFonts w:eastAsia="HiddenHorzOCR"/>
          <w:color w:val="000000" w:themeColor="text1"/>
          <w:szCs w:val="24"/>
        </w:rPr>
        <w:t>29</w:t>
      </w:r>
      <w:r w:rsidR="002B3D25">
        <w:rPr>
          <w:rFonts w:eastAsia="HiddenHorzOCR"/>
          <w:color w:val="000000" w:themeColor="text1"/>
          <w:szCs w:val="24"/>
        </w:rPr>
        <w:t xml:space="preserve"> </w:t>
      </w:r>
      <w:r w:rsidR="005C2165" w:rsidRPr="00F6038D">
        <w:rPr>
          <w:rFonts w:eastAsia="HiddenHorzOCR"/>
          <w:color w:val="000000" w:themeColor="text1"/>
          <w:szCs w:val="24"/>
        </w:rPr>
        <w:t>Oct</w:t>
      </w:r>
      <w:r w:rsidR="002B3D25">
        <w:rPr>
          <w:rFonts w:eastAsia="HiddenHorzOCR"/>
          <w:color w:val="000000" w:themeColor="text1"/>
          <w:szCs w:val="24"/>
        </w:rPr>
        <w:t>ober 20</w:t>
      </w:r>
      <w:r w:rsidR="005C2165" w:rsidRPr="00F6038D">
        <w:rPr>
          <w:rFonts w:eastAsia="HiddenHorzOCR"/>
          <w:color w:val="000000" w:themeColor="text1"/>
          <w:szCs w:val="24"/>
        </w:rPr>
        <w:t>03</w:t>
      </w:r>
      <w:r w:rsidR="002B3D25">
        <w:rPr>
          <w:rFonts w:eastAsia="HiddenHorzOCR"/>
          <w:color w:val="000000" w:themeColor="text1"/>
          <w:szCs w:val="24"/>
        </w:rPr>
        <w:t xml:space="preserve">, </w:t>
      </w:r>
      <w:r w:rsidR="00B74A5A">
        <w:rPr>
          <w:rFonts w:eastAsia="HiddenHorzOCR"/>
          <w:color w:val="000000" w:themeColor="text1"/>
          <w:szCs w:val="24"/>
        </w:rPr>
        <w:t>3</w:t>
      </w:r>
      <w:r w:rsidR="00833427">
        <w:rPr>
          <w:rFonts w:eastAsia="HiddenHorzOCR"/>
          <w:color w:val="000000" w:themeColor="text1"/>
          <w:szCs w:val="24"/>
        </w:rPr>
        <w:t xml:space="preserve"> </w:t>
      </w:r>
      <w:r w:rsidR="002B3D25">
        <w:rPr>
          <w:rFonts w:eastAsia="HiddenHorzOCR"/>
          <w:color w:val="000000" w:themeColor="text1"/>
          <w:szCs w:val="24"/>
        </w:rPr>
        <w:t>months after separation, the CI continued to experienc</w:t>
      </w:r>
      <w:r w:rsidR="00833427">
        <w:rPr>
          <w:rFonts w:eastAsia="HiddenHorzOCR"/>
          <w:color w:val="000000" w:themeColor="text1"/>
          <w:szCs w:val="24"/>
        </w:rPr>
        <w:t>e pain that was improved.  Over-the-</w:t>
      </w:r>
      <w:r w:rsidR="002B3D25">
        <w:rPr>
          <w:rFonts w:eastAsia="HiddenHorzOCR"/>
          <w:color w:val="000000" w:themeColor="text1"/>
          <w:szCs w:val="24"/>
        </w:rPr>
        <w:t xml:space="preserve">counter medication controlled the pain such that she was </w:t>
      </w:r>
      <w:r w:rsidR="005C2165">
        <w:rPr>
          <w:rFonts w:eastAsia="HiddenHorzOCR"/>
          <w:color w:val="000000" w:themeColor="text1"/>
          <w:szCs w:val="24"/>
        </w:rPr>
        <w:t>able to tolerate it.</w:t>
      </w:r>
      <w:r w:rsidR="002B3D25">
        <w:rPr>
          <w:rFonts w:eastAsia="HiddenHorzOCR"/>
          <w:color w:val="000000" w:themeColor="text1"/>
          <w:szCs w:val="24"/>
        </w:rPr>
        <w:t xml:space="preserve">  On examination there was no </w:t>
      </w:r>
      <w:r w:rsidR="005C2165">
        <w:rPr>
          <w:rFonts w:eastAsia="HiddenHorzOCR"/>
          <w:color w:val="000000" w:themeColor="text1"/>
          <w:szCs w:val="24"/>
        </w:rPr>
        <w:t xml:space="preserve">edema, strength </w:t>
      </w:r>
      <w:r w:rsidR="002B3D25">
        <w:rPr>
          <w:rFonts w:eastAsia="HiddenHorzOCR"/>
          <w:color w:val="000000" w:themeColor="text1"/>
          <w:szCs w:val="24"/>
        </w:rPr>
        <w:t>was normal</w:t>
      </w:r>
      <w:r w:rsidR="00FB60E0">
        <w:rPr>
          <w:rFonts w:eastAsia="HiddenHorzOCR"/>
          <w:color w:val="000000" w:themeColor="text1"/>
          <w:szCs w:val="24"/>
        </w:rPr>
        <w:t>,</w:t>
      </w:r>
      <w:r w:rsidR="002B3D25">
        <w:rPr>
          <w:rFonts w:eastAsia="HiddenHorzOCR"/>
          <w:color w:val="000000" w:themeColor="text1"/>
          <w:szCs w:val="24"/>
        </w:rPr>
        <w:t xml:space="preserve"> and </w:t>
      </w:r>
      <w:r w:rsidR="005C2165">
        <w:rPr>
          <w:rFonts w:eastAsia="HiddenHorzOCR"/>
          <w:color w:val="000000" w:themeColor="text1"/>
          <w:szCs w:val="24"/>
        </w:rPr>
        <w:t>sensation intact</w:t>
      </w:r>
      <w:r w:rsidR="002B3D25">
        <w:rPr>
          <w:rFonts w:eastAsia="HiddenHorzOCR"/>
          <w:color w:val="000000" w:themeColor="text1"/>
          <w:szCs w:val="24"/>
        </w:rPr>
        <w:t xml:space="preserve">.  Service treatment records indicated that her blood pressure was controlled with medication.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and considered by the Board.  There was no evidence for concluding that any of the conditions 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2B3D25" w:rsidRPr="001F29F9" w:rsidRDefault="002B3D25" w:rsidP="00BF0E94">
      <w:pPr>
        <w:jc w:val="both"/>
        <w:rPr>
          <w:color w:val="000000" w:themeColor="text1"/>
          <w:szCs w:val="24"/>
        </w:rPr>
      </w:pPr>
    </w:p>
    <w:p w:rsidR="002B3D25" w:rsidRDefault="003C5B54" w:rsidP="002B3D25">
      <w:pPr>
        <w:jc w:val="both"/>
        <w:rPr>
          <w:rFonts w:asciiTheme="minorHAnsi" w:hAnsiTheme="minorHAnsi"/>
          <w:color w:val="auto"/>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2B3D25" w:rsidRPr="001F29F9">
        <w:rPr>
          <w:color w:val="000000" w:themeColor="text1"/>
          <w:szCs w:val="24"/>
        </w:rPr>
        <w:t>No other conditions were noted in the NARSUM, identified by the CI on the MEB physical</w:t>
      </w:r>
      <w:r w:rsidR="00314A7F">
        <w:rPr>
          <w:color w:val="000000" w:themeColor="text1"/>
          <w:szCs w:val="24"/>
        </w:rPr>
        <w:t>,</w:t>
      </w:r>
      <w:r w:rsidR="002B3D25" w:rsidRPr="001F29F9">
        <w:rPr>
          <w:color w:val="000000" w:themeColor="text1"/>
          <w:szCs w:val="24"/>
        </w:rPr>
        <w:t xml:space="preserve"> or found elsewhere in the DES file.  The Board does not have the authority </w:t>
      </w:r>
      <w:r w:rsidR="002B3D25" w:rsidRPr="001F29F9">
        <w:rPr>
          <w:color w:val="000000" w:themeColor="text1"/>
          <w:szCs w:val="24"/>
        </w:rPr>
        <w:lastRenderedPageBreak/>
        <w:t xml:space="preserve">under </w:t>
      </w:r>
      <w:proofErr w:type="spellStart"/>
      <w:r w:rsidR="002B3D25" w:rsidRPr="001F29F9">
        <w:rPr>
          <w:color w:val="000000" w:themeColor="text1"/>
          <w:szCs w:val="24"/>
        </w:rPr>
        <w:t>DoDI</w:t>
      </w:r>
      <w:proofErr w:type="spellEnd"/>
      <w:r w:rsidR="002B3D25" w:rsidRPr="001F29F9">
        <w:rPr>
          <w:color w:val="000000" w:themeColor="text1"/>
          <w:szCs w:val="24"/>
        </w:rPr>
        <w:t xml:space="preserve"> 6040.44 to render fitness or rating recommendations for any conditions not considered by the DES.  The Board therefore has no reasonable basis for recommending any additional unfitting conditions for separation rating.</w:t>
      </w:r>
      <w:r w:rsidR="002B3D25">
        <w:rPr>
          <w:color w:val="000000" w:themeColor="text1"/>
          <w:szCs w:val="24"/>
        </w:rPr>
        <w:t xml:space="preserve">  </w:t>
      </w:r>
      <w:r w:rsidR="002B3D25" w:rsidRPr="001F29F9">
        <w:rPr>
          <w:color w:val="000000" w:themeColor="text1"/>
          <w:szCs w:val="24"/>
        </w:rPr>
        <w:t>N</w:t>
      </w:r>
      <w:r w:rsidR="00943426">
        <w:rPr>
          <w:color w:val="000000" w:themeColor="text1"/>
          <w:szCs w:val="24"/>
        </w:rPr>
        <w:t>o other conditions were service-</w:t>
      </w:r>
      <w:r w:rsidR="002B3D25" w:rsidRPr="001F29F9">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r w:rsidR="002B3D25">
        <w:rPr>
          <w:color w:val="000000" w:themeColor="text1"/>
          <w:szCs w:val="24"/>
        </w:rPr>
        <w:t xml:space="preserve">  </w:t>
      </w:r>
    </w:p>
    <w:p w:rsidR="002B3D25" w:rsidRPr="001F29F9" w:rsidRDefault="002B3D25"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74FA5" w:rsidRPr="00874FA5"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5964FF">
        <w:rPr>
          <w:rFonts w:eastAsiaTheme="minorHAnsi"/>
          <w:color w:val="000000" w:themeColor="text1"/>
          <w:szCs w:val="24"/>
        </w:rPr>
        <w:t xml:space="preserve">  </w:t>
      </w:r>
      <w:r w:rsidR="00874FA5" w:rsidRPr="00AE3316">
        <w:rPr>
          <w:rFonts w:asciiTheme="minorHAnsi" w:eastAsiaTheme="minorHAnsi" w:hAnsiTheme="minorHAnsi"/>
          <w:color w:val="auto"/>
          <w:szCs w:val="24"/>
        </w:rPr>
        <w:t xml:space="preserve">In the matter of the </w:t>
      </w:r>
      <w:r w:rsidR="00874FA5">
        <w:rPr>
          <w:rFonts w:asciiTheme="minorHAnsi" w:eastAsiaTheme="minorHAnsi" w:hAnsiTheme="minorHAnsi"/>
          <w:color w:val="auto"/>
          <w:szCs w:val="24"/>
        </w:rPr>
        <w:t>diabetes mellitus, type I</w:t>
      </w:r>
      <w:r w:rsidR="00874FA5" w:rsidRPr="00AE3316">
        <w:rPr>
          <w:rFonts w:asciiTheme="minorHAnsi" w:eastAsiaTheme="minorHAnsi" w:hAnsiTheme="minorHAnsi"/>
          <w:color w:val="auto"/>
          <w:szCs w:val="24"/>
        </w:rPr>
        <w:t xml:space="preserve"> condition and </w:t>
      </w:r>
      <w:r w:rsidR="00874FA5" w:rsidRPr="00381B79">
        <w:rPr>
          <w:rFonts w:asciiTheme="minorHAnsi" w:eastAsiaTheme="minorHAnsi" w:hAnsiTheme="minorHAnsi"/>
          <w:color w:val="auto"/>
          <w:szCs w:val="24"/>
        </w:rPr>
        <w:t>IAW VASRD §4.119</w:t>
      </w:r>
      <w:r w:rsidR="00874FA5" w:rsidRPr="00AE3316">
        <w:rPr>
          <w:rFonts w:asciiTheme="minorHAnsi" w:eastAsiaTheme="minorHAnsi" w:hAnsiTheme="minorHAnsi"/>
          <w:color w:val="auto"/>
          <w:szCs w:val="24"/>
        </w:rPr>
        <w:t xml:space="preserve">, the Board </w:t>
      </w:r>
      <w:r w:rsidR="00874FA5" w:rsidRPr="0078300E">
        <w:rPr>
          <w:rFonts w:asciiTheme="minorHAnsi" w:eastAsiaTheme="minorHAnsi" w:hAnsiTheme="minorHAnsi"/>
          <w:color w:val="auto"/>
          <w:szCs w:val="24"/>
        </w:rPr>
        <w:t>unanimously</w:t>
      </w:r>
      <w:r w:rsidR="00874FA5" w:rsidRPr="00AE3316">
        <w:rPr>
          <w:rFonts w:asciiTheme="minorHAnsi" w:eastAsiaTheme="minorHAnsi" w:hAnsiTheme="minorHAnsi"/>
          <w:color w:val="auto"/>
          <w:szCs w:val="24"/>
        </w:rPr>
        <w:t xml:space="preserve"> recommends no </w:t>
      </w:r>
      <w:r w:rsidR="00874FA5">
        <w:rPr>
          <w:rFonts w:asciiTheme="minorHAnsi" w:eastAsiaTheme="minorHAnsi" w:hAnsiTheme="minorHAnsi"/>
          <w:color w:val="auto"/>
          <w:szCs w:val="24"/>
        </w:rPr>
        <w:t>change in</w:t>
      </w:r>
      <w:r w:rsidR="00874FA5" w:rsidRPr="00AE3316">
        <w:rPr>
          <w:rFonts w:asciiTheme="minorHAnsi" w:eastAsiaTheme="minorHAnsi" w:hAnsiTheme="minorHAnsi"/>
          <w:color w:val="auto"/>
          <w:szCs w:val="24"/>
        </w:rPr>
        <w:t xml:space="preserve"> the PEB </w:t>
      </w:r>
      <w:r w:rsidR="00874FA5">
        <w:rPr>
          <w:rFonts w:asciiTheme="minorHAnsi" w:eastAsiaTheme="minorHAnsi" w:hAnsiTheme="minorHAnsi"/>
          <w:color w:val="auto"/>
          <w:szCs w:val="24"/>
        </w:rPr>
        <w:t>adjudication</w:t>
      </w:r>
      <w:r w:rsidR="00874FA5" w:rsidRPr="00381B79">
        <w:rPr>
          <w:rFonts w:asciiTheme="minorHAnsi" w:eastAsiaTheme="minorHAnsi" w:hAnsiTheme="minorHAnsi"/>
          <w:color w:val="auto"/>
          <w:szCs w:val="24"/>
        </w:rPr>
        <w:t>.  In the matter of contended</w:t>
      </w:r>
      <w:r w:rsidR="002B3D25">
        <w:rPr>
          <w:rFonts w:asciiTheme="minorHAnsi" w:eastAsiaTheme="minorHAnsi" w:hAnsiTheme="minorHAnsi"/>
          <w:color w:val="auto"/>
          <w:szCs w:val="24"/>
        </w:rPr>
        <w:t xml:space="preserve"> deep vein thrombosis, hypertension, or any other conditions </w:t>
      </w:r>
      <w:r w:rsidR="002B3D25" w:rsidRPr="001F5378">
        <w:rPr>
          <w:rFonts w:asciiTheme="minorHAnsi" w:hAnsiTheme="minorHAnsi"/>
          <w:color w:val="auto"/>
          <w:szCs w:val="24"/>
        </w:rPr>
        <w:t>or any other medical conditions eligible for Board consideration; the Board unanimously agrees that it cannot recommend any findings of unfit for additional rating at separation.</w:t>
      </w:r>
      <w:r w:rsidR="005964FF">
        <w:rPr>
          <w:rFonts w:asciiTheme="minorHAnsi" w:hAnsiTheme="minorHAnsi"/>
          <w:color w:val="auto"/>
          <w:szCs w:val="24"/>
        </w:rPr>
        <w:t xml:space="preserve">  </w:t>
      </w:r>
      <w:r w:rsidR="00874FA5" w:rsidRPr="00381B79">
        <w:rPr>
          <w:rFonts w:asciiTheme="minorHAnsi" w:eastAsiaTheme="minorHAnsi" w:hAnsiTheme="minorHAnsi"/>
          <w:color w:val="auto"/>
          <w:szCs w:val="24"/>
        </w:rPr>
        <w:t>The Board unanimously agrees</w:t>
      </w:r>
      <w:r w:rsidR="00874FA5" w:rsidRPr="00CD15BE">
        <w:rPr>
          <w:rFonts w:asciiTheme="minorHAnsi" w:hAnsiTheme="minorHAnsi"/>
          <w:color w:val="auto"/>
          <w:szCs w:val="24"/>
        </w:rPr>
        <w:t xml:space="preserve"> that there w</w:t>
      </w:r>
      <w:r w:rsidR="00874FA5">
        <w:rPr>
          <w:rFonts w:asciiTheme="minorHAnsi" w:hAnsiTheme="minorHAnsi"/>
          <w:color w:val="auto"/>
          <w:szCs w:val="24"/>
        </w:rPr>
        <w:t>ere</w:t>
      </w:r>
      <w:r w:rsidR="00874FA5" w:rsidRPr="00CD15BE">
        <w:rPr>
          <w:rFonts w:asciiTheme="minorHAnsi" w:hAnsiTheme="minorHAnsi"/>
          <w:color w:val="auto"/>
          <w:szCs w:val="24"/>
        </w:rPr>
        <w:t xml:space="preserve"> no other condition</w:t>
      </w:r>
      <w:r w:rsidR="00874FA5">
        <w:rPr>
          <w:rFonts w:asciiTheme="minorHAnsi" w:hAnsiTheme="minorHAnsi"/>
          <w:color w:val="auto"/>
          <w:szCs w:val="24"/>
        </w:rPr>
        <w:t>s</w:t>
      </w:r>
      <w:r w:rsidR="00874FA5" w:rsidRPr="00CD15BE">
        <w:rPr>
          <w:rFonts w:asciiTheme="minorHAnsi" w:hAnsiTheme="minorHAnsi"/>
          <w:color w:val="auto"/>
          <w:szCs w:val="24"/>
        </w:rPr>
        <w:t xml:space="preserve"> eligible for </w:t>
      </w:r>
      <w:r w:rsidR="00874FA5">
        <w:rPr>
          <w:rFonts w:asciiTheme="minorHAnsi" w:hAnsiTheme="minorHAnsi"/>
          <w:color w:val="auto"/>
          <w:szCs w:val="24"/>
        </w:rPr>
        <w:t>Board consideration</w:t>
      </w:r>
      <w:r w:rsidR="00874FA5" w:rsidRPr="00CD15BE">
        <w:rPr>
          <w:rFonts w:asciiTheme="minorHAnsi" w:hAnsiTheme="minorHAnsi"/>
          <w:color w:val="auto"/>
          <w:szCs w:val="24"/>
        </w:rPr>
        <w:t xml:space="preserve"> which </w:t>
      </w:r>
      <w:r w:rsidR="00874FA5">
        <w:rPr>
          <w:rFonts w:asciiTheme="minorHAnsi" w:hAnsiTheme="minorHAnsi"/>
          <w:color w:val="auto"/>
          <w:szCs w:val="24"/>
        </w:rPr>
        <w:t>could be recommended</w:t>
      </w:r>
      <w:r w:rsidR="00874FA5" w:rsidRPr="00CD15BE">
        <w:rPr>
          <w:rFonts w:asciiTheme="minorHAnsi" w:hAnsiTheme="minorHAnsi"/>
          <w:color w:val="auto"/>
          <w:szCs w:val="24"/>
        </w:rPr>
        <w:t xml:space="preserve"> as additionally unfitting</w:t>
      </w:r>
      <w:r w:rsidR="00874FA5">
        <w:rPr>
          <w:rFonts w:asciiTheme="minorHAnsi" w:hAnsiTheme="minorHAnsi"/>
          <w:color w:val="auto"/>
          <w:szCs w:val="24"/>
        </w:rPr>
        <w:t xml:space="preserve"> for rating at separation</w:t>
      </w:r>
      <w:r w:rsidR="00874FA5" w:rsidRPr="00CD15BE">
        <w:rPr>
          <w:rFonts w:asciiTheme="minorHAnsi" w:hAnsiTheme="minorHAnsi"/>
          <w:color w:val="auto"/>
          <w:szCs w:val="24"/>
        </w:rPr>
        <w:t>.</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A92A02" w:rsidP="006364ED">
      <w:pPr>
        <w:jc w:val="left"/>
        <w:rPr>
          <w:color w:val="000000" w:themeColor="text1"/>
          <w:szCs w:val="24"/>
        </w:rPr>
      </w:pPr>
      <w:proofErr w:type="spellStart"/>
      <w:proofErr w:type="gramStart"/>
      <w:r>
        <w:rPr>
          <w:color w:val="000000" w:themeColor="text1"/>
          <w:szCs w:val="24"/>
        </w:rPr>
        <w:t>SDi</w:t>
      </w:r>
      <w:proofErr w:type="spellEnd"/>
      <w:proofErr w:type="gramEnd"/>
    </w:p>
    <w:p w:rsidR="006B4AA2" w:rsidRPr="001F29F9" w:rsidRDefault="00C56FC8" w:rsidP="002B3D25">
      <w:pPr>
        <w:jc w:val="left"/>
        <w:rPr>
          <w:color w:val="000000" w:themeColor="text1"/>
          <w:szCs w:val="24"/>
        </w:rPr>
      </w:pPr>
      <w:r w:rsidRPr="001F29F9">
        <w:rPr>
          <w:color w:val="000000" w:themeColor="text1"/>
          <w:szCs w:val="24"/>
          <w:u w:val="single"/>
        </w:rPr>
        <w:t>RECOMMENDATION</w:t>
      </w:r>
      <w:r w:rsidRPr="001F29F9">
        <w:rPr>
          <w:color w:val="000000" w:themeColor="text1"/>
          <w:szCs w:val="24"/>
        </w:rPr>
        <w:t xml:space="preserve">: </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135721" w:rsidP="00BF0E94">
            <w:pPr>
              <w:tabs>
                <w:tab w:val="left" w:pos="288"/>
                <w:tab w:val="left" w:pos="4752"/>
              </w:tabs>
              <w:jc w:val="left"/>
              <w:rPr>
                <w:color w:val="000000" w:themeColor="text1"/>
                <w:szCs w:val="24"/>
              </w:rPr>
            </w:pPr>
            <w:r>
              <w:rPr>
                <w:color w:val="000000" w:themeColor="text1"/>
                <w:szCs w:val="24"/>
              </w:rPr>
              <w:t>Diabetes Mellitus Type I</w:t>
            </w:r>
          </w:p>
        </w:tc>
        <w:tc>
          <w:tcPr>
            <w:tcW w:w="1710" w:type="dxa"/>
            <w:vAlign w:val="center"/>
          </w:tcPr>
          <w:p w:rsidR="00A95BBA" w:rsidRPr="001F29F9" w:rsidRDefault="00135721" w:rsidP="00BF0E94">
            <w:pPr>
              <w:tabs>
                <w:tab w:val="left" w:pos="288"/>
                <w:tab w:val="left" w:pos="4752"/>
              </w:tabs>
              <w:rPr>
                <w:color w:val="000000" w:themeColor="text1"/>
                <w:szCs w:val="24"/>
              </w:rPr>
            </w:pPr>
            <w:r>
              <w:rPr>
                <w:color w:val="000000" w:themeColor="text1"/>
                <w:szCs w:val="24"/>
              </w:rPr>
              <w:t>7913</w:t>
            </w:r>
          </w:p>
        </w:tc>
        <w:tc>
          <w:tcPr>
            <w:tcW w:w="1170" w:type="dxa"/>
            <w:vAlign w:val="center"/>
          </w:tcPr>
          <w:p w:rsidR="00A95BBA" w:rsidRPr="001F29F9" w:rsidRDefault="002B3D25" w:rsidP="002B3D25">
            <w:pPr>
              <w:tabs>
                <w:tab w:val="left" w:pos="288"/>
                <w:tab w:val="left" w:pos="4752"/>
              </w:tabs>
              <w:rPr>
                <w:color w:val="000000" w:themeColor="text1"/>
                <w:szCs w:val="24"/>
              </w:rPr>
            </w:pPr>
            <w:r>
              <w:rPr>
                <w:color w:val="000000" w:themeColor="text1"/>
                <w:szCs w:val="24"/>
              </w:rPr>
              <w:t>20</w:t>
            </w:r>
            <w:r w:rsidR="00A95BBA" w:rsidRPr="001F29F9">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2B3D25" w:rsidP="002B3D25">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2B3D25" w:rsidRPr="001F29F9" w:rsidRDefault="002B3D25"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742D45">
        <w:rPr>
          <w:color w:val="000000" w:themeColor="text1"/>
          <w:szCs w:val="24"/>
        </w:rPr>
        <w:t>10625</w:t>
      </w:r>
      <w:r w:rsidR="00943426">
        <w:rPr>
          <w:color w:val="000000" w:themeColor="text1"/>
        </w:rPr>
        <w:t>, w/</w:t>
      </w:r>
      <w:proofErr w:type="spellStart"/>
      <w:r w:rsidR="00943426">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943426">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833427">
        <w:rPr>
          <w:color w:val="000000" w:themeColor="text1"/>
        </w:rPr>
        <w:t>’</w:t>
      </w:r>
      <w:r w:rsidRPr="001F29F9">
        <w:rPr>
          <w:color w:val="000000" w:themeColor="text1"/>
        </w:rPr>
        <w:t xml:space="preserve"> Affairs </w:t>
      </w:r>
      <w:r w:rsidR="00943426">
        <w:rPr>
          <w:color w:val="000000" w:themeColor="text1"/>
        </w:rPr>
        <w:t>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8C2995" w:rsidP="00BF0E94">
      <w:pPr>
        <w:tabs>
          <w:tab w:val="left" w:pos="0"/>
          <w:tab w:val="left" w:pos="4320"/>
        </w:tabs>
        <w:jc w:val="both"/>
        <w:rPr>
          <w:color w:val="000000" w:themeColor="text1"/>
          <w:szCs w:val="24"/>
        </w:rPr>
      </w:pPr>
      <w:r>
        <w:rPr>
          <w:color w:val="000000" w:themeColor="text1"/>
        </w:rPr>
        <w:t>X</w:t>
      </w:r>
    </w:p>
    <w:p w:rsidR="008C2995"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C2995" w:rsidRDefault="008C2995">
      <w:pPr>
        <w:rPr>
          <w:color w:val="000000" w:themeColor="text1"/>
          <w:szCs w:val="24"/>
        </w:rPr>
      </w:pPr>
      <w:r>
        <w:rPr>
          <w:color w:val="000000" w:themeColor="text1"/>
          <w:szCs w:val="24"/>
        </w:rPr>
        <w:br w:type="page"/>
      </w:r>
    </w:p>
    <w:p w:rsidR="008C2995" w:rsidRPr="008C2995" w:rsidRDefault="008C2995" w:rsidP="008C2995">
      <w:pPr>
        <w:tabs>
          <w:tab w:val="left" w:pos="576"/>
        </w:tabs>
        <w:ind w:right="-1080"/>
        <w:jc w:val="left"/>
        <w:rPr>
          <w:rFonts w:ascii="Times New Roman" w:hAnsi="Times New Roman" w:cs="Times New Roman"/>
          <w:color w:val="auto"/>
        </w:rPr>
      </w:pPr>
      <w:r w:rsidRPr="008C2995">
        <w:rPr>
          <w:rFonts w:ascii="Times New Roman" w:hAnsi="Times New Roman" w:cs="Times New Roman"/>
          <w:color w:val="auto"/>
        </w:rPr>
        <w:lastRenderedPageBreak/>
        <w:t>SAF/MRB</w:t>
      </w:r>
    </w:p>
    <w:p w:rsidR="008C2995" w:rsidRPr="008C2995" w:rsidRDefault="008C2995" w:rsidP="008C2995">
      <w:pPr>
        <w:tabs>
          <w:tab w:val="left" w:pos="576"/>
        </w:tabs>
        <w:ind w:right="-1080"/>
        <w:jc w:val="left"/>
        <w:rPr>
          <w:rFonts w:ascii="Times New Roman" w:hAnsi="Times New Roman" w:cs="Times New Roman"/>
          <w:color w:val="auto"/>
        </w:rPr>
      </w:pPr>
      <w:r w:rsidRPr="008C2995">
        <w:rPr>
          <w:rFonts w:ascii="Times New Roman" w:hAnsi="Times New Roman" w:cs="Times New Roman"/>
          <w:color w:val="auto"/>
        </w:rPr>
        <w:t>1500 West Perimeter Road, Suite 3700</w:t>
      </w:r>
    </w:p>
    <w:p w:rsidR="008C2995" w:rsidRPr="008C2995" w:rsidRDefault="008C2995" w:rsidP="008C2995">
      <w:pPr>
        <w:tabs>
          <w:tab w:val="left" w:pos="576"/>
        </w:tabs>
        <w:ind w:right="-1080"/>
        <w:jc w:val="left"/>
        <w:rPr>
          <w:rFonts w:ascii="Times New Roman" w:hAnsi="Times New Roman" w:cs="Times New Roman"/>
          <w:color w:val="auto"/>
        </w:rPr>
      </w:pPr>
      <w:r w:rsidRPr="008C2995">
        <w:rPr>
          <w:rFonts w:ascii="Times New Roman" w:hAnsi="Times New Roman" w:cs="Times New Roman"/>
          <w:color w:val="auto"/>
        </w:rPr>
        <w:t>Joint Base Andrews MD  20762</w:t>
      </w:r>
    </w:p>
    <w:p w:rsidR="008C2995" w:rsidRPr="008C2995" w:rsidRDefault="008C2995" w:rsidP="008C2995">
      <w:pPr>
        <w:tabs>
          <w:tab w:val="left" w:pos="576"/>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r>
        <w:rPr>
          <w:rFonts w:ascii="Times New Roman" w:hAnsi="Times New Roman" w:cs="Times New Roman"/>
          <w:bCs/>
          <w:color w:val="auto"/>
        </w:rPr>
        <w:t>X</w:t>
      </w: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r w:rsidRPr="008C2995">
        <w:rPr>
          <w:rFonts w:ascii="Times New Roman" w:hAnsi="Times New Roman" w:cs="Times New Roman"/>
          <w:color w:val="auto"/>
        </w:rPr>
        <w:t xml:space="preserve">Dear </w:t>
      </w:r>
      <w:r>
        <w:rPr>
          <w:rFonts w:ascii="Times New Roman" w:hAnsi="Times New Roman" w:cs="Times New Roman"/>
          <w:color w:val="auto"/>
        </w:rPr>
        <w:t>X</w:t>
      </w: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360"/>
        <w:jc w:val="left"/>
        <w:rPr>
          <w:rFonts w:ascii="Times New Roman" w:hAnsi="Times New Roman" w:cs="Times New Roman"/>
          <w:color w:val="auto"/>
        </w:rPr>
      </w:pPr>
      <w:r w:rsidRPr="008C2995">
        <w:rPr>
          <w:rFonts w:ascii="Times New Roman" w:hAnsi="Times New Roman" w:cs="Times New Roman"/>
          <w:color w:val="auto"/>
        </w:rPr>
        <w:tab/>
        <w:t xml:space="preserve">Reference your application submitted under the provisions of </w:t>
      </w:r>
      <w:proofErr w:type="spellStart"/>
      <w:r w:rsidRPr="008C2995">
        <w:rPr>
          <w:rFonts w:ascii="Times New Roman" w:hAnsi="Times New Roman" w:cs="Times New Roman"/>
          <w:color w:val="auto"/>
        </w:rPr>
        <w:t>DoDI</w:t>
      </w:r>
      <w:proofErr w:type="spellEnd"/>
      <w:r w:rsidRPr="008C2995">
        <w:rPr>
          <w:rFonts w:ascii="Times New Roman" w:hAnsi="Times New Roman" w:cs="Times New Roman"/>
          <w:color w:val="auto"/>
        </w:rPr>
        <w:t xml:space="preserve"> 6040.44 (Title 10 U.S.C. §</w:t>
      </w:r>
      <w:proofErr w:type="gramStart"/>
      <w:r w:rsidRPr="008C2995">
        <w:rPr>
          <w:rFonts w:ascii="Times New Roman" w:hAnsi="Times New Roman" w:cs="Times New Roman"/>
          <w:color w:val="auto"/>
        </w:rPr>
        <w:t>  1554a</w:t>
      </w:r>
      <w:proofErr w:type="gramEnd"/>
      <w:r w:rsidRPr="008C2995">
        <w:rPr>
          <w:rFonts w:ascii="Times New Roman" w:hAnsi="Times New Roman" w:cs="Times New Roman"/>
          <w:color w:val="auto"/>
        </w:rPr>
        <w:t>), PDBR Case Number PD-2011-00474</w:t>
      </w: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360"/>
        <w:jc w:val="left"/>
        <w:rPr>
          <w:rFonts w:ascii="Times New Roman" w:hAnsi="Times New Roman" w:cs="Times New Roman"/>
          <w:color w:val="auto"/>
        </w:rPr>
      </w:pPr>
      <w:r w:rsidRPr="008C2995">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jc w:val="left"/>
        <w:rPr>
          <w:rFonts w:ascii="Times New Roman" w:hAnsi="Times New Roman" w:cs="Times New Roman"/>
          <w:color w:val="auto"/>
        </w:rPr>
      </w:pPr>
      <w:r w:rsidRPr="008C2995">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C2995" w:rsidRPr="008C2995" w:rsidRDefault="008C2995" w:rsidP="008C2995">
      <w:pPr>
        <w:tabs>
          <w:tab w:val="left" w:pos="720"/>
        </w:tabs>
        <w:ind w:right="-36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r w:rsidRPr="008C2995">
        <w:rPr>
          <w:rFonts w:ascii="Times New Roman" w:hAnsi="Times New Roman" w:cs="Times New Roman"/>
          <w:color w:val="auto"/>
        </w:rPr>
        <w:tab/>
      </w:r>
      <w:r w:rsidRPr="008C2995">
        <w:rPr>
          <w:rFonts w:ascii="Times New Roman" w:hAnsi="Times New Roman" w:cs="Times New Roman"/>
          <w:color w:val="auto"/>
        </w:rPr>
        <w:tab/>
      </w:r>
      <w:r w:rsidRPr="008C2995">
        <w:rPr>
          <w:rFonts w:ascii="Times New Roman" w:hAnsi="Times New Roman" w:cs="Times New Roman"/>
          <w:color w:val="auto"/>
        </w:rPr>
        <w:tab/>
      </w:r>
      <w:r w:rsidRPr="008C2995">
        <w:rPr>
          <w:rFonts w:ascii="Times New Roman" w:hAnsi="Times New Roman" w:cs="Times New Roman"/>
          <w:color w:val="auto"/>
        </w:rPr>
        <w:tab/>
      </w:r>
      <w:r w:rsidRPr="008C2995">
        <w:rPr>
          <w:rFonts w:ascii="Times New Roman" w:hAnsi="Times New Roman" w:cs="Times New Roman"/>
          <w:color w:val="auto"/>
        </w:rPr>
        <w:tab/>
      </w:r>
      <w:r w:rsidRPr="008C2995">
        <w:rPr>
          <w:rFonts w:ascii="Times New Roman" w:hAnsi="Times New Roman" w:cs="Times New Roman"/>
          <w:color w:val="auto"/>
        </w:rPr>
        <w:tab/>
      </w:r>
      <w:r w:rsidRPr="008C2995">
        <w:rPr>
          <w:rFonts w:ascii="Times New Roman" w:hAnsi="Times New Roman" w:cs="Times New Roman"/>
          <w:color w:val="auto"/>
        </w:rPr>
        <w:tab/>
        <w:t>Sincerely,</w:t>
      </w: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X</w:t>
      </w:r>
    </w:p>
    <w:p w:rsidR="008C2995" w:rsidRPr="008C2995" w:rsidRDefault="008C2995" w:rsidP="008C2995">
      <w:pPr>
        <w:tabs>
          <w:tab w:val="left" w:pos="720"/>
        </w:tabs>
        <w:ind w:left="5040" w:right="-1080"/>
        <w:jc w:val="left"/>
        <w:rPr>
          <w:rFonts w:ascii="Times New Roman" w:hAnsi="Times New Roman" w:cs="Times New Roman"/>
          <w:color w:val="auto"/>
        </w:rPr>
      </w:pPr>
      <w:r w:rsidRPr="008C2995">
        <w:rPr>
          <w:rFonts w:ascii="Times New Roman" w:hAnsi="Times New Roman" w:cs="Times New Roman"/>
          <w:color w:val="auto"/>
        </w:rPr>
        <w:t>Director</w:t>
      </w:r>
    </w:p>
    <w:p w:rsidR="008C2995" w:rsidRPr="008C2995" w:rsidRDefault="008C2995" w:rsidP="008C2995">
      <w:pPr>
        <w:tabs>
          <w:tab w:val="left" w:pos="720"/>
        </w:tabs>
        <w:ind w:left="5040" w:right="-1080"/>
        <w:jc w:val="left"/>
        <w:rPr>
          <w:rFonts w:ascii="Times New Roman" w:hAnsi="Times New Roman" w:cs="Times New Roman"/>
          <w:color w:val="auto"/>
        </w:rPr>
      </w:pPr>
      <w:r w:rsidRPr="008C2995">
        <w:rPr>
          <w:rFonts w:ascii="Times New Roman" w:hAnsi="Times New Roman" w:cs="Times New Roman"/>
          <w:color w:val="auto"/>
        </w:rPr>
        <w:t>Air Force Review Boards Agency</w:t>
      </w:r>
    </w:p>
    <w:p w:rsidR="008C2995" w:rsidRPr="008C2995" w:rsidRDefault="008C2995" w:rsidP="008C2995">
      <w:pPr>
        <w:tabs>
          <w:tab w:val="left" w:pos="720"/>
        </w:tabs>
        <w:ind w:right="-1080"/>
        <w:jc w:val="left"/>
        <w:rPr>
          <w:rFonts w:ascii="Times New Roman" w:hAnsi="Times New Roman" w:cs="Times New Roman"/>
          <w:color w:val="auto"/>
        </w:rPr>
      </w:pPr>
    </w:p>
    <w:p w:rsidR="008C2995" w:rsidRPr="008C2995" w:rsidRDefault="008C2995" w:rsidP="008C2995">
      <w:pPr>
        <w:tabs>
          <w:tab w:val="left" w:pos="720"/>
        </w:tabs>
        <w:ind w:right="-1080"/>
        <w:jc w:val="left"/>
        <w:rPr>
          <w:rFonts w:ascii="Times New Roman" w:hAnsi="Times New Roman" w:cs="Times New Roman"/>
          <w:color w:val="auto"/>
        </w:rPr>
      </w:pPr>
      <w:r w:rsidRPr="008C2995">
        <w:rPr>
          <w:rFonts w:ascii="Times New Roman" w:hAnsi="Times New Roman" w:cs="Times New Roman"/>
          <w:color w:val="auto"/>
        </w:rPr>
        <w:t>Attachment:</w:t>
      </w:r>
    </w:p>
    <w:p w:rsidR="008C2995" w:rsidRPr="008C2995" w:rsidRDefault="008C2995" w:rsidP="008C2995">
      <w:pPr>
        <w:tabs>
          <w:tab w:val="left" w:pos="720"/>
        </w:tabs>
        <w:ind w:right="-1080"/>
        <w:jc w:val="left"/>
        <w:rPr>
          <w:rFonts w:ascii="Times New Roman" w:hAnsi="Times New Roman" w:cs="Times New Roman"/>
          <w:color w:val="auto"/>
        </w:rPr>
      </w:pPr>
      <w:r w:rsidRPr="008C2995">
        <w:rPr>
          <w:rFonts w:ascii="Times New Roman" w:hAnsi="Times New Roman" w:cs="Times New Roman"/>
          <w:color w:val="auto"/>
        </w:rPr>
        <w:t>Record of Proceedings</w:t>
      </w:r>
    </w:p>
    <w:p w:rsidR="00E3077F" w:rsidRPr="001F29F9" w:rsidRDefault="00E3077F" w:rsidP="00BF0E94">
      <w:pPr>
        <w:tabs>
          <w:tab w:val="left" w:pos="0"/>
          <w:tab w:val="left" w:pos="4320"/>
        </w:tabs>
        <w:jc w:val="both"/>
        <w:rPr>
          <w:color w:val="000000" w:themeColor="text1"/>
          <w:szCs w:val="24"/>
        </w:rPr>
      </w:pPr>
    </w:p>
    <w:p w:rsidR="00E27D76" w:rsidRDefault="00E27D76" w:rsidP="00E27D76">
      <w:pPr>
        <w:jc w:val="both"/>
        <w:rPr>
          <w:color w:val="000000" w:themeColor="text1"/>
          <w:szCs w:val="24"/>
          <w:u w:val="single"/>
        </w:rPr>
      </w:pPr>
    </w:p>
    <w:p w:rsidR="00C520CF" w:rsidRDefault="00C520CF" w:rsidP="005964FF">
      <w:pPr>
        <w:jc w:val="both"/>
        <w:rPr>
          <w:color w:val="000000" w:themeColor="text1"/>
          <w:szCs w:val="24"/>
          <w:u w:val="single"/>
        </w:rPr>
      </w:pPr>
    </w:p>
    <w:sectPr w:rsidR="00C520C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85D" w:rsidRDefault="0050285D">
      <w:r>
        <w:separator/>
      </w:r>
    </w:p>
  </w:endnote>
  <w:endnote w:type="continuationSeparator" w:id="0">
    <w:p w:rsidR="0050285D" w:rsidRDefault="00502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948EC" w:rsidRPr="00374247" w:rsidRDefault="00B948EC" w:rsidP="00374247">
        <w:pPr>
          <w:pStyle w:val="Footer"/>
          <w:ind w:firstLine="4320"/>
          <w:rPr>
            <w:color w:val="auto"/>
            <w:szCs w:val="24"/>
          </w:rPr>
        </w:pPr>
        <w:r w:rsidRPr="00374247">
          <w:rPr>
            <w:color w:val="auto"/>
            <w:szCs w:val="24"/>
          </w:rPr>
          <w:t xml:space="preserve">   </w:t>
        </w:r>
        <w:r w:rsidR="00E51F48" w:rsidRPr="00374247">
          <w:rPr>
            <w:color w:val="auto"/>
            <w:szCs w:val="24"/>
          </w:rPr>
          <w:fldChar w:fldCharType="begin"/>
        </w:r>
        <w:r w:rsidRPr="00374247">
          <w:rPr>
            <w:color w:val="auto"/>
            <w:szCs w:val="24"/>
          </w:rPr>
          <w:instrText xml:space="preserve"> PAGE   \* MERGEFORMAT </w:instrText>
        </w:r>
        <w:r w:rsidR="00E51F48" w:rsidRPr="00374247">
          <w:rPr>
            <w:color w:val="auto"/>
            <w:szCs w:val="24"/>
          </w:rPr>
          <w:fldChar w:fldCharType="separate"/>
        </w:r>
        <w:r w:rsidR="008C2995" w:rsidRPr="008C2995">
          <w:rPr>
            <w:noProof/>
            <w:color w:val="auto"/>
          </w:rPr>
          <w:t>3</w:t>
        </w:r>
        <w:r w:rsidR="00E51F48" w:rsidRPr="00374247">
          <w:rPr>
            <w:color w:val="auto"/>
            <w:szCs w:val="24"/>
          </w:rPr>
          <w:fldChar w:fldCharType="end"/>
        </w:r>
        <w:r w:rsidRPr="00374247">
          <w:rPr>
            <w:color w:val="auto"/>
            <w:szCs w:val="24"/>
          </w:rPr>
          <w:t xml:space="preserve">                                                           </w:t>
        </w:r>
        <w:r w:rsidRPr="001D64F3">
          <w:rPr>
            <w:color w:val="auto"/>
            <w:szCs w:val="24"/>
          </w:rPr>
          <w:t>P</w:t>
        </w:r>
        <w:r w:rsidRPr="00135721">
          <w:rPr>
            <w:color w:val="auto"/>
            <w:szCs w:val="24"/>
          </w:rPr>
          <w:t>D110</w:t>
        </w:r>
        <w:r w:rsidRPr="001D64F3">
          <w:rPr>
            <w:color w:val="auto"/>
            <w:szCs w:val="24"/>
          </w:rPr>
          <w:t>0</w:t>
        </w:r>
        <w:r>
          <w:rPr>
            <w:color w:val="auto"/>
            <w:szCs w:val="24"/>
          </w:rPr>
          <w:t>474</w:t>
        </w:r>
      </w:p>
    </w:sdtContent>
  </w:sdt>
  <w:p w:rsidR="00B948EC" w:rsidRPr="00684CE6" w:rsidRDefault="00B948E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85D" w:rsidRDefault="0050285D">
      <w:r>
        <w:separator/>
      </w:r>
    </w:p>
  </w:footnote>
  <w:footnote w:type="continuationSeparator" w:id="0">
    <w:p w:rsidR="0050285D" w:rsidRDefault="00502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4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16C"/>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1FB"/>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E01"/>
    <w:rsid w:val="001211AF"/>
    <w:rsid w:val="001215DF"/>
    <w:rsid w:val="001219DF"/>
    <w:rsid w:val="0012220B"/>
    <w:rsid w:val="00122ABE"/>
    <w:rsid w:val="001231DC"/>
    <w:rsid w:val="0012453A"/>
    <w:rsid w:val="0012489B"/>
    <w:rsid w:val="001272AE"/>
    <w:rsid w:val="00130756"/>
    <w:rsid w:val="001315DD"/>
    <w:rsid w:val="0013525F"/>
    <w:rsid w:val="00135385"/>
    <w:rsid w:val="00135721"/>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83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8BF"/>
    <w:rsid w:val="00260B9A"/>
    <w:rsid w:val="0026106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D25"/>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4A7F"/>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7E"/>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6E9B"/>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2D59"/>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285D"/>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64FF"/>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566"/>
    <w:rsid w:val="005C16F3"/>
    <w:rsid w:val="005C2165"/>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79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F84"/>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D45"/>
    <w:rsid w:val="00743B71"/>
    <w:rsid w:val="00743C2D"/>
    <w:rsid w:val="00743C3A"/>
    <w:rsid w:val="00743E36"/>
    <w:rsid w:val="00743F05"/>
    <w:rsid w:val="007441C1"/>
    <w:rsid w:val="007446F7"/>
    <w:rsid w:val="00744EBB"/>
    <w:rsid w:val="00745B0A"/>
    <w:rsid w:val="00745DBE"/>
    <w:rsid w:val="007468AC"/>
    <w:rsid w:val="00746AE2"/>
    <w:rsid w:val="00747375"/>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967"/>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427"/>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FA5"/>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704"/>
    <w:rsid w:val="008B1B11"/>
    <w:rsid w:val="008B1DF4"/>
    <w:rsid w:val="008B27FD"/>
    <w:rsid w:val="008B2FDB"/>
    <w:rsid w:val="008B3AF2"/>
    <w:rsid w:val="008B446D"/>
    <w:rsid w:val="008B515D"/>
    <w:rsid w:val="008B5D31"/>
    <w:rsid w:val="008B6705"/>
    <w:rsid w:val="008C22F3"/>
    <w:rsid w:val="008C2995"/>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406"/>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3426"/>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62C"/>
    <w:rsid w:val="009F3B63"/>
    <w:rsid w:val="009F43E2"/>
    <w:rsid w:val="009F6292"/>
    <w:rsid w:val="009F7809"/>
    <w:rsid w:val="009F7822"/>
    <w:rsid w:val="009F7AF5"/>
    <w:rsid w:val="00A00613"/>
    <w:rsid w:val="00A006F1"/>
    <w:rsid w:val="00A007A7"/>
    <w:rsid w:val="00A00B09"/>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2A02"/>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59E"/>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A88"/>
    <w:rsid w:val="00AF5BB4"/>
    <w:rsid w:val="00AF6ECC"/>
    <w:rsid w:val="00B02145"/>
    <w:rsid w:val="00B022DC"/>
    <w:rsid w:val="00B04562"/>
    <w:rsid w:val="00B0472F"/>
    <w:rsid w:val="00B05BF6"/>
    <w:rsid w:val="00B06930"/>
    <w:rsid w:val="00B0773A"/>
    <w:rsid w:val="00B07955"/>
    <w:rsid w:val="00B1176B"/>
    <w:rsid w:val="00B140B8"/>
    <w:rsid w:val="00B14FAA"/>
    <w:rsid w:val="00B15BED"/>
    <w:rsid w:val="00B15D30"/>
    <w:rsid w:val="00B15F09"/>
    <w:rsid w:val="00B16D18"/>
    <w:rsid w:val="00B177DE"/>
    <w:rsid w:val="00B20624"/>
    <w:rsid w:val="00B21F2F"/>
    <w:rsid w:val="00B23140"/>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A5A"/>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48EC"/>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0CF"/>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27F8"/>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5AF"/>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624"/>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042B"/>
    <w:rsid w:val="00DD2766"/>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27D76"/>
    <w:rsid w:val="00E3077F"/>
    <w:rsid w:val="00E322F7"/>
    <w:rsid w:val="00E3369B"/>
    <w:rsid w:val="00E362D2"/>
    <w:rsid w:val="00E36D76"/>
    <w:rsid w:val="00E372AD"/>
    <w:rsid w:val="00E40478"/>
    <w:rsid w:val="00E405EA"/>
    <w:rsid w:val="00E408B7"/>
    <w:rsid w:val="00E412EB"/>
    <w:rsid w:val="00E41637"/>
    <w:rsid w:val="00E42789"/>
    <w:rsid w:val="00E43F59"/>
    <w:rsid w:val="00E464F0"/>
    <w:rsid w:val="00E46EF3"/>
    <w:rsid w:val="00E47370"/>
    <w:rsid w:val="00E473E9"/>
    <w:rsid w:val="00E47B47"/>
    <w:rsid w:val="00E50BEB"/>
    <w:rsid w:val="00E51F48"/>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72F"/>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38D"/>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0E0"/>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CA9B-9CC9-49A2-85AB-8B83017B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2012-05-01T15:27:00Z</cp:lastPrinted>
  <dcterms:created xsi:type="dcterms:W3CDTF">2012-04-30T12:02:00Z</dcterms:created>
  <dcterms:modified xsi:type="dcterms:W3CDTF">2012-05-17T20:44:00Z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