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E0346A" w:rsidRPr="0066791D" w:rsidRDefault="00F629C0" w:rsidP="00E0346A">
      <w:pPr>
        <w:tabs>
          <w:tab w:val="left" w:pos="288"/>
          <w:tab w:val="left" w:pos="4752"/>
          <w:tab w:val="left" w:pos="5130"/>
          <w:tab w:val="left" w:pos="9270"/>
        </w:tabs>
        <w:spacing w:line="240" w:lineRule="exact"/>
        <w:jc w:val="both"/>
        <w:rPr>
          <w:caps/>
          <w:color w:val="auto"/>
        </w:rPr>
      </w:pPr>
      <w:r w:rsidRPr="00FD6C41">
        <w:rPr>
          <w:caps/>
          <w:color w:val="auto"/>
        </w:rPr>
        <w:t xml:space="preserve">NAME: </w:t>
      </w:r>
      <w:r>
        <w:rPr>
          <w:caps/>
          <w:color w:val="auto"/>
        </w:rPr>
        <w:t xml:space="preserve"> </w:t>
      </w:r>
      <w:r w:rsidR="00077F4B">
        <w:rPr>
          <w:caps/>
          <w:color w:val="auto"/>
        </w:rPr>
        <w:t>XXXXXXXXXXXX</w:t>
      </w:r>
      <w:r w:rsidR="007317D3">
        <w:rPr>
          <w:caps/>
          <w:color w:val="auto"/>
        </w:rPr>
        <w:t xml:space="preserve">          </w:t>
      </w:r>
      <w:r w:rsidR="007317D3">
        <w:rPr>
          <w:caps/>
          <w:color w:val="auto"/>
        </w:rPr>
        <w:tab/>
      </w:r>
      <w:r w:rsidR="007317D3">
        <w:rPr>
          <w:caps/>
          <w:color w:val="auto"/>
        </w:rPr>
        <w:tab/>
        <w:t xml:space="preserve">                      </w:t>
      </w:r>
      <w:r w:rsidRPr="0066791D">
        <w:rPr>
          <w:caps/>
          <w:color w:val="auto"/>
        </w:rPr>
        <w:t xml:space="preserve">BRANCH OF SERVICE: </w:t>
      </w:r>
      <w:r w:rsidR="004C24C5" w:rsidRPr="0066791D">
        <w:rPr>
          <w:caps/>
          <w:color w:val="auto"/>
        </w:rPr>
        <w:t xml:space="preserve"> </w:t>
      </w:r>
      <w:r w:rsidR="00FC6B51">
        <w:rPr>
          <w:caps/>
          <w:color w:val="auto"/>
        </w:rPr>
        <w:t>Army</w:t>
      </w:r>
    </w:p>
    <w:p w:rsidR="00DE3AAD" w:rsidRDefault="00012733" w:rsidP="00E0346A">
      <w:pPr>
        <w:tabs>
          <w:tab w:val="left" w:pos="288"/>
          <w:tab w:val="left" w:pos="4752"/>
          <w:tab w:val="left" w:pos="5130"/>
          <w:tab w:val="left" w:pos="9270"/>
        </w:tabs>
        <w:spacing w:line="240" w:lineRule="exact"/>
        <w:jc w:val="both"/>
        <w:rPr>
          <w:caps/>
          <w:color w:val="auto"/>
        </w:rPr>
      </w:pPr>
      <w:r w:rsidRPr="0066791D">
        <w:rPr>
          <w:caps/>
          <w:color w:val="auto"/>
        </w:rPr>
        <w:t>C</w:t>
      </w:r>
      <w:r w:rsidR="00DE3AAD" w:rsidRPr="0066791D">
        <w:rPr>
          <w:caps/>
          <w:color w:val="auto"/>
        </w:rPr>
        <w:t>ASE NUMBER:  PD</w:t>
      </w:r>
      <w:r w:rsidR="0066791D" w:rsidRPr="0066791D">
        <w:rPr>
          <w:caps/>
          <w:color w:val="auto"/>
        </w:rPr>
        <w:t>11</w:t>
      </w:r>
      <w:r w:rsidR="00DE3AAD" w:rsidRPr="0066791D">
        <w:rPr>
          <w:caps/>
          <w:color w:val="auto"/>
        </w:rPr>
        <w:t>00</w:t>
      </w:r>
      <w:r w:rsidR="0066791D" w:rsidRPr="0066791D">
        <w:rPr>
          <w:caps/>
          <w:color w:val="auto"/>
        </w:rPr>
        <w:t>470</w:t>
      </w:r>
      <w:r w:rsidR="007317D3">
        <w:rPr>
          <w:color w:val="auto"/>
        </w:rPr>
        <w:tab/>
        <w:t xml:space="preserve">    </w:t>
      </w:r>
      <w:r w:rsidR="00FC6B51">
        <w:rPr>
          <w:color w:val="auto"/>
        </w:rPr>
        <w:t>DATE OF PLACEMENT ON TDRL</w:t>
      </w:r>
      <w:r w:rsidR="00DE3AAD" w:rsidRPr="00DE3AAD">
        <w:rPr>
          <w:color w:val="auto"/>
        </w:rPr>
        <w:t>:  200</w:t>
      </w:r>
      <w:r w:rsidR="0066791D">
        <w:rPr>
          <w:color w:val="auto"/>
        </w:rPr>
        <w:t>30725</w:t>
      </w:r>
    </w:p>
    <w:p w:rsidR="004F3639" w:rsidRPr="00474B12" w:rsidRDefault="004F3639" w:rsidP="00510F9C">
      <w:pPr>
        <w:tabs>
          <w:tab w:val="left" w:pos="288"/>
          <w:tab w:val="left" w:pos="5130"/>
        </w:tabs>
        <w:spacing w:line="240" w:lineRule="exact"/>
        <w:jc w:val="both"/>
        <w:rPr>
          <w:color w:val="auto"/>
        </w:rPr>
      </w:pPr>
      <w:r w:rsidRPr="00FD6C41">
        <w:rPr>
          <w:caps/>
          <w:color w:val="auto"/>
        </w:rPr>
        <w:t xml:space="preserve">BOARD DATE: </w:t>
      </w:r>
      <w:r>
        <w:rPr>
          <w:caps/>
          <w:color w:val="auto"/>
        </w:rPr>
        <w:t xml:space="preserve"> </w:t>
      </w:r>
      <w:r w:rsidR="00584642">
        <w:rPr>
          <w:caps/>
          <w:color w:val="auto"/>
        </w:rPr>
        <w:t>2012</w:t>
      </w:r>
      <w:r w:rsidR="007317D3">
        <w:rPr>
          <w:caps/>
          <w:color w:val="auto"/>
        </w:rPr>
        <w:t>0305</w:t>
      </w:r>
      <w:r w:rsidR="00106B3C">
        <w:rPr>
          <w:caps/>
          <w:color w:val="auto"/>
        </w:rPr>
        <w:t xml:space="preserve">                              </w:t>
      </w:r>
      <w:r w:rsidR="007B3B9A">
        <w:rPr>
          <w:caps/>
          <w:color w:val="auto"/>
        </w:rPr>
        <w:t xml:space="preserve">Date </w:t>
      </w:r>
      <w:r w:rsidR="00FC6B51">
        <w:rPr>
          <w:caps/>
          <w:color w:val="auto"/>
        </w:rPr>
        <w:t>Finalized from TDRL/</w:t>
      </w:r>
      <w:r w:rsidR="00FC6B51" w:rsidRPr="00474B12">
        <w:rPr>
          <w:caps/>
          <w:color w:val="auto"/>
        </w:rPr>
        <w:t>Final</w:t>
      </w:r>
      <w:r w:rsidR="00723055" w:rsidRPr="00474B12">
        <w:rPr>
          <w:caps/>
          <w:color w:val="auto"/>
        </w:rPr>
        <w:t xml:space="preserve"> </w:t>
      </w:r>
      <w:r w:rsidR="00FC6B51" w:rsidRPr="00474B12">
        <w:rPr>
          <w:caps/>
          <w:color w:val="auto"/>
        </w:rPr>
        <w:t xml:space="preserve">SEP:  </w:t>
      </w:r>
      <w:r w:rsidR="00723055" w:rsidRPr="00474B12">
        <w:rPr>
          <w:caps/>
          <w:color w:val="auto"/>
        </w:rPr>
        <w:t>200</w:t>
      </w:r>
      <w:r w:rsidR="0032481D" w:rsidRPr="00474B12">
        <w:rPr>
          <w:caps/>
          <w:color w:val="auto"/>
        </w:rPr>
        <w:t>4</w:t>
      </w:r>
      <w:r w:rsidR="00A24B1C" w:rsidRPr="00474B12">
        <w:rPr>
          <w:caps/>
          <w:color w:val="auto"/>
        </w:rPr>
        <w:t>1105</w:t>
      </w:r>
    </w:p>
    <w:p w:rsidR="008E0D8F" w:rsidRPr="00474B12" w:rsidRDefault="008E0D8F" w:rsidP="00510F9C">
      <w:pPr>
        <w:pBdr>
          <w:bottom w:val="single" w:sz="12" w:space="1" w:color="auto"/>
        </w:pBdr>
        <w:tabs>
          <w:tab w:val="left" w:pos="288"/>
          <w:tab w:val="left" w:pos="4752"/>
        </w:tabs>
        <w:spacing w:line="240" w:lineRule="exact"/>
        <w:jc w:val="both"/>
        <w:rPr>
          <w:color w:val="auto"/>
          <w:u w:val="single"/>
        </w:rPr>
      </w:pPr>
    </w:p>
    <w:p w:rsidR="00FF4C90" w:rsidRPr="00474B12" w:rsidRDefault="00FF4C90" w:rsidP="00FF4C90">
      <w:pPr>
        <w:tabs>
          <w:tab w:val="left" w:pos="288"/>
          <w:tab w:val="left" w:pos="4752"/>
        </w:tabs>
        <w:spacing w:line="240" w:lineRule="exact"/>
        <w:jc w:val="both"/>
        <w:rPr>
          <w:color w:val="auto"/>
        </w:rPr>
      </w:pPr>
    </w:p>
    <w:p w:rsidR="002F2981" w:rsidRPr="00E203EE" w:rsidRDefault="00FB0E80" w:rsidP="00510F9C">
      <w:pPr>
        <w:tabs>
          <w:tab w:val="left" w:pos="288"/>
          <w:tab w:val="left" w:pos="4752"/>
        </w:tabs>
        <w:spacing w:line="240" w:lineRule="exact"/>
        <w:jc w:val="both"/>
        <w:rPr>
          <w:color w:val="auto"/>
          <w:szCs w:val="24"/>
        </w:rPr>
      </w:pPr>
      <w:r w:rsidRPr="00474B12">
        <w:rPr>
          <w:color w:val="auto"/>
          <w:u w:val="single"/>
        </w:rPr>
        <w:t>SUMMARY OF CASE</w:t>
      </w:r>
      <w:r w:rsidRPr="00474B12">
        <w:rPr>
          <w:color w:val="auto"/>
        </w:rPr>
        <w:t xml:space="preserve">:  </w:t>
      </w:r>
      <w:r w:rsidR="009759C2" w:rsidRPr="00474B12">
        <w:rPr>
          <w:color w:val="auto"/>
        </w:rPr>
        <w:t>Data extracted from the available evidence of record reflects that this covered individual (CI)</w:t>
      </w:r>
      <w:r w:rsidR="00570754" w:rsidRPr="00474B12">
        <w:rPr>
          <w:color w:val="auto"/>
        </w:rPr>
        <w:t xml:space="preserve"> </w:t>
      </w:r>
      <w:r w:rsidR="002C6E5B" w:rsidRPr="00474B12">
        <w:rPr>
          <w:color w:val="auto"/>
          <w:szCs w:val="24"/>
        </w:rPr>
        <w:t xml:space="preserve">was </w:t>
      </w:r>
      <w:r w:rsidR="00E322F7" w:rsidRPr="00474B12">
        <w:rPr>
          <w:color w:val="auto"/>
          <w:szCs w:val="24"/>
        </w:rPr>
        <w:t>an active duty</w:t>
      </w:r>
      <w:r w:rsidR="002E65E6" w:rsidRPr="00474B12">
        <w:rPr>
          <w:color w:val="auto"/>
          <w:szCs w:val="24"/>
        </w:rPr>
        <w:t xml:space="preserve"> member,</w:t>
      </w:r>
      <w:r w:rsidR="006D4E0E" w:rsidRPr="00474B12">
        <w:rPr>
          <w:color w:val="auto"/>
          <w:szCs w:val="24"/>
        </w:rPr>
        <w:t xml:space="preserve"> </w:t>
      </w:r>
      <w:r w:rsidR="001B48BF" w:rsidRPr="00474B12">
        <w:rPr>
          <w:color w:val="auto"/>
          <w:szCs w:val="24"/>
        </w:rPr>
        <w:t>SPC/E-4</w:t>
      </w:r>
      <w:r w:rsidR="00705C40" w:rsidRPr="00474B12">
        <w:rPr>
          <w:color w:val="auto"/>
          <w:szCs w:val="24"/>
        </w:rPr>
        <w:t xml:space="preserve"> (</w:t>
      </w:r>
      <w:r w:rsidR="001B48BF" w:rsidRPr="00474B12">
        <w:rPr>
          <w:color w:val="auto"/>
          <w:szCs w:val="24"/>
        </w:rPr>
        <w:t>97E, Intelligence Co</w:t>
      </w:r>
      <w:r w:rsidR="00106B3C" w:rsidRPr="00474B12">
        <w:rPr>
          <w:color w:val="auto"/>
          <w:szCs w:val="24"/>
        </w:rPr>
        <w:t>ll</w:t>
      </w:r>
      <w:r w:rsidR="001B48BF" w:rsidRPr="00474B12">
        <w:rPr>
          <w:color w:val="auto"/>
          <w:szCs w:val="24"/>
        </w:rPr>
        <w:t>ector</w:t>
      </w:r>
      <w:r w:rsidR="00E322F7" w:rsidRPr="00474B12">
        <w:rPr>
          <w:color w:val="auto"/>
          <w:szCs w:val="24"/>
        </w:rPr>
        <w:t>)</w:t>
      </w:r>
      <w:r w:rsidR="00C75F3D" w:rsidRPr="00474B12">
        <w:rPr>
          <w:color w:val="auto"/>
          <w:szCs w:val="24"/>
        </w:rPr>
        <w:t xml:space="preserve">, </w:t>
      </w:r>
      <w:r w:rsidR="002C6E5B" w:rsidRPr="00474B12">
        <w:rPr>
          <w:color w:val="auto"/>
          <w:szCs w:val="24"/>
        </w:rPr>
        <w:t>medically separated fo</w:t>
      </w:r>
      <w:r w:rsidR="001B48BF" w:rsidRPr="00474B12">
        <w:rPr>
          <w:color w:val="auto"/>
          <w:szCs w:val="24"/>
        </w:rPr>
        <w:t xml:space="preserve">r migraine and mixed type headaches.  </w:t>
      </w:r>
      <w:r w:rsidR="00505D29" w:rsidRPr="00474B12">
        <w:rPr>
          <w:color w:val="auto"/>
          <w:szCs w:val="24"/>
        </w:rPr>
        <w:t>The CI developed recurrent</w:t>
      </w:r>
      <w:r w:rsidR="00505D29" w:rsidRPr="004E091C">
        <w:rPr>
          <w:color w:val="auto"/>
          <w:szCs w:val="24"/>
        </w:rPr>
        <w:t xml:space="preserve"> headaches without aura</w:t>
      </w:r>
      <w:r w:rsidR="00DC77B0" w:rsidRPr="004E091C">
        <w:rPr>
          <w:color w:val="auto"/>
          <w:szCs w:val="24"/>
        </w:rPr>
        <w:t xml:space="preserve"> </w:t>
      </w:r>
      <w:r w:rsidR="00505D29" w:rsidRPr="004E091C">
        <w:rPr>
          <w:color w:val="auto"/>
          <w:szCs w:val="24"/>
        </w:rPr>
        <w:t xml:space="preserve">in </w:t>
      </w:r>
      <w:r w:rsidR="00DC77B0" w:rsidRPr="004E091C">
        <w:rPr>
          <w:color w:val="auto"/>
          <w:szCs w:val="24"/>
        </w:rPr>
        <w:t xml:space="preserve">November 2001.  </w:t>
      </w:r>
      <w:r w:rsidR="00F276CA" w:rsidRPr="004E091C">
        <w:rPr>
          <w:color w:val="auto"/>
          <w:szCs w:val="24"/>
        </w:rPr>
        <w:t>Neurology</w:t>
      </w:r>
      <w:r w:rsidR="00DC77B0" w:rsidRPr="004E091C">
        <w:rPr>
          <w:color w:val="auto"/>
          <w:szCs w:val="24"/>
        </w:rPr>
        <w:t xml:space="preserve"> diagnosed combined vascular and muscle contraction headaches</w:t>
      </w:r>
      <w:r w:rsidR="00E877C5" w:rsidRPr="004E091C">
        <w:rPr>
          <w:color w:val="auto"/>
          <w:szCs w:val="24"/>
        </w:rPr>
        <w:t xml:space="preserve"> and </w:t>
      </w:r>
      <w:r w:rsidR="00F276CA" w:rsidRPr="004E091C">
        <w:rPr>
          <w:color w:val="auto"/>
          <w:szCs w:val="24"/>
        </w:rPr>
        <w:t xml:space="preserve">placed the CI on medications for acute and prophylactic treatment of headaches.  Despite multiple </w:t>
      </w:r>
      <w:r w:rsidR="00E877C5" w:rsidRPr="004E091C">
        <w:rPr>
          <w:color w:val="auto"/>
          <w:szCs w:val="24"/>
        </w:rPr>
        <w:t>trials of medication</w:t>
      </w:r>
      <w:r w:rsidR="00F276CA" w:rsidRPr="004E091C">
        <w:rPr>
          <w:color w:val="auto"/>
          <w:szCs w:val="24"/>
        </w:rPr>
        <w:t>s,</w:t>
      </w:r>
      <w:r w:rsidR="00E877C5" w:rsidRPr="004E091C">
        <w:rPr>
          <w:color w:val="auto"/>
          <w:szCs w:val="24"/>
        </w:rPr>
        <w:t xml:space="preserve"> the </w:t>
      </w:r>
      <w:r w:rsidR="00F276CA" w:rsidRPr="004E091C">
        <w:rPr>
          <w:color w:val="auto"/>
          <w:szCs w:val="24"/>
        </w:rPr>
        <w:t xml:space="preserve">CI’s </w:t>
      </w:r>
      <w:r w:rsidR="00E877C5" w:rsidRPr="004E091C">
        <w:rPr>
          <w:color w:val="auto"/>
          <w:szCs w:val="24"/>
        </w:rPr>
        <w:t xml:space="preserve">headaches </w:t>
      </w:r>
      <w:r w:rsidR="00F276CA" w:rsidRPr="004E091C">
        <w:rPr>
          <w:color w:val="auto"/>
          <w:szCs w:val="24"/>
        </w:rPr>
        <w:t xml:space="preserve">increased in frequency and severity.  </w:t>
      </w:r>
      <w:r w:rsidR="00E322F7" w:rsidRPr="004E091C">
        <w:rPr>
          <w:color w:val="auto"/>
          <w:szCs w:val="24"/>
        </w:rPr>
        <w:t>He</w:t>
      </w:r>
      <w:r w:rsidR="001B48BF" w:rsidRPr="004E091C">
        <w:rPr>
          <w:color w:val="auto"/>
          <w:szCs w:val="24"/>
        </w:rPr>
        <w:t xml:space="preserve"> </w:t>
      </w:r>
      <w:r w:rsidR="00E322F7" w:rsidRPr="004E091C">
        <w:rPr>
          <w:color w:val="auto"/>
          <w:szCs w:val="24"/>
        </w:rPr>
        <w:t xml:space="preserve">did not respond adequately </w:t>
      </w:r>
      <w:r w:rsidR="00C75F3D" w:rsidRPr="004E091C">
        <w:rPr>
          <w:color w:val="auto"/>
          <w:szCs w:val="24"/>
        </w:rPr>
        <w:t xml:space="preserve">to treatment and was unable to </w:t>
      </w:r>
      <w:r w:rsidR="00E322F7" w:rsidRPr="004E091C">
        <w:rPr>
          <w:color w:val="auto"/>
          <w:szCs w:val="24"/>
        </w:rPr>
        <w:t xml:space="preserve">perform within his </w:t>
      </w:r>
      <w:r w:rsidR="009020ED" w:rsidRPr="004E091C">
        <w:rPr>
          <w:color w:val="auto"/>
          <w:szCs w:val="24"/>
        </w:rPr>
        <w:t>Military O</w:t>
      </w:r>
      <w:r w:rsidR="00705C40" w:rsidRPr="004E091C">
        <w:rPr>
          <w:color w:val="auto"/>
          <w:szCs w:val="24"/>
        </w:rPr>
        <w:t xml:space="preserve">ccupational </w:t>
      </w:r>
      <w:r w:rsidR="009020ED" w:rsidRPr="004E091C">
        <w:rPr>
          <w:color w:val="auto"/>
          <w:szCs w:val="24"/>
        </w:rPr>
        <w:t>S</w:t>
      </w:r>
      <w:r w:rsidR="003A40B4" w:rsidRPr="004E091C">
        <w:rPr>
          <w:color w:val="auto"/>
          <w:szCs w:val="24"/>
        </w:rPr>
        <w:t>pecialty</w:t>
      </w:r>
      <w:r w:rsidR="001B48BF" w:rsidRPr="004E091C">
        <w:rPr>
          <w:color w:val="auto"/>
          <w:szCs w:val="24"/>
        </w:rPr>
        <w:t xml:space="preserve"> (MOS)</w:t>
      </w:r>
      <w:r w:rsidR="00F276CA" w:rsidRPr="004E091C">
        <w:rPr>
          <w:color w:val="auto"/>
          <w:szCs w:val="24"/>
        </w:rPr>
        <w:t>.</w:t>
      </w:r>
      <w:r w:rsidR="001B48BF" w:rsidRPr="004E091C">
        <w:rPr>
          <w:color w:val="auto"/>
          <w:szCs w:val="24"/>
        </w:rPr>
        <w:t xml:space="preserve"> </w:t>
      </w:r>
      <w:r w:rsidR="00F276CA" w:rsidRPr="004E091C">
        <w:rPr>
          <w:color w:val="auto"/>
          <w:szCs w:val="24"/>
        </w:rPr>
        <w:t xml:space="preserve"> </w:t>
      </w:r>
      <w:r w:rsidR="00555C66" w:rsidRPr="004E091C">
        <w:rPr>
          <w:color w:val="auto"/>
          <w:szCs w:val="24"/>
        </w:rPr>
        <w:t>He was issued</w:t>
      </w:r>
      <w:r w:rsidR="00E322F7" w:rsidRPr="004E091C">
        <w:rPr>
          <w:color w:val="auto"/>
          <w:szCs w:val="24"/>
        </w:rPr>
        <w:t xml:space="preserve"> a permanent </w:t>
      </w:r>
      <w:r w:rsidR="001B48BF" w:rsidRPr="004E091C">
        <w:rPr>
          <w:color w:val="auto"/>
          <w:szCs w:val="24"/>
        </w:rPr>
        <w:t>P3</w:t>
      </w:r>
      <w:r w:rsidR="0044411E" w:rsidRPr="004E091C">
        <w:rPr>
          <w:color w:val="auto"/>
          <w:szCs w:val="24"/>
        </w:rPr>
        <w:t xml:space="preserve"> </w:t>
      </w:r>
      <w:r w:rsidR="001B48BF" w:rsidRPr="004E091C">
        <w:rPr>
          <w:color w:val="auto"/>
          <w:szCs w:val="24"/>
        </w:rPr>
        <w:t>profile</w:t>
      </w:r>
      <w:r w:rsidR="0044411E" w:rsidRPr="004E091C">
        <w:rPr>
          <w:color w:val="auto"/>
          <w:szCs w:val="24"/>
        </w:rPr>
        <w:t xml:space="preserve"> </w:t>
      </w:r>
      <w:r w:rsidR="00E322F7" w:rsidRPr="004E091C">
        <w:rPr>
          <w:color w:val="auto"/>
          <w:szCs w:val="24"/>
        </w:rPr>
        <w:t xml:space="preserve">and underwent a </w:t>
      </w:r>
      <w:r w:rsidR="00705C40" w:rsidRPr="004E091C">
        <w:rPr>
          <w:color w:val="auto"/>
          <w:szCs w:val="24"/>
        </w:rPr>
        <w:t>Medical Evaluation Board (</w:t>
      </w:r>
      <w:r w:rsidR="00E322F7" w:rsidRPr="004E091C">
        <w:rPr>
          <w:color w:val="auto"/>
          <w:szCs w:val="24"/>
        </w:rPr>
        <w:t>MEB</w:t>
      </w:r>
      <w:r w:rsidR="00705C40" w:rsidRPr="004E091C">
        <w:rPr>
          <w:color w:val="auto"/>
          <w:szCs w:val="24"/>
        </w:rPr>
        <w:t>)</w:t>
      </w:r>
      <w:r w:rsidR="00E322F7" w:rsidRPr="004E091C">
        <w:rPr>
          <w:color w:val="auto"/>
          <w:szCs w:val="24"/>
        </w:rPr>
        <w:t>.</w:t>
      </w:r>
      <w:r w:rsidR="000C355D" w:rsidRPr="004E091C">
        <w:rPr>
          <w:color w:val="auto"/>
          <w:szCs w:val="24"/>
        </w:rPr>
        <w:t xml:space="preserve">  Recurrent, refractory and incapacitating migraine headaches were</w:t>
      </w:r>
      <w:r w:rsidR="000A33C8" w:rsidRPr="004E091C">
        <w:rPr>
          <w:color w:val="auto"/>
          <w:szCs w:val="24"/>
        </w:rPr>
        <w:t xml:space="preserve"> forwarded to the Physical Evaluation Board (PEB) as medically unacceptable IAW AR 40-501</w:t>
      </w:r>
      <w:r w:rsidR="00376E08" w:rsidRPr="004E091C">
        <w:rPr>
          <w:color w:val="auto"/>
          <w:szCs w:val="24"/>
        </w:rPr>
        <w:t>.</w:t>
      </w:r>
      <w:r w:rsidR="000C355D" w:rsidRPr="004E091C">
        <w:rPr>
          <w:color w:val="auto"/>
          <w:szCs w:val="24"/>
        </w:rPr>
        <w:t xml:space="preserve"> </w:t>
      </w:r>
      <w:r w:rsidR="00F276CA" w:rsidRPr="004E091C">
        <w:rPr>
          <w:color w:val="auto"/>
          <w:szCs w:val="24"/>
        </w:rPr>
        <w:t xml:space="preserve"> </w:t>
      </w:r>
      <w:r w:rsidR="000D2D27" w:rsidRPr="004E091C">
        <w:rPr>
          <w:color w:val="auto"/>
          <w:szCs w:val="24"/>
        </w:rPr>
        <w:t>No other conditions appeared on the MEB’s submission.  Other conditions included in the Disability Evaluation System (DES) packet will be discussed below.</w:t>
      </w:r>
      <w:r w:rsidR="000C355D" w:rsidRPr="004E091C">
        <w:rPr>
          <w:color w:val="auto"/>
          <w:szCs w:val="24"/>
        </w:rPr>
        <w:t xml:space="preserve"> </w:t>
      </w:r>
      <w:r w:rsidR="00E203EE" w:rsidRPr="004E091C">
        <w:rPr>
          <w:color w:val="auto"/>
          <w:szCs w:val="24"/>
        </w:rPr>
        <w:t xml:space="preserve"> The PEB adjudicated migraine headaches (prostrating, resistant to therapy) as unfitting but not sufficiently stable for final adjudication.  The CI was placed on the Temporary Disability Retired List (TDRL) with a rating of 30%.  At time of reevaluation in June 2004, the CI’s condition was determined to be sufficiently stable for final adjudication.</w:t>
      </w:r>
      <w:r w:rsidR="000C355D" w:rsidRPr="004E091C">
        <w:rPr>
          <w:color w:val="auto"/>
          <w:szCs w:val="24"/>
        </w:rPr>
        <w:t xml:space="preserve">  </w:t>
      </w:r>
      <w:r w:rsidR="00B20624" w:rsidRPr="004E091C">
        <w:rPr>
          <w:color w:val="auto"/>
          <w:szCs w:val="24"/>
        </w:rPr>
        <w:t>The PEB</w:t>
      </w:r>
      <w:r w:rsidR="007828B4" w:rsidRPr="004E091C">
        <w:rPr>
          <w:color w:val="auto"/>
          <w:szCs w:val="24"/>
        </w:rPr>
        <w:t xml:space="preserve"> </w:t>
      </w:r>
      <w:r w:rsidR="00B20624" w:rsidRPr="004E091C">
        <w:rPr>
          <w:color w:val="auto"/>
          <w:szCs w:val="24"/>
        </w:rPr>
        <w:t xml:space="preserve">adjudicated </w:t>
      </w:r>
      <w:r w:rsidR="00505D29" w:rsidRPr="004E091C">
        <w:rPr>
          <w:color w:val="auto"/>
          <w:szCs w:val="24"/>
        </w:rPr>
        <w:t xml:space="preserve">the </w:t>
      </w:r>
      <w:r w:rsidR="001B48BF" w:rsidRPr="004E091C">
        <w:rPr>
          <w:color w:val="auto"/>
          <w:szCs w:val="24"/>
        </w:rPr>
        <w:t>migraine and mixed type headaches</w:t>
      </w:r>
      <w:r w:rsidR="000C355D" w:rsidRPr="004E091C">
        <w:rPr>
          <w:color w:val="auto"/>
          <w:szCs w:val="24"/>
        </w:rPr>
        <w:t xml:space="preserve"> condition </w:t>
      </w:r>
      <w:r w:rsidR="00B20624" w:rsidRPr="004E091C">
        <w:rPr>
          <w:color w:val="auto"/>
          <w:szCs w:val="24"/>
        </w:rPr>
        <w:t xml:space="preserve">as unfitting, rated </w:t>
      </w:r>
      <w:r w:rsidR="000C355D" w:rsidRPr="004E091C">
        <w:rPr>
          <w:color w:val="auto"/>
          <w:szCs w:val="24"/>
        </w:rPr>
        <w:t>10</w:t>
      </w:r>
      <w:r w:rsidR="00B20624" w:rsidRPr="004E091C">
        <w:rPr>
          <w:color w:val="auto"/>
          <w:szCs w:val="24"/>
        </w:rPr>
        <w:t>%</w:t>
      </w:r>
      <w:r w:rsidR="000C355D" w:rsidRPr="004E091C">
        <w:rPr>
          <w:color w:val="auto"/>
          <w:szCs w:val="24"/>
        </w:rPr>
        <w:t xml:space="preserve"> IAW</w:t>
      </w:r>
      <w:r w:rsidR="00B20624" w:rsidRPr="004E091C">
        <w:rPr>
          <w:color w:val="auto"/>
          <w:szCs w:val="24"/>
        </w:rPr>
        <w:t xml:space="preserve"> </w:t>
      </w:r>
      <w:r w:rsidR="00763CAE" w:rsidRPr="004E091C">
        <w:rPr>
          <w:color w:val="auto"/>
          <w:szCs w:val="24"/>
        </w:rPr>
        <w:t>Department of Defense Instruction (</w:t>
      </w:r>
      <w:r w:rsidR="00B20624" w:rsidRPr="004E091C">
        <w:rPr>
          <w:color w:val="auto"/>
          <w:szCs w:val="24"/>
        </w:rPr>
        <w:t>DoDI</w:t>
      </w:r>
      <w:r w:rsidR="00763CAE" w:rsidRPr="004E091C">
        <w:rPr>
          <w:color w:val="auto"/>
          <w:szCs w:val="24"/>
        </w:rPr>
        <w:t>)</w:t>
      </w:r>
      <w:r w:rsidR="00B20624" w:rsidRPr="004E091C">
        <w:rPr>
          <w:color w:val="auto"/>
          <w:szCs w:val="24"/>
        </w:rPr>
        <w:t xml:space="preserve"> 1332.39</w:t>
      </w:r>
      <w:r w:rsidR="00EB6EC1" w:rsidRPr="004E091C">
        <w:rPr>
          <w:color w:val="auto"/>
          <w:szCs w:val="24"/>
        </w:rPr>
        <w:t xml:space="preserve">. </w:t>
      </w:r>
      <w:r w:rsidR="000C355D" w:rsidRPr="004E091C">
        <w:rPr>
          <w:color w:val="auto"/>
          <w:szCs w:val="24"/>
        </w:rPr>
        <w:t xml:space="preserve"> </w:t>
      </w:r>
      <w:r w:rsidR="00437D77" w:rsidRPr="004E091C">
        <w:rPr>
          <w:color w:val="auto"/>
        </w:rPr>
        <w:t xml:space="preserve">The CI </w:t>
      </w:r>
      <w:r w:rsidR="00505D29" w:rsidRPr="004E091C">
        <w:rPr>
          <w:color w:val="auto"/>
        </w:rPr>
        <w:t>appealed to the</w:t>
      </w:r>
      <w:r w:rsidR="00EB6EC1" w:rsidRPr="004E091C">
        <w:rPr>
          <w:color w:val="auto"/>
        </w:rPr>
        <w:t xml:space="preserve"> Formal PEB (FPEB) and </w:t>
      </w:r>
      <w:r w:rsidR="00505D29" w:rsidRPr="004E091C">
        <w:rPr>
          <w:color w:val="auto"/>
        </w:rPr>
        <w:t>initiated a</w:t>
      </w:r>
      <w:r w:rsidR="00EB6EC1" w:rsidRPr="004E091C">
        <w:rPr>
          <w:color w:val="auto"/>
        </w:rPr>
        <w:t xml:space="preserve"> Congress</w:t>
      </w:r>
      <w:r w:rsidR="00505D29" w:rsidRPr="004E091C">
        <w:rPr>
          <w:color w:val="auto"/>
        </w:rPr>
        <w:t>ional Inquiry</w:t>
      </w:r>
      <w:r w:rsidR="00EB6EC1" w:rsidRPr="004E091C">
        <w:rPr>
          <w:color w:val="auto"/>
        </w:rPr>
        <w:t>.</w:t>
      </w:r>
      <w:r w:rsidR="00505D29" w:rsidRPr="004E091C">
        <w:rPr>
          <w:color w:val="auto"/>
        </w:rPr>
        <w:t xml:space="preserve">  He subsequently withdrew</w:t>
      </w:r>
      <w:r w:rsidR="00EB6EC1" w:rsidRPr="004E091C">
        <w:rPr>
          <w:color w:val="auto"/>
        </w:rPr>
        <w:t xml:space="preserve"> </w:t>
      </w:r>
      <w:r w:rsidR="00505D29" w:rsidRPr="004E091C">
        <w:rPr>
          <w:color w:val="auto"/>
        </w:rPr>
        <w:t xml:space="preserve">his demand for the Formal PEB </w:t>
      </w:r>
      <w:r w:rsidR="00183416" w:rsidRPr="004E091C">
        <w:rPr>
          <w:color w:val="auto"/>
        </w:rPr>
        <w:t>and was</w:t>
      </w:r>
      <w:r w:rsidR="00437D77" w:rsidRPr="004E091C">
        <w:rPr>
          <w:color w:val="auto"/>
        </w:rPr>
        <w:t xml:space="preserve"> medically separated with a </w:t>
      </w:r>
      <w:r w:rsidR="000C355D" w:rsidRPr="004E091C">
        <w:rPr>
          <w:color w:val="auto"/>
        </w:rPr>
        <w:t>10</w:t>
      </w:r>
      <w:r w:rsidR="00437D77" w:rsidRPr="004E091C">
        <w:rPr>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color w:val="auto"/>
        </w:rPr>
      </w:pPr>
    </w:p>
    <w:p w:rsidR="00DE598A" w:rsidRDefault="00DE598A" w:rsidP="00510F9C">
      <w:pPr>
        <w:tabs>
          <w:tab w:val="left" w:pos="288"/>
          <w:tab w:val="left" w:pos="4752"/>
        </w:tabs>
        <w:spacing w:line="240" w:lineRule="exact"/>
        <w:jc w:val="both"/>
        <w:rPr>
          <w:color w:val="auto"/>
          <w:u w:val="single"/>
        </w:rPr>
      </w:pPr>
    </w:p>
    <w:p w:rsidR="00ED5284" w:rsidRPr="005C4D72" w:rsidRDefault="002C6E5B" w:rsidP="00510F9C">
      <w:pPr>
        <w:tabs>
          <w:tab w:val="left" w:pos="288"/>
          <w:tab w:val="left" w:pos="4752"/>
        </w:tabs>
        <w:spacing w:line="240" w:lineRule="exact"/>
        <w:jc w:val="both"/>
        <w:rPr>
          <w:rFonts w:eastAsia="Calibri"/>
          <w:color w:val="auto"/>
          <w:szCs w:val="24"/>
        </w:rPr>
      </w:pPr>
      <w:r w:rsidRPr="004E091C">
        <w:rPr>
          <w:color w:val="auto"/>
          <w:u w:val="single"/>
        </w:rPr>
        <w:t>CI CONTENTION</w:t>
      </w:r>
      <w:r w:rsidRPr="004E091C">
        <w:rPr>
          <w:color w:val="auto"/>
        </w:rPr>
        <w:t>:</w:t>
      </w:r>
      <w:r w:rsidR="000C355D" w:rsidRPr="004E091C">
        <w:rPr>
          <w:color w:val="auto"/>
        </w:rPr>
        <w:t xml:space="preserve">  “My initial rating from the Army was 30% and there was no improvement in my condition that justified a change in my status. The medical examiner at Great Lakes recommended I remain on retir</w:t>
      </w:r>
      <w:r w:rsidR="0092675C" w:rsidRPr="004E091C">
        <w:rPr>
          <w:color w:val="auto"/>
        </w:rPr>
        <w:t xml:space="preserve">ement rolls. </w:t>
      </w:r>
      <w:r w:rsidR="0032481D" w:rsidRPr="004E091C">
        <w:rPr>
          <w:color w:val="auto"/>
        </w:rPr>
        <w:t xml:space="preserve"> </w:t>
      </w:r>
      <w:r w:rsidR="0092675C" w:rsidRPr="004E091C">
        <w:rPr>
          <w:color w:val="auto"/>
        </w:rPr>
        <w:t>Furthermore, the V</w:t>
      </w:r>
      <w:r w:rsidR="000C355D" w:rsidRPr="004E091C">
        <w:rPr>
          <w:color w:val="auto"/>
        </w:rPr>
        <w:t xml:space="preserve">A gave me a rating of 50% for the same condition. </w:t>
      </w:r>
      <w:r w:rsidR="0032481D" w:rsidRPr="004E091C">
        <w:rPr>
          <w:color w:val="auto"/>
        </w:rPr>
        <w:t xml:space="preserve"> </w:t>
      </w:r>
      <w:r w:rsidR="000C355D" w:rsidRPr="004E091C">
        <w:rPr>
          <w:color w:val="auto"/>
        </w:rPr>
        <w:t>Additionally, I have been</w:t>
      </w:r>
      <w:r w:rsidR="00DE6ABF">
        <w:rPr>
          <w:color w:val="auto"/>
        </w:rPr>
        <w:t xml:space="preserve"> rated on several other service-</w:t>
      </w:r>
      <w:r w:rsidR="000C355D" w:rsidRPr="004E091C">
        <w:rPr>
          <w:color w:val="auto"/>
        </w:rPr>
        <w:t xml:space="preserve">connected disabilities that have pushed my overall rating to 80%.”  </w:t>
      </w:r>
      <w:r w:rsidR="0092675C" w:rsidRPr="004E091C">
        <w:rPr>
          <w:rFonts w:eastAsia="Calibri"/>
          <w:color w:val="auto"/>
          <w:szCs w:val="24"/>
        </w:rPr>
        <w:t>In an attached statement, the CI a</w:t>
      </w:r>
      <w:r w:rsidR="00B21051" w:rsidRPr="004E091C">
        <w:rPr>
          <w:rFonts w:eastAsia="Calibri"/>
          <w:color w:val="auto"/>
          <w:szCs w:val="24"/>
        </w:rPr>
        <w:t>lso</w:t>
      </w:r>
      <w:r w:rsidR="0092675C" w:rsidRPr="004E091C">
        <w:rPr>
          <w:rFonts w:eastAsia="Calibri"/>
          <w:color w:val="auto"/>
          <w:szCs w:val="24"/>
        </w:rPr>
        <w:t xml:space="preserve"> identifies the conditions of degenerative joint disease in his hips, fainting spells, and depression</w:t>
      </w:r>
      <w:r w:rsidR="00ED5284" w:rsidRPr="004E091C">
        <w:rPr>
          <w:rFonts w:eastAsia="Calibri"/>
          <w:color w:val="auto"/>
          <w:szCs w:val="24"/>
        </w:rPr>
        <w:t>.  A contention for their inclusion in the separation rating is therefore</w:t>
      </w:r>
      <w:r w:rsidR="00ED5284" w:rsidRPr="005C4D72">
        <w:rPr>
          <w:rFonts w:eastAsia="Calibri"/>
          <w:color w:val="auto"/>
          <w:szCs w:val="24"/>
        </w:rPr>
        <w:t xml:space="preserve"> implied.</w:t>
      </w:r>
    </w:p>
    <w:p w:rsidR="003E1682" w:rsidRDefault="003E1682" w:rsidP="00510F9C">
      <w:pPr>
        <w:pBdr>
          <w:bottom w:val="single" w:sz="12" w:space="1" w:color="auto"/>
        </w:pBdr>
        <w:spacing w:line="240" w:lineRule="exact"/>
        <w:rPr>
          <w:color w:val="auto"/>
          <w:u w:val="single"/>
        </w:rPr>
      </w:pPr>
    </w:p>
    <w:p w:rsidR="00130F24" w:rsidRDefault="00130F24" w:rsidP="006D5D9C">
      <w:pPr>
        <w:rPr>
          <w:color w:val="auto"/>
          <w:u w:val="single"/>
        </w:rPr>
      </w:pPr>
    </w:p>
    <w:p w:rsidR="002338CA" w:rsidRPr="004E091C" w:rsidRDefault="007F0AB7" w:rsidP="006D5D9C">
      <w:pPr>
        <w:rPr>
          <w:color w:val="auto"/>
          <w:u w:val="single"/>
        </w:rPr>
      </w:pPr>
      <w:r>
        <w:rPr>
          <w:color w:val="auto"/>
          <w:u w:val="single"/>
        </w:rPr>
        <w:t>R</w:t>
      </w:r>
      <w:r w:rsidR="002C6E5B" w:rsidRPr="00326C08">
        <w:rPr>
          <w:color w:val="auto"/>
          <w:u w:val="single"/>
        </w:rPr>
        <w:t>ATING COMPARISON</w:t>
      </w:r>
      <w:r w:rsidR="002C6E5B" w:rsidRPr="00326C08">
        <w:rPr>
          <w:color w:val="auto"/>
        </w:rPr>
        <w:t>:</w:t>
      </w:r>
      <w:r w:rsidR="00B21051">
        <w:rPr>
          <w:color w:val="auto"/>
        </w:rPr>
        <w:t xml:space="preserve">  </w:t>
      </w:r>
    </w:p>
    <w:p w:rsidR="00E57703" w:rsidRPr="00367F6B" w:rsidRDefault="00E57703" w:rsidP="00510F9C">
      <w:pPr>
        <w:tabs>
          <w:tab w:val="left" w:pos="288"/>
          <w:tab w:val="left" w:pos="4752"/>
        </w:tabs>
        <w:spacing w:line="240" w:lineRule="exact"/>
        <w:jc w:val="both"/>
        <w:rPr>
          <w:color w:val="auto"/>
          <w:szCs w:val="24"/>
          <w:u w:val="single"/>
        </w:rPr>
      </w:pPr>
    </w:p>
    <w:tbl>
      <w:tblPr>
        <w:tblW w:w="9470" w:type="dxa"/>
        <w:jc w:val="center"/>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5"/>
        <w:gridCol w:w="720"/>
        <w:gridCol w:w="658"/>
        <w:gridCol w:w="729"/>
        <w:gridCol w:w="1853"/>
        <w:gridCol w:w="1111"/>
        <w:gridCol w:w="782"/>
        <w:gridCol w:w="1042"/>
      </w:tblGrid>
      <w:tr w:rsidR="00BF70A6" w:rsidRPr="00367F6B" w:rsidTr="00C84526">
        <w:trPr>
          <w:trHeight w:val="257"/>
          <w:jc w:val="center"/>
        </w:trPr>
        <w:tc>
          <w:tcPr>
            <w:tcW w:w="4682" w:type="dxa"/>
            <w:gridSpan w:val="4"/>
            <w:tcBorders>
              <w:right w:val="thinThickThinSmallGap" w:sz="24" w:space="0" w:color="auto"/>
            </w:tcBorders>
            <w:shd w:val="clear" w:color="auto" w:fill="D9D9D9"/>
            <w:vAlign w:val="center"/>
          </w:tcPr>
          <w:p w:rsidR="00BF70A6" w:rsidRPr="00367F6B" w:rsidRDefault="00BF70A6" w:rsidP="00367F6B">
            <w:pPr>
              <w:spacing w:line="180" w:lineRule="exact"/>
              <w:contextualSpacing/>
              <w:jc w:val="center"/>
              <w:rPr>
                <w:rFonts w:eastAsia="Calibri"/>
                <w:b/>
                <w:color w:val="auto"/>
                <w:sz w:val="18"/>
                <w:szCs w:val="18"/>
              </w:rPr>
            </w:pPr>
            <w:r w:rsidRPr="00367F6B">
              <w:rPr>
                <w:rFonts w:eastAsia="Calibri"/>
                <w:b/>
                <w:color w:val="auto"/>
                <w:sz w:val="18"/>
                <w:szCs w:val="18"/>
              </w:rPr>
              <w:t>Final Service PEB – Dated 200</w:t>
            </w:r>
            <w:r w:rsidR="000C355D" w:rsidRPr="00367F6B">
              <w:rPr>
                <w:rFonts w:eastAsia="Calibri"/>
                <w:b/>
                <w:color w:val="auto"/>
                <w:sz w:val="18"/>
                <w:szCs w:val="18"/>
              </w:rPr>
              <w:t>40909</w:t>
            </w:r>
          </w:p>
        </w:tc>
        <w:tc>
          <w:tcPr>
            <w:tcW w:w="4788" w:type="dxa"/>
            <w:gridSpan w:val="4"/>
            <w:tcBorders>
              <w:left w:val="thinThickThinSmallGap" w:sz="24" w:space="0" w:color="auto"/>
            </w:tcBorders>
            <w:shd w:val="clear" w:color="auto" w:fill="D9D9D9"/>
            <w:vAlign w:val="center"/>
          </w:tcPr>
          <w:p w:rsidR="00BF70A6" w:rsidRPr="00367F6B" w:rsidRDefault="00BF70A6" w:rsidP="00367F6B">
            <w:pPr>
              <w:spacing w:line="180" w:lineRule="exact"/>
              <w:contextualSpacing/>
              <w:jc w:val="center"/>
              <w:rPr>
                <w:rFonts w:eastAsia="Calibri"/>
                <w:b/>
                <w:color w:val="auto"/>
                <w:sz w:val="18"/>
                <w:szCs w:val="18"/>
              </w:rPr>
            </w:pPr>
            <w:r w:rsidRPr="00367F6B">
              <w:rPr>
                <w:rFonts w:eastAsia="Calibri"/>
                <w:b/>
                <w:color w:val="auto"/>
                <w:sz w:val="18"/>
                <w:szCs w:val="18"/>
              </w:rPr>
              <w:t>VA – All Effective Date 200</w:t>
            </w:r>
            <w:r w:rsidR="00270535" w:rsidRPr="00367F6B">
              <w:rPr>
                <w:rFonts w:eastAsia="Calibri"/>
                <w:b/>
                <w:color w:val="auto"/>
                <w:sz w:val="18"/>
                <w:szCs w:val="18"/>
              </w:rPr>
              <w:t>30726</w:t>
            </w:r>
          </w:p>
        </w:tc>
      </w:tr>
      <w:tr w:rsidR="008902BE" w:rsidRPr="00367F6B" w:rsidTr="00C84526">
        <w:trPr>
          <w:trHeight w:val="257"/>
          <w:jc w:val="center"/>
        </w:trPr>
        <w:tc>
          <w:tcPr>
            <w:tcW w:w="2575" w:type="dxa"/>
            <w:tcBorders>
              <w:bottom w:val="single" w:sz="4" w:space="0" w:color="000000"/>
            </w:tcBorders>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Condition</w:t>
            </w:r>
          </w:p>
        </w:tc>
        <w:tc>
          <w:tcPr>
            <w:tcW w:w="720" w:type="dxa"/>
            <w:tcBorders>
              <w:bottom w:val="single" w:sz="4" w:space="0" w:color="000000"/>
            </w:tcBorders>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Code</w:t>
            </w:r>
          </w:p>
        </w:tc>
        <w:tc>
          <w:tcPr>
            <w:tcW w:w="1387" w:type="dxa"/>
            <w:gridSpan w:val="2"/>
            <w:tcBorders>
              <w:bottom w:val="single" w:sz="4" w:space="0" w:color="000000"/>
              <w:right w:val="thinThickThinSmallGap" w:sz="24" w:space="0" w:color="auto"/>
            </w:tcBorders>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Rating</w:t>
            </w:r>
          </w:p>
        </w:tc>
        <w:tc>
          <w:tcPr>
            <w:tcW w:w="1853" w:type="dxa"/>
            <w:vMerge w:val="restart"/>
            <w:tcBorders>
              <w:left w:val="thinThickThinSmallGap" w:sz="24" w:space="0" w:color="auto"/>
            </w:tcBorders>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Condition</w:t>
            </w:r>
          </w:p>
        </w:tc>
        <w:tc>
          <w:tcPr>
            <w:tcW w:w="1111" w:type="dxa"/>
            <w:vMerge w:val="restart"/>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Code</w:t>
            </w:r>
          </w:p>
        </w:tc>
        <w:tc>
          <w:tcPr>
            <w:tcW w:w="782" w:type="dxa"/>
            <w:vMerge w:val="restart"/>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Rating</w:t>
            </w:r>
          </w:p>
        </w:tc>
        <w:tc>
          <w:tcPr>
            <w:tcW w:w="1042" w:type="dxa"/>
            <w:vMerge w:val="restart"/>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Exam</w:t>
            </w:r>
          </w:p>
        </w:tc>
      </w:tr>
      <w:tr w:rsidR="008902BE" w:rsidRPr="00367F6B" w:rsidTr="00C84526">
        <w:trPr>
          <w:trHeight w:val="167"/>
          <w:jc w:val="center"/>
        </w:trPr>
        <w:tc>
          <w:tcPr>
            <w:tcW w:w="2575" w:type="dxa"/>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On TDRL – 200</w:t>
            </w:r>
            <w:r w:rsidR="008A370A" w:rsidRPr="00367F6B">
              <w:rPr>
                <w:rFonts w:eastAsia="Calibri"/>
                <w:b/>
                <w:color w:val="auto"/>
                <w:sz w:val="18"/>
                <w:szCs w:val="18"/>
              </w:rPr>
              <w:t>30527</w:t>
            </w:r>
          </w:p>
        </w:tc>
        <w:tc>
          <w:tcPr>
            <w:tcW w:w="720" w:type="dxa"/>
            <w:shd w:val="clear" w:color="auto" w:fill="D9D9D9"/>
            <w:vAlign w:val="center"/>
          </w:tcPr>
          <w:p w:rsidR="008902BE" w:rsidRPr="00367F6B" w:rsidRDefault="008902BE" w:rsidP="00367F6B">
            <w:pPr>
              <w:spacing w:line="180" w:lineRule="exact"/>
              <w:contextualSpacing/>
              <w:jc w:val="center"/>
              <w:rPr>
                <w:rFonts w:eastAsia="Calibri"/>
                <w:color w:val="auto"/>
                <w:sz w:val="18"/>
                <w:szCs w:val="18"/>
              </w:rPr>
            </w:pPr>
          </w:p>
        </w:tc>
        <w:tc>
          <w:tcPr>
            <w:tcW w:w="658" w:type="dxa"/>
            <w:tcBorders>
              <w:right w:val="single" w:sz="4" w:space="0" w:color="auto"/>
            </w:tcBorders>
            <w:shd w:val="clear" w:color="auto" w:fill="D9D9D9"/>
            <w:vAlign w:val="center"/>
          </w:tcPr>
          <w:p w:rsidR="008902BE" w:rsidRPr="00367F6B" w:rsidRDefault="008902BE" w:rsidP="00367F6B">
            <w:pPr>
              <w:spacing w:line="180" w:lineRule="exact"/>
              <w:contextualSpacing/>
              <w:jc w:val="center"/>
              <w:rPr>
                <w:rFonts w:eastAsia="Calibri"/>
                <w:b/>
                <w:color w:val="auto"/>
                <w:sz w:val="18"/>
                <w:szCs w:val="18"/>
              </w:rPr>
            </w:pPr>
            <w:r w:rsidRPr="00367F6B">
              <w:rPr>
                <w:rFonts w:eastAsia="Calibri"/>
                <w:b/>
                <w:color w:val="auto"/>
                <w:sz w:val="18"/>
                <w:szCs w:val="18"/>
              </w:rPr>
              <w:t>TDRL</w:t>
            </w:r>
          </w:p>
        </w:tc>
        <w:tc>
          <w:tcPr>
            <w:tcW w:w="729" w:type="dxa"/>
            <w:tcBorders>
              <w:left w:val="single" w:sz="4" w:space="0" w:color="auto"/>
              <w:right w:val="thinThickThinSmallGap" w:sz="24" w:space="0" w:color="auto"/>
            </w:tcBorders>
            <w:shd w:val="clear" w:color="auto" w:fill="D9D9D9"/>
            <w:vAlign w:val="center"/>
          </w:tcPr>
          <w:p w:rsidR="008902BE" w:rsidRPr="00367F6B" w:rsidRDefault="008902BE" w:rsidP="00367F6B">
            <w:pPr>
              <w:tabs>
                <w:tab w:val="left" w:pos="206"/>
                <w:tab w:val="center" w:pos="387"/>
              </w:tabs>
              <w:spacing w:line="180" w:lineRule="exact"/>
              <w:contextualSpacing/>
              <w:jc w:val="center"/>
              <w:rPr>
                <w:rFonts w:eastAsia="Calibri"/>
                <w:b/>
                <w:color w:val="auto"/>
                <w:sz w:val="18"/>
                <w:szCs w:val="18"/>
              </w:rPr>
            </w:pPr>
            <w:r w:rsidRPr="00367F6B">
              <w:rPr>
                <w:rFonts w:eastAsia="Calibri"/>
                <w:b/>
                <w:color w:val="auto"/>
                <w:sz w:val="18"/>
                <w:szCs w:val="18"/>
              </w:rPr>
              <w:t>Sep.</w:t>
            </w:r>
          </w:p>
        </w:tc>
        <w:tc>
          <w:tcPr>
            <w:tcW w:w="1853" w:type="dxa"/>
            <w:vMerge/>
            <w:tcBorders>
              <w:left w:val="thinThickThinSmallGap" w:sz="24" w:space="0" w:color="auto"/>
            </w:tcBorders>
            <w:shd w:val="clear" w:color="auto" w:fill="auto"/>
            <w:vAlign w:val="center"/>
          </w:tcPr>
          <w:p w:rsidR="008902BE" w:rsidRPr="00367F6B" w:rsidRDefault="008902BE" w:rsidP="00367F6B">
            <w:pPr>
              <w:spacing w:line="180" w:lineRule="exact"/>
              <w:contextualSpacing/>
              <w:rPr>
                <w:rFonts w:eastAsia="Calibri"/>
                <w:b/>
                <w:color w:val="auto"/>
                <w:sz w:val="18"/>
                <w:szCs w:val="18"/>
              </w:rPr>
            </w:pPr>
          </w:p>
        </w:tc>
        <w:tc>
          <w:tcPr>
            <w:tcW w:w="1111" w:type="dxa"/>
            <w:vMerge/>
            <w:shd w:val="clear" w:color="auto" w:fill="auto"/>
          </w:tcPr>
          <w:p w:rsidR="008902BE" w:rsidRPr="00367F6B" w:rsidRDefault="008902BE" w:rsidP="00367F6B">
            <w:pPr>
              <w:spacing w:line="180" w:lineRule="exact"/>
              <w:contextualSpacing/>
              <w:jc w:val="center"/>
              <w:rPr>
                <w:rFonts w:eastAsia="Calibri"/>
                <w:color w:val="auto"/>
                <w:sz w:val="18"/>
                <w:szCs w:val="18"/>
              </w:rPr>
            </w:pPr>
          </w:p>
        </w:tc>
        <w:tc>
          <w:tcPr>
            <w:tcW w:w="782" w:type="dxa"/>
            <w:vMerge/>
            <w:shd w:val="clear" w:color="auto" w:fill="auto"/>
          </w:tcPr>
          <w:p w:rsidR="008902BE" w:rsidRPr="00367F6B" w:rsidRDefault="008902BE" w:rsidP="00367F6B">
            <w:pPr>
              <w:spacing w:line="180" w:lineRule="exact"/>
              <w:contextualSpacing/>
              <w:jc w:val="center"/>
              <w:rPr>
                <w:rFonts w:eastAsia="Calibri"/>
                <w:color w:val="auto"/>
                <w:sz w:val="18"/>
                <w:szCs w:val="18"/>
              </w:rPr>
            </w:pPr>
          </w:p>
        </w:tc>
        <w:tc>
          <w:tcPr>
            <w:tcW w:w="1042" w:type="dxa"/>
            <w:vMerge/>
            <w:shd w:val="clear" w:color="auto" w:fill="auto"/>
          </w:tcPr>
          <w:p w:rsidR="008902BE" w:rsidRPr="00367F6B" w:rsidRDefault="008902BE" w:rsidP="00367F6B">
            <w:pPr>
              <w:spacing w:line="180" w:lineRule="exact"/>
              <w:contextualSpacing/>
              <w:jc w:val="center"/>
              <w:rPr>
                <w:rFonts w:eastAsia="Calibri"/>
                <w:color w:val="auto"/>
                <w:sz w:val="18"/>
                <w:szCs w:val="18"/>
              </w:rPr>
            </w:pPr>
          </w:p>
        </w:tc>
      </w:tr>
      <w:tr w:rsidR="000D2CFD" w:rsidRPr="00367F6B" w:rsidTr="00C84526">
        <w:trPr>
          <w:trHeight w:val="251"/>
          <w:jc w:val="center"/>
        </w:trPr>
        <w:tc>
          <w:tcPr>
            <w:tcW w:w="2575" w:type="dxa"/>
            <w:tcBorders>
              <w:right w:val="single" w:sz="4" w:space="0" w:color="auto"/>
            </w:tcBorders>
            <w:shd w:val="clear" w:color="auto" w:fill="auto"/>
            <w:vAlign w:val="center"/>
          </w:tcPr>
          <w:p w:rsidR="000D2CFD" w:rsidRPr="00367F6B" w:rsidRDefault="008A370A" w:rsidP="00367F6B">
            <w:pPr>
              <w:spacing w:line="180" w:lineRule="exact"/>
              <w:contextualSpacing/>
              <w:rPr>
                <w:rFonts w:eastAsia="Calibri"/>
                <w:color w:val="auto"/>
                <w:sz w:val="18"/>
                <w:szCs w:val="18"/>
              </w:rPr>
            </w:pPr>
            <w:r w:rsidRPr="00367F6B">
              <w:rPr>
                <w:rFonts w:eastAsia="Calibri"/>
                <w:color w:val="auto"/>
                <w:sz w:val="18"/>
                <w:szCs w:val="18"/>
              </w:rPr>
              <w:t xml:space="preserve">Migraine </w:t>
            </w:r>
            <w:r w:rsidR="0070543E" w:rsidRPr="00367F6B">
              <w:rPr>
                <w:rFonts w:eastAsia="Calibri"/>
                <w:color w:val="auto"/>
                <w:sz w:val="18"/>
                <w:szCs w:val="18"/>
              </w:rPr>
              <w:t xml:space="preserve">and </w:t>
            </w:r>
            <w:r w:rsidRPr="00367F6B">
              <w:rPr>
                <w:rFonts w:eastAsia="Calibri"/>
                <w:color w:val="auto"/>
                <w:sz w:val="18"/>
                <w:szCs w:val="18"/>
              </w:rPr>
              <w:t xml:space="preserve">Mixed </w:t>
            </w:r>
            <w:r w:rsidR="0070543E" w:rsidRPr="00367F6B">
              <w:rPr>
                <w:rFonts w:eastAsia="Calibri"/>
                <w:color w:val="auto"/>
                <w:sz w:val="18"/>
                <w:szCs w:val="18"/>
              </w:rPr>
              <w:t xml:space="preserve">Type </w:t>
            </w:r>
            <w:r w:rsidRPr="00367F6B">
              <w:rPr>
                <w:rFonts w:eastAsia="Calibri"/>
                <w:color w:val="auto"/>
                <w:sz w:val="18"/>
                <w:szCs w:val="18"/>
              </w:rPr>
              <w:t>H</w:t>
            </w:r>
            <w:r w:rsidR="0070543E" w:rsidRPr="00367F6B">
              <w:rPr>
                <w:rFonts w:eastAsia="Calibri"/>
                <w:color w:val="auto"/>
                <w:sz w:val="18"/>
                <w:szCs w:val="18"/>
              </w:rPr>
              <w:t>As</w:t>
            </w:r>
          </w:p>
        </w:tc>
        <w:tc>
          <w:tcPr>
            <w:tcW w:w="720" w:type="dxa"/>
            <w:tcBorders>
              <w:left w:val="single" w:sz="4" w:space="0" w:color="auto"/>
            </w:tcBorders>
            <w:shd w:val="clear" w:color="auto" w:fill="auto"/>
            <w:vAlign w:val="center"/>
          </w:tcPr>
          <w:p w:rsidR="000D2CFD" w:rsidRPr="00367F6B" w:rsidRDefault="00ED33A1" w:rsidP="00367F6B">
            <w:pPr>
              <w:spacing w:line="180" w:lineRule="exact"/>
              <w:contextualSpacing/>
              <w:jc w:val="center"/>
              <w:rPr>
                <w:rFonts w:eastAsia="Calibri"/>
                <w:color w:val="auto"/>
                <w:sz w:val="18"/>
                <w:szCs w:val="18"/>
              </w:rPr>
            </w:pPr>
            <w:r w:rsidRPr="00367F6B">
              <w:rPr>
                <w:rFonts w:eastAsia="Calibri"/>
                <w:color w:val="auto"/>
                <w:sz w:val="18"/>
                <w:szCs w:val="18"/>
              </w:rPr>
              <w:t>8100</w:t>
            </w:r>
          </w:p>
        </w:tc>
        <w:tc>
          <w:tcPr>
            <w:tcW w:w="658" w:type="dxa"/>
            <w:tcBorders>
              <w:right w:val="single" w:sz="4" w:space="0" w:color="auto"/>
            </w:tcBorders>
            <w:shd w:val="clear" w:color="auto" w:fill="auto"/>
            <w:vAlign w:val="center"/>
          </w:tcPr>
          <w:p w:rsidR="000D2CFD" w:rsidRPr="00367F6B" w:rsidRDefault="00ED33A1" w:rsidP="00367F6B">
            <w:pPr>
              <w:spacing w:line="180" w:lineRule="exact"/>
              <w:jc w:val="center"/>
              <w:rPr>
                <w:rFonts w:eastAsia="Calibri"/>
                <w:color w:val="auto"/>
                <w:sz w:val="18"/>
                <w:szCs w:val="18"/>
              </w:rPr>
            </w:pPr>
            <w:r w:rsidRPr="00367F6B">
              <w:rPr>
                <w:rFonts w:eastAsia="Calibri"/>
                <w:color w:val="auto"/>
                <w:sz w:val="18"/>
                <w:szCs w:val="18"/>
              </w:rPr>
              <w:t>30</w:t>
            </w:r>
            <w:r w:rsidR="000D2CFD" w:rsidRPr="00367F6B">
              <w:rPr>
                <w:rFonts w:eastAsia="Calibri"/>
                <w:color w:val="auto"/>
                <w:sz w:val="18"/>
                <w:szCs w:val="18"/>
              </w:rPr>
              <w:t>%</w:t>
            </w:r>
          </w:p>
        </w:tc>
        <w:tc>
          <w:tcPr>
            <w:tcW w:w="729" w:type="dxa"/>
            <w:tcBorders>
              <w:left w:val="single" w:sz="4" w:space="0" w:color="auto"/>
              <w:right w:val="thinThickThinSmallGap" w:sz="24" w:space="0" w:color="auto"/>
            </w:tcBorders>
            <w:shd w:val="clear" w:color="auto" w:fill="auto"/>
            <w:vAlign w:val="center"/>
          </w:tcPr>
          <w:p w:rsidR="000D2CFD" w:rsidRPr="00367F6B" w:rsidRDefault="00ED33A1" w:rsidP="00367F6B">
            <w:pPr>
              <w:spacing w:line="180" w:lineRule="exact"/>
              <w:jc w:val="center"/>
              <w:rPr>
                <w:rFonts w:eastAsia="Calibri"/>
                <w:color w:val="auto"/>
                <w:sz w:val="18"/>
                <w:szCs w:val="18"/>
              </w:rPr>
            </w:pPr>
            <w:r w:rsidRPr="00367F6B">
              <w:rPr>
                <w:rFonts w:eastAsia="Calibri"/>
                <w:color w:val="auto"/>
                <w:sz w:val="18"/>
                <w:szCs w:val="18"/>
              </w:rPr>
              <w:t>10</w:t>
            </w:r>
            <w:r w:rsidR="000D2CFD" w:rsidRPr="00367F6B">
              <w:rPr>
                <w:rFonts w:eastAsia="Calibri"/>
                <w:color w:val="auto"/>
                <w:sz w:val="18"/>
                <w:szCs w:val="18"/>
              </w:rPr>
              <w:t>%</w:t>
            </w:r>
          </w:p>
        </w:tc>
        <w:tc>
          <w:tcPr>
            <w:tcW w:w="1853" w:type="dxa"/>
            <w:tcBorders>
              <w:left w:val="thinThickThinSmallGap" w:sz="24" w:space="0" w:color="auto"/>
            </w:tcBorders>
            <w:shd w:val="clear" w:color="auto" w:fill="auto"/>
            <w:vAlign w:val="center"/>
          </w:tcPr>
          <w:p w:rsidR="000D2CFD" w:rsidRPr="00367F6B" w:rsidRDefault="00270535" w:rsidP="00367F6B">
            <w:pPr>
              <w:spacing w:line="180" w:lineRule="exact"/>
              <w:contextualSpacing/>
              <w:rPr>
                <w:rFonts w:eastAsia="Calibri"/>
                <w:color w:val="auto"/>
                <w:sz w:val="18"/>
                <w:szCs w:val="18"/>
              </w:rPr>
            </w:pPr>
            <w:r w:rsidRPr="00367F6B">
              <w:rPr>
                <w:rFonts w:eastAsia="Calibri"/>
                <w:color w:val="auto"/>
                <w:sz w:val="18"/>
                <w:szCs w:val="18"/>
              </w:rPr>
              <w:t>Migraine Headache</w:t>
            </w:r>
          </w:p>
        </w:tc>
        <w:tc>
          <w:tcPr>
            <w:tcW w:w="1111" w:type="dxa"/>
            <w:shd w:val="clear" w:color="auto" w:fill="auto"/>
            <w:vAlign w:val="center"/>
          </w:tcPr>
          <w:p w:rsidR="000D2CFD" w:rsidRPr="00367F6B" w:rsidRDefault="00270535" w:rsidP="00367F6B">
            <w:pPr>
              <w:spacing w:line="180" w:lineRule="exact"/>
              <w:contextualSpacing/>
              <w:jc w:val="center"/>
              <w:rPr>
                <w:rFonts w:eastAsia="Calibri"/>
                <w:color w:val="auto"/>
                <w:sz w:val="18"/>
                <w:szCs w:val="18"/>
              </w:rPr>
            </w:pPr>
            <w:r w:rsidRPr="00367F6B">
              <w:rPr>
                <w:rFonts w:eastAsia="Calibri"/>
                <w:color w:val="auto"/>
                <w:sz w:val="18"/>
                <w:szCs w:val="18"/>
              </w:rPr>
              <w:t>8100</w:t>
            </w:r>
          </w:p>
        </w:tc>
        <w:tc>
          <w:tcPr>
            <w:tcW w:w="782" w:type="dxa"/>
            <w:shd w:val="clear" w:color="auto" w:fill="auto"/>
            <w:vAlign w:val="center"/>
          </w:tcPr>
          <w:p w:rsidR="000D2CFD" w:rsidRPr="00367F6B" w:rsidRDefault="00270535" w:rsidP="00367F6B">
            <w:pPr>
              <w:spacing w:line="180" w:lineRule="exact"/>
              <w:contextualSpacing/>
              <w:jc w:val="center"/>
              <w:rPr>
                <w:rFonts w:eastAsia="Calibri"/>
                <w:color w:val="auto"/>
                <w:sz w:val="18"/>
                <w:szCs w:val="18"/>
              </w:rPr>
            </w:pPr>
            <w:r w:rsidRPr="00367F6B">
              <w:rPr>
                <w:rFonts w:eastAsia="Calibri"/>
                <w:color w:val="auto"/>
                <w:sz w:val="18"/>
                <w:szCs w:val="18"/>
              </w:rPr>
              <w:t>50</w:t>
            </w:r>
            <w:r w:rsidR="000D2CFD" w:rsidRPr="00367F6B">
              <w:rPr>
                <w:rFonts w:eastAsia="Calibri"/>
                <w:color w:val="auto"/>
                <w:sz w:val="18"/>
                <w:szCs w:val="18"/>
              </w:rPr>
              <w:t>%</w:t>
            </w:r>
          </w:p>
        </w:tc>
        <w:tc>
          <w:tcPr>
            <w:tcW w:w="1042" w:type="dxa"/>
            <w:shd w:val="clear" w:color="auto" w:fill="auto"/>
            <w:vAlign w:val="center"/>
          </w:tcPr>
          <w:p w:rsidR="000D2CFD" w:rsidRPr="00367F6B" w:rsidRDefault="000D2CFD" w:rsidP="00367F6B">
            <w:pPr>
              <w:spacing w:line="180" w:lineRule="exact"/>
              <w:contextualSpacing/>
              <w:jc w:val="center"/>
              <w:rPr>
                <w:rFonts w:eastAsia="Calibri"/>
                <w:color w:val="auto"/>
                <w:sz w:val="18"/>
                <w:szCs w:val="18"/>
              </w:rPr>
            </w:pPr>
            <w:r w:rsidRPr="00367F6B">
              <w:rPr>
                <w:rFonts w:eastAsia="Calibri"/>
                <w:color w:val="auto"/>
                <w:sz w:val="18"/>
                <w:szCs w:val="18"/>
              </w:rPr>
              <w:t>200</w:t>
            </w:r>
            <w:r w:rsidR="00270535" w:rsidRPr="00367F6B">
              <w:rPr>
                <w:rFonts w:eastAsia="Calibri"/>
                <w:color w:val="auto"/>
                <w:sz w:val="18"/>
                <w:szCs w:val="18"/>
              </w:rPr>
              <w:t>30619</w:t>
            </w:r>
          </w:p>
        </w:tc>
      </w:tr>
      <w:tr w:rsidR="00ED33A1" w:rsidRPr="00367F6B" w:rsidTr="00367F6B">
        <w:trPr>
          <w:trHeight w:val="269"/>
          <w:jc w:val="center"/>
        </w:trPr>
        <w:tc>
          <w:tcPr>
            <w:tcW w:w="4682" w:type="dxa"/>
            <w:gridSpan w:val="4"/>
            <w:vMerge w:val="restart"/>
            <w:tcBorders>
              <w:right w:val="thinThickThinSmallGap" w:sz="24" w:space="0" w:color="auto"/>
            </w:tcBorders>
            <w:shd w:val="clear" w:color="auto" w:fill="auto"/>
            <w:vAlign w:val="center"/>
          </w:tcPr>
          <w:p w:rsidR="00ED33A1" w:rsidRPr="00367F6B" w:rsidRDefault="00ED33A1" w:rsidP="00367F6B">
            <w:pPr>
              <w:spacing w:line="180" w:lineRule="exact"/>
              <w:contextualSpacing/>
              <w:jc w:val="center"/>
              <w:rPr>
                <w:rFonts w:eastAsia="Calibri"/>
                <w:color w:val="auto"/>
                <w:sz w:val="18"/>
                <w:szCs w:val="18"/>
              </w:rPr>
            </w:pPr>
            <w:r w:rsidRPr="00367F6B">
              <w:rPr>
                <w:rFonts w:eastAsia="Calibri"/>
                <w:color w:val="auto"/>
                <w:sz w:val="18"/>
                <w:szCs w:val="18"/>
              </w:rPr>
              <w:t>↓No Additional MEB/PEB Entries↓</w:t>
            </w:r>
          </w:p>
        </w:tc>
        <w:tc>
          <w:tcPr>
            <w:tcW w:w="1853" w:type="dxa"/>
            <w:tcBorders>
              <w:left w:val="thinThickThinSmallGap" w:sz="24" w:space="0" w:color="auto"/>
            </w:tcBorders>
            <w:shd w:val="clear" w:color="auto" w:fill="auto"/>
            <w:vAlign w:val="center"/>
          </w:tcPr>
          <w:p w:rsidR="00ED33A1" w:rsidRPr="00367F6B" w:rsidRDefault="000500AB" w:rsidP="00367F6B">
            <w:pPr>
              <w:spacing w:line="180" w:lineRule="exact"/>
              <w:contextualSpacing/>
              <w:rPr>
                <w:rFonts w:eastAsia="Calibri"/>
                <w:color w:val="auto"/>
                <w:sz w:val="18"/>
                <w:szCs w:val="18"/>
              </w:rPr>
            </w:pPr>
            <w:r w:rsidRPr="00367F6B">
              <w:rPr>
                <w:rFonts w:eastAsia="Calibri"/>
                <w:color w:val="auto"/>
                <w:sz w:val="18"/>
                <w:szCs w:val="18"/>
              </w:rPr>
              <w:t xml:space="preserve">DJD, Right </w:t>
            </w:r>
            <w:r w:rsidR="00ED33A1" w:rsidRPr="00367F6B">
              <w:rPr>
                <w:rFonts w:eastAsia="Calibri"/>
                <w:color w:val="auto"/>
                <w:sz w:val="18"/>
                <w:szCs w:val="18"/>
              </w:rPr>
              <w:t>Hip</w:t>
            </w:r>
          </w:p>
        </w:tc>
        <w:tc>
          <w:tcPr>
            <w:tcW w:w="1111" w:type="dxa"/>
            <w:shd w:val="clear" w:color="auto" w:fill="auto"/>
            <w:vAlign w:val="center"/>
          </w:tcPr>
          <w:p w:rsidR="00ED33A1" w:rsidRPr="000A5520" w:rsidRDefault="00ED33A1" w:rsidP="00367F6B">
            <w:pPr>
              <w:spacing w:line="180" w:lineRule="exact"/>
              <w:contextualSpacing/>
              <w:jc w:val="center"/>
              <w:rPr>
                <w:rFonts w:eastAsia="Calibri"/>
                <w:color w:val="auto"/>
                <w:sz w:val="18"/>
                <w:szCs w:val="18"/>
              </w:rPr>
            </w:pPr>
            <w:r w:rsidRPr="000A5520">
              <w:rPr>
                <w:rFonts w:eastAsia="Calibri"/>
                <w:color w:val="auto"/>
                <w:sz w:val="18"/>
                <w:szCs w:val="18"/>
              </w:rPr>
              <w:t>5010-525</w:t>
            </w:r>
            <w:r w:rsidR="000500AB" w:rsidRPr="000A5520">
              <w:rPr>
                <w:rFonts w:eastAsia="Calibri"/>
                <w:color w:val="auto"/>
                <w:sz w:val="18"/>
                <w:szCs w:val="18"/>
              </w:rPr>
              <w:t>2</w:t>
            </w:r>
          </w:p>
        </w:tc>
        <w:tc>
          <w:tcPr>
            <w:tcW w:w="782" w:type="dxa"/>
            <w:shd w:val="clear" w:color="auto" w:fill="auto"/>
            <w:vAlign w:val="center"/>
          </w:tcPr>
          <w:p w:rsidR="00ED33A1" w:rsidRPr="000A5520" w:rsidRDefault="00ED33A1" w:rsidP="00367F6B">
            <w:pPr>
              <w:spacing w:line="180" w:lineRule="exact"/>
              <w:contextualSpacing/>
              <w:jc w:val="center"/>
              <w:rPr>
                <w:rFonts w:eastAsia="Calibri"/>
                <w:color w:val="auto"/>
                <w:sz w:val="18"/>
                <w:szCs w:val="18"/>
              </w:rPr>
            </w:pPr>
            <w:r w:rsidRPr="000A5520">
              <w:rPr>
                <w:rFonts w:eastAsia="Calibri"/>
                <w:color w:val="auto"/>
                <w:sz w:val="18"/>
                <w:szCs w:val="18"/>
              </w:rPr>
              <w:t>10%</w:t>
            </w:r>
          </w:p>
        </w:tc>
        <w:tc>
          <w:tcPr>
            <w:tcW w:w="1042" w:type="dxa"/>
            <w:shd w:val="clear" w:color="auto" w:fill="auto"/>
            <w:vAlign w:val="center"/>
          </w:tcPr>
          <w:p w:rsidR="00ED33A1" w:rsidRPr="00367F6B" w:rsidRDefault="00ED33A1" w:rsidP="00367F6B">
            <w:pPr>
              <w:spacing w:line="180" w:lineRule="exact"/>
              <w:contextualSpacing/>
              <w:jc w:val="center"/>
              <w:rPr>
                <w:rFonts w:eastAsia="Calibri"/>
                <w:color w:val="auto"/>
                <w:sz w:val="18"/>
                <w:szCs w:val="18"/>
              </w:rPr>
            </w:pPr>
            <w:r w:rsidRPr="00367F6B">
              <w:rPr>
                <w:rFonts w:eastAsia="Calibri"/>
                <w:color w:val="auto"/>
                <w:sz w:val="18"/>
                <w:szCs w:val="18"/>
              </w:rPr>
              <w:t>20030619</w:t>
            </w:r>
          </w:p>
        </w:tc>
      </w:tr>
      <w:tr w:rsidR="00ED33A1" w:rsidRPr="00367F6B" w:rsidTr="00C84526">
        <w:trPr>
          <w:trHeight w:val="286"/>
          <w:jc w:val="center"/>
        </w:trPr>
        <w:tc>
          <w:tcPr>
            <w:tcW w:w="4682" w:type="dxa"/>
            <w:gridSpan w:val="4"/>
            <w:vMerge/>
            <w:tcBorders>
              <w:bottom w:val="single" w:sz="4" w:space="0" w:color="000000"/>
              <w:right w:val="thinThickThinSmallGap" w:sz="24" w:space="0" w:color="auto"/>
            </w:tcBorders>
            <w:shd w:val="clear" w:color="auto" w:fill="auto"/>
          </w:tcPr>
          <w:p w:rsidR="00ED33A1" w:rsidRPr="00367F6B" w:rsidRDefault="00ED33A1" w:rsidP="00367F6B">
            <w:pPr>
              <w:spacing w:line="180" w:lineRule="exact"/>
              <w:contextualSpacing/>
              <w:jc w:val="both"/>
              <w:rPr>
                <w:rFonts w:eastAsia="Calibri"/>
                <w:color w:val="auto"/>
                <w:sz w:val="18"/>
                <w:szCs w:val="18"/>
              </w:rPr>
            </w:pPr>
          </w:p>
        </w:tc>
        <w:tc>
          <w:tcPr>
            <w:tcW w:w="3746" w:type="dxa"/>
            <w:gridSpan w:val="3"/>
            <w:tcBorders>
              <w:left w:val="thinThickThinSmallGap" w:sz="24" w:space="0" w:color="auto"/>
              <w:bottom w:val="single" w:sz="4" w:space="0" w:color="000000"/>
            </w:tcBorders>
            <w:shd w:val="clear" w:color="auto" w:fill="auto"/>
            <w:vAlign w:val="center"/>
          </w:tcPr>
          <w:p w:rsidR="00ED33A1" w:rsidRPr="00367F6B" w:rsidRDefault="00ED33A1" w:rsidP="00367F6B">
            <w:pPr>
              <w:spacing w:line="180" w:lineRule="exact"/>
              <w:contextualSpacing/>
              <w:jc w:val="center"/>
              <w:rPr>
                <w:rFonts w:eastAsia="Calibri"/>
                <w:color w:val="auto"/>
                <w:sz w:val="18"/>
                <w:szCs w:val="18"/>
              </w:rPr>
            </w:pPr>
            <w:r w:rsidRPr="00367F6B">
              <w:rPr>
                <w:rFonts w:eastAsia="Calibri"/>
                <w:color w:val="auto"/>
                <w:sz w:val="18"/>
                <w:szCs w:val="18"/>
              </w:rPr>
              <w:t>0% x 1</w:t>
            </w:r>
            <w:r w:rsidR="006F762B" w:rsidRPr="00367F6B">
              <w:rPr>
                <w:rFonts w:eastAsia="Calibri"/>
                <w:color w:val="auto"/>
                <w:sz w:val="18"/>
                <w:szCs w:val="18"/>
              </w:rPr>
              <w:t>*</w:t>
            </w:r>
            <w:r w:rsidRPr="00367F6B">
              <w:rPr>
                <w:rFonts w:eastAsia="Calibri"/>
                <w:color w:val="auto"/>
                <w:sz w:val="18"/>
                <w:szCs w:val="18"/>
              </w:rPr>
              <w:t xml:space="preserve">/Not Service Connected x </w:t>
            </w:r>
            <w:r w:rsidR="00FB65ED" w:rsidRPr="00367F6B">
              <w:rPr>
                <w:rFonts w:eastAsia="Calibri"/>
                <w:color w:val="auto"/>
                <w:sz w:val="18"/>
                <w:szCs w:val="18"/>
              </w:rPr>
              <w:t>0</w:t>
            </w:r>
          </w:p>
        </w:tc>
        <w:tc>
          <w:tcPr>
            <w:tcW w:w="1042" w:type="dxa"/>
            <w:tcBorders>
              <w:bottom w:val="single" w:sz="4" w:space="0" w:color="000000"/>
            </w:tcBorders>
            <w:shd w:val="clear" w:color="auto" w:fill="auto"/>
            <w:vAlign w:val="center"/>
          </w:tcPr>
          <w:p w:rsidR="00ED33A1" w:rsidRPr="00367F6B" w:rsidRDefault="00ED33A1" w:rsidP="00367F6B">
            <w:pPr>
              <w:spacing w:line="180" w:lineRule="exact"/>
              <w:contextualSpacing/>
              <w:jc w:val="center"/>
              <w:rPr>
                <w:rFonts w:eastAsia="Calibri"/>
                <w:color w:val="auto"/>
                <w:sz w:val="18"/>
                <w:szCs w:val="18"/>
              </w:rPr>
            </w:pPr>
            <w:r w:rsidRPr="00367F6B">
              <w:rPr>
                <w:rFonts w:eastAsia="Calibri"/>
                <w:color w:val="auto"/>
                <w:sz w:val="18"/>
                <w:szCs w:val="18"/>
              </w:rPr>
              <w:t>20030619</w:t>
            </w:r>
          </w:p>
        </w:tc>
      </w:tr>
      <w:tr w:rsidR="006D4250" w:rsidRPr="00367F6B" w:rsidTr="00C84526">
        <w:trPr>
          <w:trHeight w:val="266"/>
          <w:jc w:val="center"/>
        </w:trPr>
        <w:tc>
          <w:tcPr>
            <w:tcW w:w="4682" w:type="dxa"/>
            <w:gridSpan w:val="4"/>
            <w:tcBorders>
              <w:right w:val="thinThickThinSmallGap" w:sz="24" w:space="0" w:color="auto"/>
            </w:tcBorders>
            <w:shd w:val="clear" w:color="auto" w:fill="D9D9D9"/>
            <w:vAlign w:val="center"/>
          </w:tcPr>
          <w:p w:rsidR="006D4250" w:rsidRPr="00367F6B" w:rsidRDefault="006D4250" w:rsidP="00367F6B">
            <w:pPr>
              <w:spacing w:line="180" w:lineRule="exact"/>
              <w:contextualSpacing/>
              <w:jc w:val="center"/>
              <w:rPr>
                <w:rFonts w:eastAsia="Calibri"/>
                <w:b/>
                <w:color w:val="auto"/>
                <w:sz w:val="18"/>
                <w:szCs w:val="18"/>
              </w:rPr>
            </w:pPr>
            <w:r w:rsidRPr="00367F6B">
              <w:rPr>
                <w:rFonts w:eastAsia="Calibri"/>
                <w:b/>
                <w:color w:val="auto"/>
                <w:sz w:val="18"/>
                <w:szCs w:val="18"/>
              </w:rPr>
              <w:t xml:space="preserve">Combined:  </w:t>
            </w:r>
            <w:r w:rsidR="00ED33A1" w:rsidRPr="00367F6B">
              <w:rPr>
                <w:rFonts w:eastAsia="Calibri"/>
                <w:b/>
                <w:color w:val="auto"/>
                <w:sz w:val="18"/>
                <w:szCs w:val="18"/>
              </w:rPr>
              <w:t>10</w:t>
            </w:r>
            <w:r w:rsidRPr="00367F6B">
              <w:rPr>
                <w:rFonts w:eastAsia="Calibri"/>
                <w:b/>
                <w:color w:val="auto"/>
                <w:sz w:val="18"/>
                <w:szCs w:val="18"/>
              </w:rPr>
              <w:t>%</w:t>
            </w:r>
          </w:p>
        </w:tc>
        <w:tc>
          <w:tcPr>
            <w:tcW w:w="4788" w:type="dxa"/>
            <w:gridSpan w:val="4"/>
            <w:tcBorders>
              <w:left w:val="thinThickThinSmallGap" w:sz="24" w:space="0" w:color="auto"/>
            </w:tcBorders>
            <w:shd w:val="clear" w:color="auto" w:fill="D9D9D9"/>
            <w:vAlign w:val="center"/>
          </w:tcPr>
          <w:p w:rsidR="006D4250" w:rsidRPr="00367F6B" w:rsidRDefault="006D4250" w:rsidP="00367F6B">
            <w:pPr>
              <w:spacing w:line="180" w:lineRule="exact"/>
              <w:contextualSpacing/>
              <w:jc w:val="center"/>
              <w:rPr>
                <w:rFonts w:eastAsia="Calibri"/>
                <w:b/>
                <w:color w:val="auto"/>
                <w:sz w:val="18"/>
                <w:szCs w:val="18"/>
              </w:rPr>
            </w:pPr>
            <w:r w:rsidRPr="00367F6B">
              <w:rPr>
                <w:rFonts w:eastAsia="Calibri"/>
                <w:b/>
                <w:color w:val="auto"/>
                <w:sz w:val="18"/>
                <w:szCs w:val="18"/>
              </w:rPr>
              <w:t xml:space="preserve">Combined: </w:t>
            </w:r>
            <w:r w:rsidR="00E57FED" w:rsidRPr="00367F6B">
              <w:rPr>
                <w:rFonts w:eastAsia="Calibri"/>
                <w:b/>
                <w:color w:val="auto"/>
                <w:sz w:val="18"/>
                <w:szCs w:val="18"/>
              </w:rPr>
              <w:t xml:space="preserve"> </w:t>
            </w:r>
            <w:r w:rsidR="00ED33A1" w:rsidRPr="00367F6B">
              <w:rPr>
                <w:rFonts w:eastAsia="Calibri"/>
                <w:b/>
                <w:color w:val="auto"/>
                <w:sz w:val="18"/>
                <w:szCs w:val="18"/>
              </w:rPr>
              <w:t>6</w:t>
            </w:r>
            <w:r w:rsidR="006F0F9C" w:rsidRPr="00367F6B">
              <w:rPr>
                <w:rFonts w:eastAsia="Calibri"/>
                <w:b/>
                <w:color w:val="auto"/>
                <w:sz w:val="18"/>
                <w:szCs w:val="18"/>
              </w:rPr>
              <w:t>0</w:t>
            </w:r>
            <w:r w:rsidRPr="00367F6B">
              <w:rPr>
                <w:rFonts w:eastAsia="Calibri"/>
                <w:b/>
                <w:color w:val="auto"/>
                <w:sz w:val="18"/>
                <w:szCs w:val="18"/>
              </w:rPr>
              <w:t>%</w:t>
            </w:r>
            <w:r w:rsidR="000A5520">
              <w:rPr>
                <w:rFonts w:eastAsia="Calibri"/>
                <w:b/>
                <w:color w:val="auto"/>
                <w:sz w:val="18"/>
                <w:szCs w:val="18"/>
              </w:rPr>
              <w:t>*</w:t>
            </w:r>
          </w:p>
        </w:tc>
      </w:tr>
    </w:tbl>
    <w:p w:rsidR="00BB72A5" w:rsidRPr="00367F6B" w:rsidRDefault="006F762B" w:rsidP="0032481D">
      <w:pPr>
        <w:tabs>
          <w:tab w:val="left" w:pos="288"/>
          <w:tab w:val="left" w:pos="4752"/>
        </w:tabs>
        <w:spacing w:line="200" w:lineRule="exact"/>
        <w:jc w:val="both"/>
        <w:rPr>
          <w:color w:val="auto"/>
          <w:sz w:val="20"/>
          <w:szCs w:val="18"/>
        </w:rPr>
      </w:pPr>
      <w:r w:rsidRPr="00367F6B">
        <w:rPr>
          <w:color w:val="auto"/>
          <w:sz w:val="20"/>
          <w:szCs w:val="18"/>
        </w:rPr>
        <w:t>*</w:t>
      </w:r>
      <w:r w:rsidRPr="004E091C">
        <w:rPr>
          <w:color w:val="auto"/>
          <w:sz w:val="20"/>
          <w:szCs w:val="18"/>
        </w:rPr>
        <w:t>Left</w:t>
      </w:r>
      <w:r w:rsidRPr="00367F6B">
        <w:rPr>
          <w:color w:val="auto"/>
          <w:sz w:val="20"/>
          <w:szCs w:val="18"/>
        </w:rPr>
        <w:t xml:space="preserve"> hip</w:t>
      </w:r>
      <w:r w:rsidR="00443525" w:rsidRPr="00367F6B">
        <w:rPr>
          <w:color w:val="auto"/>
          <w:sz w:val="20"/>
          <w:szCs w:val="18"/>
        </w:rPr>
        <w:t xml:space="preserve"> DJD</w:t>
      </w:r>
      <w:r w:rsidRPr="00367F6B">
        <w:rPr>
          <w:color w:val="auto"/>
          <w:sz w:val="20"/>
          <w:szCs w:val="18"/>
        </w:rPr>
        <w:t xml:space="preserve">, 5010-5252, increased </w:t>
      </w:r>
      <w:r w:rsidR="000A5520">
        <w:rPr>
          <w:color w:val="auto"/>
          <w:sz w:val="20"/>
          <w:szCs w:val="18"/>
        </w:rPr>
        <w:t xml:space="preserve">from 0% </w:t>
      </w:r>
      <w:r w:rsidRPr="00367F6B">
        <w:rPr>
          <w:color w:val="auto"/>
          <w:sz w:val="20"/>
          <w:szCs w:val="18"/>
        </w:rPr>
        <w:t>to 10% effective 20090311</w:t>
      </w:r>
      <w:r w:rsidR="000A5520">
        <w:rPr>
          <w:color w:val="auto"/>
          <w:sz w:val="20"/>
          <w:szCs w:val="18"/>
        </w:rPr>
        <w:t xml:space="preserve"> </w:t>
      </w:r>
      <w:r w:rsidR="000A5520" w:rsidRPr="00367F6B">
        <w:rPr>
          <w:color w:val="auto"/>
          <w:sz w:val="20"/>
          <w:szCs w:val="18"/>
        </w:rPr>
        <w:t>(combined 60%)</w:t>
      </w:r>
      <w:r w:rsidRPr="00367F6B">
        <w:rPr>
          <w:color w:val="auto"/>
          <w:sz w:val="20"/>
          <w:szCs w:val="18"/>
        </w:rPr>
        <w:t xml:space="preserve">; Depression, secondary to headache and DJD, </w:t>
      </w:r>
      <w:r w:rsidR="00531041">
        <w:rPr>
          <w:color w:val="auto"/>
          <w:sz w:val="20"/>
          <w:szCs w:val="18"/>
        </w:rPr>
        <w:t xml:space="preserve">9434, </w:t>
      </w:r>
      <w:r w:rsidRPr="00367F6B">
        <w:rPr>
          <w:color w:val="auto"/>
          <w:sz w:val="20"/>
          <w:szCs w:val="18"/>
        </w:rPr>
        <w:t>added at 50% effective 20100719</w:t>
      </w:r>
      <w:r w:rsidR="000A5520">
        <w:rPr>
          <w:color w:val="auto"/>
          <w:sz w:val="20"/>
          <w:szCs w:val="18"/>
        </w:rPr>
        <w:t xml:space="preserve"> </w:t>
      </w:r>
      <w:r w:rsidR="000A5520" w:rsidRPr="00367F6B">
        <w:rPr>
          <w:color w:val="auto"/>
          <w:sz w:val="20"/>
          <w:szCs w:val="18"/>
        </w:rPr>
        <w:t>(combined 80%)</w:t>
      </w:r>
      <w:r w:rsidRPr="00367F6B">
        <w:rPr>
          <w:color w:val="auto"/>
          <w:sz w:val="20"/>
          <w:szCs w:val="18"/>
        </w:rPr>
        <w:t>.</w:t>
      </w:r>
    </w:p>
    <w:p w:rsidR="006F762B" w:rsidRPr="00391858" w:rsidRDefault="006F762B" w:rsidP="00510F9C">
      <w:pPr>
        <w:pBdr>
          <w:bottom w:val="single" w:sz="12" w:space="1" w:color="auto"/>
        </w:pBdr>
        <w:tabs>
          <w:tab w:val="left" w:pos="288"/>
          <w:tab w:val="left" w:pos="4752"/>
        </w:tabs>
        <w:spacing w:line="240" w:lineRule="exact"/>
        <w:jc w:val="both"/>
        <w:rPr>
          <w:b/>
          <w:color w:val="auto"/>
          <w:u w:val="single"/>
        </w:rPr>
      </w:pPr>
    </w:p>
    <w:p w:rsidR="00130F24" w:rsidRDefault="00E11DE7" w:rsidP="00367F6B">
      <w:pPr>
        <w:spacing w:line="240" w:lineRule="exact"/>
        <w:jc w:val="both"/>
        <w:rPr>
          <w:color w:val="auto"/>
        </w:rPr>
      </w:pPr>
      <w:r w:rsidRPr="00E236F3">
        <w:rPr>
          <w:color w:val="auto"/>
          <w:u w:val="single"/>
        </w:rPr>
        <w:lastRenderedPageBreak/>
        <w:t>ANALYSIS SUMMARY</w:t>
      </w:r>
      <w:r w:rsidRPr="00E236F3">
        <w:rPr>
          <w:color w:val="auto"/>
        </w:rPr>
        <w:t>:</w:t>
      </w:r>
      <w:r w:rsidR="00D2286D" w:rsidRPr="00E236F3">
        <w:rPr>
          <w:color w:val="auto"/>
        </w:rPr>
        <w:t xml:space="preserve">  </w:t>
      </w:r>
      <w:r w:rsidR="001D0114" w:rsidRPr="00E236F3">
        <w:rPr>
          <w:color w:val="auto"/>
        </w:rPr>
        <w:t xml:space="preserve">The Board acknowledges the </w:t>
      </w:r>
      <w:r w:rsidR="00183416" w:rsidRPr="00E236F3">
        <w:rPr>
          <w:color w:val="auto"/>
        </w:rPr>
        <w:t xml:space="preserve">CI’s </w:t>
      </w:r>
      <w:r w:rsidR="001D0114" w:rsidRPr="00E236F3">
        <w:rPr>
          <w:color w:val="auto"/>
        </w:rPr>
        <w:t xml:space="preserve">argument that his PEB TDRL rating changed, but </w:t>
      </w:r>
      <w:r w:rsidR="00367F6B">
        <w:rPr>
          <w:color w:val="auto"/>
        </w:rPr>
        <w:t xml:space="preserve">that </w:t>
      </w:r>
      <w:r w:rsidR="001D0114" w:rsidRPr="00E236F3">
        <w:rPr>
          <w:color w:val="auto"/>
        </w:rPr>
        <w:t>the perceived severity of his condition did not.</w:t>
      </w:r>
      <w:r w:rsidR="00183416" w:rsidRPr="00E236F3">
        <w:rPr>
          <w:color w:val="auto"/>
        </w:rPr>
        <w:t xml:space="preserve"> </w:t>
      </w:r>
      <w:r w:rsidR="001D0114" w:rsidRPr="00E236F3">
        <w:rPr>
          <w:color w:val="auto"/>
        </w:rPr>
        <w:t xml:space="preserve"> </w:t>
      </w:r>
      <w:r w:rsidR="00183416" w:rsidRPr="00E236F3">
        <w:rPr>
          <w:color w:val="auto"/>
        </w:rPr>
        <w:t xml:space="preserve">The Board takes the position that subjective improvement or worsening during the period of TDRL should not influence its coding and rating recommendation at the time of permanent separation. </w:t>
      </w:r>
      <w:r w:rsidR="001D0114" w:rsidRPr="00E236F3">
        <w:rPr>
          <w:color w:val="auto"/>
        </w:rPr>
        <w:t xml:space="preserve"> </w:t>
      </w:r>
      <w:r w:rsidR="00183416" w:rsidRPr="00E236F3">
        <w:rPr>
          <w:color w:val="auto"/>
        </w:rPr>
        <w:t xml:space="preserve">The Board’s relevant recommendations are assigned in assessment of the service’s permanent separation and rating determination, and the </w:t>
      </w:r>
      <w:r w:rsidR="00183416" w:rsidRPr="004E091C">
        <w:rPr>
          <w:color w:val="auto"/>
        </w:rPr>
        <w:t xml:space="preserve">TDRL rating assignment is not considered a benchmark. </w:t>
      </w:r>
      <w:r w:rsidR="001D0114" w:rsidRPr="004E091C">
        <w:rPr>
          <w:color w:val="auto"/>
        </w:rPr>
        <w:t xml:space="preserve"> </w:t>
      </w:r>
      <w:r w:rsidR="00183416" w:rsidRPr="004E091C">
        <w:rPr>
          <w:color w:val="auto"/>
        </w:rPr>
        <w:t xml:space="preserve">It is recognized, in fact, that PEB’s across the services sometimes apply an overly generous initial rating in order to meet the DoD requirement of 30% disability for placement on TDRL. </w:t>
      </w:r>
      <w:r w:rsidR="001D0114" w:rsidRPr="004E091C">
        <w:rPr>
          <w:color w:val="auto"/>
        </w:rPr>
        <w:t xml:space="preserve"> </w:t>
      </w:r>
      <w:r w:rsidR="00183416" w:rsidRPr="004E091C">
        <w:rPr>
          <w:color w:val="auto"/>
        </w:rPr>
        <w:t xml:space="preserve">This is in the member’s best interest at the time and does not mean that a final lower rating is unfair, even if perceived as incongruent with subjective severity from one rating to the next. </w:t>
      </w:r>
      <w:r w:rsidR="001D0114" w:rsidRPr="004E091C">
        <w:rPr>
          <w:color w:val="auto"/>
        </w:rPr>
        <w:t xml:space="preserve"> </w:t>
      </w:r>
      <w:r w:rsidR="00183416" w:rsidRPr="004E091C">
        <w:rPr>
          <w:color w:val="auto"/>
        </w:rPr>
        <w:t>Thus the sole basis for the Board’s permanent disability recommendation is the optimal VASRD rating for disability at the time the CI is permanently separated at exit from TDRL.</w:t>
      </w:r>
      <w:r w:rsidR="001D0114" w:rsidRPr="004E091C">
        <w:rPr>
          <w:color w:val="auto"/>
        </w:rPr>
        <w:t xml:space="preserve">  </w:t>
      </w:r>
      <w:r w:rsidR="00105ED5" w:rsidRPr="004E091C">
        <w:rPr>
          <w:color w:val="auto"/>
        </w:rPr>
        <w:t>The Board also acknowledges the CI's contention suggesting that service ratings should have been conferred for other conditions documented at the time of separation and for conditions not diagnosed while in the service (but</w:t>
      </w:r>
      <w:r w:rsidR="00DE6ABF">
        <w:rPr>
          <w:color w:val="auto"/>
        </w:rPr>
        <w:t xml:space="preserve"> later determined to be service-</w:t>
      </w:r>
      <w:r w:rsidR="00105ED5" w:rsidRPr="004E091C">
        <w:rPr>
          <w:color w:val="auto"/>
        </w:rPr>
        <w:t xml:space="preserve">connected by the </w:t>
      </w:r>
      <w:r w:rsidR="00DE6ABF">
        <w:rPr>
          <w:color w:val="auto"/>
        </w:rPr>
        <w:t>Department of Veterans’ Affairs (D</w:t>
      </w:r>
      <w:r w:rsidR="00105ED5" w:rsidRPr="004E091C">
        <w:rPr>
          <w:color w:val="auto"/>
        </w:rPr>
        <w:t>VA</w:t>
      </w:r>
      <w:r w:rsidR="00DE6ABF">
        <w:rPr>
          <w:color w:val="auto"/>
        </w:rPr>
        <w:t>)</w:t>
      </w:r>
      <w:r w:rsidR="00105ED5" w:rsidRPr="004E091C">
        <w:rPr>
          <w:color w:val="auto"/>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253495" w:rsidRPr="004E091C">
        <w:rPr>
          <w:color w:val="auto"/>
        </w:rPr>
        <w:t xml:space="preserve"> In TDRL cases, the Board must also adhere to the DES standard that only those conditions which were present and unfitting at the time of temporary retirement may be considered for compensation</w:t>
      </w:r>
      <w:r w:rsidR="00253495" w:rsidRPr="00E236F3">
        <w:rPr>
          <w:color w:val="auto"/>
        </w:rPr>
        <w:t xml:space="preserve"> and rating at the time of permanent separation or retirement.  The </w:t>
      </w:r>
      <w:r w:rsidR="00DE6ABF">
        <w:rPr>
          <w:color w:val="auto"/>
        </w:rPr>
        <w:t>DVA</w:t>
      </w:r>
      <w:r w:rsidR="00253495" w:rsidRPr="00E236F3">
        <w:rPr>
          <w:color w:val="auto"/>
        </w:rPr>
        <w:t xml:space="preserve">, however, operating under a different set of laws (Title 38, United States Code), is </w:t>
      </w:r>
      <w:r w:rsidR="00DE6ABF">
        <w:rPr>
          <w:color w:val="auto"/>
        </w:rPr>
        <w:t>empowered to compensate service-</w:t>
      </w:r>
      <w:r w:rsidR="00253495" w:rsidRPr="00E236F3">
        <w:rPr>
          <w:color w:val="auto"/>
        </w:rPr>
        <w:t xml:space="preserve">connected conditions and to periodically re-evaluate said conditions for the purpose of adjusting the </w:t>
      </w:r>
      <w:r w:rsidR="00DE6ABF">
        <w:rPr>
          <w:color w:val="auto"/>
        </w:rPr>
        <w:t>V</w:t>
      </w:r>
      <w:r w:rsidR="00253495" w:rsidRPr="00E236F3">
        <w:rPr>
          <w:color w:val="auto"/>
        </w:rPr>
        <w:t xml:space="preserve">eteran’s disability rating should </w:t>
      </w:r>
      <w:r w:rsidR="00DE6ABF">
        <w:rPr>
          <w:color w:val="auto"/>
        </w:rPr>
        <w:t>the</w:t>
      </w:r>
      <w:r w:rsidR="00253495" w:rsidRPr="00E236F3">
        <w:rPr>
          <w:color w:val="auto"/>
        </w:rPr>
        <w:t xml:space="preserve"> degree of impairment vary over time.</w:t>
      </w:r>
      <w:r w:rsidR="00130F24">
        <w:rPr>
          <w:color w:val="auto"/>
        </w:rPr>
        <w:t xml:space="preserve">  </w:t>
      </w:r>
    </w:p>
    <w:p w:rsidR="006A5FA7" w:rsidRDefault="006A5FA7" w:rsidP="00367F6B">
      <w:pPr>
        <w:spacing w:line="240" w:lineRule="exact"/>
        <w:jc w:val="both"/>
        <w:rPr>
          <w:color w:val="auto"/>
        </w:rPr>
      </w:pPr>
    </w:p>
    <w:p w:rsidR="006A5FA7" w:rsidRDefault="006A5FA7" w:rsidP="00367F6B">
      <w:pPr>
        <w:spacing w:line="240" w:lineRule="exact"/>
        <w:jc w:val="both"/>
        <w:rPr>
          <w:color w:val="auto"/>
        </w:rPr>
      </w:pPr>
      <w:r w:rsidRPr="004E091C">
        <w:rPr>
          <w:color w:val="auto"/>
          <w:szCs w:val="24"/>
        </w:rPr>
        <w:t xml:space="preserve">The PEB determinations reflected application of </w:t>
      </w:r>
      <w:r w:rsidRPr="004E091C">
        <w:rPr>
          <w:rFonts w:cs="Calibri"/>
          <w:color w:val="000000"/>
          <w:szCs w:val="24"/>
        </w:rPr>
        <w:t>DoDI 1332.39 (E2.A1.4.1.4),</w:t>
      </w:r>
      <w:r w:rsidRPr="00944E40">
        <w:rPr>
          <w:rFonts w:cs="Calibri"/>
          <w:color w:val="000000"/>
          <w:szCs w:val="24"/>
        </w:rPr>
        <w:t xml:space="preserve"> (since rescinded), which defined “prostrating” as “the service member must stop what he or she is doing and seek medical attention.”</w:t>
      </w:r>
      <w:r>
        <w:rPr>
          <w:rFonts w:cs="Calibri"/>
          <w:color w:val="000000"/>
          <w:szCs w:val="24"/>
        </w:rPr>
        <w:t xml:space="preserve">  </w:t>
      </w:r>
      <w:r w:rsidRPr="00944E40">
        <w:rPr>
          <w:color w:val="auto"/>
          <w:szCs w:val="24"/>
        </w:rPr>
        <w:t>The VASRD §4.</w:t>
      </w:r>
      <w:r w:rsidR="00DE6ABF">
        <w:rPr>
          <w:color w:val="auto"/>
          <w:szCs w:val="24"/>
        </w:rPr>
        <w:t>124a rating schedule for 8100 (m</w:t>
      </w:r>
      <w:r w:rsidRPr="00944E40">
        <w:rPr>
          <w:color w:val="auto"/>
          <w:szCs w:val="24"/>
        </w:rPr>
        <w:t xml:space="preserve">igraine) rests heavily on the frequency of ‘prostrating’ attacks.  VA guidance uses the clear English definition of prostrating and significantly differs from the DoDI 1332.39 (E2.A1.4.1.4) in that seeking medical attention is not required.  By precedence the Board requires evidence only that an attack forces notable abandonment of work or activity at hand to seek </w:t>
      </w:r>
      <w:r>
        <w:rPr>
          <w:color w:val="auto"/>
          <w:szCs w:val="24"/>
        </w:rPr>
        <w:t>relief</w:t>
      </w:r>
      <w:r w:rsidRPr="00944E40">
        <w:rPr>
          <w:color w:val="auto"/>
          <w:szCs w:val="24"/>
        </w:rPr>
        <w:t xml:space="preserve"> (which includes self-medication and/or sleep), or to escape noxious stimuli in the immediate environment, in order for it to be characterized as prostrating.</w:t>
      </w:r>
    </w:p>
    <w:p w:rsidR="00130F24" w:rsidRDefault="00130F24" w:rsidP="006F762B">
      <w:pPr>
        <w:spacing w:line="240" w:lineRule="exact"/>
        <w:jc w:val="both"/>
        <w:rPr>
          <w:color w:val="auto"/>
          <w:szCs w:val="24"/>
          <w:u w:val="single"/>
        </w:rPr>
      </w:pPr>
    </w:p>
    <w:p w:rsidR="00E11DE7" w:rsidRPr="00944E40" w:rsidRDefault="00E11DE7" w:rsidP="00944E40">
      <w:pPr>
        <w:spacing w:line="240" w:lineRule="exact"/>
        <w:jc w:val="both"/>
        <w:rPr>
          <w:color w:val="auto"/>
          <w:szCs w:val="24"/>
        </w:rPr>
      </w:pPr>
      <w:r w:rsidRPr="00944E40">
        <w:rPr>
          <w:color w:val="auto"/>
          <w:szCs w:val="24"/>
          <w:u w:val="single"/>
        </w:rPr>
        <w:t xml:space="preserve">Migraine </w:t>
      </w:r>
      <w:r w:rsidR="00160EEC">
        <w:rPr>
          <w:color w:val="auto"/>
          <w:szCs w:val="24"/>
          <w:u w:val="single"/>
        </w:rPr>
        <w:t xml:space="preserve">and Mixed Type </w:t>
      </w:r>
      <w:r w:rsidRPr="00944E40">
        <w:rPr>
          <w:color w:val="auto"/>
          <w:szCs w:val="24"/>
          <w:u w:val="single"/>
        </w:rPr>
        <w:t>Headaches</w:t>
      </w:r>
      <w:r w:rsidR="004C60A3" w:rsidRPr="00367F6B">
        <w:rPr>
          <w:color w:val="auto"/>
          <w:szCs w:val="24"/>
        </w:rPr>
        <w:t>.</w:t>
      </w:r>
      <w:r w:rsidR="00BB72A5" w:rsidRPr="00367F6B">
        <w:rPr>
          <w:color w:val="auto"/>
          <w:szCs w:val="24"/>
        </w:rPr>
        <w:t xml:space="preserve"> </w:t>
      </w:r>
      <w:r w:rsidRPr="00944E40">
        <w:rPr>
          <w:color w:val="auto"/>
          <w:szCs w:val="24"/>
        </w:rPr>
        <w:t xml:space="preserve"> The </w:t>
      </w:r>
      <w:r w:rsidRPr="00474B12">
        <w:rPr>
          <w:color w:val="auto"/>
          <w:szCs w:val="24"/>
        </w:rPr>
        <w:t xml:space="preserve">MEB </w:t>
      </w:r>
      <w:r w:rsidR="00DE6ABF">
        <w:rPr>
          <w:color w:val="auto"/>
          <w:szCs w:val="24"/>
        </w:rPr>
        <w:t>narrative summary (</w:t>
      </w:r>
      <w:r w:rsidRPr="00474B12">
        <w:rPr>
          <w:color w:val="auto"/>
          <w:szCs w:val="24"/>
        </w:rPr>
        <w:t>NARSUM</w:t>
      </w:r>
      <w:r w:rsidR="00DE6ABF">
        <w:rPr>
          <w:color w:val="auto"/>
          <w:szCs w:val="24"/>
        </w:rPr>
        <w:t>)</w:t>
      </w:r>
      <w:r w:rsidR="00474B12" w:rsidRPr="00474B12">
        <w:rPr>
          <w:color w:val="auto"/>
          <w:szCs w:val="24"/>
        </w:rPr>
        <w:t>,</w:t>
      </w:r>
      <w:r w:rsidR="00474B12" w:rsidRPr="00474B12">
        <w:rPr>
          <w:color w:val="auto"/>
        </w:rPr>
        <w:t xml:space="preserve"> </w:t>
      </w:r>
      <w:r w:rsidR="00DE6ABF">
        <w:rPr>
          <w:color w:val="auto"/>
        </w:rPr>
        <w:t>2</w:t>
      </w:r>
      <w:r w:rsidR="00474B12" w:rsidRPr="00474B12">
        <w:rPr>
          <w:color w:val="auto"/>
        </w:rPr>
        <w:t xml:space="preserve"> months prior to placement on the TDRL,</w:t>
      </w:r>
      <w:r w:rsidRPr="00474B12">
        <w:rPr>
          <w:color w:val="auto"/>
          <w:szCs w:val="24"/>
        </w:rPr>
        <w:t xml:space="preserve"> documented a history of sharp, throbbing </w:t>
      </w:r>
      <w:r w:rsidR="00213B57" w:rsidRPr="00474B12">
        <w:rPr>
          <w:color w:val="auto"/>
          <w:szCs w:val="24"/>
        </w:rPr>
        <w:t>headaches</w:t>
      </w:r>
      <w:r w:rsidR="005C7D64" w:rsidRPr="00474B12">
        <w:rPr>
          <w:color w:val="auto"/>
          <w:szCs w:val="24"/>
        </w:rPr>
        <w:t xml:space="preserve"> starting at the apex of the skull and radiating to the bilateral frontal lobes</w:t>
      </w:r>
      <w:r w:rsidR="00213B57" w:rsidRPr="00474B12">
        <w:rPr>
          <w:color w:val="auto"/>
          <w:szCs w:val="24"/>
        </w:rPr>
        <w:t xml:space="preserve"> since November 2001</w:t>
      </w:r>
      <w:r w:rsidRPr="00474B12">
        <w:rPr>
          <w:color w:val="auto"/>
          <w:szCs w:val="24"/>
        </w:rPr>
        <w:t xml:space="preserve">.  The headaches were accompanied by visual </w:t>
      </w:r>
      <w:r w:rsidR="005C7D64" w:rsidRPr="00474B12">
        <w:rPr>
          <w:color w:val="auto"/>
          <w:szCs w:val="24"/>
        </w:rPr>
        <w:t>scotoma,</w:t>
      </w:r>
      <w:r w:rsidRPr="00474B12">
        <w:rPr>
          <w:color w:val="auto"/>
          <w:szCs w:val="24"/>
        </w:rPr>
        <w:t xml:space="preserve"> photophobia</w:t>
      </w:r>
      <w:r w:rsidRPr="00944E40">
        <w:rPr>
          <w:color w:val="auto"/>
          <w:szCs w:val="24"/>
        </w:rPr>
        <w:t xml:space="preserve"> and nausea.  The CI reported that the headaches occurred four times per week, with each episode lasting in excess of </w:t>
      </w:r>
      <w:r w:rsidR="00DE6ABF">
        <w:rPr>
          <w:color w:val="auto"/>
          <w:szCs w:val="24"/>
        </w:rPr>
        <w:t>2</w:t>
      </w:r>
      <w:r w:rsidRPr="00944E40">
        <w:rPr>
          <w:color w:val="auto"/>
          <w:szCs w:val="24"/>
        </w:rPr>
        <w:t xml:space="preserve"> hours, and only resolving with sleep.  </w:t>
      </w:r>
      <w:r w:rsidR="005C7D64" w:rsidRPr="00944E40">
        <w:rPr>
          <w:color w:val="auto"/>
          <w:szCs w:val="24"/>
        </w:rPr>
        <w:t xml:space="preserve">Treatment with medications </w:t>
      </w:r>
      <w:r w:rsidR="009318E5" w:rsidRPr="00130F24">
        <w:rPr>
          <w:color w:val="auto"/>
          <w:szCs w:val="24"/>
        </w:rPr>
        <w:t>(</w:t>
      </w:r>
      <w:r w:rsidR="005C7D64" w:rsidRPr="00130F24">
        <w:rPr>
          <w:color w:val="auto"/>
          <w:szCs w:val="24"/>
        </w:rPr>
        <w:t xml:space="preserve">to include Zomig, Depakote, propranolol, </w:t>
      </w:r>
      <w:r w:rsidR="003049C5" w:rsidRPr="00130F24">
        <w:rPr>
          <w:color w:val="auto"/>
          <w:szCs w:val="24"/>
        </w:rPr>
        <w:t xml:space="preserve">Midrin, Pamelor, </w:t>
      </w:r>
      <w:r w:rsidR="009318E5" w:rsidRPr="00130F24">
        <w:rPr>
          <w:color w:val="auto"/>
          <w:szCs w:val="24"/>
        </w:rPr>
        <w:t>and Xanax)</w:t>
      </w:r>
      <w:r w:rsidR="005C7D64" w:rsidRPr="00944E40">
        <w:rPr>
          <w:color w:val="auto"/>
          <w:szCs w:val="24"/>
        </w:rPr>
        <w:t xml:space="preserve"> had not been successful in decreasing the </w:t>
      </w:r>
      <w:r w:rsidR="00253495" w:rsidRPr="00944E40">
        <w:rPr>
          <w:color w:val="auto"/>
          <w:szCs w:val="24"/>
        </w:rPr>
        <w:t xml:space="preserve">frequency or severity of the </w:t>
      </w:r>
      <w:r w:rsidR="005C7D64" w:rsidRPr="00944E40">
        <w:rPr>
          <w:color w:val="auto"/>
          <w:szCs w:val="24"/>
        </w:rPr>
        <w:t xml:space="preserve">headaches.  </w:t>
      </w:r>
      <w:r w:rsidR="0048567F" w:rsidRPr="00944E40">
        <w:rPr>
          <w:color w:val="auto"/>
          <w:szCs w:val="24"/>
        </w:rPr>
        <w:t>The physical exam was reported as “entirely within normal limits</w:t>
      </w:r>
      <w:r w:rsidRPr="00944E40">
        <w:rPr>
          <w:color w:val="auto"/>
          <w:szCs w:val="24"/>
        </w:rPr>
        <w:t>.</w:t>
      </w:r>
      <w:r w:rsidR="0048567F" w:rsidRPr="00944E40">
        <w:rPr>
          <w:color w:val="auto"/>
          <w:szCs w:val="24"/>
        </w:rPr>
        <w:t xml:space="preserve">”  The NARSUM examiner noted that a March 2003 MRI had documented </w:t>
      </w:r>
      <w:r w:rsidR="005C7D64" w:rsidRPr="00944E40">
        <w:rPr>
          <w:color w:val="auto"/>
          <w:szCs w:val="24"/>
        </w:rPr>
        <w:t xml:space="preserve">no abnormalities other than </w:t>
      </w:r>
      <w:r w:rsidR="0048567F" w:rsidRPr="00944E40">
        <w:rPr>
          <w:color w:val="auto"/>
          <w:szCs w:val="24"/>
        </w:rPr>
        <w:t>the absence of the right posterior communicating artery and a small left communicating artery</w:t>
      </w:r>
      <w:r w:rsidR="005C7D64" w:rsidRPr="00944E40">
        <w:rPr>
          <w:color w:val="auto"/>
          <w:szCs w:val="24"/>
        </w:rPr>
        <w:t xml:space="preserve">, which were likely normal variants.  </w:t>
      </w:r>
    </w:p>
    <w:p w:rsidR="005C7D64" w:rsidRPr="00944E40" w:rsidRDefault="005C7D64" w:rsidP="00944E40">
      <w:pPr>
        <w:spacing w:line="240" w:lineRule="exact"/>
        <w:jc w:val="both"/>
        <w:rPr>
          <w:color w:val="auto"/>
          <w:szCs w:val="24"/>
        </w:rPr>
      </w:pPr>
    </w:p>
    <w:p w:rsidR="005C7D64" w:rsidRPr="00944E40" w:rsidRDefault="005C7D64" w:rsidP="00944E40">
      <w:pPr>
        <w:spacing w:line="240" w:lineRule="exact"/>
        <w:jc w:val="both"/>
        <w:rPr>
          <w:color w:val="auto"/>
          <w:szCs w:val="24"/>
        </w:rPr>
      </w:pPr>
      <w:r w:rsidRPr="00944E40">
        <w:rPr>
          <w:color w:val="auto"/>
          <w:szCs w:val="24"/>
        </w:rPr>
        <w:t xml:space="preserve">The commander’s statement noted that “during a migraine attack, </w:t>
      </w:r>
      <w:r w:rsidR="00DE6ABF">
        <w:rPr>
          <w:color w:val="auto"/>
          <w:szCs w:val="24"/>
        </w:rPr>
        <w:t>Specialist</w:t>
      </w:r>
      <w:r w:rsidRPr="00944E40">
        <w:rPr>
          <w:color w:val="auto"/>
          <w:szCs w:val="24"/>
        </w:rPr>
        <w:t xml:space="preserve"> is completely disabled from accomplishing any soldier’s skill task or MOS specific task.</w:t>
      </w:r>
      <w:r w:rsidR="003A0D9B" w:rsidRPr="00944E40">
        <w:rPr>
          <w:color w:val="auto"/>
          <w:szCs w:val="24"/>
        </w:rPr>
        <w:t>”</w:t>
      </w:r>
      <w:r w:rsidRPr="00944E40">
        <w:rPr>
          <w:color w:val="auto"/>
          <w:szCs w:val="24"/>
        </w:rPr>
        <w:t xml:space="preserve">  </w:t>
      </w:r>
      <w:r w:rsidR="003A0D9B" w:rsidRPr="00944E40">
        <w:rPr>
          <w:color w:val="auto"/>
          <w:szCs w:val="24"/>
        </w:rPr>
        <w:t xml:space="preserve">The commander also commented that the headaches occurred </w:t>
      </w:r>
      <w:r w:rsidR="003A0D9B" w:rsidRPr="004E091C">
        <w:rPr>
          <w:color w:val="auto"/>
          <w:szCs w:val="24"/>
        </w:rPr>
        <w:t>at least four times per week and resulted in the CI being sent home to rest and recover.  The</w:t>
      </w:r>
      <w:r w:rsidR="003A0D9B" w:rsidRPr="00944E40">
        <w:rPr>
          <w:color w:val="auto"/>
          <w:szCs w:val="24"/>
        </w:rPr>
        <w:t xml:space="preserve"> profile limitations noted that the CI was unable to think coherently during migraine attacks.  The PEB noted migraine headaches that were prostrating and resistant to therapy and placed the CI on the TDRL with a 30% rating.</w:t>
      </w:r>
    </w:p>
    <w:p w:rsidR="00FB65ED" w:rsidRPr="00944E40" w:rsidRDefault="00FB65ED" w:rsidP="00944E40">
      <w:pPr>
        <w:spacing w:line="240" w:lineRule="exact"/>
        <w:jc w:val="both"/>
        <w:rPr>
          <w:color w:val="auto"/>
          <w:szCs w:val="24"/>
        </w:rPr>
      </w:pPr>
    </w:p>
    <w:p w:rsidR="000C6403" w:rsidRPr="004E091C" w:rsidRDefault="003A0D9B" w:rsidP="00944E40">
      <w:pPr>
        <w:spacing w:line="240" w:lineRule="exact"/>
        <w:jc w:val="both"/>
        <w:rPr>
          <w:color w:val="auto"/>
          <w:szCs w:val="24"/>
        </w:rPr>
      </w:pPr>
      <w:r w:rsidRPr="00944E40">
        <w:rPr>
          <w:color w:val="auto"/>
          <w:szCs w:val="24"/>
        </w:rPr>
        <w:lastRenderedPageBreak/>
        <w:t xml:space="preserve">The VA </w:t>
      </w:r>
      <w:r w:rsidR="00DE6ABF">
        <w:rPr>
          <w:color w:val="auto"/>
          <w:szCs w:val="24"/>
        </w:rPr>
        <w:t>Compensation and Pension (</w:t>
      </w:r>
      <w:r w:rsidRPr="00944E40">
        <w:rPr>
          <w:color w:val="auto"/>
          <w:szCs w:val="24"/>
        </w:rPr>
        <w:t>C&amp;P</w:t>
      </w:r>
      <w:r w:rsidR="00DE6ABF">
        <w:rPr>
          <w:color w:val="auto"/>
          <w:szCs w:val="24"/>
        </w:rPr>
        <w:t>)</w:t>
      </w:r>
      <w:r w:rsidRPr="00944E40">
        <w:rPr>
          <w:color w:val="auto"/>
          <w:szCs w:val="24"/>
        </w:rPr>
        <w:t xml:space="preserve"> exam</w:t>
      </w:r>
      <w:r w:rsidR="00474B12">
        <w:rPr>
          <w:color w:val="auto"/>
          <w:szCs w:val="24"/>
        </w:rPr>
        <w:t xml:space="preserve">, </w:t>
      </w:r>
      <w:r w:rsidR="00474B12" w:rsidRPr="00474B12">
        <w:rPr>
          <w:color w:val="auto"/>
          <w:szCs w:val="24"/>
        </w:rPr>
        <w:t>1 month prior to placement on the TDRL,</w:t>
      </w:r>
      <w:r w:rsidR="003049C5" w:rsidRPr="00474B12">
        <w:rPr>
          <w:color w:val="auto"/>
          <w:szCs w:val="24"/>
        </w:rPr>
        <w:t xml:space="preserve"> </w:t>
      </w:r>
      <w:r w:rsidR="003049C5" w:rsidRPr="00944E40">
        <w:rPr>
          <w:color w:val="auto"/>
          <w:szCs w:val="24"/>
        </w:rPr>
        <w:t xml:space="preserve">documented headaches occurring four times weekly and lasting for </w:t>
      </w:r>
      <w:r w:rsidR="00DE6ABF">
        <w:rPr>
          <w:color w:val="auto"/>
          <w:szCs w:val="24"/>
        </w:rPr>
        <w:t>7</w:t>
      </w:r>
      <w:r w:rsidR="003049C5" w:rsidRPr="00944E40">
        <w:rPr>
          <w:color w:val="auto"/>
          <w:szCs w:val="24"/>
        </w:rPr>
        <w:t xml:space="preserve"> to </w:t>
      </w:r>
      <w:r w:rsidR="00DE6ABF">
        <w:rPr>
          <w:color w:val="auto"/>
          <w:szCs w:val="24"/>
        </w:rPr>
        <w:t>8</w:t>
      </w:r>
      <w:r w:rsidR="003049C5" w:rsidRPr="00944E40">
        <w:rPr>
          <w:color w:val="auto"/>
          <w:szCs w:val="24"/>
        </w:rPr>
        <w:t xml:space="preserve"> hours.  </w:t>
      </w:r>
      <w:r w:rsidR="006F762B" w:rsidRPr="00944E40">
        <w:rPr>
          <w:color w:val="auto"/>
          <w:szCs w:val="24"/>
        </w:rPr>
        <w:t xml:space="preserve">The exam did not specify the presence or frequency of prostrating headaches.  </w:t>
      </w:r>
      <w:r w:rsidR="003049C5" w:rsidRPr="00944E40">
        <w:rPr>
          <w:color w:val="auto"/>
          <w:szCs w:val="24"/>
        </w:rPr>
        <w:t>The examiner noted triggers of noise, light and peanut butter.  On exam, the CI had a normal gait and did not require an assistive device for ambulation.  The neurologic exam was listed as “grossly intact</w:t>
      </w:r>
      <w:r w:rsidR="003049C5" w:rsidRPr="004E091C">
        <w:rPr>
          <w:color w:val="auto"/>
          <w:szCs w:val="24"/>
        </w:rPr>
        <w:t>.”  The VARD</w:t>
      </w:r>
      <w:r w:rsidR="000C6403" w:rsidRPr="004E091C">
        <w:rPr>
          <w:color w:val="auto"/>
          <w:szCs w:val="24"/>
        </w:rPr>
        <w:t xml:space="preserve"> </w:t>
      </w:r>
      <w:r w:rsidR="00443525" w:rsidRPr="004E091C">
        <w:rPr>
          <w:color w:val="auto"/>
          <w:szCs w:val="24"/>
        </w:rPr>
        <w:t>referenced</w:t>
      </w:r>
      <w:r w:rsidR="000C6403" w:rsidRPr="004E091C">
        <w:rPr>
          <w:color w:val="auto"/>
          <w:szCs w:val="24"/>
        </w:rPr>
        <w:t xml:space="preserve"> the MEB documentation of disabling attacks occurring four times a week and assigned a rating of 50%.</w:t>
      </w:r>
    </w:p>
    <w:p w:rsidR="00B21051" w:rsidRPr="004E091C" w:rsidRDefault="00B21051" w:rsidP="00944E40">
      <w:pPr>
        <w:spacing w:line="240" w:lineRule="exact"/>
        <w:jc w:val="both"/>
        <w:rPr>
          <w:color w:val="auto"/>
          <w:szCs w:val="24"/>
        </w:rPr>
      </w:pPr>
    </w:p>
    <w:p w:rsidR="00581D8F" w:rsidRPr="00944E40" w:rsidRDefault="000C6403" w:rsidP="00944E40">
      <w:pPr>
        <w:spacing w:line="240" w:lineRule="exact"/>
        <w:jc w:val="both"/>
        <w:rPr>
          <w:color w:val="auto"/>
          <w:szCs w:val="24"/>
        </w:rPr>
      </w:pPr>
      <w:r w:rsidRPr="004E091C">
        <w:rPr>
          <w:color w:val="auto"/>
          <w:szCs w:val="24"/>
        </w:rPr>
        <w:t>Following placement on the TDRL, the CI sought treatment for his headaches from civilian providers and the VA health clinics.  He had some temporary improvement in his headache symptoms immediately after separation from the service, however</w:t>
      </w:r>
      <w:r w:rsidR="00130F24" w:rsidRPr="004E091C">
        <w:rPr>
          <w:color w:val="auto"/>
          <w:szCs w:val="24"/>
        </w:rPr>
        <w:t>,</w:t>
      </w:r>
      <w:r w:rsidRPr="004E091C">
        <w:rPr>
          <w:color w:val="auto"/>
          <w:szCs w:val="24"/>
        </w:rPr>
        <w:t xml:space="preserve"> the headaches later increased in frequency.  </w:t>
      </w:r>
      <w:r w:rsidR="006B60D4" w:rsidRPr="004E091C">
        <w:rPr>
          <w:color w:val="auto"/>
          <w:szCs w:val="24"/>
        </w:rPr>
        <w:t>The CI was evaluated by a civilian neurologist in</w:t>
      </w:r>
      <w:r w:rsidRPr="004E091C">
        <w:rPr>
          <w:color w:val="auto"/>
          <w:szCs w:val="24"/>
        </w:rPr>
        <w:t xml:space="preserve"> October 2003</w:t>
      </w:r>
      <w:r w:rsidR="006B60D4" w:rsidRPr="004E091C">
        <w:rPr>
          <w:color w:val="auto"/>
          <w:szCs w:val="24"/>
        </w:rPr>
        <w:t xml:space="preserve"> for treatment of headaches occurring every </w:t>
      </w:r>
      <w:r w:rsidR="00DE6ABF">
        <w:rPr>
          <w:color w:val="auto"/>
          <w:szCs w:val="24"/>
        </w:rPr>
        <w:t>2</w:t>
      </w:r>
      <w:r w:rsidR="006B60D4" w:rsidRPr="004E091C">
        <w:rPr>
          <w:color w:val="auto"/>
          <w:szCs w:val="24"/>
        </w:rPr>
        <w:t xml:space="preserve"> to </w:t>
      </w:r>
      <w:r w:rsidR="00DE6ABF">
        <w:rPr>
          <w:color w:val="auto"/>
          <w:szCs w:val="24"/>
        </w:rPr>
        <w:t>3</w:t>
      </w:r>
      <w:r w:rsidR="006B60D4" w:rsidRPr="004E091C">
        <w:rPr>
          <w:color w:val="auto"/>
          <w:szCs w:val="24"/>
        </w:rPr>
        <w:t xml:space="preserve"> days and lasting up to </w:t>
      </w:r>
      <w:r w:rsidR="00DE6ABF">
        <w:rPr>
          <w:color w:val="auto"/>
          <w:szCs w:val="24"/>
        </w:rPr>
        <w:t>8</w:t>
      </w:r>
      <w:r w:rsidR="006B60D4" w:rsidRPr="004E091C">
        <w:rPr>
          <w:color w:val="auto"/>
          <w:szCs w:val="24"/>
        </w:rPr>
        <w:t xml:space="preserve"> hours.  The neurologist diagnosed medication overuse as the most likely etiology of the CI’s headaches,</w:t>
      </w:r>
      <w:r w:rsidR="006B60D4" w:rsidRPr="00944E40">
        <w:rPr>
          <w:color w:val="auto"/>
          <w:szCs w:val="24"/>
        </w:rPr>
        <w:t xml:space="preserve"> and he advised the CI to discontinue all of his current medications</w:t>
      </w:r>
      <w:r w:rsidR="00130F24">
        <w:rPr>
          <w:color w:val="auto"/>
          <w:szCs w:val="24"/>
        </w:rPr>
        <w:t xml:space="preserve"> (</w:t>
      </w:r>
      <w:r w:rsidR="006B60D4" w:rsidRPr="00944E40">
        <w:rPr>
          <w:color w:val="auto"/>
          <w:szCs w:val="24"/>
        </w:rPr>
        <w:t>to include Nortriptyline, Midrin and Celebrex</w:t>
      </w:r>
      <w:r w:rsidR="00510629">
        <w:rPr>
          <w:color w:val="auto"/>
          <w:szCs w:val="24"/>
        </w:rPr>
        <w:t xml:space="preserve">; </w:t>
      </w:r>
      <w:r w:rsidR="00510629" w:rsidRPr="004E091C">
        <w:rPr>
          <w:color w:val="auto"/>
          <w:szCs w:val="24"/>
        </w:rPr>
        <w:t>due to possible medication over-use headaches</w:t>
      </w:r>
      <w:r w:rsidR="00130F24" w:rsidRPr="004E091C">
        <w:rPr>
          <w:color w:val="auto"/>
          <w:szCs w:val="24"/>
        </w:rPr>
        <w:t>)</w:t>
      </w:r>
      <w:r w:rsidR="006B60D4" w:rsidRPr="004E091C">
        <w:rPr>
          <w:color w:val="auto"/>
          <w:szCs w:val="24"/>
        </w:rPr>
        <w:t xml:space="preserve">.  </w:t>
      </w:r>
      <w:r w:rsidR="009F4A6F" w:rsidRPr="004E091C">
        <w:rPr>
          <w:color w:val="auto"/>
          <w:szCs w:val="24"/>
        </w:rPr>
        <w:t xml:space="preserve">The CI was given </w:t>
      </w:r>
      <w:r w:rsidR="00130F24" w:rsidRPr="004E091C">
        <w:rPr>
          <w:color w:val="auto"/>
          <w:szCs w:val="24"/>
        </w:rPr>
        <w:t>a different medication (</w:t>
      </w:r>
      <w:r w:rsidR="006B60D4" w:rsidRPr="004E091C">
        <w:rPr>
          <w:color w:val="auto"/>
          <w:szCs w:val="24"/>
        </w:rPr>
        <w:t>Maxalt-MLT</w:t>
      </w:r>
      <w:r w:rsidR="00130F24" w:rsidRPr="004E091C">
        <w:rPr>
          <w:color w:val="auto"/>
          <w:szCs w:val="24"/>
        </w:rPr>
        <w:t>)</w:t>
      </w:r>
      <w:r w:rsidR="009F4A6F" w:rsidRPr="004E091C">
        <w:rPr>
          <w:color w:val="auto"/>
          <w:szCs w:val="24"/>
        </w:rPr>
        <w:t xml:space="preserve"> samples to use in case of headaches that were “more migraine-like.”  A</w:t>
      </w:r>
      <w:r w:rsidR="00746F2B" w:rsidRPr="004E091C">
        <w:rPr>
          <w:color w:val="auto"/>
          <w:szCs w:val="24"/>
        </w:rPr>
        <w:t>n</w:t>
      </w:r>
      <w:r w:rsidR="009F4A6F" w:rsidRPr="004E091C">
        <w:rPr>
          <w:color w:val="auto"/>
          <w:szCs w:val="24"/>
        </w:rPr>
        <w:t xml:space="preserve"> </w:t>
      </w:r>
      <w:r w:rsidR="00746F2B" w:rsidRPr="004E091C">
        <w:rPr>
          <w:color w:val="auto"/>
          <w:szCs w:val="24"/>
        </w:rPr>
        <w:t>April 200</w:t>
      </w:r>
      <w:r w:rsidR="00764AD3" w:rsidRPr="004E091C">
        <w:rPr>
          <w:color w:val="auto"/>
          <w:szCs w:val="24"/>
        </w:rPr>
        <w:t>4</w:t>
      </w:r>
      <w:r w:rsidR="00746F2B" w:rsidRPr="004E091C">
        <w:rPr>
          <w:color w:val="auto"/>
          <w:szCs w:val="24"/>
        </w:rPr>
        <w:t xml:space="preserve"> </w:t>
      </w:r>
      <w:r w:rsidR="009F4A6F" w:rsidRPr="004E091C">
        <w:rPr>
          <w:color w:val="auto"/>
          <w:szCs w:val="24"/>
        </w:rPr>
        <w:t>VA clinic treatment note</w:t>
      </w:r>
      <w:r w:rsidR="00746F2B" w:rsidRPr="004E091C">
        <w:rPr>
          <w:color w:val="auto"/>
          <w:szCs w:val="24"/>
        </w:rPr>
        <w:t xml:space="preserve"> documented </w:t>
      </w:r>
      <w:r w:rsidR="00130F24" w:rsidRPr="004E091C">
        <w:rPr>
          <w:color w:val="auto"/>
          <w:szCs w:val="24"/>
        </w:rPr>
        <w:t xml:space="preserve">some </w:t>
      </w:r>
      <w:r w:rsidR="00746F2B" w:rsidRPr="004E091C">
        <w:rPr>
          <w:color w:val="auto"/>
          <w:szCs w:val="24"/>
        </w:rPr>
        <w:t>improvement</w:t>
      </w:r>
      <w:r w:rsidR="009F4A6F" w:rsidRPr="004E091C">
        <w:rPr>
          <w:color w:val="auto"/>
          <w:szCs w:val="24"/>
        </w:rPr>
        <w:t xml:space="preserve"> </w:t>
      </w:r>
      <w:r w:rsidR="00746F2B" w:rsidRPr="004E091C">
        <w:rPr>
          <w:color w:val="auto"/>
          <w:szCs w:val="24"/>
        </w:rPr>
        <w:t>in the CI symptoms after cessation of the migraine medications.  A</w:t>
      </w:r>
      <w:r w:rsidR="00B03474" w:rsidRPr="004E091C">
        <w:rPr>
          <w:color w:val="auto"/>
          <w:szCs w:val="24"/>
        </w:rPr>
        <w:t>t that time</w:t>
      </w:r>
      <w:r w:rsidR="00130F24" w:rsidRPr="004E091C">
        <w:rPr>
          <w:color w:val="auto"/>
          <w:szCs w:val="24"/>
        </w:rPr>
        <w:t>,</w:t>
      </w:r>
      <w:r w:rsidR="00B03474" w:rsidRPr="004E091C">
        <w:rPr>
          <w:color w:val="auto"/>
          <w:szCs w:val="24"/>
        </w:rPr>
        <w:t xml:space="preserve"> </w:t>
      </w:r>
      <w:r w:rsidR="00746F2B" w:rsidRPr="004E091C">
        <w:rPr>
          <w:color w:val="auto"/>
          <w:szCs w:val="24"/>
        </w:rPr>
        <w:t xml:space="preserve">the CI’s headaches were still occurring </w:t>
      </w:r>
      <w:r w:rsidR="00DE6ABF">
        <w:rPr>
          <w:color w:val="auto"/>
          <w:szCs w:val="24"/>
        </w:rPr>
        <w:t>4</w:t>
      </w:r>
      <w:r w:rsidR="00746F2B" w:rsidRPr="004E091C">
        <w:rPr>
          <w:color w:val="auto"/>
          <w:szCs w:val="24"/>
        </w:rPr>
        <w:t xml:space="preserve"> to </w:t>
      </w:r>
      <w:r w:rsidR="00DE6ABF">
        <w:rPr>
          <w:color w:val="auto"/>
          <w:szCs w:val="24"/>
        </w:rPr>
        <w:t>5 times per week;</w:t>
      </w:r>
      <w:r w:rsidR="00746F2B" w:rsidRPr="004E091C">
        <w:rPr>
          <w:color w:val="auto"/>
          <w:szCs w:val="24"/>
        </w:rPr>
        <w:t xml:space="preserve"> </w:t>
      </w:r>
      <w:r w:rsidR="00B03474" w:rsidRPr="004E091C">
        <w:rPr>
          <w:color w:val="auto"/>
          <w:szCs w:val="24"/>
        </w:rPr>
        <w:t xml:space="preserve">however, he was </w:t>
      </w:r>
      <w:r w:rsidR="00746F2B" w:rsidRPr="004E091C">
        <w:rPr>
          <w:color w:val="auto"/>
          <w:szCs w:val="24"/>
        </w:rPr>
        <w:t xml:space="preserve">only </w:t>
      </w:r>
      <w:r w:rsidR="00B03474" w:rsidRPr="004E091C">
        <w:rPr>
          <w:color w:val="auto"/>
          <w:szCs w:val="24"/>
        </w:rPr>
        <w:t xml:space="preserve">having </w:t>
      </w:r>
      <w:r w:rsidR="00DE6ABF">
        <w:rPr>
          <w:color w:val="auto"/>
          <w:szCs w:val="24"/>
        </w:rPr>
        <w:t>1</w:t>
      </w:r>
      <w:r w:rsidR="00746F2B" w:rsidRPr="004E091C">
        <w:rPr>
          <w:color w:val="auto"/>
          <w:szCs w:val="24"/>
        </w:rPr>
        <w:t xml:space="preserve"> to </w:t>
      </w:r>
      <w:r w:rsidR="00DE6ABF">
        <w:rPr>
          <w:color w:val="auto"/>
          <w:szCs w:val="24"/>
        </w:rPr>
        <w:t>2</w:t>
      </w:r>
      <w:r w:rsidR="00746F2B" w:rsidRPr="004E091C">
        <w:rPr>
          <w:color w:val="auto"/>
          <w:szCs w:val="24"/>
        </w:rPr>
        <w:t xml:space="preserve"> </w:t>
      </w:r>
      <w:r w:rsidR="00B03474" w:rsidRPr="004E091C">
        <w:rPr>
          <w:color w:val="auto"/>
          <w:szCs w:val="24"/>
        </w:rPr>
        <w:t xml:space="preserve">debilitating </w:t>
      </w:r>
      <w:r w:rsidR="00746F2B" w:rsidRPr="004E091C">
        <w:rPr>
          <w:color w:val="auto"/>
          <w:szCs w:val="24"/>
        </w:rPr>
        <w:t>headaches per month.</w:t>
      </w:r>
    </w:p>
    <w:p w:rsidR="00047541" w:rsidRPr="00944E40" w:rsidRDefault="00047541" w:rsidP="00944E40">
      <w:pPr>
        <w:spacing w:line="240" w:lineRule="exact"/>
        <w:jc w:val="both"/>
        <w:rPr>
          <w:color w:val="auto"/>
          <w:szCs w:val="24"/>
          <w:u w:val="single"/>
        </w:rPr>
      </w:pPr>
    </w:p>
    <w:p w:rsidR="00B03474" w:rsidRPr="004E091C" w:rsidRDefault="0070543E" w:rsidP="00944E40">
      <w:pPr>
        <w:spacing w:line="240" w:lineRule="exact"/>
        <w:jc w:val="both"/>
        <w:rPr>
          <w:color w:val="auto"/>
          <w:szCs w:val="24"/>
        </w:rPr>
      </w:pPr>
      <w:r w:rsidRPr="00944E40">
        <w:rPr>
          <w:color w:val="auto"/>
          <w:szCs w:val="24"/>
        </w:rPr>
        <w:t xml:space="preserve">At </w:t>
      </w:r>
      <w:r w:rsidRPr="004E091C">
        <w:rPr>
          <w:color w:val="auto"/>
          <w:szCs w:val="24"/>
        </w:rPr>
        <w:t>t</w:t>
      </w:r>
      <w:r w:rsidR="00B03474" w:rsidRPr="004E091C">
        <w:rPr>
          <w:color w:val="auto"/>
          <w:szCs w:val="24"/>
        </w:rPr>
        <w:t xml:space="preserve">he service TDRL re-evaluation exam, the CI endorsed debilitating headaches occurring </w:t>
      </w:r>
      <w:r w:rsidR="00DE6ABF">
        <w:rPr>
          <w:color w:val="auto"/>
          <w:szCs w:val="24"/>
        </w:rPr>
        <w:t>3</w:t>
      </w:r>
      <w:r w:rsidR="00B03474" w:rsidRPr="004E091C">
        <w:rPr>
          <w:color w:val="auto"/>
          <w:szCs w:val="24"/>
        </w:rPr>
        <w:t xml:space="preserve"> days per week.  The examiner noted the CI’s previous failed medication trials as well as the civilian neurologist’s recommendation to stop all medications.  The exam</w:t>
      </w:r>
      <w:r w:rsidRPr="004E091C">
        <w:rPr>
          <w:color w:val="auto"/>
          <w:szCs w:val="24"/>
        </w:rPr>
        <w:t xml:space="preserve"> documented a normal gait, normal coordination, and a normal motor and sensory exam.  It was noted that the CI had not worked since placement on the TDRL.  The examiner concluded that “the prognosis for recovery is poor” and assessed </w:t>
      </w:r>
      <w:r w:rsidR="003727D7" w:rsidRPr="004E091C">
        <w:rPr>
          <w:color w:val="auto"/>
          <w:szCs w:val="24"/>
        </w:rPr>
        <w:t>“</w:t>
      </w:r>
      <w:r w:rsidRPr="004E091C">
        <w:rPr>
          <w:color w:val="auto"/>
          <w:szCs w:val="24"/>
        </w:rPr>
        <w:t xml:space="preserve">the degree of civilian, social and occupational impairment </w:t>
      </w:r>
      <w:r w:rsidR="003727D7" w:rsidRPr="004E091C">
        <w:rPr>
          <w:color w:val="auto"/>
          <w:szCs w:val="24"/>
        </w:rPr>
        <w:t>i</w:t>
      </w:r>
      <w:r w:rsidRPr="004E091C">
        <w:rPr>
          <w:color w:val="auto"/>
          <w:szCs w:val="24"/>
        </w:rPr>
        <w:t>s moderate.</w:t>
      </w:r>
      <w:r w:rsidR="003727D7" w:rsidRPr="004E091C">
        <w:rPr>
          <w:color w:val="auto"/>
          <w:szCs w:val="24"/>
        </w:rPr>
        <w:t>”</w:t>
      </w:r>
      <w:r w:rsidRPr="004E091C">
        <w:rPr>
          <w:color w:val="auto"/>
          <w:szCs w:val="24"/>
        </w:rPr>
        <w:t xml:space="preserve">  </w:t>
      </w:r>
      <w:r w:rsidR="00CC4694" w:rsidRPr="004E091C">
        <w:rPr>
          <w:color w:val="auto"/>
          <w:szCs w:val="24"/>
        </w:rPr>
        <w:t>The PEB noted that the CI had not required any unscheduled appointments, emergency room visits, injectable medications or hospitalizations</w:t>
      </w:r>
      <w:r w:rsidR="00F224B8" w:rsidRPr="004E091C">
        <w:rPr>
          <w:color w:val="auto"/>
          <w:szCs w:val="24"/>
        </w:rPr>
        <w:t xml:space="preserve">, and concluded that the CI was “averaging one prostrating headache in </w:t>
      </w:r>
      <w:r w:rsidR="00DE6ABF">
        <w:rPr>
          <w:color w:val="auto"/>
          <w:szCs w:val="24"/>
        </w:rPr>
        <w:t>2</w:t>
      </w:r>
      <w:r w:rsidR="00F224B8" w:rsidRPr="004E091C">
        <w:rPr>
          <w:color w:val="auto"/>
          <w:szCs w:val="24"/>
        </w:rPr>
        <w:t xml:space="preserve"> months over the past year</w:t>
      </w:r>
      <w:r w:rsidR="00CC4694" w:rsidRPr="004E091C">
        <w:rPr>
          <w:color w:val="auto"/>
          <w:szCs w:val="24"/>
        </w:rPr>
        <w:t>.</w:t>
      </w:r>
      <w:r w:rsidR="00F224B8" w:rsidRPr="004E091C">
        <w:rPr>
          <w:color w:val="auto"/>
          <w:szCs w:val="24"/>
        </w:rPr>
        <w:t>”</w:t>
      </w:r>
      <w:r w:rsidR="00CC4694" w:rsidRPr="004E091C">
        <w:rPr>
          <w:color w:val="auto"/>
          <w:szCs w:val="24"/>
        </w:rPr>
        <w:t xml:space="preserve">  </w:t>
      </w:r>
      <w:r w:rsidR="00F224B8" w:rsidRPr="004E091C">
        <w:rPr>
          <w:color w:val="auto"/>
          <w:szCs w:val="24"/>
        </w:rPr>
        <w:t>The PEB additionally commented that</w:t>
      </w:r>
      <w:r w:rsidR="00CC4694" w:rsidRPr="004E091C">
        <w:rPr>
          <w:color w:val="auto"/>
          <w:szCs w:val="24"/>
        </w:rPr>
        <w:t xml:space="preserve"> “non-prostrating headaches still occur with sufficient frequency to keep the Soldier unfit</w:t>
      </w:r>
      <w:r w:rsidR="008046D5" w:rsidRPr="004E091C">
        <w:rPr>
          <w:color w:val="auto"/>
          <w:szCs w:val="24"/>
        </w:rPr>
        <w:t>.</w:t>
      </w:r>
      <w:r w:rsidR="00CC4694" w:rsidRPr="004E091C">
        <w:rPr>
          <w:color w:val="auto"/>
          <w:szCs w:val="24"/>
        </w:rPr>
        <w:t>”</w:t>
      </w:r>
      <w:r w:rsidR="008046D5" w:rsidRPr="004E091C">
        <w:rPr>
          <w:color w:val="auto"/>
          <w:szCs w:val="24"/>
        </w:rPr>
        <w:t xml:space="preserve">  </w:t>
      </w:r>
    </w:p>
    <w:p w:rsidR="00B03474" w:rsidRPr="004E091C" w:rsidRDefault="00B03474" w:rsidP="00944E40">
      <w:pPr>
        <w:spacing w:line="240" w:lineRule="exact"/>
        <w:jc w:val="both"/>
        <w:rPr>
          <w:color w:val="auto"/>
          <w:szCs w:val="24"/>
        </w:rPr>
      </w:pPr>
    </w:p>
    <w:p w:rsidR="006A5FA7" w:rsidRPr="004E091C" w:rsidRDefault="00531041" w:rsidP="00944E40">
      <w:pPr>
        <w:spacing w:line="240" w:lineRule="exact"/>
        <w:jc w:val="both"/>
        <w:rPr>
          <w:rFonts w:cs="Calibri"/>
          <w:color w:val="000000"/>
          <w:szCs w:val="24"/>
        </w:rPr>
      </w:pPr>
      <w:r w:rsidRPr="004E091C">
        <w:rPr>
          <w:color w:val="auto"/>
          <w:szCs w:val="24"/>
        </w:rPr>
        <w:t xml:space="preserve">Considering </w:t>
      </w:r>
      <w:r w:rsidR="003F4A23" w:rsidRPr="004E091C">
        <w:rPr>
          <w:color w:val="auto"/>
          <w:szCs w:val="24"/>
        </w:rPr>
        <w:t>rating upon TDRL entry, t</w:t>
      </w:r>
      <w:r w:rsidR="006A5FA7" w:rsidRPr="004E091C">
        <w:rPr>
          <w:color w:val="auto"/>
          <w:szCs w:val="24"/>
        </w:rPr>
        <w:t xml:space="preserve">he PEB TDRL rating of 30% was based on substantially the same data as the VA </w:t>
      </w:r>
      <w:r w:rsidR="003F4A23" w:rsidRPr="004E091C">
        <w:rPr>
          <w:color w:val="auto"/>
          <w:szCs w:val="24"/>
        </w:rPr>
        <w:t xml:space="preserve">50% </w:t>
      </w:r>
      <w:r w:rsidR="006A5FA7" w:rsidRPr="004E091C">
        <w:rPr>
          <w:color w:val="auto"/>
          <w:szCs w:val="24"/>
        </w:rPr>
        <w:t>rating determination</w:t>
      </w:r>
      <w:r w:rsidR="003F4A23" w:rsidRPr="004E091C">
        <w:rPr>
          <w:color w:val="auto"/>
          <w:szCs w:val="24"/>
        </w:rPr>
        <w:t>,</w:t>
      </w:r>
      <w:r w:rsidR="006A5FA7" w:rsidRPr="004E091C">
        <w:rPr>
          <w:color w:val="auto"/>
          <w:szCs w:val="24"/>
        </w:rPr>
        <w:t xml:space="preserve"> which predominately considered the MEB documentation.  </w:t>
      </w:r>
      <w:r w:rsidR="003F4A23" w:rsidRPr="004E091C">
        <w:rPr>
          <w:color w:val="auto"/>
          <w:szCs w:val="24"/>
        </w:rPr>
        <w:t xml:space="preserve">The VA rated based upon the frequency of prostrating attacks documented at the pre-TDRL service exam, noting that the CI’s disability picture more closely related to a 50% rating.  </w:t>
      </w:r>
      <w:r w:rsidR="006A5FA7" w:rsidRPr="004E091C">
        <w:rPr>
          <w:color w:val="auto"/>
          <w:szCs w:val="24"/>
        </w:rPr>
        <w:t xml:space="preserve">The </w:t>
      </w:r>
      <w:r w:rsidR="003F4A23" w:rsidRPr="004E091C">
        <w:rPr>
          <w:color w:val="auto"/>
          <w:szCs w:val="24"/>
        </w:rPr>
        <w:t xml:space="preserve">initial </w:t>
      </w:r>
      <w:r w:rsidR="006A5FA7" w:rsidRPr="004E091C">
        <w:rPr>
          <w:color w:val="auto"/>
          <w:szCs w:val="24"/>
        </w:rPr>
        <w:t xml:space="preserve">PEB adjudication was likely with application of </w:t>
      </w:r>
      <w:r w:rsidR="006A5FA7" w:rsidRPr="004E091C">
        <w:rPr>
          <w:rFonts w:cs="Calibri"/>
          <w:color w:val="000000"/>
          <w:szCs w:val="24"/>
        </w:rPr>
        <w:t>DoDI 1332.39 (E2.A1.4.1.4), as</w:t>
      </w:r>
      <w:r w:rsidR="006A5FA7">
        <w:rPr>
          <w:rFonts w:cs="Calibri"/>
          <w:color w:val="000000"/>
          <w:szCs w:val="24"/>
        </w:rPr>
        <w:t xml:space="preserve"> the NARSUM and commander’s statement both indicated VASRD-defined prostrating attacks </w:t>
      </w:r>
      <w:r w:rsidR="00DE6ABF">
        <w:rPr>
          <w:rFonts w:cs="Calibri"/>
          <w:color w:val="000000"/>
          <w:szCs w:val="24"/>
        </w:rPr>
        <w:t xml:space="preserve">   3 to </w:t>
      </w:r>
      <w:r w:rsidR="006A5FA7">
        <w:rPr>
          <w:rFonts w:cs="Calibri"/>
          <w:color w:val="000000"/>
          <w:szCs w:val="24"/>
        </w:rPr>
        <w:t>4 times per week requiring</w:t>
      </w:r>
      <w:r w:rsidR="003F4A23">
        <w:rPr>
          <w:rFonts w:cs="Calibri"/>
          <w:color w:val="000000"/>
          <w:szCs w:val="24"/>
        </w:rPr>
        <w:t xml:space="preserve"> the CI </w:t>
      </w:r>
      <w:r>
        <w:rPr>
          <w:rFonts w:cs="Calibri"/>
          <w:color w:val="000000"/>
          <w:szCs w:val="24"/>
        </w:rPr>
        <w:t xml:space="preserve">“is sent home to </w:t>
      </w:r>
      <w:r w:rsidRPr="004E091C">
        <w:rPr>
          <w:rFonts w:cs="Calibri"/>
          <w:color w:val="000000"/>
          <w:szCs w:val="24"/>
        </w:rPr>
        <w:t xml:space="preserve">rest and recover” </w:t>
      </w:r>
      <w:r w:rsidR="003F4A23" w:rsidRPr="004E091C">
        <w:rPr>
          <w:rFonts w:cs="Calibri"/>
          <w:color w:val="000000"/>
          <w:szCs w:val="24"/>
        </w:rPr>
        <w:t xml:space="preserve">are considered prostrating </w:t>
      </w:r>
      <w:r w:rsidRPr="004E091C">
        <w:rPr>
          <w:rFonts w:cs="Calibri"/>
          <w:color w:val="000000"/>
          <w:szCs w:val="24"/>
        </w:rPr>
        <w:t>IAW</w:t>
      </w:r>
      <w:r w:rsidR="003F4A23" w:rsidRPr="004E091C">
        <w:rPr>
          <w:rFonts w:cs="Calibri"/>
          <w:color w:val="000000"/>
          <w:szCs w:val="24"/>
        </w:rPr>
        <w:t xml:space="preserve"> the VASRD, but not </w:t>
      </w:r>
      <w:r w:rsidRPr="004E091C">
        <w:rPr>
          <w:rFonts w:cs="Calibri"/>
          <w:color w:val="000000"/>
          <w:szCs w:val="24"/>
        </w:rPr>
        <w:t xml:space="preserve">considered </w:t>
      </w:r>
      <w:r w:rsidR="003F4A23" w:rsidRPr="004E091C">
        <w:rPr>
          <w:rFonts w:cs="Calibri"/>
          <w:color w:val="000000"/>
          <w:szCs w:val="24"/>
        </w:rPr>
        <w:t xml:space="preserve">prostrating </w:t>
      </w:r>
      <w:r w:rsidRPr="004E091C">
        <w:rPr>
          <w:rFonts w:cs="Calibri"/>
          <w:color w:val="000000"/>
          <w:szCs w:val="24"/>
        </w:rPr>
        <w:t xml:space="preserve">IAW </w:t>
      </w:r>
      <w:r w:rsidR="003F4A23" w:rsidRPr="004E091C">
        <w:rPr>
          <w:rFonts w:cs="Calibri"/>
          <w:color w:val="000000"/>
          <w:szCs w:val="24"/>
        </w:rPr>
        <w:t>DoDI 1332.39 (</w:t>
      </w:r>
      <w:r w:rsidR="003F4A23" w:rsidRPr="004E091C">
        <w:rPr>
          <w:rFonts w:cs="Calibri"/>
          <w:color w:val="auto"/>
          <w:szCs w:val="24"/>
        </w:rPr>
        <w:t xml:space="preserve">see </w:t>
      </w:r>
      <w:r w:rsidR="003F4A23" w:rsidRPr="004E091C">
        <w:rPr>
          <w:color w:val="auto"/>
          <w:u w:val="single"/>
        </w:rPr>
        <w:t>ANALYSIS SUMMARY</w:t>
      </w:r>
      <w:r w:rsidR="003F4A23" w:rsidRPr="004E091C">
        <w:rPr>
          <w:rFonts w:cs="Calibri"/>
          <w:color w:val="auto"/>
          <w:szCs w:val="24"/>
        </w:rPr>
        <w:t xml:space="preserve"> above</w:t>
      </w:r>
      <w:r w:rsidR="003F4A23" w:rsidRPr="004E091C">
        <w:rPr>
          <w:rFonts w:cs="Calibri"/>
          <w:color w:val="000000"/>
          <w:szCs w:val="24"/>
        </w:rPr>
        <w:t>)</w:t>
      </w:r>
      <w:r w:rsidR="006A5FA7" w:rsidRPr="004E091C">
        <w:rPr>
          <w:rFonts w:cs="Calibri"/>
          <w:color w:val="000000"/>
          <w:szCs w:val="24"/>
        </w:rPr>
        <w:t xml:space="preserve">.  The </w:t>
      </w:r>
      <w:r w:rsidRPr="004E091C">
        <w:rPr>
          <w:rFonts w:cs="Calibri"/>
          <w:color w:val="000000"/>
          <w:szCs w:val="24"/>
        </w:rPr>
        <w:t xml:space="preserve">prostrating headache </w:t>
      </w:r>
      <w:r w:rsidR="006A5FA7" w:rsidRPr="004E091C">
        <w:rPr>
          <w:rFonts w:cs="Calibri"/>
          <w:color w:val="000000"/>
          <w:szCs w:val="24"/>
        </w:rPr>
        <w:t xml:space="preserve">frequency exceeded the 30% criteria of “characteristic prostrating attacks occurring on an average </w:t>
      </w:r>
      <w:r w:rsidR="00DE6ABF">
        <w:rPr>
          <w:rFonts w:cs="Calibri"/>
          <w:color w:val="000000"/>
          <w:szCs w:val="24"/>
        </w:rPr>
        <w:t>1 time</w:t>
      </w:r>
      <w:r w:rsidR="006A5FA7" w:rsidRPr="004E091C">
        <w:rPr>
          <w:rFonts w:cs="Calibri"/>
          <w:color w:val="000000"/>
          <w:szCs w:val="24"/>
        </w:rPr>
        <w:t xml:space="preserve"> a month over last several months” and was more closely aligned with “very frequent completely prostrating and prolonged attacks” and was likely productive of severe economic inadaptability.</w:t>
      </w:r>
      <w:r w:rsidR="003F4A23" w:rsidRPr="004E091C">
        <w:rPr>
          <w:rFonts w:cs="Calibri"/>
          <w:color w:val="000000"/>
          <w:szCs w:val="24"/>
        </w:rPr>
        <w:t xml:space="preserve">  </w:t>
      </w:r>
    </w:p>
    <w:p w:rsidR="00531041" w:rsidRPr="004E091C" w:rsidRDefault="00531041" w:rsidP="00944E40">
      <w:pPr>
        <w:spacing w:line="240" w:lineRule="exact"/>
        <w:jc w:val="both"/>
        <w:rPr>
          <w:rFonts w:cs="Calibri"/>
          <w:color w:val="000000"/>
          <w:szCs w:val="24"/>
        </w:rPr>
      </w:pPr>
    </w:p>
    <w:p w:rsidR="009441C3" w:rsidRPr="005C318E" w:rsidRDefault="008046D5" w:rsidP="00160EEC">
      <w:pPr>
        <w:spacing w:line="240" w:lineRule="exact"/>
        <w:jc w:val="both"/>
        <w:rPr>
          <w:color w:val="auto"/>
          <w:szCs w:val="24"/>
        </w:rPr>
      </w:pPr>
      <w:r w:rsidRPr="004E091C">
        <w:rPr>
          <w:color w:val="auto"/>
          <w:szCs w:val="24"/>
        </w:rPr>
        <w:t xml:space="preserve">The </w:t>
      </w:r>
      <w:r w:rsidR="006A5FA7" w:rsidRPr="004E091C">
        <w:rPr>
          <w:color w:val="auto"/>
          <w:szCs w:val="24"/>
        </w:rPr>
        <w:t xml:space="preserve">final </w:t>
      </w:r>
      <w:r w:rsidR="00CC24F0" w:rsidRPr="004E091C">
        <w:rPr>
          <w:color w:val="auto"/>
          <w:szCs w:val="24"/>
        </w:rPr>
        <w:t xml:space="preserve">(permanent separation rating) PEB </w:t>
      </w:r>
      <w:r w:rsidR="00531041" w:rsidRPr="004E091C">
        <w:rPr>
          <w:color w:val="auto"/>
          <w:szCs w:val="24"/>
        </w:rPr>
        <w:t xml:space="preserve">10% </w:t>
      </w:r>
      <w:r w:rsidRPr="004E091C">
        <w:rPr>
          <w:color w:val="auto"/>
          <w:szCs w:val="24"/>
        </w:rPr>
        <w:t>rat</w:t>
      </w:r>
      <w:r w:rsidR="003F4A23" w:rsidRPr="004E091C">
        <w:rPr>
          <w:color w:val="auto"/>
          <w:szCs w:val="24"/>
        </w:rPr>
        <w:t xml:space="preserve">ing </w:t>
      </w:r>
      <w:r w:rsidRPr="004E091C">
        <w:rPr>
          <w:color w:val="auto"/>
          <w:szCs w:val="24"/>
        </w:rPr>
        <w:t>for “averaging one prostrating headache i</w:t>
      </w:r>
      <w:r w:rsidR="003F4A23" w:rsidRPr="004E091C">
        <w:rPr>
          <w:color w:val="auto"/>
          <w:szCs w:val="24"/>
        </w:rPr>
        <w:t xml:space="preserve">n </w:t>
      </w:r>
      <w:r w:rsidR="00DE6ABF">
        <w:rPr>
          <w:color w:val="auto"/>
          <w:szCs w:val="24"/>
        </w:rPr>
        <w:t>2</w:t>
      </w:r>
      <w:r w:rsidR="003F4A23" w:rsidRPr="004E091C">
        <w:rPr>
          <w:color w:val="auto"/>
          <w:szCs w:val="24"/>
        </w:rPr>
        <w:t xml:space="preserve"> months over the past year</w:t>
      </w:r>
      <w:r w:rsidRPr="004E091C">
        <w:rPr>
          <w:color w:val="auto"/>
          <w:szCs w:val="24"/>
        </w:rPr>
        <w:t xml:space="preserve">” </w:t>
      </w:r>
      <w:r w:rsidR="003F4A23" w:rsidRPr="004E091C">
        <w:rPr>
          <w:color w:val="auto"/>
          <w:szCs w:val="24"/>
        </w:rPr>
        <w:t xml:space="preserve">clearly reflected application of </w:t>
      </w:r>
      <w:r w:rsidR="003F4A23" w:rsidRPr="004E091C">
        <w:rPr>
          <w:rFonts w:cs="Calibri"/>
          <w:color w:val="000000"/>
          <w:szCs w:val="24"/>
        </w:rPr>
        <w:t>DoDI 1332.39 (E2.A1.4.1.4)</w:t>
      </w:r>
      <w:r w:rsidRPr="004E091C">
        <w:rPr>
          <w:color w:val="auto"/>
          <w:szCs w:val="24"/>
        </w:rPr>
        <w:t xml:space="preserve"> </w:t>
      </w:r>
      <w:r w:rsidR="00004766" w:rsidRPr="004E091C">
        <w:rPr>
          <w:color w:val="auto"/>
          <w:szCs w:val="24"/>
        </w:rPr>
        <w:t xml:space="preserve">as the </w:t>
      </w:r>
      <w:r w:rsidR="00076378" w:rsidRPr="004E091C">
        <w:rPr>
          <w:color w:val="auto"/>
          <w:szCs w:val="24"/>
        </w:rPr>
        <w:t>document</w:t>
      </w:r>
      <w:r w:rsidR="00773443" w:rsidRPr="004E091C">
        <w:rPr>
          <w:color w:val="auto"/>
          <w:szCs w:val="24"/>
        </w:rPr>
        <w:t>ation of</w:t>
      </w:r>
      <w:r w:rsidR="00076378" w:rsidRPr="004E091C">
        <w:rPr>
          <w:color w:val="auto"/>
          <w:szCs w:val="24"/>
        </w:rPr>
        <w:t xml:space="preserve"> </w:t>
      </w:r>
      <w:r w:rsidR="00773443" w:rsidRPr="004E091C">
        <w:rPr>
          <w:color w:val="auto"/>
          <w:szCs w:val="24"/>
        </w:rPr>
        <w:t xml:space="preserve">the MEB examiner </w:t>
      </w:r>
      <w:r w:rsidR="00076378" w:rsidRPr="004E091C">
        <w:rPr>
          <w:color w:val="auto"/>
          <w:szCs w:val="24"/>
        </w:rPr>
        <w:t>reflected</w:t>
      </w:r>
      <w:r w:rsidR="00510629" w:rsidRPr="004E091C">
        <w:rPr>
          <w:rFonts w:cs="Calibri"/>
          <w:color w:val="000000"/>
          <w:szCs w:val="24"/>
        </w:rPr>
        <w:t xml:space="preserve"> </w:t>
      </w:r>
      <w:r w:rsidR="00004766" w:rsidRPr="004E091C">
        <w:rPr>
          <w:rFonts w:cs="Calibri"/>
          <w:color w:val="000000"/>
          <w:szCs w:val="24"/>
        </w:rPr>
        <w:t xml:space="preserve">debilitating headaches </w:t>
      </w:r>
      <w:r w:rsidR="00DE6ABF">
        <w:rPr>
          <w:rFonts w:cs="Calibri"/>
          <w:color w:val="000000"/>
          <w:szCs w:val="24"/>
        </w:rPr>
        <w:t xml:space="preserve">3 </w:t>
      </w:r>
      <w:r w:rsidR="00004766" w:rsidRPr="004E091C">
        <w:rPr>
          <w:rFonts w:cs="Calibri"/>
          <w:color w:val="000000"/>
          <w:szCs w:val="24"/>
        </w:rPr>
        <w:t xml:space="preserve">days per week and the requirement to rest when he has a headache.  </w:t>
      </w:r>
      <w:r w:rsidR="00531041" w:rsidRPr="004E091C">
        <w:rPr>
          <w:color w:val="auto"/>
          <w:szCs w:val="24"/>
        </w:rPr>
        <w:t xml:space="preserve">The treatment records covering the TDRL period all documented frequent headaches, but not all specified the frequency of prostrating headaches.  The Board evaluated the documentation of daily headaches that “make it difficult for him being a father, husband and student,” and “headaches </w:t>
      </w:r>
      <w:r w:rsidR="00DE6ABF">
        <w:rPr>
          <w:color w:val="auto"/>
          <w:szCs w:val="24"/>
        </w:rPr>
        <w:lastRenderedPageBreak/>
        <w:t xml:space="preserve">are 4 to </w:t>
      </w:r>
      <w:r w:rsidR="00531041" w:rsidRPr="004E091C">
        <w:rPr>
          <w:color w:val="auto"/>
          <w:szCs w:val="24"/>
        </w:rPr>
        <w:t xml:space="preserve">5 times a week with </w:t>
      </w:r>
      <w:r w:rsidR="00DE6ABF">
        <w:rPr>
          <w:color w:val="auto"/>
          <w:szCs w:val="24"/>
        </w:rPr>
        <w:t>1</w:t>
      </w:r>
      <w:r w:rsidR="00531041" w:rsidRPr="004E091C">
        <w:rPr>
          <w:color w:val="auto"/>
          <w:szCs w:val="24"/>
        </w:rPr>
        <w:t xml:space="preserve"> or </w:t>
      </w:r>
      <w:r w:rsidR="00DE6ABF">
        <w:rPr>
          <w:color w:val="auto"/>
          <w:szCs w:val="24"/>
        </w:rPr>
        <w:t>2</w:t>
      </w:r>
      <w:r w:rsidR="00531041" w:rsidRPr="004E091C">
        <w:rPr>
          <w:color w:val="auto"/>
          <w:szCs w:val="24"/>
        </w:rPr>
        <w:t xml:space="preserve"> a month being debilitating” (treatment note of </w:t>
      </w:r>
      <w:r w:rsidR="00DE6ABF">
        <w:rPr>
          <w:color w:val="auto"/>
          <w:szCs w:val="24"/>
        </w:rPr>
        <w:t xml:space="preserve">                     28 June 2004</w:t>
      </w:r>
      <w:r w:rsidR="00531041" w:rsidRPr="004E091C">
        <w:rPr>
          <w:color w:val="auto"/>
          <w:szCs w:val="24"/>
        </w:rPr>
        <w:t>, proximate to the NARSUM at TDRL exit)</w:t>
      </w:r>
      <w:r w:rsidR="00531041">
        <w:rPr>
          <w:color w:val="auto"/>
          <w:szCs w:val="24"/>
        </w:rPr>
        <w:t xml:space="preserve">; and considered these headaches of </w:t>
      </w:r>
      <w:r w:rsidR="00531041" w:rsidRPr="00474B12">
        <w:rPr>
          <w:color w:val="auto"/>
          <w:szCs w:val="24"/>
        </w:rPr>
        <w:t xml:space="preserve">sufficient severity to meet the VASRD threshold as prostrating. </w:t>
      </w:r>
      <w:r w:rsidR="00531041" w:rsidRPr="004E091C">
        <w:rPr>
          <w:color w:val="auto"/>
          <w:szCs w:val="24"/>
        </w:rPr>
        <w:t xml:space="preserve"> </w:t>
      </w:r>
      <w:r w:rsidR="00CC24F0" w:rsidRPr="004E091C">
        <w:rPr>
          <w:color w:val="auto"/>
          <w:szCs w:val="24"/>
        </w:rPr>
        <w:t xml:space="preserve">The frequency of </w:t>
      </w:r>
      <w:r w:rsidR="00DE6ABF">
        <w:rPr>
          <w:color w:val="auto"/>
          <w:szCs w:val="24"/>
        </w:rPr>
        <w:t>“prostrating”</w:t>
      </w:r>
      <w:r w:rsidR="00CC24F0" w:rsidRPr="004E091C">
        <w:rPr>
          <w:color w:val="auto"/>
          <w:szCs w:val="24"/>
        </w:rPr>
        <w:t xml:space="preserve"> headaches documented in the TDRL timeframe treatment records</w:t>
      </w:r>
      <w:r w:rsidR="00CC24F0">
        <w:rPr>
          <w:color w:val="auto"/>
          <w:szCs w:val="24"/>
        </w:rPr>
        <w:t xml:space="preserve"> exceeded the criteria for the 30% rating’s “</w:t>
      </w:r>
      <w:r w:rsidR="00DE6ABF">
        <w:rPr>
          <w:color w:val="auto"/>
          <w:szCs w:val="24"/>
        </w:rPr>
        <w:t>w</w:t>
      </w:r>
      <w:r w:rsidR="00CC24F0" w:rsidRPr="00401993">
        <w:rPr>
          <w:color w:val="auto"/>
          <w:szCs w:val="24"/>
        </w:rPr>
        <w:t xml:space="preserve">ith characteristic prostrating attacks occurring on an average </w:t>
      </w:r>
      <w:r w:rsidR="00DE6ABF">
        <w:rPr>
          <w:color w:val="auto"/>
          <w:szCs w:val="24"/>
        </w:rPr>
        <w:t>1 time</w:t>
      </w:r>
      <w:r w:rsidR="00CC24F0" w:rsidRPr="00401993">
        <w:rPr>
          <w:color w:val="auto"/>
          <w:szCs w:val="24"/>
        </w:rPr>
        <w:t xml:space="preserve"> a month over last several months</w:t>
      </w:r>
      <w:r w:rsidR="00CC24F0">
        <w:rPr>
          <w:color w:val="auto"/>
          <w:szCs w:val="24"/>
        </w:rPr>
        <w:t>.”  The Board deliberated if the CI’s condition more closely reflected the 30% rating criteria or the 50% criteria of “</w:t>
      </w:r>
      <w:r w:rsidR="00CC24F0" w:rsidRPr="00CC24F0">
        <w:rPr>
          <w:color w:val="auto"/>
          <w:szCs w:val="24"/>
        </w:rPr>
        <w:t>very frequent completely prostrating and prolonged attacks productive of severe economic inadaptability</w:t>
      </w:r>
      <w:r w:rsidR="00CC24F0">
        <w:rPr>
          <w:color w:val="auto"/>
          <w:szCs w:val="24"/>
        </w:rPr>
        <w:t xml:space="preserve">” at exit from TDRL.  </w:t>
      </w:r>
      <w:r w:rsidR="00531041">
        <w:rPr>
          <w:color w:val="auto"/>
          <w:szCs w:val="24"/>
        </w:rPr>
        <w:t>The headache frequency was slightly less than that documented upon TDRL entry</w:t>
      </w:r>
      <w:r w:rsidR="00CC24F0">
        <w:rPr>
          <w:color w:val="auto"/>
          <w:szCs w:val="24"/>
        </w:rPr>
        <w:t>;</w:t>
      </w:r>
      <w:r w:rsidR="00531041">
        <w:rPr>
          <w:color w:val="auto"/>
          <w:szCs w:val="24"/>
        </w:rPr>
        <w:t xml:space="preserve"> however, the </w:t>
      </w:r>
      <w:r w:rsidR="00CC24F0">
        <w:rPr>
          <w:color w:val="auto"/>
          <w:szCs w:val="24"/>
        </w:rPr>
        <w:t xml:space="preserve">Board also noted that the CI had “… not worked or sought work since placement on the TDRL” and </w:t>
      </w:r>
      <w:r w:rsidR="003727D7">
        <w:rPr>
          <w:color w:val="auto"/>
          <w:szCs w:val="24"/>
        </w:rPr>
        <w:t xml:space="preserve">the NARSUM indicated </w:t>
      </w:r>
      <w:r w:rsidR="00E54DF6">
        <w:rPr>
          <w:color w:val="auto"/>
          <w:szCs w:val="24"/>
        </w:rPr>
        <w:t xml:space="preserve">“civilian, social, and occupational impairment is moderate.”  The Board </w:t>
      </w:r>
      <w:r w:rsidR="00CC24F0">
        <w:rPr>
          <w:color w:val="auto"/>
          <w:szCs w:val="24"/>
        </w:rPr>
        <w:t xml:space="preserve">deliberated whether or not this constituted evidence of “severe economic inadaptability.”  </w:t>
      </w:r>
      <w:r w:rsidR="005C318E" w:rsidRPr="005C318E">
        <w:rPr>
          <w:color w:val="auto"/>
          <w:szCs w:val="24"/>
        </w:rPr>
        <w:t xml:space="preserve">After due deliberation, considering all of the evidence and mindful of VASRD §4.3 (reasonable doubt), the Board recommends a </w:t>
      </w:r>
      <w:r w:rsidR="00004766">
        <w:rPr>
          <w:color w:val="auto"/>
          <w:szCs w:val="24"/>
        </w:rPr>
        <w:t xml:space="preserve">TDRL entry rating of </w:t>
      </w:r>
      <w:r w:rsidR="00004766" w:rsidRPr="004E091C">
        <w:rPr>
          <w:color w:val="auto"/>
          <w:szCs w:val="24"/>
        </w:rPr>
        <w:t xml:space="preserve">50% and a </w:t>
      </w:r>
      <w:r w:rsidR="005C318E" w:rsidRPr="004E091C">
        <w:rPr>
          <w:color w:val="auto"/>
          <w:szCs w:val="24"/>
        </w:rPr>
        <w:t xml:space="preserve">separation rating of </w:t>
      </w:r>
      <w:r w:rsidR="00160EEC" w:rsidRPr="004E091C">
        <w:rPr>
          <w:color w:val="auto"/>
          <w:szCs w:val="24"/>
        </w:rPr>
        <w:t>3</w:t>
      </w:r>
      <w:r w:rsidR="005C318E" w:rsidRPr="004E091C">
        <w:rPr>
          <w:color w:val="auto"/>
          <w:szCs w:val="24"/>
        </w:rPr>
        <w:t>0% for</w:t>
      </w:r>
      <w:r w:rsidR="005C318E" w:rsidRPr="005C318E">
        <w:rPr>
          <w:color w:val="auto"/>
          <w:szCs w:val="24"/>
        </w:rPr>
        <w:t xml:space="preserve"> the </w:t>
      </w:r>
      <w:r w:rsidR="00DE6ABF">
        <w:rPr>
          <w:color w:val="auto"/>
          <w:szCs w:val="24"/>
        </w:rPr>
        <w:t>m</w:t>
      </w:r>
      <w:r w:rsidR="00160EEC">
        <w:rPr>
          <w:color w:val="auto"/>
          <w:szCs w:val="24"/>
        </w:rPr>
        <w:t xml:space="preserve">igraine and </w:t>
      </w:r>
      <w:r w:rsidR="00DE6ABF">
        <w:rPr>
          <w:color w:val="auto"/>
          <w:szCs w:val="24"/>
        </w:rPr>
        <w:t>m</w:t>
      </w:r>
      <w:r w:rsidR="00160EEC">
        <w:rPr>
          <w:color w:val="auto"/>
          <w:szCs w:val="24"/>
        </w:rPr>
        <w:t xml:space="preserve">ixed </w:t>
      </w:r>
      <w:r w:rsidR="00DE6ABF">
        <w:rPr>
          <w:color w:val="auto"/>
          <w:szCs w:val="24"/>
        </w:rPr>
        <w:t>t</w:t>
      </w:r>
      <w:r w:rsidR="00160EEC">
        <w:rPr>
          <w:color w:val="auto"/>
          <w:szCs w:val="24"/>
        </w:rPr>
        <w:t xml:space="preserve">ype </w:t>
      </w:r>
      <w:r w:rsidR="00DE6ABF">
        <w:rPr>
          <w:color w:val="auto"/>
          <w:szCs w:val="24"/>
        </w:rPr>
        <w:t>h</w:t>
      </w:r>
      <w:r w:rsidR="00160EEC">
        <w:rPr>
          <w:color w:val="auto"/>
          <w:szCs w:val="24"/>
        </w:rPr>
        <w:t>eadaches</w:t>
      </w:r>
      <w:r w:rsidR="005C318E" w:rsidRPr="005C318E">
        <w:rPr>
          <w:color w:val="auto"/>
          <w:szCs w:val="24"/>
        </w:rPr>
        <w:t xml:space="preserve"> condition.</w:t>
      </w:r>
    </w:p>
    <w:p w:rsidR="00EC337D" w:rsidRPr="00EC337D" w:rsidRDefault="00EC337D" w:rsidP="00E236F3">
      <w:pPr>
        <w:spacing w:line="240" w:lineRule="exact"/>
        <w:jc w:val="both"/>
        <w:rPr>
          <w:rFonts w:eastAsia="HiddenHorzOCR"/>
          <w:color w:val="auto"/>
          <w:szCs w:val="24"/>
        </w:rPr>
      </w:pPr>
    </w:p>
    <w:p w:rsidR="00EC1A00" w:rsidRDefault="00EC337D" w:rsidP="00E236F3">
      <w:pPr>
        <w:tabs>
          <w:tab w:val="left" w:pos="288"/>
          <w:tab w:val="left" w:pos="4752"/>
        </w:tabs>
        <w:spacing w:line="240" w:lineRule="exact"/>
        <w:jc w:val="both"/>
        <w:rPr>
          <w:color w:val="auto"/>
          <w:szCs w:val="24"/>
        </w:rPr>
      </w:pPr>
      <w:r w:rsidRPr="007973D8">
        <w:rPr>
          <w:rFonts w:eastAsia="HiddenHorzOCR"/>
          <w:color w:val="auto"/>
          <w:szCs w:val="24"/>
          <w:u w:val="single"/>
        </w:rPr>
        <w:t>Other Contended Conditions</w:t>
      </w:r>
      <w:r w:rsidRPr="007973D8">
        <w:rPr>
          <w:rFonts w:eastAsia="HiddenHorzOCR"/>
          <w:color w:val="auto"/>
          <w:szCs w:val="24"/>
        </w:rPr>
        <w:t>.  The</w:t>
      </w:r>
      <w:r w:rsidRPr="00711350">
        <w:rPr>
          <w:rFonts w:eastAsia="HiddenHorzOCR"/>
          <w:color w:val="auto"/>
          <w:szCs w:val="24"/>
        </w:rPr>
        <w:t xml:space="preserve"> CI’s application asserts that compensable ratings should be considered for </w:t>
      </w:r>
      <w:r w:rsidR="00160EEC" w:rsidRPr="004E091C">
        <w:rPr>
          <w:rFonts w:eastAsia="Calibri"/>
          <w:color w:val="auto"/>
          <w:szCs w:val="24"/>
        </w:rPr>
        <w:t>degenerative joint disease in his hips, fainting spells, and depression</w:t>
      </w:r>
      <w:r w:rsidRPr="004E091C">
        <w:rPr>
          <w:rFonts w:eastAsia="HiddenHorzOCR"/>
          <w:color w:val="auto"/>
          <w:szCs w:val="24"/>
        </w:rPr>
        <w:t>.</w:t>
      </w:r>
      <w:r w:rsidRPr="00711350">
        <w:rPr>
          <w:rFonts w:eastAsia="HiddenHorzOCR"/>
          <w:color w:val="auto"/>
          <w:szCs w:val="24"/>
        </w:rPr>
        <w:t xml:space="preserve">  </w:t>
      </w:r>
      <w:r w:rsidR="004E3DF1">
        <w:rPr>
          <w:rFonts w:eastAsia="HiddenHorzOCR"/>
          <w:color w:val="auto"/>
          <w:szCs w:val="24"/>
        </w:rPr>
        <w:t xml:space="preserve">The CI presented with complaints of right hip pain after doing yard work in April 2003.  </w:t>
      </w:r>
      <w:r w:rsidR="007B5FF3">
        <w:rPr>
          <w:rFonts w:eastAsia="HiddenHorzOCR"/>
          <w:color w:val="auto"/>
          <w:szCs w:val="24"/>
        </w:rPr>
        <w:t xml:space="preserve">Plain radiographs noted possible mild early degenerative changes involving the superior acetabular rims bilaterally.  Bilateral hip MRIs were unremarkable.  </w:t>
      </w:r>
      <w:r w:rsidR="00187B05">
        <w:rPr>
          <w:rFonts w:eastAsia="HiddenHorzOCR"/>
          <w:color w:val="auto"/>
          <w:szCs w:val="24"/>
        </w:rPr>
        <w:t xml:space="preserve">The condition of bilateral hip degenerative joint disease did not result in any duty limitations, was not permanently profiled and was not implicated in the commander’s statement.  </w:t>
      </w:r>
      <w:r w:rsidR="000500AB">
        <w:rPr>
          <w:rFonts w:eastAsia="HiddenHorzOCR"/>
          <w:color w:val="auto"/>
          <w:szCs w:val="24"/>
        </w:rPr>
        <w:t xml:space="preserve">This </w:t>
      </w:r>
      <w:r w:rsidR="000500AB">
        <w:rPr>
          <w:color w:val="auto"/>
          <w:szCs w:val="24"/>
        </w:rPr>
        <w:t xml:space="preserve">condition was </w:t>
      </w:r>
      <w:r w:rsidRPr="00711350">
        <w:rPr>
          <w:color w:val="auto"/>
          <w:szCs w:val="24"/>
        </w:rPr>
        <w:t xml:space="preserve">reviewed by the </w:t>
      </w:r>
      <w:r w:rsidR="003B4319">
        <w:rPr>
          <w:color w:val="auto"/>
          <w:szCs w:val="24"/>
        </w:rPr>
        <w:t>a</w:t>
      </w:r>
      <w:r w:rsidRPr="00711350">
        <w:rPr>
          <w:color w:val="auto"/>
          <w:szCs w:val="24"/>
        </w:rPr>
        <w:t xml:space="preserve">ction </w:t>
      </w:r>
      <w:r w:rsidR="003B4319">
        <w:rPr>
          <w:color w:val="auto"/>
          <w:szCs w:val="24"/>
        </w:rPr>
        <w:t>o</w:t>
      </w:r>
      <w:r w:rsidRPr="00711350">
        <w:rPr>
          <w:color w:val="auto"/>
          <w:szCs w:val="24"/>
        </w:rPr>
        <w:t xml:space="preserve">fficer and considered by the Board.  There was no evidence for concluding that </w:t>
      </w:r>
      <w:r w:rsidR="00187B05">
        <w:rPr>
          <w:color w:val="auto"/>
          <w:szCs w:val="24"/>
        </w:rPr>
        <w:t>the bilateral hip degenerative joint disease conditions</w:t>
      </w:r>
      <w:r w:rsidRPr="00711350">
        <w:rPr>
          <w:color w:val="auto"/>
          <w:szCs w:val="24"/>
        </w:rPr>
        <w:t xml:space="preserve"> interfered with duty performance to a degree that could be argued as unfitting.  </w:t>
      </w:r>
      <w:r w:rsidR="00DA0DA6">
        <w:rPr>
          <w:color w:val="auto"/>
          <w:szCs w:val="24"/>
        </w:rPr>
        <w:t>The conditions of fainting spells and depression</w:t>
      </w:r>
      <w:r w:rsidR="00DA0DA6" w:rsidRPr="008A0F2D">
        <w:rPr>
          <w:color w:val="auto"/>
          <w:szCs w:val="24"/>
        </w:rPr>
        <w:t xml:space="preserve"> were not documented in the DES file.  The Board does not have the authority under DoDI 6040.44 to render fitness or rating recommendations for any conditions not considered by the DES.  </w:t>
      </w:r>
      <w:r w:rsidR="00DA0DA6" w:rsidRPr="00711350">
        <w:rPr>
          <w:color w:val="auto"/>
          <w:szCs w:val="24"/>
        </w:rPr>
        <w:t>The Board determined therefore that none of the sta</w:t>
      </w:r>
      <w:r w:rsidR="00DE6ABF">
        <w:rPr>
          <w:color w:val="auto"/>
          <w:szCs w:val="24"/>
        </w:rPr>
        <w:t>ted conditions were subject to s</w:t>
      </w:r>
      <w:r w:rsidR="00DA0DA6" w:rsidRPr="00711350">
        <w:rPr>
          <w:color w:val="auto"/>
          <w:szCs w:val="24"/>
        </w:rPr>
        <w:t>ervice disability rating.</w:t>
      </w:r>
    </w:p>
    <w:p w:rsidR="00EC337D" w:rsidRPr="00EC337D" w:rsidRDefault="00EC337D" w:rsidP="00E236F3">
      <w:pPr>
        <w:spacing w:line="240" w:lineRule="exact"/>
        <w:jc w:val="both"/>
        <w:rPr>
          <w:color w:val="auto"/>
          <w:szCs w:val="24"/>
        </w:rPr>
      </w:pPr>
    </w:p>
    <w:p w:rsidR="00EC337D" w:rsidRDefault="00EC337D" w:rsidP="00510629">
      <w:pPr>
        <w:spacing w:line="240" w:lineRule="exact"/>
        <w:jc w:val="both"/>
        <w:rPr>
          <w:color w:val="auto"/>
          <w:szCs w:val="24"/>
        </w:rPr>
      </w:pPr>
      <w:r w:rsidRPr="00EC337D">
        <w:rPr>
          <w:color w:val="auto"/>
          <w:szCs w:val="24"/>
          <w:u w:val="single"/>
        </w:rPr>
        <w:t>Remaining Conditions</w:t>
      </w:r>
      <w:r w:rsidRPr="00EC337D">
        <w:rPr>
          <w:color w:val="auto"/>
          <w:szCs w:val="24"/>
        </w:rPr>
        <w:t>.</w:t>
      </w:r>
      <w:r w:rsidRPr="008A0F2D">
        <w:rPr>
          <w:color w:val="auto"/>
          <w:szCs w:val="24"/>
        </w:rPr>
        <w:t xml:space="preserve">  Several non-acute conditions or medical complaints were documented</w:t>
      </w:r>
      <w:r w:rsidR="0055779D">
        <w:rPr>
          <w:color w:val="auto"/>
          <w:szCs w:val="24"/>
        </w:rPr>
        <w:t xml:space="preserve"> on the MEB history and physical</w:t>
      </w:r>
      <w:r w:rsidRPr="008A0F2D">
        <w:rPr>
          <w:color w:val="auto"/>
          <w:szCs w:val="24"/>
        </w:rPr>
        <w:t xml:space="preserve">.  None of these conditions were </w:t>
      </w:r>
      <w:r w:rsidR="00DA0DA6">
        <w:rPr>
          <w:color w:val="auto"/>
          <w:szCs w:val="24"/>
        </w:rPr>
        <w:t xml:space="preserve">significantly </w:t>
      </w:r>
      <w:r w:rsidRPr="008A0F2D">
        <w:rPr>
          <w:color w:val="auto"/>
          <w:szCs w:val="24"/>
        </w:rPr>
        <w:t xml:space="preserve">clinically </w:t>
      </w:r>
      <w:r w:rsidR="00DA0DA6">
        <w:rPr>
          <w:color w:val="auto"/>
          <w:szCs w:val="24"/>
        </w:rPr>
        <w:t xml:space="preserve">or occupationally </w:t>
      </w:r>
      <w:r w:rsidRPr="008A0F2D">
        <w:rPr>
          <w:color w:val="auto"/>
          <w:szCs w:val="24"/>
        </w:rPr>
        <w:t>active during the MEB period</w:t>
      </w:r>
      <w:r w:rsidR="006008F8" w:rsidRPr="008A0F2D">
        <w:rPr>
          <w:color w:val="auto"/>
          <w:szCs w:val="24"/>
        </w:rPr>
        <w:t>,</w:t>
      </w:r>
      <w:r w:rsidRPr="008A0F2D">
        <w:rPr>
          <w:color w:val="auto"/>
          <w:szCs w:val="24"/>
        </w:rPr>
        <w:t xml:space="preserve"> none carried attached profiles</w:t>
      </w:r>
      <w:r w:rsidR="00E44E81" w:rsidRPr="008A0F2D">
        <w:rPr>
          <w:color w:val="auto"/>
          <w:szCs w:val="24"/>
        </w:rPr>
        <w:t xml:space="preserve"> </w:t>
      </w:r>
      <w:r w:rsidRPr="008A0F2D">
        <w:rPr>
          <w:color w:val="auto"/>
          <w:szCs w:val="24"/>
        </w:rPr>
        <w:t xml:space="preserve">and none were implicated in the </w:t>
      </w:r>
      <w:r w:rsidR="00B5646A" w:rsidRPr="008A0F2D">
        <w:rPr>
          <w:color w:val="auto"/>
          <w:szCs w:val="24"/>
        </w:rPr>
        <w:t>c</w:t>
      </w:r>
      <w:r w:rsidRPr="008A0F2D">
        <w:rPr>
          <w:color w:val="auto"/>
          <w:szCs w:val="24"/>
        </w:rPr>
        <w:t>ommander’s</w:t>
      </w:r>
      <w:r w:rsidR="00E44E81" w:rsidRPr="008A0F2D">
        <w:rPr>
          <w:color w:val="auto"/>
          <w:szCs w:val="24"/>
        </w:rPr>
        <w:t xml:space="preserve"> statement</w:t>
      </w:r>
      <w:r w:rsidRPr="008A0F2D">
        <w:rPr>
          <w:color w:val="auto"/>
          <w:szCs w:val="24"/>
        </w:rPr>
        <w:t xml:space="preserve">.  These conditions were reviewed by the </w:t>
      </w:r>
      <w:r w:rsidR="003B4319" w:rsidRPr="008A0F2D">
        <w:rPr>
          <w:color w:val="auto"/>
          <w:szCs w:val="24"/>
        </w:rPr>
        <w:t>a</w:t>
      </w:r>
      <w:r w:rsidRPr="008A0F2D">
        <w:rPr>
          <w:color w:val="auto"/>
          <w:szCs w:val="24"/>
        </w:rPr>
        <w:t xml:space="preserve">ction </w:t>
      </w:r>
      <w:r w:rsidR="003B4319" w:rsidRPr="008A0F2D">
        <w:rPr>
          <w:color w:val="auto"/>
          <w:szCs w:val="24"/>
        </w:rPr>
        <w:t>o</w:t>
      </w:r>
      <w:r w:rsidRPr="008A0F2D">
        <w:rPr>
          <w:color w:val="auto"/>
          <w:szCs w:val="24"/>
        </w:rPr>
        <w:t xml:space="preserve">fficer and considered by the Board.  It was determined that none could be argued as unfitting and subject to separation rating.  </w:t>
      </w:r>
      <w:r w:rsidR="00817572" w:rsidRPr="008A0F2D">
        <w:rPr>
          <w:color w:val="auto"/>
          <w:szCs w:val="24"/>
        </w:rPr>
        <w:t>The Board, therefore, has no reasonable basis for recommending any additional unfitting conditions for separation rating.</w:t>
      </w:r>
      <w:r w:rsidR="00CC24F0">
        <w:rPr>
          <w:color w:val="auto"/>
          <w:szCs w:val="24"/>
        </w:rPr>
        <w:t xml:space="preserve">  </w:t>
      </w:r>
    </w:p>
    <w:p w:rsidR="007B3B9A" w:rsidRDefault="007B3B9A" w:rsidP="00E236F3">
      <w:pPr>
        <w:pBdr>
          <w:bottom w:val="single" w:sz="12" w:space="1" w:color="000000"/>
        </w:pBdr>
        <w:spacing w:line="240" w:lineRule="exact"/>
        <w:jc w:val="both"/>
        <w:rPr>
          <w:b/>
          <w:color w:val="auto"/>
          <w:szCs w:val="24"/>
          <w:u w:val="single"/>
        </w:rPr>
      </w:pPr>
    </w:p>
    <w:p w:rsidR="00187B05" w:rsidRDefault="00187B05" w:rsidP="00E236F3">
      <w:pPr>
        <w:spacing w:line="240" w:lineRule="exact"/>
        <w:jc w:val="both"/>
        <w:rPr>
          <w:b/>
          <w:color w:val="auto"/>
          <w:szCs w:val="24"/>
          <w:u w:val="single"/>
        </w:rPr>
      </w:pPr>
    </w:p>
    <w:p w:rsidR="00884A30" w:rsidRPr="009C78FD" w:rsidRDefault="00C56FC8" w:rsidP="00E236F3">
      <w:pPr>
        <w:pBdr>
          <w:bottom w:val="single" w:sz="12" w:space="1" w:color="000000"/>
        </w:pBdr>
        <w:spacing w:line="240" w:lineRule="exact"/>
        <w:jc w:val="both"/>
        <w:rPr>
          <w:rFonts w:eastAsia="Calibri"/>
          <w:color w:val="auto"/>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236F3">
        <w:rPr>
          <w:rFonts w:eastAsia="Calibri"/>
          <w:color w:val="auto"/>
          <w:szCs w:val="24"/>
        </w:rPr>
        <w:t xml:space="preserve">  </w:t>
      </w:r>
      <w:r w:rsidR="00884A30" w:rsidRPr="00884A30">
        <w:rPr>
          <w:rFonts w:eastAsia="Calibri"/>
          <w:color w:val="auto"/>
          <w:szCs w:val="24"/>
        </w:rPr>
        <w:t xml:space="preserve">As discussed above, PEB reliance on </w:t>
      </w:r>
      <w:r w:rsidR="00884A30" w:rsidRPr="009D733E">
        <w:rPr>
          <w:rFonts w:eastAsia="Calibri"/>
          <w:color w:val="auto"/>
          <w:szCs w:val="24"/>
        </w:rPr>
        <w:t>DoDI 1332.39 for rating the headache condition</w:t>
      </w:r>
      <w:r w:rsidR="00884A30" w:rsidRPr="00884A30">
        <w:rPr>
          <w:rFonts w:eastAsia="Calibri"/>
          <w:color w:val="auto"/>
          <w:szCs w:val="24"/>
        </w:rPr>
        <w:t xml:space="preserve"> was operant in this case and the condition was adjudicated independently of that instruction by the Board.</w:t>
      </w:r>
      <w:r w:rsidR="00884A30">
        <w:rPr>
          <w:rFonts w:eastAsia="Calibri"/>
          <w:color w:val="auto"/>
          <w:szCs w:val="24"/>
        </w:rPr>
        <w:t xml:space="preserve">  </w:t>
      </w:r>
      <w:r w:rsidR="00884A30" w:rsidRPr="00884A30">
        <w:rPr>
          <w:rFonts w:eastAsia="Calibri"/>
          <w:color w:val="auto"/>
          <w:szCs w:val="24"/>
        </w:rPr>
        <w:t xml:space="preserve">In the matter of the </w:t>
      </w:r>
      <w:r w:rsidR="00884A30">
        <w:rPr>
          <w:rFonts w:eastAsia="Calibri"/>
          <w:color w:val="auto"/>
          <w:szCs w:val="24"/>
        </w:rPr>
        <w:t>migraine and mixed type headaches</w:t>
      </w:r>
      <w:r w:rsidR="00884A30" w:rsidRPr="00884A30">
        <w:rPr>
          <w:rFonts w:eastAsia="Calibri"/>
          <w:color w:val="auto"/>
          <w:szCs w:val="24"/>
        </w:rPr>
        <w:t xml:space="preserve"> condition, the Board unanimously recommends a</w:t>
      </w:r>
      <w:r w:rsidR="005E4AB4">
        <w:rPr>
          <w:rFonts w:eastAsia="Calibri"/>
          <w:color w:val="auto"/>
          <w:szCs w:val="24"/>
        </w:rPr>
        <w:t>n initial</w:t>
      </w:r>
      <w:r w:rsidR="00884A30" w:rsidRPr="00884A30">
        <w:rPr>
          <w:rFonts w:eastAsia="Calibri"/>
          <w:color w:val="auto"/>
          <w:szCs w:val="24"/>
        </w:rPr>
        <w:t xml:space="preserve"> </w:t>
      </w:r>
      <w:r w:rsidR="00884A30">
        <w:rPr>
          <w:rFonts w:eastAsia="Calibri"/>
          <w:color w:val="auto"/>
          <w:szCs w:val="24"/>
        </w:rPr>
        <w:t xml:space="preserve">TDRL </w:t>
      </w:r>
      <w:r w:rsidR="005E4AB4">
        <w:rPr>
          <w:rFonts w:eastAsia="Calibri"/>
          <w:color w:val="auto"/>
          <w:szCs w:val="24"/>
        </w:rPr>
        <w:t xml:space="preserve">rating </w:t>
      </w:r>
      <w:r w:rsidR="005E4AB4" w:rsidRPr="009D733E">
        <w:rPr>
          <w:rFonts w:eastAsia="Calibri"/>
          <w:color w:val="auto"/>
          <w:szCs w:val="24"/>
        </w:rPr>
        <w:t>of 50%</w:t>
      </w:r>
      <w:r w:rsidR="000A5520" w:rsidRPr="009D733E">
        <w:rPr>
          <w:rFonts w:eastAsia="Calibri"/>
          <w:color w:val="auto"/>
          <w:szCs w:val="24"/>
        </w:rPr>
        <w:t xml:space="preserve"> </w:t>
      </w:r>
      <w:r w:rsidR="00884A30" w:rsidRPr="009D733E">
        <w:rPr>
          <w:rFonts w:eastAsia="Calibri"/>
          <w:color w:val="auto"/>
          <w:szCs w:val="24"/>
        </w:rPr>
        <w:t xml:space="preserve">and </w:t>
      </w:r>
      <w:r w:rsidR="000A5520" w:rsidRPr="009D733E">
        <w:rPr>
          <w:rFonts w:eastAsia="Calibri"/>
          <w:color w:val="auto"/>
          <w:szCs w:val="24"/>
        </w:rPr>
        <w:t xml:space="preserve">a </w:t>
      </w:r>
      <w:r w:rsidR="00884A30" w:rsidRPr="009D733E">
        <w:rPr>
          <w:rFonts w:eastAsia="Calibri"/>
          <w:color w:val="auto"/>
          <w:szCs w:val="24"/>
        </w:rPr>
        <w:t>permanent service disability rating of 30%, coded 8100 IAW VASRD §4.124a.</w:t>
      </w:r>
      <w:r w:rsidR="00884A30">
        <w:rPr>
          <w:rFonts w:eastAsia="Calibri"/>
          <w:color w:val="auto"/>
          <w:szCs w:val="24"/>
        </w:rPr>
        <w:t xml:space="preserve">  In the matter of the bilateral hip degenerative joint disease conditions </w:t>
      </w:r>
      <w:r w:rsidR="00884A30" w:rsidRPr="00884A30">
        <w:rPr>
          <w:rFonts w:eastAsia="Calibri"/>
          <w:color w:val="auto"/>
          <w:szCs w:val="24"/>
        </w:rPr>
        <w:t>or any other medical conditions eligible for Board consideration, the Board unanimously agrees that it cannot recommend any findings of unfit for additional rating at separation.</w:t>
      </w:r>
    </w:p>
    <w:p w:rsidR="004C60A3" w:rsidRPr="00187B05" w:rsidRDefault="004C60A3" w:rsidP="00E236F3">
      <w:pPr>
        <w:pBdr>
          <w:bottom w:val="single" w:sz="12" w:space="1" w:color="000000"/>
        </w:pBdr>
        <w:spacing w:line="240" w:lineRule="exact"/>
        <w:jc w:val="both"/>
        <w:rPr>
          <w:rFonts w:eastAsia="Calibri"/>
          <w:color w:val="auto"/>
          <w:szCs w:val="24"/>
        </w:rPr>
      </w:pPr>
    </w:p>
    <w:p w:rsidR="00187B05" w:rsidRDefault="00187B05" w:rsidP="00E236F3">
      <w:pPr>
        <w:spacing w:line="240" w:lineRule="exact"/>
        <w:jc w:val="both"/>
        <w:rPr>
          <w:color w:val="auto"/>
          <w:szCs w:val="24"/>
          <w:u w:val="single"/>
        </w:rPr>
      </w:pPr>
    </w:p>
    <w:p w:rsidR="005E4AB4" w:rsidRPr="005E4AB4" w:rsidRDefault="00C56FC8" w:rsidP="005E4AB4">
      <w:pPr>
        <w:spacing w:line="240" w:lineRule="exact"/>
        <w:jc w:val="both"/>
        <w:rPr>
          <w:color w:val="auto"/>
          <w:szCs w:val="24"/>
        </w:rPr>
      </w:pPr>
      <w:r w:rsidRPr="00396779">
        <w:rPr>
          <w:color w:val="auto"/>
          <w:szCs w:val="24"/>
          <w:u w:val="single"/>
        </w:rPr>
        <w:lastRenderedPageBreak/>
        <w:t>RECOMMENDATION</w:t>
      </w:r>
      <w:r w:rsidRPr="00396779">
        <w:rPr>
          <w:color w:val="auto"/>
          <w:szCs w:val="24"/>
        </w:rPr>
        <w:t>:</w:t>
      </w:r>
      <w:r w:rsidRPr="00396779">
        <w:rPr>
          <w:color w:val="000080"/>
          <w:szCs w:val="24"/>
        </w:rPr>
        <w:t xml:space="preserve"> </w:t>
      </w:r>
      <w:r w:rsidR="00187B05">
        <w:rPr>
          <w:color w:val="auto"/>
          <w:szCs w:val="24"/>
        </w:rPr>
        <w:t xml:space="preserve"> </w:t>
      </w:r>
      <w:r w:rsidR="005E4AB4" w:rsidRPr="005E4AB4">
        <w:rPr>
          <w:color w:val="auto"/>
          <w:szCs w:val="24"/>
        </w:rPr>
        <w:t xml:space="preserve">The Board recommends that the CI’s prior determination be modified as follows: </w:t>
      </w:r>
      <w:r w:rsidR="005E4AB4">
        <w:rPr>
          <w:color w:val="auto"/>
          <w:szCs w:val="24"/>
        </w:rPr>
        <w:t xml:space="preserve"> </w:t>
      </w:r>
      <w:r w:rsidR="005E4AB4" w:rsidRPr="009D733E">
        <w:rPr>
          <w:color w:val="auto"/>
          <w:szCs w:val="24"/>
        </w:rPr>
        <w:t>TDRL at 50% for the CI’s prior TDRL period</w:t>
      </w:r>
      <w:r w:rsidR="00474B12">
        <w:rPr>
          <w:color w:val="auto"/>
          <w:szCs w:val="24"/>
        </w:rPr>
        <w:t>,</w:t>
      </w:r>
      <w:r w:rsidR="005E4AB4" w:rsidRPr="009D733E">
        <w:rPr>
          <w:color w:val="auto"/>
          <w:szCs w:val="24"/>
        </w:rPr>
        <w:t xml:space="preserve"> and then a combined 30% permanent disability</w:t>
      </w:r>
      <w:r w:rsidR="005E4AB4" w:rsidRPr="005E4AB4">
        <w:rPr>
          <w:color w:val="auto"/>
          <w:szCs w:val="24"/>
        </w:rPr>
        <w:t xml:space="preserve"> retirement </w:t>
      </w:r>
      <w:r w:rsidR="005E4AB4" w:rsidRPr="00B427BB">
        <w:rPr>
          <w:color w:val="auto"/>
          <w:szCs w:val="24"/>
        </w:rPr>
        <w:t>effective as of the date of his</w:t>
      </w:r>
      <w:r w:rsidR="005E4AB4">
        <w:rPr>
          <w:color w:val="auto"/>
          <w:szCs w:val="24"/>
        </w:rPr>
        <w:t xml:space="preserve"> prior exit from TDRL</w:t>
      </w:r>
      <w:r w:rsidR="005E4AB4" w:rsidRPr="005E4AB4">
        <w:rPr>
          <w:color w:val="auto"/>
          <w:szCs w:val="24"/>
        </w:rPr>
        <w:t>.</w:t>
      </w:r>
    </w:p>
    <w:p w:rsidR="004101B2" w:rsidRPr="005E4AB4" w:rsidRDefault="004101B2" w:rsidP="00510F9C">
      <w:pPr>
        <w:tabs>
          <w:tab w:val="left" w:pos="288"/>
          <w:tab w:val="left" w:pos="4752"/>
        </w:tabs>
        <w:spacing w:line="240" w:lineRule="exact"/>
        <w:jc w:val="both"/>
        <w:rPr>
          <w:color w:val="auto"/>
        </w:rPr>
      </w:pPr>
    </w:p>
    <w:tbl>
      <w:tblPr>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1530"/>
        <w:gridCol w:w="1071"/>
        <w:gridCol w:w="1525"/>
      </w:tblGrid>
      <w:tr w:rsidR="005E4AB4" w:rsidRPr="005E4AB4" w:rsidTr="005E4AB4">
        <w:trPr>
          <w:trHeight w:val="233"/>
          <w:jc w:val="center"/>
        </w:trPr>
        <w:tc>
          <w:tcPr>
            <w:tcW w:w="5220" w:type="dxa"/>
            <w:shd w:val="clear" w:color="auto" w:fill="D9D9D9"/>
            <w:vAlign w:val="center"/>
          </w:tcPr>
          <w:p w:rsidR="005E4AB4" w:rsidRPr="005E4AB4" w:rsidRDefault="005E4AB4" w:rsidP="005E4AB4">
            <w:pPr>
              <w:tabs>
                <w:tab w:val="left" w:pos="288"/>
                <w:tab w:val="left" w:pos="4752"/>
              </w:tabs>
              <w:spacing w:line="240" w:lineRule="exact"/>
              <w:jc w:val="center"/>
              <w:rPr>
                <w:b/>
                <w:color w:val="auto"/>
                <w:szCs w:val="24"/>
              </w:rPr>
            </w:pPr>
            <w:r w:rsidRPr="005E4AB4">
              <w:rPr>
                <w:b/>
                <w:color w:val="auto"/>
                <w:szCs w:val="24"/>
              </w:rPr>
              <w:t>UNFITTING CONDITION</w:t>
            </w:r>
          </w:p>
        </w:tc>
        <w:tc>
          <w:tcPr>
            <w:tcW w:w="1530" w:type="dxa"/>
            <w:shd w:val="clear" w:color="auto" w:fill="D9D9D9"/>
            <w:vAlign w:val="center"/>
          </w:tcPr>
          <w:p w:rsidR="005E4AB4" w:rsidRPr="005E4AB4" w:rsidRDefault="005E4AB4" w:rsidP="005E4AB4">
            <w:pPr>
              <w:tabs>
                <w:tab w:val="left" w:pos="288"/>
                <w:tab w:val="left" w:pos="4752"/>
              </w:tabs>
              <w:spacing w:line="240" w:lineRule="exact"/>
              <w:jc w:val="center"/>
              <w:rPr>
                <w:b/>
                <w:color w:val="auto"/>
                <w:szCs w:val="24"/>
              </w:rPr>
            </w:pPr>
            <w:r w:rsidRPr="005E4AB4">
              <w:rPr>
                <w:b/>
                <w:color w:val="auto"/>
                <w:szCs w:val="24"/>
              </w:rPr>
              <w:t>VASRD CODE</w:t>
            </w:r>
          </w:p>
        </w:tc>
        <w:tc>
          <w:tcPr>
            <w:tcW w:w="1071" w:type="dxa"/>
            <w:shd w:val="clear" w:color="auto" w:fill="D9D9D9"/>
            <w:vAlign w:val="center"/>
          </w:tcPr>
          <w:p w:rsidR="005E4AB4" w:rsidRPr="001F29F9" w:rsidRDefault="005E4AB4" w:rsidP="005E4AB4">
            <w:pPr>
              <w:tabs>
                <w:tab w:val="left" w:pos="288"/>
                <w:tab w:val="left" w:pos="4752"/>
              </w:tabs>
              <w:jc w:val="center"/>
              <w:rPr>
                <w:b/>
                <w:color w:val="000000"/>
                <w:szCs w:val="24"/>
              </w:rPr>
            </w:pPr>
            <w:r w:rsidRPr="001F29F9">
              <w:rPr>
                <w:b/>
                <w:color w:val="000000"/>
                <w:szCs w:val="24"/>
              </w:rPr>
              <w:t>TDRL RATING</w:t>
            </w:r>
          </w:p>
        </w:tc>
        <w:tc>
          <w:tcPr>
            <w:tcW w:w="1525" w:type="dxa"/>
            <w:shd w:val="clear" w:color="auto" w:fill="D9D9D9"/>
            <w:vAlign w:val="center"/>
          </w:tcPr>
          <w:p w:rsidR="005E4AB4" w:rsidRPr="001F29F9" w:rsidRDefault="005E4AB4" w:rsidP="005E4AB4">
            <w:pPr>
              <w:tabs>
                <w:tab w:val="left" w:pos="288"/>
                <w:tab w:val="left" w:pos="4752"/>
              </w:tabs>
              <w:jc w:val="center"/>
              <w:rPr>
                <w:b/>
                <w:color w:val="000000"/>
                <w:szCs w:val="24"/>
              </w:rPr>
            </w:pPr>
            <w:r w:rsidRPr="001F29F9">
              <w:rPr>
                <w:b/>
                <w:color w:val="000000"/>
                <w:szCs w:val="24"/>
              </w:rPr>
              <w:t>PERMANENT</w:t>
            </w:r>
          </w:p>
          <w:p w:rsidR="005E4AB4" w:rsidRPr="001F29F9" w:rsidRDefault="005E4AB4" w:rsidP="005E4AB4">
            <w:pPr>
              <w:tabs>
                <w:tab w:val="left" w:pos="288"/>
                <w:tab w:val="left" w:pos="4752"/>
              </w:tabs>
              <w:jc w:val="center"/>
              <w:rPr>
                <w:b/>
                <w:color w:val="000000"/>
                <w:szCs w:val="24"/>
              </w:rPr>
            </w:pPr>
            <w:r w:rsidRPr="001F29F9">
              <w:rPr>
                <w:b/>
                <w:color w:val="000000"/>
                <w:szCs w:val="24"/>
              </w:rPr>
              <w:t>RATING</w:t>
            </w:r>
          </w:p>
        </w:tc>
      </w:tr>
      <w:tr w:rsidR="005E4AB4" w:rsidRPr="005E4AB4" w:rsidTr="005E4AB4">
        <w:trPr>
          <w:jc w:val="center"/>
        </w:trPr>
        <w:tc>
          <w:tcPr>
            <w:tcW w:w="5220" w:type="dxa"/>
            <w:vAlign w:val="center"/>
          </w:tcPr>
          <w:p w:rsidR="005E4AB4" w:rsidRPr="005E4AB4" w:rsidRDefault="005E4AB4" w:rsidP="00187B05">
            <w:pPr>
              <w:tabs>
                <w:tab w:val="left" w:pos="288"/>
                <w:tab w:val="left" w:pos="4752"/>
              </w:tabs>
              <w:spacing w:line="240" w:lineRule="exact"/>
              <w:rPr>
                <w:color w:val="auto"/>
                <w:szCs w:val="24"/>
              </w:rPr>
            </w:pPr>
            <w:r w:rsidRPr="005E4AB4">
              <w:rPr>
                <w:color w:val="auto"/>
                <w:szCs w:val="24"/>
              </w:rPr>
              <w:t>Migraine and Mixed Type Headaches</w:t>
            </w:r>
          </w:p>
        </w:tc>
        <w:tc>
          <w:tcPr>
            <w:tcW w:w="1530" w:type="dxa"/>
            <w:vAlign w:val="center"/>
          </w:tcPr>
          <w:p w:rsidR="005E4AB4" w:rsidRPr="005E4AB4" w:rsidRDefault="005E4AB4" w:rsidP="00187B05">
            <w:pPr>
              <w:tabs>
                <w:tab w:val="left" w:pos="288"/>
                <w:tab w:val="left" w:pos="4752"/>
              </w:tabs>
              <w:spacing w:line="240" w:lineRule="exact"/>
              <w:jc w:val="center"/>
              <w:rPr>
                <w:color w:val="auto"/>
                <w:szCs w:val="24"/>
              </w:rPr>
            </w:pPr>
            <w:r w:rsidRPr="005E4AB4">
              <w:rPr>
                <w:color w:val="auto"/>
                <w:szCs w:val="24"/>
              </w:rPr>
              <w:t>8100</w:t>
            </w:r>
          </w:p>
        </w:tc>
        <w:tc>
          <w:tcPr>
            <w:tcW w:w="1071" w:type="dxa"/>
          </w:tcPr>
          <w:p w:rsidR="005E4AB4" w:rsidRPr="009D733E" w:rsidRDefault="005E4AB4" w:rsidP="00103948">
            <w:pPr>
              <w:tabs>
                <w:tab w:val="left" w:pos="288"/>
                <w:tab w:val="left" w:pos="4752"/>
              </w:tabs>
              <w:spacing w:line="240" w:lineRule="exact"/>
              <w:jc w:val="center"/>
              <w:rPr>
                <w:color w:val="auto"/>
                <w:szCs w:val="24"/>
              </w:rPr>
            </w:pPr>
            <w:r w:rsidRPr="009D733E">
              <w:rPr>
                <w:color w:val="auto"/>
                <w:szCs w:val="24"/>
              </w:rPr>
              <w:t>50%</w:t>
            </w:r>
          </w:p>
        </w:tc>
        <w:tc>
          <w:tcPr>
            <w:tcW w:w="1525" w:type="dxa"/>
            <w:vAlign w:val="center"/>
          </w:tcPr>
          <w:p w:rsidR="005E4AB4" w:rsidRPr="009D733E" w:rsidRDefault="005E4AB4" w:rsidP="009D733E">
            <w:pPr>
              <w:tabs>
                <w:tab w:val="left" w:pos="288"/>
                <w:tab w:val="left" w:pos="4752"/>
              </w:tabs>
              <w:spacing w:line="240" w:lineRule="exact"/>
              <w:jc w:val="center"/>
              <w:rPr>
                <w:color w:val="auto"/>
                <w:szCs w:val="24"/>
              </w:rPr>
            </w:pPr>
            <w:r w:rsidRPr="009D733E">
              <w:rPr>
                <w:color w:val="auto"/>
                <w:szCs w:val="24"/>
              </w:rPr>
              <w:t>30%</w:t>
            </w:r>
          </w:p>
        </w:tc>
      </w:tr>
      <w:tr w:rsidR="005E4AB4" w:rsidRPr="005E4AB4" w:rsidTr="005E4AB4">
        <w:tblPrEx>
          <w:tblLook w:val="0000"/>
        </w:tblPrEx>
        <w:trPr>
          <w:gridBefore w:val="1"/>
          <w:wBefore w:w="5220" w:type="dxa"/>
          <w:trHeight w:val="152"/>
          <w:jc w:val="center"/>
        </w:trPr>
        <w:tc>
          <w:tcPr>
            <w:tcW w:w="1530" w:type="dxa"/>
            <w:tcBorders>
              <w:left w:val="single" w:sz="4" w:space="0" w:color="auto"/>
              <w:bottom w:val="single" w:sz="4" w:space="0" w:color="000000"/>
            </w:tcBorders>
            <w:shd w:val="clear" w:color="auto" w:fill="D9D9D9"/>
            <w:vAlign w:val="center"/>
          </w:tcPr>
          <w:p w:rsidR="005E4AB4" w:rsidRPr="005E4AB4" w:rsidRDefault="005E4AB4" w:rsidP="00103948">
            <w:pPr>
              <w:tabs>
                <w:tab w:val="left" w:pos="288"/>
                <w:tab w:val="left" w:pos="4752"/>
              </w:tabs>
              <w:spacing w:line="240" w:lineRule="exact"/>
              <w:jc w:val="center"/>
              <w:rPr>
                <w:b/>
                <w:color w:val="auto"/>
                <w:szCs w:val="24"/>
              </w:rPr>
            </w:pPr>
            <w:r w:rsidRPr="005E4AB4">
              <w:rPr>
                <w:b/>
                <w:color w:val="auto"/>
                <w:szCs w:val="24"/>
              </w:rPr>
              <w:t>COMBINED</w:t>
            </w:r>
          </w:p>
        </w:tc>
        <w:tc>
          <w:tcPr>
            <w:tcW w:w="1071" w:type="dxa"/>
            <w:tcBorders>
              <w:bottom w:val="single" w:sz="4" w:space="0" w:color="000000"/>
            </w:tcBorders>
            <w:shd w:val="clear" w:color="auto" w:fill="D9D9D9"/>
          </w:tcPr>
          <w:p w:rsidR="005E4AB4" w:rsidRPr="009D733E" w:rsidRDefault="005E4AB4" w:rsidP="00103948">
            <w:pPr>
              <w:tabs>
                <w:tab w:val="left" w:pos="288"/>
                <w:tab w:val="left" w:pos="4752"/>
              </w:tabs>
              <w:spacing w:line="240" w:lineRule="exact"/>
              <w:jc w:val="center"/>
              <w:rPr>
                <w:b/>
                <w:color w:val="auto"/>
                <w:szCs w:val="24"/>
              </w:rPr>
            </w:pPr>
            <w:r w:rsidRPr="009D733E">
              <w:rPr>
                <w:b/>
                <w:color w:val="auto"/>
                <w:szCs w:val="24"/>
              </w:rPr>
              <w:t>50%</w:t>
            </w:r>
          </w:p>
        </w:tc>
        <w:tc>
          <w:tcPr>
            <w:tcW w:w="1525" w:type="dxa"/>
            <w:tcBorders>
              <w:bottom w:val="single" w:sz="4" w:space="0" w:color="000000"/>
            </w:tcBorders>
            <w:shd w:val="clear" w:color="auto" w:fill="D9D9D9"/>
            <w:vAlign w:val="center"/>
          </w:tcPr>
          <w:p w:rsidR="005E4AB4" w:rsidRPr="009D733E" w:rsidRDefault="005E4AB4" w:rsidP="009D733E">
            <w:pPr>
              <w:tabs>
                <w:tab w:val="left" w:pos="288"/>
                <w:tab w:val="left" w:pos="4752"/>
              </w:tabs>
              <w:spacing w:line="240" w:lineRule="exact"/>
              <w:jc w:val="center"/>
              <w:rPr>
                <w:b/>
                <w:color w:val="auto"/>
                <w:szCs w:val="24"/>
              </w:rPr>
            </w:pPr>
            <w:r w:rsidRPr="009D733E">
              <w:rPr>
                <w:b/>
                <w:color w:val="auto"/>
                <w:szCs w:val="24"/>
              </w:rPr>
              <w:t>30%</w:t>
            </w:r>
          </w:p>
        </w:tc>
      </w:tr>
    </w:tbl>
    <w:p w:rsidR="008A0F2D" w:rsidRDefault="008A0F2D" w:rsidP="00E236F3">
      <w:pPr>
        <w:pBdr>
          <w:bottom w:val="single" w:sz="12" w:space="1" w:color="000000"/>
        </w:pBdr>
        <w:tabs>
          <w:tab w:val="left" w:pos="288"/>
          <w:tab w:val="left" w:pos="4752"/>
        </w:tabs>
        <w:spacing w:line="240" w:lineRule="exact"/>
        <w:jc w:val="both"/>
        <w:rPr>
          <w:color w:val="auto"/>
        </w:rPr>
      </w:pPr>
    </w:p>
    <w:p w:rsidR="008A0F2D" w:rsidRDefault="008A0F2D" w:rsidP="00510F9C">
      <w:pPr>
        <w:tabs>
          <w:tab w:val="left" w:pos="288"/>
          <w:tab w:val="left" w:pos="4752"/>
        </w:tabs>
        <w:spacing w:line="240" w:lineRule="exact"/>
        <w:jc w:val="both"/>
        <w:rPr>
          <w:color w:val="auto"/>
        </w:rPr>
      </w:pPr>
    </w:p>
    <w:p w:rsidR="00E236F3" w:rsidRPr="001F29F9" w:rsidRDefault="00E236F3" w:rsidP="00533D37">
      <w:pPr>
        <w:tabs>
          <w:tab w:val="left" w:pos="288"/>
          <w:tab w:val="left" w:pos="4752"/>
        </w:tabs>
        <w:spacing w:line="240" w:lineRule="exact"/>
        <w:jc w:val="both"/>
        <w:rPr>
          <w:color w:val="000000"/>
        </w:rPr>
      </w:pPr>
      <w:r w:rsidRPr="001F29F9">
        <w:rPr>
          <w:color w:val="000000"/>
        </w:rPr>
        <w:t>The following documentary evidence was considered:</w:t>
      </w:r>
    </w:p>
    <w:p w:rsidR="00E236F3" w:rsidRPr="001F29F9" w:rsidRDefault="00E236F3" w:rsidP="00533D37">
      <w:pPr>
        <w:tabs>
          <w:tab w:val="left" w:pos="288"/>
          <w:tab w:val="left" w:pos="4752"/>
        </w:tabs>
        <w:spacing w:line="240" w:lineRule="exact"/>
        <w:jc w:val="both"/>
        <w:rPr>
          <w:color w:val="000000"/>
        </w:rPr>
      </w:pPr>
    </w:p>
    <w:p w:rsidR="00E236F3" w:rsidRPr="001F29F9" w:rsidRDefault="00E236F3" w:rsidP="00533D37">
      <w:pPr>
        <w:tabs>
          <w:tab w:val="left" w:pos="288"/>
          <w:tab w:val="left" w:pos="4752"/>
        </w:tabs>
        <w:spacing w:line="240" w:lineRule="exact"/>
        <w:jc w:val="both"/>
        <w:rPr>
          <w:color w:val="000000"/>
        </w:rPr>
      </w:pPr>
      <w:r w:rsidRPr="001F29F9">
        <w:rPr>
          <w:color w:val="000000"/>
        </w:rPr>
        <w:t xml:space="preserve">Exhibit A.  DD Form 294, </w:t>
      </w:r>
      <w:r w:rsidRPr="001F29F9">
        <w:rPr>
          <w:color w:val="000000"/>
          <w:szCs w:val="24"/>
        </w:rPr>
        <w:t>dated 201</w:t>
      </w:r>
      <w:r>
        <w:rPr>
          <w:color w:val="000000"/>
          <w:szCs w:val="24"/>
        </w:rPr>
        <w:t>10323</w:t>
      </w:r>
      <w:r w:rsidR="00DE6ABF">
        <w:rPr>
          <w:color w:val="000000"/>
        </w:rPr>
        <w:t>, w/atchs</w:t>
      </w:r>
    </w:p>
    <w:p w:rsidR="00E236F3" w:rsidRPr="001F29F9" w:rsidRDefault="00E236F3" w:rsidP="00533D37">
      <w:pPr>
        <w:tabs>
          <w:tab w:val="left" w:pos="288"/>
          <w:tab w:val="left" w:pos="4752"/>
        </w:tabs>
        <w:spacing w:line="240" w:lineRule="exact"/>
        <w:jc w:val="both"/>
        <w:rPr>
          <w:color w:val="000000"/>
        </w:rPr>
      </w:pPr>
      <w:r w:rsidRPr="001F29F9">
        <w:rPr>
          <w:color w:val="000000"/>
        </w:rPr>
        <w:t>Exhib</w:t>
      </w:r>
      <w:r w:rsidR="00DE6ABF">
        <w:rPr>
          <w:color w:val="000000"/>
        </w:rPr>
        <w:t>it B.  Service Treatment Record</w:t>
      </w:r>
    </w:p>
    <w:p w:rsidR="00E236F3" w:rsidRPr="001F29F9" w:rsidRDefault="00E236F3" w:rsidP="00533D37">
      <w:pPr>
        <w:tabs>
          <w:tab w:val="left" w:pos="288"/>
          <w:tab w:val="left" w:pos="4752"/>
        </w:tabs>
        <w:spacing w:line="240" w:lineRule="exact"/>
        <w:jc w:val="both"/>
        <w:rPr>
          <w:color w:val="000000"/>
        </w:rPr>
      </w:pPr>
      <w:r w:rsidRPr="001F29F9">
        <w:rPr>
          <w:color w:val="000000"/>
        </w:rPr>
        <w:t>Exhibit C.  Department of Ve</w:t>
      </w:r>
      <w:r w:rsidR="00DE6ABF">
        <w:rPr>
          <w:color w:val="000000"/>
        </w:rPr>
        <w:t>terans Affairs Treatment Record</w:t>
      </w:r>
    </w:p>
    <w:p w:rsidR="00E236F3" w:rsidRPr="001F29F9" w:rsidRDefault="00E236F3" w:rsidP="00533D37">
      <w:pPr>
        <w:tabs>
          <w:tab w:val="left" w:pos="288"/>
          <w:tab w:val="left" w:pos="4752"/>
        </w:tabs>
        <w:spacing w:line="240" w:lineRule="exact"/>
        <w:jc w:val="both"/>
        <w:rPr>
          <w:color w:val="000000"/>
        </w:rPr>
      </w:pPr>
    </w:p>
    <w:p w:rsidR="00E236F3" w:rsidRPr="001F29F9" w:rsidRDefault="00E236F3" w:rsidP="00533D37">
      <w:pPr>
        <w:tabs>
          <w:tab w:val="left" w:pos="288"/>
          <w:tab w:val="left" w:pos="4752"/>
        </w:tabs>
        <w:spacing w:line="240" w:lineRule="exact"/>
        <w:jc w:val="both"/>
        <w:rPr>
          <w:color w:val="000000"/>
        </w:rPr>
      </w:pPr>
    </w:p>
    <w:p w:rsidR="00E236F3" w:rsidRPr="001F29F9" w:rsidRDefault="00E236F3" w:rsidP="00533D37">
      <w:pPr>
        <w:tabs>
          <w:tab w:val="left" w:pos="288"/>
          <w:tab w:val="left" w:pos="4752"/>
        </w:tabs>
        <w:spacing w:line="240" w:lineRule="exact"/>
        <w:jc w:val="both"/>
        <w:rPr>
          <w:color w:val="000000"/>
        </w:rPr>
      </w:pPr>
    </w:p>
    <w:p w:rsidR="00E236F3" w:rsidRPr="001F29F9" w:rsidRDefault="00E236F3" w:rsidP="00533D37">
      <w:pPr>
        <w:tabs>
          <w:tab w:val="left" w:pos="288"/>
          <w:tab w:val="left" w:pos="4752"/>
        </w:tabs>
        <w:spacing w:line="240" w:lineRule="exact"/>
        <w:jc w:val="both"/>
        <w:rPr>
          <w:color w:val="000000"/>
        </w:rPr>
      </w:pPr>
    </w:p>
    <w:p w:rsidR="00E236F3" w:rsidRPr="001F29F9" w:rsidRDefault="00E236F3" w:rsidP="00533D37">
      <w:pPr>
        <w:tabs>
          <w:tab w:val="left" w:pos="0"/>
          <w:tab w:val="left" w:pos="4320"/>
        </w:tabs>
        <w:spacing w:line="240" w:lineRule="exact"/>
        <w:jc w:val="both"/>
        <w:rPr>
          <w:color w:val="000000"/>
          <w:szCs w:val="24"/>
        </w:rPr>
      </w:pPr>
      <w:r w:rsidRPr="001F29F9">
        <w:rPr>
          <w:color w:val="000000"/>
          <w:szCs w:val="24"/>
        </w:rPr>
        <w:tab/>
        <w:t xml:space="preserve">           </w:t>
      </w:r>
      <w:r w:rsidR="00077F4B">
        <w:rPr>
          <w:color w:val="000000"/>
          <w:szCs w:val="24"/>
        </w:rPr>
        <w:t>XXXXXXXXXX</w:t>
      </w:r>
    </w:p>
    <w:p w:rsidR="00E236F3" w:rsidRPr="001F29F9" w:rsidRDefault="00E236F3" w:rsidP="00533D37">
      <w:pPr>
        <w:tabs>
          <w:tab w:val="left" w:pos="0"/>
          <w:tab w:val="left" w:pos="4320"/>
        </w:tabs>
        <w:spacing w:line="240" w:lineRule="exact"/>
        <w:jc w:val="both"/>
        <w:rPr>
          <w:color w:val="000000"/>
          <w:szCs w:val="24"/>
        </w:rPr>
      </w:pPr>
      <w:r w:rsidRPr="001F29F9">
        <w:rPr>
          <w:color w:val="000000"/>
          <w:szCs w:val="24"/>
        </w:rPr>
        <w:tab/>
        <w:t xml:space="preserve">           President</w:t>
      </w:r>
    </w:p>
    <w:p w:rsidR="00E236F3" w:rsidRDefault="00E236F3" w:rsidP="00533D37">
      <w:pPr>
        <w:tabs>
          <w:tab w:val="left" w:pos="0"/>
          <w:tab w:val="left" w:pos="4320"/>
        </w:tabs>
        <w:spacing w:line="240" w:lineRule="exact"/>
        <w:jc w:val="both"/>
        <w:rPr>
          <w:color w:val="000000"/>
          <w:szCs w:val="24"/>
        </w:rPr>
      </w:pPr>
      <w:r w:rsidRPr="001F29F9">
        <w:rPr>
          <w:color w:val="000000"/>
          <w:szCs w:val="24"/>
        </w:rPr>
        <w:tab/>
        <w:t xml:space="preserve">           Physical Disability Board of Review</w:t>
      </w:r>
    </w:p>
    <w:p w:rsidR="00077F4B" w:rsidRPr="00EE0892" w:rsidRDefault="00077F4B" w:rsidP="00EE0892">
      <w:pPr>
        <w:pStyle w:val="Header"/>
        <w:tabs>
          <w:tab w:val="left" w:pos="720"/>
        </w:tabs>
        <w:rPr>
          <w:rFonts w:eastAsia="Calibri"/>
          <w:color w:val="auto"/>
          <w:szCs w:val="24"/>
        </w:rPr>
      </w:pPr>
      <w:r>
        <w:rPr>
          <w:color w:val="000000"/>
          <w:szCs w:val="24"/>
        </w:rPr>
        <w:br w:type="page"/>
      </w:r>
      <w:r w:rsidRPr="00EE0892">
        <w:rPr>
          <w:rFonts w:eastAsia="Calibri"/>
          <w:color w:val="auto"/>
          <w:szCs w:val="24"/>
        </w:rPr>
        <w:lastRenderedPageBreak/>
        <w:t xml:space="preserve">MEMORANDUM FOR Commander, US Army Physical Disability Agency </w:t>
      </w:r>
    </w:p>
    <w:p w:rsidR="00077F4B" w:rsidRPr="00EE0892" w:rsidRDefault="00077F4B" w:rsidP="00077F4B">
      <w:pPr>
        <w:rPr>
          <w:rFonts w:eastAsia="Calibri"/>
          <w:color w:val="auto"/>
          <w:szCs w:val="24"/>
        </w:rPr>
      </w:pPr>
      <w:r w:rsidRPr="00EE0892">
        <w:rPr>
          <w:rFonts w:eastAsia="Calibri"/>
          <w:color w:val="auto"/>
          <w:szCs w:val="24"/>
        </w:rPr>
        <w:t>(TAPD-ZB ), 2900 Crystal Drive, Suite 300, Arlington, VA  22202</w:t>
      </w:r>
    </w:p>
    <w:p w:rsidR="00077F4B" w:rsidRPr="00EE0892" w:rsidRDefault="00077F4B" w:rsidP="00077F4B">
      <w:pPr>
        <w:rPr>
          <w:rFonts w:eastAsia="Calibri"/>
          <w:color w:val="auto"/>
          <w:szCs w:val="24"/>
        </w:rPr>
      </w:pPr>
    </w:p>
    <w:p w:rsidR="00077F4B" w:rsidRPr="00EE0892" w:rsidRDefault="00077F4B" w:rsidP="00077F4B">
      <w:pPr>
        <w:ind w:right="-180"/>
        <w:rPr>
          <w:rFonts w:eastAsia="Calibri"/>
          <w:color w:val="auto"/>
          <w:szCs w:val="24"/>
        </w:rPr>
      </w:pPr>
      <w:r w:rsidRPr="00EE0892">
        <w:rPr>
          <w:rFonts w:eastAsia="Calibri"/>
          <w:color w:val="auto"/>
          <w:szCs w:val="24"/>
        </w:rPr>
        <w:t xml:space="preserve">SUBJECT:  Department of Defense Physical Disability Board of Review Recommendation </w:t>
      </w:r>
    </w:p>
    <w:p w:rsidR="00077F4B" w:rsidRPr="00EE0892" w:rsidRDefault="00077F4B" w:rsidP="00077F4B">
      <w:pPr>
        <w:pStyle w:val="Header"/>
        <w:tabs>
          <w:tab w:val="left" w:pos="720"/>
        </w:tabs>
        <w:rPr>
          <w:rFonts w:eastAsia="Calibri"/>
          <w:color w:val="auto"/>
          <w:szCs w:val="24"/>
        </w:rPr>
      </w:pPr>
      <w:r w:rsidRPr="00EE0892">
        <w:rPr>
          <w:rFonts w:eastAsia="Calibri"/>
          <w:color w:val="auto"/>
          <w:szCs w:val="24"/>
        </w:rPr>
        <w:t xml:space="preserve">for </w:t>
      </w:r>
      <w:r w:rsidR="00780E0F" w:rsidRPr="00EE0892">
        <w:rPr>
          <w:rFonts w:eastAsia="Calibri"/>
          <w:color w:val="auto"/>
          <w:szCs w:val="24"/>
        </w:rPr>
        <w:t>XXXXXXXXX</w:t>
      </w:r>
      <w:r w:rsidR="00897B6A" w:rsidRPr="00EE0892">
        <w:rPr>
          <w:rFonts w:eastAsia="Calibri"/>
          <w:color w:val="auto"/>
          <w:szCs w:val="24"/>
        </w:rPr>
        <w:t>,</w:t>
      </w:r>
      <w:r w:rsidR="00780E0F" w:rsidRPr="00EE0892">
        <w:rPr>
          <w:rFonts w:eastAsia="Calibri"/>
          <w:color w:val="auto"/>
          <w:szCs w:val="24"/>
        </w:rPr>
        <w:t xml:space="preserve"> </w:t>
      </w:r>
      <w:r w:rsidRPr="00EE0892">
        <w:rPr>
          <w:rFonts w:eastAsia="Calibri"/>
          <w:color w:val="auto"/>
          <w:szCs w:val="24"/>
        </w:rPr>
        <w:t>AR20120005746 (PD201100470)</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 xml:space="preserve">1.  Under the authority of Title 10, United States Code, section 1554(a), I approve the enclosed recommendation of the Department of Defense Physical Disability Board of Review (DoD PDBR) pertaining to the individual named in the subject line above to  constructively place the individual on the Temporary Disability Retired List (TDRL) at </w:t>
      </w:r>
    </w:p>
    <w:p w:rsidR="00077F4B" w:rsidRPr="00EE0892" w:rsidRDefault="00077F4B" w:rsidP="00077F4B">
      <w:pPr>
        <w:rPr>
          <w:rFonts w:eastAsia="Calibri"/>
          <w:color w:val="auto"/>
          <w:szCs w:val="24"/>
        </w:rPr>
      </w:pPr>
      <w:r w:rsidRPr="00EE0892">
        <w:rPr>
          <w:rFonts w:eastAsia="Calibri"/>
          <w:color w:val="auto"/>
          <w:szCs w:val="24"/>
        </w:rPr>
        <w:t>50% disability rather than 30% disability for the period 25 July 2003 to 11 November 2004 April 2004 and then following this period recharacterize the individual’s separation as a permanent disability retirement with the combined disability rating of 30%.</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2.  I direct that all the Department of the Army records of the individual concerned be corrected accordingly no later than 120 days from the date of this memorandum:</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ab/>
        <w:t>a.  Providing a correction to the individual’s separation document showing that the individual was separated by reason of temporary disability effective the date of the original medical separation for disability with severance pay.</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ab/>
        <w:t>b.  Providing orders showing that the individual was retired with permanent disability effective the day following the TDRL period.</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ab/>
        <w:t xml:space="preserve">c.  Adjusting pay and allowances accordingly.  Pay and allowance adjustment will account for recoupment of severance pay, provide 50% retired pay for the constructive temporary disability retired period effective the date of the individual’s original medical separation and then payment of permanent disability retired pay at 30% effective the day following the constructive TDRL period.  </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ab/>
        <w:t>d.  Affording the individual the opportunity to elect Survivor Benefit Plan (SBP) and medical TRICARE retiree options.</w:t>
      </w:r>
    </w:p>
    <w:p w:rsidR="00EE0892" w:rsidRDefault="00EE0892" w:rsidP="00077F4B">
      <w:pPr>
        <w:rPr>
          <w:rFonts w:eastAsia="Calibri"/>
          <w:color w:val="auto"/>
          <w:szCs w:val="24"/>
        </w:rPr>
      </w:pPr>
      <w:bookmarkStart w:id="0" w:name="OLE_LINK2"/>
      <w:bookmarkStart w:id="1" w:name="OLE_LINK1"/>
    </w:p>
    <w:p w:rsidR="00077F4B" w:rsidRPr="00EE0892" w:rsidRDefault="00077F4B" w:rsidP="00077F4B">
      <w:pPr>
        <w:rPr>
          <w:rFonts w:eastAsia="Calibri"/>
          <w:color w:val="auto"/>
          <w:szCs w:val="24"/>
        </w:rPr>
      </w:pPr>
      <w:r w:rsidRPr="00EE0892">
        <w:rPr>
          <w:rFonts w:eastAsia="Calibri"/>
          <w:color w:val="auto"/>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r w:rsidRPr="00EE0892">
        <w:rPr>
          <w:rFonts w:eastAsia="Calibri"/>
          <w:color w:val="auto"/>
          <w:szCs w:val="24"/>
        </w:rPr>
        <w:t>BY ORDER OF THE SECRETARY OF THE ARMY:</w:t>
      </w: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p>
    <w:p w:rsidR="00077F4B" w:rsidRPr="00EE0892" w:rsidRDefault="00077F4B" w:rsidP="00077F4B">
      <w:pPr>
        <w:rPr>
          <w:rFonts w:eastAsia="Calibri"/>
          <w:color w:val="auto"/>
          <w:szCs w:val="24"/>
        </w:rPr>
      </w:pPr>
      <w:bookmarkStart w:id="2" w:name="OLE_LINK4"/>
      <w:bookmarkStart w:id="3" w:name="OLE_LINK3"/>
    </w:p>
    <w:p w:rsidR="00077F4B" w:rsidRPr="00EE0892" w:rsidRDefault="00077F4B" w:rsidP="00077F4B">
      <w:pPr>
        <w:rPr>
          <w:rFonts w:eastAsia="Calibri"/>
          <w:color w:val="auto"/>
          <w:szCs w:val="24"/>
        </w:rPr>
      </w:pPr>
      <w:r w:rsidRPr="00EE0892">
        <w:rPr>
          <w:rFonts w:eastAsia="Calibri"/>
          <w:color w:val="auto"/>
          <w:szCs w:val="24"/>
        </w:rPr>
        <w:t>Encl</w:t>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t xml:space="preserve">     XXXXXXXXXX</w:t>
      </w:r>
    </w:p>
    <w:p w:rsidR="00077F4B" w:rsidRPr="00EE0892" w:rsidRDefault="00077F4B" w:rsidP="00077F4B">
      <w:pPr>
        <w:rPr>
          <w:rFonts w:eastAsia="Calibri"/>
          <w:color w:val="auto"/>
          <w:szCs w:val="24"/>
        </w:rPr>
      </w:pP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t xml:space="preserve">     Deputy Assistant Secretary</w:t>
      </w:r>
    </w:p>
    <w:p w:rsidR="00077F4B" w:rsidRPr="00EE0892" w:rsidRDefault="00077F4B" w:rsidP="00077F4B">
      <w:pPr>
        <w:rPr>
          <w:rFonts w:eastAsia="Calibri"/>
          <w:color w:val="auto"/>
          <w:szCs w:val="24"/>
        </w:rPr>
      </w:pP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r>
      <w:r w:rsidRPr="00EE0892">
        <w:rPr>
          <w:rFonts w:eastAsia="Calibri"/>
          <w:color w:val="auto"/>
          <w:szCs w:val="24"/>
        </w:rPr>
        <w:tab/>
        <w:t xml:space="preserve">         (Army Review Boards)</w:t>
      </w:r>
      <w:bookmarkEnd w:id="2"/>
      <w:bookmarkEnd w:id="3"/>
    </w:p>
    <w:sectPr w:rsidR="00077F4B" w:rsidRPr="00EE0892"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F5" w:rsidRDefault="007950F5">
      <w:r>
        <w:separator/>
      </w:r>
    </w:p>
  </w:endnote>
  <w:endnote w:type="continuationSeparator" w:id="0">
    <w:p w:rsidR="007950F5" w:rsidRDefault="00795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0" w:rsidRPr="00684CE6" w:rsidRDefault="00160EA8" w:rsidP="00F65ED5">
    <w:pPr>
      <w:pStyle w:val="Footer"/>
      <w:jc w:val="right"/>
      <w:rPr>
        <w:color w:val="auto"/>
      </w:rPr>
    </w:pPr>
    <w:r w:rsidRPr="00684CE6">
      <w:rPr>
        <w:color w:val="auto"/>
      </w:rPr>
      <w:fldChar w:fldCharType="begin"/>
    </w:r>
    <w:r w:rsidR="00E513B0" w:rsidRPr="00684CE6">
      <w:rPr>
        <w:color w:val="auto"/>
      </w:rPr>
      <w:instrText xml:space="preserve"> PAGE   \* MERGEFORMAT </w:instrText>
    </w:r>
    <w:r w:rsidRPr="00684CE6">
      <w:rPr>
        <w:color w:val="auto"/>
      </w:rPr>
      <w:fldChar w:fldCharType="separate"/>
    </w:r>
    <w:r w:rsidR="00EE0892">
      <w:rPr>
        <w:noProof/>
        <w:color w:val="auto"/>
      </w:rPr>
      <w:t>5</w:t>
    </w:r>
    <w:r w:rsidRPr="00684CE6">
      <w:rPr>
        <w:color w:val="auto"/>
      </w:rPr>
      <w:fldChar w:fldCharType="end"/>
    </w:r>
    <w:r w:rsidR="00E513B0" w:rsidRPr="00684CE6">
      <w:rPr>
        <w:color w:val="auto"/>
      </w:rPr>
      <w:t xml:space="preserve">                                                           P</w:t>
    </w:r>
    <w:r w:rsidR="00E513B0" w:rsidRPr="000C355D">
      <w:rPr>
        <w:color w:val="auto"/>
      </w:rPr>
      <w:t>D1100</w:t>
    </w:r>
    <w:r w:rsidR="00E513B0">
      <w:rPr>
        <w:color w:val="auto"/>
      </w:rPr>
      <w:t>470</w:t>
    </w:r>
  </w:p>
  <w:p w:rsidR="00E513B0" w:rsidRPr="00684CE6" w:rsidRDefault="00E513B0">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0" w:rsidRPr="00DB4A6D" w:rsidRDefault="00E513B0"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F5" w:rsidRDefault="007950F5">
      <w:r>
        <w:separator/>
      </w:r>
    </w:p>
  </w:footnote>
  <w:footnote w:type="continuationSeparator" w:id="0">
    <w:p w:rsidR="007950F5" w:rsidRDefault="00795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048EE"/>
    <w:multiLevelType w:val="hybridMultilevel"/>
    <w:tmpl w:val="85CAFC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1"/>
  </w:num>
  <w:num w:numId="11">
    <w:abstractNumId w:val="4"/>
  </w:num>
  <w:num w:numId="12">
    <w:abstractNumId w:val="14"/>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activeWritingStyle w:appName="MSWord" w:lang="en-US" w:vendorID="8" w:dllVersion="513" w:checkStyle="1"/>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7100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4766"/>
    <w:rsid w:val="000059FA"/>
    <w:rsid w:val="00006186"/>
    <w:rsid w:val="00006F87"/>
    <w:rsid w:val="00007107"/>
    <w:rsid w:val="00010ABA"/>
    <w:rsid w:val="00010B0F"/>
    <w:rsid w:val="000114D8"/>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541"/>
    <w:rsid w:val="000500AB"/>
    <w:rsid w:val="00051622"/>
    <w:rsid w:val="00051A11"/>
    <w:rsid w:val="00052234"/>
    <w:rsid w:val="00053D7C"/>
    <w:rsid w:val="000575C5"/>
    <w:rsid w:val="000577C9"/>
    <w:rsid w:val="00060FFD"/>
    <w:rsid w:val="0006431E"/>
    <w:rsid w:val="000652EA"/>
    <w:rsid w:val="00065520"/>
    <w:rsid w:val="00065E21"/>
    <w:rsid w:val="000673ED"/>
    <w:rsid w:val="00072433"/>
    <w:rsid w:val="0007488B"/>
    <w:rsid w:val="00075702"/>
    <w:rsid w:val="00075A0C"/>
    <w:rsid w:val="00076378"/>
    <w:rsid w:val="000775C2"/>
    <w:rsid w:val="00077F4B"/>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5520"/>
    <w:rsid w:val="000B092E"/>
    <w:rsid w:val="000B0AD2"/>
    <w:rsid w:val="000B1022"/>
    <w:rsid w:val="000B2FB8"/>
    <w:rsid w:val="000B4C99"/>
    <w:rsid w:val="000C06F6"/>
    <w:rsid w:val="000C1D34"/>
    <w:rsid w:val="000C2362"/>
    <w:rsid w:val="000C2FA8"/>
    <w:rsid w:val="000C355D"/>
    <w:rsid w:val="000C3C13"/>
    <w:rsid w:val="000C4D5F"/>
    <w:rsid w:val="000C53F9"/>
    <w:rsid w:val="000C5813"/>
    <w:rsid w:val="000C6403"/>
    <w:rsid w:val="000C75CF"/>
    <w:rsid w:val="000C7B83"/>
    <w:rsid w:val="000C7DE4"/>
    <w:rsid w:val="000D0AE6"/>
    <w:rsid w:val="000D15E7"/>
    <w:rsid w:val="000D1A24"/>
    <w:rsid w:val="000D1CF4"/>
    <w:rsid w:val="000D1DBC"/>
    <w:rsid w:val="000D21C7"/>
    <w:rsid w:val="000D248A"/>
    <w:rsid w:val="000D2CFD"/>
    <w:rsid w:val="000D2D27"/>
    <w:rsid w:val="000D35D8"/>
    <w:rsid w:val="000D43F9"/>
    <w:rsid w:val="000D4717"/>
    <w:rsid w:val="000D6457"/>
    <w:rsid w:val="000D7D55"/>
    <w:rsid w:val="000E0993"/>
    <w:rsid w:val="000E1526"/>
    <w:rsid w:val="000E1B41"/>
    <w:rsid w:val="000E2E50"/>
    <w:rsid w:val="000E37E0"/>
    <w:rsid w:val="000E3F20"/>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660"/>
    <w:rsid w:val="00105C07"/>
    <w:rsid w:val="00105ED5"/>
    <w:rsid w:val="00106AD8"/>
    <w:rsid w:val="00106B3C"/>
    <w:rsid w:val="00107EC5"/>
    <w:rsid w:val="001103CD"/>
    <w:rsid w:val="00111FCE"/>
    <w:rsid w:val="00113D2A"/>
    <w:rsid w:val="00114F20"/>
    <w:rsid w:val="0011590B"/>
    <w:rsid w:val="001211AF"/>
    <w:rsid w:val="001219DF"/>
    <w:rsid w:val="0012220B"/>
    <w:rsid w:val="00122ABE"/>
    <w:rsid w:val="001231DC"/>
    <w:rsid w:val="0012489B"/>
    <w:rsid w:val="001250A8"/>
    <w:rsid w:val="001272AE"/>
    <w:rsid w:val="00130756"/>
    <w:rsid w:val="00130F24"/>
    <w:rsid w:val="001315DD"/>
    <w:rsid w:val="0013525F"/>
    <w:rsid w:val="00135385"/>
    <w:rsid w:val="001364D1"/>
    <w:rsid w:val="001374C7"/>
    <w:rsid w:val="00141563"/>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0EA8"/>
    <w:rsid w:val="00160EEC"/>
    <w:rsid w:val="00161642"/>
    <w:rsid w:val="00161761"/>
    <w:rsid w:val="00166182"/>
    <w:rsid w:val="0017139A"/>
    <w:rsid w:val="001724C8"/>
    <w:rsid w:val="001732C4"/>
    <w:rsid w:val="001745DD"/>
    <w:rsid w:val="00174FDE"/>
    <w:rsid w:val="00174FE3"/>
    <w:rsid w:val="0017718A"/>
    <w:rsid w:val="00177659"/>
    <w:rsid w:val="001779E5"/>
    <w:rsid w:val="00180826"/>
    <w:rsid w:val="00181240"/>
    <w:rsid w:val="00182A4C"/>
    <w:rsid w:val="00183416"/>
    <w:rsid w:val="00183F77"/>
    <w:rsid w:val="00183FB3"/>
    <w:rsid w:val="001844D8"/>
    <w:rsid w:val="00185DA8"/>
    <w:rsid w:val="00185ECB"/>
    <w:rsid w:val="001865E0"/>
    <w:rsid w:val="00186FBF"/>
    <w:rsid w:val="001870F0"/>
    <w:rsid w:val="00187B05"/>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8BF"/>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0114"/>
    <w:rsid w:val="001D169A"/>
    <w:rsid w:val="001D2224"/>
    <w:rsid w:val="001D31AA"/>
    <w:rsid w:val="001D3DC0"/>
    <w:rsid w:val="001D4BAF"/>
    <w:rsid w:val="001D4F88"/>
    <w:rsid w:val="001D68CF"/>
    <w:rsid w:val="001D6A8C"/>
    <w:rsid w:val="001D7A56"/>
    <w:rsid w:val="001E15C0"/>
    <w:rsid w:val="001E18E0"/>
    <w:rsid w:val="001E18E2"/>
    <w:rsid w:val="001E19D0"/>
    <w:rsid w:val="001E2A30"/>
    <w:rsid w:val="001E2FF1"/>
    <w:rsid w:val="001E41FE"/>
    <w:rsid w:val="001E635C"/>
    <w:rsid w:val="001E7089"/>
    <w:rsid w:val="001F0297"/>
    <w:rsid w:val="00200AA0"/>
    <w:rsid w:val="002019EA"/>
    <w:rsid w:val="00202325"/>
    <w:rsid w:val="00202736"/>
    <w:rsid w:val="00203652"/>
    <w:rsid w:val="00204562"/>
    <w:rsid w:val="00205B4F"/>
    <w:rsid w:val="002060B6"/>
    <w:rsid w:val="002066B5"/>
    <w:rsid w:val="00210E01"/>
    <w:rsid w:val="00211612"/>
    <w:rsid w:val="002119B6"/>
    <w:rsid w:val="00212B40"/>
    <w:rsid w:val="00213B57"/>
    <w:rsid w:val="00213BD0"/>
    <w:rsid w:val="00214DBA"/>
    <w:rsid w:val="002151AB"/>
    <w:rsid w:val="0021548C"/>
    <w:rsid w:val="00215C4C"/>
    <w:rsid w:val="00215ED6"/>
    <w:rsid w:val="00216049"/>
    <w:rsid w:val="002163FA"/>
    <w:rsid w:val="00217606"/>
    <w:rsid w:val="00217C09"/>
    <w:rsid w:val="00220F5C"/>
    <w:rsid w:val="002216BF"/>
    <w:rsid w:val="0022188C"/>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6860"/>
    <w:rsid w:val="002468D9"/>
    <w:rsid w:val="00246DFF"/>
    <w:rsid w:val="00246E89"/>
    <w:rsid w:val="0025183C"/>
    <w:rsid w:val="00252351"/>
    <w:rsid w:val="002528EC"/>
    <w:rsid w:val="00253495"/>
    <w:rsid w:val="00253EAA"/>
    <w:rsid w:val="00255049"/>
    <w:rsid w:val="00257AFF"/>
    <w:rsid w:val="00257DE5"/>
    <w:rsid w:val="00260531"/>
    <w:rsid w:val="00260B9A"/>
    <w:rsid w:val="00262EA5"/>
    <w:rsid w:val="0026318D"/>
    <w:rsid w:val="00264148"/>
    <w:rsid w:val="002660AF"/>
    <w:rsid w:val="00270535"/>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172"/>
    <w:rsid w:val="002A685E"/>
    <w:rsid w:val="002A72C7"/>
    <w:rsid w:val="002B03B2"/>
    <w:rsid w:val="002B0749"/>
    <w:rsid w:val="002B2645"/>
    <w:rsid w:val="002B2986"/>
    <w:rsid w:val="002B303A"/>
    <w:rsid w:val="002B32E9"/>
    <w:rsid w:val="002B4E22"/>
    <w:rsid w:val="002B6FA0"/>
    <w:rsid w:val="002C0DEA"/>
    <w:rsid w:val="002C34F6"/>
    <w:rsid w:val="002C3B6D"/>
    <w:rsid w:val="002C5D9D"/>
    <w:rsid w:val="002C5F10"/>
    <w:rsid w:val="002C6CE1"/>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9C5"/>
    <w:rsid w:val="00305856"/>
    <w:rsid w:val="0030678B"/>
    <w:rsid w:val="00306D16"/>
    <w:rsid w:val="00310CD7"/>
    <w:rsid w:val="00313D7A"/>
    <w:rsid w:val="00317A8A"/>
    <w:rsid w:val="0032136A"/>
    <w:rsid w:val="00321AD3"/>
    <w:rsid w:val="00323A90"/>
    <w:rsid w:val="00323E70"/>
    <w:rsid w:val="0032481D"/>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9F3"/>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67F6B"/>
    <w:rsid w:val="00370743"/>
    <w:rsid w:val="00370EF5"/>
    <w:rsid w:val="0037135B"/>
    <w:rsid w:val="00372251"/>
    <w:rsid w:val="003727D7"/>
    <w:rsid w:val="00373F64"/>
    <w:rsid w:val="00374EA1"/>
    <w:rsid w:val="0037520D"/>
    <w:rsid w:val="00375724"/>
    <w:rsid w:val="00375809"/>
    <w:rsid w:val="00375CF1"/>
    <w:rsid w:val="0037628C"/>
    <w:rsid w:val="00376B81"/>
    <w:rsid w:val="00376E08"/>
    <w:rsid w:val="00377BD2"/>
    <w:rsid w:val="00380350"/>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0D9B"/>
    <w:rsid w:val="003A27B2"/>
    <w:rsid w:val="003A40B4"/>
    <w:rsid w:val="003A41BA"/>
    <w:rsid w:val="003A5491"/>
    <w:rsid w:val="003A6A99"/>
    <w:rsid w:val="003A6E60"/>
    <w:rsid w:val="003A7FF8"/>
    <w:rsid w:val="003B17AC"/>
    <w:rsid w:val="003B227A"/>
    <w:rsid w:val="003B3A77"/>
    <w:rsid w:val="003B4319"/>
    <w:rsid w:val="003B5854"/>
    <w:rsid w:val="003B6764"/>
    <w:rsid w:val="003B70B2"/>
    <w:rsid w:val="003B7A8B"/>
    <w:rsid w:val="003C257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4A23"/>
    <w:rsid w:val="003F58B0"/>
    <w:rsid w:val="003F776F"/>
    <w:rsid w:val="004007E9"/>
    <w:rsid w:val="00400810"/>
    <w:rsid w:val="00401825"/>
    <w:rsid w:val="00401993"/>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A6A"/>
    <w:rsid w:val="00427F54"/>
    <w:rsid w:val="004316FD"/>
    <w:rsid w:val="00433F36"/>
    <w:rsid w:val="00434860"/>
    <w:rsid w:val="0043503A"/>
    <w:rsid w:val="00437B8A"/>
    <w:rsid w:val="00437D18"/>
    <w:rsid w:val="00437D77"/>
    <w:rsid w:val="00443525"/>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4B12"/>
    <w:rsid w:val="004761CC"/>
    <w:rsid w:val="004766C9"/>
    <w:rsid w:val="00480D4A"/>
    <w:rsid w:val="00481DA1"/>
    <w:rsid w:val="00483A2B"/>
    <w:rsid w:val="00484212"/>
    <w:rsid w:val="00484BA9"/>
    <w:rsid w:val="0048567F"/>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B7"/>
    <w:rsid w:val="004C24C5"/>
    <w:rsid w:val="004C47D5"/>
    <w:rsid w:val="004C4CAF"/>
    <w:rsid w:val="004C5E33"/>
    <w:rsid w:val="004C60A3"/>
    <w:rsid w:val="004C6CDA"/>
    <w:rsid w:val="004D10D4"/>
    <w:rsid w:val="004D16BD"/>
    <w:rsid w:val="004D24F0"/>
    <w:rsid w:val="004D2AAB"/>
    <w:rsid w:val="004D6E90"/>
    <w:rsid w:val="004D6F2B"/>
    <w:rsid w:val="004E0248"/>
    <w:rsid w:val="004E091C"/>
    <w:rsid w:val="004E21A3"/>
    <w:rsid w:val="004E32EA"/>
    <w:rsid w:val="004E3DF1"/>
    <w:rsid w:val="004E6866"/>
    <w:rsid w:val="004E75CA"/>
    <w:rsid w:val="004F0C58"/>
    <w:rsid w:val="004F0E2E"/>
    <w:rsid w:val="004F29E2"/>
    <w:rsid w:val="004F3222"/>
    <w:rsid w:val="004F3639"/>
    <w:rsid w:val="004F3BFA"/>
    <w:rsid w:val="004F4E3C"/>
    <w:rsid w:val="004F5A1A"/>
    <w:rsid w:val="004F77A3"/>
    <w:rsid w:val="005000AB"/>
    <w:rsid w:val="00500F3C"/>
    <w:rsid w:val="005025EE"/>
    <w:rsid w:val="00503DDF"/>
    <w:rsid w:val="00505524"/>
    <w:rsid w:val="00505D29"/>
    <w:rsid w:val="00506688"/>
    <w:rsid w:val="0050795E"/>
    <w:rsid w:val="00510588"/>
    <w:rsid w:val="00510629"/>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041"/>
    <w:rsid w:val="00533D37"/>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79D"/>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1D8F"/>
    <w:rsid w:val="00583379"/>
    <w:rsid w:val="0058417C"/>
    <w:rsid w:val="00584642"/>
    <w:rsid w:val="00586EC6"/>
    <w:rsid w:val="00587DDE"/>
    <w:rsid w:val="00593043"/>
    <w:rsid w:val="0059393F"/>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18E"/>
    <w:rsid w:val="005C3758"/>
    <w:rsid w:val="005C4D72"/>
    <w:rsid w:val="005C50C1"/>
    <w:rsid w:val="005C62C2"/>
    <w:rsid w:val="005C7D64"/>
    <w:rsid w:val="005D2306"/>
    <w:rsid w:val="005D4A74"/>
    <w:rsid w:val="005D5E91"/>
    <w:rsid w:val="005D67EF"/>
    <w:rsid w:val="005E3064"/>
    <w:rsid w:val="005E4AB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1D5E"/>
    <w:rsid w:val="00634C4A"/>
    <w:rsid w:val="0063532E"/>
    <w:rsid w:val="00637063"/>
    <w:rsid w:val="0063737C"/>
    <w:rsid w:val="00637BDC"/>
    <w:rsid w:val="00640622"/>
    <w:rsid w:val="006418C9"/>
    <w:rsid w:val="00642BD6"/>
    <w:rsid w:val="00642E5E"/>
    <w:rsid w:val="00645046"/>
    <w:rsid w:val="0064527A"/>
    <w:rsid w:val="006458FD"/>
    <w:rsid w:val="00645EA2"/>
    <w:rsid w:val="00651E6D"/>
    <w:rsid w:val="00653D2D"/>
    <w:rsid w:val="006555E7"/>
    <w:rsid w:val="006573F2"/>
    <w:rsid w:val="00662AD0"/>
    <w:rsid w:val="00662F08"/>
    <w:rsid w:val="00663589"/>
    <w:rsid w:val="006649CD"/>
    <w:rsid w:val="00665D75"/>
    <w:rsid w:val="0066791D"/>
    <w:rsid w:val="006708E3"/>
    <w:rsid w:val="00670DDC"/>
    <w:rsid w:val="00671389"/>
    <w:rsid w:val="00671EB4"/>
    <w:rsid w:val="00673CDC"/>
    <w:rsid w:val="0067443B"/>
    <w:rsid w:val="006770AA"/>
    <w:rsid w:val="00681972"/>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5FA7"/>
    <w:rsid w:val="006A75FA"/>
    <w:rsid w:val="006B07D5"/>
    <w:rsid w:val="006B1309"/>
    <w:rsid w:val="006B31E6"/>
    <w:rsid w:val="006B3923"/>
    <w:rsid w:val="006B3F3E"/>
    <w:rsid w:val="006B4AA2"/>
    <w:rsid w:val="006B53C4"/>
    <w:rsid w:val="006B5923"/>
    <w:rsid w:val="006B60D4"/>
    <w:rsid w:val="006B67D9"/>
    <w:rsid w:val="006B6C14"/>
    <w:rsid w:val="006B715E"/>
    <w:rsid w:val="006C1D6E"/>
    <w:rsid w:val="006C2EF6"/>
    <w:rsid w:val="006C3A68"/>
    <w:rsid w:val="006C3B08"/>
    <w:rsid w:val="006C6AB1"/>
    <w:rsid w:val="006C6E6B"/>
    <w:rsid w:val="006D2000"/>
    <w:rsid w:val="006D2D39"/>
    <w:rsid w:val="006D2F31"/>
    <w:rsid w:val="006D4250"/>
    <w:rsid w:val="006D4E0E"/>
    <w:rsid w:val="006D5CE2"/>
    <w:rsid w:val="006D5D9C"/>
    <w:rsid w:val="006D7854"/>
    <w:rsid w:val="006E06D1"/>
    <w:rsid w:val="006E1313"/>
    <w:rsid w:val="006E2DC8"/>
    <w:rsid w:val="006E7356"/>
    <w:rsid w:val="006E77C8"/>
    <w:rsid w:val="006F0F9C"/>
    <w:rsid w:val="006F149D"/>
    <w:rsid w:val="006F1A46"/>
    <w:rsid w:val="006F4F06"/>
    <w:rsid w:val="006F5A4E"/>
    <w:rsid w:val="006F5D37"/>
    <w:rsid w:val="006F6005"/>
    <w:rsid w:val="006F762B"/>
    <w:rsid w:val="007005EA"/>
    <w:rsid w:val="00703B6C"/>
    <w:rsid w:val="00703BB0"/>
    <w:rsid w:val="00704519"/>
    <w:rsid w:val="00704C88"/>
    <w:rsid w:val="00704EA1"/>
    <w:rsid w:val="0070543E"/>
    <w:rsid w:val="00705C40"/>
    <w:rsid w:val="00706482"/>
    <w:rsid w:val="00706754"/>
    <w:rsid w:val="00706BEF"/>
    <w:rsid w:val="00707ECE"/>
    <w:rsid w:val="00710CE8"/>
    <w:rsid w:val="00711350"/>
    <w:rsid w:val="007116BC"/>
    <w:rsid w:val="00711961"/>
    <w:rsid w:val="00711CA6"/>
    <w:rsid w:val="007165CE"/>
    <w:rsid w:val="00717CEB"/>
    <w:rsid w:val="00720968"/>
    <w:rsid w:val="00721705"/>
    <w:rsid w:val="00721B7A"/>
    <w:rsid w:val="00721D12"/>
    <w:rsid w:val="00721F8B"/>
    <w:rsid w:val="00723055"/>
    <w:rsid w:val="007237CE"/>
    <w:rsid w:val="00724688"/>
    <w:rsid w:val="007272F1"/>
    <w:rsid w:val="0073062D"/>
    <w:rsid w:val="0073093B"/>
    <w:rsid w:val="00731254"/>
    <w:rsid w:val="007317D3"/>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6F2B"/>
    <w:rsid w:val="00750C82"/>
    <w:rsid w:val="00750E3A"/>
    <w:rsid w:val="00752035"/>
    <w:rsid w:val="0076100C"/>
    <w:rsid w:val="007612A5"/>
    <w:rsid w:val="007628C5"/>
    <w:rsid w:val="00763CAE"/>
    <w:rsid w:val="00763F95"/>
    <w:rsid w:val="00764AD3"/>
    <w:rsid w:val="007651ED"/>
    <w:rsid w:val="00766C87"/>
    <w:rsid w:val="00771043"/>
    <w:rsid w:val="00773443"/>
    <w:rsid w:val="00773AF7"/>
    <w:rsid w:val="00774FFD"/>
    <w:rsid w:val="00780378"/>
    <w:rsid w:val="0078085E"/>
    <w:rsid w:val="00780E0F"/>
    <w:rsid w:val="00781286"/>
    <w:rsid w:val="00781BD4"/>
    <w:rsid w:val="00782562"/>
    <w:rsid w:val="007828B4"/>
    <w:rsid w:val="00784832"/>
    <w:rsid w:val="00784EA0"/>
    <w:rsid w:val="00785D77"/>
    <w:rsid w:val="00786111"/>
    <w:rsid w:val="00790963"/>
    <w:rsid w:val="007911C7"/>
    <w:rsid w:val="0079154B"/>
    <w:rsid w:val="00791F1E"/>
    <w:rsid w:val="007927BE"/>
    <w:rsid w:val="007935B8"/>
    <w:rsid w:val="00794ADE"/>
    <w:rsid w:val="00794F3D"/>
    <w:rsid w:val="007950F5"/>
    <w:rsid w:val="00795CE9"/>
    <w:rsid w:val="00796045"/>
    <w:rsid w:val="007968AC"/>
    <w:rsid w:val="007969AB"/>
    <w:rsid w:val="007973D8"/>
    <w:rsid w:val="00797801"/>
    <w:rsid w:val="00797978"/>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3B9A"/>
    <w:rsid w:val="007B4181"/>
    <w:rsid w:val="007B5C5C"/>
    <w:rsid w:val="007B5FF3"/>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BFE"/>
    <w:rsid w:val="007E0ECF"/>
    <w:rsid w:val="007E2046"/>
    <w:rsid w:val="007E3883"/>
    <w:rsid w:val="007E418B"/>
    <w:rsid w:val="007E4876"/>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6D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668A"/>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4A30"/>
    <w:rsid w:val="008902BE"/>
    <w:rsid w:val="0089038F"/>
    <w:rsid w:val="0089081B"/>
    <w:rsid w:val="00890CDA"/>
    <w:rsid w:val="00891BBA"/>
    <w:rsid w:val="00892079"/>
    <w:rsid w:val="00892B90"/>
    <w:rsid w:val="00895071"/>
    <w:rsid w:val="00896535"/>
    <w:rsid w:val="00896683"/>
    <w:rsid w:val="00896E71"/>
    <w:rsid w:val="0089750B"/>
    <w:rsid w:val="00897589"/>
    <w:rsid w:val="00897B6A"/>
    <w:rsid w:val="00897E66"/>
    <w:rsid w:val="008A0D4F"/>
    <w:rsid w:val="008A0F2D"/>
    <w:rsid w:val="008A370A"/>
    <w:rsid w:val="008A39D7"/>
    <w:rsid w:val="008A55DE"/>
    <w:rsid w:val="008A583A"/>
    <w:rsid w:val="008A5C34"/>
    <w:rsid w:val="008A63A9"/>
    <w:rsid w:val="008A7073"/>
    <w:rsid w:val="008A79F0"/>
    <w:rsid w:val="008A7F7E"/>
    <w:rsid w:val="008B04DB"/>
    <w:rsid w:val="008B09B4"/>
    <w:rsid w:val="008B27FD"/>
    <w:rsid w:val="008B2FDB"/>
    <w:rsid w:val="008B3AF2"/>
    <w:rsid w:val="008B446D"/>
    <w:rsid w:val="008B515D"/>
    <w:rsid w:val="008B5D31"/>
    <w:rsid w:val="008B6705"/>
    <w:rsid w:val="008C22F3"/>
    <w:rsid w:val="008C3879"/>
    <w:rsid w:val="008C3FD0"/>
    <w:rsid w:val="008C4F01"/>
    <w:rsid w:val="008D087E"/>
    <w:rsid w:val="008D1484"/>
    <w:rsid w:val="008D29E7"/>
    <w:rsid w:val="008D5104"/>
    <w:rsid w:val="008D75F4"/>
    <w:rsid w:val="008D795D"/>
    <w:rsid w:val="008D7B07"/>
    <w:rsid w:val="008E0D8F"/>
    <w:rsid w:val="008E0F4E"/>
    <w:rsid w:val="008E1E94"/>
    <w:rsid w:val="008E2D99"/>
    <w:rsid w:val="008E30D4"/>
    <w:rsid w:val="008E38B0"/>
    <w:rsid w:val="008E4A60"/>
    <w:rsid w:val="008E643F"/>
    <w:rsid w:val="008E744D"/>
    <w:rsid w:val="008F1E08"/>
    <w:rsid w:val="008F2290"/>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09D"/>
    <w:rsid w:val="00917182"/>
    <w:rsid w:val="009211DF"/>
    <w:rsid w:val="00923B25"/>
    <w:rsid w:val="0092402E"/>
    <w:rsid w:val="009259BA"/>
    <w:rsid w:val="0092675C"/>
    <w:rsid w:val="00926FCB"/>
    <w:rsid w:val="009303BB"/>
    <w:rsid w:val="0093108A"/>
    <w:rsid w:val="009318E5"/>
    <w:rsid w:val="0093311A"/>
    <w:rsid w:val="009346D0"/>
    <w:rsid w:val="00941A4C"/>
    <w:rsid w:val="00942645"/>
    <w:rsid w:val="009441C3"/>
    <w:rsid w:val="00944E40"/>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5EB"/>
    <w:rsid w:val="00985D32"/>
    <w:rsid w:val="00986514"/>
    <w:rsid w:val="00986FCC"/>
    <w:rsid w:val="009935C3"/>
    <w:rsid w:val="0099421F"/>
    <w:rsid w:val="00994FC8"/>
    <w:rsid w:val="009A0DE3"/>
    <w:rsid w:val="009A1643"/>
    <w:rsid w:val="009A215A"/>
    <w:rsid w:val="009A4018"/>
    <w:rsid w:val="009A49D3"/>
    <w:rsid w:val="009A4F1B"/>
    <w:rsid w:val="009A66C5"/>
    <w:rsid w:val="009A66E7"/>
    <w:rsid w:val="009A79BA"/>
    <w:rsid w:val="009B14D1"/>
    <w:rsid w:val="009B1534"/>
    <w:rsid w:val="009B4963"/>
    <w:rsid w:val="009B4A3B"/>
    <w:rsid w:val="009B69D3"/>
    <w:rsid w:val="009B7BA7"/>
    <w:rsid w:val="009C0938"/>
    <w:rsid w:val="009C15D9"/>
    <w:rsid w:val="009C22C8"/>
    <w:rsid w:val="009C3F82"/>
    <w:rsid w:val="009C582A"/>
    <w:rsid w:val="009C5C56"/>
    <w:rsid w:val="009C72DD"/>
    <w:rsid w:val="009C78FD"/>
    <w:rsid w:val="009C7DF5"/>
    <w:rsid w:val="009D054F"/>
    <w:rsid w:val="009D056C"/>
    <w:rsid w:val="009D060F"/>
    <w:rsid w:val="009D1ADE"/>
    <w:rsid w:val="009D3652"/>
    <w:rsid w:val="009D37CA"/>
    <w:rsid w:val="009D4229"/>
    <w:rsid w:val="009D4268"/>
    <w:rsid w:val="009D733E"/>
    <w:rsid w:val="009E09D0"/>
    <w:rsid w:val="009E1283"/>
    <w:rsid w:val="009E3A7F"/>
    <w:rsid w:val="009E4C9B"/>
    <w:rsid w:val="009E4DFC"/>
    <w:rsid w:val="009E5789"/>
    <w:rsid w:val="009E57B1"/>
    <w:rsid w:val="009E6379"/>
    <w:rsid w:val="009F3B63"/>
    <w:rsid w:val="009F43E2"/>
    <w:rsid w:val="009F4A6F"/>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876"/>
    <w:rsid w:val="00A200AA"/>
    <w:rsid w:val="00A20558"/>
    <w:rsid w:val="00A211DD"/>
    <w:rsid w:val="00A2186F"/>
    <w:rsid w:val="00A2270B"/>
    <w:rsid w:val="00A23B89"/>
    <w:rsid w:val="00A23FE3"/>
    <w:rsid w:val="00A248C3"/>
    <w:rsid w:val="00A2496E"/>
    <w:rsid w:val="00A24B1C"/>
    <w:rsid w:val="00A2515A"/>
    <w:rsid w:val="00A253E8"/>
    <w:rsid w:val="00A258B7"/>
    <w:rsid w:val="00A25A0C"/>
    <w:rsid w:val="00A262B6"/>
    <w:rsid w:val="00A31FE2"/>
    <w:rsid w:val="00A32743"/>
    <w:rsid w:val="00A33C81"/>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3B84"/>
    <w:rsid w:val="00A7411D"/>
    <w:rsid w:val="00A752A1"/>
    <w:rsid w:val="00A756C4"/>
    <w:rsid w:val="00A7592B"/>
    <w:rsid w:val="00A76094"/>
    <w:rsid w:val="00A768E2"/>
    <w:rsid w:val="00A82C52"/>
    <w:rsid w:val="00A831AD"/>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409"/>
    <w:rsid w:val="00AB592E"/>
    <w:rsid w:val="00AC37BE"/>
    <w:rsid w:val="00AC428A"/>
    <w:rsid w:val="00AC439D"/>
    <w:rsid w:val="00AC62CC"/>
    <w:rsid w:val="00AC713F"/>
    <w:rsid w:val="00AC7329"/>
    <w:rsid w:val="00AC7D96"/>
    <w:rsid w:val="00AD00E4"/>
    <w:rsid w:val="00AD067E"/>
    <w:rsid w:val="00AD168B"/>
    <w:rsid w:val="00AD1B4E"/>
    <w:rsid w:val="00AD21AF"/>
    <w:rsid w:val="00AD2801"/>
    <w:rsid w:val="00AD3496"/>
    <w:rsid w:val="00AD49A1"/>
    <w:rsid w:val="00AD5771"/>
    <w:rsid w:val="00AD6870"/>
    <w:rsid w:val="00AD68C5"/>
    <w:rsid w:val="00AD7F8F"/>
    <w:rsid w:val="00AE0BF9"/>
    <w:rsid w:val="00AE1273"/>
    <w:rsid w:val="00AE18C5"/>
    <w:rsid w:val="00AE2CF4"/>
    <w:rsid w:val="00AE2D29"/>
    <w:rsid w:val="00AE4624"/>
    <w:rsid w:val="00AE4B3E"/>
    <w:rsid w:val="00AE5E14"/>
    <w:rsid w:val="00AE6115"/>
    <w:rsid w:val="00AE625B"/>
    <w:rsid w:val="00AF01B2"/>
    <w:rsid w:val="00AF1103"/>
    <w:rsid w:val="00AF1668"/>
    <w:rsid w:val="00AF28DE"/>
    <w:rsid w:val="00AF4FA5"/>
    <w:rsid w:val="00AF6ECC"/>
    <w:rsid w:val="00B022DC"/>
    <w:rsid w:val="00B03474"/>
    <w:rsid w:val="00B04562"/>
    <w:rsid w:val="00B06930"/>
    <w:rsid w:val="00B0773A"/>
    <w:rsid w:val="00B07955"/>
    <w:rsid w:val="00B10CCB"/>
    <w:rsid w:val="00B1176B"/>
    <w:rsid w:val="00B140B8"/>
    <w:rsid w:val="00B14FAA"/>
    <w:rsid w:val="00B15BED"/>
    <w:rsid w:val="00B15D30"/>
    <w:rsid w:val="00B177DE"/>
    <w:rsid w:val="00B20624"/>
    <w:rsid w:val="00B21051"/>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CEE"/>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B72A5"/>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0AF4"/>
    <w:rsid w:val="00C71BEC"/>
    <w:rsid w:val="00C74D3A"/>
    <w:rsid w:val="00C75F3D"/>
    <w:rsid w:val="00C80511"/>
    <w:rsid w:val="00C82561"/>
    <w:rsid w:val="00C826F5"/>
    <w:rsid w:val="00C83740"/>
    <w:rsid w:val="00C84526"/>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4F0"/>
    <w:rsid w:val="00CC39D2"/>
    <w:rsid w:val="00CC4694"/>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701"/>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6D"/>
    <w:rsid w:val="00D2321B"/>
    <w:rsid w:val="00D23350"/>
    <w:rsid w:val="00D237E7"/>
    <w:rsid w:val="00D23DE4"/>
    <w:rsid w:val="00D25A5C"/>
    <w:rsid w:val="00D26873"/>
    <w:rsid w:val="00D31683"/>
    <w:rsid w:val="00D336C8"/>
    <w:rsid w:val="00D339E8"/>
    <w:rsid w:val="00D33F6E"/>
    <w:rsid w:val="00D3654A"/>
    <w:rsid w:val="00D3662E"/>
    <w:rsid w:val="00D40B1F"/>
    <w:rsid w:val="00D40D75"/>
    <w:rsid w:val="00D4393C"/>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994"/>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DA6"/>
    <w:rsid w:val="00DA195B"/>
    <w:rsid w:val="00DA27F3"/>
    <w:rsid w:val="00DA2D1E"/>
    <w:rsid w:val="00DA3EC8"/>
    <w:rsid w:val="00DA40C1"/>
    <w:rsid w:val="00DA49E7"/>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77B0"/>
    <w:rsid w:val="00DD286D"/>
    <w:rsid w:val="00DD2CAF"/>
    <w:rsid w:val="00DD3593"/>
    <w:rsid w:val="00DD64E0"/>
    <w:rsid w:val="00DD7BE0"/>
    <w:rsid w:val="00DE0C67"/>
    <w:rsid w:val="00DE3AAD"/>
    <w:rsid w:val="00DE40FB"/>
    <w:rsid w:val="00DE598A"/>
    <w:rsid w:val="00DE6952"/>
    <w:rsid w:val="00DE6ABF"/>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1DE7"/>
    <w:rsid w:val="00E1308B"/>
    <w:rsid w:val="00E14581"/>
    <w:rsid w:val="00E14623"/>
    <w:rsid w:val="00E15539"/>
    <w:rsid w:val="00E16383"/>
    <w:rsid w:val="00E16541"/>
    <w:rsid w:val="00E17EC9"/>
    <w:rsid w:val="00E202F4"/>
    <w:rsid w:val="00E203EE"/>
    <w:rsid w:val="00E207C3"/>
    <w:rsid w:val="00E21386"/>
    <w:rsid w:val="00E236F3"/>
    <w:rsid w:val="00E242AF"/>
    <w:rsid w:val="00E24849"/>
    <w:rsid w:val="00E2536E"/>
    <w:rsid w:val="00E25B8A"/>
    <w:rsid w:val="00E25EF8"/>
    <w:rsid w:val="00E2632B"/>
    <w:rsid w:val="00E26F75"/>
    <w:rsid w:val="00E27423"/>
    <w:rsid w:val="00E322F7"/>
    <w:rsid w:val="00E3369B"/>
    <w:rsid w:val="00E362D2"/>
    <w:rsid w:val="00E36D76"/>
    <w:rsid w:val="00E37101"/>
    <w:rsid w:val="00E40478"/>
    <w:rsid w:val="00E405EA"/>
    <w:rsid w:val="00E408B7"/>
    <w:rsid w:val="00E41637"/>
    <w:rsid w:val="00E42789"/>
    <w:rsid w:val="00E43F59"/>
    <w:rsid w:val="00E44E81"/>
    <w:rsid w:val="00E464F0"/>
    <w:rsid w:val="00E469B2"/>
    <w:rsid w:val="00E46EF3"/>
    <w:rsid w:val="00E47370"/>
    <w:rsid w:val="00E473E9"/>
    <w:rsid w:val="00E47B47"/>
    <w:rsid w:val="00E50BEB"/>
    <w:rsid w:val="00E513B0"/>
    <w:rsid w:val="00E533C1"/>
    <w:rsid w:val="00E53878"/>
    <w:rsid w:val="00E548FA"/>
    <w:rsid w:val="00E54DF6"/>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7C5"/>
    <w:rsid w:val="00E909A6"/>
    <w:rsid w:val="00E9763D"/>
    <w:rsid w:val="00EA1177"/>
    <w:rsid w:val="00EA118B"/>
    <w:rsid w:val="00EA11B6"/>
    <w:rsid w:val="00EA2181"/>
    <w:rsid w:val="00EA2DD8"/>
    <w:rsid w:val="00EA4475"/>
    <w:rsid w:val="00EA52FE"/>
    <w:rsid w:val="00EA681F"/>
    <w:rsid w:val="00EB04C6"/>
    <w:rsid w:val="00EB06A6"/>
    <w:rsid w:val="00EB1155"/>
    <w:rsid w:val="00EB3307"/>
    <w:rsid w:val="00EB3823"/>
    <w:rsid w:val="00EB47D8"/>
    <w:rsid w:val="00EB57D3"/>
    <w:rsid w:val="00EB5EFD"/>
    <w:rsid w:val="00EB679F"/>
    <w:rsid w:val="00EB6EC1"/>
    <w:rsid w:val="00EB76E4"/>
    <w:rsid w:val="00EC0D70"/>
    <w:rsid w:val="00EC0E65"/>
    <w:rsid w:val="00EC1251"/>
    <w:rsid w:val="00EC1A00"/>
    <w:rsid w:val="00EC2938"/>
    <w:rsid w:val="00EC337D"/>
    <w:rsid w:val="00EC38EF"/>
    <w:rsid w:val="00EC50C9"/>
    <w:rsid w:val="00EC58B4"/>
    <w:rsid w:val="00EC5BB2"/>
    <w:rsid w:val="00ED12F0"/>
    <w:rsid w:val="00ED290C"/>
    <w:rsid w:val="00ED2A6C"/>
    <w:rsid w:val="00ED33A1"/>
    <w:rsid w:val="00ED4773"/>
    <w:rsid w:val="00ED5284"/>
    <w:rsid w:val="00ED664B"/>
    <w:rsid w:val="00ED6A61"/>
    <w:rsid w:val="00ED7DA4"/>
    <w:rsid w:val="00EE03BB"/>
    <w:rsid w:val="00EE0552"/>
    <w:rsid w:val="00EE0892"/>
    <w:rsid w:val="00EE0B44"/>
    <w:rsid w:val="00EE125D"/>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71F9"/>
    <w:rsid w:val="00F1737C"/>
    <w:rsid w:val="00F224B8"/>
    <w:rsid w:val="00F22A26"/>
    <w:rsid w:val="00F24072"/>
    <w:rsid w:val="00F26432"/>
    <w:rsid w:val="00F276CA"/>
    <w:rsid w:val="00F31415"/>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11B3"/>
    <w:rsid w:val="00F6196E"/>
    <w:rsid w:val="00F624DD"/>
    <w:rsid w:val="00F629C0"/>
    <w:rsid w:val="00F63FC7"/>
    <w:rsid w:val="00F65E1F"/>
    <w:rsid w:val="00F65ED5"/>
    <w:rsid w:val="00F6608B"/>
    <w:rsid w:val="00F6636A"/>
    <w:rsid w:val="00F667C5"/>
    <w:rsid w:val="00F67E31"/>
    <w:rsid w:val="00F718A8"/>
    <w:rsid w:val="00F719CE"/>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4B10"/>
    <w:rsid w:val="00FB593A"/>
    <w:rsid w:val="00FB6410"/>
    <w:rsid w:val="00FB65ED"/>
    <w:rsid w:val="00FB6E82"/>
    <w:rsid w:val="00FB792E"/>
    <w:rsid w:val="00FB7CF0"/>
    <w:rsid w:val="00FC0042"/>
    <w:rsid w:val="00FC1E67"/>
    <w:rsid w:val="00FC2A13"/>
    <w:rsid w:val="00FC4284"/>
    <w:rsid w:val="00FC4576"/>
    <w:rsid w:val="00FC5FF5"/>
    <w:rsid w:val="00FC6285"/>
    <w:rsid w:val="00FC6B51"/>
    <w:rsid w:val="00FC78FB"/>
    <w:rsid w:val="00FC7DBC"/>
    <w:rsid w:val="00FD076A"/>
    <w:rsid w:val="00FD0AA0"/>
    <w:rsid w:val="00FD1D5A"/>
    <w:rsid w:val="00FD5059"/>
    <w:rsid w:val="00FD554D"/>
    <w:rsid w:val="00FD5BCC"/>
    <w:rsid w:val="00FD7B23"/>
    <w:rsid w:val="00FE2A48"/>
    <w:rsid w:val="00FE4179"/>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7B3B9A"/>
    <w:pPr>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uiPriority w:val="99"/>
    <w:rsid w:val="00077F4B"/>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4263456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C191-0DA8-4399-9701-FE63210E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2882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2011-03-28T14:27:00Z</cp:lastPrinted>
  <dcterms:created xsi:type="dcterms:W3CDTF">2012-05-16T14:54:00Z</dcterms:created>
  <dcterms:modified xsi:type="dcterms:W3CDTF">2012-05-23T13:22:00Z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