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8D64B2" w:rsidRPr="008D64B2" w:rsidRDefault="008D64B2" w:rsidP="008D64B2">
      <w:pPr>
        <w:pBdr>
          <w:bottom w:val="single" w:sz="12" w:space="1" w:color="auto"/>
        </w:pBdr>
        <w:tabs>
          <w:tab w:val="left" w:pos="288"/>
          <w:tab w:val="left" w:pos="6300"/>
        </w:tabs>
        <w:jc w:val="both"/>
        <w:rPr>
          <w:caps/>
          <w:color w:val="000000" w:themeColor="text1"/>
        </w:rPr>
      </w:pPr>
      <w:r w:rsidRPr="008D64B2">
        <w:rPr>
          <w:caps/>
          <w:color w:val="000000" w:themeColor="text1"/>
        </w:rPr>
        <w:t xml:space="preserve">NAME:  </w:t>
      </w:r>
      <w:r w:rsidR="002F65D9">
        <w:rPr>
          <w:caps/>
          <w:color w:val="000000" w:themeColor="text1"/>
        </w:rPr>
        <w:t xml:space="preserve"> </w:t>
      </w:r>
      <w:r>
        <w:rPr>
          <w:caps/>
          <w:color w:val="000000" w:themeColor="text1"/>
        </w:rPr>
        <w:tab/>
      </w:r>
      <w:r w:rsidRPr="008D64B2">
        <w:rPr>
          <w:caps/>
          <w:color w:val="000000" w:themeColor="text1"/>
        </w:rPr>
        <w:t xml:space="preserve">BRANCH OF SERVICE: army  </w:t>
      </w:r>
    </w:p>
    <w:p w:rsidR="008D64B2" w:rsidRPr="008D64B2" w:rsidRDefault="008D64B2" w:rsidP="008D64B2">
      <w:pPr>
        <w:pBdr>
          <w:bottom w:val="single" w:sz="12" w:space="1" w:color="auto"/>
        </w:pBdr>
        <w:tabs>
          <w:tab w:val="left" w:pos="288"/>
          <w:tab w:val="left" w:pos="6300"/>
        </w:tabs>
        <w:jc w:val="both"/>
        <w:rPr>
          <w:caps/>
          <w:color w:val="000000" w:themeColor="text1"/>
        </w:rPr>
      </w:pPr>
      <w:r w:rsidRPr="008D64B2">
        <w:rPr>
          <w:caps/>
          <w:color w:val="000000" w:themeColor="text1"/>
        </w:rPr>
        <w:t>CASE NUMBER:  PD1100465</w:t>
      </w:r>
      <w:r>
        <w:rPr>
          <w:caps/>
          <w:color w:val="000000" w:themeColor="text1"/>
        </w:rPr>
        <w:t xml:space="preserve"> </w:t>
      </w:r>
      <w:r>
        <w:rPr>
          <w:caps/>
          <w:color w:val="000000" w:themeColor="text1"/>
        </w:rPr>
        <w:tab/>
      </w:r>
      <w:r w:rsidRPr="008D64B2">
        <w:rPr>
          <w:caps/>
          <w:color w:val="000000" w:themeColor="text1"/>
        </w:rPr>
        <w:t>SEPARATION DATE:  20020523</w:t>
      </w:r>
    </w:p>
    <w:p w:rsidR="008D64B2" w:rsidRPr="008D64B2" w:rsidRDefault="008D64B2" w:rsidP="008D64B2">
      <w:pPr>
        <w:pBdr>
          <w:bottom w:val="single" w:sz="12" w:space="1" w:color="auto"/>
        </w:pBdr>
        <w:tabs>
          <w:tab w:val="left" w:pos="288"/>
          <w:tab w:val="left" w:pos="4752"/>
        </w:tabs>
        <w:jc w:val="both"/>
        <w:rPr>
          <w:caps/>
          <w:color w:val="000000" w:themeColor="text1"/>
        </w:rPr>
      </w:pPr>
      <w:r w:rsidRPr="008D64B2">
        <w:rPr>
          <w:caps/>
          <w:color w:val="000000" w:themeColor="text1"/>
        </w:rPr>
        <w:t>BOARD DATE:  2012</w:t>
      </w:r>
      <w:r w:rsidR="00DA535B">
        <w:rPr>
          <w:caps/>
          <w:color w:val="000000" w:themeColor="text1"/>
        </w:rPr>
        <w:t>0227</w:t>
      </w:r>
    </w:p>
    <w:p w:rsidR="003C53E8" w:rsidRPr="001F29F9" w:rsidRDefault="003C53E8" w:rsidP="003C53E8">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643C8F" w:rsidRDefault="00FB0E80" w:rsidP="00643C8F">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084995" w:rsidRPr="00084995">
        <w:rPr>
          <w:color w:val="000000" w:themeColor="text1"/>
        </w:rPr>
        <w:t>Data extracted from the available evidence of record reflects that this covered indiv</w:t>
      </w:r>
      <w:r w:rsidR="002221ED">
        <w:rPr>
          <w:color w:val="000000" w:themeColor="text1"/>
        </w:rPr>
        <w:t>idual (CI) was an active duty SP</w:t>
      </w:r>
      <w:r w:rsidR="00084995" w:rsidRPr="00084995">
        <w:rPr>
          <w:color w:val="000000" w:themeColor="text1"/>
        </w:rPr>
        <w:t>C/E</w:t>
      </w:r>
      <w:r w:rsidR="002221ED">
        <w:rPr>
          <w:color w:val="000000" w:themeColor="text1"/>
        </w:rPr>
        <w:t>4 (63W, Wheeled Vehicle Repair)</w:t>
      </w:r>
      <w:r w:rsidR="00084995" w:rsidRPr="00084995">
        <w:rPr>
          <w:color w:val="000000" w:themeColor="text1"/>
        </w:rPr>
        <w:t xml:space="preserve"> medically separated for bilateral shoulder </w:t>
      </w:r>
      <w:r w:rsidR="00464C1B">
        <w:rPr>
          <w:color w:val="000000" w:themeColor="text1"/>
        </w:rPr>
        <w:t>pain</w:t>
      </w:r>
      <w:r w:rsidR="00084995" w:rsidRPr="00084995">
        <w:rPr>
          <w:color w:val="000000" w:themeColor="text1"/>
        </w:rPr>
        <w:t xml:space="preserve">.  </w:t>
      </w:r>
      <w:r w:rsidR="0037690B">
        <w:rPr>
          <w:color w:val="000000" w:themeColor="text1"/>
        </w:rPr>
        <w:t>He underwent right shoulder repair for instability with good results prior to enlistment</w:t>
      </w:r>
      <w:r w:rsidR="00464C1B">
        <w:rPr>
          <w:color w:val="000000" w:themeColor="text1"/>
        </w:rPr>
        <w:t xml:space="preserve">; but, </w:t>
      </w:r>
      <w:r w:rsidR="0037690B">
        <w:rPr>
          <w:color w:val="000000" w:themeColor="text1"/>
        </w:rPr>
        <w:t xml:space="preserve">re-injured </w:t>
      </w:r>
      <w:r w:rsidR="00464C1B">
        <w:rPr>
          <w:color w:val="000000" w:themeColor="text1"/>
        </w:rPr>
        <w:t>the</w:t>
      </w:r>
      <w:r w:rsidR="0037690B">
        <w:rPr>
          <w:color w:val="000000" w:themeColor="text1"/>
        </w:rPr>
        <w:t xml:space="preserve"> shoulder </w:t>
      </w:r>
      <w:r w:rsidR="00190D59">
        <w:rPr>
          <w:color w:val="000000" w:themeColor="text1"/>
        </w:rPr>
        <w:t>on</w:t>
      </w:r>
      <w:r w:rsidR="00190D59" w:rsidRPr="00084995">
        <w:rPr>
          <w:color w:val="000000" w:themeColor="text1"/>
        </w:rPr>
        <w:t xml:space="preserve"> active duty</w:t>
      </w:r>
      <w:r w:rsidR="00464C1B">
        <w:rPr>
          <w:color w:val="000000" w:themeColor="text1"/>
        </w:rPr>
        <w:t>.</w:t>
      </w:r>
      <w:r w:rsidR="00190D59" w:rsidRPr="00084995">
        <w:rPr>
          <w:color w:val="000000" w:themeColor="text1"/>
        </w:rPr>
        <w:t xml:space="preserve"> </w:t>
      </w:r>
      <w:r w:rsidR="009A0BA8">
        <w:rPr>
          <w:color w:val="000000" w:themeColor="text1"/>
        </w:rPr>
        <w:t xml:space="preserve"> </w:t>
      </w:r>
      <w:r w:rsidR="00464C1B">
        <w:rPr>
          <w:color w:val="000000" w:themeColor="text1"/>
        </w:rPr>
        <w:t>He</w:t>
      </w:r>
      <w:r w:rsidR="0037690B">
        <w:rPr>
          <w:color w:val="000000" w:themeColor="text1"/>
        </w:rPr>
        <w:t xml:space="preserve"> underwent two additional surgeries</w:t>
      </w:r>
      <w:r w:rsidR="00464C1B">
        <w:rPr>
          <w:color w:val="000000" w:themeColor="text1"/>
        </w:rPr>
        <w:t xml:space="preserve"> on the right shoulder</w:t>
      </w:r>
      <w:r w:rsidR="0037690B">
        <w:rPr>
          <w:color w:val="000000" w:themeColor="text1"/>
        </w:rPr>
        <w:t xml:space="preserve">, but remained symptomatic.  Concurrently, he developed similar symptoms of instability of the left shoulder, and underwent two surgeries to restore left </w:t>
      </w:r>
      <w:r w:rsidR="0037690B" w:rsidRPr="009C04D7">
        <w:rPr>
          <w:color w:val="000000" w:themeColor="text1"/>
        </w:rPr>
        <w:t xml:space="preserve">shoulder stability.  Although </w:t>
      </w:r>
      <w:r w:rsidR="009C04D7" w:rsidRPr="009C04D7">
        <w:rPr>
          <w:color w:val="000000" w:themeColor="text1"/>
        </w:rPr>
        <w:t>the surgical results were satisfactory, the orthopedic surgeon judged that the CI’s shoulder condition</w:t>
      </w:r>
      <w:r w:rsidR="00DA535B">
        <w:rPr>
          <w:color w:val="000000" w:themeColor="text1"/>
        </w:rPr>
        <w:t>s</w:t>
      </w:r>
      <w:r w:rsidR="009C04D7" w:rsidRPr="009C04D7">
        <w:rPr>
          <w:color w:val="000000" w:themeColor="text1"/>
        </w:rPr>
        <w:t xml:space="preserve"> would not hold up to the rigors of his current </w:t>
      </w:r>
      <w:r w:rsidR="009C04D7" w:rsidRPr="009C04D7">
        <w:rPr>
          <w:color w:val="000000" w:themeColor="text1"/>
          <w:szCs w:val="24"/>
        </w:rPr>
        <w:t xml:space="preserve">Military Occupational Specialty (MOS).  A </w:t>
      </w:r>
      <w:r w:rsidR="00084995" w:rsidRPr="009C04D7">
        <w:rPr>
          <w:color w:val="000000" w:themeColor="text1"/>
        </w:rPr>
        <w:t>MOS</w:t>
      </w:r>
      <w:r w:rsidR="00084995" w:rsidRPr="00084995">
        <w:rPr>
          <w:color w:val="000000" w:themeColor="text1"/>
        </w:rPr>
        <w:t xml:space="preserve"> Medical Retention Board (MMRB)</w:t>
      </w:r>
      <w:r w:rsidR="009C04D7">
        <w:rPr>
          <w:color w:val="000000" w:themeColor="text1"/>
        </w:rPr>
        <w:t xml:space="preserve"> </w:t>
      </w:r>
      <w:r w:rsidR="009A0BA8">
        <w:rPr>
          <w:color w:val="000000" w:themeColor="text1"/>
        </w:rPr>
        <w:t>further determined that</w:t>
      </w:r>
      <w:r w:rsidR="009C04D7">
        <w:rPr>
          <w:color w:val="000000" w:themeColor="text1"/>
        </w:rPr>
        <w:t xml:space="preserve"> the CI </w:t>
      </w:r>
      <w:r w:rsidR="009A0BA8">
        <w:rPr>
          <w:color w:val="000000" w:themeColor="text1"/>
        </w:rPr>
        <w:t xml:space="preserve">was </w:t>
      </w:r>
      <w:r w:rsidR="009C04D7">
        <w:rPr>
          <w:color w:val="000000" w:themeColor="text1"/>
        </w:rPr>
        <w:t>not to be</w:t>
      </w:r>
      <w:r w:rsidR="00084995" w:rsidRPr="00084995">
        <w:rPr>
          <w:color w:val="000000" w:themeColor="text1"/>
        </w:rPr>
        <w:t xml:space="preserve"> a</w:t>
      </w:r>
      <w:r w:rsidR="009C04D7">
        <w:rPr>
          <w:color w:val="000000" w:themeColor="text1"/>
        </w:rPr>
        <w:t xml:space="preserve"> candidate for reclassification</w:t>
      </w:r>
      <w:r w:rsidR="009A0BA8">
        <w:rPr>
          <w:color w:val="000000" w:themeColor="text1"/>
        </w:rPr>
        <w:t xml:space="preserve"> into any available MOS</w:t>
      </w:r>
      <w:r w:rsidR="009C04D7">
        <w:rPr>
          <w:color w:val="000000" w:themeColor="text1"/>
        </w:rPr>
        <w:t>.  He</w:t>
      </w:r>
      <w:r w:rsidR="00084995" w:rsidRPr="00084995">
        <w:rPr>
          <w:color w:val="000000" w:themeColor="text1"/>
        </w:rPr>
        <w:t xml:space="preserve"> was issued a U3 permanent profile and underwent a Medical Evaluation Board (MEB).  Bilateral shoulder pain and bilateral shoulder instability </w:t>
      </w:r>
      <w:r w:rsidR="0017086F">
        <w:rPr>
          <w:color w:val="000000" w:themeColor="text1"/>
        </w:rPr>
        <w:t>were</w:t>
      </w:r>
      <w:r w:rsidR="00084995" w:rsidRPr="00084995">
        <w:rPr>
          <w:color w:val="000000" w:themeColor="text1"/>
        </w:rPr>
        <w:t xml:space="preserve"> forwarded to the Physical Evaluation Board (PEB) as </w:t>
      </w:r>
      <w:r w:rsidR="0017086F">
        <w:rPr>
          <w:color w:val="000000" w:themeColor="text1"/>
        </w:rPr>
        <w:t xml:space="preserve">separate </w:t>
      </w:r>
      <w:r w:rsidR="00084995" w:rsidRPr="00084995">
        <w:rPr>
          <w:color w:val="000000" w:themeColor="text1"/>
        </w:rPr>
        <w:t xml:space="preserve">medically unacceptable </w:t>
      </w:r>
      <w:r w:rsidR="0017086F">
        <w:rPr>
          <w:color w:val="000000" w:themeColor="text1"/>
        </w:rPr>
        <w:t xml:space="preserve">conditions </w:t>
      </w:r>
      <w:r w:rsidR="00084995" w:rsidRPr="00084995">
        <w:rPr>
          <w:color w:val="000000" w:themeColor="text1"/>
        </w:rPr>
        <w:t xml:space="preserve">IAW AR 40-501.  Two other conditions, as identified in the rating chart below, were forwarded </w:t>
      </w:r>
      <w:r w:rsidR="0017086F">
        <w:rPr>
          <w:color w:val="000000" w:themeColor="text1"/>
        </w:rPr>
        <w:t>by</w:t>
      </w:r>
      <w:r w:rsidR="00084995" w:rsidRPr="00084995">
        <w:rPr>
          <w:color w:val="000000" w:themeColor="text1"/>
        </w:rPr>
        <w:t xml:space="preserve"> the MEB as medically acceptable conditions. The </w:t>
      </w:r>
      <w:r w:rsidR="00164A9F">
        <w:rPr>
          <w:color w:val="000000" w:themeColor="text1"/>
        </w:rPr>
        <w:t xml:space="preserve">PEB </w:t>
      </w:r>
      <w:r w:rsidR="00084995" w:rsidRPr="00084995">
        <w:rPr>
          <w:color w:val="000000" w:themeColor="text1"/>
        </w:rPr>
        <w:t xml:space="preserve">adjudicated </w:t>
      </w:r>
      <w:r w:rsidR="0017086F">
        <w:rPr>
          <w:color w:val="000000" w:themeColor="text1"/>
        </w:rPr>
        <w:t>“</w:t>
      </w:r>
      <w:r w:rsidR="00EE2A92">
        <w:rPr>
          <w:color w:val="000000" w:themeColor="text1"/>
        </w:rPr>
        <w:t>left</w:t>
      </w:r>
      <w:r w:rsidR="00084995" w:rsidRPr="00084995">
        <w:rPr>
          <w:color w:val="000000" w:themeColor="text1"/>
        </w:rPr>
        <w:t xml:space="preserve"> shoulder pain</w:t>
      </w:r>
      <w:r w:rsidR="0017086F">
        <w:rPr>
          <w:color w:val="000000" w:themeColor="text1"/>
        </w:rPr>
        <w:t>”</w:t>
      </w:r>
      <w:r w:rsidR="00084995" w:rsidRPr="00084995">
        <w:rPr>
          <w:color w:val="000000" w:themeColor="text1"/>
        </w:rPr>
        <w:t xml:space="preserve"> as unfitting, rated 0%</w:t>
      </w:r>
      <w:r w:rsidR="009C04D7">
        <w:rPr>
          <w:color w:val="000000" w:themeColor="text1"/>
        </w:rPr>
        <w:t>,</w:t>
      </w:r>
      <w:r w:rsidR="00084995" w:rsidRPr="00084995">
        <w:rPr>
          <w:color w:val="000000" w:themeColor="text1"/>
        </w:rPr>
        <w:t xml:space="preserve"> </w:t>
      </w:r>
      <w:r w:rsidR="00EE2A92">
        <w:rPr>
          <w:color w:val="000000" w:themeColor="text1"/>
        </w:rPr>
        <w:t>with application of the</w:t>
      </w:r>
      <w:r w:rsidR="00EE2A92" w:rsidRPr="00EE2A92">
        <w:rPr>
          <w:color w:val="000000" w:themeColor="text1"/>
        </w:rPr>
        <w:t xml:space="preserve"> Veterans Administration Schedule for Rating Disabilities (VASRD)</w:t>
      </w:r>
      <w:r w:rsidR="00EE2A92">
        <w:rPr>
          <w:color w:val="000000" w:themeColor="text1"/>
        </w:rPr>
        <w:t xml:space="preserve">; and </w:t>
      </w:r>
      <w:r w:rsidR="00EE2A92" w:rsidRPr="00084995">
        <w:rPr>
          <w:color w:val="000000" w:themeColor="text1"/>
        </w:rPr>
        <w:t xml:space="preserve">adjudicated </w:t>
      </w:r>
      <w:r w:rsidR="00190D59">
        <w:rPr>
          <w:color w:val="000000" w:themeColor="text1"/>
        </w:rPr>
        <w:t>“</w:t>
      </w:r>
      <w:r w:rsidR="00EE2A92">
        <w:rPr>
          <w:color w:val="000000" w:themeColor="text1"/>
        </w:rPr>
        <w:t>right</w:t>
      </w:r>
      <w:r w:rsidR="00EE2A92" w:rsidRPr="00084995">
        <w:rPr>
          <w:color w:val="000000" w:themeColor="text1"/>
        </w:rPr>
        <w:t xml:space="preserve"> shoulder pain</w:t>
      </w:r>
      <w:r w:rsidR="00190D59">
        <w:rPr>
          <w:color w:val="000000" w:themeColor="text1"/>
        </w:rPr>
        <w:t>”</w:t>
      </w:r>
      <w:r w:rsidR="00EE2A92" w:rsidRPr="00084995">
        <w:rPr>
          <w:color w:val="000000" w:themeColor="text1"/>
        </w:rPr>
        <w:t xml:space="preserve"> as</w:t>
      </w:r>
      <w:r w:rsidR="00EE2A92">
        <w:rPr>
          <w:color w:val="000000" w:themeColor="text1"/>
        </w:rPr>
        <w:t xml:space="preserve"> </w:t>
      </w:r>
      <w:r w:rsidR="001B29E2">
        <w:rPr>
          <w:color w:val="000000" w:themeColor="text1"/>
        </w:rPr>
        <w:t>unfitting</w:t>
      </w:r>
      <w:r w:rsidR="00190D59">
        <w:rPr>
          <w:color w:val="000000" w:themeColor="text1"/>
        </w:rPr>
        <w:t>,</w:t>
      </w:r>
      <w:r w:rsidR="001B29E2">
        <w:rPr>
          <w:color w:val="000000" w:themeColor="text1"/>
        </w:rPr>
        <w:t xml:space="preserve"> but </w:t>
      </w:r>
      <w:r w:rsidR="00190D59">
        <w:rPr>
          <w:color w:val="000000" w:themeColor="text1"/>
        </w:rPr>
        <w:t>designated as EPTS</w:t>
      </w:r>
      <w:r w:rsidR="00190D59" w:rsidRPr="00EE2A92">
        <w:rPr>
          <w:color w:val="000000" w:themeColor="text1"/>
        </w:rPr>
        <w:t xml:space="preserve"> </w:t>
      </w:r>
      <w:r w:rsidR="00190D59">
        <w:rPr>
          <w:color w:val="000000" w:themeColor="text1"/>
        </w:rPr>
        <w:t>(</w:t>
      </w:r>
      <w:r w:rsidR="00EE2A92" w:rsidRPr="00EE2A92">
        <w:rPr>
          <w:color w:val="000000" w:themeColor="text1"/>
        </w:rPr>
        <w:t>existed prior to service</w:t>
      </w:r>
      <w:r w:rsidR="00EE2A92">
        <w:rPr>
          <w:color w:val="000000" w:themeColor="text1"/>
        </w:rPr>
        <w:t>)</w:t>
      </w:r>
      <w:r w:rsidR="001B29E2">
        <w:rPr>
          <w:color w:val="000000" w:themeColor="text1"/>
        </w:rPr>
        <w:t xml:space="preserve"> and therefore not ratable</w:t>
      </w:r>
      <w:r w:rsidR="00EE2A92">
        <w:rPr>
          <w:color w:val="000000" w:themeColor="text1"/>
        </w:rPr>
        <w:t>.</w:t>
      </w:r>
      <w:r w:rsidR="00084995" w:rsidRPr="00084995">
        <w:rPr>
          <w:color w:val="000000" w:themeColor="text1"/>
        </w:rPr>
        <w:t xml:space="preserve"> </w:t>
      </w:r>
      <w:r w:rsidR="009C04D7">
        <w:rPr>
          <w:color w:val="000000" w:themeColor="text1"/>
        </w:rPr>
        <w:t xml:space="preserve"> </w:t>
      </w:r>
      <w:r w:rsidR="00084995" w:rsidRPr="00084995">
        <w:rPr>
          <w:color w:val="000000" w:themeColor="text1"/>
        </w:rPr>
        <w:t>The CI made no appeals, and was medically separated with a 0%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084995">
        <w:rPr>
          <w:color w:val="000000" w:themeColor="text1"/>
        </w:rPr>
        <w:t xml:space="preserve"> </w:t>
      </w:r>
      <w:r w:rsidR="00425455">
        <w:rPr>
          <w:color w:val="000000" w:themeColor="text1"/>
        </w:rPr>
        <w:t xml:space="preserve"> </w:t>
      </w:r>
      <w:r w:rsidR="00084995" w:rsidRPr="00084995">
        <w:rPr>
          <w:color w:val="000000" w:themeColor="text1"/>
        </w:rPr>
        <w:t xml:space="preserve">“I am currently rated at 70% Service Connected Disabled from the VA.  </w:t>
      </w:r>
      <w:proofErr w:type="gramStart"/>
      <w:r w:rsidR="00084995" w:rsidRPr="00084995">
        <w:rPr>
          <w:color w:val="000000" w:themeColor="text1"/>
        </w:rPr>
        <w:t>30% for residuals gallbladder, 30% for Migraine Headaches, 20% for my Left Shoulder and 20% for my Right Shoulder.</w:t>
      </w:r>
      <w:proofErr w:type="gramEnd"/>
      <w:r w:rsidR="00084995" w:rsidRPr="00084995">
        <w:rPr>
          <w:color w:val="000000" w:themeColor="text1"/>
        </w:rPr>
        <w:t xml:space="preserve"> </w:t>
      </w:r>
      <w:r w:rsidR="00425455">
        <w:rPr>
          <w:color w:val="000000" w:themeColor="text1"/>
        </w:rPr>
        <w:t xml:space="preserve"> </w:t>
      </w:r>
      <w:r w:rsidR="00084995" w:rsidRPr="00084995">
        <w:rPr>
          <w:color w:val="000000" w:themeColor="text1"/>
        </w:rPr>
        <w:t>Given that I have all these ratings the Army rated me at 0% which basically me</w:t>
      </w:r>
      <w:r w:rsidR="00425455" w:rsidRPr="00084995">
        <w:rPr>
          <w:color w:val="000000" w:themeColor="text1"/>
        </w:rPr>
        <w:t>a</w:t>
      </w:r>
      <w:r w:rsidR="00084995" w:rsidRPr="00084995">
        <w:rPr>
          <w:color w:val="000000" w:themeColor="text1"/>
        </w:rPr>
        <w:t>nt that I merely no longer met the standards in AR 40-501.  I believe that given my VA rating the Army should have rated me at a minimum of 30%.”</w:t>
      </w:r>
      <w:r w:rsidR="00425455">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1F29F9" w:rsidRDefault="007F0AB7" w:rsidP="00BF0E94">
      <w:pPr>
        <w:jc w:val="left"/>
        <w:rPr>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FE7C22">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084995" w:rsidRPr="001F29F9" w:rsidTr="003C53E8">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084995" w:rsidRPr="0020213C" w:rsidRDefault="00084995" w:rsidP="005C4C91">
            <w:pPr>
              <w:contextualSpacing/>
              <w:rPr>
                <w:rFonts w:ascii="Calibri" w:hAnsi="Calibri" w:cs="Calibri"/>
                <w:b/>
                <w:color w:val="000000" w:themeColor="text1"/>
                <w:sz w:val="18"/>
                <w:szCs w:val="18"/>
              </w:rPr>
            </w:pPr>
            <w:r w:rsidRPr="0020213C">
              <w:rPr>
                <w:rFonts w:ascii="Calibri" w:hAnsi="Calibri" w:cs="Calibri"/>
                <w:b/>
                <w:color w:val="000000" w:themeColor="text1"/>
                <w:sz w:val="18"/>
                <w:szCs w:val="18"/>
              </w:rPr>
              <w:t>Service IPEB – Dated 20020222</w:t>
            </w:r>
          </w:p>
        </w:tc>
        <w:tc>
          <w:tcPr>
            <w:tcW w:w="5220" w:type="dxa"/>
            <w:gridSpan w:val="4"/>
            <w:tcBorders>
              <w:left w:val="thinThickThinSmallGap" w:sz="24" w:space="0" w:color="auto"/>
            </w:tcBorders>
            <w:shd w:val="clear" w:color="auto" w:fill="D9D9D9" w:themeFill="background1" w:themeFillShade="D9"/>
            <w:vAlign w:val="center"/>
          </w:tcPr>
          <w:p w:rsidR="00084995" w:rsidRPr="0020213C" w:rsidRDefault="00084995" w:rsidP="005C4C91">
            <w:pPr>
              <w:contextualSpacing/>
              <w:rPr>
                <w:rFonts w:ascii="Calibri" w:hAnsi="Calibri" w:cs="Calibri"/>
                <w:b/>
                <w:color w:val="000000" w:themeColor="text1"/>
                <w:sz w:val="18"/>
                <w:szCs w:val="18"/>
              </w:rPr>
            </w:pPr>
            <w:r w:rsidRPr="0020213C">
              <w:rPr>
                <w:rFonts w:ascii="Calibri" w:hAnsi="Calibri" w:cs="Calibri"/>
                <w:b/>
                <w:color w:val="000000" w:themeColor="text1"/>
                <w:sz w:val="18"/>
                <w:szCs w:val="18"/>
              </w:rPr>
              <w:t>VA (2 Mo. After Separation) – All Effective 20020524</w:t>
            </w:r>
          </w:p>
        </w:tc>
      </w:tr>
      <w:tr w:rsidR="002B4E22" w:rsidRPr="001F29F9" w:rsidTr="003C53E8">
        <w:trPr>
          <w:trHeight w:val="97"/>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5C4C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5C4C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5C4C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5C4C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1F29F9" w:rsidRDefault="002B4E22" w:rsidP="005C4C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5C4C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5C4C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084995" w:rsidRPr="001F29F9" w:rsidTr="003C53E8">
        <w:trPr>
          <w:trHeight w:val="115"/>
          <w:jc w:val="center"/>
        </w:trPr>
        <w:tc>
          <w:tcPr>
            <w:tcW w:w="2178" w:type="dxa"/>
            <w:tcBorders>
              <w:right w:val="single" w:sz="4" w:space="0" w:color="auto"/>
            </w:tcBorders>
            <w:shd w:val="clear" w:color="auto" w:fill="FFFFFF" w:themeFill="background1"/>
            <w:vAlign w:val="center"/>
          </w:tcPr>
          <w:p w:rsidR="00084995" w:rsidRPr="0020213C" w:rsidRDefault="00B9133D" w:rsidP="005C4C91">
            <w:pPr>
              <w:spacing w:line="22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Left </w:t>
            </w:r>
            <w:r w:rsidRPr="0020213C">
              <w:rPr>
                <w:rFonts w:ascii="Calibri" w:hAnsi="Calibri" w:cs="Calibri"/>
                <w:color w:val="000000" w:themeColor="text1"/>
                <w:sz w:val="18"/>
                <w:szCs w:val="18"/>
              </w:rPr>
              <w:t xml:space="preserve"> </w:t>
            </w:r>
            <w:r w:rsidR="00084995" w:rsidRPr="0020213C">
              <w:rPr>
                <w:rFonts w:ascii="Calibri" w:hAnsi="Calibri" w:cs="Calibri"/>
                <w:color w:val="000000" w:themeColor="text1"/>
                <w:sz w:val="18"/>
                <w:szCs w:val="18"/>
              </w:rPr>
              <w:t>Shoulder Pain</w:t>
            </w:r>
          </w:p>
        </w:tc>
        <w:tc>
          <w:tcPr>
            <w:tcW w:w="1080" w:type="dxa"/>
            <w:tcBorders>
              <w:left w:val="single" w:sz="4" w:space="0" w:color="auto"/>
            </w:tcBorders>
            <w:shd w:val="clear" w:color="auto" w:fill="FFFFFF" w:themeFill="background1"/>
            <w:vAlign w:val="center"/>
          </w:tcPr>
          <w:p w:rsidR="00084995" w:rsidRPr="0020213C" w:rsidRDefault="00B9133D" w:rsidP="005C4C91">
            <w:pPr>
              <w:spacing w:line="220" w:lineRule="exact"/>
              <w:contextualSpacing/>
              <w:rPr>
                <w:rFonts w:ascii="Calibri" w:eastAsia="Times New Roman" w:hAnsi="Calibri" w:cs="Calibri"/>
                <w:color w:val="000000" w:themeColor="text1"/>
                <w:sz w:val="18"/>
                <w:szCs w:val="18"/>
              </w:rPr>
            </w:pPr>
            <w:r w:rsidRPr="0020213C">
              <w:rPr>
                <w:rFonts w:ascii="Calibri" w:hAnsi="Calibri" w:cs="Calibri"/>
                <w:color w:val="000000" w:themeColor="text1"/>
                <w:sz w:val="18"/>
                <w:szCs w:val="18"/>
              </w:rPr>
              <w:t>5099-5003</w:t>
            </w:r>
          </w:p>
        </w:tc>
        <w:tc>
          <w:tcPr>
            <w:tcW w:w="900" w:type="dxa"/>
            <w:tcBorders>
              <w:right w:val="thinThickThinSmallGap" w:sz="24" w:space="0" w:color="auto"/>
            </w:tcBorders>
            <w:shd w:val="clear" w:color="auto" w:fill="FFFFFF" w:themeFill="background1"/>
            <w:vAlign w:val="center"/>
          </w:tcPr>
          <w:p w:rsidR="00084995" w:rsidRPr="0020213C" w:rsidRDefault="00B9133D" w:rsidP="005C4C91">
            <w:pPr>
              <w:spacing w:line="220" w:lineRule="exact"/>
              <w:rPr>
                <w:rFonts w:ascii="Calibri" w:eastAsia="Times New Roman" w:hAnsi="Calibri" w:cs="Calibri"/>
                <w:color w:val="000000" w:themeColor="text1"/>
                <w:sz w:val="18"/>
                <w:szCs w:val="18"/>
              </w:rPr>
            </w:pPr>
            <w:r w:rsidRPr="0020213C">
              <w:rPr>
                <w:rFonts w:ascii="Calibri" w:hAnsi="Calibri" w:cs="Calibri"/>
                <w:color w:val="000000" w:themeColor="text1"/>
                <w:sz w:val="18"/>
                <w:szCs w:val="18"/>
              </w:rPr>
              <w:t>0%</w:t>
            </w:r>
          </w:p>
        </w:tc>
        <w:tc>
          <w:tcPr>
            <w:tcW w:w="2322" w:type="dxa"/>
            <w:tcBorders>
              <w:left w:val="thinThickThinSmallGap" w:sz="24" w:space="0" w:color="auto"/>
            </w:tcBorders>
            <w:shd w:val="clear" w:color="auto" w:fill="FFFFFF" w:themeFill="background1"/>
            <w:vAlign w:val="center"/>
          </w:tcPr>
          <w:p w:rsidR="00084995" w:rsidRPr="001F29F9" w:rsidRDefault="00296369" w:rsidP="005C4C91">
            <w:pPr>
              <w:spacing w:line="22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Residuals, </w:t>
            </w:r>
            <w:r w:rsidR="00B9133D">
              <w:rPr>
                <w:rFonts w:ascii="Calibri" w:eastAsia="Times New Roman" w:hAnsi="Calibri" w:cs="Calibri"/>
                <w:color w:val="000000" w:themeColor="text1"/>
                <w:sz w:val="18"/>
                <w:szCs w:val="18"/>
              </w:rPr>
              <w:t xml:space="preserve">Left  </w:t>
            </w:r>
            <w:r w:rsidR="00084995">
              <w:rPr>
                <w:rFonts w:ascii="Calibri" w:eastAsia="Times New Roman" w:hAnsi="Calibri" w:cs="Calibri"/>
                <w:color w:val="000000" w:themeColor="text1"/>
                <w:sz w:val="18"/>
                <w:szCs w:val="18"/>
              </w:rPr>
              <w:t>Shoulder</w:t>
            </w:r>
          </w:p>
        </w:tc>
        <w:tc>
          <w:tcPr>
            <w:tcW w:w="1080" w:type="dxa"/>
            <w:shd w:val="clear" w:color="auto" w:fill="FFFFFF" w:themeFill="background1"/>
            <w:vAlign w:val="center"/>
          </w:tcPr>
          <w:p w:rsidR="00084995" w:rsidRPr="001F29F9" w:rsidRDefault="00084995" w:rsidP="005C4C91">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5201</w:t>
            </w:r>
          </w:p>
        </w:tc>
        <w:tc>
          <w:tcPr>
            <w:tcW w:w="828" w:type="dxa"/>
            <w:shd w:val="clear" w:color="auto" w:fill="FFFFFF" w:themeFill="background1"/>
            <w:vAlign w:val="center"/>
          </w:tcPr>
          <w:p w:rsidR="00084995" w:rsidRPr="001F29F9" w:rsidRDefault="00084995" w:rsidP="005C4C91">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0%</w:t>
            </w:r>
            <w:r w:rsidR="00B9133D">
              <w:rPr>
                <w:rFonts w:ascii="Calibri" w:eastAsia="Times New Roman" w:hAnsi="Calibri" w:cs="Calibri"/>
                <w:color w:val="000000" w:themeColor="text1"/>
                <w:sz w:val="18"/>
                <w:szCs w:val="18"/>
              </w:rPr>
              <w:t>*</w:t>
            </w:r>
          </w:p>
        </w:tc>
        <w:tc>
          <w:tcPr>
            <w:tcW w:w="990" w:type="dxa"/>
            <w:shd w:val="clear" w:color="auto" w:fill="FFFFFF" w:themeFill="background1"/>
            <w:vAlign w:val="center"/>
          </w:tcPr>
          <w:p w:rsidR="00084995" w:rsidRPr="001F29F9" w:rsidRDefault="00084995" w:rsidP="005C4C91">
            <w:pPr>
              <w:spacing w:line="220" w:lineRule="exact"/>
              <w:contextualSpacing/>
              <w:rPr>
                <w:rFonts w:ascii="Calibri" w:eastAsia="Times New Roman" w:hAnsi="Calibri" w:cs="Calibri"/>
                <w:color w:val="000000" w:themeColor="text1"/>
                <w:sz w:val="18"/>
                <w:szCs w:val="18"/>
              </w:rPr>
            </w:pPr>
            <w:r w:rsidRPr="00084995">
              <w:rPr>
                <w:rFonts w:ascii="Calibri" w:eastAsia="Times New Roman" w:hAnsi="Calibri" w:cs="Calibri"/>
                <w:color w:val="000000" w:themeColor="text1"/>
                <w:sz w:val="18"/>
                <w:szCs w:val="18"/>
              </w:rPr>
              <w:t>20020719</w:t>
            </w:r>
          </w:p>
        </w:tc>
      </w:tr>
      <w:tr w:rsidR="00084995" w:rsidRPr="001F29F9" w:rsidTr="003C53E8">
        <w:trPr>
          <w:trHeight w:val="106"/>
          <w:jc w:val="center"/>
        </w:trPr>
        <w:tc>
          <w:tcPr>
            <w:tcW w:w="2178" w:type="dxa"/>
            <w:tcBorders>
              <w:right w:val="single" w:sz="4" w:space="0" w:color="auto"/>
            </w:tcBorders>
            <w:shd w:val="clear" w:color="auto" w:fill="FFFFFF" w:themeFill="background1"/>
            <w:vAlign w:val="center"/>
          </w:tcPr>
          <w:p w:rsidR="00084995" w:rsidRPr="001F29F9" w:rsidRDefault="00B9133D" w:rsidP="005C4C91">
            <w:pPr>
              <w:spacing w:line="22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Right</w:t>
            </w:r>
            <w:r w:rsidRPr="0020213C">
              <w:rPr>
                <w:rFonts w:ascii="Calibri" w:hAnsi="Calibri" w:cs="Calibri"/>
                <w:color w:val="000000" w:themeColor="text1"/>
                <w:sz w:val="18"/>
                <w:szCs w:val="18"/>
              </w:rPr>
              <w:t xml:space="preserve"> </w:t>
            </w:r>
            <w:r w:rsidR="00EE2A92" w:rsidRPr="0020213C">
              <w:rPr>
                <w:rFonts w:ascii="Calibri" w:hAnsi="Calibri" w:cs="Calibri"/>
                <w:color w:val="000000" w:themeColor="text1"/>
                <w:sz w:val="18"/>
                <w:szCs w:val="18"/>
              </w:rPr>
              <w:t>Shoulder Pain</w:t>
            </w:r>
          </w:p>
        </w:tc>
        <w:tc>
          <w:tcPr>
            <w:tcW w:w="1080" w:type="dxa"/>
            <w:tcBorders>
              <w:left w:val="single" w:sz="4" w:space="0" w:color="auto"/>
            </w:tcBorders>
            <w:shd w:val="clear" w:color="auto" w:fill="FFFFFF" w:themeFill="background1"/>
            <w:vAlign w:val="center"/>
          </w:tcPr>
          <w:p w:rsidR="00084995" w:rsidRPr="001F29F9" w:rsidRDefault="00B9133D" w:rsidP="005C4C91">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EPTS</w:t>
            </w:r>
          </w:p>
        </w:tc>
        <w:tc>
          <w:tcPr>
            <w:tcW w:w="900" w:type="dxa"/>
            <w:tcBorders>
              <w:right w:val="thinThickThinSmallGap" w:sz="24" w:space="0" w:color="auto"/>
            </w:tcBorders>
            <w:shd w:val="clear" w:color="auto" w:fill="FFFFFF" w:themeFill="background1"/>
            <w:vAlign w:val="center"/>
          </w:tcPr>
          <w:p w:rsidR="00084995" w:rsidRPr="001F29F9" w:rsidRDefault="00B9133D" w:rsidP="005C4C91">
            <w:pPr>
              <w:spacing w:line="22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w:t>
            </w:r>
          </w:p>
        </w:tc>
        <w:tc>
          <w:tcPr>
            <w:tcW w:w="2322" w:type="dxa"/>
            <w:tcBorders>
              <w:left w:val="thinThickThinSmallGap" w:sz="24" w:space="0" w:color="auto"/>
              <w:right w:val="single" w:sz="4" w:space="0" w:color="auto"/>
            </w:tcBorders>
            <w:shd w:val="clear" w:color="auto" w:fill="FFFFFF" w:themeFill="background1"/>
            <w:vAlign w:val="center"/>
          </w:tcPr>
          <w:p w:rsidR="00084995" w:rsidRPr="001F29F9" w:rsidRDefault="00296369" w:rsidP="005C4C91">
            <w:pPr>
              <w:spacing w:line="22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Residuals,</w:t>
            </w:r>
            <w:r w:rsidR="00425455">
              <w:rPr>
                <w:rFonts w:ascii="Calibri" w:eastAsia="Times New Roman" w:hAnsi="Calibri" w:cs="Calibri"/>
                <w:color w:val="000000" w:themeColor="text1"/>
                <w:sz w:val="18"/>
                <w:szCs w:val="18"/>
              </w:rPr>
              <w:t xml:space="preserve"> </w:t>
            </w:r>
            <w:r w:rsidR="00B9133D">
              <w:rPr>
                <w:rFonts w:ascii="Calibri" w:eastAsia="Times New Roman" w:hAnsi="Calibri" w:cs="Calibri"/>
                <w:color w:val="000000" w:themeColor="text1"/>
                <w:sz w:val="18"/>
                <w:szCs w:val="18"/>
              </w:rPr>
              <w:t xml:space="preserve">Right </w:t>
            </w:r>
            <w:r w:rsidR="00084995">
              <w:rPr>
                <w:rFonts w:ascii="Calibri" w:eastAsia="Times New Roman" w:hAnsi="Calibri" w:cs="Calibri"/>
                <w:color w:val="000000" w:themeColor="text1"/>
                <w:sz w:val="18"/>
                <w:szCs w:val="18"/>
              </w:rPr>
              <w:t>Shoulder</w:t>
            </w:r>
          </w:p>
        </w:tc>
        <w:tc>
          <w:tcPr>
            <w:tcW w:w="1080" w:type="dxa"/>
            <w:tcBorders>
              <w:left w:val="single" w:sz="4" w:space="0" w:color="auto"/>
            </w:tcBorders>
            <w:shd w:val="clear" w:color="auto" w:fill="FFFFFF" w:themeFill="background1"/>
            <w:vAlign w:val="center"/>
          </w:tcPr>
          <w:p w:rsidR="00084995" w:rsidRPr="001F29F9" w:rsidRDefault="00084995" w:rsidP="005C4C91">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5201</w:t>
            </w:r>
          </w:p>
        </w:tc>
        <w:tc>
          <w:tcPr>
            <w:tcW w:w="828" w:type="dxa"/>
            <w:shd w:val="clear" w:color="auto" w:fill="FFFFFF" w:themeFill="background1"/>
            <w:vAlign w:val="center"/>
          </w:tcPr>
          <w:p w:rsidR="00084995" w:rsidRPr="001F29F9" w:rsidRDefault="00B9133D" w:rsidP="005C4C91">
            <w:pPr>
              <w:spacing w:line="22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w:t>
            </w:r>
            <w:r w:rsidR="00084995">
              <w:rPr>
                <w:rFonts w:ascii="Calibri" w:eastAsia="Times New Roman" w:hAnsi="Calibri" w:cs="Calibri"/>
                <w:color w:val="000000" w:themeColor="text1"/>
                <w:sz w:val="18"/>
                <w:szCs w:val="18"/>
              </w:rPr>
              <w:t>0%</w:t>
            </w:r>
          </w:p>
        </w:tc>
        <w:tc>
          <w:tcPr>
            <w:tcW w:w="990" w:type="dxa"/>
            <w:shd w:val="clear" w:color="auto" w:fill="FFFFFF" w:themeFill="background1"/>
            <w:vAlign w:val="center"/>
          </w:tcPr>
          <w:p w:rsidR="00084995" w:rsidRPr="00084995" w:rsidRDefault="00084995" w:rsidP="005C4C91">
            <w:pPr>
              <w:spacing w:line="220" w:lineRule="exact"/>
              <w:contextualSpacing/>
              <w:rPr>
                <w:rFonts w:ascii="Calibri" w:eastAsia="Times New Roman" w:hAnsi="Calibri" w:cs="Calibri"/>
                <w:color w:val="000000" w:themeColor="text1"/>
                <w:sz w:val="18"/>
                <w:szCs w:val="18"/>
              </w:rPr>
            </w:pPr>
            <w:r w:rsidRPr="00084995">
              <w:rPr>
                <w:rFonts w:ascii="Calibri" w:eastAsia="Times New Roman" w:hAnsi="Calibri" w:cs="Calibri"/>
                <w:color w:val="000000" w:themeColor="text1"/>
                <w:sz w:val="18"/>
                <w:szCs w:val="18"/>
              </w:rPr>
              <w:t>20020719</w:t>
            </w:r>
          </w:p>
        </w:tc>
      </w:tr>
      <w:tr w:rsidR="00084995" w:rsidRPr="001F29F9" w:rsidTr="00084995">
        <w:trPr>
          <w:trHeight w:val="97"/>
          <w:jc w:val="center"/>
        </w:trPr>
        <w:tc>
          <w:tcPr>
            <w:tcW w:w="2178" w:type="dxa"/>
            <w:tcBorders>
              <w:right w:val="single" w:sz="4" w:space="0" w:color="auto"/>
            </w:tcBorders>
            <w:shd w:val="clear" w:color="auto" w:fill="FFFFFF" w:themeFill="background1"/>
            <w:vAlign w:val="center"/>
          </w:tcPr>
          <w:p w:rsidR="00084995" w:rsidRPr="001F29F9" w:rsidRDefault="00084995" w:rsidP="005C4C91">
            <w:pPr>
              <w:spacing w:line="220" w:lineRule="exact"/>
              <w:contextualSpacing/>
              <w:jc w:val="left"/>
              <w:rPr>
                <w:rFonts w:ascii="Calibri" w:eastAsia="Times New Roman" w:hAnsi="Calibri" w:cs="Calibri"/>
                <w:color w:val="000000" w:themeColor="text1"/>
                <w:sz w:val="18"/>
                <w:szCs w:val="18"/>
              </w:rPr>
            </w:pPr>
            <w:r w:rsidRPr="00084995">
              <w:rPr>
                <w:rFonts w:ascii="Calibri" w:eastAsia="Times New Roman" w:hAnsi="Calibri" w:cs="Calibri"/>
                <w:color w:val="000000" w:themeColor="text1"/>
                <w:sz w:val="18"/>
                <w:szCs w:val="18"/>
              </w:rPr>
              <w:t>Migraines</w:t>
            </w:r>
          </w:p>
        </w:tc>
        <w:tc>
          <w:tcPr>
            <w:tcW w:w="1980" w:type="dxa"/>
            <w:gridSpan w:val="2"/>
            <w:tcBorders>
              <w:left w:val="single" w:sz="4" w:space="0" w:color="auto"/>
              <w:right w:val="thinThickThinSmallGap" w:sz="24" w:space="0" w:color="auto"/>
            </w:tcBorders>
            <w:shd w:val="clear" w:color="auto" w:fill="FFFFFF" w:themeFill="background1"/>
            <w:vAlign w:val="center"/>
          </w:tcPr>
          <w:p w:rsidR="00084995" w:rsidRPr="001F29F9" w:rsidRDefault="00084995" w:rsidP="005C4C91">
            <w:pPr>
              <w:spacing w:line="22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084995" w:rsidRPr="001F29F9" w:rsidRDefault="00084995" w:rsidP="005C4C91">
            <w:pPr>
              <w:spacing w:line="220" w:lineRule="exact"/>
              <w:contextualSpacing/>
              <w:jc w:val="left"/>
              <w:rPr>
                <w:rFonts w:ascii="Calibri" w:eastAsia="Times New Roman" w:hAnsi="Calibri" w:cs="Calibri"/>
                <w:color w:val="000000" w:themeColor="text1"/>
                <w:sz w:val="18"/>
                <w:szCs w:val="18"/>
              </w:rPr>
            </w:pPr>
            <w:r w:rsidRPr="00084995">
              <w:rPr>
                <w:rFonts w:ascii="Calibri" w:eastAsia="Times New Roman" w:hAnsi="Calibri" w:cs="Calibri"/>
                <w:color w:val="000000" w:themeColor="text1"/>
                <w:sz w:val="18"/>
                <w:szCs w:val="18"/>
              </w:rPr>
              <w:t>Migraines</w:t>
            </w:r>
          </w:p>
        </w:tc>
        <w:tc>
          <w:tcPr>
            <w:tcW w:w="1080" w:type="dxa"/>
            <w:tcBorders>
              <w:left w:val="single" w:sz="4" w:space="0" w:color="auto"/>
            </w:tcBorders>
            <w:shd w:val="clear" w:color="auto" w:fill="FFFFFF" w:themeFill="background1"/>
            <w:vAlign w:val="center"/>
          </w:tcPr>
          <w:p w:rsidR="00084995" w:rsidRPr="0020213C" w:rsidRDefault="00084995" w:rsidP="005C4C91">
            <w:pPr>
              <w:spacing w:line="220" w:lineRule="exact"/>
              <w:contextualSpacing/>
              <w:rPr>
                <w:rFonts w:ascii="Calibri" w:eastAsia="Times New Roman" w:hAnsi="Calibri" w:cs="Calibri"/>
                <w:color w:val="000000" w:themeColor="text1"/>
                <w:sz w:val="18"/>
                <w:szCs w:val="18"/>
              </w:rPr>
            </w:pPr>
            <w:r w:rsidRPr="0020213C">
              <w:rPr>
                <w:rFonts w:ascii="Calibri" w:eastAsia="Times New Roman" w:hAnsi="Calibri" w:cs="Calibri"/>
                <w:color w:val="000000" w:themeColor="text1"/>
                <w:sz w:val="18"/>
                <w:szCs w:val="18"/>
              </w:rPr>
              <w:t>8100</w:t>
            </w:r>
          </w:p>
        </w:tc>
        <w:tc>
          <w:tcPr>
            <w:tcW w:w="828" w:type="dxa"/>
            <w:shd w:val="clear" w:color="auto" w:fill="FFFFFF" w:themeFill="background1"/>
            <w:vAlign w:val="center"/>
          </w:tcPr>
          <w:p w:rsidR="00084995" w:rsidRPr="0020213C" w:rsidRDefault="00084995" w:rsidP="005C4C91">
            <w:pPr>
              <w:spacing w:line="220" w:lineRule="exact"/>
              <w:contextualSpacing/>
              <w:rPr>
                <w:rFonts w:ascii="Calibri" w:eastAsia="Times New Roman" w:hAnsi="Calibri" w:cs="Calibri"/>
                <w:color w:val="000000" w:themeColor="text1"/>
                <w:sz w:val="18"/>
                <w:szCs w:val="18"/>
              </w:rPr>
            </w:pPr>
            <w:r w:rsidRPr="0020213C">
              <w:rPr>
                <w:rFonts w:ascii="Calibri" w:eastAsia="Times New Roman" w:hAnsi="Calibri" w:cs="Calibri"/>
                <w:color w:val="000000" w:themeColor="text1"/>
                <w:sz w:val="18"/>
                <w:szCs w:val="18"/>
              </w:rPr>
              <w:t>30%</w:t>
            </w:r>
          </w:p>
        </w:tc>
        <w:tc>
          <w:tcPr>
            <w:tcW w:w="990" w:type="dxa"/>
            <w:shd w:val="clear" w:color="auto" w:fill="FFFFFF" w:themeFill="background1"/>
            <w:vAlign w:val="center"/>
          </w:tcPr>
          <w:p w:rsidR="00084995" w:rsidRPr="00084995" w:rsidRDefault="00084995" w:rsidP="005C4C91">
            <w:pPr>
              <w:spacing w:line="220" w:lineRule="exact"/>
              <w:contextualSpacing/>
              <w:rPr>
                <w:rFonts w:ascii="Calibri" w:eastAsia="Times New Roman" w:hAnsi="Calibri" w:cs="Calibri"/>
                <w:color w:val="000000" w:themeColor="text1"/>
                <w:sz w:val="18"/>
                <w:szCs w:val="18"/>
              </w:rPr>
            </w:pPr>
            <w:r w:rsidRPr="00084995">
              <w:rPr>
                <w:rFonts w:ascii="Calibri" w:eastAsia="Times New Roman" w:hAnsi="Calibri" w:cs="Calibri"/>
                <w:color w:val="000000" w:themeColor="text1"/>
                <w:sz w:val="18"/>
                <w:szCs w:val="18"/>
              </w:rPr>
              <w:t>20020719</w:t>
            </w:r>
          </w:p>
        </w:tc>
      </w:tr>
      <w:tr w:rsidR="00084995" w:rsidRPr="001F29F9" w:rsidTr="00084995">
        <w:trPr>
          <w:trHeight w:val="178"/>
          <w:jc w:val="center"/>
        </w:trPr>
        <w:tc>
          <w:tcPr>
            <w:tcW w:w="2178" w:type="dxa"/>
            <w:tcBorders>
              <w:right w:val="single" w:sz="4" w:space="0" w:color="auto"/>
            </w:tcBorders>
            <w:shd w:val="clear" w:color="auto" w:fill="FFFFFF" w:themeFill="background1"/>
            <w:vAlign w:val="center"/>
          </w:tcPr>
          <w:p w:rsidR="00084995" w:rsidRPr="001F29F9" w:rsidRDefault="00084995" w:rsidP="005C4C91">
            <w:pPr>
              <w:spacing w:line="220" w:lineRule="exact"/>
              <w:contextualSpacing/>
              <w:jc w:val="left"/>
              <w:rPr>
                <w:rFonts w:ascii="Calibri" w:eastAsia="Times New Roman" w:hAnsi="Calibri" w:cs="Calibri"/>
                <w:color w:val="000000" w:themeColor="text1"/>
                <w:sz w:val="18"/>
                <w:szCs w:val="18"/>
              </w:rPr>
            </w:pPr>
            <w:r w:rsidRPr="00084995">
              <w:rPr>
                <w:rFonts w:ascii="Calibri" w:eastAsia="Times New Roman" w:hAnsi="Calibri" w:cs="Calibri"/>
                <w:color w:val="000000" w:themeColor="text1"/>
                <w:sz w:val="18"/>
                <w:szCs w:val="18"/>
              </w:rPr>
              <w:t>Insomnia</w:t>
            </w:r>
          </w:p>
        </w:tc>
        <w:tc>
          <w:tcPr>
            <w:tcW w:w="1980" w:type="dxa"/>
            <w:gridSpan w:val="2"/>
            <w:tcBorders>
              <w:left w:val="single" w:sz="4" w:space="0" w:color="auto"/>
              <w:right w:val="thinThickThinSmallGap" w:sz="24" w:space="0" w:color="auto"/>
            </w:tcBorders>
            <w:shd w:val="clear" w:color="auto" w:fill="FFFFFF" w:themeFill="background1"/>
            <w:vAlign w:val="center"/>
          </w:tcPr>
          <w:p w:rsidR="00084995" w:rsidRPr="001F29F9" w:rsidRDefault="00084995" w:rsidP="005C4C91">
            <w:pPr>
              <w:spacing w:line="22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Not Unfitting</w:t>
            </w:r>
          </w:p>
        </w:tc>
        <w:tc>
          <w:tcPr>
            <w:tcW w:w="4230" w:type="dxa"/>
            <w:gridSpan w:val="3"/>
            <w:tcBorders>
              <w:left w:val="thinThickThinSmallGap" w:sz="24" w:space="0" w:color="auto"/>
            </w:tcBorders>
            <w:shd w:val="clear" w:color="auto" w:fill="FFFFFF" w:themeFill="background1"/>
            <w:vAlign w:val="center"/>
          </w:tcPr>
          <w:p w:rsidR="00084995" w:rsidRPr="001F29F9" w:rsidRDefault="00084995" w:rsidP="005C4C91">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VA Entry</w:t>
            </w:r>
          </w:p>
        </w:tc>
        <w:tc>
          <w:tcPr>
            <w:tcW w:w="990" w:type="dxa"/>
            <w:shd w:val="clear" w:color="auto" w:fill="FFFFFF" w:themeFill="background1"/>
            <w:vAlign w:val="center"/>
          </w:tcPr>
          <w:p w:rsidR="00084995" w:rsidRPr="00084995" w:rsidRDefault="00084995" w:rsidP="005C4C91">
            <w:pPr>
              <w:spacing w:line="220" w:lineRule="exact"/>
              <w:contextualSpacing/>
              <w:rPr>
                <w:rFonts w:ascii="Calibri" w:eastAsia="Times New Roman" w:hAnsi="Calibri" w:cs="Calibri"/>
                <w:color w:val="000000" w:themeColor="text1"/>
                <w:sz w:val="18"/>
                <w:szCs w:val="18"/>
              </w:rPr>
            </w:pPr>
            <w:r w:rsidRPr="00084995">
              <w:rPr>
                <w:rFonts w:ascii="Calibri" w:eastAsia="Times New Roman" w:hAnsi="Calibri" w:cs="Calibri"/>
                <w:color w:val="000000" w:themeColor="text1"/>
                <w:sz w:val="18"/>
                <w:szCs w:val="18"/>
              </w:rPr>
              <w:t>20020719</w:t>
            </w:r>
          </w:p>
        </w:tc>
      </w:tr>
      <w:tr w:rsidR="007A65A9" w:rsidRPr="001F29F9" w:rsidTr="003C53E8">
        <w:trPr>
          <w:trHeight w:val="133"/>
          <w:jc w:val="center"/>
        </w:trPr>
        <w:tc>
          <w:tcPr>
            <w:tcW w:w="4158" w:type="dxa"/>
            <w:gridSpan w:val="3"/>
            <w:tcBorders>
              <w:right w:val="thinThickThinSmallGap" w:sz="24" w:space="0" w:color="auto"/>
            </w:tcBorders>
            <w:shd w:val="clear" w:color="auto" w:fill="FFFFFF" w:themeFill="background1"/>
          </w:tcPr>
          <w:p w:rsidR="00BC5860" w:rsidRPr="001F29F9" w:rsidRDefault="00084995" w:rsidP="005C4C91">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30" w:type="dxa"/>
            <w:gridSpan w:val="3"/>
            <w:tcBorders>
              <w:left w:val="thinThickThinSmallGap" w:sz="24" w:space="0" w:color="auto"/>
            </w:tcBorders>
            <w:shd w:val="clear" w:color="auto" w:fill="FFFFFF" w:themeFill="background1"/>
            <w:vAlign w:val="center"/>
          </w:tcPr>
          <w:p w:rsidR="00BC5860" w:rsidRPr="001F29F9" w:rsidRDefault="00084995" w:rsidP="005C4C91">
            <w:pPr>
              <w:spacing w:line="22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No Additional </w:t>
            </w:r>
            <w:r>
              <w:rPr>
                <w:rFonts w:ascii="Calibri" w:hAnsi="Calibri" w:cs="Calibri"/>
                <w:color w:val="000000" w:themeColor="text1"/>
                <w:sz w:val="18"/>
                <w:szCs w:val="18"/>
              </w:rPr>
              <w:t>VA</w:t>
            </w:r>
            <w:r w:rsidRPr="001F29F9">
              <w:rPr>
                <w:rFonts w:ascii="Calibri" w:hAnsi="Calibri" w:cs="Calibri"/>
                <w:color w:val="000000" w:themeColor="text1"/>
                <w:sz w:val="18"/>
                <w:szCs w:val="18"/>
              </w:rPr>
              <w:t xml:space="preserve"> Entries</w:t>
            </w:r>
          </w:p>
        </w:tc>
        <w:tc>
          <w:tcPr>
            <w:tcW w:w="990" w:type="dxa"/>
            <w:shd w:val="clear" w:color="auto" w:fill="FFFFFF" w:themeFill="background1"/>
            <w:vAlign w:val="center"/>
          </w:tcPr>
          <w:p w:rsidR="00BC5860" w:rsidRPr="001F29F9" w:rsidRDefault="00084995" w:rsidP="005C4C91">
            <w:pPr>
              <w:spacing w:line="220" w:lineRule="exact"/>
              <w:contextualSpacing/>
              <w:rPr>
                <w:rFonts w:ascii="Calibri" w:eastAsia="Times New Roman" w:hAnsi="Calibri" w:cs="Calibri"/>
                <w:color w:val="000000" w:themeColor="text1"/>
                <w:sz w:val="18"/>
                <w:szCs w:val="18"/>
              </w:rPr>
            </w:pPr>
            <w:r w:rsidRPr="00084995">
              <w:rPr>
                <w:rFonts w:ascii="Calibri" w:hAnsi="Calibri" w:cs="Calibri"/>
                <w:color w:val="000000" w:themeColor="text1"/>
                <w:sz w:val="18"/>
                <w:szCs w:val="18"/>
              </w:rPr>
              <w:t>20020719</w:t>
            </w:r>
          </w:p>
        </w:tc>
      </w:tr>
      <w:tr w:rsidR="007A65A9" w:rsidRPr="001F29F9" w:rsidTr="005C4C91">
        <w:trPr>
          <w:trHeight w:val="124"/>
          <w:jc w:val="center"/>
        </w:trPr>
        <w:tc>
          <w:tcPr>
            <w:tcW w:w="4158" w:type="dxa"/>
            <w:gridSpan w:val="3"/>
            <w:tcBorders>
              <w:right w:val="thinThickThinSmallGap" w:sz="24" w:space="0" w:color="auto"/>
            </w:tcBorders>
            <w:shd w:val="clear" w:color="auto" w:fill="D9D9D9" w:themeFill="background1" w:themeFillShade="D9"/>
          </w:tcPr>
          <w:p w:rsidR="007A65A9" w:rsidRPr="001F29F9" w:rsidRDefault="007A65A9" w:rsidP="005C4C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F328BE">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tcPr>
          <w:p w:rsidR="007A65A9" w:rsidRPr="001F29F9" w:rsidRDefault="007A65A9" w:rsidP="005C4C91">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084995">
              <w:rPr>
                <w:rFonts w:ascii="Calibri" w:hAnsi="Calibri" w:cs="Calibri"/>
                <w:b/>
                <w:color w:val="000000" w:themeColor="text1"/>
                <w:sz w:val="18"/>
                <w:szCs w:val="18"/>
              </w:rPr>
              <w:t>4</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3C53E8" w:rsidRDefault="00084995" w:rsidP="00B9133D">
      <w:pPr>
        <w:pBdr>
          <w:bottom w:val="single" w:sz="12" w:space="1" w:color="auto"/>
        </w:pBdr>
        <w:tabs>
          <w:tab w:val="left" w:pos="288"/>
          <w:tab w:val="left" w:pos="4752"/>
        </w:tabs>
        <w:jc w:val="right"/>
        <w:rPr>
          <w:color w:val="000000" w:themeColor="text1"/>
          <w:sz w:val="18"/>
          <w:szCs w:val="18"/>
        </w:rPr>
      </w:pPr>
      <w:r>
        <w:rPr>
          <w:color w:val="000000" w:themeColor="text1"/>
          <w:sz w:val="18"/>
          <w:szCs w:val="18"/>
        </w:rPr>
        <w:t>*</w:t>
      </w:r>
      <w:r w:rsidR="00425455">
        <w:rPr>
          <w:color w:val="000000" w:themeColor="text1"/>
          <w:sz w:val="18"/>
          <w:szCs w:val="18"/>
        </w:rPr>
        <w:t>Left</w:t>
      </w:r>
      <w:r w:rsidRPr="00084995">
        <w:rPr>
          <w:color w:val="000000" w:themeColor="text1"/>
          <w:sz w:val="18"/>
          <w:szCs w:val="18"/>
        </w:rPr>
        <w:t xml:space="preserve"> Shoulder Condition increased from 0% to 20%, effective 20090831</w:t>
      </w:r>
      <w:r w:rsidR="00A57C35" w:rsidRPr="003C53E8">
        <w:rPr>
          <w:color w:val="000000" w:themeColor="text1"/>
          <w:sz w:val="18"/>
          <w:szCs w:val="18"/>
        </w:rPr>
        <w:t>.</w:t>
      </w:r>
    </w:p>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369A6" w:rsidRPr="001F29F9" w:rsidRDefault="009369A6" w:rsidP="00084995">
      <w:pPr>
        <w:jc w:val="both"/>
        <w:rPr>
          <w:color w:val="000000" w:themeColor="text1"/>
          <w:szCs w:val="24"/>
          <w:u w:val="single"/>
        </w:rPr>
      </w:pPr>
    </w:p>
    <w:p w:rsidR="00F328BE" w:rsidRDefault="002C6E5B" w:rsidP="00084995">
      <w:pPr>
        <w:jc w:val="both"/>
        <w:rPr>
          <w:color w:val="000000" w:themeColor="text1"/>
          <w:szCs w:val="24"/>
        </w:rPr>
      </w:pPr>
      <w:r w:rsidRPr="001F29F9">
        <w:rPr>
          <w:color w:val="000000" w:themeColor="text1"/>
          <w:szCs w:val="24"/>
          <w:u w:val="single"/>
        </w:rPr>
        <w:t>ANALYSIS SUMMARY</w:t>
      </w:r>
      <w:r w:rsidRPr="001F29F9">
        <w:rPr>
          <w:color w:val="000000" w:themeColor="text1"/>
          <w:szCs w:val="24"/>
        </w:rPr>
        <w:t>:</w:t>
      </w:r>
      <w:r w:rsidR="00B505E9">
        <w:rPr>
          <w:color w:val="000000" w:themeColor="text1"/>
          <w:szCs w:val="24"/>
        </w:rPr>
        <w:t xml:space="preserve">  </w:t>
      </w:r>
      <w:r w:rsidR="005C4C91" w:rsidRPr="005C4C91">
        <w:rPr>
          <w:color w:val="000000" w:themeColor="text1"/>
          <w:szCs w:val="24"/>
        </w:rPr>
        <w:t xml:space="preserve">The Board notes the current </w:t>
      </w:r>
      <w:r w:rsidR="00164A9F">
        <w:rPr>
          <w:color w:val="000000" w:themeColor="text1"/>
          <w:szCs w:val="24"/>
        </w:rPr>
        <w:t>Department of Veterans’ Affairs (D</w:t>
      </w:r>
      <w:r w:rsidR="005C4C91" w:rsidRPr="005C4C91">
        <w:rPr>
          <w:color w:val="000000" w:themeColor="text1"/>
          <w:szCs w:val="24"/>
        </w:rPr>
        <w:t>VA</w:t>
      </w:r>
      <w:r w:rsidR="00164A9F">
        <w:rPr>
          <w:color w:val="000000" w:themeColor="text1"/>
          <w:szCs w:val="24"/>
        </w:rPr>
        <w:t>)</w:t>
      </w:r>
      <w:r w:rsidR="005C4C91" w:rsidRPr="005C4C91">
        <w:rPr>
          <w:color w:val="000000" w:themeColor="text1"/>
          <w:szCs w:val="24"/>
        </w:rPr>
        <w:t xml:space="preserve"> ratings listed b</w:t>
      </w:r>
      <w:r w:rsidR="00164A9F">
        <w:rPr>
          <w:color w:val="000000" w:themeColor="text1"/>
          <w:szCs w:val="24"/>
        </w:rPr>
        <w:t>y the CI for all of his service-</w:t>
      </w:r>
      <w:r w:rsidR="005C4C91" w:rsidRPr="005C4C91">
        <w:rPr>
          <w:color w:val="000000" w:themeColor="text1"/>
          <w:szCs w:val="24"/>
        </w:rPr>
        <w:t xml:space="preserve">connected conditions, but must emphasize that its recommendations are premised on </w:t>
      </w:r>
      <w:r w:rsidR="005C4C91">
        <w:rPr>
          <w:color w:val="000000" w:themeColor="text1"/>
          <w:szCs w:val="24"/>
        </w:rPr>
        <w:t xml:space="preserve">the </w:t>
      </w:r>
      <w:r w:rsidR="005C4C91" w:rsidRPr="005C4C91">
        <w:rPr>
          <w:color w:val="000000" w:themeColor="text1"/>
          <w:szCs w:val="24"/>
        </w:rPr>
        <w:t xml:space="preserve">severity </w:t>
      </w:r>
      <w:r w:rsidR="005C4C91">
        <w:rPr>
          <w:color w:val="000000" w:themeColor="text1"/>
          <w:szCs w:val="24"/>
        </w:rPr>
        <w:t xml:space="preserve">and presence of medical conditions </w:t>
      </w:r>
      <w:r w:rsidR="005C4C91" w:rsidRPr="005C4C91">
        <w:rPr>
          <w:color w:val="000000" w:themeColor="text1"/>
          <w:szCs w:val="24"/>
        </w:rPr>
        <w:t xml:space="preserve">at the time of separation.  </w:t>
      </w:r>
      <w:r w:rsidR="00C11F29" w:rsidRPr="00C11F29">
        <w:rPr>
          <w:color w:val="000000" w:themeColor="text1"/>
          <w:szCs w:val="24"/>
        </w:rPr>
        <w:t xml:space="preserve">The Board is subject to the same laws for service disability entitlements as those </w:t>
      </w:r>
      <w:r w:rsidR="00C11F29" w:rsidRPr="00C11F29">
        <w:rPr>
          <w:color w:val="000000" w:themeColor="text1"/>
          <w:szCs w:val="24"/>
        </w:rPr>
        <w:lastRenderedPageBreak/>
        <w:t xml:space="preserve">under which the Disability Evaluation System (DES) operates. </w:t>
      </w:r>
      <w:r w:rsidR="00C11F29">
        <w:rPr>
          <w:color w:val="000000" w:themeColor="text1"/>
          <w:szCs w:val="24"/>
        </w:rPr>
        <w:t xml:space="preserve"> </w:t>
      </w:r>
      <w:r w:rsidR="00C11F29" w:rsidRPr="00C11F29">
        <w:rPr>
          <w:color w:val="000000" w:themeColor="text1"/>
          <w:szCs w:val="24"/>
        </w:rPr>
        <w:t xml:space="preserve">The DES has neither the role nor the authority to compensate service members for anticipated future severity or potential complications of conditions resulting in medical separation. </w:t>
      </w:r>
      <w:r w:rsidR="00C11F29">
        <w:rPr>
          <w:color w:val="000000" w:themeColor="text1"/>
          <w:szCs w:val="24"/>
        </w:rPr>
        <w:t xml:space="preserve"> </w:t>
      </w:r>
      <w:r w:rsidR="00C11F29" w:rsidRPr="00C11F29">
        <w:rPr>
          <w:color w:val="000000" w:themeColor="text1"/>
          <w:szCs w:val="24"/>
        </w:rPr>
        <w:t xml:space="preserve">That role and authority is granted by Congress to the </w:t>
      </w:r>
      <w:r w:rsidR="00164A9F">
        <w:rPr>
          <w:color w:val="000000" w:themeColor="text1"/>
          <w:szCs w:val="24"/>
        </w:rPr>
        <w:t>DVA</w:t>
      </w:r>
      <w:r w:rsidR="00C11F29" w:rsidRPr="00C11F29">
        <w:rPr>
          <w:color w:val="000000" w:themeColor="text1"/>
          <w:szCs w:val="24"/>
        </w:rPr>
        <w:t xml:space="preserve">, operating under a different set of laws (Title 38, United States Code). </w:t>
      </w:r>
      <w:r w:rsidR="00C11F29">
        <w:rPr>
          <w:color w:val="000000" w:themeColor="text1"/>
          <w:szCs w:val="24"/>
        </w:rPr>
        <w:t xml:space="preserve"> </w:t>
      </w:r>
      <w:r w:rsidR="00C11F29" w:rsidRPr="00C11F29">
        <w:rPr>
          <w:color w:val="000000" w:themeColor="text1"/>
          <w:szCs w:val="24"/>
        </w:rPr>
        <w:t xml:space="preserve">The Board evaluates VA evidence proximal to separation in arriving at its recommendations, but its authority resides in evaluating the fairness of DES fitness decisions and rating determinations for disability at the time of separation. </w:t>
      </w:r>
      <w:r w:rsidR="00C11F29">
        <w:rPr>
          <w:color w:val="000000" w:themeColor="text1"/>
          <w:szCs w:val="24"/>
        </w:rPr>
        <w:t xml:space="preserve"> </w:t>
      </w:r>
      <w:r w:rsidR="00C11F29" w:rsidRPr="00C11F29">
        <w:rPr>
          <w:color w:val="000000" w:themeColor="text1"/>
          <w:szCs w:val="24"/>
        </w:rPr>
        <w:t xml:space="preserve">The Board further acknowledges the CI’s contention for service ratings for other conditions documented at the time of separation, and notes that its recommendations in that regard must comply with the same governance. </w:t>
      </w:r>
      <w:r w:rsidR="00C11F29">
        <w:rPr>
          <w:color w:val="000000" w:themeColor="text1"/>
          <w:szCs w:val="24"/>
        </w:rPr>
        <w:t xml:space="preserve"> </w:t>
      </w:r>
      <w:r w:rsidR="00C11F29" w:rsidRPr="00C11F29">
        <w:rPr>
          <w:color w:val="000000" w:themeColor="text1"/>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C11F29">
        <w:rPr>
          <w:color w:val="000000" w:themeColor="text1"/>
          <w:szCs w:val="24"/>
        </w:rPr>
        <w:t xml:space="preserve"> </w:t>
      </w:r>
      <w:r w:rsidR="00C11F29" w:rsidRPr="00C11F29">
        <w:rPr>
          <w:color w:val="000000" w:themeColor="text1"/>
          <w:szCs w:val="24"/>
        </w:rPr>
        <w:t xml:space="preserve">The DVA, however, is </w:t>
      </w:r>
      <w:r w:rsidR="00164A9F">
        <w:rPr>
          <w:color w:val="000000" w:themeColor="text1"/>
          <w:szCs w:val="24"/>
        </w:rPr>
        <w:t>empowered to compensate service-</w:t>
      </w:r>
      <w:r w:rsidR="00C11F29" w:rsidRPr="00C11F29">
        <w:rPr>
          <w:color w:val="000000" w:themeColor="text1"/>
          <w:szCs w:val="24"/>
        </w:rPr>
        <w:t xml:space="preserve">connected conditions and to periodically re-evaluate said conditions for the purpose of adjusting the </w:t>
      </w:r>
      <w:r w:rsidR="00164A9F">
        <w:rPr>
          <w:color w:val="000000" w:themeColor="text1"/>
          <w:szCs w:val="24"/>
        </w:rPr>
        <w:t>V</w:t>
      </w:r>
      <w:r w:rsidR="00C11F29" w:rsidRPr="00C11F29">
        <w:rPr>
          <w:color w:val="000000" w:themeColor="text1"/>
          <w:szCs w:val="24"/>
        </w:rPr>
        <w:t xml:space="preserve">eteran’s disability rating should </w:t>
      </w:r>
      <w:r w:rsidR="00164A9F">
        <w:rPr>
          <w:color w:val="000000" w:themeColor="text1"/>
          <w:szCs w:val="24"/>
        </w:rPr>
        <w:t>the</w:t>
      </w:r>
      <w:r w:rsidR="00C11F29" w:rsidRPr="00C11F29">
        <w:rPr>
          <w:color w:val="000000" w:themeColor="text1"/>
          <w:szCs w:val="24"/>
        </w:rPr>
        <w:t xml:space="preserve"> degree of impairment vary over time.</w:t>
      </w:r>
    </w:p>
    <w:p w:rsidR="00084995" w:rsidRPr="00F328BE" w:rsidRDefault="00084995" w:rsidP="00F328BE">
      <w:pPr>
        <w:jc w:val="left"/>
        <w:rPr>
          <w:color w:val="000000" w:themeColor="text1"/>
          <w:szCs w:val="24"/>
        </w:rPr>
      </w:pPr>
    </w:p>
    <w:p w:rsidR="003C53E8" w:rsidRPr="003C53E8" w:rsidRDefault="00084995" w:rsidP="00190D59">
      <w:pPr>
        <w:jc w:val="both"/>
        <w:rPr>
          <w:rFonts w:asciiTheme="minorHAnsi" w:hAnsiTheme="minorHAnsi" w:cs="Times New Roman"/>
          <w:color w:val="auto"/>
          <w:szCs w:val="24"/>
        </w:rPr>
      </w:pPr>
      <w:proofErr w:type="gramStart"/>
      <w:r w:rsidRPr="00084995">
        <w:rPr>
          <w:color w:val="000000" w:themeColor="text1"/>
          <w:szCs w:val="24"/>
          <w:u w:val="single"/>
        </w:rPr>
        <w:t>Bilateral Shoulder</w:t>
      </w:r>
      <w:r w:rsidR="0080588E" w:rsidRPr="00084995">
        <w:rPr>
          <w:color w:val="000000" w:themeColor="text1"/>
          <w:szCs w:val="24"/>
          <w:u w:val="single"/>
        </w:rPr>
        <w:t xml:space="preserve"> </w:t>
      </w:r>
      <w:r w:rsidR="003F2EEE" w:rsidRPr="00084995">
        <w:rPr>
          <w:color w:val="000000" w:themeColor="text1"/>
          <w:szCs w:val="24"/>
          <w:u w:val="single"/>
        </w:rPr>
        <w:t>Condition</w:t>
      </w:r>
      <w:r w:rsidR="003F2EEE" w:rsidRPr="00084995">
        <w:rPr>
          <w:color w:val="000000" w:themeColor="text1"/>
          <w:szCs w:val="24"/>
        </w:rPr>
        <w:t>.</w:t>
      </w:r>
      <w:proofErr w:type="gramEnd"/>
      <w:r w:rsidR="003F2EEE" w:rsidRPr="00084995">
        <w:rPr>
          <w:color w:val="000000" w:themeColor="text1"/>
          <w:szCs w:val="24"/>
        </w:rPr>
        <w:t xml:space="preserve">  </w:t>
      </w:r>
      <w:r w:rsidR="00AF0CFF" w:rsidRPr="00AF0CFF">
        <w:rPr>
          <w:color w:val="000000" w:themeColor="text1"/>
          <w:szCs w:val="24"/>
        </w:rPr>
        <w:t xml:space="preserve"> </w:t>
      </w:r>
      <w:r w:rsidR="001B29E2">
        <w:rPr>
          <w:color w:val="000000" w:themeColor="text1"/>
          <w:szCs w:val="24"/>
        </w:rPr>
        <w:t>Prior to the CI’s entry onto active duty his civilian orthopedic surgeon reported the CI “</w:t>
      </w:r>
      <w:r w:rsidR="001B29E2" w:rsidRPr="001B29E2">
        <w:rPr>
          <w:color w:val="000000" w:themeColor="text1"/>
          <w:szCs w:val="24"/>
        </w:rPr>
        <w:t xml:space="preserve">underwent an anterior shoulder reconstruction by me on </w:t>
      </w:r>
      <w:r w:rsidR="00164A9F">
        <w:rPr>
          <w:color w:val="000000" w:themeColor="text1"/>
          <w:szCs w:val="24"/>
        </w:rPr>
        <w:t xml:space="preserve">       </w:t>
      </w:r>
      <w:r w:rsidR="001B29E2" w:rsidRPr="001B29E2">
        <w:rPr>
          <w:color w:val="000000" w:themeColor="text1"/>
          <w:szCs w:val="24"/>
        </w:rPr>
        <w:t>February 27, 1995</w:t>
      </w:r>
      <w:r w:rsidR="001B29E2">
        <w:rPr>
          <w:color w:val="000000" w:themeColor="text1"/>
          <w:szCs w:val="24"/>
        </w:rPr>
        <w:t>. He has had an excellent func</w:t>
      </w:r>
      <w:r w:rsidR="001B29E2" w:rsidRPr="001B29E2">
        <w:rPr>
          <w:color w:val="000000" w:themeColor="text1"/>
          <w:szCs w:val="24"/>
        </w:rPr>
        <w:t>tional result</w:t>
      </w:r>
      <w:r w:rsidR="001B29E2">
        <w:rPr>
          <w:color w:val="000000" w:themeColor="text1"/>
          <w:szCs w:val="24"/>
        </w:rPr>
        <w:t xml:space="preserve"> </w:t>
      </w:r>
      <w:r w:rsidR="001B29E2" w:rsidRPr="001B29E2">
        <w:rPr>
          <w:color w:val="000000" w:themeColor="text1"/>
          <w:szCs w:val="24"/>
        </w:rPr>
        <w:t>and ha</w:t>
      </w:r>
      <w:r w:rsidR="001B29E2">
        <w:rPr>
          <w:color w:val="000000" w:themeColor="text1"/>
          <w:szCs w:val="24"/>
        </w:rPr>
        <w:t>s</w:t>
      </w:r>
      <w:r w:rsidR="001B29E2" w:rsidRPr="001B29E2">
        <w:rPr>
          <w:color w:val="000000" w:themeColor="text1"/>
          <w:szCs w:val="24"/>
        </w:rPr>
        <w:t xml:space="preserve"> regained full </w:t>
      </w:r>
      <w:r w:rsidR="00164A9F">
        <w:rPr>
          <w:color w:val="000000" w:themeColor="text1"/>
          <w:szCs w:val="24"/>
        </w:rPr>
        <w:t>range-of-motion (</w:t>
      </w:r>
      <w:r w:rsidR="001B29E2" w:rsidRPr="001B29E2">
        <w:rPr>
          <w:color w:val="000000" w:themeColor="text1"/>
          <w:szCs w:val="24"/>
        </w:rPr>
        <w:t>ROM</w:t>
      </w:r>
      <w:r w:rsidR="00164A9F">
        <w:rPr>
          <w:color w:val="000000" w:themeColor="text1"/>
          <w:szCs w:val="24"/>
        </w:rPr>
        <w:t>)</w:t>
      </w:r>
      <w:r w:rsidR="001B29E2" w:rsidRPr="001B29E2">
        <w:rPr>
          <w:color w:val="000000" w:themeColor="text1"/>
          <w:szCs w:val="24"/>
        </w:rPr>
        <w:t xml:space="preserve"> a</w:t>
      </w:r>
      <w:r w:rsidR="001B29E2">
        <w:rPr>
          <w:color w:val="000000" w:themeColor="text1"/>
          <w:szCs w:val="24"/>
        </w:rPr>
        <w:t>n</w:t>
      </w:r>
      <w:r w:rsidR="001B29E2" w:rsidRPr="001B29E2">
        <w:rPr>
          <w:color w:val="000000" w:themeColor="text1"/>
          <w:szCs w:val="24"/>
        </w:rPr>
        <w:t xml:space="preserve">d strength. </w:t>
      </w:r>
      <w:r w:rsidR="001B29E2">
        <w:rPr>
          <w:color w:val="000000" w:themeColor="text1"/>
          <w:szCs w:val="24"/>
        </w:rPr>
        <w:t xml:space="preserve"> </w:t>
      </w:r>
      <w:r w:rsidR="001B29E2" w:rsidRPr="001B29E2">
        <w:rPr>
          <w:color w:val="000000" w:themeColor="text1"/>
          <w:szCs w:val="24"/>
        </w:rPr>
        <w:t>He</w:t>
      </w:r>
      <w:r w:rsidR="001B29E2">
        <w:rPr>
          <w:color w:val="000000" w:themeColor="text1"/>
          <w:szCs w:val="24"/>
        </w:rPr>
        <w:t xml:space="preserve"> </w:t>
      </w:r>
      <w:r w:rsidR="001B29E2" w:rsidRPr="001B29E2">
        <w:rPr>
          <w:color w:val="000000" w:themeColor="text1"/>
          <w:szCs w:val="24"/>
        </w:rPr>
        <w:t>currently has no disability in regard to his</w:t>
      </w:r>
      <w:r w:rsidR="001B29E2">
        <w:rPr>
          <w:color w:val="000000" w:themeColor="text1"/>
          <w:szCs w:val="24"/>
        </w:rPr>
        <w:t xml:space="preserve"> </w:t>
      </w:r>
      <w:r w:rsidR="001B29E2" w:rsidRPr="001B29E2">
        <w:rPr>
          <w:color w:val="000000" w:themeColor="text1"/>
          <w:szCs w:val="24"/>
        </w:rPr>
        <w:t>shoulder</w:t>
      </w:r>
      <w:r w:rsidR="00D95E4C">
        <w:rPr>
          <w:color w:val="000000" w:themeColor="text1"/>
          <w:szCs w:val="24"/>
        </w:rPr>
        <w:t>.</w:t>
      </w:r>
      <w:r w:rsidR="001B29E2">
        <w:rPr>
          <w:color w:val="000000" w:themeColor="text1"/>
          <w:szCs w:val="24"/>
        </w:rPr>
        <w:t xml:space="preserve">”  </w:t>
      </w:r>
      <w:r w:rsidR="003E3707">
        <w:rPr>
          <w:color w:val="000000" w:themeColor="text1"/>
          <w:szCs w:val="24"/>
        </w:rPr>
        <w:t xml:space="preserve">Radiographs of the right shoulder showed evidence of suture anchors, but were otherwise normal.  Intra-operatively, </w:t>
      </w:r>
      <w:r w:rsidR="003E3707" w:rsidRPr="00AF0CFF">
        <w:rPr>
          <w:color w:val="000000" w:themeColor="text1"/>
          <w:szCs w:val="24"/>
        </w:rPr>
        <w:t>he w</w:t>
      </w:r>
      <w:r w:rsidR="00386408">
        <w:rPr>
          <w:color w:val="000000" w:themeColor="text1"/>
          <w:szCs w:val="24"/>
        </w:rPr>
        <w:t>as noted to have chondromalacia and</w:t>
      </w:r>
      <w:r w:rsidR="003E3707" w:rsidRPr="00AF0CFF">
        <w:rPr>
          <w:color w:val="000000" w:themeColor="text1"/>
          <w:szCs w:val="24"/>
        </w:rPr>
        <w:t xml:space="preserve"> degenerat</w:t>
      </w:r>
      <w:r w:rsidR="003E3707">
        <w:rPr>
          <w:color w:val="000000" w:themeColor="text1"/>
          <w:szCs w:val="24"/>
        </w:rPr>
        <w:t>i</w:t>
      </w:r>
      <w:r w:rsidR="003E3707" w:rsidRPr="00AF0CFF">
        <w:rPr>
          <w:color w:val="000000" w:themeColor="text1"/>
          <w:szCs w:val="24"/>
        </w:rPr>
        <w:t>ve</w:t>
      </w:r>
      <w:r w:rsidR="003E3707">
        <w:rPr>
          <w:color w:val="000000" w:themeColor="text1"/>
          <w:szCs w:val="24"/>
        </w:rPr>
        <w:t xml:space="preserve"> </w:t>
      </w:r>
      <w:r w:rsidR="003E3707" w:rsidRPr="00AF0CFF">
        <w:rPr>
          <w:color w:val="000000" w:themeColor="text1"/>
          <w:szCs w:val="24"/>
        </w:rPr>
        <w:t xml:space="preserve">joint disease </w:t>
      </w:r>
      <w:r w:rsidR="00386408">
        <w:rPr>
          <w:color w:val="000000" w:themeColor="text1"/>
          <w:szCs w:val="24"/>
        </w:rPr>
        <w:t>with</w:t>
      </w:r>
      <w:r w:rsidR="003E3707" w:rsidRPr="00AF0CFF">
        <w:rPr>
          <w:color w:val="000000" w:themeColor="text1"/>
          <w:szCs w:val="24"/>
        </w:rPr>
        <w:t xml:space="preserve"> associated synovitis of the right shoulder.</w:t>
      </w:r>
      <w:r w:rsidR="003E3707">
        <w:rPr>
          <w:color w:val="000000" w:themeColor="text1"/>
          <w:szCs w:val="24"/>
        </w:rPr>
        <w:t xml:space="preserve">  Radiographs of the left shoulder were normal.  </w:t>
      </w:r>
      <w:r w:rsidR="002D170C">
        <w:rPr>
          <w:color w:val="000000" w:themeColor="text1"/>
          <w:szCs w:val="24"/>
        </w:rPr>
        <w:t>An orthopedic specialty opinion advising the MMRB stated that, “Continued heavy lifting and stressing of his shoulders … would not be conducive to the continued success of the shoulder surgery.”</w:t>
      </w:r>
      <w:r w:rsidR="00531F6C">
        <w:rPr>
          <w:color w:val="000000" w:themeColor="text1"/>
          <w:szCs w:val="24"/>
        </w:rPr>
        <w:t xml:space="preserve"> </w:t>
      </w:r>
      <w:r w:rsidR="002D170C">
        <w:rPr>
          <w:color w:val="000000" w:themeColor="text1"/>
          <w:szCs w:val="24"/>
        </w:rPr>
        <w:t xml:space="preserve"> </w:t>
      </w:r>
      <w:r w:rsidR="00AF0CFF">
        <w:rPr>
          <w:color w:val="000000" w:themeColor="text1"/>
          <w:szCs w:val="24"/>
        </w:rPr>
        <w:t>At the time of the MEB</w:t>
      </w:r>
      <w:r w:rsidR="00B83851">
        <w:rPr>
          <w:color w:val="000000" w:themeColor="text1"/>
          <w:szCs w:val="24"/>
        </w:rPr>
        <w:t xml:space="preserve"> the CI reported aching in both shoulders,</w:t>
      </w:r>
      <w:r w:rsidR="00AF0CFF">
        <w:rPr>
          <w:color w:val="000000" w:themeColor="text1"/>
          <w:szCs w:val="24"/>
        </w:rPr>
        <w:t xml:space="preserve"> </w:t>
      </w:r>
      <w:r w:rsidR="00464C1B">
        <w:rPr>
          <w:color w:val="000000" w:themeColor="text1"/>
          <w:szCs w:val="24"/>
        </w:rPr>
        <w:t xml:space="preserve">easy </w:t>
      </w:r>
      <w:r w:rsidR="00B83851">
        <w:rPr>
          <w:color w:val="000000" w:themeColor="text1"/>
          <w:szCs w:val="24"/>
        </w:rPr>
        <w:t xml:space="preserve">arm </w:t>
      </w:r>
      <w:r w:rsidR="00464C1B">
        <w:rPr>
          <w:color w:val="000000" w:themeColor="text1"/>
          <w:szCs w:val="24"/>
        </w:rPr>
        <w:t>fatigability</w:t>
      </w:r>
      <w:r w:rsidR="00B83851">
        <w:rPr>
          <w:color w:val="000000" w:themeColor="text1"/>
          <w:szCs w:val="24"/>
        </w:rPr>
        <w:t>,</w:t>
      </w:r>
      <w:r w:rsidR="00AF0CFF">
        <w:rPr>
          <w:color w:val="000000" w:themeColor="text1"/>
          <w:szCs w:val="24"/>
        </w:rPr>
        <w:t xml:space="preserve"> </w:t>
      </w:r>
      <w:r w:rsidR="00B83851">
        <w:rPr>
          <w:color w:val="000000" w:themeColor="text1"/>
          <w:szCs w:val="24"/>
        </w:rPr>
        <w:t>inability</w:t>
      </w:r>
      <w:r w:rsidR="00AF0CFF">
        <w:rPr>
          <w:color w:val="000000" w:themeColor="text1"/>
          <w:szCs w:val="24"/>
        </w:rPr>
        <w:t xml:space="preserve"> to perform </w:t>
      </w:r>
      <w:r w:rsidR="00B83851">
        <w:rPr>
          <w:color w:val="000000" w:themeColor="text1"/>
          <w:szCs w:val="24"/>
        </w:rPr>
        <w:t>protracted overhead activities,</w:t>
      </w:r>
      <w:r w:rsidR="00AF0CFF">
        <w:rPr>
          <w:color w:val="000000" w:themeColor="text1"/>
          <w:szCs w:val="24"/>
        </w:rPr>
        <w:t xml:space="preserve"> </w:t>
      </w:r>
      <w:r w:rsidR="00B83851">
        <w:rPr>
          <w:color w:val="000000" w:themeColor="text1"/>
          <w:szCs w:val="24"/>
        </w:rPr>
        <w:t xml:space="preserve">inability to tolerate load bearing </w:t>
      </w:r>
      <w:r w:rsidR="00AF0CFF">
        <w:rPr>
          <w:color w:val="000000" w:themeColor="text1"/>
          <w:szCs w:val="24"/>
        </w:rPr>
        <w:t>military equipment</w:t>
      </w:r>
      <w:r w:rsidR="00B83851">
        <w:rPr>
          <w:color w:val="000000" w:themeColor="text1"/>
          <w:szCs w:val="24"/>
        </w:rPr>
        <w:t>,</w:t>
      </w:r>
      <w:r w:rsidR="00923033" w:rsidRPr="00923033">
        <w:rPr>
          <w:color w:val="000000" w:themeColor="text1"/>
          <w:szCs w:val="24"/>
        </w:rPr>
        <w:t xml:space="preserve"> </w:t>
      </w:r>
      <w:r w:rsidR="00923033">
        <w:rPr>
          <w:color w:val="000000" w:themeColor="text1"/>
          <w:szCs w:val="24"/>
        </w:rPr>
        <w:t xml:space="preserve">and difficulty </w:t>
      </w:r>
      <w:r w:rsidR="00B83851">
        <w:rPr>
          <w:color w:val="000000" w:themeColor="text1"/>
          <w:szCs w:val="24"/>
        </w:rPr>
        <w:t>tolerating the</w:t>
      </w:r>
      <w:r w:rsidR="00923033">
        <w:rPr>
          <w:color w:val="000000" w:themeColor="text1"/>
          <w:szCs w:val="24"/>
        </w:rPr>
        <w:t xml:space="preserve"> parade rest </w:t>
      </w:r>
      <w:r w:rsidR="00B83851">
        <w:rPr>
          <w:color w:val="000000" w:themeColor="text1"/>
          <w:szCs w:val="24"/>
        </w:rPr>
        <w:t>position</w:t>
      </w:r>
      <w:r w:rsidR="00AF0CFF">
        <w:rPr>
          <w:color w:val="000000" w:themeColor="text1"/>
          <w:szCs w:val="24"/>
        </w:rPr>
        <w:t>.  He denied any dislocations since his last surgery</w:t>
      </w:r>
      <w:r w:rsidR="00AF0CFF" w:rsidRPr="00D115E7">
        <w:rPr>
          <w:color w:val="000000" w:themeColor="text1"/>
          <w:szCs w:val="24"/>
        </w:rPr>
        <w:t xml:space="preserve">.  </w:t>
      </w:r>
      <w:r w:rsidR="00665698">
        <w:rPr>
          <w:color w:val="000000" w:themeColor="text1"/>
          <w:szCs w:val="24"/>
        </w:rPr>
        <w:t xml:space="preserve">The commander’s statement corroborated these, and other, MOS-specific limitations.  </w:t>
      </w:r>
      <w:r w:rsidR="00A57C35" w:rsidRPr="00D115E7">
        <w:rPr>
          <w:color w:val="000000" w:themeColor="text1"/>
          <w:szCs w:val="24"/>
        </w:rPr>
        <w:t xml:space="preserve">There were </w:t>
      </w:r>
      <w:r w:rsidR="00164A9F">
        <w:rPr>
          <w:color w:val="000000" w:themeColor="text1"/>
          <w:szCs w:val="24"/>
        </w:rPr>
        <w:t>two</w:t>
      </w:r>
      <w:r w:rsidR="00A57C35" w:rsidRPr="00D115E7">
        <w:rPr>
          <w:color w:val="000000" w:themeColor="text1"/>
          <w:szCs w:val="24"/>
        </w:rPr>
        <w:t xml:space="preserve"> goniometric </w:t>
      </w:r>
      <w:r w:rsidR="00164A9F">
        <w:rPr>
          <w:color w:val="000000" w:themeColor="text1"/>
          <w:szCs w:val="24"/>
        </w:rPr>
        <w:t>ROM</w:t>
      </w:r>
      <w:r w:rsidR="00A57C35" w:rsidRPr="00D115E7">
        <w:rPr>
          <w:color w:val="000000" w:themeColor="text1"/>
          <w:szCs w:val="24"/>
        </w:rPr>
        <w:t xml:space="preserve"> evaluations in evidence, with documentation of additional ratable criteria, which the Board weighed in arriving at its rating recommendation</w:t>
      </w:r>
      <w:r w:rsidR="003C53E8" w:rsidRPr="00D115E7">
        <w:rPr>
          <w:rFonts w:asciiTheme="minorHAnsi" w:hAnsiTheme="minorHAnsi" w:cs="Times New Roman"/>
          <w:color w:val="auto"/>
          <w:szCs w:val="24"/>
        </w:rPr>
        <w:t>.</w:t>
      </w:r>
    </w:p>
    <w:p w:rsidR="003C53E8" w:rsidRPr="003C53E8" w:rsidRDefault="003C53E8" w:rsidP="003C53E8">
      <w:pPr>
        <w:tabs>
          <w:tab w:val="left" w:pos="288"/>
          <w:tab w:val="left" w:pos="4752"/>
        </w:tabs>
        <w:jc w:val="left"/>
        <w:rPr>
          <w:rFonts w:asciiTheme="minorHAnsi" w:hAnsiTheme="minorHAnsi" w:cs="Times New Roman"/>
          <w:color w:val="auto"/>
          <w:szCs w:val="24"/>
        </w:rPr>
      </w:pPr>
    </w:p>
    <w:tbl>
      <w:tblPr>
        <w:tblW w:w="7110" w:type="dxa"/>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395"/>
        <w:gridCol w:w="1395"/>
        <w:gridCol w:w="1215"/>
        <w:gridCol w:w="1215"/>
      </w:tblGrid>
      <w:tr w:rsidR="00923033" w:rsidRPr="003C53E8" w:rsidTr="00B83851">
        <w:trPr>
          <w:jc w:val="center"/>
        </w:trPr>
        <w:tc>
          <w:tcPr>
            <w:tcW w:w="1890" w:type="dxa"/>
            <w:vMerge w:val="restart"/>
            <w:shd w:val="clear" w:color="auto" w:fill="D9D9D9" w:themeFill="background1" w:themeFillShade="D9"/>
            <w:vAlign w:val="center"/>
          </w:tcPr>
          <w:p w:rsidR="00923033" w:rsidRPr="003C53E8" w:rsidRDefault="00923033" w:rsidP="00D115E7">
            <w:pPr>
              <w:contextualSpacing/>
              <w:rPr>
                <w:rFonts w:eastAsia="Calibri" w:cs="Times New Roman"/>
                <w:color w:val="auto"/>
                <w:sz w:val="22"/>
                <w:szCs w:val="22"/>
              </w:rPr>
            </w:pPr>
            <w:r>
              <w:rPr>
                <w:rFonts w:eastAsia="Calibri" w:cs="Times New Roman"/>
                <w:color w:val="auto"/>
                <w:sz w:val="22"/>
                <w:szCs w:val="22"/>
              </w:rPr>
              <w:t>Shoulder</w:t>
            </w:r>
            <w:r w:rsidRPr="003C53E8">
              <w:rPr>
                <w:rFonts w:eastAsia="Calibri" w:cs="Times New Roman"/>
                <w:color w:val="auto"/>
                <w:sz w:val="22"/>
                <w:szCs w:val="22"/>
              </w:rPr>
              <w:t xml:space="preserve"> ROM</w:t>
            </w:r>
          </w:p>
        </w:tc>
        <w:tc>
          <w:tcPr>
            <w:tcW w:w="2790" w:type="dxa"/>
            <w:gridSpan w:val="2"/>
            <w:shd w:val="clear" w:color="auto" w:fill="D9D9D9" w:themeFill="background1" w:themeFillShade="D9"/>
          </w:tcPr>
          <w:p w:rsidR="00923033" w:rsidRPr="003C53E8" w:rsidRDefault="00B83851" w:rsidP="00923033">
            <w:pPr>
              <w:contextualSpacing/>
              <w:rPr>
                <w:rFonts w:eastAsia="Calibri" w:cs="Times New Roman"/>
                <w:color w:val="auto"/>
                <w:sz w:val="22"/>
                <w:szCs w:val="22"/>
              </w:rPr>
            </w:pPr>
            <w:r>
              <w:rPr>
                <w:rFonts w:eastAsia="Calibri" w:cs="Times New Roman"/>
                <w:color w:val="auto"/>
                <w:sz w:val="22"/>
                <w:szCs w:val="22"/>
              </w:rPr>
              <w:t>MEB ~</w:t>
            </w:r>
            <w:r w:rsidR="00923033">
              <w:rPr>
                <w:rFonts w:eastAsia="Calibri" w:cs="Times New Roman"/>
                <w:color w:val="auto"/>
                <w:sz w:val="22"/>
                <w:szCs w:val="22"/>
              </w:rPr>
              <w:t>7 Mo.</w:t>
            </w:r>
            <w:r>
              <w:rPr>
                <w:rFonts w:eastAsia="Calibri" w:cs="Times New Roman"/>
                <w:color w:val="auto"/>
                <w:sz w:val="22"/>
                <w:szCs w:val="22"/>
              </w:rPr>
              <w:t xml:space="preserve"> Pre-</w:t>
            </w:r>
            <w:r w:rsidR="00923033" w:rsidRPr="003C53E8">
              <w:rPr>
                <w:rFonts w:eastAsia="Calibri" w:cs="Times New Roman"/>
                <w:color w:val="auto"/>
                <w:sz w:val="22"/>
                <w:szCs w:val="22"/>
              </w:rPr>
              <w:t>Sep</w:t>
            </w:r>
          </w:p>
        </w:tc>
        <w:tc>
          <w:tcPr>
            <w:tcW w:w="2430" w:type="dxa"/>
            <w:gridSpan w:val="2"/>
            <w:shd w:val="clear" w:color="auto" w:fill="D9D9D9" w:themeFill="background1" w:themeFillShade="D9"/>
          </w:tcPr>
          <w:p w:rsidR="00923033" w:rsidRPr="003C53E8" w:rsidRDefault="00923033" w:rsidP="00923033">
            <w:pPr>
              <w:contextualSpacing/>
              <w:rPr>
                <w:rFonts w:eastAsiaTheme="minorHAnsi" w:cstheme="minorBidi"/>
                <w:color w:val="auto"/>
                <w:sz w:val="22"/>
                <w:szCs w:val="22"/>
              </w:rPr>
            </w:pPr>
            <w:r w:rsidRPr="003C53E8">
              <w:rPr>
                <w:rFonts w:eastAsia="Calibri" w:cs="Times New Roman"/>
                <w:color w:val="auto"/>
                <w:sz w:val="22"/>
                <w:szCs w:val="22"/>
              </w:rPr>
              <w:t>VA</w:t>
            </w:r>
            <w:r w:rsidR="00B83851">
              <w:rPr>
                <w:rFonts w:eastAsiaTheme="minorHAnsi" w:cstheme="minorBidi"/>
                <w:color w:val="auto"/>
                <w:sz w:val="22"/>
                <w:szCs w:val="22"/>
              </w:rPr>
              <w:t xml:space="preserve"> C&amp;P ~</w:t>
            </w:r>
            <w:r>
              <w:rPr>
                <w:rFonts w:eastAsiaTheme="minorHAnsi" w:cstheme="minorBidi"/>
                <w:color w:val="auto"/>
                <w:sz w:val="22"/>
                <w:szCs w:val="22"/>
              </w:rPr>
              <w:t>2</w:t>
            </w:r>
            <w:r w:rsidRPr="003C53E8">
              <w:rPr>
                <w:rFonts w:eastAsiaTheme="minorHAnsi" w:cstheme="minorBidi"/>
                <w:color w:val="auto"/>
                <w:sz w:val="22"/>
                <w:szCs w:val="22"/>
              </w:rPr>
              <w:t xml:space="preserve"> </w:t>
            </w:r>
            <w:r>
              <w:rPr>
                <w:rFonts w:eastAsiaTheme="minorHAnsi" w:cstheme="minorBidi"/>
                <w:color w:val="auto"/>
                <w:sz w:val="22"/>
                <w:szCs w:val="22"/>
              </w:rPr>
              <w:t>Mo.</w:t>
            </w:r>
            <w:r w:rsidR="00B83851">
              <w:rPr>
                <w:rFonts w:eastAsiaTheme="minorHAnsi" w:cstheme="minorBidi"/>
                <w:color w:val="auto"/>
                <w:sz w:val="22"/>
                <w:szCs w:val="22"/>
              </w:rPr>
              <w:t xml:space="preserve"> Post-</w:t>
            </w:r>
            <w:r w:rsidRPr="003C53E8">
              <w:rPr>
                <w:rFonts w:eastAsiaTheme="minorHAnsi" w:cstheme="minorBidi"/>
                <w:color w:val="auto"/>
                <w:sz w:val="22"/>
                <w:szCs w:val="22"/>
              </w:rPr>
              <w:t>Sep</w:t>
            </w:r>
          </w:p>
        </w:tc>
      </w:tr>
      <w:tr w:rsidR="00923033" w:rsidRPr="003C53E8" w:rsidTr="00B83851">
        <w:trPr>
          <w:jc w:val="center"/>
        </w:trPr>
        <w:tc>
          <w:tcPr>
            <w:tcW w:w="1890" w:type="dxa"/>
            <w:vMerge/>
            <w:shd w:val="clear" w:color="auto" w:fill="D9D9D9" w:themeFill="background1" w:themeFillShade="D9"/>
          </w:tcPr>
          <w:p w:rsidR="00923033" w:rsidRDefault="00923033" w:rsidP="003C53E8">
            <w:pPr>
              <w:contextualSpacing/>
              <w:rPr>
                <w:rFonts w:eastAsia="Calibri" w:cs="Times New Roman"/>
                <w:color w:val="auto"/>
                <w:sz w:val="22"/>
                <w:szCs w:val="22"/>
              </w:rPr>
            </w:pPr>
          </w:p>
        </w:tc>
        <w:tc>
          <w:tcPr>
            <w:tcW w:w="1395" w:type="dxa"/>
            <w:tcBorders>
              <w:right w:val="single" w:sz="4" w:space="0" w:color="auto"/>
            </w:tcBorders>
            <w:shd w:val="clear" w:color="auto" w:fill="D9D9D9" w:themeFill="background1" w:themeFillShade="D9"/>
          </w:tcPr>
          <w:p w:rsidR="00923033" w:rsidRPr="003C53E8" w:rsidRDefault="00923033" w:rsidP="00923033">
            <w:pPr>
              <w:contextualSpacing/>
              <w:rPr>
                <w:rFonts w:eastAsia="Calibri" w:cs="Times New Roman"/>
                <w:color w:val="auto"/>
                <w:sz w:val="22"/>
                <w:szCs w:val="22"/>
              </w:rPr>
            </w:pPr>
            <w:r>
              <w:rPr>
                <w:rFonts w:eastAsia="Calibri" w:cs="Times New Roman"/>
                <w:color w:val="auto"/>
                <w:sz w:val="22"/>
                <w:szCs w:val="22"/>
              </w:rPr>
              <w:t>Left</w:t>
            </w:r>
          </w:p>
        </w:tc>
        <w:tc>
          <w:tcPr>
            <w:tcW w:w="1395" w:type="dxa"/>
            <w:tcBorders>
              <w:left w:val="single" w:sz="4" w:space="0" w:color="auto"/>
            </w:tcBorders>
            <w:shd w:val="clear" w:color="auto" w:fill="D9D9D9" w:themeFill="background1" w:themeFillShade="D9"/>
          </w:tcPr>
          <w:p w:rsidR="00923033" w:rsidRPr="003C53E8" w:rsidRDefault="00923033" w:rsidP="00923033">
            <w:pPr>
              <w:contextualSpacing/>
              <w:rPr>
                <w:rFonts w:eastAsia="Calibri" w:cs="Times New Roman"/>
                <w:color w:val="auto"/>
                <w:sz w:val="22"/>
                <w:szCs w:val="22"/>
              </w:rPr>
            </w:pPr>
            <w:r>
              <w:rPr>
                <w:rFonts w:eastAsia="Calibri" w:cs="Times New Roman"/>
                <w:color w:val="auto"/>
                <w:sz w:val="22"/>
                <w:szCs w:val="22"/>
              </w:rPr>
              <w:t>Right</w:t>
            </w:r>
          </w:p>
        </w:tc>
        <w:tc>
          <w:tcPr>
            <w:tcW w:w="1215" w:type="dxa"/>
            <w:tcBorders>
              <w:right w:val="single" w:sz="4" w:space="0" w:color="auto"/>
            </w:tcBorders>
            <w:shd w:val="clear" w:color="auto" w:fill="D9D9D9" w:themeFill="background1" w:themeFillShade="D9"/>
          </w:tcPr>
          <w:p w:rsidR="00923033" w:rsidRPr="003C53E8" w:rsidRDefault="00923033" w:rsidP="000468B3">
            <w:pPr>
              <w:contextualSpacing/>
              <w:rPr>
                <w:rFonts w:eastAsia="Calibri" w:cs="Times New Roman"/>
                <w:color w:val="auto"/>
                <w:sz w:val="22"/>
                <w:szCs w:val="22"/>
              </w:rPr>
            </w:pPr>
            <w:r>
              <w:rPr>
                <w:rFonts w:eastAsia="Calibri" w:cs="Times New Roman"/>
                <w:color w:val="auto"/>
                <w:sz w:val="22"/>
                <w:szCs w:val="22"/>
              </w:rPr>
              <w:t>Left</w:t>
            </w:r>
          </w:p>
        </w:tc>
        <w:tc>
          <w:tcPr>
            <w:tcW w:w="1215" w:type="dxa"/>
            <w:tcBorders>
              <w:left w:val="single" w:sz="4" w:space="0" w:color="auto"/>
            </w:tcBorders>
            <w:shd w:val="clear" w:color="auto" w:fill="D9D9D9" w:themeFill="background1" w:themeFillShade="D9"/>
          </w:tcPr>
          <w:p w:rsidR="00923033" w:rsidRPr="003C53E8" w:rsidRDefault="00923033" w:rsidP="000468B3">
            <w:pPr>
              <w:contextualSpacing/>
              <w:rPr>
                <w:rFonts w:eastAsia="Calibri" w:cs="Times New Roman"/>
                <w:color w:val="auto"/>
                <w:sz w:val="22"/>
                <w:szCs w:val="22"/>
              </w:rPr>
            </w:pPr>
            <w:r>
              <w:rPr>
                <w:rFonts w:eastAsia="Calibri" w:cs="Times New Roman"/>
                <w:color w:val="auto"/>
                <w:sz w:val="22"/>
                <w:szCs w:val="22"/>
              </w:rPr>
              <w:t>Right</w:t>
            </w:r>
          </w:p>
        </w:tc>
      </w:tr>
      <w:tr w:rsidR="00923033" w:rsidRPr="003C53E8" w:rsidTr="00B83851">
        <w:trPr>
          <w:jc w:val="center"/>
        </w:trPr>
        <w:tc>
          <w:tcPr>
            <w:tcW w:w="1890" w:type="dxa"/>
          </w:tcPr>
          <w:p w:rsidR="00923033" w:rsidRPr="003C53E8" w:rsidRDefault="00923033" w:rsidP="00923033">
            <w:pPr>
              <w:contextualSpacing/>
              <w:rPr>
                <w:rFonts w:eastAsia="Calibri" w:cs="Times New Roman"/>
                <w:color w:val="auto"/>
                <w:sz w:val="22"/>
                <w:szCs w:val="22"/>
              </w:rPr>
            </w:pPr>
            <w:r w:rsidRPr="003C53E8">
              <w:rPr>
                <w:rFonts w:eastAsia="Calibri" w:cs="Times New Roman"/>
                <w:color w:val="auto"/>
                <w:sz w:val="22"/>
                <w:szCs w:val="22"/>
              </w:rPr>
              <w:t>Flexion 0-</w:t>
            </w:r>
            <w:r>
              <w:rPr>
                <w:rFonts w:eastAsia="Calibri" w:cs="Times New Roman"/>
                <w:color w:val="auto"/>
                <w:sz w:val="22"/>
                <w:szCs w:val="22"/>
              </w:rPr>
              <w:t>18</w:t>
            </w:r>
            <w:r w:rsidRPr="003C53E8">
              <w:rPr>
                <w:rFonts w:eastAsia="Calibri" w:cs="Times New Roman"/>
                <w:color w:val="auto"/>
                <w:sz w:val="22"/>
                <w:szCs w:val="22"/>
              </w:rPr>
              <w:t xml:space="preserve">0⁰ </w:t>
            </w:r>
          </w:p>
        </w:tc>
        <w:tc>
          <w:tcPr>
            <w:tcW w:w="1395" w:type="dxa"/>
            <w:tcBorders>
              <w:right w:val="single" w:sz="4" w:space="0" w:color="auto"/>
            </w:tcBorders>
            <w:vAlign w:val="center"/>
          </w:tcPr>
          <w:p w:rsidR="00923033" w:rsidRPr="00923033" w:rsidRDefault="00923033" w:rsidP="00923033">
            <w:pPr>
              <w:contextualSpacing/>
              <w:rPr>
                <w:rFonts w:eastAsia="Calibri" w:cs="Times New Roman"/>
                <w:color w:val="auto"/>
                <w:sz w:val="22"/>
                <w:szCs w:val="22"/>
              </w:rPr>
            </w:pPr>
            <w:r w:rsidRPr="00923033">
              <w:rPr>
                <w:rFonts w:eastAsia="Calibri" w:cs="Times New Roman"/>
                <w:color w:val="auto"/>
                <w:sz w:val="22"/>
                <w:szCs w:val="22"/>
              </w:rPr>
              <w:t>180⁰</w:t>
            </w:r>
          </w:p>
        </w:tc>
        <w:tc>
          <w:tcPr>
            <w:tcW w:w="1395" w:type="dxa"/>
            <w:tcBorders>
              <w:left w:val="single" w:sz="4" w:space="0" w:color="auto"/>
            </w:tcBorders>
            <w:vAlign w:val="center"/>
          </w:tcPr>
          <w:p w:rsidR="00923033" w:rsidRPr="00923033" w:rsidRDefault="00923033" w:rsidP="00923033">
            <w:pPr>
              <w:contextualSpacing/>
              <w:rPr>
                <w:rFonts w:eastAsia="Calibri" w:cs="Times New Roman"/>
                <w:color w:val="auto"/>
                <w:sz w:val="22"/>
                <w:szCs w:val="22"/>
              </w:rPr>
            </w:pPr>
            <w:r w:rsidRPr="00923033">
              <w:rPr>
                <w:rFonts w:eastAsia="Calibri" w:cs="Times New Roman"/>
                <w:color w:val="auto"/>
                <w:sz w:val="22"/>
                <w:szCs w:val="22"/>
              </w:rPr>
              <w:t>180⁰</w:t>
            </w:r>
          </w:p>
        </w:tc>
        <w:tc>
          <w:tcPr>
            <w:tcW w:w="1215" w:type="dxa"/>
            <w:tcBorders>
              <w:right w:val="single" w:sz="4" w:space="0" w:color="auto"/>
            </w:tcBorders>
            <w:vAlign w:val="center"/>
          </w:tcPr>
          <w:p w:rsidR="00923033" w:rsidRPr="00923033" w:rsidRDefault="00B1517C" w:rsidP="00923033">
            <w:pPr>
              <w:contextualSpacing/>
              <w:rPr>
                <w:rFonts w:eastAsia="Calibri" w:cs="Times New Roman"/>
                <w:color w:val="auto"/>
                <w:sz w:val="22"/>
                <w:szCs w:val="22"/>
              </w:rPr>
            </w:pPr>
            <w:r w:rsidRPr="00923033">
              <w:rPr>
                <w:rFonts w:eastAsia="Calibri" w:cs="Times New Roman"/>
                <w:color w:val="auto"/>
                <w:sz w:val="22"/>
                <w:szCs w:val="22"/>
              </w:rPr>
              <w:t>100⁰</w:t>
            </w:r>
          </w:p>
        </w:tc>
        <w:tc>
          <w:tcPr>
            <w:tcW w:w="1215" w:type="dxa"/>
            <w:tcBorders>
              <w:left w:val="single" w:sz="4" w:space="0" w:color="auto"/>
            </w:tcBorders>
            <w:vAlign w:val="center"/>
          </w:tcPr>
          <w:p w:rsidR="00923033" w:rsidRPr="00923033" w:rsidRDefault="00B1517C" w:rsidP="00923033">
            <w:pPr>
              <w:contextualSpacing/>
              <w:rPr>
                <w:rFonts w:eastAsia="Calibri" w:cs="Times New Roman"/>
                <w:color w:val="auto"/>
                <w:sz w:val="22"/>
                <w:szCs w:val="22"/>
              </w:rPr>
            </w:pPr>
            <w:r w:rsidRPr="00923033">
              <w:rPr>
                <w:rFonts w:eastAsia="Calibri" w:cs="Times New Roman"/>
                <w:color w:val="auto"/>
                <w:sz w:val="22"/>
                <w:szCs w:val="22"/>
              </w:rPr>
              <w:t>95⁰</w:t>
            </w:r>
          </w:p>
        </w:tc>
      </w:tr>
      <w:tr w:rsidR="00923033" w:rsidRPr="003C53E8" w:rsidTr="00B83851">
        <w:trPr>
          <w:jc w:val="center"/>
        </w:trPr>
        <w:tc>
          <w:tcPr>
            <w:tcW w:w="1890" w:type="dxa"/>
          </w:tcPr>
          <w:p w:rsidR="00923033" w:rsidRPr="003C53E8" w:rsidRDefault="00923033" w:rsidP="00923033">
            <w:pPr>
              <w:contextualSpacing/>
              <w:rPr>
                <w:rFonts w:eastAsia="Calibri" w:cs="Times New Roman"/>
                <w:color w:val="auto"/>
                <w:sz w:val="22"/>
                <w:szCs w:val="22"/>
              </w:rPr>
            </w:pPr>
            <w:r w:rsidRPr="00923033">
              <w:rPr>
                <w:rFonts w:eastAsia="Calibri" w:cs="Times New Roman"/>
                <w:color w:val="auto"/>
                <w:sz w:val="22"/>
                <w:szCs w:val="22"/>
              </w:rPr>
              <w:t xml:space="preserve">Abduction </w:t>
            </w:r>
            <w:r w:rsidRPr="003C53E8">
              <w:rPr>
                <w:rFonts w:eastAsia="Calibri" w:cs="Times New Roman"/>
                <w:color w:val="auto"/>
                <w:sz w:val="22"/>
                <w:szCs w:val="22"/>
              </w:rPr>
              <w:t>0-</w:t>
            </w:r>
            <w:r>
              <w:rPr>
                <w:rFonts w:eastAsia="Calibri" w:cs="Times New Roman"/>
                <w:color w:val="auto"/>
                <w:sz w:val="22"/>
                <w:szCs w:val="22"/>
              </w:rPr>
              <w:t>18</w:t>
            </w:r>
            <w:r w:rsidRPr="003C53E8">
              <w:rPr>
                <w:rFonts w:eastAsia="Calibri" w:cs="Times New Roman"/>
                <w:color w:val="auto"/>
                <w:sz w:val="22"/>
                <w:szCs w:val="22"/>
              </w:rPr>
              <w:t xml:space="preserve">0⁰ </w:t>
            </w:r>
          </w:p>
        </w:tc>
        <w:tc>
          <w:tcPr>
            <w:tcW w:w="1395" w:type="dxa"/>
            <w:tcBorders>
              <w:right w:val="single" w:sz="4" w:space="0" w:color="auto"/>
            </w:tcBorders>
            <w:vAlign w:val="center"/>
          </w:tcPr>
          <w:p w:rsidR="00923033" w:rsidRPr="00923033" w:rsidRDefault="00923033" w:rsidP="00923033">
            <w:pPr>
              <w:contextualSpacing/>
              <w:rPr>
                <w:rFonts w:eastAsia="Calibri" w:cs="Times New Roman"/>
                <w:color w:val="auto"/>
                <w:sz w:val="22"/>
                <w:szCs w:val="22"/>
              </w:rPr>
            </w:pPr>
            <w:r w:rsidRPr="00923033">
              <w:rPr>
                <w:rFonts w:eastAsia="Calibri" w:cs="Times New Roman"/>
                <w:color w:val="auto"/>
                <w:sz w:val="22"/>
                <w:szCs w:val="22"/>
              </w:rPr>
              <w:t>180⁰</w:t>
            </w:r>
          </w:p>
        </w:tc>
        <w:tc>
          <w:tcPr>
            <w:tcW w:w="1395" w:type="dxa"/>
            <w:tcBorders>
              <w:left w:val="single" w:sz="4" w:space="0" w:color="auto"/>
            </w:tcBorders>
            <w:vAlign w:val="center"/>
          </w:tcPr>
          <w:p w:rsidR="00923033" w:rsidRPr="00923033" w:rsidRDefault="00923033" w:rsidP="00923033">
            <w:pPr>
              <w:contextualSpacing/>
              <w:rPr>
                <w:rFonts w:eastAsia="Calibri" w:cs="Times New Roman"/>
                <w:color w:val="auto"/>
                <w:sz w:val="22"/>
                <w:szCs w:val="22"/>
              </w:rPr>
            </w:pPr>
            <w:r w:rsidRPr="00923033">
              <w:rPr>
                <w:rFonts w:eastAsia="Calibri" w:cs="Times New Roman"/>
                <w:color w:val="auto"/>
                <w:sz w:val="22"/>
                <w:szCs w:val="22"/>
              </w:rPr>
              <w:t>180⁰</w:t>
            </w:r>
          </w:p>
        </w:tc>
        <w:tc>
          <w:tcPr>
            <w:tcW w:w="1215" w:type="dxa"/>
            <w:tcBorders>
              <w:right w:val="single" w:sz="4" w:space="0" w:color="auto"/>
            </w:tcBorders>
            <w:vAlign w:val="center"/>
          </w:tcPr>
          <w:p w:rsidR="00923033" w:rsidRPr="00923033" w:rsidRDefault="00923033" w:rsidP="00B1517C">
            <w:pPr>
              <w:contextualSpacing/>
              <w:rPr>
                <w:rFonts w:eastAsia="Calibri" w:cs="Times New Roman"/>
                <w:color w:val="auto"/>
                <w:sz w:val="22"/>
                <w:szCs w:val="22"/>
              </w:rPr>
            </w:pPr>
            <w:r w:rsidRPr="00923033">
              <w:rPr>
                <w:rFonts w:eastAsia="Calibri" w:cs="Times New Roman"/>
                <w:color w:val="auto"/>
                <w:sz w:val="22"/>
                <w:szCs w:val="22"/>
              </w:rPr>
              <w:t>9</w:t>
            </w:r>
            <w:r w:rsidR="00B1517C">
              <w:rPr>
                <w:rFonts w:eastAsia="Calibri" w:cs="Times New Roman"/>
                <w:color w:val="auto"/>
                <w:sz w:val="22"/>
                <w:szCs w:val="22"/>
              </w:rPr>
              <w:t>5</w:t>
            </w:r>
            <w:r w:rsidRPr="00923033">
              <w:rPr>
                <w:rFonts w:eastAsia="Calibri" w:cs="Times New Roman"/>
                <w:color w:val="auto"/>
                <w:sz w:val="22"/>
                <w:szCs w:val="22"/>
              </w:rPr>
              <w:t>⁰</w:t>
            </w:r>
          </w:p>
        </w:tc>
        <w:tc>
          <w:tcPr>
            <w:tcW w:w="1215" w:type="dxa"/>
            <w:tcBorders>
              <w:left w:val="single" w:sz="4" w:space="0" w:color="auto"/>
            </w:tcBorders>
            <w:vAlign w:val="center"/>
          </w:tcPr>
          <w:p w:rsidR="00923033" w:rsidRPr="00923033" w:rsidRDefault="00923033" w:rsidP="00B1517C">
            <w:pPr>
              <w:contextualSpacing/>
              <w:rPr>
                <w:rFonts w:eastAsia="Calibri" w:cs="Times New Roman"/>
                <w:color w:val="auto"/>
                <w:sz w:val="22"/>
                <w:szCs w:val="22"/>
              </w:rPr>
            </w:pPr>
            <w:r w:rsidRPr="00923033">
              <w:rPr>
                <w:rFonts w:eastAsia="Calibri" w:cs="Times New Roman"/>
                <w:color w:val="auto"/>
                <w:sz w:val="22"/>
                <w:szCs w:val="22"/>
              </w:rPr>
              <w:t>9</w:t>
            </w:r>
            <w:r w:rsidR="00B1517C">
              <w:rPr>
                <w:rFonts w:eastAsia="Calibri" w:cs="Times New Roman"/>
                <w:color w:val="auto"/>
                <w:sz w:val="22"/>
                <w:szCs w:val="22"/>
              </w:rPr>
              <w:t>0</w:t>
            </w:r>
            <w:r w:rsidRPr="00923033">
              <w:rPr>
                <w:rFonts w:eastAsia="Calibri" w:cs="Times New Roman"/>
                <w:color w:val="auto"/>
                <w:sz w:val="22"/>
                <w:szCs w:val="22"/>
              </w:rPr>
              <w:t>⁰</w:t>
            </w:r>
          </w:p>
        </w:tc>
      </w:tr>
      <w:tr w:rsidR="00B1517C" w:rsidRPr="003C53E8" w:rsidTr="00B83851">
        <w:trPr>
          <w:jc w:val="center"/>
        </w:trPr>
        <w:tc>
          <w:tcPr>
            <w:tcW w:w="1890" w:type="dxa"/>
          </w:tcPr>
          <w:p w:rsidR="00B1517C" w:rsidRPr="003C53E8" w:rsidRDefault="00B1517C" w:rsidP="003C53E8">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Comments</w:t>
            </w:r>
          </w:p>
        </w:tc>
        <w:tc>
          <w:tcPr>
            <w:tcW w:w="2790" w:type="dxa"/>
            <w:gridSpan w:val="2"/>
          </w:tcPr>
          <w:p w:rsidR="00B1517C" w:rsidRPr="003C53E8" w:rsidRDefault="00B1517C" w:rsidP="003C53E8">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Painless ROM; no instability</w:t>
            </w:r>
            <w:r w:rsidR="00B83851">
              <w:rPr>
                <w:rFonts w:asciiTheme="minorHAnsi" w:eastAsiaTheme="minorHAnsi" w:hAnsiTheme="minorHAnsi" w:cs="Times New Roman"/>
                <w:color w:val="auto"/>
                <w:sz w:val="22"/>
                <w:szCs w:val="22"/>
              </w:rPr>
              <w:t>.</w:t>
            </w:r>
          </w:p>
        </w:tc>
        <w:tc>
          <w:tcPr>
            <w:tcW w:w="2430" w:type="dxa"/>
            <w:gridSpan w:val="2"/>
          </w:tcPr>
          <w:p w:rsidR="00B1517C" w:rsidRPr="003C53E8" w:rsidRDefault="00B1517C" w:rsidP="003C53E8">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No instability noted</w:t>
            </w:r>
            <w:r w:rsidR="00B83851">
              <w:rPr>
                <w:rFonts w:asciiTheme="minorHAnsi" w:eastAsiaTheme="minorHAnsi" w:hAnsiTheme="minorHAnsi" w:cs="Times New Roman"/>
                <w:color w:val="auto"/>
                <w:sz w:val="22"/>
                <w:szCs w:val="22"/>
              </w:rPr>
              <w:t>.</w:t>
            </w:r>
          </w:p>
        </w:tc>
      </w:tr>
      <w:tr w:rsidR="00923033" w:rsidRPr="003C53E8" w:rsidTr="00B83851">
        <w:trPr>
          <w:trHeight w:val="70"/>
          <w:jc w:val="center"/>
        </w:trPr>
        <w:tc>
          <w:tcPr>
            <w:tcW w:w="1890" w:type="dxa"/>
          </w:tcPr>
          <w:p w:rsidR="00923033" w:rsidRPr="003C53E8" w:rsidRDefault="00923033" w:rsidP="003C53E8">
            <w:pPr>
              <w:tabs>
                <w:tab w:val="left" w:pos="288"/>
                <w:tab w:val="left" w:pos="4752"/>
              </w:tabs>
              <w:rPr>
                <w:rFonts w:asciiTheme="minorHAnsi" w:eastAsiaTheme="minorHAnsi" w:hAnsiTheme="minorHAnsi" w:cs="Times New Roman"/>
                <w:color w:val="auto"/>
                <w:sz w:val="22"/>
                <w:szCs w:val="22"/>
              </w:rPr>
            </w:pPr>
            <w:r w:rsidRPr="003C53E8">
              <w:rPr>
                <w:rFonts w:asciiTheme="minorHAnsi" w:eastAsiaTheme="minorHAnsi" w:hAnsiTheme="minorHAnsi" w:cs="Times New Roman"/>
                <w:color w:val="auto"/>
                <w:sz w:val="22"/>
                <w:szCs w:val="22"/>
              </w:rPr>
              <w:t>§4.71a Rating</w:t>
            </w:r>
          </w:p>
        </w:tc>
        <w:tc>
          <w:tcPr>
            <w:tcW w:w="1395" w:type="dxa"/>
            <w:tcBorders>
              <w:right w:val="single" w:sz="4" w:space="0" w:color="auto"/>
            </w:tcBorders>
          </w:tcPr>
          <w:p w:rsidR="00923033" w:rsidRPr="003C53E8" w:rsidRDefault="00386408" w:rsidP="00923033">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1</w:t>
            </w:r>
            <w:r w:rsidR="00923033">
              <w:rPr>
                <w:rFonts w:asciiTheme="minorHAnsi" w:eastAsiaTheme="minorHAnsi" w:hAnsiTheme="minorHAnsi" w:cs="Times New Roman"/>
                <w:color w:val="auto"/>
                <w:sz w:val="22"/>
                <w:szCs w:val="22"/>
              </w:rPr>
              <w:t>0</w:t>
            </w:r>
            <w:r w:rsidR="00923033" w:rsidRPr="003C53E8">
              <w:rPr>
                <w:rFonts w:asciiTheme="minorHAnsi" w:eastAsiaTheme="minorHAnsi" w:hAnsiTheme="minorHAnsi" w:cs="Times New Roman"/>
                <w:color w:val="auto"/>
                <w:sz w:val="22"/>
                <w:szCs w:val="22"/>
              </w:rPr>
              <w:t>%</w:t>
            </w:r>
            <w:r w:rsidR="00614914">
              <w:rPr>
                <w:rFonts w:asciiTheme="minorHAnsi" w:eastAsiaTheme="minorHAnsi" w:hAnsiTheme="minorHAnsi" w:cs="Times New Roman"/>
                <w:color w:val="auto"/>
                <w:sz w:val="22"/>
                <w:szCs w:val="22"/>
              </w:rPr>
              <w:t>*</w:t>
            </w:r>
          </w:p>
        </w:tc>
        <w:tc>
          <w:tcPr>
            <w:tcW w:w="1395" w:type="dxa"/>
            <w:tcBorders>
              <w:left w:val="single" w:sz="4" w:space="0" w:color="auto"/>
            </w:tcBorders>
          </w:tcPr>
          <w:p w:rsidR="00923033" w:rsidRPr="003C53E8" w:rsidRDefault="00386408" w:rsidP="003C53E8">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1</w:t>
            </w:r>
            <w:r w:rsidR="00923033">
              <w:rPr>
                <w:rFonts w:asciiTheme="minorHAnsi" w:eastAsiaTheme="minorHAnsi" w:hAnsiTheme="minorHAnsi" w:cs="Times New Roman"/>
                <w:color w:val="auto"/>
                <w:sz w:val="22"/>
                <w:szCs w:val="22"/>
              </w:rPr>
              <w:t>0</w:t>
            </w:r>
            <w:r w:rsidR="00923033" w:rsidRPr="003C53E8">
              <w:rPr>
                <w:rFonts w:asciiTheme="minorHAnsi" w:eastAsiaTheme="minorHAnsi" w:hAnsiTheme="minorHAnsi" w:cs="Times New Roman"/>
                <w:color w:val="auto"/>
                <w:sz w:val="22"/>
                <w:szCs w:val="22"/>
              </w:rPr>
              <w:t>%</w:t>
            </w:r>
            <w:r w:rsidR="00614914">
              <w:rPr>
                <w:rFonts w:asciiTheme="minorHAnsi" w:eastAsiaTheme="minorHAnsi" w:hAnsiTheme="minorHAnsi" w:cs="Times New Roman"/>
                <w:color w:val="auto"/>
                <w:sz w:val="22"/>
                <w:szCs w:val="22"/>
              </w:rPr>
              <w:t>*</w:t>
            </w:r>
          </w:p>
        </w:tc>
        <w:tc>
          <w:tcPr>
            <w:tcW w:w="1215" w:type="dxa"/>
            <w:tcBorders>
              <w:right w:val="single" w:sz="4" w:space="0" w:color="auto"/>
            </w:tcBorders>
          </w:tcPr>
          <w:p w:rsidR="00923033" w:rsidRPr="003C53E8" w:rsidRDefault="00386408" w:rsidP="00923033">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1</w:t>
            </w:r>
            <w:r w:rsidR="00923033">
              <w:rPr>
                <w:rFonts w:asciiTheme="minorHAnsi" w:eastAsiaTheme="minorHAnsi" w:hAnsiTheme="minorHAnsi" w:cs="Times New Roman"/>
                <w:color w:val="auto"/>
                <w:sz w:val="22"/>
                <w:szCs w:val="22"/>
              </w:rPr>
              <w:t>0</w:t>
            </w:r>
            <w:r w:rsidR="00923033" w:rsidRPr="003C53E8">
              <w:rPr>
                <w:rFonts w:asciiTheme="minorHAnsi" w:eastAsiaTheme="minorHAnsi" w:hAnsiTheme="minorHAnsi" w:cs="Times New Roman"/>
                <w:color w:val="auto"/>
                <w:sz w:val="22"/>
                <w:szCs w:val="22"/>
              </w:rPr>
              <w:t>%</w:t>
            </w:r>
            <w:r>
              <w:rPr>
                <w:rFonts w:asciiTheme="minorHAnsi" w:eastAsiaTheme="minorHAnsi" w:hAnsiTheme="minorHAnsi" w:cs="Times New Roman"/>
                <w:color w:val="auto"/>
                <w:sz w:val="22"/>
                <w:szCs w:val="22"/>
              </w:rPr>
              <w:t>*</w:t>
            </w:r>
          </w:p>
        </w:tc>
        <w:tc>
          <w:tcPr>
            <w:tcW w:w="1215" w:type="dxa"/>
            <w:tcBorders>
              <w:left w:val="single" w:sz="4" w:space="0" w:color="auto"/>
            </w:tcBorders>
          </w:tcPr>
          <w:p w:rsidR="00923033" w:rsidRPr="003C53E8" w:rsidRDefault="00B1517C" w:rsidP="003C53E8">
            <w:pPr>
              <w:tabs>
                <w:tab w:val="left" w:pos="288"/>
                <w:tab w:val="left" w:pos="4752"/>
              </w:tabs>
              <w:rPr>
                <w:rFonts w:asciiTheme="minorHAnsi" w:eastAsiaTheme="minorHAnsi" w:hAnsiTheme="minorHAnsi" w:cs="Times New Roman"/>
                <w:color w:val="auto"/>
                <w:sz w:val="22"/>
                <w:szCs w:val="22"/>
              </w:rPr>
            </w:pPr>
            <w:r>
              <w:rPr>
                <w:rFonts w:asciiTheme="minorHAnsi" w:eastAsiaTheme="minorHAnsi" w:hAnsiTheme="minorHAnsi" w:cs="Times New Roman"/>
                <w:color w:val="auto"/>
                <w:sz w:val="22"/>
                <w:szCs w:val="22"/>
              </w:rPr>
              <w:t>2</w:t>
            </w:r>
            <w:r w:rsidR="00923033">
              <w:rPr>
                <w:rFonts w:asciiTheme="minorHAnsi" w:eastAsiaTheme="minorHAnsi" w:hAnsiTheme="minorHAnsi" w:cs="Times New Roman"/>
                <w:color w:val="auto"/>
                <w:sz w:val="22"/>
                <w:szCs w:val="22"/>
              </w:rPr>
              <w:t>0</w:t>
            </w:r>
            <w:r w:rsidR="00923033" w:rsidRPr="003C53E8">
              <w:rPr>
                <w:rFonts w:asciiTheme="minorHAnsi" w:eastAsiaTheme="minorHAnsi" w:hAnsiTheme="minorHAnsi" w:cs="Times New Roman"/>
                <w:color w:val="auto"/>
                <w:sz w:val="22"/>
                <w:szCs w:val="22"/>
              </w:rPr>
              <w:t>%</w:t>
            </w:r>
          </w:p>
        </w:tc>
      </w:tr>
    </w:tbl>
    <w:p w:rsidR="00614914" w:rsidRPr="00614914" w:rsidRDefault="00614914" w:rsidP="00614914">
      <w:pPr>
        <w:tabs>
          <w:tab w:val="left" w:pos="3060"/>
          <w:tab w:val="left" w:pos="4752"/>
        </w:tabs>
        <w:jc w:val="left"/>
        <w:rPr>
          <w:rFonts w:asciiTheme="minorHAnsi" w:hAnsiTheme="minorHAnsi" w:cs="Times New Roman"/>
          <w:color w:val="auto"/>
          <w:sz w:val="20"/>
          <w:szCs w:val="24"/>
        </w:rPr>
      </w:pPr>
      <w:r w:rsidRPr="00614914">
        <w:rPr>
          <w:rFonts w:asciiTheme="minorHAnsi" w:hAnsiTheme="minorHAnsi" w:cs="Times New Roman"/>
          <w:color w:val="auto"/>
          <w:sz w:val="20"/>
          <w:szCs w:val="24"/>
        </w:rPr>
        <w:tab/>
      </w:r>
      <w:r>
        <w:rPr>
          <w:rFonts w:asciiTheme="minorHAnsi" w:hAnsiTheme="minorHAnsi" w:cs="Times New Roman"/>
          <w:color w:val="auto"/>
          <w:sz w:val="20"/>
          <w:szCs w:val="24"/>
        </w:rPr>
        <w:t xml:space="preserve">                 </w:t>
      </w:r>
      <w:r w:rsidRPr="00614914">
        <w:rPr>
          <w:rFonts w:asciiTheme="minorHAnsi" w:hAnsiTheme="minorHAnsi" w:cs="Times New Roman"/>
          <w:color w:val="auto"/>
          <w:sz w:val="20"/>
          <w:szCs w:val="24"/>
        </w:rPr>
        <w:t xml:space="preserve">  </w:t>
      </w:r>
      <w:r w:rsidR="00386408">
        <w:rPr>
          <w:rFonts w:asciiTheme="minorHAnsi" w:hAnsiTheme="minorHAnsi" w:cs="Times New Roman"/>
          <w:color w:val="auto"/>
          <w:sz w:val="20"/>
          <w:szCs w:val="24"/>
        </w:rPr>
        <w:t xml:space="preserve">                </w:t>
      </w:r>
      <w:r w:rsidRPr="00614914">
        <w:rPr>
          <w:rFonts w:asciiTheme="minorHAnsi" w:hAnsiTheme="minorHAnsi" w:cs="Times New Roman"/>
          <w:color w:val="auto"/>
          <w:sz w:val="20"/>
          <w:szCs w:val="24"/>
        </w:rPr>
        <w:t>* Conceding §4.</w:t>
      </w:r>
      <w:r>
        <w:rPr>
          <w:rFonts w:asciiTheme="minorHAnsi" w:hAnsiTheme="minorHAnsi" w:cs="Times New Roman"/>
          <w:color w:val="auto"/>
          <w:sz w:val="20"/>
          <w:szCs w:val="24"/>
        </w:rPr>
        <w:t>40</w:t>
      </w:r>
      <w:r w:rsidRPr="00614914">
        <w:rPr>
          <w:rFonts w:asciiTheme="minorHAnsi" w:hAnsiTheme="minorHAnsi" w:cs="Times New Roman"/>
          <w:color w:val="auto"/>
          <w:sz w:val="20"/>
          <w:szCs w:val="24"/>
        </w:rPr>
        <w:t xml:space="preserve"> (</w:t>
      </w:r>
      <w:r>
        <w:rPr>
          <w:rFonts w:asciiTheme="minorHAnsi" w:hAnsiTheme="minorHAnsi" w:cs="Times New Roman"/>
          <w:color w:val="auto"/>
          <w:sz w:val="20"/>
          <w:szCs w:val="24"/>
        </w:rPr>
        <w:t>functional loss</w:t>
      </w:r>
      <w:r w:rsidRPr="00614914">
        <w:rPr>
          <w:rFonts w:asciiTheme="minorHAnsi" w:hAnsiTheme="minorHAnsi" w:cs="Times New Roman"/>
          <w:color w:val="auto"/>
          <w:sz w:val="20"/>
          <w:szCs w:val="24"/>
        </w:rPr>
        <w:t>) as below.</w:t>
      </w:r>
    </w:p>
    <w:p w:rsidR="003C53E8" w:rsidRPr="003C53E8" w:rsidRDefault="003C53E8" w:rsidP="003C53E8">
      <w:pPr>
        <w:tabs>
          <w:tab w:val="left" w:pos="288"/>
          <w:tab w:val="left" w:pos="4752"/>
        </w:tabs>
        <w:jc w:val="left"/>
        <w:rPr>
          <w:rFonts w:asciiTheme="minorHAnsi" w:hAnsiTheme="minorHAnsi" w:cs="Times New Roman"/>
          <w:color w:val="auto"/>
          <w:szCs w:val="24"/>
        </w:rPr>
      </w:pPr>
    </w:p>
    <w:p w:rsidR="003C53E8" w:rsidRDefault="00D115E7" w:rsidP="00FB204B">
      <w:pPr>
        <w:tabs>
          <w:tab w:val="left" w:pos="288"/>
          <w:tab w:val="left" w:pos="4752"/>
        </w:tabs>
        <w:jc w:val="both"/>
        <w:rPr>
          <w:rFonts w:asciiTheme="minorHAnsi" w:hAnsiTheme="minorHAnsi" w:cs="Times New Roman"/>
          <w:color w:val="auto"/>
          <w:szCs w:val="24"/>
        </w:rPr>
      </w:pPr>
      <w:r>
        <w:rPr>
          <w:color w:val="000000" w:themeColor="text1"/>
          <w:szCs w:val="24"/>
        </w:rPr>
        <w:t>The MEB examiner noted a “painless full fluid arc of motion bilaterally</w:t>
      </w:r>
      <w:r w:rsidR="00164A9F">
        <w:rPr>
          <w:color w:val="000000" w:themeColor="text1"/>
          <w:szCs w:val="24"/>
        </w:rPr>
        <w:t>;</w:t>
      </w:r>
      <w:r>
        <w:rPr>
          <w:color w:val="000000" w:themeColor="text1"/>
          <w:szCs w:val="24"/>
        </w:rPr>
        <w:t>”</w:t>
      </w:r>
      <w:r w:rsidR="00B721E8">
        <w:rPr>
          <w:color w:val="000000" w:themeColor="text1"/>
          <w:szCs w:val="24"/>
        </w:rPr>
        <w:t xml:space="preserve"> although, some limitation of i</w:t>
      </w:r>
      <w:r>
        <w:rPr>
          <w:color w:val="000000" w:themeColor="text1"/>
          <w:szCs w:val="24"/>
        </w:rPr>
        <w:t xml:space="preserve">nternal rotation </w:t>
      </w:r>
      <w:r w:rsidR="00B721E8">
        <w:rPr>
          <w:color w:val="000000" w:themeColor="text1"/>
          <w:szCs w:val="24"/>
        </w:rPr>
        <w:t xml:space="preserve">(left worse than right) was documented.  </w:t>
      </w:r>
      <w:r>
        <w:rPr>
          <w:color w:val="000000" w:themeColor="text1"/>
          <w:szCs w:val="24"/>
        </w:rPr>
        <w:t xml:space="preserve">Tests for subluxation, instability and impingement were negative.  The motor exam was normal in both upper extremities </w:t>
      </w:r>
      <w:r w:rsidR="00B721E8">
        <w:rPr>
          <w:color w:val="000000" w:themeColor="text1"/>
          <w:szCs w:val="24"/>
        </w:rPr>
        <w:t>for all muscle groups; sensation and reflexes were</w:t>
      </w:r>
      <w:r>
        <w:rPr>
          <w:color w:val="000000" w:themeColor="text1"/>
          <w:szCs w:val="24"/>
        </w:rPr>
        <w:t xml:space="preserve"> </w:t>
      </w:r>
      <w:r w:rsidR="00B721E8">
        <w:rPr>
          <w:color w:val="000000" w:themeColor="text1"/>
          <w:szCs w:val="24"/>
        </w:rPr>
        <w:t>intact</w:t>
      </w:r>
      <w:r>
        <w:rPr>
          <w:color w:val="000000" w:themeColor="text1"/>
          <w:szCs w:val="24"/>
        </w:rPr>
        <w:t xml:space="preserve">.  </w:t>
      </w:r>
      <w:r w:rsidR="001816BA">
        <w:rPr>
          <w:color w:val="000000" w:themeColor="text1"/>
          <w:szCs w:val="24"/>
        </w:rPr>
        <w:t xml:space="preserve">Numerous orthopedic clinic notes over the previous several months had recorded similar exam findings.  </w:t>
      </w:r>
      <w:r>
        <w:rPr>
          <w:color w:val="000000" w:themeColor="text1"/>
          <w:szCs w:val="24"/>
        </w:rPr>
        <w:t xml:space="preserve">At the </w:t>
      </w:r>
      <w:r w:rsidR="00386408">
        <w:rPr>
          <w:color w:val="000000" w:themeColor="text1"/>
          <w:szCs w:val="24"/>
        </w:rPr>
        <w:t xml:space="preserve">post-separation </w:t>
      </w:r>
      <w:r w:rsidR="003C53E8" w:rsidRPr="003C53E8">
        <w:rPr>
          <w:rFonts w:asciiTheme="minorHAnsi" w:hAnsiTheme="minorHAnsi" w:cs="Times New Roman"/>
          <w:color w:val="auto"/>
          <w:szCs w:val="24"/>
        </w:rPr>
        <w:t xml:space="preserve">VA Compensation &amp; Pension (C&amp;P) </w:t>
      </w:r>
      <w:r w:rsidR="00386408">
        <w:rPr>
          <w:rFonts w:asciiTheme="minorHAnsi" w:hAnsiTheme="minorHAnsi" w:cs="Times New Roman"/>
          <w:color w:val="auto"/>
          <w:szCs w:val="24"/>
        </w:rPr>
        <w:t xml:space="preserve">examination </w:t>
      </w:r>
      <w:r>
        <w:rPr>
          <w:rFonts w:asciiTheme="minorHAnsi" w:hAnsiTheme="minorHAnsi" w:cs="Times New Roman"/>
          <w:color w:val="auto"/>
          <w:szCs w:val="24"/>
        </w:rPr>
        <w:t xml:space="preserve">the CI reported no interval history of additional trauma, injury or surgery.  </w:t>
      </w:r>
      <w:r w:rsidR="00386408">
        <w:rPr>
          <w:rFonts w:asciiTheme="minorHAnsi" w:hAnsiTheme="minorHAnsi" w:cs="Times New Roman"/>
          <w:color w:val="auto"/>
          <w:szCs w:val="24"/>
        </w:rPr>
        <w:t xml:space="preserve">He </w:t>
      </w:r>
      <w:r w:rsidR="001816BA">
        <w:rPr>
          <w:rFonts w:asciiTheme="minorHAnsi" w:hAnsiTheme="minorHAnsi" w:cs="Times New Roman"/>
          <w:color w:val="auto"/>
          <w:szCs w:val="24"/>
        </w:rPr>
        <w:t>report</w:t>
      </w:r>
      <w:r w:rsidR="00386408">
        <w:rPr>
          <w:rFonts w:asciiTheme="minorHAnsi" w:hAnsiTheme="minorHAnsi" w:cs="Times New Roman"/>
          <w:color w:val="auto"/>
          <w:szCs w:val="24"/>
        </w:rPr>
        <w:t>ed</w:t>
      </w:r>
      <w:r w:rsidR="001816BA">
        <w:rPr>
          <w:rFonts w:asciiTheme="minorHAnsi" w:hAnsiTheme="minorHAnsi" w:cs="Times New Roman"/>
          <w:color w:val="auto"/>
          <w:szCs w:val="24"/>
        </w:rPr>
        <w:t xml:space="preserve"> having pain in his shoulders at his civilian job when lifting or carrying pipe or working overhead.</w:t>
      </w:r>
      <w:r w:rsidR="00D40A54">
        <w:rPr>
          <w:rFonts w:asciiTheme="minorHAnsi" w:hAnsiTheme="minorHAnsi" w:cs="Times New Roman"/>
          <w:color w:val="auto"/>
          <w:szCs w:val="24"/>
        </w:rPr>
        <w:t xml:space="preserve">  On examination the ROM was noted to be </w:t>
      </w:r>
      <w:r w:rsidR="00386408">
        <w:rPr>
          <w:rFonts w:asciiTheme="minorHAnsi" w:hAnsiTheme="minorHAnsi" w:cs="Times New Roman"/>
          <w:color w:val="auto"/>
          <w:szCs w:val="24"/>
        </w:rPr>
        <w:t>significantly</w:t>
      </w:r>
      <w:r w:rsidR="00D40A54">
        <w:rPr>
          <w:rFonts w:asciiTheme="minorHAnsi" w:hAnsiTheme="minorHAnsi" w:cs="Times New Roman"/>
          <w:color w:val="auto"/>
          <w:szCs w:val="24"/>
        </w:rPr>
        <w:t xml:space="preserve"> restricted</w:t>
      </w:r>
      <w:r w:rsidR="00386408">
        <w:rPr>
          <w:rFonts w:asciiTheme="minorHAnsi" w:hAnsiTheme="minorHAnsi" w:cs="Times New Roman"/>
          <w:color w:val="auto"/>
          <w:szCs w:val="24"/>
        </w:rPr>
        <w:t xml:space="preserve"> compared to the </w:t>
      </w:r>
      <w:r w:rsidR="00164A9F">
        <w:rPr>
          <w:rFonts w:asciiTheme="minorHAnsi" w:hAnsiTheme="minorHAnsi" w:cs="Times New Roman"/>
          <w:color w:val="auto"/>
          <w:szCs w:val="24"/>
        </w:rPr>
        <w:t>s</w:t>
      </w:r>
      <w:r w:rsidR="00386408">
        <w:rPr>
          <w:rFonts w:asciiTheme="minorHAnsi" w:hAnsiTheme="minorHAnsi" w:cs="Times New Roman"/>
          <w:color w:val="auto"/>
          <w:szCs w:val="24"/>
        </w:rPr>
        <w:t>ervice exam</w:t>
      </w:r>
      <w:r w:rsidR="00D40A54">
        <w:rPr>
          <w:rFonts w:asciiTheme="minorHAnsi" w:hAnsiTheme="minorHAnsi" w:cs="Times New Roman"/>
          <w:color w:val="auto"/>
          <w:szCs w:val="24"/>
        </w:rPr>
        <w:t xml:space="preserve">, with no comment on painful motion.  Conversely, the examiner stated that the CI “can put his arms behind his head,” suggesting a significantly greater ROM than </w:t>
      </w:r>
      <w:r w:rsidR="00386408">
        <w:rPr>
          <w:rFonts w:asciiTheme="minorHAnsi" w:hAnsiTheme="minorHAnsi" w:cs="Times New Roman"/>
          <w:color w:val="auto"/>
          <w:szCs w:val="24"/>
        </w:rPr>
        <w:t>reflected by the</w:t>
      </w:r>
      <w:r w:rsidR="00D40A54">
        <w:rPr>
          <w:rFonts w:asciiTheme="minorHAnsi" w:hAnsiTheme="minorHAnsi" w:cs="Times New Roman"/>
          <w:color w:val="auto"/>
          <w:szCs w:val="24"/>
        </w:rPr>
        <w:t xml:space="preserve"> recorded</w:t>
      </w:r>
      <w:r w:rsidR="00386408">
        <w:rPr>
          <w:rFonts w:asciiTheme="minorHAnsi" w:hAnsiTheme="minorHAnsi" w:cs="Times New Roman"/>
          <w:color w:val="auto"/>
          <w:szCs w:val="24"/>
        </w:rPr>
        <w:t xml:space="preserve"> measurements</w:t>
      </w:r>
      <w:r w:rsidR="00D40A54">
        <w:rPr>
          <w:rFonts w:asciiTheme="minorHAnsi" w:hAnsiTheme="minorHAnsi" w:cs="Times New Roman"/>
          <w:color w:val="auto"/>
          <w:szCs w:val="24"/>
        </w:rPr>
        <w:t xml:space="preserve">.  </w:t>
      </w:r>
      <w:r w:rsidR="00FB204B">
        <w:rPr>
          <w:rFonts w:asciiTheme="minorHAnsi" w:hAnsiTheme="minorHAnsi" w:cs="Times New Roman"/>
          <w:color w:val="auto"/>
          <w:szCs w:val="24"/>
        </w:rPr>
        <w:t xml:space="preserve">There was tenderness </w:t>
      </w:r>
      <w:r w:rsidR="00D40A54" w:rsidRPr="00D40A54">
        <w:rPr>
          <w:rFonts w:asciiTheme="minorHAnsi" w:hAnsiTheme="minorHAnsi" w:cs="Times New Roman"/>
          <w:color w:val="auto"/>
          <w:szCs w:val="24"/>
        </w:rPr>
        <w:t>over the acromioclavicular joint</w:t>
      </w:r>
      <w:r w:rsidR="00386408">
        <w:rPr>
          <w:rFonts w:asciiTheme="minorHAnsi" w:hAnsiTheme="minorHAnsi" w:cs="Times New Roman"/>
          <w:color w:val="auto"/>
          <w:szCs w:val="24"/>
        </w:rPr>
        <w:t>s</w:t>
      </w:r>
      <w:r w:rsidR="00D40A54" w:rsidRPr="00D40A54">
        <w:rPr>
          <w:rFonts w:asciiTheme="minorHAnsi" w:hAnsiTheme="minorHAnsi" w:cs="Times New Roman"/>
          <w:color w:val="auto"/>
          <w:szCs w:val="24"/>
        </w:rPr>
        <w:t xml:space="preserve"> and th</w:t>
      </w:r>
      <w:r w:rsidR="00FB204B">
        <w:rPr>
          <w:rFonts w:asciiTheme="minorHAnsi" w:hAnsiTheme="minorHAnsi" w:cs="Times New Roman"/>
          <w:color w:val="auto"/>
          <w:szCs w:val="24"/>
        </w:rPr>
        <w:t>e supraspinatus</w:t>
      </w:r>
      <w:r w:rsidR="00D40A54" w:rsidRPr="00D40A54">
        <w:rPr>
          <w:rFonts w:asciiTheme="minorHAnsi" w:hAnsiTheme="minorHAnsi" w:cs="Times New Roman"/>
          <w:color w:val="auto"/>
          <w:szCs w:val="24"/>
        </w:rPr>
        <w:t xml:space="preserve"> and</w:t>
      </w:r>
      <w:r w:rsidR="00FB204B">
        <w:rPr>
          <w:rFonts w:asciiTheme="minorHAnsi" w:hAnsiTheme="minorHAnsi" w:cs="Times New Roman"/>
          <w:color w:val="auto"/>
          <w:szCs w:val="24"/>
        </w:rPr>
        <w:t xml:space="preserve"> </w:t>
      </w:r>
      <w:r w:rsidR="00D40A54" w:rsidRPr="00D40A54">
        <w:rPr>
          <w:rFonts w:asciiTheme="minorHAnsi" w:hAnsiTheme="minorHAnsi" w:cs="Times New Roman"/>
          <w:color w:val="auto"/>
          <w:szCs w:val="24"/>
        </w:rPr>
        <w:t>infraspinatus muscles.</w:t>
      </w:r>
      <w:r w:rsidR="00FB204B">
        <w:rPr>
          <w:rFonts w:asciiTheme="minorHAnsi" w:hAnsiTheme="minorHAnsi" w:cs="Times New Roman"/>
          <w:color w:val="auto"/>
          <w:szCs w:val="24"/>
        </w:rPr>
        <w:t xml:space="preserve">  There was </w:t>
      </w:r>
      <w:r w:rsidR="00FB204B">
        <w:rPr>
          <w:rFonts w:asciiTheme="minorHAnsi" w:hAnsiTheme="minorHAnsi" w:cs="Times New Roman"/>
          <w:color w:val="auto"/>
          <w:szCs w:val="24"/>
        </w:rPr>
        <w:lastRenderedPageBreak/>
        <w:t>normal and symmetrical muscl</w:t>
      </w:r>
      <w:r w:rsidR="00386408">
        <w:rPr>
          <w:rFonts w:asciiTheme="minorHAnsi" w:hAnsiTheme="minorHAnsi" w:cs="Times New Roman"/>
          <w:color w:val="auto"/>
          <w:szCs w:val="24"/>
        </w:rPr>
        <w:t>e bulk in the upper extremities;</w:t>
      </w:r>
      <w:r w:rsidR="00FB204B">
        <w:rPr>
          <w:rFonts w:asciiTheme="minorHAnsi" w:hAnsiTheme="minorHAnsi" w:cs="Times New Roman"/>
          <w:color w:val="auto"/>
          <w:szCs w:val="24"/>
        </w:rPr>
        <w:t xml:space="preserve"> but</w:t>
      </w:r>
      <w:r w:rsidR="00386408">
        <w:rPr>
          <w:rFonts w:asciiTheme="minorHAnsi" w:hAnsiTheme="minorHAnsi" w:cs="Times New Roman"/>
          <w:color w:val="auto"/>
          <w:szCs w:val="24"/>
        </w:rPr>
        <w:t>,</w:t>
      </w:r>
      <w:r w:rsidR="00FB204B">
        <w:rPr>
          <w:rFonts w:asciiTheme="minorHAnsi" w:hAnsiTheme="minorHAnsi" w:cs="Times New Roman"/>
          <w:color w:val="auto"/>
          <w:szCs w:val="24"/>
        </w:rPr>
        <w:t xml:space="preserve"> motor strength was reported as 3/5 or worse (m</w:t>
      </w:r>
      <w:r w:rsidR="00FB204B" w:rsidRPr="00FB204B">
        <w:rPr>
          <w:rFonts w:asciiTheme="minorHAnsi" w:hAnsiTheme="minorHAnsi" w:cs="Times New Roman"/>
          <w:color w:val="auto"/>
          <w:szCs w:val="24"/>
        </w:rPr>
        <w:t>ovement against gravity, but not against added resistance</w:t>
      </w:r>
      <w:r w:rsidR="00FB204B">
        <w:rPr>
          <w:rFonts w:asciiTheme="minorHAnsi" w:hAnsiTheme="minorHAnsi" w:cs="Times New Roman"/>
          <w:color w:val="auto"/>
          <w:szCs w:val="24"/>
        </w:rPr>
        <w:t>)</w:t>
      </w:r>
      <w:r w:rsidR="00386408">
        <w:rPr>
          <w:rFonts w:asciiTheme="minorHAnsi" w:hAnsiTheme="minorHAnsi" w:cs="Times New Roman"/>
          <w:color w:val="auto"/>
          <w:szCs w:val="24"/>
        </w:rPr>
        <w:t>,</w:t>
      </w:r>
      <w:r w:rsidR="00FB204B">
        <w:rPr>
          <w:rFonts w:asciiTheme="minorHAnsi" w:hAnsiTheme="minorHAnsi" w:cs="Times New Roman"/>
          <w:color w:val="auto"/>
          <w:szCs w:val="24"/>
        </w:rPr>
        <w:t xml:space="preserve"> </w:t>
      </w:r>
      <w:r w:rsidR="00386408">
        <w:rPr>
          <w:rFonts w:asciiTheme="minorHAnsi" w:hAnsiTheme="minorHAnsi" w:cs="Times New Roman"/>
          <w:color w:val="auto"/>
          <w:szCs w:val="24"/>
        </w:rPr>
        <w:t xml:space="preserve">in conflict with </w:t>
      </w:r>
      <w:r w:rsidR="00FB204B">
        <w:rPr>
          <w:rFonts w:asciiTheme="minorHAnsi" w:hAnsiTheme="minorHAnsi" w:cs="Times New Roman"/>
          <w:color w:val="auto"/>
          <w:szCs w:val="24"/>
        </w:rPr>
        <w:t xml:space="preserve">active ROM and negative resistance </w:t>
      </w:r>
      <w:r w:rsidR="00386408">
        <w:rPr>
          <w:rFonts w:asciiTheme="minorHAnsi" w:hAnsiTheme="minorHAnsi" w:cs="Times New Roman"/>
          <w:color w:val="auto"/>
          <w:szCs w:val="24"/>
        </w:rPr>
        <w:t>findings</w:t>
      </w:r>
      <w:r w:rsidR="00FB204B">
        <w:rPr>
          <w:rFonts w:asciiTheme="minorHAnsi" w:hAnsiTheme="minorHAnsi" w:cs="Times New Roman"/>
          <w:color w:val="auto"/>
          <w:szCs w:val="24"/>
        </w:rPr>
        <w:t xml:space="preserve"> </w:t>
      </w:r>
      <w:r w:rsidR="00386408">
        <w:rPr>
          <w:rFonts w:asciiTheme="minorHAnsi" w:hAnsiTheme="minorHAnsi" w:cs="Times New Roman"/>
          <w:color w:val="auto"/>
          <w:szCs w:val="24"/>
        </w:rPr>
        <w:t xml:space="preserve">already </w:t>
      </w:r>
      <w:r w:rsidR="00FB204B">
        <w:rPr>
          <w:rFonts w:asciiTheme="minorHAnsi" w:hAnsiTheme="minorHAnsi" w:cs="Times New Roman"/>
          <w:color w:val="auto"/>
          <w:szCs w:val="24"/>
        </w:rPr>
        <w:t>recorded</w:t>
      </w:r>
      <w:r w:rsidR="00386408">
        <w:rPr>
          <w:rFonts w:asciiTheme="minorHAnsi" w:hAnsiTheme="minorHAnsi" w:cs="Times New Roman"/>
          <w:color w:val="auto"/>
          <w:szCs w:val="24"/>
        </w:rPr>
        <w:t xml:space="preserve"> by the examiner</w:t>
      </w:r>
      <w:r w:rsidR="00FB204B">
        <w:rPr>
          <w:rFonts w:asciiTheme="minorHAnsi" w:hAnsiTheme="minorHAnsi" w:cs="Times New Roman"/>
          <w:color w:val="auto"/>
          <w:szCs w:val="24"/>
        </w:rPr>
        <w:t>.</w:t>
      </w:r>
      <w:r w:rsidR="003E3707">
        <w:rPr>
          <w:rFonts w:asciiTheme="minorHAnsi" w:hAnsiTheme="minorHAnsi" w:cs="Times New Roman"/>
          <w:color w:val="auto"/>
          <w:szCs w:val="24"/>
        </w:rPr>
        <w:t xml:space="preserve">  Additionally, the </w:t>
      </w:r>
      <w:r w:rsidR="00164A9F">
        <w:rPr>
          <w:rFonts w:asciiTheme="minorHAnsi" w:hAnsiTheme="minorHAnsi" w:cs="Times New Roman"/>
          <w:color w:val="auto"/>
          <w:szCs w:val="24"/>
        </w:rPr>
        <w:t>a</w:t>
      </w:r>
      <w:r w:rsidR="003E3707">
        <w:rPr>
          <w:rFonts w:asciiTheme="minorHAnsi" w:hAnsiTheme="minorHAnsi" w:cs="Times New Roman"/>
          <w:color w:val="auto"/>
          <w:szCs w:val="24"/>
        </w:rPr>
        <w:t xml:space="preserve">ction </w:t>
      </w:r>
      <w:r w:rsidR="00164A9F">
        <w:rPr>
          <w:rFonts w:asciiTheme="minorHAnsi" w:hAnsiTheme="minorHAnsi" w:cs="Times New Roman"/>
          <w:color w:val="auto"/>
          <w:szCs w:val="24"/>
        </w:rPr>
        <w:t>o</w:t>
      </w:r>
      <w:r w:rsidR="003E3707">
        <w:rPr>
          <w:rFonts w:asciiTheme="minorHAnsi" w:hAnsiTheme="minorHAnsi" w:cs="Times New Roman"/>
          <w:color w:val="auto"/>
          <w:szCs w:val="24"/>
        </w:rPr>
        <w:t>fficer opines that there is no identified peripheral nerve insult or other neurologic pathology associated with the case which would provide an etiology for objective loss of motor strength to the degree reported in this exam.</w:t>
      </w:r>
    </w:p>
    <w:p w:rsidR="00D40A54" w:rsidRPr="003C53E8" w:rsidRDefault="00D40A54" w:rsidP="003C53E8">
      <w:pPr>
        <w:tabs>
          <w:tab w:val="left" w:pos="288"/>
          <w:tab w:val="left" w:pos="4752"/>
        </w:tabs>
        <w:jc w:val="left"/>
        <w:rPr>
          <w:rFonts w:asciiTheme="minorHAnsi" w:hAnsiTheme="minorHAnsi" w:cs="Times New Roman"/>
          <w:color w:val="auto"/>
          <w:szCs w:val="24"/>
        </w:rPr>
      </w:pPr>
    </w:p>
    <w:p w:rsidR="00D40A54" w:rsidRPr="003C53E8" w:rsidRDefault="00D40A54" w:rsidP="00FB204B">
      <w:pPr>
        <w:jc w:val="both"/>
        <w:rPr>
          <w:rFonts w:asciiTheme="minorHAnsi" w:hAnsiTheme="minorHAnsi" w:cs="Times New Roman"/>
          <w:color w:val="auto"/>
          <w:szCs w:val="24"/>
        </w:rPr>
      </w:pPr>
      <w:r w:rsidRPr="003C53E8">
        <w:rPr>
          <w:rFonts w:asciiTheme="minorHAnsi" w:hAnsiTheme="minorHAnsi" w:cs="Times New Roman"/>
          <w:color w:val="auto"/>
          <w:szCs w:val="24"/>
        </w:rPr>
        <w:t xml:space="preserve">It is obvious that there is a clear disparity between these examinations, with very significant implications regarding the Board's rating recommendation. The Board thus carefully reviewed the </w:t>
      </w:r>
      <w:r w:rsidR="00164A9F">
        <w:rPr>
          <w:rFonts w:asciiTheme="minorHAnsi" w:hAnsiTheme="minorHAnsi" w:cs="Times New Roman"/>
          <w:color w:val="auto"/>
          <w:szCs w:val="24"/>
        </w:rPr>
        <w:t>s</w:t>
      </w:r>
      <w:r w:rsidRPr="003C53E8">
        <w:rPr>
          <w:rFonts w:asciiTheme="minorHAnsi" w:hAnsiTheme="minorHAnsi" w:cs="Times New Roman"/>
          <w:color w:val="auto"/>
          <w:szCs w:val="24"/>
        </w:rPr>
        <w:t>ervice file for c</w:t>
      </w:r>
      <w:r w:rsidR="00C47062">
        <w:rPr>
          <w:rFonts w:asciiTheme="minorHAnsi" w:hAnsiTheme="minorHAnsi" w:cs="Times New Roman"/>
          <w:color w:val="auto"/>
          <w:szCs w:val="24"/>
        </w:rPr>
        <w:t>orroborating evidence in the 12-</w:t>
      </w:r>
      <w:r w:rsidRPr="003C53E8">
        <w:rPr>
          <w:rFonts w:asciiTheme="minorHAnsi" w:hAnsiTheme="minorHAnsi" w:cs="Times New Roman"/>
          <w:color w:val="auto"/>
          <w:szCs w:val="24"/>
        </w:rPr>
        <w:t>month period prior to separation.</w:t>
      </w:r>
      <w:r>
        <w:rPr>
          <w:rFonts w:asciiTheme="minorHAnsi" w:hAnsiTheme="minorHAnsi" w:cs="Times New Roman"/>
          <w:color w:val="auto"/>
          <w:szCs w:val="24"/>
        </w:rPr>
        <w:t xml:space="preserve">  </w:t>
      </w:r>
      <w:r w:rsidRPr="00DC1607">
        <w:rPr>
          <w:rFonts w:asciiTheme="minorHAnsi" w:eastAsiaTheme="minorHAnsi" w:hAnsiTheme="minorHAnsi" w:cstheme="minorBidi"/>
          <w:color w:val="auto"/>
          <w:szCs w:val="24"/>
        </w:rPr>
        <w:t xml:space="preserve">In assigning probative value to these conflicting examinations, the Board notes that: (1) the MEB measurements are consistent with corroborating evidence; (2) the MEB measurements are consistent with the other collateral physical findings; (3) the MEB measurements are consistent with the diagnostic and clinical pathology in evidence; (4) there is not a reasonable accounting for progressively impaired ROM in the fairly short interval between the MEB and VA examinations; </w:t>
      </w:r>
      <w:r>
        <w:rPr>
          <w:rFonts w:asciiTheme="minorHAnsi" w:eastAsiaTheme="minorHAnsi" w:hAnsiTheme="minorHAnsi" w:cstheme="minorBidi"/>
          <w:color w:val="auto"/>
          <w:szCs w:val="24"/>
        </w:rPr>
        <w:t xml:space="preserve">(5) the VA exam showed considerable internal inconsistency; </w:t>
      </w:r>
      <w:r w:rsidRPr="00DC1607">
        <w:rPr>
          <w:rFonts w:asciiTheme="minorHAnsi" w:eastAsiaTheme="minorHAnsi" w:hAnsiTheme="minorHAnsi" w:cstheme="minorBidi"/>
          <w:color w:val="auto"/>
          <w:szCs w:val="24"/>
        </w:rPr>
        <w:t>and, (</w:t>
      </w:r>
      <w:r>
        <w:rPr>
          <w:rFonts w:asciiTheme="minorHAnsi" w:eastAsiaTheme="minorHAnsi" w:hAnsiTheme="minorHAnsi" w:cstheme="minorBidi"/>
          <w:color w:val="auto"/>
          <w:szCs w:val="24"/>
        </w:rPr>
        <w:t>6</w:t>
      </w:r>
      <w:r w:rsidRPr="00DC1607">
        <w:rPr>
          <w:rFonts w:asciiTheme="minorHAnsi" w:eastAsiaTheme="minorHAnsi" w:hAnsiTheme="minorHAnsi" w:cstheme="minorBidi"/>
          <w:color w:val="auto"/>
          <w:szCs w:val="24"/>
        </w:rPr>
        <w:t>) VA rating evaluations based on ROM rely on subjective pain thresholds which are patently associated with financial incentive, thus inherently subject to some loss of objectivity. Therefore, based on all evidence and associated conclusions just elaborated, the Board is assigning preponderant probative value to the MEB evaluation.</w:t>
      </w:r>
    </w:p>
    <w:p w:rsidR="001816BA" w:rsidRDefault="001816BA" w:rsidP="003C53E8">
      <w:pPr>
        <w:tabs>
          <w:tab w:val="left" w:pos="288"/>
          <w:tab w:val="left" w:pos="4752"/>
        </w:tabs>
        <w:jc w:val="left"/>
        <w:rPr>
          <w:rFonts w:asciiTheme="minorHAnsi" w:hAnsiTheme="minorHAnsi" w:cs="Times New Roman"/>
          <w:color w:val="auto"/>
          <w:szCs w:val="24"/>
        </w:rPr>
      </w:pPr>
    </w:p>
    <w:p w:rsidR="00710DFE" w:rsidRDefault="00FB204B" w:rsidP="005026B9">
      <w:pPr>
        <w:jc w:val="both"/>
        <w:rPr>
          <w:rFonts w:asciiTheme="minorHAnsi" w:hAnsiTheme="minorHAnsi" w:cs="Times New Roman"/>
          <w:color w:val="auto"/>
          <w:szCs w:val="24"/>
        </w:rPr>
      </w:pPr>
      <w:r w:rsidRPr="006A689D">
        <w:rPr>
          <w:rFonts w:asciiTheme="minorHAnsi" w:hAnsiTheme="minorHAnsi" w:cs="Times New Roman"/>
          <w:color w:val="auto"/>
          <w:szCs w:val="24"/>
        </w:rPr>
        <w:t>The B</w:t>
      </w:r>
      <w:r>
        <w:rPr>
          <w:rFonts w:asciiTheme="minorHAnsi" w:hAnsiTheme="minorHAnsi" w:cs="Times New Roman"/>
          <w:color w:val="auto"/>
          <w:szCs w:val="24"/>
        </w:rPr>
        <w:t>oard first considered the unfitting</w:t>
      </w:r>
      <w:r w:rsidRPr="00164A9F">
        <w:rPr>
          <w:rFonts w:asciiTheme="minorHAnsi" w:hAnsiTheme="minorHAnsi" w:cs="Times New Roman"/>
          <w:color w:val="auto"/>
          <w:szCs w:val="24"/>
        </w:rPr>
        <w:t xml:space="preserve"> left</w:t>
      </w:r>
      <w:r>
        <w:rPr>
          <w:rFonts w:asciiTheme="minorHAnsi" w:hAnsiTheme="minorHAnsi" w:cs="Times New Roman"/>
          <w:color w:val="auto"/>
          <w:szCs w:val="24"/>
        </w:rPr>
        <w:t xml:space="preserve"> shoulder condition.  </w:t>
      </w:r>
      <w:r w:rsidR="003C53E8" w:rsidRPr="003C53E8">
        <w:rPr>
          <w:rFonts w:asciiTheme="minorHAnsi" w:hAnsiTheme="minorHAnsi" w:cs="Times New Roman"/>
          <w:color w:val="auto"/>
          <w:szCs w:val="24"/>
        </w:rPr>
        <w:t>The PEB and VA chose different coding options for the condition</w:t>
      </w:r>
      <w:r w:rsidR="004230AF">
        <w:rPr>
          <w:rFonts w:asciiTheme="minorHAnsi" w:hAnsiTheme="minorHAnsi" w:cs="Times New Roman"/>
          <w:color w:val="auto"/>
          <w:szCs w:val="24"/>
        </w:rPr>
        <w:t>.  The PEB</w:t>
      </w:r>
      <w:r w:rsidR="003C53E8" w:rsidRPr="006C4602">
        <w:rPr>
          <w:rFonts w:asciiTheme="minorHAnsi" w:hAnsiTheme="minorHAnsi" w:cs="Times New Roman"/>
          <w:color w:val="auto"/>
          <w:szCs w:val="24"/>
        </w:rPr>
        <w:t xml:space="preserve"> </w:t>
      </w:r>
      <w:r w:rsidR="004230AF">
        <w:rPr>
          <w:rFonts w:asciiTheme="minorHAnsi" w:hAnsiTheme="minorHAnsi" w:cs="Times New Roman"/>
          <w:color w:val="auto"/>
          <w:szCs w:val="24"/>
        </w:rPr>
        <w:t>coded</w:t>
      </w:r>
      <w:r w:rsidR="002C6AC6">
        <w:rPr>
          <w:rFonts w:asciiTheme="minorHAnsi" w:hAnsiTheme="minorHAnsi" w:cs="Times New Roman"/>
          <w:color w:val="auto"/>
          <w:szCs w:val="24"/>
        </w:rPr>
        <w:t xml:space="preserve"> analogous</w:t>
      </w:r>
      <w:r w:rsidR="004230AF">
        <w:rPr>
          <w:rFonts w:asciiTheme="minorHAnsi" w:hAnsiTheme="minorHAnsi" w:cs="Times New Roman"/>
          <w:color w:val="auto"/>
          <w:szCs w:val="24"/>
        </w:rPr>
        <w:t>ly to</w:t>
      </w:r>
      <w:r w:rsidR="002C6AC6">
        <w:rPr>
          <w:rFonts w:asciiTheme="minorHAnsi" w:hAnsiTheme="minorHAnsi" w:cs="Times New Roman"/>
          <w:color w:val="auto"/>
          <w:szCs w:val="24"/>
        </w:rPr>
        <w:t xml:space="preserve"> 5003 (degenerative arthritis)</w:t>
      </w:r>
      <w:r w:rsidR="004230AF">
        <w:rPr>
          <w:rFonts w:asciiTheme="minorHAnsi" w:hAnsiTheme="minorHAnsi" w:cs="Times New Roman"/>
          <w:color w:val="auto"/>
          <w:szCs w:val="24"/>
        </w:rPr>
        <w:t>;</w:t>
      </w:r>
      <w:r w:rsidR="002C6AC6">
        <w:rPr>
          <w:rFonts w:asciiTheme="minorHAnsi" w:hAnsiTheme="minorHAnsi" w:cs="Times New Roman"/>
          <w:color w:val="auto"/>
          <w:szCs w:val="24"/>
        </w:rPr>
        <w:t xml:space="preserve"> and</w:t>
      </w:r>
      <w:r w:rsidR="004230AF">
        <w:rPr>
          <w:rFonts w:asciiTheme="minorHAnsi" w:hAnsiTheme="minorHAnsi" w:cs="Times New Roman"/>
          <w:color w:val="auto"/>
          <w:szCs w:val="24"/>
        </w:rPr>
        <w:t>,</w:t>
      </w:r>
      <w:r w:rsidR="002C6AC6">
        <w:rPr>
          <w:rFonts w:asciiTheme="minorHAnsi" w:hAnsiTheme="minorHAnsi" w:cs="Times New Roman"/>
          <w:color w:val="auto"/>
          <w:szCs w:val="24"/>
        </w:rPr>
        <w:t xml:space="preserve"> </w:t>
      </w:r>
      <w:r w:rsidR="004230AF">
        <w:rPr>
          <w:rFonts w:asciiTheme="minorHAnsi" w:hAnsiTheme="minorHAnsi" w:cs="Times New Roman"/>
          <w:color w:val="auto"/>
          <w:szCs w:val="24"/>
        </w:rPr>
        <w:t xml:space="preserve">the </w:t>
      </w:r>
      <w:r w:rsidR="004230AF" w:rsidRPr="006C4602">
        <w:rPr>
          <w:rFonts w:asciiTheme="minorHAnsi" w:hAnsiTheme="minorHAnsi" w:cs="Times New Roman"/>
          <w:color w:val="auto"/>
          <w:szCs w:val="24"/>
        </w:rPr>
        <w:t xml:space="preserve">DA Form 199 </w:t>
      </w:r>
      <w:r w:rsidRPr="006C4602">
        <w:rPr>
          <w:rFonts w:asciiTheme="minorHAnsi" w:hAnsiTheme="minorHAnsi" w:cs="Times New Roman"/>
          <w:color w:val="auto"/>
          <w:szCs w:val="24"/>
        </w:rPr>
        <w:t>cited full range of motion and the absence of</w:t>
      </w:r>
      <w:r w:rsidR="006C4602" w:rsidRPr="006C4602">
        <w:rPr>
          <w:rFonts w:asciiTheme="minorHAnsi" w:hAnsiTheme="minorHAnsi" w:cs="Times New Roman"/>
          <w:color w:val="auto"/>
          <w:szCs w:val="24"/>
        </w:rPr>
        <w:t xml:space="preserve"> radiographic</w:t>
      </w:r>
      <w:r w:rsidRPr="006C4602">
        <w:rPr>
          <w:rFonts w:asciiTheme="minorHAnsi" w:hAnsiTheme="minorHAnsi" w:cs="Times New Roman"/>
          <w:color w:val="auto"/>
          <w:szCs w:val="24"/>
        </w:rPr>
        <w:t xml:space="preserve"> </w:t>
      </w:r>
      <w:r w:rsidR="006C4602" w:rsidRPr="006C4602">
        <w:rPr>
          <w:rFonts w:asciiTheme="minorHAnsi" w:hAnsiTheme="minorHAnsi" w:cs="Times New Roman"/>
          <w:color w:val="auto"/>
          <w:szCs w:val="24"/>
        </w:rPr>
        <w:t>evidence of degenerative changes</w:t>
      </w:r>
      <w:r w:rsidR="003C53E8" w:rsidRPr="006C4602">
        <w:rPr>
          <w:rFonts w:asciiTheme="minorHAnsi" w:hAnsiTheme="minorHAnsi" w:cs="Times New Roman"/>
          <w:color w:val="auto"/>
          <w:szCs w:val="24"/>
        </w:rPr>
        <w:t xml:space="preserve"> </w:t>
      </w:r>
      <w:r w:rsidR="006C4602" w:rsidRPr="006C4602">
        <w:rPr>
          <w:rFonts w:asciiTheme="minorHAnsi" w:hAnsiTheme="minorHAnsi" w:cs="Times New Roman"/>
          <w:color w:val="auto"/>
          <w:szCs w:val="24"/>
        </w:rPr>
        <w:t>in support of</w:t>
      </w:r>
      <w:r w:rsidR="002C6AC6">
        <w:rPr>
          <w:rFonts w:asciiTheme="minorHAnsi" w:hAnsiTheme="minorHAnsi" w:cs="Times New Roman"/>
          <w:color w:val="auto"/>
          <w:szCs w:val="24"/>
        </w:rPr>
        <w:t xml:space="preserve"> </w:t>
      </w:r>
      <w:r w:rsidR="004230AF">
        <w:rPr>
          <w:rFonts w:asciiTheme="minorHAnsi" w:hAnsiTheme="minorHAnsi" w:cs="Times New Roman"/>
          <w:color w:val="auto"/>
          <w:szCs w:val="24"/>
        </w:rPr>
        <w:t>a</w:t>
      </w:r>
      <w:r w:rsidR="002C6AC6">
        <w:rPr>
          <w:rFonts w:asciiTheme="minorHAnsi" w:hAnsiTheme="minorHAnsi" w:cs="Times New Roman"/>
          <w:color w:val="auto"/>
          <w:szCs w:val="24"/>
        </w:rPr>
        <w:t xml:space="preserve"> </w:t>
      </w:r>
      <w:r w:rsidR="003C53E8" w:rsidRPr="006C4602">
        <w:rPr>
          <w:rFonts w:asciiTheme="minorHAnsi" w:hAnsiTheme="minorHAnsi" w:cs="Times New Roman"/>
          <w:color w:val="auto"/>
          <w:szCs w:val="24"/>
        </w:rPr>
        <w:t xml:space="preserve">0% </w:t>
      </w:r>
      <w:r w:rsidR="006C4602" w:rsidRPr="006C4602">
        <w:rPr>
          <w:rFonts w:asciiTheme="minorHAnsi" w:hAnsiTheme="minorHAnsi" w:cs="Times New Roman"/>
          <w:color w:val="auto"/>
          <w:szCs w:val="24"/>
        </w:rPr>
        <w:t xml:space="preserve">rating </w:t>
      </w:r>
      <w:r w:rsidR="003C53E8" w:rsidRPr="006C4602">
        <w:rPr>
          <w:rFonts w:asciiTheme="minorHAnsi" w:hAnsiTheme="minorHAnsi" w:cs="Times New Roman"/>
          <w:color w:val="auto"/>
          <w:szCs w:val="24"/>
        </w:rPr>
        <w:t>determination</w:t>
      </w:r>
      <w:r w:rsidR="002C6AC6">
        <w:rPr>
          <w:rFonts w:asciiTheme="minorHAnsi" w:hAnsiTheme="minorHAnsi" w:cs="Times New Roman"/>
          <w:color w:val="auto"/>
          <w:szCs w:val="24"/>
        </w:rPr>
        <w:t>,</w:t>
      </w:r>
      <w:r w:rsidR="006C4602" w:rsidRPr="006C4602">
        <w:rPr>
          <w:rFonts w:asciiTheme="minorHAnsi" w:hAnsiTheme="minorHAnsi" w:cs="Times New Roman"/>
          <w:color w:val="auto"/>
          <w:szCs w:val="24"/>
        </w:rPr>
        <w:t xml:space="preserve"> which</w:t>
      </w:r>
      <w:r w:rsidR="003C53E8" w:rsidRPr="006C4602">
        <w:rPr>
          <w:rFonts w:asciiTheme="minorHAnsi" w:hAnsiTheme="minorHAnsi" w:cs="Times New Roman"/>
          <w:color w:val="auto"/>
          <w:szCs w:val="24"/>
        </w:rPr>
        <w:t xml:space="preserve"> </w:t>
      </w:r>
      <w:r w:rsidR="004230AF">
        <w:rPr>
          <w:rFonts w:asciiTheme="minorHAnsi" w:hAnsiTheme="minorHAnsi" w:cs="Times New Roman"/>
          <w:color w:val="auto"/>
          <w:szCs w:val="24"/>
        </w:rPr>
        <w:t>remains</w:t>
      </w:r>
      <w:r w:rsidR="003C53E8" w:rsidRPr="006C4602">
        <w:rPr>
          <w:rFonts w:asciiTheme="minorHAnsi" w:hAnsiTheme="minorHAnsi" w:cs="Times New Roman"/>
          <w:color w:val="auto"/>
          <w:szCs w:val="24"/>
        </w:rPr>
        <w:t xml:space="preserve"> consistent with §4.71a standards.</w:t>
      </w:r>
      <w:r w:rsidR="002C6AC6">
        <w:rPr>
          <w:rFonts w:asciiTheme="minorHAnsi" w:hAnsiTheme="minorHAnsi" w:cs="Times New Roman"/>
          <w:color w:val="auto"/>
          <w:szCs w:val="24"/>
        </w:rPr>
        <w:t xml:space="preserve">  The VA’s coding choice of 5201 (</w:t>
      </w:r>
      <w:r w:rsidR="00614914" w:rsidRPr="00614914">
        <w:rPr>
          <w:rFonts w:asciiTheme="minorHAnsi" w:hAnsiTheme="minorHAnsi" w:cs="Times New Roman"/>
          <w:color w:val="auto"/>
          <w:szCs w:val="24"/>
        </w:rPr>
        <w:t>limitation of motion</w:t>
      </w:r>
      <w:r w:rsidR="00614914">
        <w:rPr>
          <w:rFonts w:asciiTheme="minorHAnsi" w:hAnsiTheme="minorHAnsi" w:cs="Times New Roman"/>
          <w:color w:val="auto"/>
          <w:szCs w:val="24"/>
        </w:rPr>
        <w:t>) would also achieve a 0% rating based on the MEB data.  The Board deliberated whether the provisions of VASRD §4.40 (f</w:t>
      </w:r>
      <w:r w:rsidR="00614914" w:rsidRPr="00614914">
        <w:rPr>
          <w:rFonts w:asciiTheme="minorHAnsi" w:hAnsiTheme="minorHAnsi" w:cs="Times New Roman"/>
          <w:color w:val="auto"/>
          <w:szCs w:val="24"/>
        </w:rPr>
        <w:t>unctional loss</w:t>
      </w:r>
      <w:r w:rsidR="004230AF">
        <w:rPr>
          <w:rFonts w:asciiTheme="minorHAnsi" w:hAnsiTheme="minorHAnsi" w:cs="Times New Roman"/>
          <w:color w:val="auto"/>
          <w:szCs w:val="24"/>
        </w:rPr>
        <w:t>)</w:t>
      </w:r>
      <w:r w:rsidR="00614914">
        <w:rPr>
          <w:rFonts w:asciiTheme="minorHAnsi" w:hAnsiTheme="minorHAnsi" w:cs="Times New Roman"/>
          <w:color w:val="auto"/>
          <w:szCs w:val="24"/>
        </w:rPr>
        <w:t xml:space="preserve"> </w:t>
      </w:r>
      <w:r w:rsidR="004230AF">
        <w:rPr>
          <w:rFonts w:asciiTheme="minorHAnsi" w:hAnsiTheme="minorHAnsi" w:cs="Times New Roman"/>
          <w:color w:val="auto"/>
          <w:szCs w:val="24"/>
        </w:rPr>
        <w:t xml:space="preserve">would apply in this case, providing a pathway to a minimal compensable rating.  </w:t>
      </w:r>
      <w:r w:rsidR="00F77528">
        <w:rPr>
          <w:rFonts w:asciiTheme="minorHAnsi" w:hAnsiTheme="minorHAnsi" w:cs="Times New Roman"/>
          <w:color w:val="auto"/>
          <w:szCs w:val="24"/>
        </w:rPr>
        <w:t xml:space="preserve">The relevant language of </w:t>
      </w:r>
      <w:r w:rsidR="004230AF">
        <w:rPr>
          <w:rFonts w:asciiTheme="minorHAnsi" w:hAnsiTheme="minorHAnsi" w:cs="Times New Roman"/>
          <w:color w:val="auto"/>
          <w:szCs w:val="24"/>
        </w:rPr>
        <w:t xml:space="preserve">§4.40 </w:t>
      </w:r>
      <w:r w:rsidR="00F77528">
        <w:rPr>
          <w:rFonts w:asciiTheme="minorHAnsi" w:hAnsiTheme="minorHAnsi" w:cs="Times New Roman"/>
          <w:color w:val="auto"/>
          <w:szCs w:val="24"/>
        </w:rPr>
        <w:t>is,</w:t>
      </w:r>
      <w:r w:rsidR="00614914">
        <w:rPr>
          <w:rFonts w:asciiTheme="minorHAnsi" w:hAnsiTheme="minorHAnsi" w:cs="Times New Roman"/>
          <w:color w:val="auto"/>
          <w:szCs w:val="24"/>
        </w:rPr>
        <w:t xml:space="preserve"> “</w:t>
      </w:r>
      <w:r w:rsidR="00164A9F">
        <w:rPr>
          <w:rFonts w:asciiTheme="minorHAnsi" w:hAnsiTheme="minorHAnsi" w:cs="Times New Roman"/>
          <w:color w:val="auto"/>
          <w:szCs w:val="24"/>
        </w:rPr>
        <w:t>d</w:t>
      </w:r>
      <w:r w:rsidR="00614914" w:rsidRPr="00614914">
        <w:rPr>
          <w:rFonts w:asciiTheme="minorHAnsi" w:hAnsiTheme="minorHAnsi" w:cs="Times New Roman"/>
          <w:color w:val="auto"/>
          <w:szCs w:val="24"/>
        </w:rPr>
        <w:t>isability of the musculoskeletal system is primarily the inability, due to damage or</w:t>
      </w:r>
      <w:r w:rsidR="00614914">
        <w:rPr>
          <w:rFonts w:asciiTheme="minorHAnsi" w:hAnsiTheme="minorHAnsi" w:cs="Times New Roman"/>
          <w:color w:val="auto"/>
          <w:szCs w:val="24"/>
        </w:rPr>
        <w:t xml:space="preserve"> </w:t>
      </w:r>
      <w:r w:rsidR="00614914" w:rsidRPr="00614914">
        <w:rPr>
          <w:rFonts w:asciiTheme="minorHAnsi" w:hAnsiTheme="minorHAnsi" w:cs="Times New Roman"/>
          <w:color w:val="auto"/>
          <w:szCs w:val="24"/>
        </w:rPr>
        <w:t>infection in parts of the system, to perform the normal working movements of the body with</w:t>
      </w:r>
      <w:r w:rsidR="00614914">
        <w:rPr>
          <w:rFonts w:asciiTheme="minorHAnsi" w:hAnsiTheme="minorHAnsi" w:cs="Times New Roman"/>
          <w:color w:val="auto"/>
          <w:szCs w:val="24"/>
        </w:rPr>
        <w:t xml:space="preserve"> </w:t>
      </w:r>
      <w:r w:rsidR="00614914" w:rsidRPr="00614914">
        <w:rPr>
          <w:rFonts w:asciiTheme="minorHAnsi" w:hAnsiTheme="minorHAnsi" w:cs="Times New Roman"/>
          <w:color w:val="auto"/>
          <w:szCs w:val="24"/>
        </w:rPr>
        <w:t>normal excursion, strength, sp</w:t>
      </w:r>
      <w:r w:rsidR="00614914">
        <w:rPr>
          <w:rFonts w:asciiTheme="minorHAnsi" w:hAnsiTheme="minorHAnsi" w:cs="Times New Roman"/>
          <w:color w:val="auto"/>
          <w:szCs w:val="24"/>
        </w:rPr>
        <w:t>eed, coordination and endurance</w:t>
      </w:r>
      <w:r w:rsidR="00F77528">
        <w:rPr>
          <w:rFonts w:asciiTheme="minorHAnsi" w:hAnsiTheme="minorHAnsi" w:cs="Times New Roman"/>
          <w:color w:val="auto"/>
          <w:szCs w:val="24"/>
        </w:rPr>
        <w:t xml:space="preserve"> … </w:t>
      </w:r>
      <w:r w:rsidR="00614914" w:rsidRPr="00614914">
        <w:rPr>
          <w:rFonts w:asciiTheme="minorHAnsi" w:hAnsiTheme="minorHAnsi" w:cs="Times New Roman"/>
          <w:color w:val="auto"/>
          <w:szCs w:val="24"/>
        </w:rPr>
        <w:t>a part which becomes painful on</w:t>
      </w:r>
      <w:r w:rsidR="00614914">
        <w:rPr>
          <w:rFonts w:asciiTheme="minorHAnsi" w:hAnsiTheme="minorHAnsi" w:cs="Times New Roman"/>
          <w:color w:val="auto"/>
          <w:szCs w:val="24"/>
        </w:rPr>
        <w:t xml:space="preserve"> </w:t>
      </w:r>
      <w:r w:rsidR="00614914" w:rsidRPr="00614914">
        <w:rPr>
          <w:rFonts w:asciiTheme="minorHAnsi" w:hAnsiTheme="minorHAnsi" w:cs="Times New Roman"/>
          <w:color w:val="auto"/>
          <w:szCs w:val="24"/>
        </w:rPr>
        <w:t>use must be r</w:t>
      </w:r>
      <w:r w:rsidR="00614914">
        <w:rPr>
          <w:rFonts w:asciiTheme="minorHAnsi" w:hAnsiTheme="minorHAnsi" w:cs="Times New Roman"/>
          <w:color w:val="auto"/>
          <w:szCs w:val="24"/>
        </w:rPr>
        <w:t>egarded as seriously disabled</w:t>
      </w:r>
      <w:r w:rsidR="00F77528">
        <w:rPr>
          <w:rFonts w:asciiTheme="minorHAnsi" w:hAnsiTheme="minorHAnsi" w:cs="Times New Roman"/>
          <w:color w:val="auto"/>
          <w:szCs w:val="24"/>
        </w:rPr>
        <w:t>.</w:t>
      </w:r>
      <w:r w:rsidR="00614914">
        <w:rPr>
          <w:rFonts w:asciiTheme="minorHAnsi" w:hAnsiTheme="minorHAnsi" w:cs="Times New Roman"/>
          <w:color w:val="auto"/>
          <w:szCs w:val="24"/>
        </w:rPr>
        <w:t xml:space="preserve">” </w:t>
      </w:r>
      <w:r w:rsidR="00F77528">
        <w:rPr>
          <w:rFonts w:asciiTheme="minorHAnsi" w:hAnsiTheme="minorHAnsi" w:cs="Times New Roman"/>
          <w:color w:val="auto"/>
          <w:szCs w:val="24"/>
        </w:rPr>
        <w:t xml:space="preserve"> The Board </w:t>
      </w:r>
      <w:r w:rsidR="008B34F3">
        <w:rPr>
          <w:rFonts w:asciiTheme="minorHAnsi" w:hAnsiTheme="minorHAnsi" w:cs="Times New Roman"/>
          <w:color w:val="auto"/>
          <w:szCs w:val="24"/>
        </w:rPr>
        <w:t>notes in that regard the</w:t>
      </w:r>
      <w:r w:rsidR="00F77528">
        <w:rPr>
          <w:rFonts w:asciiTheme="minorHAnsi" w:hAnsiTheme="minorHAnsi" w:cs="Times New Roman"/>
          <w:color w:val="auto"/>
          <w:szCs w:val="24"/>
        </w:rPr>
        <w:t xml:space="preserve"> functional </w:t>
      </w:r>
      <w:r w:rsidR="008B34F3">
        <w:rPr>
          <w:rFonts w:asciiTheme="minorHAnsi" w:hAnsiTheme="minorHAnsi" w:cs="Times New Roman"/>
          <w:color w:val="auto"/>
          <w:szCs w:val="24"/>
        </w:rPr>
        <w:t>limitations</w:t>
      </w:r>
      <w:r w:rsidR="00F77528">
        <w:rPr>
          <w:rFonts w:asciiTheme="minorHAnsi" w:hAnsiTheme="minorHAnsi" w:cs="Times New Roman"/>
          <w:color w:val="auto"/>
          <w:szCs w:val="24"/>
        </w:rPr>
        <w:t xml:space="preserve"> which were</w:t>
      </w:r>
      <w:r w:rsidR="00614914">
        <w:rPr>
          <w:rFonts w:asciiTheme="minorHAnsi" w:hAnsiTheme="minorHAnsi" w:cs="Times New Roman"/>
          <w:color w:val="auto"/>
          <w:szCs w:val="24"/>
        </w:rPr>
        <w:t xml:space="preserve"> </w:t>
      </w:r>
      <w:r w:rsidR="00164A9F">
        <w:rPr>
          <w:rFonts w:asciiTheme="minorHAnsi" w:hAnsiTheme="minorHAnsi" w:cs="Times New Roman"/>
          <w:color w:val="auto"/>
          <w:szCs w:val="24"/>
        </w:rPr>
        <w:t>referenced in the c</w:t>
      </w:r>
      <w:r w:rsidR="00710DFE">
        <w:rPr>
          <w:rFonts w:asciiTheme="minorHAnsi" w:hAnsiTheme="minorHAnsi" w:cs="Times New Roman"/>
          <w:color w:val="auto"/>
          <w:szCs w:val="24"/>
        </w:rPr>
        <w:t>ommander’s statement</w:t>
      </w:r>
      <w:r w:rsidR="008B34F3">
        <w:rPr>
          <w:rFonts w:asciiTheme="minorHAnsi" w:hAnsiTheme="minorHAnsi" w:cs="Times New Roman"/>
          <w:color w:val="auto"/>
          <w:szCs w:val="24"/>
        </w:rPr>
        <w:t>,</w:t>
      </w:r>
      <w:r w:rsidR="00710DFE">
        <w:rPr>
          <w:rFonts w:asciiTheme="minorHAnsi" w:hAnsiTheme="minorHAnsi" w:cs="Times New Roman"/>
          <w:color w:val="auto"/>
          <w:szCs w:val="24"/>
        </w:rPr>
        <w:t xml:space="preserve"> </w:t>
      </w:r>
      <w:r w:rsidR="00F77528">
        <w:rPr>
          <w:rFonts w:asciiTheme="minorHAnsi" w:hAnsiTheme="minorHAnsi" w:cs="Times New Roman"/>
          <w:color w:val="auto"/>
          <w:szCs w:val="24"/>
        </w:rPr>
        <w:t xml:space="preserve">in the </w:t>
      </w:r>
      <w:r w:rsidR="00710DFE">
        <w:rPr>
          <w:rFonts w:asciiTheme="minorHAnsi" w:hAnsiTheme="minorHAnsi" w:cs="Times New Roman"/>
          <w:color w:val="auto"/>
          <w:szCs w:val="24"/>
        </w:rPr>
        <w:t xml:space="preserve">orthopedic </w:t>
      </w:r>
      <w:r w:rsidR="008B34F3">
        <w:rPr>
          <w:rFonts w:asciiTheme="minorHAnsi" w:hAnsiTheme="minorHAnsi" w:cs="Times New Roman"/>
          <w:color w:val="auto"/>
          <w:szCs w:val="24"/>
        </w:rPr>
        <w:t>specialty</w:t>
      </w:r>
      <w:r w:rsidR="00710DFE">
        <w:rPr>
          <w:rFonts w:asciiTheme="minorHAnsi" w:hAnsiTheme="minorHAnsi" w:cs="Times New Roman"/>
          <w:color w:val="auto"/>
          <w:szCs w:val="24"/>
        </w:rPr>
        <w:t xml:space="preserve"> opinion</w:t>
      </w:r>
      <w:r w:rsidR="008B34F3">
        <w:rPr>
          <w:rFonts w:asciiTheme="minorHAnsi" w:hAnsiTheme="minorHAnsi" w:cs="Times New Roman"/>
          <w:color w:val="auto"/>
          <w:szCs w:val="24"/>
        </w:rPr>
        <w:t>,</w:t>
      </w:r>
      <w:r w:rsidR="00710DFE">
        <w:rPr>
          <w:rFonts w:asciiTheme="minorHAnsi" w:hAnsiTheme="minorHAnsi" w:cs="Times New Roman"/>
          <w:color w:val="auto"/>
          <w:szCs w:val="24"/>
        </w:rPr>
        <w:t xml:space="preserve"> </w:t>
      </w:r>
      <w:r w:rsidR="008B34F3">
        <w:rPr>
          <w:rFonts w:asciiTheme="minorHAnsi" w:hAnsiTheme="minorHAnsi" w:cs="Times New Roman"/>
          <w:color w:val="auto"/>
          <w:szCs w:val="24"/>
        </w:rPr>
        <w:t>and in the MEB examination as elaborated above.  T</w:t>
      </w:r>
      <w:r w:rsidR="00710DFE">
        <w:rPr>
          <w:rFonts w:asciiTheme="minorHAnsi" w:hAnsiTheme="minorHAnsi" w:cs="Times New Roman"/>
          <w:color w:val="auto"/>
          <w:szCs w:val="24"/>
        </w:rPr>
        <w:t>he CI was incapable of p</w:t>
      </w:r>
      <w:r w:rsidR="00226219">
        <w:rPr>
          <w:rFonts w:asciiTheme="minorHAnsi" w:hAnsiTheme="minorHAnsi" w:cs="Times New Roman"/>
          <w:color w:val="auto"/>
          <w:szCs w:val="24"/>
        </w:rPr>
        <w:t>erforming the duties of his MOS;</w:t>
      </w:r>
      <w:r w:rsidR="00710DFE">
        <w:rPr>
          <w:rFonts w:asciiTheme="minorHAnsi" w:hAnsiTheme="minorHAnsi" w:cs="Times New Roman"/>
          <w:color w:val="auto"/>
          <w:szCs w:val="24"/>
        </w:rPr>
        <w:t xml:space="preserve"> </w:t>
      </w:r>
      <w:r w:rsidR="00226219">
        <w:rPr>
          <w:rFonts w:asciiTheme="minorHAnsi" w:hAnsiTheme="minorHAnsi" w:cs="Times New Roman"/>
          <w:color w:val="auto"/>
          <w:szCs w:val="24"/>
        </w:rPr>
        <w:t xml:space="preserve">had significant difficulties </w:t>
      </w:r>
      <w:r w:rsidR="00710DFE">
        <w:rPr>
          <w:rFonts w:asciiTheme="minorHAnsi" w:hAnsiTheme="minorHAnsi" w:cs="Times New Roman"/>
          <w:color w:val="auto"/>
          <w:szCs w:val="24"/>
        </w:rPr>
        <w:t>with lifti</w:t>
      </w:r>
      <w:r w:rsidR="00226219">
        <w:rPr>
          <w:rFonts w:asciiTheme="minorHAnsi" w:hAnsiTheme="minorHAnsi" w:cs="Times New Roman"/>
          <w:color w:val="auto"/>
          <w:szCs w:val="24"/>
        </w:rPr>
        <w:t>ng, carrying, and overhead work; and, experienced rapid joint fatigue and functional degradation with various repetitive or protracted activities.  The Board concluded that this evidence</w:t>
      </w:r>
      <w:r w:rsidR="00710DFE">
        <w:rPr>
          <w:rFonts w:asciiTheme="minorHAnsi" w:hAnsiTheme="minorHAnsi" w:cs="Times New Roman"/>
          <w:color w:val="auto"/>
          <w:szCs w:val="24"/>
        </w:rPr>
        <w:t xml:space="preserve"> provided ample reasonable doubt </w:t>
      </w:r>
      <w:r w:rsidR="00226219">
        <w:rPr>
          <w:rFonts w:asciiTheme="minorHAnsi" w:hAnsiTheme="minorHAnsi" w:cs="Times New Roman"/>
          <w:color w:val="auto"/>
          <w:szCs w:val="24"/>
        </w:rPr>
        <w:t>favoring application of §4.40 to achieve the minimal compensable rating for the left shoulder, based on the MEB findings</w:t>
      </w:r>
      <w:r w:rsidR="00430058">
        <w:rPr>
          <w:rFonts w:asciiTheme="minorHAnsi" w:hAnsiTheme="minorHAnsi" w:cs="Times New Roman"/>
          <w:color w:val="auto"/>
          <w:szCs w:val="24"/>
        </w:rPr>
        <w:t xml:space="preserve"> alone</w:t>
      </w:r>
      <w:r w:rsidR="00710DFE">
        <w:rPr>
          <w:rFonts w:asciiTheme="minorHAnsi" w:hAnsiTheme="minorHAnsi" w:cs="Times New Roman"/>
          <w:color w:val="auto"/>
          <w:szCs w:val="24"/>
        </w:rPr>
        <w:t xml:space="preserve">.  </w:t>
      </w:r>
      <w:r w:rsidR="003C53E8" w:rsidRPr="003C53E8">
        <w:rPr>
          <w:rFonts w:eastAsiaTheme="minorHAnsi" w:cstheme="minorBidi"/>
          <w:color w:val="auto"/>
          <w:szCs w:val="24"/>
        </w:rPr>
        <w:t xml:space="preserve">There was no clinical and/or radiologic evidence that suggested ankylosis, loss of the humeral head, nonunion, malunion, fibrous union, deformity, nonunion or dislocation of the scapula, or recurrent dislocations of the humerus that would have justified any alternate shoulder code with higher rating potential.  </w:t>
      </w:r>
      <w:r w:rsidR="00710DFE" w:rsidRPr="003C53E8">
        <w:rPr>
          <w:rFonts w:asciiTheme="minorHAnsi" w:hAnsiTheme="minorHAnsi" w:cs="Times New Roman"/>
          <w:color w:val="auto"/>
          <w:szCs w:val="24"/>
        </w:rPr>
        <w:t xml:space="preserve">After due deliberation, considering all of the evidence, the Board recommends a separation rating of </w:t>
      </w:r>
      <w:r w:rsidR="00710DFE">
        <w:rPr>
          <w:rFonts w:asciiTheme="minorHAnsi" w:hAnsiTheme="minorHAnsi" w:cs="Times New Roman"/>
          <w:color w:val="auto"/>
          <w:szCs w:val="24"/>
        </w:rPr>
        <w:t>1</w:t>
      </w:r>
      <w:r w:rsidR="00710DFE" w:rsidRPr="003C53E8">
        <w:rPr>
          <w:rFonts w:asciiTheme="minorHAnsi" w:hAnsiTheme="minorHAnsi" w:cs="Times New Roman"/>
          <w:color w:val="auto"/>
          <w:szCs w:val="24"/>
        </w:rPr>
        <w:t xml:space="preserve">0% for the </w:t>
      </w:r>
      <w:r w:rsidR="00710DFE">
        <w:rPr>
          <w:rFonts w:asciiTheme="minorHAnsi" w:hAnsiTheme="minorHAnsi" w:cs="Times New Roman"/>
          <w:color w:val="auto"/>
          <w:szCs w:val="24"/>
        </w:rPr>
        <w:t>left shoulder</w:t>
      </w:r>
      <w:r w:rsidR="00710DFE" w:rsidRPr="003C53E8">
        <w:rPr>
          <w:rFonts w:asciiTheme="minorHAnsi" w:hAnsiTheme="minorHAnsi" w:cs="Times New Roman"/>
          <w:color w:val="auto"/>
          <w:szCs w:val="24"/>
        </w:rPr>
        <w:t xml:space="preserve"> condition</w:t>
      </w:r>
      <w:r w:rsidR="00430058">
        <w:rPr>
          <w:rFonts w:asciiTheme="minorHAnsi" w:hAnsiTheme="minorHAnsi" w:cs="Times New Roman"/>
          <w:color w:val="auto"/>
          <w:szCs w:val="24"/>
        </w:rPr>
        <w:t xml:space="preserve">.  The </w:t>
      </w:r>
      <w:r w:rsidR="00164A9F">
        <w:rPr>
          <w:rFonts w:asciiTheme="minorHAnsi" w:hAnsiTheme="minorHAnsi" w:cs="Times New Roman"/>
          <w:color w:val="auto"/>
          <w:szCs w:val="24"/>
        </w:rPr>
        <w:t>a</w:t>
      </w:r>
      <w:r w:rsidR="00430058">
        <w:rPr>
          <w:rFonts w:asciiTheme="minorHAnsi" w:hAnsiTheme="minorHAnsi" w:cs="Times New Roman"/>
          <w:color w:val="auto"/>
          <w:szCs w:val="24"/>
        </w:rPr>
        <w:t xml:space="preserve">ction </w:t>
      </w:r>
      <w:r w:rsidR="00164A9F">
        <w:rPr>
          <w:rFonts w:asciiTheme="minorHAnsi" w:hAnsiTheme="minorHAnsi" w:cs="Times New Roman"/>
          <w:color w:val="auto"/>
          <w:szCs w:val="24"/>
        </w:rPr>
        <w:t>o</w:t>
      </w:r>
      <w:r w:rsidR="00430058">
        <w:rPr>
          <w:rFonts w:asciiTheme="minorHAnsi" w:hAnsiTheme="minorHAnsi" w:cs="Times New Roman"/>
          <w:color w:val="auto"/>
          <w:szCs w:val="24"/>
        </w:rPr>
        <w:t>fficer recommends the code</w:t>
      </w:r>
      <w:r w:rsidR="00710DFE">
        <w:rPr>
          <w:rFonts w:asciiTheme="minorHAnsi" w:hAnsiTheme="minorHAnsi" w:cs="Times New Roman"/>
          <w:color w:val="auto"/>
          <w:szCs w:val="24"/>
        </w:rPr>
        <w:t xml:space="preserve"> </w:t>
      </w:r>
      <w:r w:rsidR="00430058">
        <w:rPr>
          <w:rFonts w:asciiTheme="minorHAnsi" w:hAnsiTheme="minorHAnsi" w:cs="Times New Roman"/>
          <w:color w:val="auto"/>
          <w:szCs w:val="24"/>
        </w:rPr>
        <w:t>5099-</w:t>
      </w:r>
      <w:r w:rsidR="00710DFE">
        <w:rPr>
          <w:rFonts w:asciiTheme="minorHAnsi" w:hAnsiTheme="minorHAnsi" w:cs="Times New Roman"/>
          <w:color w:val="auto"/>
          <w:szCs w:val="24"/>
        </w:rPr>
        <w:t>5024</w:t>
      </w:r>
      <w:r w:rsidR="006A689D">
        <w:rPr>
          <w:rFonts w:asciiTheme="minorHAnsi" w:hAnsiTheme="minorHAnsi" w:cs="Times New Roman"/>
          <w:color w:val="auto"/>
          <w:szCs w:val="24"/>
        </w:rPr>
        <w:t xml:space="preserve"> (tenosynovitis</w:t>
      </w:r>
      <w:r w:rsidR="00430058">
        <w:rPr>
          <w:rFonts w:asciiTheme="minorHAnsi" w:hAnsiTheme="minorHAnsi" w:cs="Times New Roman"/>
          <w:color w:val="auto"/>
          <w:szCs w:val="24"/>
        </w:rPr>
        <w:t>) for its clinical fit with the pathology in evidence</w:t>
      </w:r>
      <w:r w:rsidR="00710DFE" w:rsidRPr="003C53E8">
        <w:rPr>
          <w:rFonts w:asciiTheme="minorHAnsi" w:hAnsiTheme="minorHAnsi" w:cs="Times New Roman"/>
          <w:color w:val="auto"/>
          <w:szCs w:val="24"/>
        </w:rPr>
        <w:t>.</w:t>
      </w:r>
    </w:p>
    <w:p w:rsidR="003C53E8" w:rsidRDefault="003C53E8" w:rsidP="003C53E8">
      <w:pPr>
        <w:jc w:val="left"/>
        <w:rPr>
          <w:rFonts w:asciiTheme="minorHAnsi" w:hAnsiTheme="minorHAnsi" w:cs="Times New Roman"/>
          <w:color w:val="auto"/>
          <w:szCs w:val="24"/>
        </w:rPr>
      </w:pPr>
    </w:p>
    <w:p w:rsidR="00456773" w:rsidRPr="00456773" w:rsidRDefault="006C4602" w:rsidP="00456773">
      <w:pPr>
        <w:jc w:val="both"/>
        <w:rPr>
          <w:rFonts w:asciiTheme="minorHAnsi" w:hAnsiTheme="minorHAnsi" w:cs="Times New Roman"/>
          <w:color w:val="auto"/>
          <w:szCs w:val="24"/>
        </w:rPr>
      </w:pPr>
      <w:r w:rsidRPr="00871177">
        <w:rPr>
          <w:rFonts w:asciiTheme="minorHAnsi" w:hAnsiTheme="minorHAnsi" w:cs="Times New Roman"/>
          <w:color w:val="auto"/>
          <w:szCs w:val="24"/>
        </w:rPr>
        <w:t>The Boa</w:t>
      </w:r>
      <w:r>
        <w:rPr>
          <w:rFonts w:asciiTheme="minorHAnsi" w:hAnsiTheme="minorHAnsi" w:cs="Times New Roman"/>
          <w:color w:val="auto"/>
          <w:szCs w:val="24"/>
        </w:rPr>
        <w:t xml:space="preserve">rd next turned its attention to </w:t>
      </w:r>
      <w:r w:rsidRPr="00164A9F">
        <w:rPr>
          <w:rFonts w:asciiTheme="minorHAnsi" w:hAnsiTheme="minorHAnsi" w:cs="Times New Roman"/>
          <w:color w:val="auto"/>
          <w:szCs w:val="24"/>
        </w:rPr>
        <w:t xml:space="preserve">the </w:t>
      </w:r>
      <w:r w:rsidR="005D6FF5" w:rsidRPr="00164A9F">
        <w:rPr>
          <w:rFonts w:asciiTheme="minorHAnsi" w:hAnsiTheme="minorHAnsi" w:cs="Times New Roman"/>
          <w:color w:val="auto"/>
          <w:szCs w:val="24"/>
        </w:rPr>
        <w:t xml:space="preserve">unfitting </w:t>
      </w:r>
      <w:r w:rsidRPr="00164A9F">
        <w:rPr>
          <w:rFonts w:asciiTheme="minorHAnsi" w:hAnsiTheme="minorHAnsi" w:cs="Times New Roman"/>
          <w:color w:val="auto"/>
          <w:szCs w:val="24"/>
        </w:rPr>
        <w:t>right shoulder</w:t>
      </w:r>
      <w:r>
        <w:rPr>
          <w:rFonts w:asciiTheme="minorHAnsi" w:hAnsiTheme="minorHAnsi" w:cs="Times New Roman"/>
          <w:color w:val="auto"/>
          <w:szCs w:val="24"/>
        </w:rPr>
        <w:t xml:space="preserve"> condition.  </w:t>
      </w:r>
      <w:r w:rsidR="001B29E2" w:rsidRPr="001B29E2">
        <w:rPr>
          <w:rFonts w:asciiTheme="minorHAnsi" w:hAnsiTheme="minorHAnsi" w:cs="Times New Roman"/>
          <w:color w:val="auto"/>
          <w:szCs w:val="24"/>
        </w:rPr>
        <w:t xml:space="preserve">The Board’s main charge regarding this condition is </w:t>
      </w:r>
      <w:r w:rsidR="00871177">
        <w:rPr>
          <w:rFonts w:asciiTheme="minorHAnsi" w:hAnsiTheme="minorHAnsi" w:cs="Times New Roman"/>
          <w:color w:val="auto"/>
          <w:szCs w:val="24"/>
        </w:rPr>
        <w:t>an assessment</w:t>
      </w:r>
      <w:r w:rsidR="001B29E2" w:rsidRPr="001B29E2">
        <w:rPr>
          <w:rFonts w:asciiTheme="minorHAnsi" w:hAnsiTheme="minorHAnsi" w:cs="Times New Roman"/>
          <w:color w:val="auto"/>
          <w:szCs w:val="24"/>
        </w:rPr>
        <w:t xml:space="preserve"> of </w:t>
      </w:r>
      <w:r w:rsidR="00871177">
        <w:rPr>
          <w:rFonts w:asciiTheme="minorHAnsi" w:hAnsiTheme="minorHAnsi" w:cs="Times New Roman"/>
          <w:color w:val="auto"/>
          <w:szCs w:val="24"/>
        </w:rPr>
        <w:t xml:space="preserve">fairness of </w:t>
      </w:r>
      <w:r w:rsidR="001B29E2" w:rsidRPr="001B29E2">
        <w:rPr>
          <w:rFonts w:asciiTheme="minorHAnsi" w:hAnsiTheme="minorHAnsi" w:cs="Times New Roman"/>
          <w:color w:val="auto"/>
          <w:szCs w:val="24"/>
        </w:rPr>
        <w:t xml:space="preserve">the PEB’s EPTS determination. </w:t>
      </w:r>
      <w:r w:rsidR="005026B9">
        <w:rPr>
          <w:rFonts w:asciiTheme="minorHAnsi" w:hAnsiTheme="minorHAnsi" w:cs="Times New Roman"/>
          <w:color w:val="auto"/>
          <w:szCs w:val="24"/>
        </w:rPr>
        <w:t xml:space="preserve"> </w:t>
      </w:r>
      <w:r w:rsidR="001B29E2" w:rsidRPr="001B29E2">
        <w:rPr>
          <w:rFonts w:asciiTheme="minorHAnsi" w:hAnsiTheme="minorHAnsi" w:cs="Times New Roman"/>
          <w:color w:val="auto"/>
          <w:szCs w:val="24"/>
        </w:rPr>
        <w:t xml:space="preserve">The Board’s authority for recommending a change in the service’s EPTS determination is not specified in DoDI 6040.44, but is considered adjunct to its DoD-specified obligation to review service fitness adjudications. </w:t>
      </w:r>
      <w:r w:rsidR="005026B9">
        <w:rPr>
          <w:rFonts w:asciiTheme="minorHAnsi" w:hAnsiTheme="minorHAnsi" w:cs="Times New Roman"/>
          <w:color w:val="auto"/>
          <w:szCs w:val="24"/>
        </w:rPr>
        <w:t xml:space="preserve"> </w:t>
      </w:r>
      <w:r w:rsidR="001B29E2" w:rsidRPr="001B29E2">
        <w:rPr>
          <w:rFonts w:asciiTheme="minorHAnsi" w:hAnsiTheme="minorHAnsi" w:cs="Times New Roman"/>
          <w:color w:val="auto"/>
          <w:szCs w:val="24"/>
        </w:rPr>
        <w:t>As with its consideration of fitness adjudications, the Board’s threshold for countering service EPTS determinations is higher than the VASRD §4.3 (reasonable doubt) standard used for its rating re</w:t>
      </w:r>
      <w:r w:rsidR="00871177">
        <w:rPr>
          <w:rFonts w:asciiTheme="minorHAnsi" w:hAnsiTheme="minorHAnsi" w:cs="Times New Roman"/>
          <w:color w:val="auto"/>
          <w:szCs w:val="24"/>
        </w:rPr>
        <w:t>commendations;</w:t>
      </w:r>
      <w:r w:rsidR="001B29E2" w:rsidRPr="001B29E2">
        <w:rPr>
          <w:rFonts w:asciiTheme="minorHAnsi" w:hAnsiTheme="minorHAnsi" w:cs="Times New Roman"/>
          <w:color w:val="auto"/>
          <w:szCs w:val="24"/>
        </w:rPr>
        <w:t xml:space="preserve"> but</w:t>
      </w:r>
      <w:r w:rsidR="00871177">
        <w:rPr>
          <w:rFonts w:asciiTheme="minorHAnsi" w:hAnsiTheme="minorHAnsi" w:cs="Times New Roman"/>
          <w:color w:val="auto"/>
          <w:szCs w:val="24"/>
        </w:rPr>
        <w:t>,</w:t>
      </w:r>
      <w:r w:rsidR="001B29E2" w:rsidRPr="001B29E2">
        <w:rPr>
          <w:rFonts w:asciiTheme="minorHAnsi" w:hAnsiTheme="minorHAnsi" w:cs="Times New Roman"/>
          <w:color w:val="auto"/>
          <w:szCs w:val="24"/>
        </w:rPr>
        <w:t xml:space="preserve"> remains adherent to the </w:t>
      </w:r>
      <w:r w:rsidR="001B29E2" w:rsidRPr="001B29E2">
        <w:rPr>
          <w:rFonts w:asciiTheme="minorHAnsi" w:hAnsiTheme="minorHAnsi" w:cs="Times New Roman"/>
          <w:color w:val="auto"/>
          <w:szCs w:val="24"/>
        </w:rPr>
        <w:lastRenderedPageBreak/>
        <w:t>DoDI 6040.44 “fair and equitable” standard.</w:t>
      </w:r>
      <w:r w:rsidR="00710DFE">
        <w:rPr>
          <w:rFonts w:asciiTheme="minorHAnsi" w:hAnsiTheme="minorHAnsi" w:cs="Times New Roman"/>
          <w:color w:val="auto"/>
          <w:szCs w:val="24"/>
        </w:rPr>
        <w:t xml:space="preserve">  The Board accepts a</w:t>
      </w:r>
      <w:r w:rsidR="00871177">
        <w:rPr>
          <w:rFonts w:asciiTheme="minorHAnsi" w:hAnsiTheme="minorHAnsi" w:cs="Times New Roman"/>
          <w:color w:val="auto"/>
          <w:szCs w:val="24"/>
        </w:rPr>
        <w:t>t</w:t>
      </w:r>
      <w:r w:rsidR="00710DFE">
        <w:rPr>
          <w:rFonts w:asciiTheme="minorHAnsi" w:hAnsiTheme="minorHAnsi" w:cs="Times New Roman"/>
          <w:color w:val="auto"/>
          <w:szCs w:val="24"/>
        </w:rPr>
        <w:t xml:space="preserve"> face value the opinion of the CI’s civilian orthopedic surgeon </w:t>
      </w:r>
      <w:r w:rsidR="005026B9">
        <w:rPr>
          <w:rFonts w:asciiTheme="minorHAnsi" w:hAnsiTheme="minorHAnsi" w:cs="Times New Roman"/>
          <w:color w:val="auto"/>
          <w:szCs w:val="24"/>
        </w:rPr>
        <w:t>(</w:t>
      </w:r>
      <w:r w:rsidR="00871177">
        <w:rPr>
          <w:rFonts w:asciiTheme="minorHAnsi" w:hAnsiTheme="minorHAnsi" w:cs="Times New Roman"/>
          <w:color w:val="auto"/>
          <w:szCs w:val="24"/>
        </w:rPr>
        <w:t xml:space="preserve">as quoted above and </w:t>
      </w:r>
      <w:r w:rsidR="005026B9">
        <w:rPr>
          <w:rFonts w:asciiTheme="minorHAnsi" w:hAnsiTheme="minorHAnsi" w:cs="Times New Roman"/>
          <w:color w:val="auto"/>
          <w:szCs w:val="24"/>
        </w:rPr>
        <w:t xml:space="preserve">confirmed by a military physician) </w:t>
      </w:r>
      <w:r w:rsidR="00710DFE">
        <w:rPr>
          <w:rFonts w:asciiTheme="minorHAnsi" w:hAnsiTheme="minorHAnsi" w:cs="Times New Roman"/>
          <w:color w:val="auto"/>
          <w:szCs w:val="24"/>
        </w:rPr>
        <w:t>that the right shoulder repair was successful</w:t>
      </w:r>
      <w:r w:rsidR="00871177">
        <w:rPr>
          <w:rFonts w:asciiTheme="minorHAnsi" w:hAnsiTheme="minorHAnsi" w:cs="Times New Roman"/>
          <w:color w:val="auto"/>
          <w:szCs w:val="24"/>
        </w:rPr>
        <w:t>,</w:t>
      </w:r>
      <w:r w:rsidR="00710DFE">
        <w:rPr>
          <w:rFonts w:asciiTheme="minorHAnsi" w:hAnsiTheme="minorHAnsi" w:cs="Times New Roman"/>
          <w:color w:val="auto"/>
          <w:szCs w:val="24"/>
        </w:rPr>
        <w:t xml:space="preserve"> and that there was no </w:t>
      </w:r>
      <w:r w:rsidR="00871177">
        <w:rPr>
          <w:rFonts w:asciiTheme="minorHAnsi" w:hAnsiTheme="minorHAnsi" w:cs="Times New Roman"/>
          <w:color w:val="auto"/>
          <w:szCs w:val="24"/>
        </w:rPr>
        <w:t xml:space="preserve">significant </w:t>
      </w:r>
      <w:r w:rsidR="00710DFE">
        <w:rPr>
          <w:rFonts w:asciiTheme="minorHAnsi" w:hAnsiTheme="minorHAnsi" w:cs="Times New Roman"/>
          <w:color w:val="auto"/>
          <w:szCs w:val="24"/>
        </w:rPr>
        <w:t>residual disability at the time of entry onto active duty.</w:t>
      </w:r>
      <w:r w:rsidR="00BB0372">
        <w:rPr>
          <w:rFonts w:asciiTheme="minorHAnsi" w:hAnsiTheme="minorHAnsi" w:cs="Times New Roman"/>
          <w:color w:val="auto"/>
          <w:szCs w:val="24"/>
        </w:rPr>
        <w:t xml:space="preserve">  </w:t>
      </w:r>
      <w:r w:rsidR="002E3EA9">
        <w:rPr>
          <w:rFonts w:asciiTheme="minorHAnsi" w:hAnsiTheme="minorHAnsi" w:cs="Times New Roman"/>
          <w:color w:val="auto"/>
          <w:szCs w:val="24"/>
        </w:rPr>
        <w:t xml:space="preserve">The re-injury which occurred with duty-related activities was a proximate cause of recurrent shoulder instability necessitating further surgical interventions.  </w:t>
      </w:r>
      <w:r w:rsidR="00871177">
        <w:rPr>
          <w:rFonts w:asciiTheme="minorHAnsi" w:hAnsiTheme="minorHAnsi" w:cs="Times New Roman"/>
          <w:color w:val="auto"/>
          <w:szCs w:val="24"/>
        </w:rPr>
        <w:t>It would logically follow</w:t>
      </w:r>
      <w:r w:rsidR="00BB0372">
        <w:rPr>
          <w:rFonts w:asciiTheme="minorHAnsi" w:hAnsiTheme="minorHAnsi" w:cs="Times New Roman"/>
          <w:color w:val="auto"/>
          <w:szCs w:val="24"/>
        </w:rPr>
        <w:t xml:space="preserve"> that</w:t>
      </w:r>
      <w:r w:rsidR="00871177">
        <w:rPr>
          <w:rFonts w:asciiTheme="minorHAnsi" w:hAnsiTheme="minorHAnsi" w:cs="Times New Roman"/>
          <w:color w:val="auto"/>
          <w:szCs w:val="24"/>
        </w:rPr>
        <w:t>,</w:t>
      </w:r>
      <w:r w:rsidR="00BB0372">
        <w:rPr>
          <w:rFonts w:asciiTheme="minorHAnsi" w:hAnsiTheme="minorHAnsi" w:cs="Times New Roman"/>
          <w:color w:val="auto"/>
          <w:szCs w:val="24"/>
        </w:rPr>
        <w:t xml:space="preserve"> although the condition existed prior to service, </w:t>
      </w:r>
      <w:r w:rsidR="00871177">
        <w:rPr>
          <w:rFonts w:asciiTheme="minorHAnsi" w:hAnsiTheme="minorHAnsi" w:cs="Times New Roman"/>
          <w:color w:val="auto"/>
          <w:szCs w:val="24"/>
        </w:rPr>
        <w:t xml:space="preserve">the </w:t>
      </w:r>
      <w:r w:rsidR="0047605A">
        <w:rPr>
          <w:rFonts w:asciiTheme="minorHAnsi" w:hAnsiTheme="minorHAnsi" w:cs="Times New Roman"/>
          <w:color w:val="auto"/>
          <w:szCs w:val="24"/>
        </w:rPr>
        <w:t>significant</w:t>
      </w:r>
      <w:r w:rsidR="00BB0372">
        <w:rPr>
          <w:rFonts w:asciiTheme="minorHAnsi" w:hAnsiTheme="minorHAnsi" w:cs="Times New Roman"/>
          <w:color w:val="auto"/>
          <w:szCs w:val="24"/>
        </w:rPr>
        <w:t xml:space="preserve"> disability </w:t>
      </w:r>
      <w:r w:rsidR="0047605A">
        <w:rPr>
          <w:rFonts w:asciiTheme="minorHAnsi" w:hAnsiTheme="minorHAnsi" w:cs="Times New Roman"/>
          <w:color w:val="auto"/>
          <w:szCs w:val="24"/>
        </w:rPr>
        <w:t xml:space="preserve">identified at separation resulted from </w:t>
      </w:r>
      <w:r w:rsidR="00164A9F">
        <w:rPr>
          <w:rFonts w:asciiTheme="minorHAnsi" w:hAnsiTheme="minorHAnsi" w:cs="Times New Roman"/>
          <w:color w:val="auto"/>
          <w:szCs w:val="24"/>
        </w:rPr>
        <w:t>service-</w:t>
      </w:r>
      <w:r w:rsidR="00BB0372">
        <w:rPr>
          <w:rFonts w:asciiTheme="minorHAnsi" w:hAnsiTheme="minorHAnsi" w:cs="Times New Roman"/>
          <w:color w:val="auto"/>
          <w:szCs w:val="24"/>
        </w:rPr>
        <w:t xml:space="preserve">aggravation.  </w:t>
      </w:r>
      <w:r w:rsidR="00164A9F">
        <w:rPr>
          <w:rFonts w:asciiTheme="minorHAnsi" w:hAnsiTheme="minorHAnsi" w:cs="Times New Roman"/>
          <w:color w:val="auto"/>
          <w:szCs w:val="24"/>
        </w:rPr>
        <w:t>The action o</w:t>
      </w:r>
      <w:r w:rsidR="0047605A">
        <w:rPr>
          <w:rFonts w:asciiTheme="minorHAnsi" w:hAnsiTheme="minorHAnsi" w:cs="Times New Roman"/>
          <w:color w:val="auto"/>
          <w:szCs w:val="24"/>
        </w:rPr>
        <w:t xml:space="preserve">fficer opines that, especially in consideration of the physical rigors of MOS, </w:t>
      </w:r>
      <w:r w:rsidR="002E3EA9">
        <w:rPr>
          <w:rFonts w:asciiTheme="minorHAnsi" w:hAnsiTheme="minorHAnsi" w:cs="Times New Roman"/>
          <w:color w:val="auto"/>
          <w:szCs w:val="24"/>
        </w:rPr>
        <w:t xml:space="preserve">the disability at separation could not be attributed solely to </w:t>
      </w:r>
      <w:r w:rsidR="00164A9F">
        <w:rPr>
          <w:rFonts w:asciiTheme="minorHAnsi" w:hAnsiTheme="minorHAnsi" w:cs="Times New Roman"/>
          <w:color w:val="auto"/>
          <w:szCs w:val="24"/>
        </w:rPr>
        <w:t>natural progression of the pre-s</w:t>
      </w:r>
      <w:r w:rsidR="002E3EA9">
        <w:rPr>
          <w:rFonts w:asciiTheme="minorHAnsi" w:hAnsiTheme="minorHAnsi" w:cs="Times New Roman"/>
          <w:color w:val="auto"/>
          <w:szCs w:val="24"/>
        </w:rPr>
        <w:t xml:space="preserve">ervice pathology.  After deliberation, </w:t>
      </w:r>
      <w:r w:rsidR="00245DFF">
        <w:rPr>
          <w:rFonts w:asciiTheme="minorHAnsi" w:hAnsiTheme="minorHAnsi" w:cs="Times New Roman"/>
          <w:color w:val="auto"/>
          <w:szCs w:val="24"/>
        </w:rPr>
        <w:t>Board</w:t>
      </w:r>
      <w:r w:rsidR="002E3EA9">
        <w:rPr>
          <w:rFonts w:asciiTheme="minorHAnsi" w:hAnsiTheme="minorHAnsi" w:cs="Times New Roman"/>
          <w:color w:val="auto"/>
          <w:szCs w:val="24"/>
        </w:rPr>
        <w:t xml:space="preserve"> members </w:t>
      </w:r>
      <w:r w:rsidR="00456773">
        <w:rPr>
          <w:rFonts w:asciiTheme="minorHAnsi" w:hAnsiTheme="minorHAnsi" w:cs="Times New Roman"/>
          <w:color w:val="auto"/>
          <w:szCs w:val="24"/>
        </w:rPr>
        <w:t xml:space="preserve">agreed that there was not </w:t>
      </w:r>
      <w:r w:rsidR="00245DFF" w:rsidRPr="00245DFF">
        <w:rPr>
          <w:rFonts w:asciiTheme="minorHAnsi" w:hAnsiTheme="minorHAnsi" w:cs="Times New Roman"/>
          <w:color w:val="auto"/>
          <w:szCs w:val="24"/>
        </w:rPr>
        <w:t>enough strength in the PEB</w:t>
      </w:r>
      <w:r w:rsidR="00245DFF">
        <w:rPr>
          <w:rFonts w:asciiTheme="minorHAnsi" w:hAnsiTheme="minorHAnsi" w:cs="Times New Roman"/>
          <w:color w:val="auto"/>
          <w:szCs w:val="24"/>
        </w:rPr>
        <w:t>’s</w:t>
      </w:r>
      <w:r w:rsidR="00245DFF" w:rsidRPr="00245DFF">
        <w:rPr>
          <w:rFonts w:asciiTheme="minorHAnsi" w:hAnsiTheme="minorHAnsi" w:cs="Times New Roman"/>
          <w:color w:val="auto"/>
          <w:szCs w:val="24"/>
        </w:rPr>
        <w:t xml:space="preserve"> position to overcome sound arguments favoring </w:t>
      </w:r>
      <w:r w:rsidR="00245DFF">
        <w:rPr>
          <w:rFonts w:asciiTheme="minorHAnsi" w:hAnsiTheme="minorHAnsi" w:cs="Times New Roman"/>
          <w:color w:val="auto"/>
          <w:szCs w:val="24"/>
        </w:rPr>
        <w:t>a conclusion that the right shoulder condition</w:t>
      </w:r>
      <w:r w:rsidR="00164A9F">
        <w:rPr>
          <w:rFonts w:asciiTheme="minorHAnsi" w:hAnsiTheme="minorHAnsi" w:cs="Times New Roman"/>
          <w:color w:val="auto"/>
          <w:szCs w:val="24"/>
        </w:rPr>
        <w:t xml:space="preserve"> was permanently aggravated by s</w:t>
      </w:r>
      <w:r w:rsidR="00245DFF">
        <w:rPr>
          <w:rFonts w:asciiTheme="minorHAnsi" w:hAnsiTheme="minorHAnsi" w:cs="Times New Roman"/>
          <w:color w:val="auto"/>
          <w:szCs w:val="24"/>
        </w:rPr>
        <w:t>ervice duties</w:t>
      </w:r>
      <w:r w:rsidR="00456773" w:rsidRPr="00456773">
        <w:rPr>
          <w:rFonts w:asciiTheme="minorHAnsi" w:hAnsiTheme="minorHAnsi" w:cs="Times New Roman"/>
          <w:color w:val="auto"/>
          <w:szCs w:val="24"/>
        </w:rPr>
        <w:t>.  The Board, therefore, recommends that it be rated as an additionally unfitting condition.</w:t>
      </w:r>
    </w:p>
    <w:p w:rsidR="0047605A" w:rsidRDefault="0047605A" w:rsidP="00BB0372">
      <w:pPr>
        <w:jc w:val="both"/>
        <w:rPr>
          <w:rFonts w:asciiTheme="minorHAnsi" w:hAnsiTheme="minorHAnsi" w:cs="Times New Roman"/>
          <w:color w:val="auto"/>
          <w:szCs w:val="24"/>
        </w:rPr>
      </w:pPr>
    </w:p>
    <w:p w:rsidR="001B29E2" w:rsidRDefault="00456773" w:rsidP="00BB0372">
      <w:pPr>
        <w:jc w:val="both"/>
        <w:rPr>
          <w:rFonts w:asciiTheme="minorHAnsi" w:hAnsiTheme="minorHAnsi" w:cs="Times New Roman"/>
          <w:color w:val="auto"/>
          <w:szCs w:val="24"/>
        </w:rPr>
      </w:pPr>
      <w:r>
        <w:rPr>
          <w:rFonts w:asciiTheme="minorHAnsi" w:hAnsiTheme="minorHAnsi" w:cs="Times New Roman"/>
          <w:color w:val="auto"/>
          <w:szCs w:val="24"/>
        </w:rPr>
        <w:t xml:space="preserve">The Board then directed its attention to its rating recommendation for the right shoulder condition.  </w:t>
      </w:r>
      <w:r w:rsidR="00BB0372">
        <w:rPr>
          <w:rFonts w:asciiTheme="minorHAnsi" w:hAnsiTheme="minorHAnsi" w:cs="Times New Roman"/>
          <w:color w:val="auto"/>
          <w:szCs w:val="24"/>
        </w:rPr>
        <w:t xml:space="preserve">Since the ratable data for the right shoulder was essentially identical to that for the left shoulder, </w:t>
      </w:r>
      <w:r>
        <w:rPr>
          <w:rFonts w:asciiTheme="minorHAnsi" w:hAnsiTheme="minorHAnsi" w:cs="Times New Roman"/>
          <w:color w:val="auto"/>
          <w:szCs w:val="24"/>
        </w:rPr>
        <w:t xml:space="preserve">as elaborated above, </w:t>
      </w:r>
      <w:r w:rsidR="00BB0372">
        <w:rPr>
          <w:rFonts w:asciiTheme="minorHAnsi" w:hAnsiTheme="minorHAnsi" w:cs="Times New Roman"/>
          <w:color w:val="auto"/>
          <w:szCs w:val="24"/>
        </w:rPr>
        <w:t>the Board applied the same reasoning and rationale</w:t>
      </w:r>
      <w:r>
        <w:rPr>
          <w:rFonts w:asciiTheme="minorHAnsi" w:hAnsiTheme="minorHAnsi" w:cs="Times New Roman"/>
          <w:color w:val="auto"/>
          <w:szCs w:val="24"/>
        </w:rPr>
        <w:t>s</w:t>
      </w:r>
      <w:r w:rsidR="00BB0372">
        <w:rPr>
          <w:rFonts w:asciiTheme="minorHAnsi" w:hAnsiTheme="minorHAnsi" w:cs="Times New Roman"/>
          <w:color w:val="auto"/>
          <w:szCs w:val="24"/>
        </w:rPr>
        <w:t xml:space="preserve"> to arrive at </w:t>
      </w:r>
      <w:r>
        <w:rPr>
          <w:rFonts w:asciiTheme="minorHAnsi" w:hAnsiTheme="minorHAnsi" w:cs="Times New Roman"/>
          <w:color w:val="auto"/>
          <w:szCs w:val="24"/>
        </w:rPr>
        <w:t xml:space="preserve">the same coding and </w:t>
      </w:r>
      <w:r w:rsidR="00BB0372">
        <w:rPr>
          <w:rFonts w:asciiTheme="minorHAnsi" w:hAnsiTheme="minorHAnsi" w:cs="Times New Roman"/>
          <w:color w:val="auto"/>
          <w:szCs w:val="24"/>
        </w:rPr>
        <w:t xml:space="preserve">rating </w:t>
      </w:r>
      <w:r w:rsidR="00BB0372" w:rsidRPr="00456773">
        <w:rPr>
          <w:rFonts w:asciiTheme="minorHAnsi" w:hAnsiTheme="minorHAnsi" w:cs="Times New Roman"/>
          <w:color w:val="auto"/>
          <w:szCs w:val="24"/>
        </w:rPr>
        <w:t>recommendation</w:t>
      </w:r>
      <w:r>
        <w:rPr>
          <w:rFonts w:asciiTheme="minorHAnsi" w:hAnsiTheme="minorHAnsi" w:cs="Times New Roman"/>
          <w:color w:val="auto"/>
          <w:szCs w:val="24"/>
        </w:rPr>
        <w:t>.</w:t>
      </w:r>
      <w:r w:rsidR="00BB0372" w:rsidRPr="00456773">
        <w:rPr>
          <w:rFonts w:asciiTheme="minorHAnsi" w:hAnsiTheme="minorHAnsi" w:cs="Times New Roman"/>
          <w:color w:val="auto"/>
          <w:szCs w:val="24"/>
        </w:rPr>
        <w:t xml:space="preserve"> After due deliberation, considering all of the evidence and mindful of VASRD §4.3 (reasonable doubt), the Board recommends a separation rating of 10% for </w:t>
      </w:r>
      <w:r w:rsidR="006A689D">
        <w:rPr>
          <w:rFonts w:asciiTheme="minorHAnsi" w:hAnsiTheme="minorHAnsi" w:cs="Times New Roman"/>
          <w:color w:val="auto"/>
          <w:szCs w:val="24"/>
        </w:rPr>
        <w:t>each</w:t>
      </w:r>
      <w:r w:rsidR="00BB0372" w:rsidRPr="00456773">
        <w:rPr>
          <w:rFonts w:asciiTheme="minorHAnsi" w:hAnsiTheme="minorHAnsi" w:cs="Times New Roman"/>
          <w:color w:val="auto"/>
          <w:szCs w:val="24"/>
        </w:rPr>
        <w:t xml:space="preserve"> shoulder condition</w:t>
      </w:r>
      <w:r>
        <w:rPr>
          <w:rFonts w:asciiTheme="minorHAnsi" w:hAnsiTheme="minorHAnsi" w:cs="Times New Roman"/>
          <w:color w:val="auto"/>
          <w:szCs w:val="24"/>
        </w:rPr>
        <w:t xml:space="preserve"> coded 5099-5024</w:t>
      </w:r>
      <w:r w:rsidR="00BB0372" w:rsidRPr="00456773">
        <w:rPr>
          <w:rFonts w:asciiTheme="minorHAnsi" w:hAnsiTheme="minorHAnsi" w:cs="Times New Roman"/>
          <w:color w:val="auto"/>
          <w:szCs w:val="24"/>
        </w:rPr>
        <w:t>.</w:t>
      </w:r>
    </w:p>
    <w:p w:rsidR="00615A66" w:rsidRPr="001F29F9" w:rsidRDefault="00615A66" w:rsidP="00BF0E94">
      <w:pPr>
        <w:jc w:val="left"/>
        <w:rPr>
          <w:color w:val="000000" w:themeColor="text1"/>
          <w:szCs w:val="24"/>
          <w:u w:val="single"/>
        </w:rPr>
      </w:pPr>
    </w:p>
    <w:p w:rsidR="008C3223" w:rsidRPr="001F29F9" w:rsidRDefault="004C60A3" w:rsidP="00EE2A92">
      <w:pPr>
        <w:jc w:val="both"/>
        <w:rPr>
          <w:color w:val="000000" w:themeColor="text1"/>
          <w:szCs w:val="24"/>
        </w:rPr>
      </w:pPr>
      <w:proofErr w:type="gramStart"/>
      <w:r w:rsidRPr="001F29F9">
        <w:rPr>
          <w:rFonts w:eastAsia="HiddenHorzOCR"/>
          <w:color w:val="000000" w:themeColor="text1"/>
          <w:szCs w:val="24"/>
          <w:u w:val="single"/>
        </w:rPr>
        <w:t>Ot</w:t>
      </w:r>
      <w:r w:rsidR="003604A5" w:rsidRPr="001F29F9">
        <w:rPr>
          <w:rFonts w:eastAsia="HiddenHorzOCR"/>
          <w:color w:val="000000" w:themeColor="text1"/>
          <w:szCs w:val="24"/>
          <w:u w:val="single"/>
        </w:rPr>
        <w:t xml:space="preserve">her </w:t>
      </w:r>
      <w:r w:rsidR="008F30F4" w:rsidRPr="001F29F9">
        <w:rPr>
          <w:rFonts w:eastAsia="HiddenHorzOCR"/>
          <w:color w:val="000000" w:themeColor="text1"/>
          <w:szCs w:val="24"/>
          <w:u w:val="single"/>
        </w:rPr>
        <w:t xml:space="preserve">PEB </w:t>
      </w:r>
      <w:r w:rsidR="003604A5" w:rsidRPr="001F29F9">
        <w:rPr>
          <w:rFonts w:eastAsia="HiddenHorzOCR"/>
          <w:color w:val="000000" w:themeColor="text1"/>
          <w:szCs w:val="24"/>
          <w:u w:val="single"/>
        </w:rPr>
        <w:t>Conditions</w:t>
      </w:r>
      <w:r w:rsidR="003604A5" w:rsidRPr="001F29F9">
        <w:rPr>
          <w:rFonts w:eastAsia="HiddenHorzOCR"/>
          <w:color w:val="000000" w:themeColor="text1"/>
          <w:szCs w:val="24"/>
        </w:rPr>
        <w:t>.</w:t>
      </w:r>
      <w:proofErr w:type="gramEnd"/>
      <w:r w:rsidR="002F2981" w:rsidRPr="001F29F9">
        <w:rPr>
          <w:rFonts w:eastAsia="HiddenHorzOCR"/>
          <w:color w:val="000000" w:themeColor="text1"/>
          <w:szCs w:val="24"/>
        </w:rPr>
        <w:t xml:space="preserve"> </w:t>
      </w:r>
      <w:r w:rsidR="003C5B54" w:rsidRPr="001F29F9">
        <w:rPr>
          <w:rFonts w:eastAsia="HiddenHorzOCR"/>
          <w:color w:val="000000" w:themeColor="text1"/>
          <w:szCs w:val="24"/>
        </w:rPr>
        <w:t xml:space="preserve"> </w:t>
      </w:r>
      <w:r w:rsidR="008C3223" w:rsidRPr="00EE2A92">
        <w:rPr>
          <w:color w:val="000000" w:themeColor="text1"/>
          <w:szCs w:val="24"/>
        </w:rPr>
        <w:t xml:space="preserve">The other conditions forwarded by the MEB and adjudicated as not unfitting by the PEB were </w:t>
      </w:r>
      <w:r w:rsidR="00A65C2D" w:rsidRPr="00EE2A92">
        <w:rPr>
          <w:color w:val="000000" w:themeColor="text1"/>
          <w:szCs w:val="24"/>
        </w:rPr>
        <w:t>migraine headaches and insomnia</w:t>
      </w:r>
      <w:r w:rsidR="008C3223" w:rsidRPr="00EE2A92">
        <w:rPr>
          <w:color w:val="000000" w:themeColor="text1"/>
          <w:szCs w:val="24"/>
        </w:rPr>
        <w:t xml:space="preserve">.  </w:t>
      </w:r>
      <w:r w:rsidR="000468B3" w:rsidRPr="00EE2A92">
        <w:rPr>
          <w:color w:val="000000" w:themeColor="text1"/>
          <w:szCs w:val="24"/>
        </w:rPr>
        <w:t>The CI had a long history of headaches exacerbated by stress and anger</w:t>
      </w:r>
      <w:r w:rsidR="00456773">
        <w:rPr>
          <w:color w:val="000000" w:themeColor="text1"/>
          <w:szCs w:val="24"/>
        </w:rPr>
        <w:t>,</w:t>
      </w:r>
      <w:r w:rsidR="000468B3" w:rsidRPr="00EE2A92">
        <w:rPr>
          <w:color w:val="000000" w:themeColor="text1"/>
          <w:szCs w:val="24"/>
        </w:rPr>
        <w:t xml:space="preserve"> </w:t>
      </w:r>
      <w:r w:rsidR="00456773">
        <w:rPr>
          <w:color w:val="000000" w:themeColor="text1"/>
          <w:szCs w:val="24"/>
        </w:rPr>
        <w:t>and the condition</w:t>
      </w:r>
      <w:r w:rsidR="000468B3">
        <w:rPr>
          <w:color w:val="000000" w:themeColor="text1"/>
          <w:szCs w:val="24"/>
        </w:rPr>
        <w:t xml:space="preserve"> was thoroughly evaluated.  </w:t>
      </w:r>
      <w:r w:rsidR="00E23249">
        <w:rPr>
          <w:color w:val="000000" w:themeColor="text1"/>
          <w:szCs w:val="24"/>
        </w:rPr>
        <w:t>The neurologist who submitted an</w:t>
      </w:r>
      <w:r w:rsidR="000468B3">
        <w:rPr>
          <w:color w:val="000000" w:themeColor="text1"/>
          <w:szCs w:val="24"/>
        </w:rPr>
        <w:t xml:space="preserve"> addendum to the narrative summary (NARSUM) reported that the current medication regimen had resulted in a “decrease in headache frequency and severity</w:t>
      </w:r>
      <w:r w:rsidR="00E23249">
        <w:rPr>
          <w:color w:val="000000" w:themeColor="text1"/>
          <w:szCs w:val="24"/>
        </w:rPr>
        <w:t xml:space="preserve"> </w:t>
      </w:r>
      <w:r w:rsidR="000468B3">
        <w:rPr>
          <w:color w:val="000000" w:themeColor="text1"/>
          <w:szCs w:val="24"/>
        </w:rPr>
        <w:t>… and allow</w:t>
      </w:r>
      <w:r w:rsidR="00E23249">
        <w:rPr>
          <w:color w:val="000000" w:themeColor="text1"/>
          <w:szCs w:val="24"/>
        </w:rPr>
        <w:t>[s]</w:t>
      </w:r>
      <w:r w:rsidR="000468B3">
        <w:rPr>
          <w:color w:val="000000" w:themeColor="text1"/>
          <w:szCs w:val="24"/>
        </w:rPr>
        <w:t xml:space="preserve"> him to con</w:t>
      </w:r>
      <w:r w:rsidR="00E23249">
        <w:rPr>
          <w:color w:val="000000" w:themeColor="text1"/>
          <w:szCs w:val="24"/>
        </w:rPr>
        <w:t>tinue working for the most part</w:t>
      </w:r>
      <w:r w:rsidR="00164A9F">
        <w:rPr>
          <w:color w:val="000000" w:themeColor="text1"/>
          <w:szCs w:val="24"/>
        </w:rPr>
        <w:t>;</w:t>
      </w:r>
      <w:r w:rsidR="000468B3">
        <w:rPr>
          <w:color w:val="000000" w:themeColor="text1"/>
          <w:szCs w:val="24"/>
        </w:rPr>
        <w:t>” and</w:t>
      </w:r>
      <w:r w:rsidR="00E23249">
        <w:rPr>
          <w:color w:val="000000" w:themeColor="text1"/>
          <w:szCs w:val="24"/>
        </w:rPr>
        <w:t>,</w:t>
      </w:r>
      <w:r w:rsidR="000468B3">
        <w:rPr>
          <w:color w:val="000000" w:themeColor="text1"/>
          <w:szCs w:val="24"/>
        </w:rPr>
        <w:t xml:space="preserve"> opined that the CI’s migraine headaches showed “reasonable control on current regimen</w:t>
      </w:r>
      <w:r w:rsidR="007B45AA">
        <w:rPr>
          <w:color w:val="000000" w:themeColor="text1"/>
          <w:szCs w:val="24"/>
        </w:rPr>
        <w:t>.</w:t>
      </w:r>
      <w:r w:rsidR="000468B3">
        <w:rPr>
          <w:color w:val="000000" w:themeColor="text1"/>
          <w:szCs w:val="24"/>
        </w:rPr>
        <w:t xml:space="preserve">” </w:t>
      </w:r>
      <w:r w:rsidR="00906BB9">
        <w:rPr>
          <w:color w:val="000000" w:themeColor="text1"/>
          <w:szCs w:val="24"/>
        </w:rPr>
        <w:t xml:space="preserve"> There was no evidence in the </w:t>
      </w:r>
      <w:r w:rsidR="00164A9F">
        <w:rPr>
          <w:color w:val="000000" w:themeColor="text1"/>
          <w:szCs w:val="24"/>
        </w:rPr>
        <w:t>STR</w:t>
      </w:r>
      <w:r w:rsidR="00906BB9">
        <w:rPr>
          <w:color w:val="000000" w:themeColor="text1"/>
          <w:szCs w:val="24"/>
        </w:rPr>
        <w:t xml:space="preserve"> </w:t>
      </w:r>
      <w:r w:rsidR="00E23249">
        <w:rPr>
          <w:color w:val="000000" w:themeColor="text1"/>
          <w:szCs w:val="24"/>
        </w:rPr>
        <w:t>documenting any prostrating</w:t>
      </w:r>
      <w:r w:rsidR="00906BB9">
        <w:rPr>
          <w:color w:val="000000" w:themeColor="text1"/>
          <w:szCs w:val="24"/>
        </w:rPr>
        <w:t xml:space="preserve"> episodes associated with the headache condition. </w:t>
      </w:r>
      <w:r w:rsidR="000468B3">
        <w:rPr>
          <w:color w:val="000000" w:themeColor="text1"/>
          <w:szCs w:val="24"/>
        </w:rPr>
        <w:t xml:space="preserve"> Insomnia is referenced in the NARSUM as a condition being treated by the same neurologist, but does not appear in the neurology addendum to the NARSUM or elsewhere in </w:t>
      </w:r>
      <w:r w:rsidR="000468B3" w:rsidRPr="000468B3">
        <w:rPr>
          <w:color w:val="000000" w:themeColor="text1"/>
          <w:szCs w:val="24"/>
        </w:rPr>
        <w:t>the DES file</w:t>
      </w:r>
      <w:r w:rsidR="00906BB9">
        <w:rPr>
          <w:color w:val="000000" w:themeColor="text1"/>
          <w:szCs w:val="24"/>
        </w:rPr>
        <w:t xml:space="preserve"> or STR</w:t>
      </w:r>
      <w:r w:rsidR="000468B3" w:rsidRPr="000468B3">
        <w:rPr>
          <w:color w:val="000000" w:themeColor="text1"/>
          <w:szCs w:val="24"/>
        </w:rPr>
        <w:t xml:space="preserve">.  </w:t>
      </w:r>
      <w:r w:rsidR="008C3223" w:rsidRPr="000468B3">
        <w:rPr>
          <w:color w:val="000000" w:themeColor="text1"/>
          <w:szCs w:val="24"/>
        </w:rPr>
        <w:t>Ne</w:t>
      </w:r>
      <w:r w:rsidR="000468B3" w:rsidRPr="000468B3">
        <w:rPr>
          <w:color w:val="000000" w:themeColor="text1"/>
          <w:szCs w:val="24"/>
        </w:rPr>
        <w:t>ither</w:t>
      </w:r>
      <w:r w:rsidR="008C3223" w:rsidRPr="000468B3">
        <w:rPr>
          <w:color w:val="000000" w:themeColor="text1"/>
          <w:szCs w:val="24"/>
        </w:rPr>
        <w:t xml:space="preserve"> of these conditions were profiled, implicated in the </w:t>
      </w:r>
      <w:r w:rsidR="0080588E" w:rsidRPr="000468B3">
        <w:rPr>
          <w:color w:val="000000" w:themeColor="text1"/>
          <w:szCs w:val="24"/>
        </w:rPr>
        <w:t>c</w:t>
      </w:r>
      <w:r w:rsidR="008C3223" w:rsidRPr="000468B3">
        <w:rPr>
          <w:color w:val="000000" w:themeColor="text1"/>
          <w:szCs w:val="24"/>
        </w:rPr>
        <w:t xml:space="preserve">ommander’s statement or noted as failing retention standards.  </w:t>
      </w:r>
      <w:r w:rsidR="000468B3">
        <w:rPr>
          <w:color w:val="000000" w:themeColor="text1"/>
          <w:szCs w:val="24"/>
        </w:rPr>
        <w:t>Both</w:t>
      </w:r>
      <w:r w:rsidR="008C3223" w:rsidRPr="001F29F9">
        <w:rPr>
          <w:color w:val="000000" w:themeColor="text1"/>
          <w:szCs w:val="24"/>
        </w:rPr>
        <w:t xml:space="preserve"> were reviewed by the </w:t>
      </w:r>
      <w:r w:rsidR="00164A9F">
        <w:rPr>
          <w:color w:val="000000" w:themeColor="text1"/>
          <w:szCs w:val="24"/>
        </w:rPr>
        <w:t>a</w:t>
      </w:r>
      <w:r w:rsidR="00261709" w:rsidRPr="001F29F9">
        <w:rPr>
          <w:color w:val="000000" w:themeColor="text1"/>
          <w:szCs w:val="24"/>
        </w:rPr>
        <w:t xml:space="preserve">ction </w:t>
      </w:r>
      <w:r w:rsidR="00164A9F">
        <w:rPr>
          <w:color w:val="000000" w:themeColor="text1"/>
          <w:szCs w:val="24"/>
        </w:rPr>
        <w:t>o</w:t>
      </w:r>
      <w:r w:rsidR="00261709" w:rsidRPr="001F29F9">
        <w:rPr>
          <w:color w:val="000000" w:themeColor="text1"/>
          <w:szCs w:val="24"/>
        </w:rPr>
        <w:t xml:space="preserve">fficer </w:t>
      </w:r>
      <w:r w:rsidR="008C3223" w:rsidRPr="001F29F9">
        <w:rPr>
          <w:color w:val="000000" w:themeColor="text1"/>
          <w:szCs w:val="24"/>
        </w:rPr>
        <w:t xml:space="preserve">and considered by the Board.  There was no indication from the record that </w:t>
      </w:r>
      <w:r w:rsidR="000468B3">
        <w:rPr>
          <w:color w:val="000000" w:themeColor="text1"/>
          <w:szCs w:val="24"/>
        </w:rPr>
        <w:t>either</w:t>
      </w:r>
      <w:r w:rsidR="008C3223" w:rsidRPr="001F29F9">
        <w:rPr>
          <w:color w:val="000000" w:themeColor="text1"/>
          <w:szCs w:val="24"/>
        </w:rPr>
        <w:t xml:space="preserve"> of these conditions significantly interfered with satisfactory </w:t>
      </w:r>
      <w:r w:rsidR="0080588E" w:rsidRPr="001F29F9">
        <w:rPr>
          <w:color w:val="000000" w:themeColor="text1"/>
          <w:szCs w:val="24"/>
        </w:rPr>
        <w:t xml:space="preserve">duty </w:t>
      </w:r>
      <w:r w:rsidR="008C3223" w:rsidRPr="001F29F9">
        <w:rPr>
          <w:color w:val="000000" w:themeColor="text1"/>
          <w:szCs w:val="24"/>
        </w:rPr>
        <w:t>performance.  All evidence considered</w:t>
      </w:r>
      <w:proofErr w:type="gramStart"/>
      <w:r w:rsidR="008C3223" w:rsidRPr="001F29F9">
        <w:rPr>
          <w:color w:val="000000" w:themeColor="text1"/>
          <w:szCs w:val="24"/>
        </w:rPr>
        <w:t>,</w:t>
      </w:r>
      <w:proofErr w:type="gramEnd"/>
      <w:r w:rsidR="008C3223" w:rsidRPr="001F29F9">
        <w:rPr>
          <w:color w:val="000000" w:themeColor="text1"/>
          <w:szCs w:val="24"/>
        </w:rPr>
        <w:t xml:space="preserve"> there is not reasonable doubt in the CI’s favor supporting </w:t>
      </w:r>
      <w:r w:rsidR="00E23249">
        <w:rPr>
          <w:color w:val="000000" w:themeColor="text1"/>
          <w:szCs w:val="24"/>
        </w:rPr>
        <w:t>a change in</w:t>
      </w:r>
      <w:r w:rsidR="008C3223" w:rsidRPr="001F29F9">
        <w:rPr>
          <w:color w:val="000000" w:themeColor="text1"/>
          <w:szCs w:val="24"/>
        </w:rPr>
        <w:t xml:space="preserve"> the PEB fitness adjudication for </w:t>
      </w:r>
      <w:r w:rsidR="00E23249">
        <w:rPr>
          <w:color w:val="000000" w:themeColor="text1"/>
          <w:szCs w:val="24"/>
        </w:rPr>
        <w:t>the headache</w:t>
      </w:r>
      <w:r w:rsidR="00E23249" w:rsidRPr="00EE2A92">
        <w:rPr>
          <w:color w:val="000000" w:themeColor="text1"/>
          <w:szCs w:val="24"/>
        </w:rPr>
        <w:t xml:space="preserve"> </w:t>
      </w:r>
      <w:r w:rsidR="00E23249">
        <w:rPr>
          <w:color w:val="000000" w:themeColor="text1"/>
          <w:szCs w:val="24"/>
        </w:rPr>
        <w:t>or</w:t>
      </w:r>
      <w:r w:rsidR="00E23249" w:rsidRPr="00EE2A92">
        <w:rPr>
          <w:color w:val="000000" w:themeColor="text1"/>
          <w:szCs w:val="24"/>
        </w:rPr>
        <w:t xml:space="preserve"> insomnia</w:t>
      </w:r>
      <w:r w:rsidR="00E23249">
        <w:rPr>
          <w:color w:val="000000" w:themeColor="text1"/>
          <w:szCs w:val="24"/>
        </w:rPr>
        <w:t xml:space="preserve"> </w:t>
      </w:r>
      <w:r w:rsidR="008C3223" w:rsidRPr="001F29F9">
        <w:rPr>
          <w:color w:val="000000" w:themeColor="text1"/>
          <w:szCs w:val="24"/>
        </w:rPr>
        <w:t>conditions.</w:t>
      </w:r>
    </w:p>
    <w:p w:rsidR="008C3223" w:rsidRPr="001F29F9" w:rsidRDefault="008C3223" w:rsidP="008C3223">
      <w:pPr>
        <w:jc w:val="both"/>
        <w:rPr>
          <w:color w:val="000000" w:themeColor="text1"/>
          <w:szCs w:val="24"/>
        </w:rPr>
      </w:pPr>
    </w:p>
    <w:p w:rsidR="00EC337D" w:rsidRPr="001F29F9" w:rsidRDefault="00EC337D" w:rsidP="00A65C2D">
      <w:pPr>
        <w:jc w:val="both"/>
        <w:rPr>
          <w:color w:val="000000" w:themeColor="text1"/>
          <w:szCs w:val="24"/>
        </w:rPr>
      </w:pPr>
      <w:proofErr w:type="gramStart"/>
      <w:r w:rsidRPr="00A65C2D">
        <w:rPr>
          <w:rFonts w:eastAsia="HiddenHorzOCR"/>
          <w:color w:val="000000" w:themeColor="text1"/>
          <w:szCs w:val="24"/>
          <w:u w:val="single"/>
        </w:rPr>
        <w:t>Other Contended Conditions</w:t>
      </w:r>
      <w:r w:rsidRPr="00A65C2D">
        <w:rPr>
          <w:rFonts w:eastAsia="HiddenHorzOCR"/>
          <w:color w:val="000000" w:themeColor="text1"/>
          <w:szCs w:val="24"/>
        </w:rPr>
        <w:t>.</w:t>
      </w:r>
      <w:proofErr w:type="gramEnd"/>
      <w:r w:rsidRPr="00A65C2D">
        <w:rPr>
          <w:rFonts w:eastAsia="HiddenHorzOCR"/>
          <w:color w:val="000000" w:themeColor="text1"/>
          <w:szCs w:val="24"/>
        </w:rPr>
        <w:t xml:space="preserve">  The CI’s application asserts that compensable ratings should be considered for </w:t>
      </w:r>
      <w:r w:rsidR="00A65C2D" w:rsidRPr="00A65C2D">
        <w:rPr>
          <w:rFonts w:eastAsia="HiddenHorzOCR"/>
          <w:color w:val="000000" w:themeColor="text1"/>
          <w:szCs w:val="24"/>
        </w:rPr>
        <w:t>gallbladder</w:t>
      </w:r>
      <w:r w:rsidR="006A689D" w:rsidRPr="006A689D">
        <w:rPr>
          <w:rFonts w:eastAsia="HiddenHorzOCR"/>
          <w:color w:val="000000" w:themeColor="text1"/>
          <w:szCs w:val="24"/>
        </w:rPr>
        <w:t xml:space="preserve"> </w:t>
      </w:r>
      <w:r w:rsidR="006A689D" w:rsidRPr="00A65C2D">
        <w:rPr>
          <w:rFonts w:eastAsia="HiddenHorzOCR"/>
          <w:color w:val="000000" w:themeColor="text1"/>
          <w:szCs w:val="24"/>
        </w:rPr>
        <w:t>residuals</w:t>
      </w:r>
      <w:r w:rsidRPr="00A65C2D">
        <w:rPr>
          <w:rFonts w:eastAsia="HiddenHorzOCR"/>
          <w:color w:val="000000" w:themeColor="text1"/>
          <w:szCs w:val="24"/>
        </w:rPr>
        <w:t xml:space="preserve">.  </w:t>
      </w:r>
      <w:r w:rsidR="00EE2A92">
        <w:rPr>
          <w:rFonts w:eastAsia="HiddenHorzOCR"/>
          <w:color w:val="000000" w:themeColor="text1"/>
          <w:szCs w:val="24"/>
        </w:rPr>
        <w:t>The CI developed an acute attack of cholecystit</w:t>
      </w:r>
      <w:r w:rsidR="00E23249">
        <w:rPr>
          <w:rFonts w:eastAsia="HiddenHorzOCR"/>
          <w:color w:val="000000" w:themeColor="text1"/>
          <w:szCs w:val="24"/>
        </w:rPr>
        <w:t>is one week prior to separation,</w:t>
      </w:r>
      <w:r w:rsidR="00EE2A92">
        <w:rPr>
          <w:rFonts w:eastAsia="HiddenHorzOCR"/>
          <w:color w:val="000000" w:themeColor="text1"/>
          <w:szCs w:val="24"/>
        </w:rPr>
        <w:t xml:space="preserve"> </w:t>
      </w:r>
      <w:r w:rsidR="00E23249">
        <w:rPr>
          <w:rFonts w:eastAsia="HiddenHorzOCR"/>
          <w:color w:val="000000" w:themeColor="text1"/>
          <w:szCs w:val="24"/>
        </w:rPr>
        <w:t xml:space="preserve">resulting in </w:t>
      </w:r>
      <w:r w:rsidR="00EE2A92">
        <w:rPr>
          <w:rFonts w:eastAsia="HiddenHorzOCR"/>
          <w:color w:val="000000" w:themeColor="text1"/>
          <w:szCs w:val="24"/>
        </w:rPr>
        <w:t>cholecystectomy without complication</w:t>
      </w:r>
      <w:r w:rsidR="00E23249">
        <w:rPr>
          <w:rFonts w:eastAsia="HiddenHorzOCR"/>
          <w:color w:val="000000" w:themeColor="text1"/>
          <w:szCs w:val="24"/>
        </w:rPr>
        <w:t>s or sequelae</w:t>
      </w:r>
      <w:r w:rsidR="00EE2A92">
        <w:rPr>
          <w:rFonts w:eastAsia="HiddenHorzOCR"/>
          <w:color w:val="000000" w:themeColor="text1"/>
          <w:szCs w:val="24"/>
        </w:rPr>
        <w:t xml:space="preserve">.  </w:t>
      </w:r>
      <w:r w:rsidR="009E0785">
        <w:rPr>
          <w:rFonts w:eastAsia="HiddenHorzOCR"/>
          <w:color w:val="000000" w:themeColor="text1"/>
          <w:szCs w:val="24"/>
        </w:rPr>
        <w:t>The</w:t>
      </w:r>
      <w:r w:rsidR="00164A9F">
        <w:rPr>
          <w:rFonts w:eastAsia="HiddenHorzOCR"/>
          <w:color w:val="000000" w:themeColor="text1"/>
          <w:szCs w:val="24"/>
        </w:rPr>
        <w:t xml:space="preserve"> condition was not appealed in s</w:t>
      </w:r>
      <w:r w:rsidR="009E0785">
        <w:rPr>
          <w:rFonts w:eastAsia="HiddenHorzOCR"/>
          <w:color w:val="000000" w:themeColor="text1"/>
          <w:szCs w:val="24"/>
        </w:rPr>
        <w:t xml:space="preserve">ervice; and, therefore a MEB retention classification, commander’s opinion, profile restrictions, and PEB </w:t>
      </w:r>
      <w:r w:rsidR="009E0785" w:rsidRPr="009E0785">
        <w:rPr>
          <w:rFonts w:eastAsia="HiddenHorzOCR"/>
          <w:color w:val="000000" w:themeColor="text1"/>
          <w:szCs w:val="24"/>
        </w:rPr>
        <w:t xml:space="preserve">fitness </w:t>
      </w:r>
      <w:r w:rsidR="009E0785">
        <w:rPr>
          <w:rFonts w:eastAsia="HiddenHorzOCR"/>
          <w:color w:val="000000" w:themeColor="text1"/>
          <w:szCs w:val="24"/>
        </w:rPr>
        <w:t xml:space="preserve">adjudication are not relevant to the Board’s recommendation.  </w:t>
      </w:r>
      <w:r w:rsidR="00A65C2D" w:rsidRPr="00A65C2D">
        <w:rPr>
          <w:rFonts w:eastAsia="HiddenHorzOCR"/>
          <w:color w:val="000000" w:themeColor="text1"/>
          <w:szCs w:val="24"/>
        </w:rPr>
        <w:t>This condition was</w:t>
      </w:r>
      <w:r w:rsidR="009E0785">
        <w:rPr>
          <w:rFonts w:eastAsia="HiddenHorzOCR"/>
          <w:color w:val="000000" w:themeColor="text1"/>
          <w:szCs w:val="24"/>
        </w:rPr>
        <w:t>, however,</w:t>
      </w:r>
      <w:r w:rsidR="00A65C2D" w:rsidRPr="00A65C2D">
        <w:rPr>
          <w:rFonts w:eastAsia="HiddenHorzOCR"/>
          <w:color w:val="000000" w:themeColor="text1"/>
          <w:szCs w:val="24"/>
        </w:rPr>
        <w:t xml:space="preserve"> reviewed by the </w:t>
      </w:r>
      <w:r w:rsidR="00164A9F">
        <w:rPr>
          <w:rFonts w:eastAsia="HiddenHorzOCR"/>
          <w:color w:val="000000" w:themeColor="text1"/>
          <w:szCs w:val="24"/>
        </w:rPr>
        <w:t>a</w:t>
      </w:r>
      <w:r w:rsidR="00E23249" w:rsidRPr="00E23249">
        <w:rPr>
          <w:rFonts w:eastAsia="HiddenHorzOCR"/>
          <w:color w:val="000000" w:themeColor="text1"/>
          <w:szCs w:val="24"/>
        </w:rPr>
        <w:t xml:space="preserve">ction </w:t>
      </w:r>
      <w:r w:rsidR="00164A9F">
        <w:rPr>
          <w:rFonts w:eastAsia="HiddenHorzOCR"/>
          <w:color w:val="000000" w:themeColor="text1"/>
          <w:szCs w:val="24"/>
        </w:rPr>
        <w:t>o</w:t>
      </w:r>
      <w:r w:rsidR="00E23249" w:rsidRPr="00E23249">
        <w:rPr>
          <w:rFonts w:eastAsia="HiddenHorzOCR"/>
          <w:color w:val="000000" w:themeColor="text1"/>
          <w:szCs w:val="24"/>
        </w:rPr>
        <w:t>fficer</w:t>
      </w:r>
      <w:r w:rsidR="00E23249" w:rsidRPr="00A65C2D">
        <w:rPr>
          <w:rFonts w:eastAsia="HiddenHorzOCR"/>
          <w:color w:val="000000" w:themeColor="text1"/>
          <w:szCs w:val="24"/>
        </w:rPr>
        <w:t xml:space="preserve"> </w:t>
      </w:r>
      <w:r w:rsidR="00A65C2D" w:rsidRPr="00A65C2D">
        <w:rPr>
          <w:rFonts w:eastAsia="HiddenHorzOCR"/>
          <w:color w:val="000000" w:themeColor="text1"/>
          <w:szCs w:val="24"/>
        </w:rPr>
        <w:t xml:space="preserve">and considered by the Board. </w:t>
      </w:r>
      <w:r w:rsidRPr="00A65C2D">
        <w:rPr>
          <w:color w:val="000000" w:themeColor="text1"/>
          <w:szCs w:val="24"/>
        </w:rPr>
        <w:t xml:space="preserve"> There was no evidence for concluding that </w:t>
      </w:r>
      <w:r w:rsidR="00E23249">
        <w:rPr>
          <w:rFonts w:eastAsia="HiddenHorzOCR"/>
          <w:color w:val="000000" w:themeColor="text1"/>
          <w:szCs w:val="24"/>
        </w:rPr>
        <w:t>it</w:t>
      </w:r>
      <w:r w:rsidR="00A65C2D" w:rsidRPr="00A65C2D">
        <w:rPr>
          <w:rFonts w:eastAsia="HiddenHorzOCR"/>
          <w:color w:val="000000" w:themeColor="text1"/>
          <w:szCs w:val="24"/>
        </w:rPr>
        <w:t xml:space="preserve"> </w:t>
      </w:r>
      <w:r w:rsidRPr="00A65C2D">
        <w:rPr>
          <w:color w:val="000000" w:themeColor="text1"/>
          <w:szCs w:val="24"/>
        </w:rPr>
        <w:t xml:space="preserve">interfered with duty performance to a degree that could be argued as unfitting.  The Board determined therefore that </w:t>
      </w:r>
      <w:r w:rsidR="00A65C2D" w:rsidRPr="00A65C2D">
        <w:rPr>
          <w:color w:val="000000" w:themeColor="text1"/>
          <w:szCs w:val="24"/>
        </w:rPr>
        <w:t xml:space="preserve">the </w:t>
      </w:r>
      <w:r w:rsidR="00E23249" w:rsidRPr="00A65C2D">
        <w:rPr>
          <w:rFonts w:eastAsia="HiddenHorzOCR"/>
          <w:color w:val="000000" w:themeColor="text1"/>
          <w:szCs w:val="24"/>
        </w:rPr>
        <w:t xml:space="preserve">gallbladder </w:t>
      </w:r>
      <w:r w:rsidR="009E0785">
        <w:rPr>
          <w:rFonts w:eastAsia="HiddenHorzOCR"/>
          <w:color w:val="000000" w:themeColor="text1"/>
          <w:szCs w:val="24"/>
        </w:rPr>
        <w:t xml:space="preserve">(surgical residuals) </w:t>
      </w:r>
      <w:r w:rsidR="00A65C2D" w:rsidRPr="00A65C2D">
        <w:rPr>
          <w:rFonts w:eastAsia="HiddenHorzOCR"/>
          <w:color w:val="000000" w:themeColor="text1"/>
          <w:szCs w:val="24"/>
        </w:rPr>
        <w:t>condition</w:t>
      </w:r>
      <w:r w:rsidR="0028261C" w:rsidRPr="00A65C2D">
        <w:rPr>
          <w:color w:val="000000" w:themeColor="text1"/>
          <w:szCs w:val="24"/>
        </w:rPr>
        <w:t xml:space="preserve"> </w:t>
      </w:r>
      <w:r w:rsidR="00A65C2D" w:rsidRPr="00A65C2D">
        <w:rPr>
          <w:color w:val="000000" w:themeColor="text1"/>
          <w:szCs w:val="24"/>
        </w:rPr>
        <w:t>was not</w:t>
      </w:r>
      <w:r w:rsidR="00164A9F">
        <w:rPr>
          <w:color w:val="000000" w:themeColor="text1"/>
          <w:szCs w:val="24"/>
        </w:rPr>
        <w:t xml:space="preserve"> subject to s</w:t>
      </w:r>
      <w:r w:rsidRPr="00A65C2D">
        <w:rPr>
          <w:color w:val="000000" w:themeColor="text1"/>
          <w:szCs w:val="24"/>
        </w:rPr>
        <w:t>ervice disability rating.</w:t>
      </w:r>
    </w:p>
    <w:p w:rsidR="00EC337D" w:rsidRPr="001F29F9" w:rsidRDefault="00EC337D" w:rsidP="00BF0E94">
      <w:pPr>
        <w:jc w:val="both"/>
        <w:rPr>
          <w:color w:val="000000" w:themeColor="text1"/>
          <w:szCs w:val="24"/>
        </w:rPr>
      </w:pPr>
    </w:p>
    <w:p w:rsidR="00A65C2D" w:rsidRPr="00A65C2D" w:rsidRDefault="003C5B54" w:rsidP="00A65C2D">
      <w:pPr>
        <w:jc w:val="both"/>
        <w:rPr>
          <w:color w:val="000000" w:themeColor="text1"/>
          <w:szCs w:val="24"/>
        </w:rPr>
      </w:pPr>
      <w:proofErr w:type="gramStart"/>
      <w:r w:rsidRPr="00A65C2D">
        <w:rPr>
          <w:color w:val="000000" w:themeColor="text1"/>
          <w:szCs w:val="24"/>
          <w:u w:val="single"/>
        </w:rPr>
        <w:t>Remaining Conditions.</w:t>
      </w:r>
      <w:proofErr w:type="gramEnd"/>
      <w:r w:rsidRPr="00A65C2D">
        <w:rPr>
          <w:color w:val="000000" w:themeColor="text1"/>
          <w:szCs w:val="24"/>
        </w:rPr>
        <w:t xml:space="preserve">  </w:t>
      </w:r>
      <w:r w:rsidR="00A02AA8" w:rsidRPr="00A65C2D">
        <w:rPr>
          <w:color w:val="000000" w:themeColor="text1"/>
          <w:szCs w:val="24"/>
        </w:rPr>
        <w:t xml:space="preserve">Other conditions identified in the DES file were </w:t>
      </w:r>
      <w:r w:rsidR="00A65C2D" w:rsidRPr="00A65C2D">
        <w:rPr>
          <w:color w:val="000000" w:themeColor="text1"/>
          <w:szCs w:val="24"/>
        </w:rPr>
        <w:t xml:space="preserve">exercise induced asthma, </w:t>
      </w:r>
      <w:r w:rsidR="00E23249">
        <w:rPr>
          <w:color w:val="000000" w:themeColor="text1"/>
          <w:szCs w:val="24"/>
        </w:rPr>
        <w:t xml:space="preserve">finger </w:t>
      </w:r>
      <w:r w:rsidR="00A65C2D" w:rsidRPr="00A65C2D">
        <w:rPr>
          <w:color w:val="000000" w:themeColor="text1"/>
          <w:szCs w:val="24"/>
        </w:rPr>
        <w:t xml:space="preserve">numbness, </w:t>
      </w:r>
      <w:r w:rsidR="00DE5EB0">
        <w:rPr>
          <w:color w:val="000000" w:themeColor="text1"/>
          <w:szCs w:val="24"/>
        </w:rPr>
        <w:t>an</w:t>
      </w:r>
      <w:r w:rsidR="00A65C2D" w:rsidRPr="00A65C2D">
        <w:rPr>
          <w:color w:val="000000" w:themeColor="text1"/>
          <w:szCs w:val="24"/>
        </w:rPr>
        <w:t xml:space="preserve"> orbit and cheekbone</w:t>
      </w:r>
      <w:r w:rsidR="00DE5EB0" w:rsidRPr="00DE5EB0">
        <w:rPr>
          <w:color w:val="000000" w:themeColor="text1"/>
          <w:szCs w:val="24"/>
        </w:rPr>
        <w:t xml:space="preserve"> </w:t>
      </w:r>
      <w:r w:rsidR="00DE5EB0" w:rsidRPr="00A65C2D">
        <w:rPr>
          <w:color w:val="000000" w:themeColor="text1"/>
          <w:szCs w:val="24"/>
        </w:rPr>
        <w:t>fracture</w:t>
      </w:r>
      <w:r w:rsidR="00A65C2D" w:rsidRPr="00A65C2D">
        <w:rPr>
          <w:color w:val="000000" w:themeColor="text1"/>
          <w:szCs w:val="24"/>
        </w:rPr>
        <w:t>, fused fingers</w:t>
      </w:r>
      <w:r w:rsidR="00DE5EB0">
        <w:rPr>
          <w:color w:val="000000" w:themeColor="text1"/>
          <w:szCs w:val="24"/>
        </w:rPr>
        <w:t>,</w:t>
      </w:r>
      <w:r w:rsidR="00A65C2D" w:rsidRPr="00A65C2D">
        <w:rPr>
          <w:color w:val="000000" w:themeColor="text1"/>
          <w:szCs w:val="24"/>
        </w:rPr>
        <w:t xml:space="preserve"> and allergies to bees and codeine</w:t>
      </w:r>
      <w:r w:rsidR="00A02AA8" w:rsidRPr="00A65C2D">
        <w:rPr>
          <w:color w:val="000000" w:themeColor="text1"/>
          <w:szCs w:val="24"/>
        </w:rPr>
        <w:t>.  Several additional non-acute conditions or medical complaints were also documented.  None of these conditions were significantly clinically or occupationally active during the MEB period</w:t>
      </w:r>
      <w:r w:rsidR="00DE5EB0">
        <w:rPr>
          <w:color w:val="000000" w:themeColor="text1"/>
          <w:szCs w:val="24"/>
        </w:rPr>
        <w:t>;</w:t>
      </w:r>
      <w:r w:rsidR="00A02AA8" w:rsidRPr="00A65C2D">
        <w:rPr>
          <w:color w:val="000000" w:themeColor="text1"/>
          <w:szCs w:val="24"/>
        </w:rPr>
        <w:t xml:space="preserve"> none carried attached profiles</w:t>
      </w:r>
      <w:r w:rsidR="00DE5EB0">
        <w:rPr>
          <w:color w:val="000000" w:themeColor="text1"/>
          <w:szCs w:val="24"/>
        </w:rPr>
        <w:t>;</w:t>
      </w:r>
      <w:r w:rsidR="00A02AA8" w:rsidRPr="00A65C2D">
        <w:rPr>
          <w:color w:val="000000" w:themeColor="text1"/>
          <w:szCs w:val="24"/>
        </w:rPr>
        <w:t xml:space="preserve"> and</w:t>
      </w:r>
      <w:r w:rsidR="00DE5EB0">
        <w:rPr>
          <w:color w:val="000000" w:themeColor="text1"/>
          <w:szCs w:val="24"/>
        </w:rPr>
        <w:t>,</w:t>
      </w:r>
      <w:r w:rsidR="00A02AA8" w:rsidRPr="00A65C2D">
        <w:rPr>
          <w:color w:val="000000" w:themeColor="text1"/>
          <w:szCs w:val="24"/>
        </w:rPr>
        <w:t xml:space="preserve"> none were implicated in the </w:t>
      </w:r>
      <w:r w:rsidR="0080588E" w:rsidRPr="00A65C2D">
        <w:rPr>
          <w:color w:val="000000" w:themeColor="text1"/>
          <w:szCs w:val="24"/>
        </w:rPr>
        <w:t>c</w:t>
      </w:r>
      <w:r w:rsidR="00A02AA8" w:rsidRPr="00A65C2D">
        <w:rPr>
          <w:color w:val="000000" w:themeColor="text1"/>
          <w:szCs w:val="24"/>
        </w:rPr>
        <w:t xml:space="preserve">ommander’s statement.  These conditions were reviewed by the </w:t>
      </w:r>
      <w:r w:rsidR="00164A9F">
        <w:rPr>
          <w:color w:val="000000" w:themeColor="text1"/>
          <w:szCs w:val="24"/>
        </w:rPr>
        <w:t>a</w:t>
      </w:r>
      <w:r w:rsidR="00261709" w:rsidRPr="00A65C2D">
        <w:rPr>
          <w:color w:val="000000" w:themeColor="text1"/>
          <w:szCs w:val="24"/>
        </w:rPr>
        <w:t xml:space="preserve">ction </w:t>
      </w:r>
      <w:r w:rsidR="00164A9F">
        <w:rPr>
          <w:color w:val="000000" w:themeColor="text1"/>
          <w:szCs w:val="24"/>
        </w:rPr>
        <w:t>o</w:t>
      </w:r>
      <w:r w:rsidR="00261709" w:rsidRPr="00A65C2D">
        <w:rPr>
          <w:color w:val="000000" w:themeColor="text1"/>
          <w:szCs w:val="24"/>
        </w:rPr>
        <w:t xml:space="preserve">fficer </w:t>
      </w:r>
      <w:r w:rsidR="00A02AA8" w:rsidRPr="00A65C2D">
        <w:rPr>
          <w:color w:val="000000" w:themeColor="text1"/>
          <w:szCs w:val="24"/>
        </w:rPr>
        <w:t xml:space="preserve">and considered </w:t>
      </w:r>
      <w:r w:rsidR="00A02AA8" w:rsidRPr="00A65C2D">
        <w:rPr>
          <w:color w:val="000000" w:themeColor="text1"/>
          <w:szCs w:val="24"/>
        </w:rPr>
        <w:lastRenderedPageBreak/>
        <w:t xml:space="preserve">by the Board.  It was determined that none could be argued as unfitting and subject to separation rating.  </w:t>
      </w:r>
      <w:r w:rsidR="00A65C2D" w:rsidRPr="00A65C2D">
        <w:rPr>
          <w:color w:val="000000" w:themeColor="text1"/>
          <w:szCs w:val="24"/>
        </w:rPr>
        <w:t>No other conditions wer</w:t>
      </w:r>
      <w:r w:rsidR="00C47062">
        <w:rPr>
          <w:color w:val="000000" w:themeColor="text1"/>
          <w:szCs w:val="24"/>
        </w:rPr>
        <w:t>e service-</w:t>
      </w:r>
      <w:r w:rsidR="00A65C2D" w:rsidRPr="00A65C2D">
        <w:rPr>
          <w:color w:val="000000" w:themeColor="text1"/>
          <w:szCs w:val="24"/>
        </w:rPr>
        <w:t>connected with a compensable rating by the VA within 12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C53E8" w:rsidRDefault="00C56FC8" w:rsidP="00DE5EB0">
      <w:pPr>
        <w:jc w:val="both"/>
        <w:rPr>
          <w:rFonts w:ascii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BB0372">
        <w:rPr>
          <w:rFonts w:eastAsiaTheme="minorHAnsi"/>
          <w:color w:val="000000" w:themeColor="text1"/>
          <w:szCs w:val="24"/>
        </w:rPr>
        <w:t xml:space="preserve">.  </w:t>
      </w:r>
      <w:r w:rsidR="003C53E8" w:rsidRPr="003C53E8">
        <w:rPr>
          <w:rFonts w:asciiTheme="minorHAnsi" w:eastAsiaTheme="minorHAnsi" w:hAnsiTheme="minorHAnsi" w:cs="Times New Roman"/>
          <w:color w:val="auto"/>
          <w:szCs w:val="24"/>
        </w:rPr>
        <w:t>The Board did not surmise from the record or PEB ruling in this case that any prerogatives outside the VASRD were exercised.</w:t>
      </w:r>
      <w:r w:rsidR="00BB0372">
        <w:rPr>
          <w:rFonts w:asciiTheme="minorHAnsi" w:eastAsiaTheme="minorHAnsi" w:hAnsiTheme="minorHAnsi" w:cs="Times New Roman"/>
          <w:color w:val="auto"/>
          <w:szCs w:val="24"/>
        </w:rPr>
        <w:t xml:space="preserve">  </w:t>
      </w:r>
      <w:r w:rsidR="003C53E8" w:rsidRPr="003C53E8">
        <w:rPr>
          <w:rFonts w:asciiTheme="minorHAnsi" w:eastAsiaTheme="minorHAnsi" w:hAnsiTheme="minorHAnsi" w:cs="Times New Roman"/>
          <w:color w:val="auto"/>
          <w:szCs w:val="24"/>
        </w:rPr>
        <w:t xml:space="preserve">In </w:t>
      </w:r>
      <w:r w:rsidR="003C53E8" w:rsidRPr="00531F6C">
        <w:rPr>
          <w:rFonts w:asciiTheme="minorHAnsi" w:eastAsiaTheme="minorHAnsi" w:hAnsiTheme="minorHAnsi" w:cs="Times New Roman"/>
          <w:color w:val="auto"/>
          <w:szCs w:val="24"/>
        </w:rPr>
        <w:t xml:space="preserve">the matter of the </w:t>
      </w:r>
      <w:r w:rsidR="00BB0372" w:rsidRPr="00531F6C">
        <w:rPr>
          <w:rFonts w:asciiTheme="minorHAnsi" w:eastAsiaTheme="minorHAnsi" w:hAnsiTheme="minorHAnsi" w:cs="Times New Roman"/>
          <w:color w:val="auto"/>
          <w:szCs w:val="24"/>
        </w:rPr>
        <w:t>left shoulder</w:t>
      </w:r>
      <w:r w:rsidR="003C53E8" w:rsidRPr="00531F6C">
        <w:rPr>
          <w:rFonts w:asciiTheme="minorHAnsi" w:eastAsiaTheme="minorHAnsi" w:hAnsiTheme="minorHAnsi" w:cs="Times New Roman"/>
          <w:color w:val="auto"/>
          <w:szCs w:val="24"/>
        </w:rPr>
        <w:t xml:space="preserve"> condition, the Board unanimously recommends a rating of </w:t>
      </w:r>
      <w:r w:rsidR="00BB0372" w:rsidRPr="00531F6C">
        <w:rPr>
          <w:rFonts w:asciiTheme="minorHAnsi" w:eastAsiaTheme="minorHAnsi" w:hAnsiTheme="minorHAnsi" w:cs="Times New Roman"/>
          <w:color w:val="auto"/>
          <w:szCs w:val="24"/>
        </w:rPr>
        <w:t>1</w:t>
      </w:r>
      <w:r w:rsidR="003C53E8" w:rsidRPr="00531F6C">
        <w:rPr>
          <w:rFonts w:asciiTheme="minorHAnsi" w:eastAsiaTheme="minorHAnsi" w:hAnsiTheme="minorHAnsi" w:cs="Times New Roman"/>
          <w:color w:val="auto"/>
          <w:szCs w:val="24"/>
        </w:rPr>
        <w:t xml:space="preserve">0% coded </w:t>
      </w:r>
      <w:r w:rsidR="00DE5EB0" w:rsidRPr="00531F6C">
        <w:rPr>
          <w:rFonts w:asciiTheme="minorHAnsi" w:eastAsiaTheme="minorHAnsi" w:hAnsiTheme="minorHAnsi" w:cs="Times New Roman"/>
          <w:color w:val="auto"/>
          <w:szCs w:val="24"/>
        </w:rPr>
        <w:t>5099-</w:t>
      </w:r>
      <w:r w:rsidR="00BB0372" w:rsidRPr="00531F6C">
        <w:rPr>
          <w:rFonts w:asciiTheme="minorHAnsi" w:eastAsiaTheme="minorHAnsi" w:hAnsiTheme="minorHAnsi" w:cs="Times New Roman"/>
          <w:color w:val="auto"/>
          <w:szCs w:val="24"/>
        </w:rPr>
        <w:t>5024</w:t>
      </w:r>
      <w:r w:rsidR="003C53E8" w:rsidRPr="00531F6C">
        <w:rPr>
          <w:rFonts w:asciiTheme="minorHAnsi" w:eastAsiaTheme="minorHAnsi" w:hAnsiTheme="minorHAnsi" w:cs="Times New Roman"/>
          <w:color w:val="auto"/>
          <w:szCs w:val="24"/>
        </w:rPr>
        <w:t xml:space="preserve"> </w:t>
      </w:r>
      <w:r w:rsidR="003C53E8" w:rsidRPr="00531F6C">
        <w:rPr>
          <w:rFonts w:asciiTheme="minorHAnsi" w:hAnsiTheme="minorHAnsi" w:cs="Times New Roman"/>
          <w:color w:val="auto"/>
          <w:szCs w:val="24"/>
        </w:rPr>
        <w:t xml:space="preserve">IAW VASRD §4.71a.  </w:t>
      </w:r>
      <w:r w:rsidR="00BB0372" w:rsidRPr="00531F6C">
        <w:rPr>
          <w:rFonts w:asciiTheme="minorHAnsi" w:hAnsiTheme="minorHAnsi" w:cs="Times New Roman"/>
          <w:color w:val="auto"/>
          <w:szCs w:val="24"/>
        </w:rPr>
        <w:t xml:space="preserve">In the matter of the right shoulder condition, the Board unanimously recommends that it be added as an additionally ratable condition; coded </w:t>
      </w:r>
      <w:r w:rsidR="00DE5EB0" w:rsidRPr="00531F6C">
        <w:rPr>
          <w:rFonts w:asciiTheme="minorHAnsi" w:hAnsiTheme="minorHAnsi" w:cs="Times New Roman"/>
          <w:color w:val="auto"/>
          <w:szCs w:val="24"/>
        </w:rPr>
        <w:t>5099-</w:t>
      </w:r>
      <w:r w:rsidR="00BB0372" w:rsidRPr="00531F6C">
        <w:rPr>
          <w:rFonts w:asciiTheme="minorHAnsi" w:hAnsiTheme="minorHAnsi" w:cs="Times New Roman"/>
          <w:color w:val="auto"/>
          <w:szCs w:val="24"/>
        </w:rPr>
        <w:t>5024 and rated 10% IAW VASRD §4.71a.</w:t>
      </w:r>
      <w:r w:rsidR="00906BB9" w:rsidRPr="00531F6C">
        <w:rPr>
          <w:rFonts w:asciiTheme="minorHAnsi" w:hAnsiTheme="minorHAnsi" w:cs="Times New Roman"/>
          <w:b/>
          <w:color w:val="FF0000"/>
          <w:szCs w:val="24"/>
        </w:rPr>
        <w:t xml:space="preserve"> </w:t>
      </w:r>
      <w:r w:rsidR="00906BB9" w:rsidRPr="00531F6C">
        <w:rPr>
          <w:rFonts w:asciiTheme="minorHAnsi" w:hAnsiTheme="minorHAnsi" w:cs="Times New Roman"/>
          <w:color w:val="auto"/>
          <w:szCs w:val="24"/>
        </w:rPr>
        <w:t xml:space="preserve">  In the matter of the migraine headache and insomnia conditions, the Board unanimously recommends no change from the PEB adjudications as not unfitting.  </w:t>
      </w:r>
      <w:r w:rsidR="00DE5EB0" w:rsidRPr="00531F6C">
        <w:rPr>
          <w:rFonts w:asciiTheme="minorHAnsi" w:hAnsiTheme="minorHAnsi" w:cs="Times New Roman"/>
          <w:color w:val="auto"/>
          <w:szCs w:val="24"/>
        </w:rPr>
        <w:t>In the matter of the contended gallbladder (surgical residuals) condition, the Board unanimously agrees</w:t>
      </w:r>
      <w:r w:rsidR="00DE5EB0" w:rsidRPr="00DE5EB0">
        <w:rPr>
          <w:rFonts w:asciiTheme="minorHAnsi" w:hAnsiTheme="minorHAnsi" w:cs="Times New Roman"/>
          <w:color w:val="auto"/>
          <w:szCs w:val="24"/>
        </w:rPr>
        <w:t xml:space="preserve"> that it cannot recommend a finding of unfit for additional rating at separation.  The Board unanimously agrees that there were no other conditions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FB593A" w:rsidRPr="001F29F9" w:rsidRDefault="00C56FC8" w:rsidP="00BF0E94">
      <w:pPr>
        <w:jc w:val="left"/>
        <w:rPr>
          <w:color w:val="000000" w:themeColor="text1"/>
        </w:rPr>
      </w:pPr>
      <w:r w:rsidRPr="001F29F9">
        <w:rPr>
          <w:color w:val="000000" w:themeColor="text1"/>
          <w:szCs w:val="24"/>
          <w:u w:val="single"/>
        </w:rPr>
        <w:t>RECOMMENDATION</w:t>
      </w:r>
      <w:r w:rsidRPr="001F29F9">
        <w:rPr>
          <w:color w:val="000000" w:themeColor="text1"/>
          <w:szCs w:val="24"/>
        </w:rPr>
        <w:t>:</w:t>
      </w:r>
      <w:r w:rsidR="00906BB9" w:rsidRPr="00906BB9">
        <w:rPr>
          <w:color w:val="000000" w:themeColor="text1"/>
          <w:szCs w:val="24"/>
        </w:rPr>
        <w:t xml:space="preserve"> </w:t>
      </w:r>
      <w:r w:rsidR="00906BB9">
        <w:rPr>
          <w:color w:val="000000" w:themeColor="text1"/>
          <w:szCs w:val="24"/>
        </w:rPr>
        <w:t xml:space="preserve"> </w:t>
      </w:r>
      <w:r w:rsidR="00906BB9" w:rsidRPr="001F29F9">
        <w:rPr>
          <w:color w:val="000000" w:themeColor="text1"/>
          <w:szCs w:val="24"/>
        </w:rPr>
        <w:t>The Board recommends that the CI’s prior determination be modified as follows, effective as of the date of his prior medical separation:</w:t>
      </w:r>
    </w:p>
    <w:p w:rsidR="00C26B27" w:rsidRPr="001F29F9" w:rsidRDefault="00C26B27" w:rsidP="00BF0E94">
      <w:pPr>
        <w:jc w:val="both"/>
        <w:rPr>
          <w:b/>
          <w:color w:val="000000" w:themeColor="text1"/>
          <w:szCs w:val="24"/>
        </w:rPr>
      </w:pPr>
    </w:p>
    <w:p w:rsidR="001E3FE1" w:rsidRPr="001F29F9" w:rsidRDefault="001E3FE1" w:rsidP="00BF0E94">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6"/>
        <w:gridCol w:w="1656"/>
        <w:gridCol w:w="1724"/>
        <w:gridCol w:w="1084"/>
      </w:tblGrid>
      <w:tr w:rsidR="004101B2" w:rsidRPr="001F29F9" w:rsidTr="0080588E">
        <w:trPr>
          <w:trHeight w:val="206"/>
          <w:jc w:val="center"/>
        </w:trPr>
        <w:tc>
          <w:tcPr>
            <w:tcW w:w="6462" w:type="dxa"/>
            <w:gridSpan w:val="2"/>
            <w:tcBorders>
              <w:right w:val="single" w:sz="4" w:space="0" w:color="auto"/>
            </w:tcBorders>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UNFITTING CONDITION</w:t>
            </w:r>
          </w:p>
        </w:tc>
        <w:tc>
          <w:tcPr>
            <w:tcW w:w="1724" w:type="dxa"/>
            <w:tcBorders>
              <w:left w:val="single" w:sz="4" w:space="0" w:color="auto"/>
            </w:tcBorders>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VASRD CODE</w:t>
            </w:r>
          </w:p>
        </w:tc>
        <w:tc>
          <w:tcPr>
            <w:tcW w:w="1084" w:type="dxa"/>
            <w:shd w:val="clear" w:color="auto" w:fill="D9D9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RATING</w:t>
            </w:r>
          </w:p>
        </w:tc>
      </w:tr>
      <w:tr w:rsidR="004101B2" w:rsidRPr="001F29F9" w:rsidTr="0080588E">
        <w:trPr>
          <w:jc w:val="center"/>
        </w:trPr>
        <w:tc>
          <w:tcPr>
            <w:tcW w:w="6462" w:type="dxa"/>
            <w:gridSpan w:val="2"/>
            <w:tcBorders>
              <w:right w:val="single" w:sz="4" w:space="0" w:color="auto"/>
            </w:tcBorders>
            <w:vAlign w:val="center"/>
          </w:tcPr>
          <w:p w:rsidR="004101B2" w:rsidRPr="001F29F9" w:rsidRDefault="00DE5EB0" w:rsidP="00BF0E94">
            <w:pPr>
              <w:tabs>
                <w:tab w:val="left" w:pos="288"/>
                <w:tab w:val="left" w:pos="4752"/>
              </w:tabs>
              <w:jc w:val="left"/>
              <w:rPr>
                <w:color w:val="000000" w:themeColor="text1"/>
                <w:szCs w:val="24"/>
              </w:rPr>
            </w:pPr>
            <w:r>
              <w:rPr>
                <w:color w:val="000000" w:themeColor="text1"/>
                <w:szCs w:val="24"/>
              </w:rPr>
              <w:t xml:space="preserve">Surgical </w:t>
            </w:r>
            <w:r w:rsidR="00906BB9">
              <w:rPr>
                <w:color w:val="000000" w:themeColor="text1"/>
                <w:szCs w:val="24"/>
              </w:rPr>
              <w:t>Residuals, Left Shoulder</w:t>
            </w:r>
          </w:p>
        </w:tc>
        <w:tc>
          <w:tcPr>
            <w:tcW w:w="1724" w:type="dxa"/>
            <w:tcBorders>
              <w:left w:val="single" w:sz="4" w:space="0" w:color="auto"/>
            </w:tcBorders>
            <w:vAlign w:val="center"/>
          </w:tcPr>
          <w:p w:rsidR="004101B2" w:rsidRPr="001F29F9" w:rsidRDefault="00DE5EB0" w:rsidP="00BF0E94">
            <w:pPr>
              <w:tabs>
                <w:tab w:val="left" w:pos="288"/>
                <w:tab w:val="left" w:pos="4752"/>
              </w:tabs>
              <w:rPr>
                <w:color w:val="000000" w:themeColor="text1"/>
                <w:szCs w:val="24"/>
              </w:rPr>
            </w:pPr>
            <w:r>
              <w:rPr>
                <w:color w:val="000000" w:themeColor="text1"/>
                <w:szCs w:val="24"/>
              </w:rPr>
              <w:t>5099-</w:t>
            </w:r>
            <w:r w:rsidR="00906BB9">
              <w:rPr>
                <w:color w:val="000000" w:themeColor="text1"/>
                <w:szCs w:val="24"/>
              </w:rPr>
              <w:t>5024</w:t>
            </w:r>
          </w:p>
        </w:tc>
        <w:tc>
          <w:tcPr>
            <w:tcW w:w="1084" w:type="dxa"/>
            <w:vAlign w:val="center"/>
          </w:tcPr>
          <w:p w:rsidR="004101B2" w:rsidRPr="001F29F9" w:rsidRDefault="00906BB9" w:rsidP="00BF0E94">
            <w:pPr>
              <w:tabs>
                <w:tab w:val="left" w:pos="288"/>
                <w:tab w:val="left" w:pos="4752"/>
              </w:tabs>
              <w:rPr>
                <w:color w:val="000000" w:themeColor="text1"/>
                <w:szCs w:val="24"/>
              </w:rPr>
            </w:pPr>
            <w:r>
              <w:rPr>
                <w:color w:val="000000" w:themeColor="text1"/>
                <w:szCs w:val="24"/>
              </w:rPr>
              <w:t>10%</w:t>
            </w:r>
          </w:p>
        </w:tc>
      </w:tr>
      <w:tr w:rsidR="00906BB9" w:rsidRPr="001F29F9" w:rsidTr="0080588E">
        <w:trPr>
          <w:jc w:val="center"/>
        </w:trPr>
        <w:tc>
          <w:tcPr>
            <w:tcW w:w="6462" w:type="dxa"/>
            <w:gridSpan w:val="2"/>
            <w:tcBorders>
              <w:right w:val="single" w:sz="4" w:space="0" w:color="auto"/>
            </w:tcBorders>
            <w:vAlign w:val="center"/>
          </w:tcPr>
          <w:p w:rsidR="00906BB9" w:rsidRPr="001F29F9" w:rsidRDefault="00DE5EB0" w:rsidP="00906BB9">
            <w:pPr>
              <w:tabs>
                <w:tab w:val="left" w:pos="288"/>
                <w:tab w:val="left" w:pos="4752"/>
              </w:tabs>
              <w:jc w:val="left"/>
              <w:rPr>
                <w:color w:val="000000" w:themeColor="text1"/>
                <w:szCs w:val="24"/>
              </w:rPr>
            </w:pPr>
            <w:r>
              <w:rPr>
                <w:color w:val="000000" w:themeColor="text1"/>
                <w:szCs w:val="24"/>
              </w:rPr>
              <w:t xml:space="preserve">Surgical </w:t>
            </w:r>
            <w:r w:rsidR="00906BB9">
              <w:rPr>
                <w:color w:val="000000" w:themeColor="text1"/>
                <w:szCs w:val="24"/>
              </w:rPr>
              <w:t>Residuals, Right Shoulder</w:t>
            </w:r>
          </w:p>
        </w:tc>
        <w:tc>
          <w:tcPr>
            <w:tcW w:w="1724" w:type="dxa"/>
            <w:tcBorders>
              <w:left w:val="single" w:sz="4" w:space="0" w:color="auto"/>
            </w:tcBorders>
            <w:vAlign w:val="center"/>
          </w:tcPr>
          <w:p w:rsidR="00906BB9" w:rsidRPr="001F29F9" w:rsidRDefault="00DE5EB0" w:rsidP="00BF0E94">
            <w:pPr>
              <w:tabs>
                <w:tab w:val="left" w:pos="288"/>
                <w:tab w:val="left" w:pos="4752"/>
              </w:tabs>
              <w:rPr>
                <w:color w:val="000000" w:themeColor="text1"/>
                <w:szCs w:val="24"/>
              </w:rPr>
            </w:pPr>
            <w:r>
              <w:rPr>
                <w:color w:val="000000" w:themeColor="text1"/>
                <w:szCs w:val="24"/>
              </w:rPr>
              <w:t>5099-5024</w:t>
            </w:r>
          </w:p>
        </w:tc>
        <w:tc>
          <w:tcPr>
            <w:tcW w:w="1084" w:type="dxa"/>
            <w:vAlign w:val="center"/>
          </w:tcPr>
          <w:p w:rsidR="00906BB9" w:rsidRPr="001F29F9" w:rsidRDefault="00906BB9" w:rsidP="00BF0E94">
            <w:pPr>
              <w:tabs>
                <w:tab w:val="left" w:pos="288"/>
                <w:tab w:val="left" w:pos="4752"/>
              </w:tabs>
              <w:rPr>
                <w:color w:val="000000" w:themeColor="text1"/>
                <w:szCs w:val="24"/>
              </w:rPr>
            </w:pPr>
            <w:r>
              <w:rPr>
                <w:color w:val="000000" w:themeColor="text1"/>
                <w:szCs w:val="24"/>
              </w:rPr>
              <w:t>10%</w:t>
            </w:r>
          </w:p>
        </w:tc>
      </w:tr>
      <w:tr w:rsidR="004101B2" w:rsidRPr="001F29F9" w:rsidTr="0080588E">
        <w:tblPrEx>
          <w:tblLook w:val="0000"/>
        </w:tblPrEx>
        <w:trPr>
          <w:gridBefore w:val="1"/>
          <w:wBefore w:w="4806"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4101B2" w:rsidRPr="001F29F9" w:rsidRDefault="004101B2" w:rsidP="00BF0E94">
            <w:pPr>
              <w:tabs>
                <w:tab w:val="left" w:pos="288"/>
                <w:tab w:val="left" w:pos="4752"/>
              </w:tabs>
              <w:rPr>
                <w:b/>
                <w:color w:val="000000" w:themeColor="text1"/>
                <w:szCs w:val="24"/>
              </w:rPr>
            </w:pPr>
            <w:r w:rsidRPr="001F29F9">
              <w:rPr>
                <w:b/>
                <w:color w:val="000000" w:themeColor="text1"/>
                <w:szCs w:val="24"/>
              </w:rPr>
              <w:t>COMBINED (Incorporating BLF)</w:t>
            </w:r>
          </w:p>
        </w:tc>
        <w:tc>
          <w:tcPr>
            <w:tcW w:w="1084" w:type="dxa"/>
            <w:tcBorders>
              <w:bottom w:val="single" w:sz="4" w:space="0" w:color="000000"/>
            </w:tcBorders>
            <w:shd w:val="clear" w:color="auto" w:fill="D9D9D9" w:themeFill="background1" w:themeFillShade="D9"/>
            <w:vAlign w:val="center"/>
          </w:tcPr>
          <w:p w:rsidR="004101B2" w:rsidRPr="001F29F9" w:rsidRDefault="00906BB9" w:rsidP="00BF0E94">
            <w:pPr>
              <w:tabs>
                <w:tab w:val="left" w:pos="288"/>
                <w:tab w:val="left" w:pos="4752"/>
              </w:tabs>
              <w:rPr>
                <w:b/>
                <w:color w:val="000000" w:themeColor="text1"/>
                <w:szCs w:val="24"/>
              </w:rPr>
            </w:pPr>
            <w:r>
              <w:rPr>
                <w:b/>
                <w:color w:val="000000" w:themeColor="text1"/>
                <w:szCs w:val="24"/>
              </w:rPr>
              <w:t>20</w:t>
            </w:r>
            <w:r w:rsidR="004101B2" w:rsidRPr="001F29F9">
              <w:rPr>
                <w:b/>
                <w:color w:val="000000" w:themeColor="text1"/>
                <w:szCs w:val="24"/>
              </w:rPr>
              <w:t>%</w:t>
            </w:r>
          </w:p>
        </w:tc>
      </w:tr>
    </w:tbl>
    <w:p w:rsidR="00296369" w:rsidRPr="001F29F9" w:rsidRDefault="0029636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 xml:space="preserve">dated </w:t>
      </w:r>
      <w:r w:rsidR="00A65C2D" w:rsidRPr="00A65C2D">
        <w:rPr>
          <w:color w:val="000000" w:themeColor="text1"/>
          <w:szCs w:val="24"/>
        </w:rPr>
        <w:t>20110617</w:t>
      </w:r>
      <w:r w:rsidR="00164A9F">
        <w:rPr>
          <w:color w:val="000000" w:themeColor="text1"/>
        </w:rPr>
        <w:t>, w/</w:t>
      </w:r>
      <w:proofErr w:type="spellStart"/>
      <w:r w:rsidR="00164A9F">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164A9F">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164A9F">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2F65D9" w:rsidRDefault="002F195B" w:rsidP="009E0785">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2F65D9" w:rsidRDefault="002F65D9">
      <w:pPr>
        <w:rPr>
          <w:color w:val="000000" w:themeColor="text1"/>
          <w:szCs w:val="24"/>
        </w:rPr>
      </w:pPr>
      <w:r>
        <w:rPr>
          <w:color w:val="000000" w:themeColor="text1"/>
          <w:szCs w:val="24"/>
        </w:rPr>
        <w:br w:type="page"/>
      </w:r>
    </w:p>
    <w:p w:rsidR="002F65D9" w:rsidRDefault="002F65D9" w:rsidP="002F65D9">
      <w:pPr>
        <w:pStyle w:val="Header"/>
        <w:tabs>
          <w:tab w:val="clear" w:pos="4320"/>
          <w:tab w:val="clear" w:pos="8640"/>
        </w:tabs>
        <w:jc w:val="left"/>
      </w:pPr>
      <w:r>
        <w:lastRenderedPageBreak/>
        <w:t>SFMR-RB</w:t>
      </w:r>
      <w:r>
        <w:tab/>
      </w:r>
      <w:r>
        <w:tab/>
      </w:r>
      <w:r>
        <w:tab/>
      </w:r>
      <w:r>
        <w:tab/>
      </w:r>
      <w:r>
        <w:tab/>
      </w:r>
      <w:r>
        <w:tab/>
      </w:r>
      <w:r>
        <w:tab/>
      </w:r>
      <w:r>
        <w:tab/>
      </w:r>
      <w:r>
        <w:tab/>
      </w:r>
    </w:p>
    <w:p w:rsidR="002F65D9" w:rsidRDefault="002F65D9" w:rsidP="002F65D9">
      <w:pPr>
        <w:pStyle w:val="Header"/>
        <w:tabs>
          <w:tab w:val="clear" w:pos="4320"/>
          <w:tab w:val="clear" w:pos="8640"/>
        </w:tabs>
        <w:jc w:val="left"/>
      </w:pPr>
    </w:p>
    <w:p w:rsidR="002F65D9" w:rsidRDefault="002F65D9" w:rsidP="002F65D9">
      <w:pPr>
        <w:jc w:val="left"/>
      </w:pPr>
    </w:p>
    <w:p w:rsidR="002F65D9" w:rsidRDefault="002F65D9" w:rsidP="002F65D9">
      <w:pPr>
        <w:jc w:val="left"/>
      </w:pPr>
      <w:r>
        <w:t xml:space="preserve">MEMORANDUM FOR Commander, US Army Physical Disability Agency </w:t>
      </w:r>
    </w:p>
    <w:p w:rsidR="002F65D9" w:rsidRDefault="002F65D9" w:rsidP="002F65D9">
      <w:pPr>
        <w:jc w:val="left"/>
      </w:pPr>
      <w:r>
        <w:t xml:space="preserve"> </w:t>
      </w:r>
    </w:p>
    <w:p w:rsidR="002F65D9" w:rsidRDefault="002F65D9" w:rsidP="002F65D9">
      <w:pPr>
        <w:jc w:val="left"/>
      </w:pPr>
    </w:p>
    <w:p w:rsidR="002F65D9" w:rsidRDefault="002F65D9" w:rsidP="002F65D9">
      <w:pPr>
        <w:ind w:right="-180"/>
        <w:jc w:val="left"/>
      </w:pPr>
      <w:r>
        <w:t xml:space="preserve">SUBJECT:  Department of Defense Physical Disability Board of Review Recommendation </w:t>
      </w:r>
    </w:p>
    <w:p w:rsidR="002F65D9" w:rsidRDefault="002F65D9" w:rsidP="002F65D9">
      <w:pPr>
        <w:pStyle w:val="Header"/>
        <w:tabs>
          <w:tab w:val="left" w:pos="720"/>
        </w:tabs>
        <w:jc w:val="left"/>
      </w:pPr>
      <w:r>
        <w:t xml:space="preserve"> </w:t>
      </w:r>
    </w:p>
    <w:p w:rsidR="002F65D9" w:rsidRDefault="002F65D9" w:rsidP="002F65D9">
      <w:pPr>
        <w:pStyle w:val="Header"/>
        <w:tabs>
          <w:tab w:val="left" w:pos="720"/>
        </w:tabs>
        <w:jc w:val="left"/>
      </w:pPr>
    </w:p>
    <w:p w:rsidR="002F65D9" w:rsidRDefault="002F65D9" w:rsidP="002F65D9">
      <w:pPr>
        <w:jc w:val="left"/>
      </w:pPr>
    </w:p>
    <w:p w:rsidR="002F65D9" w:rsidRDefault="002F65D9" w:rsidP="002F65D9">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2F65D9" w:rsidRDefault="002F65D9" w:rsidP="002F65D9">
      <w:pPr>
        <w:jc w:val="left"/>
      </w:pPr>
    </w:p>
    <w:p w:rsidR="002F65D9" w:rsidRDefault="002F65D9" w:rsidP="002F65D9">
      <w:pPr>
        <w:jc w:val="left"/>
      </w:pPr>
      <w:r w:rsidRPr="00B904A2">
        <w:t xml:space="preserve">2.  I direct that all the Department of the Army records of the individual concerned be corrected </w:t>
      </w:r>
      <w:r>
        <w:t xml:space="preserve">accordingly </w:t>
      </w:r>
      <w:r w:rsidRPr="00B904A2">
        <w:t xml:space="preserve">no later than </w:t>
      </w:r>
      <w:r>
        <w:t>120 days from the date of this memorandum</w:t>
      </w:r>
      <w:r w:rsidRPr="00B904A2">
        <w:t xml:space="preserve">. </w:t>
      </w:r>
      <w:r>
        <w:t xml:space="preserve"> </w:t>
      </w:r>
      <w:r w:rsidRPr="00B904A2">
        <w:t xml:space="preserve"> </w:t>
      </w:r>
    </w:p>
    <w:p w:rsidR="002F65D9" w:rsidRDefault="002F65D9" w:rsidP="002F65D9">
      <w:pPr>
        <w:jc w:val="left"/>
      </w:pPr>
    </w:p>
    <w:p w:rsidR="002F65D9" w:rsidRDefault="002F65D9" w:rsidP="002F65D9">
      <w:pPr>
        <w:jc w:val="left"/>
      </w:pPr>
      <w:r>
        <w:t>3.  I request that a copy of the corrections and any related correspondence be provided to the individual concerned, counsel (if any), any Members of Congress who have shown interest, and to the Army Review Boards Agency</w:t>
      </w:r>
      <w:r w:rsidRPr="00071A96">
        <w:t xml:space="preserve"> </w:t>
      </w:r>
      <w:r>
        <w:t>with a copy of this memorandum without enclosures.</w:t>
      </w:r>
    </w:p>
    <w:p w:rsidR="002F65D9" w:rsidRDefault="002F65D9" w:rsidP="002F65D9">
      <w:pPr>
        <w:jc w:val="left"/>
      </w:pPr>
    </w:p>
    <w:p w:rsidR="002F65D9" w:rsidRDefault="002F65D9" w:rsidP="002F65D9">
      <w:pPr>
        <w:jc w:val="left"/>
      </w:pPr>
      <w:r>
        <w:t xml:space="preserve"> BY ORDER OF THE SECRETARY OF THE ARMY:</w:t>
      </w:r>
    </w:p>
    <w:p w:rsidR="002F65D9" w:rsidRDefault="002F65D9" w:rsidP="002F65D9">
      <w:pPr>
        <w:jc w:val="left"/>
      </w:pPr>
    </w:p>
    <w:p w:rsidR="002F65D9" w:rsidRDefault="002F65D9" w:rsidP="002F65D9">
      <w:pPr>
        <w:jc w:val="left"/>
      </w:pPr>
    </w:p>
    <w:p w:rsidR="002F65D9" w:rsidRDefault="002F65D9" w:rsidP="002F65D9">
      <w:pPr>
        <w:pStyle w:val="Header"/>
        <w:tabs>
          <w:tab w:val="clear" w:pos="4320"/>
          <w:tab w:val="clear" w:pos="8640"/>
        </w:tabs>
        <w:jc w:val="left"/>
      </w:pPr>
    </w:p>
    <w:p w:rsidR="002F65D9" w:rsidRDefault="002F65D9" w:rsidP="002F65D9">
      <w:pPr>
        <w:jc w:val="left"/>
      </w:pPr>
    </w:p>
    <w:p w:rsidR="002F65D9" w:rsidRDefault="002F65D9" w:rsidP="002F65D9">
      <w:pPr>
        <w:jc w:val="left"/>
      </w:pPr>
      <w:bookmarkStart w:id="0" w:name="OLE_LINK3"/>
      <w:bookmarkStart w:id="1" w:name="OLE_LINK4"/>
      <w:r>
        <w:t>Encl</w:t>
      </w:r>
      <w:r>
        <w:tab/>
      </w:r>
      <w:r>
        <w:tab/>
      </w:r>
      <w:r>
        <w:tab/>
      </w:r>
      <w:r>
        <w:tab/>
      </w:r>
      <w:r>
        <w:tab/>
      </w:r>
      <w:r>
        <w:tab/>
      </w:r>
    </w:p>
    <w:p w:rsidR="002F65D9" w:rsidRDefault="002F65D9" w:rsidP="002F65D9">
      <w:pPr>
        <w:jc w:val="left"/>
      </w:pPr>
      <w:r>
        <w:tab/>
      </w:r>
      <w:r>
        <w:tab/>
      </w:r>
      <w:r>
        <w:tab/>
      </w:r>
      <w:r>
        <w:tab/>
      </w:r>
      <w:r>
        <w:tab/>
      </w:r>
      <w:r>
        <w:tab/>
        <w:t xml:space="preserve">     Deputy Assistant Secretary</w:t>
      </w:r>
    </w:p>
    <w:p w:rsidR="002F65D9" w:rsidRDefault="002F65D9" w:rsidP="002F65D9">
      <w:pPr>
        <w:jc w:val="left"/>
      </w:pPr>
      <w:r>
        <w:tab/>
      </w:r>
      <w:r>
        <w:tab/>
      </w:r>
      <w:r>
        <w:tab/>
      </w:r>
      <w:r>
        <w:tab/>
      </w:r>
      <w:r>
        <w:tab/>
      </w:r>
      <w:r>
        <w:tab/>
        <w:t xml:space="preserve">         (Army Review Boards)</w:t>
      </w:r>
      <w:bookmarkEnd w:id="0"/>
      <w:bookmarkEnd w:id="1"/>
    </w:p>
    <w:p w:rsidR="00DC1607" w:rsidRPr="00DC1607" w:rsidRDefault="00DC1607" w:rsidP="009E0785">
      <w:pPr>
        <w:tabs>
          <w:tab w:val="left" w:pos="0"/>
          <w:tab w:val="left" w:pos="4320"/>
        </w:tabs>
        <w:jc w:val="both"/>
        <w:rPr>
          <w:color w:val="000000" w:themeColor="text1"/>
          <w:szCs w:val="24"/>
          <w:u w:val="single"/>
        </w:rPr>
      </w:pPr>
    </w:p>
    <w:p w:rsidR="007D57C0" w:rsidRPr="001F29F9" w:rsidRDefault="007D57C0" w:rsidP="00906BB9">
      <w:pPr>
        <w:jc w:val="both"/>
        <w:rPr>
          <w:rFonts w:eastAsiaTheme="minorHAnsi"/>
          <w:color w:val="000000" w:themeColor="text1"/>
          <w:szCs w:val="18"/>
        </w:rPr>
      </w:pPr>
    </w:p>
    <w:sectPr w:rsidR="007D57C0"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799" w:rsidRDefault="00E55799">
      <w:r>
        <w:separator/>
      </w:r>
    </w:p>
  </w:endnote>
  <w:endnote w:type="continuationSeparator" w:id="0">
    <w:p w:rsidR="00E55799" w:rsidRDefault="00E55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456773" w:rsidRPr="00374247" w:rsidRDefault="00456773" w:rsidP="00374247">
        <w:pPr>
          <w:pStyle w:val="Footer"/>
          <w:ind w:firstLine="4320"/>
          <w:rPr>
            <w:color w:val="auto"/>
            <w:szCs w:val="24"/>
          </w:rPr>
        </w:pPr>
        <w:r w:rsidRPr="00374247">
          <w:rPr>
            <w:color w:val="auto"/>
            <w:szCs w:val="24"/>
          </w:rPr>
          <w:t xml:space="preserve">   </w:t>
        </w:r>
        <w:r w:rsidR="00C30D22" w:rsidRPr="00374247">
          <w:rPr>
            <w:color w:val="auto"/>
            <w:szCs w:val="24"/>
          </w:rPr>
          <w:fldChar w:fldCharType="begin"/>
        </w:r>
        <w:r w:rsidRPr="00374247">
          <w:rPr>
            <w:color w:val="auto"/>
            <w:szCs w:val="24"/>
          </w:rPr>
          <w:instrText xml:space="preserve"> PAGE   \* MERGEFORMAT </w:instrText>
        </w:r>
        <w:r w:rsidR="00C30D22" w:rsidRPr="00374247">
          <w:rPr>
            <w:color w:val="auto"/>
            <w:szCs w:val="24"/>
          </w:rPr>
          <w:fldChar w:fldCharType="separate"/>
        </w:r>
        <w:r w:rsidR="002F65D9" w:rsidRPr="002F65D9">
          <w:rPr>
            <w:noProof/>
            <w:color w:val="auto"/>
          </w:rPr>
          <w:t>2</w:t>
        </w:r>
        <w:r w:rsidR="00C30D22" w:rsidRPr="00374247">
          <w:rPr>
            <w:color w:val="auto"/>
            <w:szCs w:val="24"/>
          </w:rPr>
          <w:fldChar w:fldCharType="end"/>
        </w:r>
        <w:r w:rsidRPr="00374247">
          <w:rPr>
            <w:color w:val="auto"/>
            <w:szCs w:val="24"/>
          </w:rPr>
          <w:t xml:space="preserve">                                                           </w:t>
        </w:r>
        <w:r w:rsidRPr="003375E4">
          <w:rPr>
            <w:color w:val="auto"/>
            <w:szCs w:val="24"/>
          </w:rPr>
          <w:t>PD</w:t>
        </w:r>
        <w:r w:rsidRPr="00084995">
          <w:rPr>
            <w:color w:val="auto"/>
            <w:szCs w:val="24"/>
          </w:rPr>
          <w:t>1100465</w:t>
        </w:r>
      </w:p>
    </w:sdtContent>
  </w:sdt>
  <w:p w:rsidR="00456773" w:rsidRPr="00684CE6" w:rsidRDefault="0045677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799" w:rsidRDefault="00E55799">
      <w:r>
        <w:separator/>
      </w:r>
    </w:p>
  </w:footnote>
  <w:footnote w:type="continuationSeparator" w:id="0">
    <w:p w:rsidR="00E55799" w:rsidRDefault="00E55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1264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01C5"/>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825"/>
    <w:rsid w:val="00044623"/>
    <w:rsid w:val="000452D7"/>
    <w:rsid w:val="000468B3"/>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995"/>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B7747"/>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5D26"/>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432"/>
    <w:rsid w:val="00113D2A"/>
    <w:rsid w:val="00114ADE"/>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134"/>
    <w:rsid w:val="00140FA4"/>
    <w:rsid w:val="00141BC9"/>
    <w:rsid w:val="001421FD"/>
    <w:rsid w:val="001425C8"/>
    <w:rsid w:val="00142EBA"/>
    <w:rsid w:val="00143B79"/>
    <w:rsid w:val="00145965"/>
    <w:rsid w:val="00145EAA"/>
    <w:rsid w:val="00150B8A"/>
    <w:rsid w:val="00150DCB"/>
    <w:rsid w:val="00151912"/>
    <w:rsid w:val="00153740"/>
    <w:rsid w:val="001537D8"/>
    <w:rsid w:val="00153D88"/>
    <w:rsid w:val="001541C5"/>
    <w:rsid w:val="0015623F"/>
    <w:rsid w:val="00156585"/>
    <w:rsid w:val="00156BA9"/>
    <w:rsid w:val="00161642"/>
    <w:rsid w:val="00161761"/>
    <w:rsid w:val="00164A9F"/>
    <w:rsid w:val="00166182"/>
    <w:rsid w:val="0017038B"/>
    <w:rsid w:val="0017086F"/>
    <w:rsid w:val="00170C94"/>
    <w:rsid w:val="0017139A"/>
    <w:rsid w:val="001724C8"/>
    <w:rsid w:val="001732C4"/>
    <w:rsid w:val="001745DD"/>
    <w:rsid w:val="00174FDE"/>
    <w:rsid w:val="00174FE3"/>
    <w:rsid w:val="00176D63"/>
    <w:rsid w:val="00177659"/>
    <w:rsid w:val="001779E5"/>
    <w:rsid w:val="00180826"/>
    <w:rsid w:val="00181240"/>
    <w:rsid w:val="001816BA"/>
    <w:rsid w:val="00182A4C"/>
    <w:rsid w:val="00183F77"/>
    <w:rsid w:val="00183FB3"/>
    <w:rsid w:val="001844D8"/>
    <w:rsid w:val="00185DA8"/>
    <w:rsid w:val="00185ECB"/>
    <w:rsid w:val="001865E0"/>
    <w:rsid w:val="001870F0"/>
    <w:rsid w:val="0018747E"/>
    <w:rsid w:val="00190D59"/>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29E2"/>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1ED"/>
    <w:rsid w:val="00222268"/>
    <w:rsid w:val="00225080"/>
    <w:rsid w:val="00225196"/>
    <w:rsid w:val="00225CB4"/>
    <w:rsid w:val="00226219"/>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5DFF"/>
    <w:rsid w:val="00246860"/>
    <w:rsid w:val="002468D9"/>
    <w:rsid w:val="00246995"/>
    <w:rsid w:val="00246DFF"/>
    <w:rsid w:val="00246E89"/>
    <w:rsid w:val="0025183C"/>
    <w:rsid w:val="00252351"/>
    <w:rsid w:val="002528EC"/>
    <w:rsid w:val="00253522"/>
    <w:rsid w:val="00253709"/>
    <w:rsid w:val="00253EAA"/>
    <w:rsid w:val="00255049"/>
    <w:rsid w:val="00257538"/>
    <w:rsid w:val="00257AFF"/>
    <w:rsid w:val="00257DE5"/>
    <w:rsid w:val="00260531"/>
    <w:rsid w:val="00260B9A"/>
    <w:rsid w:val="00261709"/>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577"/>
    <w:rsid w:val="00284A26"/>
    <w:rsid w:val="00285095"/>
    <w:rsid w:val="00287006"/>
    <w:rsid w:val="0029030A"/>
    <w:rsid w:val="00292397"/>
    <w:rsid w:val="00292AB2"/>
    <w:rsid w:val="00292B82"/>
    <w:rsid w:val="00293DB6"/>
    <w:rsid w:val="00293FE8"/>
    <w:rsid w:val="00294437"/>
    <w:rsid w:val="0029636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AC6"/>
    <w:rsid w:val="002C6E5B"/>
    <w:rsid w:val="002D08F3"/>
    <w:rsid w:val="002D170C"/>
    <w:rsid w:val="002D18B4"/>
    <w:rsid w:val="002D2058"/>
    <w:rsid w:val="002D231A"/>
    <w:rsid w:val="002D5330"/>
    <w:rsid w:val="002D561B"/>
    <w:rsid w:val="002D5F57"/>
    <w:rsid w:val="002D73D4"/>
    <w:rsid w:val="002D7787"/>
    <w:rsid w:val="002E1877"/>
    <w:rsid w:val="002E1C31"/>
    <w:rsid w:val="002E2E0F"/>
    <w:rsid w:val="002E333A"/>
    <w:rsid w:val="002E3474"/>
    <w:rsid w:val="002E3EA9"/>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5D9"/>
    <w:rsid w:val="002F6AD8"/>
    <w:rsid w:val="002F7F81"/>
    <w:rsid w:val="00300A36"/>
    <w:rsid w:val="00301B45"/>
    <w:rsid w:val="00305856"/>
    <w:rsid w:val="00305867"/>
    <w:rsid w:val="0030678B"/>
    <w:rsid w:val="00306D16"/>
    <w:rsid w:val="0030700A"/>
    <w:rsid w:val="00307350"/>
    <w:rsid w:val="00307595"/>
    <w:rsid w:val="00307DA6"/>
    <w:rsid w:val="00310CD7"/>
    <w:rsid w:val="00313C3A"/>
    <w:rsid w:val="00313D7A"/>
    <w:rsid w:val="003155FB"/>
    <w:rsid w:val="00315AAE"/>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375E4"/>
    <w:rsid w:val="003409FA"/>
    <w:rsid w:val="00341A54"/>
    <w:rsid w:val="00344A4F"/>
    <w:rsid w:val="00344D17"/>
    <w:rsid w:val="0034669F"/>
    <w:rsid w:val="003470C4"/>
    <w:rsid w:val="00351498"/>
    <w:rsid w:val="00352B22"/>
    <w:rsid w:val="00352CBF"/>
    <w:rsid w:val="00354547"/>
    <w:rsid w:val="003549F5"/>
    <w:rsid w:val="00355ACB"/>
    <w:rsid w:val="003561F6"/>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90B"/>
    <w:rsid w:val="00376A07"/>
    <w:rsid w:val="00376B81"/>
    <w:rsid w:val="00376E08"/>
    <w:rsid w:val="00377BD2"/>
    <w:rsid w:val="00380FD4"/>
    <w:rsid w:val="00381E16"/>
    <w:rsid w:val="003821E1"/>
    <w:rsid w:val="003840F6"/>
    <w:rsid w:val="00384866"/>
    <w:rsid w:val="003851BA"/>
    <w:rsid w:val="003857D4"/>
    <w:rsid w:val="00385D6F"/>
    <w:rsid w:val="00386408"/>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8EC"/>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707"/>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B17"/>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30AF"/>
    <w:rsid w:val="00424612"/>
    <w:rsid w:val="0042528C"/>
    <w:rsid w:val="00425455"/>
    <w:rsid w:val="00425672"/>
    <w:rsid w:val="00425A6A"/>
    <w:rsid w:val="00426A23"/>
    <w:rsid w:val="00427C7F"/>
    <w:rsid w:val="00427F54"/>
    <w:rsid w:val="00430058"/>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593"/>
    <w:rsid w:val="00454F28"/>
    <w:rsid w:val="0045645D"/>
    <w:rsid w:val="00456773"/>
    <w:rsid w:val="0045707D"/>
    <w:rsid w:val="004574C6"/>
    <w:rsid w:val="00457743"/>
    <w:rsid w:val="00457BCF"/>
    <w:rsid w:val="00457DCE"/>
    <w:rsid w:val="00460E3F"/>
    <w:rsid w:val="0046111A"/>
    <w:rsid w:val="00462F68"/>
    <w:rsid w:val="0046369B"/>
    <w:rsid w:val="004640E9"/>
    <w:rsid w:val="004647EB"/>
    <w:rsid w:val="00464C1B"/>
    <w:rsid w:val="00466CED"/>
    <w:rsid w:val="00466EB5"/>
    <w:rsid w:val="00467592"/>
    <w:rsid w:val="00467690"/>
    <w:rsid w:val="00467A14"/>
    <w:rsid w:val="004718E7"/>
    <w:rsid w:val="00472289"/>
    <w:rsid w:val="00472535"/>
    <w:rsid w:val="0047605A"/>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60C"/>
    <w:rsid w:val="004A0C79"/>
    <w:rsid w:val="004A1024"/>
    <w:rsid w:val="004A24D2"/>
    <w:rsid w:val="004A3214"/>
    <w:rsid w:val="004A4136"/>
    <w:rsid w:val="004A417B"/>
    <w:rsid w:val="004A4378"/>
    <w:rsid w:val="004A712D"/>
    <w:rsid w:val="004A7C03"/>
    <w:rsid w:val="004B03F3"/>
    <w:rsid w:val="004B0536"/>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43C4"/>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26B9"/>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1F6C"/>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2E29"/>
    <w:rsid w:val="00555259"/>
    <w:rsid w:val="00555C66"/>
    <w:rsid w:val="005569EF"/>
    <w:rsid w:val="00556BDE"/>
    <w:rsid w:val="00560D57"/>
    <w:rsid w:val="00562A94"/>
    <w:rsid w:val="00563FAD"/>
    <w:rsid w:val="005653D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299"/>
    <w:rsid w:val="005C1398"/>
    <w:rsid w:val="005C16F3"/>
    <w:rsid w:val="005C3758"/>
    <w:rsid w:val="005C4C91"/>
    <w:rsid w:val="005C4D72"/>
    <w:rsid w:val="005C50C1"/>
    <w:rsid w:val="005C62C2"/>
    <w:rsid w:val="005C6782"/>
    <w:rsid w:val="005D2306"/>
    <w:rsid w:val="005D2562"/>
    <w:rsid w:val="005D2666"/>
    <w:rsid w:val="005D4548"/>
    <w:rsid w:val="005D4A74"/>
    <w:rsid w:val="005D5E91"/>
    <w:rsid w:val="005D67EF"/>
    <w:rsid w:val="005D6FF5"/>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4311"/>
    <w:rsid w:val="00605AAB"/>
    <w:rsid w:val="00606BEB"/>
    <w:rsid w:val="0061014A"/>
    <w:rsid w:val="0061054B"/>
    <w:rsid w:val="006110FB"/>
    <w:rsid w:val="00612FB0"/>
    <w:rsid w:val="0061356D"/>
    <w:rsid w:val="00613E26"/>
    <w:rsid w:val="00614914"/>
    <w:rsid w:val="00615641"/>
    <w:rsid w:val="00615A66"/>
    <w:rsid w:val="00616959"/>
    <w:rsid w:val="0062036E"/>
    <w:rsid w:val="006211D0"/>
    <w:rsid w:val="00621595"/>
    <w:rsid w:val="0062359D"/>
    <w:rsid w:val="00623634"/>
    <w:rsid w:val="00624D0C"/>
    <w:rsid w:val="00626A0F"/>
    <w:rsid w:val="006274B4"/>
    <w:rsid w:val="006307BA"/>
    <w:rsid w:val="006315BA"/>
    <w:rsid w:val="006344DE"/>
    <w:rsid w:val="00634C4A"/>
    <w:rsid w:val="0063532E"/>
    <w:rsid w:val="0063579F"/>
    <w:rsid w:val="006364ED"/>
    <w:rsid w:val="00637063"/>
    <w:rsid w:val="0063737C"/>
    <w:rsid w:val="00637BDC"/>
    <w:rsid w:val="00640363"/>
    <w:rsid w:val="00640622"/>
    <w:rsid w:val="006418C9"/>
    <w:rsid w:val="00642BD6"/>
    <w:rsid w:val="00642D9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6C4"/>
    <w:rsid w:val="00661BA2"/>
    <w:rsid w:val="00662AD0"/>
    <w:rsid w:val="00662F08"/>
    <w:rsid w:val="00663589"/>
    <w:rsid w:val="00664427"/>
    <w:rsid w:val="00664840"/>
    <w:rsid w:val="006649CD"/>
    <w:rsid w:val="00665698"/>
    <w:rsid w:val="00665D75"/>
    <w:rsid w:val="006708E3"/>
    <w:rsid w:val="00670DDC"/>
    <w:rsid w:val="00671389"/>
    <w:rsid w:val="00671EB4"/>
    <w:rsid w:val="00673CDC"/>
    <w:rsid w:val="0067443B"/>
    <w:rsid w:val="006770AA"/>
    <w:rsid w:val="0068098E"/>
    <w:rsid w:val="006810BD"/>
    <w:rsid w:val="006813D5"/>
    <w:rsid w:val="00682486"/>
    <w:rsid w:val="006833A7"/>
    <w:rsid w:val="00684CE6"/>
    <w:rsid w:val="00684E2B"/>
    <w:rsid w:val="00685485"/>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689D"/>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4602"/>
    <w:rsid w:val="006C6AB1"/>
    <w:rsid w:val="006C6E6B"/>
    <w:rsid w:val="006C73D4"/>
    <w:rsid w:val="006D145F"/>
    <w:rsid w:val="006D2000"/>
    <w:rsid w:val="006D2D39"/>
    <w:rsid w:val="006D2F31"/>
    <w:rsid w:val="006D4250"/>
    <w:rsid w:val="006D4E0E"/>
    <w:rsid w:val="006D5861"/>
    <w:rsid w:val="006D5CE2"/>
    <w:rsid w:val="006D7854"/>
    <w:rsid w:val="006E06D1"/>
    <w:rsid w:val="006E0F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0DFE"/>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37534"/>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5AF"/>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45AA"/>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08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373"/>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177"/>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2B05"/>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4F3"/>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64B2"/>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8F7C81"/>
    <w:rsid w:val="0090045D"/>
    <w:rsid w:val="00900906"/>
    <w:rsid w:val="00900D8F"/>
    <w:rsid w:val="00901229"/>
    <w:rsid w:val="009014E3"/>
    <w:rsid w:val="009020ED"/>
    <w:rsid w:val="009026E8"/>
    <w:rsid w:val="00902FDD"/>
    <w:rsid w:val="00905EEF"/>
    <w:rsid w:val="00906BB9"/>
    <w:rsid w:val="00906EB7"/>
    <w:rsid w:val="00907FE6"/>
    <w:rsid w:val="009102BF"/>
    <w:rsid w:val="00911490"/>
    <w:rsid w:val="009115F2"/>
    <w:rsid w:val="00911B11"/>
    <w:rsid w:val="00913121"/>
    <w:rsid w:val="00914ADB"/>
    <w:rsid w:val="00917182"/>
    <w:rsid w:val="00920251"/>
    <w:rsid w:val="00921CFD"/>
    <w:rsid w:val="00923033"/>
    <w:rsid w:val="00923B25"/>
    <w:rsid w:val="0092402E"/>
    <w:rsid w:val="009259BA"/>
    <w:rsid w:val="00926FCB"/>
    <w:rsid w:val="009303BB"/>
    <w:rsid w:val="0093108A"/>
    <w:rsid w:val="00931B6D"/>
    <w:rsid w:val="0093311A"/>
    <w:rsid w:val="009346D0"/>
    <w:rsid w:val="0093536B"/>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3E29"/>
    <w:rsid w:val="009672CD"/>
    <w:rsid w:val="00971810"/>
    <w:rsid w:val="00972996"/>
    <w:rsid w:val="009730B4"/>
    <w:rsid w:val="0097320E"/>
    <w:rsid w:val="009732B8"/>
    <w:rsid w:val="00974647"/>
    <w:rsid w:val="0097514A"/>
    <w:rsid w:val="0097589F"/>
    <w:rsid w:val="009759C2"/>
    <w:rsid w:val="00975C72"/>
    <w:rsid w:val="00976869"/>
    <w:rsid w:val="00977740"/>
    <w:rsid w:val="00977CB4"/>
    <w:rsid w:val="009809B8"/>
    <w:rsid w:val="00981086"/>
    <w:rsid w:val="009818AF"/>
    <w:rsid w:val="00981B1C"/>
    <w:rsid w:val="0098222D"/>
    <w:rsid w:val="00982A18"/>
    <w:rsid w:val="009842F3"/>
    <w:rsid w:val="00984EBF"/>
    <w:rsid w:val="00985099"/>
    <w:rsid w:val="00985D32"/>
    <w:rsid w:val="00986514"/>
    <w:rsid w:val="00986FCC"/>
    <w:rsid w:val="00990FD6"/>
    <w:rsid w:val="009935C3"/>
    <w:rsid w:val="0099421F"/>
    <w:rsid w:val="00994FC8"/>
    <w:rsid w:val="009A0BA8"/>
    <w:rsid w:val="009A0DE3"/>
    <w:rsid w:val="009A1643"/>
    <w:rsid w:val="009A1EAA"/>
    <w:rsid w:val="009A215A"/>
    <w:rsid w:val="009A26B9"/>
    <w:rsid w:val="009A49D3"/>
    <w:rsid w:val="009A4F1B"/>
    <w:rsid w:val="009A593D"/>
    <w:rsid w:val="009A66C5"/>
    <w:rsid w:val="009A66E7"/>
    <w:rsid w:val="009A79BA"/>
    <w:rsid w:val="009B10F9"/>
    <w:rsid w:val="009B14D1"/>
    <w:rsid w:val="009B1534"/>
    <w:rsid w:val="009B4963"/>
    <w:rsid w:val="009B4A3B"/>
    <w:rsid w:val="009B6023"/>
    <w:rsid w:val="009B69D3"/>
    <w:rsid w:val="009B721E"/>
    <w:rsid w:val="009B7BA7"/>
    <w:rsid w:val="009B7C01"/>
    <w:rsid w:val="009C04D7"/>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785"/>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42A"/>
    <w:rsid w:val="00A56D26"/>
    <w:rsid w:val="00A571A7"/>
    <w:rsid w:val="00A5749A"/>
    <w:rsid w:val="00A575E1"/>
    <w:rsid w:val="00A57BA8"/>
    <w:rsid w:val="00A57C35"/>
    <w:rsid w:val="00A608FB"/>
    <w:rsid w:val="00A60D83"/>
    <w:rsid w:val="00A60F68"/>
    <w:rsid w:val="00A63DF3"/>
    <w:rsid w:val="00A65C2D"/>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870F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0CFF"/>
    <w:rsid w:val="00AF1103"/>
    <w:rsid w:val="00AF1668"/>
    <w:rsid w:val="00AF25B2"/>
    <w:rsid w:val="00AF28DE"/>
    <w:rsid w:val="00AF41EE"/>
    <w:rsid w:val="00AF4FA5"/>
    <w:rsid w:val="00AF5BB4"/>
    <w:rsid w:val="00AF6ECC"/>
    <w:rsid w:val="00B02145"/>
    <w:rsid w:val="00B022DC"/>
    <w:rsid w:val="00B032F8"/>
    <w:rsid w:val="00B04562"/>
    <w:rsid w:val="00B0472F"/>
    <w:rsid w:val="00B06930"/>
    <w:rsid w:val="00B0773A"/>
    <w:rsid w:val="00B07955"/>
    <w:rsid w:val="00B1176B"/>
    <w:rsid w:val="00B140B8"/>
    <w:rsid w:val="00B14FAA"/>
    <w:rsid w:val="00B1517C"/>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0A5"/>
    <w:rsid w:val="00B721E8"/>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851"/>
    <w:rsid w:val="00B83F87"/>
    <w:rsid w:val="00B8478F"/>
    <w:rsid w:val="00B84F93"/>
    <w:rsid w:val="00B9133D"/>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72"/>
    <w:rsid w:val="00BB0388"/>
    <w:rsid w:val="00BB0A0A"/>
    <w:rsid w:val="00BB133C"/>
    <w:rsid w:val="00BB1F04"/>
    <w:rsid w:val="00BB45B5"/>
    <w:rsid w:val="00BB4DDE"/>
    <w:rsid w:val="00BB6064"/>
    <w:rsid w:val="00BB65CE"/>
    <w:rsid w:val="00BB7012"/>
    <w:rsid w:val="00BC09D1"/>
    <w:rsid w:val="00BC1CF3"/>
    <w:rsid w:val="00BC2BE0"/>
    <w:rsid w:val="00BC3573"/>
    <w:rsid w:val="00BC43C9"/>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1F29"/>
    <w:rsid w:val="00C127F2"/>
    <w:rsid w:val="00C13B34"/>
    <w:rsid w:val="00C13F26"/>
    <w:rsid w:val="00C1474E"/>
    <w:rsid w:val="00C14C37"/>
    <w:rsid w:val="00C157AA"/>
    <w:rsid w:val="00C162E1"/>
    <w:rsid w:val="00C16BE4"/>
    <w:rsid w:val="00C16E9F"/>
    <w:rsid w:val="00C1713D"/>
    <w:rsid w:val="00C17489"/>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0D22"/>
    <w:rsid w:val="00C31DDC"/>
    <w:rsid w:val="00C3223A"/>
    <w:rsid w:val="00C34168"/>
    <w:rsid w:val="00C34247"/>
    <w:rsid w:val="00C34326"/>
    <w:rsid w:val="00C34CEB"/>
    <w:rsid w:val="00C36201"/>
    <w:rsid w:val="00C368E8"/>
    <w:rsid w:val="00C36C3D"/>
    <w:rsid w:val="00C372C7"/>
    <w:rsid w:val="00C376A7"/>
    <w:rsid w:val="00C40C1E"/>
    <w:rsid w:val="00C42443"/>
    <w:rsid w:val="00C42CBA"/>
    <w:rsid w:val="00C4338C"/>
    <w:rsid w:val="00C43C2B"/>
    <w:rsid w:val="00C45B27"/>
    <w:rsid w:val="00C4652E"/>
    <w:rsid w:val="00C47062"/>
    <w:rsid w:val="00C472C7"/>
    <w:rsid w:val="00C5019E"/>
    <w:rsid w:val="00C50C8C"/>
    <w:rsid w:val="00C51962"/>
    <w:rsid w:val="00C5377C"/>
    <w:rsid w:val="00C53E8A"/>
    <w:rsid w:val="00C543D0"/>
    <w:rsid w:val="00C54DF3"/>
    <w:rsid w:val="00C560A7"/>
    <w:rsid w:val="00C56FC8"/>
    <w:rsid w:val="00C60F23"/>
    <w:rsid w:val="00C61172"/>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E4"/>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49F"/>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434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15E7"/>
    <w:rsid w:val="00D12405"/>
    <w:rsid w:val="00D12A4E"/>
    <w:rsid w:val="00D1323B"/>
    <w:rsid w:val="00D14BAE"/>
    <w:rsid w:val="00D15107"/>
    <w:rsid w:val="00D1648B"/>
    <w:rsid w:val="00D16819"/>
    <w:rsid w:val="00D17781"/>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A54"/>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4D8E"/>
    <w:rsid w:val="00D67FD7"/>
    <w:rsid w:val="00D704E4"/>
    <w:rsid w:val="00D72410"/>
    <w:rsid w:val="00D73D53"/>
    <w:rsid w:val="00D7402C"/>
    <w:rsid w:val="00D7408A"/>
    <w:rsid w:val="00D740AD"/>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5E4C"/>
    <w:rsid w:val="00D9706F"/>
    <w:rsid w:val="00D972D4"/>
    <w:rsid w:val="00DA0FE3"/>
    <w:rsid w:val="00DA195B"/>
    <w:rsid w:val="00DA2721"/>
    <w:rsid w:val="00DA27F3"/>
    <w:rsid w:val="00DA2D1E"/>
    <w:rsid w:val="00DA3EC8"/>
    <w:rsid w:val="00DA40C1"/>
    <w:rsid w:val="00DA535B"/>
    <w:rsid w:val="00DA5564"/>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3953"/>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5EB0"/>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6B2"/>
    <w:rsid w:val="00E04AEE"/>
    <w:rsid w:val="00E06738"/>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3249"/>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799"/>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27A"/>
    <w:rsid w:val="00E738CB"/>
    <w:rsid w:val="00E73C88"/>
    <w:rsid w:val="00E74437"/>
    <w:rsid w:val="00E7443D"/>
    <w:rsid w:val="00E75ACE"/>
    <w:rsid w:val="00E771AF"/>
    <w:rsid w:val="00E80386"/>
    <w:rsid w:val="00E804EB"/>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5BE"/>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2A92"/>
    <w:rsid w:val="00EE48BB"/>
    <w:rsid w:val="00EE6FE0"/>
    <w:rsid w:val="00EE704A"/>
    <w:rsid w:val="00EE7840"/>
    <w:rsid w:val="00EF2E75"/>
    <w:rsid w:val="00EF4C74"/>
    <w:rsid w:val="00EF5268"/>
    <w:rsid w:val="00EF608E"/>
    <w:rsid w:val="00EF6C4A"/>
    <w:rsid w:val="00F0044B"/>
    <w:rsid w:val="00F00E60"/>
    <w:rsid w:val="00F02F9F"/>
    <w:rsid w:val="00F03090"/>
    <w:rsid w:val="00F03525"/>
    <w:rsid w:val="00F039A8"/>
    <w:rsid w:val="00F0424D"/>
    <w:rsid w:val="00F04957"/>
    <w:rsid w:val="00F053F0"/>
    <w:rsid w:val="00F05807"/>
    <w:rsid w:val="00F06451"/>
    <w:rsid w:val="00F07052"/>
    <w:rsid w:val="00F0706C"/>
    <w:rsid w:val="00F11EBE"/>
    <w:rsid w:val="00F12293"/>
    <w:rsid w:val="00F1291E"/>
    <w:rsid w:val="00F12BA8"/>
    <w:rsid w:val="00F12D7A"/>
    <w:rsid w:val="00F130D0"/>
    <w:rsid w:val="00F13AC6"/>
    <w:rsid w:val="00F14933"/>
    <w:rsid w:val="00F1516A"/>
    <w:rsid w:val="00F15EE5"/>
    <w:rsid w:val="00F171F9"/>
    <w:rsid w:val="00F1737C"/>
    <w:rsid w:val="00F173AA"/>
    <w:rsid w:val="00F1766A"/>
    <w:rsid w:val="00F22A26"/>
    <w:rsid w:val="00F24072"/>
    <w:rsid w:val="00F26432"/>
    <w:rsid w:val="00F3197A"/>
    <w:rsid w:val="00F32139"/>
    <w:rsid w:val="00F328BE"/>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20A"/>
    <w:rsid w:val="00F75C12"/>
    <w:rsid w:val="00F76D01"/>
    <w:rsid w:val="00F77528"/>
    <w:rsid w:val="00F80B43"/>
    <w:rsid w:val="00F80C97"/>
    <w:rsid w:val="00F81C35"/>
    <w:rsid w:val="00F82981"/>
    <w:rsid w:val="00F830E3"/>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04B"/>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locked/>
    <w:rsid w:val="002F65D9"/>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49884684">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0331625">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06255596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9938104">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9C8E-DC39-4C06-BF2E-78010C234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2011-04-08T11:41:00Z</cp:lastPrinted>
  <dcterms:created xsi:type="dcterms:W3CDTF">2012-02-26T16:37:00Z</dcterms:created>
  <dcterms:modified xsi:type="dcterms:W3CDTF">2012-03-19T22:19:00Z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