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32781F">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DF3033">
        <w:rPr>
          <w:caps/>
          <w:color w:val="auto"/>
        </w:rPr>
        <w:t>XXXXXXXXXXXXXXXXXXXXX</w:t>
      </w:r>
      <w:r w:rsidRPr="001F29F9">
        <w:rPr>
          <w:caps/>
          <w:color w:val="000000" w:themeColor="text1"/>
        </w:rPr>
        <w:t xml:space="preserve">                </w:t>
      </w:r>
      <w:r w:rsidR="0032781F">
        <w:rPr>
          <w:caps/>
          <w:color w:val="000000" w:themeColor="text1"/>
        </w:rPr>
        <w:tab/>
        <w:t xml:space="preserve">                          </w:t>
      </w:r>
      <w:r w:rsidR="00F96744">
        <w:rPr>
          <w:caps/>
          <w:color w:val="000000" w:themeColor="text1"/>
        </w:rPr>
        <w:t xml:space="preserve">   </w:t>
      </w:r>
      <w:r w:rsidR="0032781F">
        <w:rPr>
          <w:caps/>
          <w:color w:val="000000" w:themeColor="text1"/>
        </w:rPr>
        <w:t xml:space="preserve"> </w:t>
      </w:r>
      <w:r w:rsidRPr="001F29F9">
        <w:rPr>
          <w:caps/>
          <w:color w:val="000000" w:themeColor="text1"/>
        </w:rPr>
        <w:t>BRANCH OF SERVICE</w:t>
      </w:r>
      <w:r w:rsidRPr="00B60D96">
        <w:rPr>
          <w:caps/>
          <w:color w:val="000000" w:themeColor="text1"/>
        </w:rPr>
        <w:t>: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B60D96" w:rsidRPr="002C18B6">
        <w:rPr>
          <w:caps/>
          <w:color w:val="auto"/>
        </w:rPr>
        <w:t>447</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B60D96" w:rsidRPr="00F64312">
        <w:rPr>
          <w:color w:val="auto"/>
        </w:rPr>
        <w:t>200</w:t>
      </w:r>
      <w:r w:rsidR="00B60D96">
        <w:rPr>
          <w:color w:val="auto"/>
        </w:rPr>
        <w:t>60905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509E6">
        <w:rPr>
          <w:caps/>
          <w:color w:val="000000"/>
        </w:rPr>
        <w:t>0906</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540E0D" w:rsidRDefault="00AD2379" w:rsidP="00540E0D">
      <w:pPr>
        <w:jc w:val="both"/>
        <w:rPr>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t>
      </w:r>
      <w:r w:rsidRPr="00291D5A">
        <w:rPr>
          <w:color w:val="000000"/>
        </w:rPr>
        <w:t xml:space="preserve">was a </w:t>
      </w:r>
      <w:r w:rsidR="00291D5A" w:rsidRPr="00291D5A">
        <w:rPr>
          <w:color w:val="000000"/>
        </w:rPr>
        <w:t xml:space="preserve">mobilized </w:t>
      </w:r>
      <w:r w:rsidR="00463478" w:rsidRPr="00291D5A">
        <w:rPr>
          <w:color w:val="000000"/>
        </w:rPr>
        <w:t xml:space="preserve">National </w:t>
      </w:r>
      <w:r w:rsidRPr="00291D5A">
        <w:rPr>
          <w:color w:val="000000"/>
        </w:rPr>
        <w:t>Guard</w:t>
      </w:r>
      <w:r w:rsidR="00542022" w:rsidRPr="00291D5A">
        <w:rPr>
          <w:color w:val="000000"/>
        </w:rPr>
        <w:t xml:space="preserve"> member</w:t>
      </w:r>
      <w:r w:rsidRPr="00291D5A">
        <w:rPr>
          <w:color w:val="000000"/>
        </w:rPr>
        <w:t xml:space="preserve">, </w:t>
      </w:r>
      <w:r w:rsidR="00873370" w:rsidRPr="00291D5A">
        <w:rPr>
          <w:color w:val="auto"/>
        </w:rPr>
        <w:t>SSG/E6</w:t>
      </w:r>
      <w:r w:rsidRPr="001F29F9">
        <w:rPr>
          <w:color w:val="000000"/>
        </w:rPr>
        <w:t xml:space="preserve"> (</w:t>
      </w:r>
      <w:r w:rsidR="00873370" w:rsidRPr="002C18B6">
        <w:rPr>
          <w:color w:val="auto"/>
        </w:rPr>
        <w:t>91W, Health Care Specialist</w:t>
      </w:r>
      <w:r w:rsidR="00A70270">
        <w:rPr>
          <w:color w:val="000000"/>
        </w:rPr>
        <w:t>)</w:t>
      </w:r>
      <w:r w:rsidR="00291D5A">
        <w:rPr>
          <w:color w:val="000000"/>
        </w:rPr>
        <w:t>,</w:t>
      </w:r>
      <w:r w:rsidR="00A70270">
        <w:rPr>
          <w:color w:val="000000"/>
        </w:rPr>
        <w:t xml:space="preserve"> </w:t>
      </w:r>
      <w:r w:rsidRPr="001F29F9">
        <w:rPr>
          <w:color w:val="000000"/>
        </w:rPr>
        <w:t xml:space="preserve">medically separated for </w:t>
      </w:r>
      <w:r w:rsidR="00261B7E">
        <w:rPr>
          <w:color w:val="000000"/>
        </w:rPr>
        <w:t xml:space="preserve">a </w:t>
      </w:r>
      <w:r w:rsidR="00291D5A">
        <w:rPr>
          <w:color w:val="000000"/>
        </w:rPr>
        <w:t>lumbar spine</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FF5655">
        <w:rPr>
          <w:color w:val="000000"/>
        </w:rPr>
        <w:t xml:space="preserve">He was medically evacuated from Iraq in 2005 for back pain which was diagnosed as degenerative disc disease (DDD).  No surgery was indicated, and the condition </w:t>
      </w:r>
      <w:r w:rsidR="00291D5A" w:rsidRPr="00844DA7">
        <w:rPr>
          <w:color w:val="000000"/>
          <w:szCs w:val="24"/>
        </w:rPr>
        <w:t xml:space="preserve">could not be adequately rehabilitated to meet the physical requirements of his Military Occupational Specialty (MOS) or satisfy physical fitness standards.  He was consequently issued a permanent L3 profile and referred for a Medical Evaluation Board (MEB).  The </w:t>
      </w:r>
      <w:r w:rsidR="00291D5A">
        <w:rPr>
          <w:color w:val="000000"/>
          <w:szCs w:val="24"/>
        </w:rPr>
        <w:t>back</w:t>
      </w:r>
      <w:r w:rsidR="00291D5A" w:rsidRPr="00844DA7">
        <w:rPr>
          <w:color w:val="000000"/>
          <w:szCs w:val="24"/>
        </w:rPr>
        <w:t xml:space="preserve"> condition</w:t>
      </w:r>
      <w:r w:rsidR="00291D5A">
        <w:rPr>
          <w:color w:val="000000"/>
          <w:szCs w:val="24"/>
        </w:rPr>
        <w:t xml:space="preserve"> </w:t>
      </w:r>
      <w:r w:rsidR="00291D5A" w:rsidRPr="00844DA7">
        <w:rPr>
          <w:color w:val="000000"/>
          <w:szCs w:val="24"/>
        </w:rPr>
        <w:t xml:space="preserve">was forwarded to the Physical Evaluation Board (PEB) as medically unacceptable IAW AR 40-501.  </w:t>
      </w:r>
      <w:r w:rsidR="00291D5A">
        <w:rPr>
          <w:color w:val="000000"/>
          <w:szCs w:val="24"/>
        </w:rPr>
        <w:t>A cervical spine condition and depressive disorder</w:t>
      </w:r>
      <w:r w:rsidR="00291D5A" w:rsidRPr="00844DA7">
        <w:rPr>
          <w:color w:val="000000"/>
          <w:szCs w:val="24"/>
        </w:rPr>
        <w:t xml:space="preserve"> were addressed by the MEB, and </w:t>
      </w:r>
      <w:r w:rsidR="00291D5A">
        <w:rPr>
          <w:color w:val="000000"/>
          <w:szCs w:val="24"/>
        </w:rPr>
        <w:t xml:space="preserve">also </w:t>
      </w:r>
      <w:r w:rsidR="00291D5A" w:rsidRPr="00844DA7">
        <w:rPr>
          <w:color w:val="000000"/>
          <w:szCs w:val="24"/>
        </w:rPr>
        <w:t>forwarded as medically unacceptable</w:t>
      </w:r>
      <w:r w:rsidR="00540E0D">
        <w:rPr>
          <w:color w:val="000000"/>
          <w:szCs w:val="24"/>
        </w:rPr>
        <w:t>.</w:t>
      </w:r>
      <w:r w:rsidR="00291D5A" w:rsidRPr="00844DA7">
        <w:rPr>
          <w:color w:val="000000"/>
          <w:szCs w:val="24"/>
        </w:rPr>
        <w:t xml:space="preserve">  The PEB adjudicated the lumbar spine condition as unfitting, rated 10%, citing criteria of the Veterans Administration Schedule for Rating Disabilities (VASRD).  The </w:t>
      </w:r>
      <w:r w:rsidR="001509E6">
        <w:rPr>
          <w:color w:val="000000"/>
          <w:szCs w:val="24"/>
        </w:rPr>
        <w:t>cervical</w:t>
      </w:r>
      <w:r w:rsidR="00540E0D">
        <w:rPr>
          <w:color w:val="000000"/>
          <w:szCs w:val="24"/>
        </w:rPr>
        <w:t xml:space="preserve"> and </w:t>
      </w:r>
      <w:r w:rsidR="001509E6">
        <w:rPr>
          <w:color w:val="000000"/>
          <w:szCs w:val="24"/>
        </w:rPr>
        <w:t>depressive</w:t>
      </w:r>
      <w:r w:rsidR="00291D5A" w:rsidRPr="00844DA7">
        <w:rPr>
          <w:color w:val="000000"/>
          <w:szCs w:val="24"/>
        </w:rPr>
        <w:t xml:space="preserve"> conditions were determined to be not unfitting.  The CI made no appeals, and was </w:t>
      </w:r>
      <w:r w:rsidR="00C50B2B">
        <w:rPr>
          <w:color w:val="000000"/>
          <w:szCs w:val="24"/>
        </w:rPr>
        <w:t>released from active duty</w:t>
      </w:r>
      <w:r w:rsidR="00291D5A" w:rsidRPr="00844DA7">
        <w:rPr>
          <w:color w:val="000000"/>
          <w:szCs w:val="24"/>
        </w:rPr>
        <w:t xml:space="preserve"> with </w:t>
      </w:r>
      <w:r w:rsidR="00C50B2B">
        <w:rPr>
          <w:color w:val="000000"/>
          <w:szCs w:val="24"/>
        </w:rPr>
        <w:t xml:space="preserve">a 10% disability rating; he elected to be </w:t>
      </w:r>
      <w:r w:rsidR="00C50B2B" w:rsidRPr="00C50B2B">
        <w:rPr>
          <w:color w:val="000000"/>
          <w:szCs w:val="24"/>
        </w:rPr>
        <w:t>transferred to the Retired Reserve</w:t>
      </w:r>
      <w:r w:rsidR="00F96744">
        <w:rPr>
          <w:color w:val="000000"/>
          <w:szCs w:val="24"/>
        </w:rPr>
        <w:t xml:space="preserve"> in lieu of discharge with severance pay</w:t>
      </w:r>
      <w:r w:rsidR="00C50B2B">
        <w:rPr>
          <w:color w:val="000000"/>
          <w:szCs w:val="24"/>
        </w:rPr>
        <w:t>.</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0E5D9B">
        <w:rPr>
          <w:color w:val="000000"/>
        </w:rPr>
        <w:t xml:space="preserve"> The CI states, </w:t>
      </w:r>
      <w:r w:rsidR="000E5D9B">
        <w:rPr>
          <w:color w:val="auto"/>
        </w:rPr>
        <w:t xml:space="preserve">“I consider that conditions were under rated.” </w:t>
      </w:r>
      <w:r w:rsidR="000E5D9B" w:rsidRPr="00F64312">
        <w:rPr>
          <w:color w:val="auto"/>
        </w:rPr>
        <w:t xml:space="preserve">  </w:t>
      </w:r>
      <w:r w:rsidR="000E5D9B">
        <w:rPr>
          <w:color w:val="auto"/>
        </w:rPr>
        <w:t>He additionally attached a two page statement to his application which was reviewed by the Board and considered in its recommendation.  The attached statement leads with the assertion that “multiple conditions” rendered him unable to continue serving his country; and, elaborates the current disabilities and employment limitations associated with “all my service-connected conditions.</w:t>
      </w:r>
      <w:r w:rsidR="00C50B2B">
        <w:rPr>
          <w:color w:val="auto"/>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4A5961" w:rsidRDefault="00F14638" w:rsidP="00F14638">
      <w:pPr>
        <w:jc w:val="both"/>
        <w:rPr>
          <w:rFonts w:eastAsia="Calibri" w:cs="Times New Roman"/>
          <w:color w:val="auto"/>
          <w:szCs w:val="24"/>
        </w:rPr>
      </w:pPr>
      <w:r w:rsidRPr="006A714F">
        <w:rPr>
          <w:color w:val="auto"/>
          <w:u w:val="single"/>
        </w:rPr>
        <w:t>SCOPE OF REVIEW</w:t>
      </w:r>
      <w:r>
        <w:rPr>
          <w:color w:val="auto"/>
        </w:rPr>
        <w:t xml:space="preserve">:  </w:t>
      </w:r>
      <w:r w:rsidRPr="00C566C9">
        <w:rPr>
          <w:color w:val="auto"/>
        </w:rPr>
        <w:t xml:space="preserve">The </w:t>
      </w:r>
      <w:r w:rsidRPr="004A5961">
        <w:rPr>
          <w:color w:val="auto"/>
        </w:rPr>
        <w:t xml:space="preserve">Board wishes to clarify that the scope of its review as defined in </w:t>
      </w:r>
      <w:r w:rsidR="00DD44EA" w:rsidRPr="004A5961">
        <w:rPr>
          <w:color w:val="000000"/>
        </w:rPr>
        <w:t xml:space="preserve">Department of Defense Instruction (DoDI) </w:t>
      </w:r>
      <w:r w:rsidRPr="004A5961">
        <w:rPr>
          <w:color w:val="auto"/>
        </w:rPr>
        <w:t xml:space="preserve">6040.44 </w:t>
      </w:r>
      <w:r w:rsidR="003A6FCD" w:rsidRPr="004A5961">
        <w:rPr>
          <w:color w:val="auto"/>
        </w:rPr>
        <w:t xml:space="preserve">(Enclosure 3, paragraph 5.e.2) </w:t>
      </w:r>
      <w:r w:rsidRPr="004A5961">
        <w:rPr>
          <w:color w:val="auto"/>
        </w:rPr>
        <w:t>is limited to those conditions which were determined by the PEB to be specifically unfitting for continued military service; or, when requested by the CI, those condition(s) “identified but not determined to be unfitting by the PEB.</w:t>
      </w:r>
      <w:r w:rsidR="00C50B2B">
        <w:rPr>
          <w:color w:val="auto"/>
        </w:rPr>
        <w:t>”</w:t>
      </w:r>
      <w:r>
        <w:rPr>
          <w:color w:val="auto"/>
        </w:rPr>
        <w:t xml:space="preserve">  </w:t>
      </w:r>
      <w:r w:rsidR="00CB28C3">
        <w:rPr>
          <w:color w:val="auto"/>
        </w:rPr>
        <w:t>The rating</w:t>
      </w:r>
      <w:r w:rsidR="00CB28C3" w:rsidRPr="00CB28C3">
        <w:rPr>
          <w:color w:val="auto"/>
        </w:rPr>
        <w:t xml:space="preserve"> for </w:t>
      </w:r>
      <w:r w:rsidR="00CB28C3">
        <w:rPr>
          <w:color w:val="auto"/>
        </w:rPr>
        <w:t xml:space="preserve">the </w:t>
      </w:r>
      <w:r w:rsidR="00CB28C3" w:rsidRPr="00CB28C3">
        <w:rPr>
          <w:color w:val="auto"/>
        </w:rPr>
        <w:t xml:space="preserve">unfitting </w:t>
      </w:r>
      <w:r w:rsidR="00CB28C3">
        <w:rPr>
          <w:color w:val="auto"/>
        </w:rPr>
        <w:t>lumbar spine condition is</w:t>
      </w:r>
      <w:r w:rsidR="00CB28C3" w:rsidRPr="00CB28C3">
        <w:rPr>
          <w:color w:val="auto"/>
        </w:rPr>
        <w:t xml:space="preserve"> addressed below.  Although the </w:t>
      </w:r>
      <w:r w:rsidR="00CB28C3">
        <w:rPr>
          <w:color w:val="auto"/>
        </w:rPr>
        <w:t>letter</w:t>
      </w:r>
      <w:r w:rsidR="00CB28C3" w:rsidRPr="00CB28C3">
        <w:rPr>
          <w:color w:val="auto"/>
        </w:rPr>
        <w:t xml:space="preserve"> </w:t>
      </w:r>
      <w:r w:rsidR="00CB28C3">
        <w:rPr>
          <w:color w:val="auto"/>
        </w:rPr>
        <w:t xml:space="preserve">attached to the application </w:t>
      </w:r>
      <w:r w:rsidR="00CB28C3" w:rsidRPr="00CB28C3">
        <w:rPr>
          <w:color w:val="auto"/>
        </w:rPr>
        <w:t xml:space="preserve">does not specify which </w:t>
      </w:r>
      <w:r w:rsidR="004A5961">
        <w:rPr>
          <w:color w:val="auto"/>
        </w:rPr>
        <w:t xml:space="preserve">other </w:t>
      </w:r>
      <w:r w:rsidR="00CB28C3" w:rsidRPr="00CB28C3">
        <w:rPr>
          <w:color w:val="auto"/>
        </w:rPr>
        <w:t xml:space="preserve">conditions the CI believes </w:t>
      </w:r>
      <w:r w:rsidR="00CB28C3">
        <w:rPr>
          <w:color w:val="auto"/>
        </w:rPr>
        <w:t>rendered him incapable of further service</w:t>
      </w:r>
      <w:r w:rsidR="00CB28C3" w:rsidRPr="00CB28C3">
        <w:rPr>
          <w:color w:val="auto"/>
        </w:rPr>
        <w:t xml:space="preserve">, the members judged that it was </w:t>
      </w:r>
      <w:r w:rsidR="00CB28C3">
        <w:rPr>
          <w:color w:val="auto"/>
        </w:rPr>
        <w:t>properly</w:t>
      </w:r>
      <w:r w:rsidR="00CB28C3" w:rsidRPr="00CB28C3">
        <w:rPr>
          <w:color w:val="auto"/>
        </w:rPr>
        <w:t xml:space="preserve"> within the purview of the Board to assess the appropriateness of the PEB’s determination that </w:t>
      </w:r>
      <w:r w:rsidR="00CB28C3">
        <w:rPr>
          <w:color w:val="auto"/>
        </w:rPr>
        <w:t xml:space="preserve">the two </w:t>
      </w:r>
      <w:r w:rsidR="00CB28C3" w:rsidRPr="00CB28C3">
        <w:rPr>
          <w:color w:val="auto"/>
        </w:rPr>
        <w:t xml:space="preserve">identified conditions </w:t>
      </w:r>
      <w:r w:rsidR="004A5961">
        <w:rPr>
          <w:color w:val="auto"/>
        </w:rPr>
        <w:t xml:space="preserve">(cervical spine and depression) </w:t>
      </w:r>
      <w:r w:rsidR="00CB28C3" w:rsidRPr="00CB28C3">
        <w:rPr>
          <w:color w:val="auto"/>
        </w:rPr>
        <w:t>were not unfitting</w:t>
      </w:r>
      <w:r w:rsidR="00CB28C3">
        <w:rPr>
          <w:color w:val="auto"/>
        </w:rPr>
        <w:t xml:space="preserve"> and recommend ratings if indicated</w:t>
      </w:r>
      <w:r w:rsidR="00CB28C3" w:rsidRPr="00CB28C3">
        <w:rPr>
          <w:color w:val="auto"/>
        </w:rPr>
        <w:t xml:space="preserve">.  </w:t>
      </w:r>
      <w:r w:rsidR="004A5961">
        <w:rPr>
          <w:rFonts w:eastAsia="Calibri" w:cs="Times New Roman"/>
          <w:color w:val="auto"/>
          <w:szCs w:val="24"/>
        </w:rPr>
        <w:t>Any</w:t>
      </w:r>
      <w:r w:rsidR="004A5961" w:rsidRPr="004A5961">
        <w:rPr>
          <w:rFonts w:eastAsia="Calibri" w:cs="Times New Roman"/>
          <w:color w:val="auto"/>
          <w:szCs w:val="24"/>
        </w:rPr>
        <w:t xml:space="preserve"> </w:t>
      </w:r>
      <w:r w:rsidR="004A5961">
        <w:rPr>
          <w:rFonts w:eastAsia="Calibri" w:cs="Times New Roman"/>
          <w:color w:val="auto"/>
          <w:szCs w:val="24"/>
        </w:rPr>
        <w:t>other “service-connected conditions”</w:t>
      </w:r>
      <w:r w:rsidR="004A5961" w:rsidRPr="004A5961">
        <w:rPr>
          <w:rFonts w:eastAsia="Calibri" w:cs="Times New Roman"/>
          <w:color w:val="auto"/>
          <w:szCs w:val="24"/>
        </w:rPr>
        <w:t xml:space="preserve"> </w:t>
      </w:r>
      <w:r w:rsidR="004A5961">
        <w:rPr>
          <w:rFonts w:eastAsia="Calibri" w:cs="Times New Roman"/>
          <w:color w:val="auto"/>
          <w:szCs w:val="24"/>
        </w:rPr>
        <w:t>which were referred to in the letter were</w:t>
      </w:r>
      <w:r w:rsidR="004A5961" w:rsidRPr="004A5961">
        <w:rPr>
          <w:rFonts w:eastAsia="Calibri" w:cs="Times New Roman"/>
          <w:color w:val="auto"/>
          <w:szCs w:val="24"/>
        </w:rPr>
        <w:t xml:space="preserve"> not identified by the PEB and thus </w:t>
      </w:r>
      <w:r w:rsidR="004A5961">
        <w:rPr>
          <w:rFonts w:eastAsia="Calibri" w:cs="Times New Roman"/>
          <w:color w:val="auto"/>
          <w:szCs w:val="24"/>
        </w:rPr>
        <w:t>do</w:t>
      </w:r>
      <w:r w:rsidR="004A5961" w:rsidRPr="004A5961">
        <w:rPr>
          <w:rFonts w:eastAsia="Calibri" w:cs="Times New Roman"/>
          <w:color w:val="auto"/>
          <w:szCs w:val="24"/>
        </w:rPr>
        <w:t xml:space="preserve"> not meet the prescribed criteria for Board purview.  </w:t>
      </w:r>
      <w:r w:rsidR="004A5961">
        <w:rPr>
          <w:rFonts w:eastAsia="Calibri" w:cs="Times New Roman"/>
          <w:color w:val="auto"/>
          <w:szCs w:val="24"/>
        </w:rPr>
        <w:t>Those conditions</w:t>
      </w:r>
      <w:r w:rsidR="004A5961" w:rsidRPr="004A5961">
        <w:rPr>
          <w:rFonts w:eastAsia="Calibri" w:cs="Times New Roman"/>
          <w:color w:val="auto"/>
          <w:szCs w:val="24"/>
        </w:rPr>
        <w:t xml:space="preserve">, </w:t>
      </w:r>
      <w:r w:rsidR="004A5961">
        <w:rPr>
          <w:rFonts w:eastAsia="Calibri" w:cs="Times New Roman"/>
          <w:color w:val="auto"/>
          <w:szCs w:val="24"/>
        </w:rPr>
        <w:t>or</w:t>
      </w:r>
      <w:r w:rsidR="004A5961" w:rsidRPr="004A5961">
        <w:rPr>
          <w:rFonts w:eastAsia="Calibri" w:cs="Times New Roman"/>
          <w:color w:val="auto"/>
          <w:szCs w:val="24"/>
        </w:rPr>
        <w:t xml:space="preserve"> any condition or contention not reques</w:t>
      </w:r>
      <w:r w:rsidR="004A5961">
        <w:rPr>
          <w:rFonts w:eastAsia="Calibri" w:cs="Times New Roman"/>
          <w:color w:val="auto"/>
          <w:szCs w:val="24"/>
        </w:rPr>
        <w:t>ted in this application, remain</w:t>
      </w:r>
      <w:r w:rsidR="004A5961" w:rsidRPr="004A5961">
        <w:rPr>
          <w:rFonts w:eastAsia="Calibri" w:cs="Times New Roman"/>
          <w:color w:val="auto"/>
          <w:szCs w:val="24"/>
        </w:rPr>
        <w:t xml:space="preserve"> eligible for future consideration by the Army Board for the</w:t>
      </w:r>
      <w:r w:rsidR="00F96744">
        <w:rPr>
          <w:rFonts w:eastAsia="Calibri" w:cs="Times New Roman"/>
          <w:color w:val="auto"/>
          <w:szCs w:val="24"/>
        </w:rPr>
        <w:t xml:space="preserve"> Correction of Military Records</w:t>
      </w:r>
      <w:r w:rsidR="004A5961" w:rsidRPr="004A5961">
        <w:rPr>
          <w:rFonts w:eastAsia="Calibri" w:cs="Times New Roman"/>
          <w:color w:val="auto"/>
          <w:szCs w:val="24"/>
        </w:rPr>
        <w:t>.</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4A5961" w:rsidRDefault="004A5961">
      <w:pPr>
        <w:spacing w:line="240" w:lineRule="auto"/>
        <w:jc w:val="left"/>
        <w:rPr>
          <w:color w:val="000000"/>
          <w:u w:val="single"/>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448"/>
        <w:gridCol w:w="630"/>
        <w:gridCol w:w="720"/>
        <w:gridCol w:w="2790"/>
        <w:gridCol w:w="1080"/>
        <w:gridCol w:w="720"/>
        <w:gridCol w:w="960"/>
      </w:tblGrid>
      <w:tr w:rsidR="004A3612" w:rsidRPr="000D5DBE" w:rsidTr="00AA1CEB">
        <w:trPr>
          <w:trHeight w:val="170"/>
        </w:trPr>
        <w:tc>
          <w:tcPr>
            <w:tcW w:w="3798" w:type="dxa"/>
            <w:gridSpan w:val="3"/>
            <w:tcBorders>
              <w:right w:val="thinThickThinSmallGap" w:sz="24" w:space="0" w:color="auto"/>
            </w:tcBorders>
            <w:shd w:val="clear" w:color="auto" w:fill="D9D9D9"/>
            <w:vAlign w:val="center"/>
          </w:tcPr>
          <w:p w:rsidR="004A3612" w:rsidRPr="00F64312" w:rsidRDefault="004A3612" w:rsidP="004A3612">
            <w:pPr>
              <w:contextualSpacing/>
              <w:rPr>
                <w:rFonts w:cs="Calibri"/>
                <w:b/>
                <w:color w:val="auto"/>
                <w:sz w:val="18"/>
              </w:rPr>
            </w:pPr>
            <w:r w:rsidRPr="00F64312">
              <w:rPr>
                <w:b/>
                <w:color w:val="auto"/>
                <w:sz w:val="18"/>
              </w:rPr>
              <w:t xml:space="preserve">Service PEB – </w:t>
            </w:r>
            <w:r w:rsidRPr="00825D30">
              <w:rPr>
                <w:b/>
                <w:color w:val="auto"/>
                <w:sz w:val="18"/>
              </w:rPr>
              <w:t>Dated 20060707</w:t>
            </w:r>
          </w:p>
        </w:tc>
        <w:tc>
          <w:tcPr>
            <w:tcW w:w="5550" w:type="dxa"/>
            <w:gridSpan w:val="4"/>
            <w:tcBorders>
              <w:left w:val="thinThickThinSmallGap" w:sz="24" w:space="0" w:color="auto"/>
            </w:tcBorders>
            <w:shd w:val="clear" w:color="auto" w:fill="D9D9D9"/>
            <w:vAlign w:val="center"/>
          </w:tcPr>
          <w:p w:rsidR="004A3612" w:rsidRPr="00F64312" w:rsidRDefault="004A3612" w:rsidP="004A3612">
            <w:pPr>
              <w:contextualSpacing/>
              <w:rPr>
                <w:rFonts w:cs="Calibri"/>
                <w:b/>
                <w:color w:val="auto"/>
                <w:sz w:val="18"/>
              </w:rPr>
            </w:pPr>
            <w:r w:rsidRPr="00F64312">
              <w:rPr>
                <w:b/>
                <w:color w:val="auto"/>
                <w:sz w:val="18"/>
              </w:rPr>
              <w:t>VA (</w:t>
            </w:r>
            <w:r>
              <w:rPr>
                <w:b/>
                <w:color w:val="auto"/>
                <w:sz w:val="18"/>
              </w:rPr>
              <w:t>~9</w:t>
            </w:r>
            <w:r w:rsidRPr="00F64312">
              <w:rPr>
                <w:b/>
                <w:color w:val="auto"/>
                <w:sz w:val="18"/>
              </w:rPr>
              <w:t xml:space="preserve"> Mos</w:t>
            </w:r>
            <w:r w:rsidRPr="001446D3">
              <w:rPr>
                <w:b/>
                <w:color w:val="auto"/>
                <w:sz w:val="18"/>
              </w:rPr>
              <w:t>. Post-Separation</w:t>
            </w:r>
            <w:r w:rsidRPr="00F64312">
              <w:rPr>
                <w:b/>
                <w:color w:val="auto"/>
                <w:sz w:val="18"/>
              </w:rPr>
              <w:t>) –</w:t>
            </w:r>
            <w:r>
              <w:rPr>
                <w:b/>
                <w:color w:val="auto"/>
                <w:sz w:val="18"/>
              </w:rPr>
              <w:t xml:space="preserve"> </w:t>
            </w:r>
            <w:r w:rsidRPr="00F64312">
              <w:rPr>
                <w:b/>
                <w:color w:val="auto"/>
                <w:sz w:val="18"/>
              </w:rPr>
              <w:t xml:space="preserve">Effective </w:t>
            </w:r>
            <w:r w:rsidRPr="001446D3">
              <w:rPr>
                <w:b/>
                <w:color w:val="auto"/>
                <w:sz w:val="18"/>
              </w:rPr>
              <w:t>20060906</w:t>
            </w:r>
          </w:p>
        </w:tc>
      </w:tr>
      <w:tr w:rsidR="00261B7E" w:rsidRPr="000D5DBE" w:rsidTr="00AA1CEB">
        <w:trPr>
          <w:trHeight w:val="97"/>
        </w:trPr>
        <w:tc>
          <w:tcPr>
            <w:tcW w:w="2448" w:type="dxa"/>
            <w:tcBorders>
              <w:right w:val="single" w:sz="4" w:space="0" w:color="auto"/>
            </w:tcBorders>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Rating</w:t>
            </w:r>
          </w:p>
        </w:tc>
        <w:tc>
          <w:tcPr>
            <w:tcW w:w="2790" w:type="dxa"/>
            <w:tcBorders>
              <w:left w:val="thinThickThinSmallGap" w:sz="24" w:space="0" w:color="auto"/>
            </w:tcBorders>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4A3612">
            <w:pPr>
              <w:contextualSpacing/>
              <w:rPr>
                <w:rFonts w:cs="Calibri"/>
                <w:b/>
                <w:color w:val="000000"/>
                <w:sz w:val="18"/>
              </w:rPr>
            </w:pPr>
            <w:r w:rsidRPr="000D5DBE">
              <w:rPr>
                <w:b/>
                <w:color w:val="000000"/>
                <w:sz w:val="18"/>
              </w:rPr>
              <w:t>Exam</w:t>
            </w:r>
          </w:p>
        </w:tc>
      </w:tr>
      <w:tr w:rsidR="004A3612" w:rsidRPr="000D5DBE" w:rsidTr="00AA1CEB">
        <w:trPr>
          <w:trHeight w:val="118"/>
        </w:trPr>
        <w:tc>
          <w:tcPr>
            <w:tcW w:w="2448" w:type="dxa"/>
            <w:tcBorders>
              <w:right w:val="single" w:sz="4" w:space="0" w:color="auto"/>
            </w:tcBorders>
            <w:shd w:val="clear" w:color="auto" w:fill="FFFFFF"/>
            <w:vAlign w:val="center"/>
          </w:tcPr>
          <w:p w:rsidR="004A3612" w:rsidRPr="00F64312" w:rsidRDefault="004A3612" w:rsidP="00AA1CEB">
            <w:pPr>
              <w:spacing w:line="220" w:lineRule="exact"/>
              <w:contextualSpacing/>
              <w:jc w:val="left"/>
              <w:rPr>
                <w:rFonts w:cs="Calibri"/>
                <w:color w:val="auto"/>
                <w:sz w:val="18"/>
              </w:rPr>
            </w:pPr>
            <w:r>
              <w:rPr>
                <w:rFonts w:cs="Calibri"/>
                <w:color w:val="auto"/>
                <w:sz w:val="18"/>
              </w:rPr>
              <w:t>Low Back Pain…Spondylosis</w:t>
            </w:r>
          </w:p>
        </w:tc>
        <w:tc>
          <w:tcPr>
            <w:tcW w:w="630" w:type="dxa"/>
            <w:tcBorders>
              <w:left w:val="single" w:sz="4" w:space="0" w:color="auto"/>
            </w:tcBorders>
            <w:shd w:val="clear" w:color="auto" w:fill="FFFFFF"/>
            <w:vAlign w:val="center"/>
          </w:tcPr>
          <w:p w:rsidR="004A3612" w:rsidRPr="00F64312" w:rsidRDefault="004A3612" w:rsidP="00AA1CEB">
            <w:pPr>
              <w:spacing w:line="220" w:lineRule="exact"/>
              <w:contextualSpacing/>
              <w:rPr>
                <w:rFonts w:cs="Calibri"/>
                <w:color w:val="auto"/>
                <w:sz w:val="18"/>
              </w:rPr>
            </w:pPr>
            <w:r>
              <w:rPr>
                <w:rFonts w:cs="Calibri"/>
                <w:color w:val="auto"/>
                <w:sz w:val="18"/>
              </w:rPr>
              <w:t>5242</w:t>
            </w:r>
          </w:p>
        </w:tc>
        <w:tc>
          <w:tcPr>
            <w:tcW w:w="720" w:type="dxa"/>
            <w:tcBorders>
              <w:right w:val="thinThickThinSmallGap" w:sz="24" w:space="0" w:color="auto"/>
            </w:tcBorders>
            <w:shd w:val="clear" w:color="auto" w:fill="FFFFFF"/>
            <w:vAlign w:val="center"/>
          </w:tcPr>
          <w:p w:rsidR="004A3612" w:rsidRPr="00F64312" w:rsidRDefault="004A3612" w:rsidP="00AA1CEB">
            <w:pPr>
              <w:spacing w:line="220" w:lineRule="exact"/>
              <w:rPr>
                <w:rFonts w:cs="Calibri"/>
                <w:color w:val="auto"/>
                <w:sz w:val="18"/>
              </w:rPr>
            </w:pPr>
            <w:r>
              <w:rPr>
                <w:rFonts w:cs="Calibri"/>
                <w:color w:val="auto"/>
                <w:sz w:val="18"/>
              </w:rPr>
              <w:t>10%</w:t>
            </w:r>
          </w:p>
        </w:tc>
        <w:tc>
          <w:tcPr>
            <w:tcW w:w="2790" w:type="dxa"/>
            <w:tcBorders>
              <w:left w:val="thinThickThinSmallGap" w:sz="24" w:space="0" w:color="auto"/>
            </w:tcBorders>
            <w:shd w:val="clear" w:color="auto" w:fill="FFFFFF"/>
            <w:vAlign w:val="center"/>
          </w:tcPr>
          <w:p w:rsidR="004A3612" w:rsidRPr="00F64312" w:rsidRDefault="004A3612" w:rsidP="00AA1CEB">
            <w:pPr>
              <w:spacing w:line="220" w:lineRule="exact"/>
              <w:contextualSpacing/>
              <w:jc w:val="left"/>
              <w:rPr>
                <w:rFonts w:cs="Calibri"/>
                <w:color w:val="auto"/>
                <w:sz w:val="18"/>
              </w:rPr>
            </w:pPr>
            <w:r>
              <w:rPr>
                <w:rFonts w:cs="Calibri"/>
                <w:color w:val="auto"/>
                <w:sz w:val="18"/>
              </w:rPr>
              <w:t>Lumbar Levoscoliosis, Early DDD</w:t>
            </w:r>
          </w:p>
        </w:tc>
        <w:tc>
          <w:tcPr>
            <w:tcW w:w="1080" w:type="dxa"/>
            <w:tcBorders>
              <w:right w:val="single" w:sz="4" w:space="0" w:color="auto"/>
            </w:tcBorders>
            <w:shd w:val="clear" w:color="auto" w:fill="FFFFFF"/>
            <w:vAlign w:val="center"/>
          </w:tcPr>
          <w:p w:rsidR="004A3612" w:rsidRPr="00F64312" w:rsidRDefault="004A3612" w:rsidP="00AA1CEB">
            <w:pPr>
              <w:spacing w:line="220" w:lineRule="exact"/>
              <w:contextualSpacing/>
              <w:rPr>
                <w:rFonts w:cs="Calibri"/>
                <w:color w:val="auto"/>
                <w:sz w:val="18"/>
              </w:rPr>
            </w:pPr>
            <w:r>
              <w:rPr>
                <w:rFonts w:cs="Calibri"/>
                <w:color w:val="auto"/>
                <w:sz w:val="18"/>
              </w:rPr>
              <w:t>5242</w:t>
            </w:r>
          </w:p>
        </w:tc>
        <w:tc>
          <w:tcPr>
            <w:tcW w:w="720" w:type="dxa"/>
            <w:tcBorders>
              <w:left w:val="single" w:sz="4" w:space="0" w:color="auto"/>
            </w:tcBorders>
            <w:shd w:val="clear" w:color="auto" w:fill="FFFFFF"/>
            <w:vAlign w:val="center"/>
          </w:tcPr>
          <w:p w:rsidR="004A3612" w:rsidRPr="00F64312" w:rsidRDefault="004A3612" w:rsidP="00AA1CEB">
            <w:pPr>
              <w:spacing w:line="220" w:lineRule="exact"/>
              <w:contextualSpacing/>
              <w:rPr>
                <w:rFonts w:cs="Calibri"/>
                <w:color w:val="auto"/>
                <w:sz w:val="18"/>
              </w:rPr>
            </w:pPr>
            <w:r>
              <w:rPr>
                <w:rFonts w:cs="Calibri"/>
                <w:color w:val="auto"/>
                <w:sz w:val="18"/>
              </w:rPr>
              <w:t>10%</w:t>
            </w:r>
          </w:p>
        </w:tc>
        <w:tc>
          <w:tcPr>
            <w:tcW w:w="960" w:type="dxa"/>
            <w:shd w:val="clear" w:color="auto" w:fill="FFFFFF"/>
            <w:vAlign w:val="center"/>
          </w:tcPr>
          <w:p w:rsidR="004A3612" w:rsidRPr="001446D3" w:rsidRDefault="004A3612" w:rsidP="00AA1CEB">
            <w:pPr>
              <w:spacing w:line="220" w:lineRule="exact"/>
              <w:contextualSpacing/>
              <w:rPr>
                <w:rFonts w:cs="Calibri"/>
                <w:color w:val="auto"/>
                <w:sz w:val="18"/>
              </w:rPr>
            </w:pPr>
            <w:r w:rsidRPr="001446D3">
              <w:rPr>
                <w:color w:val="auto"/>
                <w:sz w:val="18"/>
              </w:rPr>
              <w:t>20070606</w:t>
            </w:r>
          </w:p>
        </w:tc>
      </w:tr>
      <w:tr w:rsidR="004A3612" w:rsidRPr="000D5DBE" w:rsidTr="00AA1CEB">
        <w:trPr>
          <w:trHeight w:val="97"/>
        </w:trPr>
        <w:tc>
          <w:tcPr>
            <w:tcW w:w="2448" w:type="dxa"/>
            <w:tcBorders>
              <w:right w:val="single" w:sz="4" w:space="0" w:color="auto"/>
            </w:tcBorders>
            <w:shd w:val="clear" w:color="auto" w:fill="FFFFFF"/>
            <w:vAlign w:val="center"/>
          </w:tcPr>
          <w:p w:rsidR="004A3612" w:rsidRPr="001F29F9" w:rsidRDefault="004A3612" w:rsidP="00AA1CEB">
            <w:pPr>
              <w:spacing w:line="220" w:lineRule="exact"/>
              <w:contextualSpacing/>
              <w:jc w:val="left"/>
              <w:rPr>
                <w:rFonts w:cs="Calibri"/>
                <w:color w:val="000000"/>
                <w:sz w:val="18"/>
              </w:rPr>
            </w:pPr>
            <w:r>
              <w:rPr>
                <w:rFonts w:cs="Calibri"/>
                <w:color w:val="auto"/>
                <w:sz w:val="18"/>
              </w:rPr>
              <w:t>Neck Pain</w:t>
            </w:r>
          </w:p>
        </w:tc>
        <w:tc>
          <w:tcPr>
            <w:tcW w:w="1350" w:type="dxa"/>
            <w:gridSpan w:val="2"/>
            <w:tcBorders>
              <w:left w:val="single" w:sz="4" w:space="0" w:color="auto"/>
              <w:right w:val="thinThickThinSmallGap" w:sz="24" w:space="0" w:color="auto"/>
            </w:tcBorders>
            <w:shd w:val="clear" w:color="auto" w:fill="FFFFFF"/>
            <w:vAlign w:val="center"/>
          </w:tcPr>
          <w:p w:rsidR="004A3612" w:rsidRPr="00D8352E" w:rsidRDefault="004A3612" w:rsidP="00AA1CEB">
            <w:pPr>
              <w:spacing w:line="220" w:lineRule="exact"/>
              <w:contextualSpacing/>
              <w:rPr>
                <w:rFonts w:cs="Calibri"/>
                <w:color w:val="000000"/>
                <w:sz w:val="18"/>
              </w:rPr>
            </w:pPr>
            <w:r w:rsidRPr="00D8352E">
              <w:rPr>
                <w:color w:val="000000"/>
                <w:sz w:val="18"/>
              </w:rPr>
              <w:t>Not Unfitting</w:t>
            </w:r>
          </w:p>
        </w:tc>
        <w:tc>
          <w:tcPr>
            <w:tcW w:w="4590" w:type="dxa"/>
            <w:gridSpan w:val="3"/>
            <w:tcBorders>
              <w:left w:val="thinThickThinSmallGap" w:sz="24" w:space="0" w:color="auto"/>
            </w:tcBorders>
            <w:shd w:val="clear" w:color="auto" w:fill="FFFFFF"/>
            <w:vAlign w:val="center"/>
          </w:tcPr>
          <w:p w:rsidR="004A3612" w:rsidRPr="00D8352E" w:rsidRDefault="00787DF8" w:rsidP="00787DF8">
            <w:pPr>
              <w:spacing w:line="220" w:lineRule="exact"/>
              <w:contextualSpacing/>
              <w:rPr>
                <w:rFonts w:cs="Calibri"/>
                <w:color w:val="000000"/>
                <w:sz w:val="18"/>
              </w:rPr>
            </w:pPr>
            <w:r>
              <w:rPr>
                <w:rFonts w:cs="Calibri"/>
                <w:color w:val="auto"/>
                <w:sz w:val="18"/>
              </w:rPr>
              <w:t xml:space="preserve">No VA Rating* </w:t>
            </w:r>
          </w:p>
        </w:tc>
        <w:tc>
          <w:tcPr>
            <w:tcW w:w="960" w:type="dxa"/>
            <w:shd w:val="clear" w:color="auto" w:fill="FFFFFF"/>
            <w:vAlign w:val="center"/>
          </w:tcPr>
          <w:p w:rsidR="004A3612" w:rsidRPr="00D8352E" w:rsidRDefault="004A3612" w:rsidP="00AA1CEB">
            <w:pPr>
              <w:spacing w:line="220" w:lineRule="exact"/>
              <w:contextualSpacing/>
              <w:rPr>
                <w:rFonts w:cs="Calibri"/>
                <w:color w:val="000000"/>
                <w:sz w:val="18"/>
              </w:rPr>
            </w:pPr>
            <w:r w:rsidRPr="001446D3">
              <w:rPr>
                <w:color w:val="auto"/>
                <w:sz w:val="18"/>
              </w:rPr>
              <w:t>20070606</w:t>
            </w:r>
          </w:p>
        </w:tc>
      </w:tr>
      <w:tr w:rsidR="004A3612" w:rsidRPr="000D5DBE" w:rsidTr="00AA1CEB">
        <w:trPr>
          <w:trHeight w:val="97"/>
        </w:trPr>
        <w:tc>
          <w:tcPr>
            <w:tcW w:w="2448" w:type="dxa"/>
            <w:tcBorders>
              <w:right w:val="single" w:sz="4" w:space="0" w:color="auto"/>
            </w:tcBorders>
            <w:shd w:val="clear" w:color="auto" w:fill="FFFFFF"/>
            <w:vAlign w:val="center"/>
          </w:tcPr>
          <w:p w:rsidR="004A3612" w:rsidRPr="001F29F9" w:rsidRDefault="004A3612" w:rsidP="00AA1CEB">
            <w:pPr>
              <w:spacing w:line="220" w:lineRule="exact"/>
              <w:contextualSpacing/>
              <w:jc w:val="left"/>
              <w:rPr>
                <w:color w:val="000000"/>
                <w:sz w:val="18"/>
              </w:rPr>
            </w:pPr>
            <w:r>
              <w:rPr>
                <w:color w:val="auto"/>
                <w:sz w:val="18"/>
              </w:rPr>
              <w:t>Major Depressive Disorder</w:t>
            </w:r>
          </w:p>
        </w:tc>
        <w:tc>
          <w:tcPr>
            <w:tcW w:w="1350" w:type="dxa"/>
            <w:gridSpan w:val="2"/>
            <w:tcBorders>
              <w:left w:val="single" w:sz="4" w:space="0" w:color="auto"/>
              <w:right w:val="thinThickThinSmallGap" w:sz="24" w:space="0" w:color="auto"/>
            </w:tcBorders>
            <w:shd w:val="clear" w:color="auto" w:fill="FFFFFF"/>
            <w:vAlign w:val="center"/>
          </w:tcPr>
          <w:p w:rsidR="004A3612" w:rsidRPr="00D8352E" w:rsidRDefault="004A3612" w:rsidP="00AA1CEB">
            <w:pPr>
              <w:spacing w:line="220" w:lineRule="exact"/>
              <w:contextualSpacing/>
              <w:rPr>
                <w:color w:val="000000"/>
                <w:sz w:val="18"/>
              </w:rPr>
            </w:pPr>
            <w:r w:rsidRPr="00D8352E">
              <w:rPr>
                <w:color w:val="000000"/>
                <w:sz w:val="18"/>
              </w:rPr>
              <w:t>Not Unfitting</w:t>
            </w:r>
          </w:p>
        </w:tc>
        <w:tc>
          <w:tcPr>
            <w:tcW w:w="2790" w:type="dxa"/>
            <w:tcBorders>
              <w:left w:val="thinThickThinSmallGap" w:sz="24" w:space="0" w:color="auto"/>
              <w:right w:val="single" w:sz="4" w:space="0" w:color="auto"/>
            </w:tcBorders>
            <w:shd w:val="clear" w:color="auto" w:fill="FFFFFF"/>
            <w:vAlign w:val="center"/>
          </w:tcPr>
          <w:p w:rsidR="004A3612" w:rsidRDefault="004A3612" w:rsidP="00AA1CEB">
            <w:pPr>
              <w:spacing w:line="220" w:lineRule="exact"/>
              <w:contextualSpacing/>
              <w:jc w:val="left"/>
              <w:rPr>
                <w:color w:val="auto"/>
                <w:sz w:val="18"/>
              </w:rPr>
            </w:pPr>
            <w:r>
              <w:rPr>
                <w:color w:val="auto"/>
                <w:sz w:val="18"/>
              </w:rPr>
              <w:t>Depressive Disorder, NOS</w:t>
            </w:r>
          </w:p>
        </w:tc>
        <w:tc>
          <w:tcPr>
            <w:tcW w:w="1080" w:type="dxa"/>
            <w:tcBorders>
              <w:left w:val="single" w:sz="4" w:space="0" w:color="auto"/>
              <w:right w:val="single" w:sz="4" w:space="0" w:color="auto"/>
            </w:tcBorders>
            <w:shd w:val="clear" w:color="auto" w:fill="FFFFFF"/>
            <w:vAlign w:val="center"/>
          </w:tcPr>
          <w:p w:rsidR="004A3612" w:rsidRDefault="004A3612" w:rsidP="00AA1CEB">
            <w:pPr>
              <w:spacing w:line="220" w:lineRule="exact"/>
              <w:contextualSpacing/>
              <w:rPr>
                <w:color w:val="auto"/>
                <w:sz w:val="18"/>
              </w:rPr>
            </w:pPr>
            <w:r>
              <w:rPr>
                <w:color w:val="auto"/>
                <w:sz w:val="18"/>
              </w:rPr>
              <w:t>9434</w:t>
            </w:r>
          </w:p>
        </w:tc>
        <w:tc>
          <w:tcPr>
            <w:tcW w:w="720" w:type="dxa"/>
            <w:tcBorders>
              <w:left w:val="single" w:sz="4" w:space="0" w:color="auto"/>
            </w:tcBorders>
            <w:shd w:val="clear" w:color="auto" w:fill="FFFFFF"/>
            <w:vAlign w:val="center"/>
          </w:tcPr>
          <w:p w:rsidR="004A3612" w:rsidRPr="00F64312" w:rsidRDefault="004A3612" w:rsidP="00AA1CEB">
            <w:pPr>
              <w:spacing w:line="220" w:lineRule="exact"/>
              <w:contextualSpacing/>
              <w:rPr>
                <w:color w:val="auto"/>
                <w:sz w:val="18"/>
              </w:rPr>
            </w:pPr>
            <w:r>
              <w:rPr>
                <w:color w:val="auto"/>
                <w:sz w:val="18"/>
              </w:rPr>
              <w:t>30%</w:t>
            </w:r>
          </w:p>
        </w:tc>
        <w:tc>
          <w:tcPr>
            <w:tcW w:w="960" w:type="dxa"/>
            <w:shd w:val="clear" w:color="auto" w:fill="FFFFFF"/>
            <w:vAlign w:val="center"/>
          </w:tcPr>
          <w:p w:rsidR="004A3612" w:rsidRPr="001446D3" w:rsidRDefault="004A3612" w:rsidP="00AA1CEB">
            <w:pPr>
              <w:spacing w:line="220" w:lineRule="exact"/>
              <w:contextualSpacing/>
              <w:rPr>
                <w:color w:val="auto"/>
                <w:sz w:val="18"/>
              </w:rPr>
            </w:pPr>
            <w:r>
              <w:rPr>
                <w:color w:val="auto"/>
                <w:sz w:val="18"/>
              </w:rPr>
              <w:t>20070615</w:t>
            </w:r>
          </w:p>
        </w:tc>
      </w:tr>
      <w:tr w:rsidR="004A3612" w:rsidRPr="000D5DBE" w:rsidTr="00AA1CEB">
        <w:trPr>
          <w:trHeight w:val="130"/>
        </w:trPr>
        <w:tc>
          <w:tcPr>
            <w:tcW w:w="3798" w:type="dxa"/>
            <w:gridSpan w:val="3"/>
            <w:vMerge w:val="restart"/>
            <w:tcBorders>
              <w:right w:val="thinThickThinSmallGap" w:sz="24" w:space="0" w:color="auto"/>
            </w:tcBorders>
            <w:shd w:val="clear" w:color="auto" w:fill="FFFFFF"/>
            <w:vAlign w:val="center"/>
          </w:tcPr>
          <w:p w:rsidR="004A3612" w:rsidRPr="004A3612" w:rsidRDefault="004A3612" w:rsidP="00AA1CEB">
            <w:pPr>
              <w:spacing w:line="220" w:lineRule="exact"/>
              <w:contextualSpacing/>
              <w:rPr>
                <w:color w:val="000000"/>
                <w:sz w:val="18"/>
              </w:rPr>
            </w:pPr>
            <w:r w:rsidRPr="000D5DBE">
              <w:rPr>
                <w:color w:val="000000"/>
                <w:sz w:val="18"/>
              </w:rPr>
              <w:t>No Additional MEB/PEB Entries</w:t>
            </w:r>
          </w:p>
        </w:tc>
        <w:tc>
          <w:tcPr>
            <w:tcW w:w="2790" w:type="dxa"/>
            <w:tcBorders>
              <w:left w:val="thinThickThinSmallGap" w:sz="24" w:space="0" w:color="auto"/>
              <w:bottom w:val="single" w:sz="4" w:space="0" w:color="auto"/>
              <w:right w:val="single" w:sz="4" w:space="0" w:color="auto"/>
            </w:tcBorders>
            <w:shd w:val="clear" w:color="auto" w:fill="FFFFFF"/>
            <w:vAlign w:val="center"/>
          </w:tcPr>
          <w:p w:rsidR="004A3612" w:rsidRPr="00F64312" w:rsidRDefault="004A3612" w:rsidP="00AA1CEB">
            <w:pPr>
              <w:spacing w:line="220" w:lineRule="exact"/>
              <w:contextualSpacing/>
              <w:jc w:val="left"/>
              <w:rPr>
                <w:color w:val="auto"/>
                <w:sz w:val="18"/>
              </w:rPr>
            </w:pPr>
            <w:r>
              <w:rPr>
                <w:color w:val="auto"/>
                <w:sz w:val="18"/>
              </w:rPr>
              <w:t>Tendon Tear, Right Shoulder</w:t>
            </w:r>
          </w:p>
        </w:tc>
        <w:tc>
          <w:tcPr>
            <w:tcW w:w="1080" w:type="dxa"/>
            <w:tcBorders>
              <w:left w:val="single" w:sz="4" w:space="0" w:color="auto"/>
              <w:bottom w:val="single" w:sz="4" w:space="0" w:color="auto"/>
              <w:right w:val="single" w:sz="4" w:space="0" w:color="auto"/>
            </w:tcBorders>
            <w:shd w:val="clear" w:color="auto" w:fill="FFFFFF"/>
            <w:vAlign w:val="center"/>
          </w:tcPr>
          <w:p w:rsidR="004A3612" w:rsidRPr="00F64312" w:rsidRDefault="004A3612" w:rsidP="00AA1CEB">
            <w:pPr>
              <w:spacing w:line="220" w:lineRule="exact"/>
              <w:contextualSpacing/>
              <w:rPr>
                <w:color w:val="auto"/>
                <w:sz w:val="18"/>
              </w:rPr>
            </w:pPr>
            <w:r>
              <w:rPr>
                <w:color w:val="auto"/>
                <w:sz w:val="18"/>
              </w:rPr>
              <w:t>5299-5003</w:t>
            </w:r>
          </w:p>
        </w:tc>
        <w:tc>
          <w:tcPr>
            <w:tcW w:w="720" w:type="dxa"/>
            <w:tcBorders>
              <w:left w:val="single" w:sz="4" w:space="0" w:color="auto"/>
              <w:bottom w:val="single" w:sz="4" w:space="0" w:color="auto"/>
            </w:tcBorders>
            <w:shd w:val="clear" w:color="auto" w:fill="FFFFFF"/>
            <w:vAlign w:val="center"/>
          </w:tcPr>
          <w:p w:rsidR="004A3612" w:rsidRPr="00F64312" w:rsidRDefault="004A3612" w:rsidP="00AA1CEB">
            <w:pPr>
              <w:spacing w:line="220" w:lineRule="exact"/>
              <w:contextualSpacing/>
              <w:rPr>
                <w:color w:val="auto"/>
                <w:sz w:val="18"/>
              </w:rPr>
            </w:pPr>
            <w:r>
              <w:rPr>
                <w:color w:val="auto"/>
                <w:sz w:val="18"/>
              </w:rPr>
              <w:t>10%</w:t>
            </w:r>
          </w:p>
        </w:tc>
        <w:tc>
          <w:tcPr>
            <w:tcW w:w="960" w:type="dxa"/>
            <w:tcBorders>
              <w:bottom w:val="single" w:sz="4" w:space="0" w:color="auto"/>
            </w:tcBorders>
            <w:shd w:val="clear" w:color="auto" w:fill="FFFFFF"/>
            <w:vAlign w:val="center"/>
          </w:tcPr>
          <w:p w:rsidR="004A3612" w:rsidRPr="001446D3" w:rsidRDefault="004A3612" w:rsidP="00AA1CEB">
            <w:pPr>
              <w:spacing w:line="220" w:lineRule="exact"/>
              <w:contextualSpacing/>
              <w:rPr>
                <w:color w:val="auto"/>
                <w:sz w:val="18"/>
              </w:rPr>
            </w:pPr>
            <w:r w:rsidRPr="001446D3">
              <w:rPr>
                <w:color w:val="auto"/>
                <w:sz w:val="18"/>
              </w:rPr>
              <w:t>20070606</w:t>
            </w:r>
          </w:p>
        </w:tc>
      </w:tr>
      <w:tr w:rsidR="004A3612" w:rsidRPr="000D5DBE" w:rsidTr="00AA1CEB">
        <w:trPr>
          <w:trHeight w:val="130"/>
        </w:trPr>
        <w:tc>
          <w:tcPr>
            <w:tcW w:w="3798" w:type="dxa"/>
            <w:gridSpan w:val="3"/>
            <w:vMerge/>
            <w:tcBorders>
              <w:right w:val="thinThickThinSmallGap" w:sz="24" w:space="0" w:color="auto"/>
            </w:tcBorders>
            <w:shd w:val="clear" w:color="auto" w:fill="FFFFFF"/>
            <w:vAlign w:val="center"/>
          </w:tcPr>
          <w:p w:rsidR="004A3612" w:rsidRPr="000D5DBE" w:rsidRDefault="004A3612" w:rsidP="00AA1CEB">
            <w:pPr>
              <w:spacing w:line="220" w:lineRule="exact"/>
              <w:contextualSpacing/>
              <w:rPr>
                <w:color w:val="000000"/>
                <w:sz w:val="18"/>
              </w:rPr>
            </w:pPr>
          </w:p>
        </w:tc>
        <w:tc>
          <w:tcPr>
            <w:tcW w:w="2790" w:type="dxa"/>
            <w:tcBorders>
              <w:left w:val="thinThickThinSmallGap" w:sz="24" w:space="0" w:color="auto"/>
              <w:bottom w:val="single" w:sz="4" w:space="0" w:color="auto"/>
              <w:right w:val="single" w:sz="4" w:space="0" w:color="auto"/>
            </w:tcBorders>
            <w:shd w:val="clear" w:color="auto" w:fill="FFFFFF"/>
            <w:vAlign w:val="center"/>
          </w:tcPr>
          <w:p w:rsidR="004A3612" w:rsidRPr="00F64312" w:rsidRDefault="004A3612" w:rsidP="00AA1CEB">
            <w:pPr>
              <w:spacing w:line="220" w:lineRule="exact"/>
              <w:contextualSpacing/>
              <w:jc w:val="left"/>
              <w:rPr>
                <w:color w:val="auto"/>
                <w:sz w:val="18"/>
              </w:rPr>
            </w:pPr>
            <w:r>
              <w:rPr>
                <w:color w:val="auto"/>
                <w:sz w:val="18"/>
              </w:rPr>
              <w:t>DJD, Right Knee</w:t>
            </w:r>
          </w:p>
        </w:tc>
        <w:tc>
          <w:tcPr>
            <w:tcW w:w="1080" w:type="dxa"/>
            <w:tcBorders>
              <w:left w:val="single" w:sz="4" w:space="0" w:color="auto"/>
              <w:bottom w:val="single" w:sz="4" w:space="0" w:color="auto"/>
              <w:right w:val="single" w:sz="4" w:space="0" w:color="auto"/>
            </w:tcBorders>
            <w:shd w:val="clear" w:color="auto" w:fill="FFFFFF"/>
            <w:vAlign w:val="center"/>
          </w:tcPr>
          <w:p w:rsidR="004A3612" w:rsidRPr="00F64312" w:rsidRDefault="004A3612" w:rsidP="00AA1CEB">
            <w:pPr>
              <w:spacing w:line="220" w:lineRule="exact"/>
              <w:contextualSpacing/>
              <w:rPr>
                <w:color w:val="auto"/>
                <w:sz w:val="18"/>
              </w:rPr>
            </w:pPr>
            <w:r>
              <w:rPr>
                <w:color w:val="auto"/>
                <w:sz w:val="18"/>
              </w:rPr>
              <w:t>5003-5257</w:t>
            </w:r>
          </w:p>
        </w:tc>
        <w:tc>
          <w:tcPr>
            <w:tcW w:w="720" w:type="dxa"/>
            <w:tcBorders>
              <w:left w:val="single" w:sz="4" w:space="0" w:color="auto"/>
              <w:bottom w:val="single" w:sz="4" w:space="0" w:color="auto"/>
            </w:tcBorders>
            <w:shd w:val="clear" w:color="auto" w:fill="FFFFFF"/>
            <w:vAlign w:val="center"/>
          </w:tcPr>
          <w:p w:rsidR="004A3612" w:rsidRPr="00F64312" w:rsidRDefault="004A3612" w:rsidP="00AA1CEB">
            <w:pPr>
              <w:spacing w:line="220" w:lineRule="exact"/>
              <w:contextualSpacing/>
              <w:rPr>
                <w:color w:val="auto"/>
                <w:sz w:val="18"/>
              </w:rPr>
            </w:pPr>
            <w:r>
              <w:rPr>
                <w:color w:val="auto"/>
                <w:sz w:val="18"/>
              </w:rPr>
              <w:t>10%</w:t>
            </w:r>
          </w:p>
        </w:tc>
        <w:tc>
          <w:tcPr>
            <w:tcW w:w="960" w:type="dxa"/>
            <w:tcBorders>
              <w:bottom w:val="single" w:sz="4" w:space="0" w:color="auto"/>
            </w:tcBorders>
            <w:shd w:val="clear" w:color="auto" w:fill="FFFFFF"/>
            <w:vAlign w:val="center"/>
          </w:tcPr>
          <w:p w:rsidR="004A3612" w:rsidRPr="001446D3" w:rsidRDefault="004A3612" w:rsidP="00AA1CEB">
            <w:pPr>
              <w:spacing w:line="220" w:lineRule="exact"/>
              <w:contextualSpacing/>
              <w:rPr>
                <w:color w:val="auto"/>
                <w:sz w:val="18"/>
              </w:rPr>
            </w:pPr>
            <w:r w:rsidRPr="001446D3">
              <w:rPr>
                <w:color w:val="auto"/>
                <w:sz w:val="18"/>
              </w:rPr>
              <w:t>20070606</w:t>
            </w:r>
          </w:p>
        </w:tc>
      </w:tr>
      <w:tr w:rsidR="004A3612" w:rsidRPr="000D5DBE" w:rsidTr="00AA1CEB">
        <w:trPr>
          <w:trHeight w:val="66"/>
        </w:trPr>
        <w:tc>
          <w:tcPr>
            <w:tcW w:w="3798" w:type="dxa"/>
            <w:gridSpan w:val="3"/>
            <w:vMerge/>
            <w:tcBorders>
              <w:right w:val="thinThickThinSmallGap" w:sz="24" w:space="0" w:color="auto"/>
            </w:tcBorders>
            <w:shd w:val="clear" w:color="auto" w:fill="FFFFFF"/>
            <w:vAlign w:val="center"/>
          </w:tcPr>
          <w:p w:rsidR="004A3612" w:rsidRPr="000D5DBE" w:rsidRDefault="004A3612" w:rsidP="00AA1CEB">
            <w:pPr>
              <w:spacing w:line="220" w:lineRule="exact"/>
              <w:contextualSpacing/>
              <w:rPr>
                <w:color w:val="000000"/>
                <w:sz w:val="18"/>
              </w:rPr>
            </w:pPr>
          </w:p>
        </w:tc>
        <w:tc>
          <w:tcPr>
            <w:tcW w:w="4590" w:type="dxa"/>
            <w:gridSpan w:val="3"/>
            <w:tcBorders>
              <w:top w:val="single" w:sz="4" w:space="0" w:color="auto"/>
              <w:left w:val="thinThickThinSmallGap" w:sz="24" w:space="0" w:color="auto"/>
            </w:tcBorders>
            <w:shd w:val="clear" w:color="auto" w:fill="FFFFFF"/>
            <w:vAlign w:val="center"/>
          </w:tcPr>
          <w:p w:rsidR="004A3612" w:rsidRDefault="00AA1CEB" w:rsidP="00AA1CEB">
            <w:pPr>
              <w:spacing w:line="220" w:lineRule="exact"/>
              <w:contextualSpacing/>
              <w:rPr>
                <w:color w:val="000000"/>
                <w:sz w:val="18"/>
              </w:rPr>
            </w:pPr>
            <w:r>
              <w:rPr>
                <w:color w:val="000000"/>
                <w:sz w:val="18"/>
              </w:rPr>
              <w:t>0% X 1</w:t>
            </w:r>
            <w:r w:rsidR="004A3612">
              <w:rPr>
                <w:color w:val="000000"/>
                <w:sz w:val="18"/>
              </w:rPr>
              <w:t xml:space="preserve"> </w:t>
            </w:r>
            <w:r w:rsidR="004A3612" w:rsidRPr="000D5DBE">
              <w:rPr>
                <w:color w:val="000000"/>
                <w:sz w:val="18"/>
              </w:rPr>
              <w:t>/</w:t>
            </w:r>
            <w:r w:rsidR="004A3612">
              <w:rPr>
                <w:color w:val="000000"/>
                <w:sz w:val="18"/>
              </w:rPr>
              <w:t xml:space="preserve"> </w:t>
            </w:r>
            <w:r w:rsidR="004A3612" w:rsidRPr="000D5DBE">
              <w:rPr>
                <w:color w:val="000000"/>
                <w:sz w:val="18"/>
              </w:rPr>
              <w:t xml:space="preserve">Not Service Connected x </w:t>
            </w:r>
            <w:r>
              <w:rPr>
                <w:color w:val="000000"/>
                <w:sz w:val="18"/>
              </w:rPr>
              <w:t>8</w:t>
            </w:r>
          </w:p>
        </w:tc>
        <w:tc>
          <w:tcPr>
            <w:tcW w:w="960" w:type="dxa"/>
            <w:tcBorders>
              <w:top w:val="single" w:sz="4" w:space="0" w:color="auto"/>
            </w:tcBorders>
            <w:shd w:val="clear" w:color="auto" w:fill="FFFFFF"/>
            <w:vAlign w:val="center"/>
          </w:tcPr>
          <w:p w:rsidR="004A3612" w:rsidRPr="001F29F9" w:rsidRDefault="00AA1CEB" w:rsidP="00AA1CEB">
            <w:pPr>
              <w:spacing w:line="220" w:lineRule="exact"/>
              <w:contextualSpacing/>
              <w:rPr>
                <w:color w:val="000000"/>
                <w:sz w:val="18"/>
              </w:rPr>
            </w:pPr>
            <w:r w:rsidRPr="001446D3">
              <w:rPr>
                <w:color w:val="auto"/>
                <w:sz w:val="18"/>
              </w:rPr>
              <w:t>20070606</w:t>
            </w:r>
          </w:p>
        </w:tc>
      </w:tr>
      <w:tr w:rsidR="00AD2379" w:rsidRPr="000D5DBE" w:rsidTr="00AA1CEB">
        <w:trPr>
          <w:trHeight w:val="124"/>
        </w:trPr>
        <w:tc>
          <w:tcPr>
            <w:tcW w:w="3798" w:type="dxa"/>
            <w:gridSpan w:val="3"/>
            <w:tcBorders>
              <w:right w:val="thinThickThinSmallGap" w:sz="24" w:space="0" w:color="auto"/>
            </w:tcBorders>
            <w:shd w:val="clear" w:color="auto" w:fill="D9D9D9"/>
          </w:tcPr>
          <w:p w:rsidR="00AD2379" w:rsidRPr="000D5DBE" w:rsidRDefault="00463478" w:rsidP="004A3612">
            <w:pPr>
              <w:contextualSpacing/>
              <w:rPr>
                <w:rFonts w:cs="Calibri"/>
                <w:b/>
                <w:color w:val="000000"/>
                <w:sz w:val="18"/>
              </w:rPr>
            </w:pPr>
            <w:r>
              <w:rPr>
                <w:b/>
                <w:color w:val="000000"/>
                <w:sz w:val="18"/>
              </w:rPr>
              <w:t>Combined:</w:t>
            </w:r>
            <w:r w:rsidR="00AA1CEB">
              <w:rPr>
                <w:b/>
                <w:color w:val="000000"/>
                <w:sz w:val="18"/>
              </w:rPr>
              <w:t xml:space="preserve">  1</w:t>
            </w:r>
            <w:r w:rsidR="00AD2379" w:rsidRPr="000D5DBE">
              <w:rPr>
                <w:b/>
                <w:color w:val="000000"/>
                <w:sz w:val="18"/>
              </w:rPr>
              <w:t>0%</w:t>
            </w:r>
          </w:p>
        </w:tc>
        <w:tc>
          <w:tcPr>
            <w:tcW w:w="5550" w:type="dxa"/>
            <w:gridSpan w:val="4"/>
            <w:tcBorders>
              <w:left w:val="thinThickThinSmallGap" w:sz="24" w:space="0" w:color="auto"/>
            </w:tcBorders>
            <w:shd w:val="clear" w:color="auto" w:fill="D9D9D9"/>
          </w:tcPr>
          <w:p w:rsidR="00AD2379" w:rsidRPr="000D5DBE" w:rsidRDefault="00AA1CEB" w:rsidP="004A3612">
            <w:pPr>
              <w:contextualSpacing/>
              <w:rPr>
                <w:rFonts w:cs="Calibri"/>
                <w:b/>
                <w:color w:val="000000"/>
                <w:sz w:val="18"/>
              </w:rPr>
            </w:pPr>
            <w:r>
              <w:rPr>
                <w:b/>
                <w:color w:val="000000"/>
                <w:sz w:val="18"/>
              </w:rPr>
              <w:t>Combined:  5</w:t>
            </w:r>
            <w:r w:rsidR="00AD2379" w:rsidRPr="000D5DBE">
              <w:rPr>
                <w:b/>
                <w:color w:val="000000"/>
                <w:sz w:val="18"/>
              </w:rPr>
              <w:t>0%</w:t>
            </w:r>
          </w:p>
        </w:tc>
      </w:tr>
    </w:tbl>
    <w:p w:rsidR="00AD2379" w:rsidRPr="00787DF8" w:rsidRDefault="00787DF8" w:rsidP="00C50B2B">
      <w:pPr>
        <w:pBdr>
          <w:bottom w:val="single" w:sz="12" w:space="1" w:color="auto"/>
        </w:pBdr>
        <w:tabs>
          <w:tab w:val="left" w:pos="288"/>
          <w:tab w:val="left" w:pos="4752"/>
        </w:tabs>
        <w:jc w:val="both"/>
        <w:rPr>
          <w:color w:val="000000"/>
          <w:sz w:val="18"/>
          <w:szCs w:val="18"/>
        </w:rPr>
      </w:pPr>
      <w:r>
        <w:rPr>
          <w:color w:val="000000"/>
          <w:sz w:val="18"/>
          <w:szCs w:val="18"/>
        </w:rPr>
        <w:t>* Not identified as separate condition for rating, but addressed as upper back condition by VA examiner (20070606).</w:t>
      </w:r>
    </w:p>
    <w:p w:rsidR="00787DF8" w:rsidRPr="001F29F9" w:rsidRDefault="00787DF8"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ED4EBF">
        <w:rPr>
          <w:color w:val="000000"/>
        </w:rPr>
        <w:t xml:space="preserve"> </w:t>
      </w:r>
      <w:r w:rsidR="00ED4EBF" w:rsidRPr="00ED4EBF">
        <w:rPr>
          <w:color w:val="000000"/>
        </w:rPr>
        <w:t xml:space="preserve">The Board acknowledges the sentiment expressed in the CI’s application regarding the significant impairment with which his service-incurred conditions continue to burden him.  The Board wishes to clarify that it is subject to the same laws for disability entitlements as those under which the </w:t>
      </w:r>
      <w:r w:rsidR="00F96744">
        <w:rPr>
          <w:color w:val="000000"/>
        </w:rPr>
        <w:t>D</w:t>
      </w:r>
      <w:r w:rsidR="00ED4EBF" w:rsidRPr="00ED4EBF">
        <w:rPr>
          <w:color w:val="000000"/>
        </w:rPr>
        <w:t xml:space="preserve">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 Affairs (DVA), operating under a different set of laws (Title 38, United States Code).  The Board evaluates </w:t>
      </w:r>
      <w:r w:rsidR="00F96744">
        <w:rPr>
          <w:color w:val="000000"/>
        </w:rPr>
        <w:t>D</w:t>
      </w:r>
      <w:r w:rsidR="00ED4EBF" w:rsidRPr="00ED4EBF">
        <w:rPr>
          <w:color w:val="000000"/>
        </w:rPr>
        <w:t>VA evidence proximate to separation in arriving at its recommendations, but its authority resides in evaluating the fairness of fitness decisions and rating determinations for disability at the time of separation.  DoDI 6040.44 specifies a 12</w:t>
      </w:r>
      <w:r w:rsidR="00F96744">
        <w:rPr>
          <w:color w:val="000000"/>
        </w:rPr>
        <w:t>-</w:t>
      </w:r>
      <w:r w:rsidR="00ED4EBF" w:rsidRPr="00ED4EBF">
        <w:rPr>
          <w:color w:val="000000"/>
        </w:rPr>
        <w:t xml:space="preserve">month interval for special consideration to </w:t>
      </w:r>
      <w:r w:rsidR="00F96744">
        <w:rPr>
          <w:color w:val="000000"/>
        </w:rPr>
        <w:t>D</w:t>
      </w:r>
      <w:r w:rsidR="00ED4EBF" w:rsidRPr="00ED4EBF">
        <w:rPr>
          <w:color w:val="000000"/>
        </w:rPr>
        <w:t xml:space="preserve">VA findings.  The Board further acknowledges the CI’s contention for ratings for his </w:t>
      </w:r>
      <w:r w:rsidR="00ED4EBF">
        <w:rPr>
          <w:color w:val="000000"/>
        </w:rPr>
        <w:t>neck condition</w:t>
      </w:r>
      <w:r w:rsidR="00ED4EBF" w:rsidRPr="00ED4EBF">
        <w:rPr>
          <w:color w:val="000000"/>
        </w:rPr>
        <w:t xml:space="preserve"> and </w:t>
      </w:r>
      <w:r w:rsidR="00ED4EBF">
        <w:rPr>
          <w:color w:val="000000"/>
        </w:rPr>
        <w:t>depression</w:t>
      </w:r>
      <w:r w:rsidR="00ED4EBF" w:rsidRPr="00ED4EBF">
        <w:rPr>
          <w:color w:val="000000"/>
        </w:rPr>
        <w:t xml:space="preserve"> which were adjudicated as not unfitting by the PEB, and notes that its recommendations in that regard must comply with the same governance.  While the DES considers all of the service member's medical conditions, compensation can only be offered for those medical conditions that cut short the member’s service career; and the Board’s assessment of fitness determinations is premised on the MOS-specific functional limitations in evidence at the time of separation.  The DVA, however, is empowered to compensate service</w:t>
      </w:r>
      <w:r w:rsidR="00F96744">
        <w:rPr>
          <w:color w:val="000000"/>
        </w:rPr>
        <w:t>-</w:t>
      </w:r>
      <w:r w:rsidR="00ED4EBF" w:rsidRPr="00ED4EBF">
        <w:rPr>
          <w:color w:val="000000"/>
        </w:rPr>
        <w:t>connected conditions and to periodically re-evaluate said conditions for t</w:t>
      </w:r>
      <w:r w:rsidR="00F96744">
        <w:rPr>
          <w:color w:val="000000"/>
        </w:rPr>
        <w:t>he purpose of adjusting the V</w:t>
      </w:r>
      <w:r w:rsidR="00ED4EBF" w:rsidRPr="00ED4EBF">
        <w:rPr>
          <w:color w:val="000000"/>
        </w:rPr>
        <w:t>eteran’s disability rating should his degree of impairment vary over time.</w:t>
      </w:r>
    </w:p>
    <w:p w:rsidR="00AD2379" w:rsidRPr="001F29F9" w:rsidRDefault="00AD2379" w:rsidP="00B22D42">
      <w:pPr>
        <w:jc w:val="both"/>
        <w:rPr>
          <w:color w:val="000000"/>
          <w:highlight w:val="yellow"/>
        </w:rPr>
      </w:pPr>
    </w:p>
    <w:p w:rsidR="0069687C" w:rsidRDefault="00AA1CEB" w:rsidP="0069687C">
      <w:pPr>
        <w:jc w:val="both"/>
        <w:rPr>
          <w:color w:val="000000"/>
          <w:szCs w:val="24"/>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FF5655">
        <w:rPr>
          <w:color w:val="000000"/>
        </w:rPr>
        <w:t>Although there are some remote clinica</w:t>
      </w:r>
      <w:r w:rsidR="00F96744">
        <w:rPr>
          <w:color w:val="000000"/>
        </w:rPr>
        <w:t>l entries for back pain in the s</w:t>
      </w:r>
      <w:r w:rsidR="00FF5655">
        <w:rPr>
          <w:color w:val="000000"/>
        </w:rPr>
        <w:t xml:space="preserve">ervice treatment record (STR), the condition </w:t>
      </w:r>
      <w:r w:rsidR="00DB1E84">
        <w:rPr>
          <w:color w:val="000000"/>
        </w:rPr>
        <w:t>was not clinically active until the CI’s deployment to Iraq.  He was medically evacuated from theater in May 2005 for intractable back pain</w:t>
      </w:r>
      <w:r w:rsidR="001509E6">
        <w:rPr>
          <w:color w:val="000000"/>
        </w:rPr>
        <w:t>, with bilateral radiation (left &gt; r</w:t>
      </w:r>
      <w:r w:rsidR="0067203B">
        <w:rPr>
          <w:color w:val="000000"/>
        </w:rPr>
        <w:t>ight)</w:t>
      </w:r>
      <w:r w:rsidR="00DB1E84">
        <w:rPr>
          <w:color w:val="000000"/>
        </w:rPr>
        <w:t xml:space="preserve">.  </w:t>
      </w:r>
      <w:r w:rsidR="00AC7311">
        <w:rPr>
          <w:color w:val="000000"/>
        </w:rPr>
        <w:t>Magnetic resonance i</w:t>
      </w:r>
      <w:r w:rsidR="00163526">
        <w:rPr>
          <w:color w:val="000000"/>
        </w:rPr>
        <w:t xml:space="preserve">maging </w:t>
      </w:r>
      <w:r w:rsidR="00AC7311">
        <w:rPr>
          <w:color w:val="000000"/>
        </w:rPr>
        <w:t xml:space="preserve">(MRI) </w:t>
      </w:r>
      <w:r w:rsidR="00163526">
        <w:rPr>
          <w:color w:val="000000"/>
        </w:rPr>
        <w:t xml:space="preserve">from </w:t>
      </w:r>
      <w:r w:rsidR="0067203B">
        <w:rPr>
          <w:color w:val="000000"/>
        </w:rPr>
        <w:t>March 2006 demonstrated</w:t>
      </w:r>
      <w:r w:rsidR="00DB1E84">
        <w:rPr>
          <w:color w:val="000000"/>
        </w:rPr>
        <w:t xml:space="preserve"> </w:t>
      </w:r>
      <w:r w:rsidR="0067203B">
        <w:rPr>
          <w:color w:val="000000"/>
        </w:rPr>
        <w:t>“</w:t>
      </w:r>
      <w:r w:rsidR="0067203B" w:rsidRPr="0067203B">
        <w:rPr>
          <w:color w:val="000000"/>
        </w:rPr>
        <w:t xml:space="preserve">mild lumbar spondylosis </w:t>
      </w:r>
      <w:r w:rsidR="000F4F35">
        <w:rPr>
          <w:rFonts w:eastAsia="Calibri" w:cs="Times New Roman"/>
          <w:color w:val="auto"/>
          <w:szCs w:val="24"/>
        </w:rPr>
        <w:t xml:space="preserve">[degenerative changes] </w:t>
      </w:r>
      <w:r w:rsidR="0067203B" w:rsidRPr="0067203B">
        <w:rPr>
          <w:color w:val="000000"/>
        </w:rPr>
        <w:t xml:space="preserve">and facet arthropathy </w:t>
      </w:r>
      <w:r w:rsidR="0067203B">
        <w:rPr>
          <w:color w:val="000000"/>
        </w:rPr>
        <w:t xml:space="preserve">[L3-S1] </w:t>
      </w:r>
      <w:r w:rsidR="0067203B" w:rsidRPr="0067203B">
        <w:rPr>
          <w:color w:val="000000"/>
        </w:rPr>
        <w:t>producing spinal canal stenosis and neural</w:t>
      </w:r>
      <w:r w:rsidR="0067203B">
        <w:rPr>
          <w:color w:val="000000"/>
        </w:rPr>
        <w:t xml:space="preserve"> </w:t>
      </w:r>
      <w:r w:rsidR="0067203B" w:rsidRPr="0067203B">
        <w:rPr>
          <w:color w:val="000000"/>
        </w:rPr>
        <w:t>foramina narrowing</w:t>
      </w:r>
      <w:r w:rsidR="0067203B">
        <w:rPr>
          <w:color w:val="000000"/>
        </w:rPr>
        <w:t xml:space="preserve"> [L4-S1].</w:t>
      </w:r>
      <w:r w:rsidR="00C50B2B">
        <w:rPr>
          <w:color w:val="000000"/>
        </w:rPr>
        <w:t>”</w:t>
      </w:r>
      <w:r w:rsidR="00DB1E84">
        <w:rPr>
          <w:color w:val="000000"/>
        </w:rPr>
        <w:t xml:space="preserve"> </w:t>
      </w:r>
      <w:r w:rsidR="0067203B">
        <w:rPr>
          <w:color w:val="000000"/>
        </w:rPr>
        <w:t xml:space="preserve"> Electrophysiologic testing was normal with no “evidence of a left lumbar radiculopathy</w:t>
      </w:r>
      <w:r w:rsidR="00F96744">
        <w:rPr>
          <w:color w:val="000000"/>
        </w:rPr>
        <w:t>.</w:t>
      </w:r>
      <w:r w:rsidR="0067203B">
        <w:rPr>
          <w:color w:val="000000"/>
        </w:rPr>
        <w:t xml:space="preserve">”  Surgery was not recommended by the neurosurgical consultant; and, although an epidural </w:t>
      </w:r>
      <w:r w:rsidR="003E7205">
        <w:rPr>
          <w:color w:val="000000"/>
        </w:rPr>
        <w:t xml:space="preserve">block in July 2005 effected some improvement, continued physical therapy and conservative measures failed to provide satisfactory resolution.  </w:t>
      </w:r>
      <w:r w:rsidR="00385708">
        <w:rPr>
          <w:color w:val="000000"/>
        </w:rPr>
        <w:t>The na</w:t>
      </w:r>
      <w:r w:rsidR="003E7205">
        <w:rPr>
          <w:color w:val="000000"/>
        </w:rPr>
        <w:t>rrative summary (NARSUM) noted back pain rated 8/10 with left leg radiation, exacerbated by “driving and reading.</w:t>
      </w:r>
      <w:r w:rsidR="00C50B2B">
        <w:rPr>
          <w:color w:val="000000"/>
        </w:rPr>
        <w:t>”</w:t>
      </w:r>
      <w:r w:rsidR="003E7205">
        <w:rPr>
          <w:color w:val="000000"/>
        </w:rPr>
        <w:t xml:space="preserve">  The physical exam documented paraspinal spasm and tenderness, with normal neurological findings.  </w:t>
      </w:r>
      <w:r w:rsidR="003E7205">
        <w:rPr>
          <w:color w:val="000000"/>
          <w:szCs w:val="24"/>
        </w:rPr>
        <w:t xml:space="preserve">At the VA </w:t>
      </w:r>
      <w:r w:rsidR="003E7205" w:rsidRPr="00CF0280">
        <w:rPr>
          <w:color w:val="000000"/>
          <w:szCs w:val="24"/>
        </w:rPr>
        <w:t>Compensation and Pension (C&amp;P)</w:t>
      </w:r>
      <w:r w:rsidR="003E7205">
        <w:rPr>
          <w:color w:val="000000"/>
          <w:szCs w:val="24"/>
        </w:rPr>
        <w:t xml:space="preserve"> evaluation (</w:t>
      </w:r>
      <w:r w:rsidR="00F96744">
        <w:rPr>
          <w:color w:val="000000"/>
          <w:szCs w:val="24"/>
        </w:rPr>
        <w:t xml:space="preserve">performed </w:t>
      </w:r>
      <w:r w:rsidR="003E7205">
        <w:rPr>
          <w:color w:val="000000"/>
          <w:szCs w:val="24"/>
        </w:rPr>
        <w:t xml:space="preserve">9 months </w:t>
      </w:r>
      <w:r w:rsidR="00F96744">
        <w:rPr>
          <w:color w:val="000000"/>
          <w:szCs w:val="24"/>
        </w:rPr>
        <w:t xml:space="preserve">after </w:t>
      </w:r>
      <w:r w:rsidR="003E7205">
        <w:rPr>
          <w:color w:val="000000"/>
          <w:szCs w:val="24"/>
        </w:rPr>
        <w:t xml:space="preserve">separation), the CI reported pain rated 10/10 radiating down both thighs and aggravated by </w:t>
      </w:r>
      <w:r w:rsidR="00B83D7A">
        <w:rPr>
          <w:color w:val="000000"/>
          <w:szCs w:val="24"/>
        </w:rPr>
        <w:t xml:space="preserve">“sitting and </w:t>
      </w:r>
      <w:r w:rsidR="003E7205">
        <w:rPr>
          <w:color w:val="000000"/>
          <w:szCs w:val="24"/>
        </w:rPr>
        <w:t>standing</w:t>
      </w:r>
      <w:r w:rsidR="00B83D7A">
        <w:rPr>
          <w:color w:val="000000"/>
          <w:szCs w:val="24"/>
        </w:rPr>
        <w:t xml:space="preserve"> up </w:t>
      </w:r>
      <w:r w:rsidR="00B83D7A">
        <w:rPr>
          <w:color w:val="000000"/>
          <w:szCs w:val="24"/>
        </w:rPr>
        <w:lastRenderedPageBreak/>
        <w:t>movements.</w:t>
      </w:r>
      <w:r w:rsidR="00C50B2B">
        <w:rPr>
          <w:color w:val="000000"/>
          <w:szCs w:val="24"/>
        </w:rPr>
        <w:t>”</w:t>
      </w:r>
      <w:r w:rsidR="003E7205">
        <w:rPr>
          <w:color w:val="000000"/>
          <w:szCs w:val="24"/>
        </w:rPr>
        <w:t xml:space="preserve"> </w:t>
      </w:r>
      <w:r w:rsidR="00B83D7A">
        <w:rPr>
          <w:color w:val="000000"/>
          <w:szCs w:val="24"/>
        </w:rPr>
        <w:t xml:space="preserve"> The VA physical exam noted spasm and painful motion and reported sluggish but symmetric </w:t>
      </w:r>
      <w:r w:rsidR="001509E6">
        <w:rPr>
          <w:color w:val="000000"/>
          <w:szCs w:val="24"/>
        </w:rPr>
        <w:t xml:space="preserve">lower extremity </w:t>
      </w:r>
      <w:r w:rsidR="00B83D7A">
        <w:rPr>
          <w:color w:val="000000"/>
          <w:szCs w:val="24"/>
        </w:rPr>
        <w:t xml:space="preserve">reflexes </w:t>
      </w:r>
      <w:r w:rsidR="001509E6">
        <w:rPr>
          <w:color w:val="000000"/>
          <w:szCs w:val="24"/>
        </w:rPr>
        <w:t>with</w:t>
      </w:r>
      <w:r w:rsidR="00B83D7A">
        <w:rPr>
          <w:color w:val="000000"/>
          <w:szCs w:val="24"/>
        </w:rPr>
        <w:t xml:space="preserve"> 5/5 muscle strength</w:t>
      </w:r>
      <w:r w:rsidR="001509E6">
        <w:rPr>
          <w:color w:val="000000"/>
          <w:szCs w:val="24"/>
        </w:rPr>
        <w:t xml:space="preserve"> of all groups</w:t>
      </w:r>
      <w:r w:rsidR="00B83D7A">
        <w:rPr>
          <w:color w:val="000000"/>
          <w:szCs w:val="24"/>
        </w:rPr>
        <w:t>.</w:t>
      </w:r>
      <w:r w:rsidR="005774B1">
        <w:rPr>
          <w:color w:val="000000"/>
          <w:szCs w:val="24"/>
        </w:rPr>
        <w:t xml:space="preserve"> </w:t>
      </w:r>
      <w:r w:rsidR="00B83D7A">
        <w:rPr>
          <w:color w:val="000000"/>
          <w:szCs w:val="24"/>
        </w:rPr>
        <w:t xml:space="preserve"> </w:t>
      </w:r>
      <w:r w:rsidR="0069687C" w:rsidRPr="00B652C3">
        <w:rPr>
          <w:color w:val="000000"/>
          <w:szCs w:val="24"/>
        </w:rPr>
        <w:t xml:space="preserve">There were </w:t>
      </w:r>
      <w:r w:rsidR="005774B1">
        <w:rPr>
          <w:color w:val="000000"/>
          <w:szCs w:val="24"/>
        </w:rPr>
        <w:t>two</w:t>
      </w:r>
      <w:r w:rsidR="0069687C" w:rsidRPr="00B652C3">
        <w:rPr>
          <w:color w:val="000000"/>
          <w:szCs w:val="24"/>
        </w:rPr>
        <w:t xml:space="preserve"> goniometric range</w:t>
      </w:r>
      <w:r w:rsidR="00F96744">
        <w:rPr>
          <w:color w:val="000000"/>
          <w:szCs w:val="24"/>
        </w:rPr>
        <w:t>-</w:t>
      </w:r>
      <w:r w:rsidR="0069687C" w:rsidRPr="00B652C3">
        <w:rPr>
          <w:color w:val="000000"/>
          <w:szCs w:val="24"/>
        </w:rPr>
        <w:t>of</w:t>
      </w:r>
      <w:r w:rsidR="00F96744">
        <w:rPr>
          <w:color w:val="000000"/>
          <w:szCs w:val="24"/>
        </w:rPr>
        <w:t>-</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CF0280" w:rsidRDefault="00CF0280" w:rsidP="0069687C">
      <w:pPr>
        <w:jc w:val="both"/>
        <w:rPr>
          <w:color w:val="000000"/>
          <w:szCs w:val="24"/>
        </w:rPr>
      </w:pPr>
    </w:p>
    <w:tbl>
      <w:tblPr>
        <w:tblW w:w="7629" w:type="dxa"/>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4"/>
        <w:gridCol w:w="2160"/>
        <w:gridCol w:w="3305"/>
      </w:tblGrid>
      <w:tr w:rsidR="00DD0136" w:rsidRPr="00DD0136" w:rsidTr="001509E6">
        <w:trPr>
          <w:jc w:val="center"/>
        </w:trPr>
        <w:tc>
          <w:tcPr>
            <w:tcW w:w="2164" w:type="dxa"/>
            <w:shd w:val="clear" w:color="auto" w:fill="D9D9D9"/>
            <w:vAlign w:val="center"/>
          </w:tcPr>
          <w:p w:rsidR="00DD0136" w:rsidRPr="00DD0136" w:rsidRDefault="00DD0136" w:rsidP="00DD0136">
            <w:pPr>
              <w:contextualSpacing/>
              <w:rPr>
                <w:rFonts w:cs="Times New Roman"/>
                <w:color w:val="auto"/>
                <w:sz w:val="22"/>
              </w:rPr>
            </w:pPr>
            <w:r w:rsidRPr="00DD0136">
              <w:rPr>
                <w:rFonts w:cs="Times New Roman"/>
                <w:color w:val="auto"/>
                <w:sz w:val="22"/>
              </w:rPr>
              <w:t>Thoracolumbar ROM</w:t>
            </w:r>
          </w:p>
        </w:tc>
        <w:tc>
          <w:tcPr>
            <w:tcW w:w="2160" w:type="dxa"/>
            <w:shd w:val="clear" w:color="auto" w:fill="D9D9D9"/>
            <w:vAlign w:val="center"/>
          </w:tcPr>
          <w:p w:rsidR="00DD0136" w:rsidRPr="00DD0136" w:rsidRDefault="00DD0136" w:rsidP="00DD0136">
            <w:pPr>
              <w:contextualSpacing/>
              <w:rPr>
                <w:rFonts w:cs="Times New Roman"/>
                <w:color w:val="auto"/>
                <w:sz w:val="22"/>
              </w:rPr>
            </w:pPr>
            <w:r w:rsidRPr="00DD0136">
              <w:rPr>
                <w:rFonts w:cs="Times New Roman"/>
                <w:color w:val="auto"/>
                <w:sz w:val="22"/>
              </w:rPr>
              <w:t>MEB ~6 Mo. Pre-Sep</w:t>
            </w:r>
          </w:p>
        </w:tc>
        <w:tc>
          <w:tcPr>
            <w:tcW w:w="3305" w:type="dxa"/>
            <w:shd w:val="clear" w:color="auto" w:fill="D9D9D9"/>
            <w:vAlign w:val="center"/>
          </w:tcPr>
          <w:p w:rsidR="00DD0136" w:rsidRPr="00DD0136" w:rsidRDefault="00DD0136" w:rsidP="00DD0136">
            <w:pPr>
              <w:contextualSpacing/>
              <w:rPr>
                <w:rFonts w:cs="Times New Roman"/>
                <w:color w:val="auto"/>
                <w:sz w:val="22"/>
              </w:rPr>
            </w:pPr>
            <w:r w:rsidRPr="00DD0136">
              <w:rPr>
                <w:rFonts w:cs="Times New Roman"/>
                <w:color w:val="auto"/>
                <w:sz w:val="22"/>
              </w:rPr>
              <w:t xml:space="preserve">VA C&amp;P </w:t>
            </w:r>
            <w:r w:rsidR="00224C07">
              <w:rPr>
                <w:rFonts w:cs="Times New Roman"/>
                <w:color w:val="auto"/>
                <w:sz w:val="22"/>
              </w:rPr>
              <w:t>~9 Mo. Post</w:t>
            </w:r>
            <w:r w:rsidR="00224C07" w:rsidRPr="00DD0136">
              <w:rPr>
                <w:rFonts w:cs="Times New Roman"/>
                <w:color w:val="auto"/>
                <w:sz w:val="22"/>
              </w:rPr>
              <w:t>-Sep</w:t>
            </w:r>
          </w:p>
        </w:tc>
      </w:tr>
      <w:tr w:rsidR="00DD0136" w:rsidRPr="00DD0136" w:rsidTr="001509E6">
        <w:trPr>
          <w:jc w:val="center"/>
        </w:trPr>
        <w:tc>
          <w:tcPr>
            <w:tcW w:w="2164" w:type="dxa"/>
            <w:vAlign w:val="center"/>
          </w:tcPr>
          <w:p w:rsidR="00DD0136" w:rsidRPr="00DD0136" w:rsidRDefault="00DD0136" w:rsidP="00DD0136">
            <w:pPr>
              <w:contextualSpacing/>
              <w:rPr>
                <w:rFonts w:cs="Times New Roman"/>
                <w:color w:val="auto"/>
                <w:sz w:val="22"/>
              </w:rPr>
            </w:pPr>
            <w:r w:rsidRPr="00DD0136">
              <w:rPr>
                <w:rFonts w:cs="Times New Roman"/>
                <w:color w:val="auto"/>
                <w:sz w:val="22"/>
              </w:rPr>
              <w:t>Flexion (90⁰ Normal)</w:t>
            </w:r>
          </w:p>
        </w:tc>
        <w:tc>
          <w:tcPr>
            <w:tcW w:w="2160" w:type="dxa"/>
            <w:vAlign w:val="center"/>
          </w:tcPr>
          <w:p w:rsidR="00DD0136" w:rsidRPr="00DD0136" w:rsidRDefault="00224C07" w:rsidP="00DD0136">
            <w:pPr>
              <w:contextualSpacing/>
              <w:rPr>
                <w:rFonts w:cs="Times New Roman"/>
                <w:color w:val="auto"/>
                <w:sz w:val="22"/>
              </w:rPr>
            </w:pPr>
            <w:r>
              <w:rPr>
                <w:rFonts w:cs="Times New Roman"/>
                <w:color w:val="auto"/>
                <w:sz w:val="22"/>
              </w:rPr>
              <w:t>7</w:t>
            </w:r>
            <w:r w:rsidR="00DD0136" w:rsidRPr="00DD0136">
              <w:rPr>
                <w:rFonts w:cs="Times New Roman"/>
                <w:color w:val="auto"/>
                <w:sz w:val="22"/>
              </w:rPr>
              <w:t>0⁰</w:t>
            </w:r>
          </w:p>
        </w:tc>
        <w:tc>
          <w:tcPr>
            <w:tcW w:w="3305" w:type="dxa"/>
            <w:vAlign w:val="center"/>
          </w:tcPr>
          <w:p w:rsidR="00DD0136" w:rsidRPr="00DD0136" w:rsidRDefault="00224C07" w:rsidP="00DD0136">
            <w:pPr>
              <w:contextualSpacing/>
              <w:rPr>
                <w:rFonts w:cs="Times New Roman"/>
                <w:color w:val="auto"/>
                <w:sz w:val="22"/>
              </w:rPr>
            </w:pPr>
            <w:r>
              <w:rPr>
                <w:rFonts w:cs="Times New Roman"/>
                <w:color w:val="auto"/>
                <w:sz w:val="22"/>
              </w:rPr>
              <w:t>65</w:t>
            </w:r>
            <w:r w:rsidR="00DD0136" w:rsidRPr="00DD0136">
              <w:rPr>
                <w:color w:val="auto"/>
                <w:sz w:val="22"/>
              </w:rPr>
              <w:t>⁰</w:t>
            </w:r>
          </w:p>
        </w:tc>
      </w:tr>
      <w:tr w:rsidR="00DD0136" w:rsidRPr="00DD0136" w:rsidTr="001509E6">
        <w:trPr>
          <w:jc w:val="center"/>
        </w:trPr>
        <w:tc>
          <w:tcPr>
            <w:tcW w:w="2164" w:type="dxa"/>
            <w:vAlign w:val="center"/>
          </w:tcPr>
          <w:p w:rsidR="00DD0136" w:rsidRPr="00DD0136" w:rsidRDefault="00DD0136" w:rsidP="00DD0136">
            <w:pPr>
              <w:contextualSpacing/>
              <w:rPr>
                <w:rFonts w:cs="Times New Roman"/>
                <w:color w:val="auto"/>
                <w:sz w:val="22"/>
              </w:rPr>
            </w:pPr>
            <w:r w:rsidRPr="00DD0136">
              <w:rPr>
                <w:rFonts w:cs="Times New Roman"/>
                <w:color w:val="auto"/>
                <w:sz w:val="22"/>
              </w:rPr>
              <w:t>Combined (240⁰)</w:t>
            </w:r>
          </w:p>
        </w:tc>
        <w:tc>
          <w:tcPr>
            <w:tcW w:w="2160" w:type="dxa"/>
            <w:vAlign w:val="center"/>
          </w:tcPr>
          <w:p w:rsidR="00DD0136" w:rsidRPr="00DD0136" w:rsidRDefault="00224C07" w:rsidP="00DD0136">
            <w:pPr>
              <w:contextualSpacing/>
              <w:rPr>
                <w:rFonts w:cs="Times New Roman"/>
                <w:color w:val="auto"/>
                <w:sz w:val="22"/>
              </w:rPr>
            </w:pPr>
            <w:r>
              <w:rPr>
                <w:rFonts w:cs="Times New Roman"/>
                <w:color w:val="auto"/>
                <w:sz w:val="22"/>
              </w:rPr>
              <w:t>17</w:t>
            </w:r>
            <w:r w:rsidR="00DD0136" w:rsidRPr="00DD0136">
              <w:rPr>
                <w:rFonts w:cs="Times New Roman"/>
                <w:color w:val="auto"/>
                <w:sz w:val="22"/>
              </w:rPr>
              <w:t>5⁰</w:t>
            </w:r>
          </w:p>
        </w:tc>
        <w:tc>
          <w:tcPr>
            <w:tcW w:w="3305" w:type="dxa"/>
            <w:vAlign w:val="center"/>
          </w:tcPr>
          <w:p w:rsidR="00DD0136" w:rsidRPr="00DD0136" w:rsidRDefault="00224C07" w:rsidP="00DD0136">
            <w:pPr>
              <w:contextualSpacing/>
              <w:rPr>
                <w:rFonts w:cs="Times New Roman"/>
                <w:color w:val="auto"/>
                <w:sz w:val="22"/>
              </w:rPr>
            </w:pPr>
            <w:r>
              <w:rPr>
                <w:rFonts w:cs="Times New Roman"/>
                <w:color w:val="auto"/>
                <w:sz w:val="22"/>
              </w:rPr>
              <w:t>Extension deferred, but still 175⁰.</w:t>
            </w:r>
          </w:p>
        </w:tc>
      </w:tr>
      <w:tr w:rsidR="00DD0136" w:rsidRPr="00DD0136" w:rsidTr="001509E6">
        <w:trPr>
          <w:trHeight w:val="58"/>
          <w:jc w:val="center"/>
        </w:trPr>
        <w:tc>
          <w:tcPr>
            <w:tcW w:w="2164" w:type="dxa"/>
            <w:vAlign w:val="center"/>
          </w:tcPr>
          <w:p w:rsidR="00DD0136" w:rsidRPr="00DD0136" w:rsidRDefault="00DD0136" w:rsidP="00DD0136">
            <w:pPr>
              <w:tabs>
                <w:tab w:val="left" w:pos="288"/>
                <w:tab w:val="left" w:pos="4752"/>
              </w:tabs>
              <w:rPr>
                <w:rFonts w:cs="Times New Roman"/>
                <w:color w:val="auto"/>
                <w:sz w:val="22"/>
              </w:rPr>
            </w:pPr>
            <w:r w:rsidRPr="00DD0136">
              <w:rPr>
                <w:rFonts w:cs="Times New Roman"/>
                <w:color w:val="auto"/>
                <w:sz w:val="22"/>
              </w:rPr>
              <w:t>Comments</w:t>
            </w:r>
          </w:p>
        </w:tc>
        <w:tc>
          <w:tcPr>
            <w:tcW w:w="2160" w:type="dxa"/>
            <w:vAlign w:val="center"/>
          </w:tcPr>
          <w:p w:rsidR="00DD0136" w:rsidRPr="00DD0136" w:rsidRDefault="00224C07" w:rsidP="00DD0136">
            <w:pPr>
              <w:tabs>
                <w:tab w:val="left" w:pos="288"/>
                <w:tab w:val="left" w:pos="4752"/>
              </w:tabs>
              <w:rPr>
                <w:rFonts w:cs="Times New Roman"/>
                <w:color w:val="auto"/>
                <w:sz w:val="22"/>
              </w:rPr>
            </w:pPr>
            <w:r>
              <w:rPr>
                <w:rFonts w:cs="Times New Roman"/>
                <w:color w:val="auto"/>
                <w:sz w:val="22"/>
              </w:rPr>
              <w:t>Normal gait/contour.</w:t>
            </w:r>
          </w:p>
        </w:tc>
        <w:tc>
          <w:tcPr>
            <w:tcW w:w="3305" w:type="dxa"/>
            <w:vAlign w:val="center"/>
          </w:tcPr>
          <w:p w:rsidR="00DD0136" w:rsidRPr="00DD0136" w:rsidRDefault="00163526" w:rsidP="00DD0136">
            <w:pPr>
              <w:tabs>
                <w:tab w:val="left" w:pos="288"/>
                <w:tab w:val="left" w:pos="4752"/>
              </w:tabs>
              <w:rPr>
                <w:rFonts w:cs="Times New Roman"/>
                <w:color w:val="auto"/>
                <w:sz w:val="22"/>
              </w:rPr>
            </w:pPr>
            <w:r>
              <w:rPr>
                <w:rFonts w:cs="Times New Roman"/>
                <w:color w:val="auto"/>
                <w:sz w:val="22"/>
              </w:rPr>
              <w:t>Decreased ROM with repetition.*</w:t>
            </w:r>
          </w:p>
        </w:tc>
      </w:tr>
      <w:tr w:rsidR="00DD0136" w:rsidRPr="00DD0136" w:rsidTr="001509E6">
        <w:trPr>
          <w:trHeight w:val="70"/>
          <w:jc w:val="center"/>
        </w:trPr>
        <w:tc>
          <w:tcPr>
            <w:tcW w:w="2164" w:type="dxa"/>
            <w:vAlign w:val="center"/>
          </w:tcPr>
          <w:p w:rsidR="00DD0136" w:rsidRPr="00DD0136" w:rsidRDefault="00DD0136" w:rsidP="00DD0136">
            <w:pPr>
              <w:tabs>
                <w:tab w:val="left" w:pos="288"/>
                <w:tab w:val="left" w:pos="4752"/>
              </w:tabs>
              <w:rPr>
                <w:rFonts w:cs="Times New Roman"/>
                <w:color w:val="auto"/>
                <w:sz w:val="22"/>
              </w:rPr>
            </w:pPr>
            <w:r w:rsidRPr="00DD0136">
              <w:rPr>
                <w:rFonts w:cs="Times New Roman"/>
                <w:color w:val="auto"/>
                <w:sz w:val="22"/>
              </w:rPr>
              <w:t>§4.71a Rating</w:t>
            </w:r>
          </w:p>
        </w:tc>
        <w:tc>
          <w:tcPr>
            <w:tcW w:w="2160" w:type="dxa"/>
            <w:vAlign w:val="center"/>
          </w:tcPr>
          <w:p w:rsidR="00DD0136" w:rsidRPr="00DD0136" w:rsidRDefault="00224C07" w:rsidP="00DD0136">
            <w:pPr>
              <w:tabs>
                <w:tab w:val="left" w:pos="288"/>
                <w:tab w:val="left" w:pos="4752"/>
              </w:tabs>
              <w:rPr>
                <w:rFonts w:cs="Times New Roman"/>
                <w:color w:val="auto"/>
                <w:sz w:val="22"/>
              </w:rPr>
            </w:pPr>
            <w:r>
              <w:rPr>
                <w:rFonts w:cs="Times New Roman"/>
                <w:color w:val="auto"/>
                <w:sz w:val="22"/>
              </w:rPr>
              <w:t>1</w:t>
            </w:r>
            <w:r w:rsidR="00DD0136" w:rsidRPr="00DD0136">
              <w:rPr>
                <w:rFonts w:cs="Times New Roman"/>
                <w:color w:val="auto"/>
                <w:sz w:val="22"/>
              </w:rPr>
              <w:t>0%</w:t>
            </w:r>
          </w:p>
        </w:tc>
        <w:tc>
          <w:tcPr>
            <w:tcW w:w="3305" w:type="dxa"/>
            <w:vAlign w:val="center"/>
          </w:tcPr>
          <w:p w:rsidR="00DD0136" w:rsidRPr="00DD0136" w:rsidRDefault="00224C07" w:rsidP="00DD0136">
            <w:pPr>
              <w:tabs>
                <w:tab w:val="left" w:pos="288"/>
                <w:tab w:val="left" w:pos="4752"/>
              </w:tabs>
              <w:rPr>
                <w:rFonts w:cs="Times New Roman"/>
                <w:color w:val="auto"/>
                <w:sz w:val="22"/>
              </w:rPr>
            </w:pPr>
            <w:r>
              <w:rPr>
                <w:rFonts w:cs="Times New Roman"/>
                <w:color w:val="auto"/>
                <w:sz w:val="22"/>
              </w:rPr>
              <w:t>1</w:t>
            </w:r>
            <w:r w:rsidR="00DD0136" w:rsidRPr="00DD0136">
              <w:rPr>
                <w:rFonts w:cs="Times New Roman"/>
                <w:color w:val="auto"/>
                <w:sz w:val="22"/>
              </w:rPr>
              <w:t>0%</w:t>
            </w:r>
            <w:r>
              <w:rPr>
                <w:rFonts w:cs="Times New Roman"/>
                <w:color w:val="auto"/>
                <w:sz w:val="22"/>
              </w:rPr>
              <w:t>*</w:t>
            </w:r>
          </w:p>
        </w:tc>
      </w:tr>
    </w:tbl>
    <w:p w:rsidR="00DD0136" w:rsidRPr="00224C07" w:rsidRDefault="001509E6" w:rsidP="0069687C">
      <w:pPr>
        <w:jc w:val="both"/>
        <w:rPr>
          <w:color w:val="000000"/>
          <w:sz w:val="22"/>
          <w:szCs w:val="22"/>
        </w:rPr>
      </w:pPr>
      <w:r>
        <w:rPr>
          <w:color w:val="000000"/>
          <w:sz w:val="22"/>
          <w:szCs w:val="22"/>
        </w:rPr>
        <w:t xml:space="preserve">             </w:t>
      </w:r>
      <w:r w:rsidR="00163526">
        <w:rPr>
          <w:color w:val="000000"/>
          <w:sz w:val="22"/>
          <w:szCs w:val="22"/>
        </w:rPr>
        <w:t xml:space="preserve"> </w:t>
      </w:r>
      <w:r w:rsidR="00224C07">
        <w:rPr>
          <w:color w:val="000000"/>
          <w:sz w:val="22"/>
          <w:szCs w:val="22"/>
        </w:rPr>
        <w:t xml:space="preserve">* </w:t>
      </w:r>
      <w:r w:rsidR="00163526">
        <w:rPr>
          <w:color w:val="000000"/>
          <w:sz w:val="22"/>
          <w:szCs w:val="22"/>
        </w:rPr>
        <w:t xml:space="preserve">DeLuca derived rating of 20% (flexion &lt; 65⁰) </w:t>
      </w:r>
      <w:r>
        <w:rPr>
          <w:color w:val="000000"/>
          <w:sz w:val="22"/>
          <w:szCs w:val="22"/>
        </w:rPr>
        <w:t xml:space="preserve">is thus </w:t>
      </w:r>
      <w:r w:rsidR="00163526">
        <w:rPr>
          <w:color w:val="000000"/>
          <w:sz w:val="22"/>
          <w:szCs w:val="22"/>
        </w:rPr>
        <w:t>arguable, but not applied by VA</w:t>
      </w:r>
      <w:r w:rsidR="00224C07">
        <w:rPr>
          <w:color w:val="000000"/>
          <w:sz w:val="22"/>
          <w:szCs w:val="22"/>
        </w:rPr>
        <w:t>.</w:t>
      </w:r>
    </w:p>
    <w:p w:rsidR="00DD0136" w:rsidRDefault="00DD0136" w:rsidP="0069687C">
      <w:pPr>
        <w:jc w:val="both"/>
        <w:rPr>
          <w:color w:val="000000"/>
          <w:szCs w:val="24"/>
        </w:rPr>
      </w:pPr>
    </w:p>
    <w:p w:rsidR="00521F4B" w:rsidRPr="00241B01" w:rsidRDefault="00AD2379" w:rsidP="00521F4B">
      <w:pPr>
        <w:jc w:val="both"/>
        <w:rPr>
          <w:rFonts w:eastAsia="Calibri" w:cs="Times New Roman"/>
          <w:color w:val="auto"/>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040B1A">
        <w:rPr>
          <w:color w:val="000000"/>
          <w:szCs w:val="24"/>
        </w:rPr>
        <w:t>T</w:t>
      </w:r>
      <w:r w:rsidR="00040B1A" w:rsidRPr="00C50329">
        <w:rPr>
          <w:color w:val="000000"/>
          <w:szCs w:val="24"/>
        </w:rPr>
        <w:t>he PEB’s 10% rating was consiste</w:t>
      </w:r>
      <w:r w:rsidR="00040B1A">
        <w:rPr>
          <w:color w:val="000000"/>
          <w:szCs w:val="24"/>
        </w:rPr>
        <w:t>nt with the VASRD §4.71a criteria which it cited</w:t>
      </w:r>
      <w:r w:rsidR="00040B1A" w:rsidRPr="00C50329">
        <w:rPr>
          <w:color w:val="000000"/>
          <w:szCs w:val="24"/>
        </w:rPr>
        <w:t>.</w:t>
      </w:r>
      <w:r w:rsidR="00040B1A">
        <w:rPr>
          <w:color w:val="000000"/>
          <w:szCs w:val="24"/>
        </w:rPr>
        <w:t xml:space="preserve">  Although a higher rating with </w:t>
      </w:r>
      <w:r w:rsidR="001509E6">
        <w:rPr>
          <w:color w:val="000000"/>
          <w:szCs w:val="24"/>
        </w:rPr>
        <w:t>application</w:t>
      </w:r>
      <w:r w:rsidR="00040B1A">
        <w:rPr>
          <w:color w:val="000000"/>
          <w:szCs w:val="24"/>
        </w:rPr>
        <w:t xml:space="preserve"> of DeLuca, as footnoted above, may be defensible based on the VA evidence</w:t>
      </w:r>
      <w:r w:rsidR="00C50B2B">
        <w:rPr>
          <w:color w:val="000000"/>
          <w:szCs w:val="24"/>
        </w:rPr>
        <w:t>,</w:t>
      </w:r>
      <w:r w:rsidR="00040B1A">
        <w:rPr>
          <w:color w:val="000000"/>
          <w:szCs w:val="24"/>
        </w:rPr>
        <w:t xml:space="preserve"> that exam was fairly remote from separation, and there is no corroborating evidence from the MEB period adding probative weight to the VA evaluation</w:t>
      </w:r>
      <w:r w:rsidR="00521F4B" w:rsidRPr="00521F4B">
        <w:rPr>
          <w:color w:val="000000"/>
          <w:szCs w:val="24"/>
        </w:rPr>
        <w:t xml:space="preserve">.  </w:t>
      </w:r>
      <w:r w:rsidR="00521F4B" w:rsidRPr="00491733">
        <w:rPr>
          <w:color w:val="000000"/>
          <w:szCs w:val="24"/>
        </w:rPr>
        <w:t>There was no evidence of ratable peripheral nerve impairment or documentation of incapacitating episodes in this case which would provide for additional or higher rating.</w:t>
      </w:r>
      <w:r w:rsidR="00521F4B" w:rsidRPr="00521F4B">
        <w:rPr>
          <w:rFonts w:eastAsia="Calibri" w:cs="Times New Roman"/>
          <w:color w:val="auto"/>
          <w:szCs w:val="24"/>
        </w:rPr>
        <w:t xml:space="preserve"> </w:t>
      </w:r>
      <w:r w:rsidR="00521F4B">
        <w:rPr>
          <w:rFonts w:eastAsia="Calibri" w:cs="Times New Roman"/>
          <w:color w:val="auto"/>
          <w:szCs w:val="24"/>
        </w:rPr>
        <w:t xml:space="preserve"> </w:t>
      </w:r>
      <w:r w:rsidR="00521F4B"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521F4B">
        <w:rPr>
          <w:rFonts w:eastAsia="Calibri" w:cs="Times New Roman"/>
          <w:color w:val="auto"/>
          <w:szCs w:val="24"/>
        </w:rPr>
        <w:t>of</w:t>
      </w:r>
      <w:r w:rsidR="00521F4B" w:rsidRPr="00626902">
        <w:rPr>
          <w:rFonts w:eastAsia="Calibri" w:cs="Times New Roman"/>
          <w:color w:val="auto"/>
          <w:szCs w:val="24"/>
        </w:rPr>
        <w:t xml:space="preserve"> the </w:t>
      </w:r>
      <w:r w:rsidR="00521F4B">
        <w:rPr>
          <w:rFonts w:eastAsia="Calibri" w:cs="Times New Roman"/>
          <w:color w:val="auto"/>
          <w:szCs w:val="24"/>
        </w:rPr>
        <w:t>lumbar spine</w:t>
      </w:r>
      <w:r w:rsidR="00521F4B" w:rsidRPr="00626902">
        <w:rPr>
          <w:rFonts w:eastAsia="Calibri" w:cs="Times New Roman"/>
          <w:color w:val="auto"/>
          <w:szCs w:val="24"/>
        </w:rPr>
        <w:t xml:space="preserve"> condition.</w:t>
      </w:r>
    </w:p>
    <w:p w:rsidR="00792790" w:rsidRDefault="00792790" w:rsidP="001554E4">
      <w:pPr>
        <w:jc w:val="both"/>
        <w:rPr>
          <w:rFonts w:eastAsia="Calibri" w:cs="Times New Roman"/>
          <w:color w:val="auto"/>
          <w:szCs w:val="24"/>
        </w:rPr>
      </w:pPr>
    </w:p>
    <w:p w:rsidR="00AC7311" w:rsidRDefault="00AC7311" w:rsidP="00792790">
      <w:pPr>
        <w:jc w:val="both"/>
        <w:rPr>
          <w:rFonts w:eastAsia="Calibri" w:cs="Times New Roman"/>
          <w:color w:val="auto"/>
          <w:szCs w:val="24"/>
        </w:rPr>
      </w:pPr>
      <w:proofErr w:type="gramStart"/>
      <w:r w:rsidRPr="00792790">
        <w:rPr>
          <w:rFonts w:eastAsia="Calibri" w:cs="Times New Roman"/>
          <w:color w:val="auto"/>
          <w:szCs w:val="24"/>
          <w:u w:val="single"/>
        </w:rPr>
        <w:t xml:space="preserve">Contended </w:t>
      </w:r>
      <w:r>
        <w:rPr>
          <w:rFonts w:eastAsia="Calibri" w:cs="Times New Roman"/>
          <w:color w:val="auto"/>
          <w:szCs w:val="24"/>
          <w:u w:val="single"/>
        </w:rPr>
        <w:t>Cervical Spine Condition</w:t>
      </w:r>
      <w:r>
        <w:rPr>
          <w:rFonts w:eastAsia="Calibri" w:cs="Times New Roman"/>
          <w:color w:val="auto"/>
          <w:szCs w:val="24"/>
        </w:rPr>
        <w:t>.</w:t>
      </w:r>
      <w:proofErr w:type="gramEnd"/>
      <w:r>
        <w:rPr>
          <w:rFonts w:eastAsia="Calibri" w:cs="Times New Roman"/>
          <w:color w:val="auto"/>
          <w:szCs w:val="24"/>
        </w:rPr>
        <w:t xml:space="preserve">  The CI’s cervical symptoms began during the Iraq deployment (precipitated by the same load bearing demands), but the medical evacuation was specifically for “lumbago.</w:t>
      </w:r>
      <w:r w:rsidR="00C50B2B">
        <w:rPr>
          <w:rFonts w:eastAsia="Calibri" w:cs="Times New Roman"/>
          <w:color w:val="auto"/>
          <w:szCs w:val="24"/>
        </w:rPr>
        <w:t>”</w:t>
      </w:r>
      <w:r>
        <w:rPr>
          <w:rFonts w:eastAsia="Calibri" w:cs="Times New Roman"/>
          <w:color w:val="auto"/>
          <w:szCs w:val="24"/>
        </w:rPr>
        <w:t xml:space="preserve">  Although a few entries documented concurrent neck pain, the majority of clinical encounters evidenced in the STR were directed at the lumbar condition.  An MRI </w:t>
      </w:r>
      <w:r w:rsidR="0010563A">
        <w:rPr>
          <w:rFonts w:eastAsia="Calibri" w:cs="Times New Roman"/>
          <w:color w:val="auto"/>
          <w:szCs w:val="24"/>
        </w:rPr>
        <w:t>for the cervical spine showed multilevel (C5-7) spondylosis without cord compression.</w:t>
      </w:r>
      <w:r w:rsidR="00D746EE">
        <w:rPr>
          <w:rFonts w:eastAsia="Calibri" w:cs="Times New Roman"/>
          <w:color w:val="auto"/>
          <w:szCs w:val="24"/>
        </w:rPr>
        <w:t xml:space="preserve"> </w:t>
      </w:r>
      <w:r w:rsidR="0010563A">
        <w:rPr>
          <w:rFonts w:eastAsia="Calibri" w:cs="Times New Roman"/>
          <w:color w:val="auto"/>
          <w:szCs w:val="24"/>
        </w:rPr>
        <w:t xml:space="preserve"> There were radicular symptoms (pain and paresthesias), but no </w:t>
      </w:r>
      <w:r w:rsidR="001509E6">
        <w:rPr>
          <w:rFonts w:eastAsia="Calibri" w:cs="Times New Roman"/>
          <w:color w:val="auto"/>
          <w:szCs w:val="24"/>
        </w:rPr>
        <w:t>positive</w:t>
      </w:r>
      <w:r w:rsidR="0010563A">
        <w:rPr>
          <w:rFonts w:eastAsia="Calibri" w:cs="Times New Roman"/>
          <w:color w:val="auto"/>
          <w:szCs w:val="24"/>
        </w:rPr>
        <w:t xml:space="preserve"> </w:t>
      </w:r>
      <w:r w:rsidR="001509E6">
        <w:rPr>
          <w:rFonts w:eastAsia="Calibri" w:cs="Times New Roman"/>
          <w:color w:val="auto"/>
          <w:szCs w:val="24"/>
        </w:rPr>
        <w:t xml:space="preserve">neurologic </w:t>
      </w:r>
      <w:r w:rsidR="0010563A">
        <w:rPr>
          <w:rFonts w:eastAsia="Calibri" w:cs="Times New Roman"/>
          <w:color w:val="auto"/>
          <w:szCs w:val="24"/>
        </w:rPr>
        <w:t xml:space="preserve">exam </w:t>
      </w:r>
      <w:r w:rsidR="001509E6">
        <w:rPr>
          <w:rFonts w:eastAsia="Calibri" w:cs="Times New Roman"/>
          <w:color w:val="auto"/>
          <w:szCs w:val="24"/>
        </w:rPr>
        <w:t>findings</w:t>
      </w:r>
      <w:r w:rsidR="0010563A">
        <w:rPr>
          <w:rFonts w:eastAsia="Calibri" w:cs="Times New Roman"/>
          <w:color w:val="auto"/>
          <w:szCs w:val="24"/>
        </w:rPr>
        <w:t xml:space="preserve">.  </w:t>
      </w:r>
      <w:r w:rsidR="001E0D25">
        <w:rPr>
          <w:rFonts w:eastAsia="Calibri" w:cs="Times New Roman"/>
          <w:color w:val="auto"/>
          <w:szCs w:val="24"/>
        </w:rPr>
        <w:t xml:space="preserve">There is no evidence of neurosurgical consultation in the STR.  </w:t>
      </w:r>
      <w:r w:rsidR="007427B5">
        <w:rPr>
          <w:rFonts w:eastAsia="Calibri" w:cs="Times New Roman"/>
          <w:color w:val="auto"/>
          <w:szCs w:val="24"/>
        </w:rPr>
        <w:t xml:space="preserve">The condition did result in a U3 profile issued 5 months pre-separation; and, it was judged to fail retention standards by the MEB physician.  </w:t>
      </w:r>
      <w:r w:rsidR="0081398C">
        <w:rPr>
          <w:rFonts w:eastAsia="Calibri" w:cs="Times New Roman"/>
          <w:color w:val="auto"/>
          <w:szCs w:val="24"/>
        </w:rPr>
        <w:t>The commander’s statement acknowledged the condition, although did not specify the specific physical limitations related to either the lumbar or cervical conditions.  The PEB’s DA Form 199 rationale for its fitness determination stated, “There is no evidence that his cervical spondylosis adversely impacts the performance of his duties.  The soldier was medevac’d for his back pain.  The majority of records refer to his low back pain.”</w:t>
      </w:r>
    </w:p>
    <w:p w:rsidR="0081398C" w:rsidRDefault="0081398C" w:rsidP="00792790">
      <w:pPr>
        <w:jc w:val="both"/>
        <w:rPr>
          <w:rFonts w:eastAsia="Calibri" w:cs="Times New Roman"/>
          <w:color w:val="auto"/>
          <w:szCs w:val="24"/>
        </w:rPr>
      </w:pPr>
    </w:p>
    <w:p w:rsidR="005D4B16" w:rsidRPr="00792790" w:rsidRDefault="0081398C" w:rsidP="005D4B16">
      <w:pPr>
        <w:jc w:val="both"/>
        <w:rPr>
          <w:rFonts w:eastAsia="Calibri" w:cs="Times New Roman"/>
          <w:color w:val="auto"/>
          <w:szCs w:val="24"/>
        </w:rPr>
      </w:pPr>
      <w:r w:rsidRPr="00F74399">
        <w:rPr>
          <w:rFonts w:eastAsia="Calibri" w:cs="Times New Roman"/>
          <w:color w:val="auto"/>
          <w:szCs w:val="24"/>
        </w:rPr>
        <w:t xml:space="preserve">The Board’s main charge with respect to </w:t>
      </w:r>
      <w:r>
        <w:rPr>
          <w:rFonts w:eastAsia="Calibri" w:cs="Times New Roman"/>
          <w:color w:val="auto"/>
          <w:szCs w:val="24"/>
        </w:rPr>
        <w:t>this condition</w:t>
      </w:r>
      <w:r w:rsidRPr="00F74399">
        <w:rPr>
          <w:rFonts w:eastAsia="Calibri" w:cs="Times New Roman"/>
          <w:color w:val="auto"/>
          <w:szCs w:val="24"/>
        </w:rPr>
        <w:t xml:space="preserve"> is an assessment of the fairness of the </w:t>
      </w:r>
      <w:r>
        <w:rPr>
          <w:rFonts w:eastAsia="Calibri" w:cs="Times New Roman"/>
          <w:color w:val="auto"/>
          <w:szCs w:val="24"/>
        </w:rPr>
        <w:t xml:space="preserve">PEB’s </w:t>
      </w:r>
      <w:r w:rsidRPr="00F74399">
        <w:rPr>
          <w:rFonts w:eastAsia="Calibri" w:cs="Times New Roman"/>
          <w:color w:val="auto"/>
          <w:szCs w:val="24"/>
        </w:rPr>
        <w:t xml:space="preserve">determination that </w:t>
      </w:r>
      <w:r>
        <w:rPr>
          <w:rFonts w:eastAsia="Calibri" w:cs="Times New Roman"/>
          <w:color w:val="auto"/>
          <w:szCs w:val="24"/>
        </w:rPr>
        <w:t>it was</w:t>
      </w:r>
      <w:r w:rsidRPr="00F74399">
        <w:rPr>
          <w:rFonts w:eastAsia="Calibri" w:cs="Times New Roman"/>
          <w:color w:val="auto"/>
          <w:szCs w:val="24"/>
        </w:rPr>
        <w:t xml:space="preserve"> not unfitting.  The Board’s threshold for countering fitness determinations is higher than the VASRD §4.3 (reasonable doubt) standard used for its rating recommendations, but remains adherent to the DoDI 6040.44 “fair and equitable” standard.</w:t>
      </w:r>
      <w:r>
        <w:rPr>
          <w:rFonts w:eastAsia="Calibri" w:cs="Times New Roman"/>
          <w:color w:val="auto"/>
          <w:szCs w:val="24"/>
        </w:rPr>
        <w:t xml:space="preserve">  </w:t>
      </w:r>
      <w:r w:rsidR="0082533A" w:rsidRPr="0082533A">
        <w:rPr>
          <w:rFonts w:eastAsia="Calibri" w:cs="Times New Roman"/>
          <w:color w:val="auto"/>
          <w:szCs w:val="24"/>
        </w:rPr>
        <w:t>The established DES</w:t>
      </w:r>
      <w:r w:rsidR="0082533A">
        <w:rPr>
          <w:rFonts w:eastAsia="Calibri" w:cs="Times New Roman"/>
          <w:color w:val="auto"/>
          <w:szCs w:val="24"/>
        </w:rPr>
        <w:t xml:space="preserve"> </w:t>
      </w:r>
      <w:r w:rsidR="0082533A" w:rsidRPr="0082533A">
        <w:rPr>
          <w:rFonts w:eastAsia="Calibri" w:cs="Times New Roman"/>
          <w:color w:val="auto"/>
          <w:szCs w:val="24"/>
        </w:rPr>
        <w:t>principle for fitness determinations is that they are performance-based</w:t>
      </w:r>
      <w:r w:rsidR="0082533A">
        <w:rPr>
          <w:rFonts w:eastAsia="Calibri" w:cs="Times New Roman"/>
          <w:color w:val="auto"/>
          <w:szCs w:val="24"/>
        </w:rPr>
        <w:t>; the Board is confronted in this case with the lack of any evidence that cervical spine limitations prohibited the performance of those duties required of the MOS</w:t>
      </w:r>
      <w:r w:rsidR="0082533A" w:rsidRPr="0082533A">
        <w:rPr>
          <w:rFonts w:eastAsia="Calibri" w:cs="Times New Roman"/>
          <w:color w:val="auto"/>
          <w:szCs w:val="24"/>
        </w:rPr>
        <w:t xml:space="preserve">.  </w:t>
      </w:r>
      <w:r w:rsidR="0082533A">
        <w:rPr>
          <w:rFonts w:eastAsia="Calibri" w:cs="Times New Roman"/>
          <w:color w:val="auto"/>
          <w:szCs w:val="24"/>
        </w:rPr>
        <w:t>Although it is acknowledged that the late evolution of the condition in the CI’s career</w:t>
      </w:r>
      <w:r w:rsidR="001E0D25">
        <w:rPr>
          <w:rFonts w:eastAsia="Calibri" w:cs="Times New Roman"/>
          <w:color w:val="auto"/>
          <w:szCs w:val="24"/>
        </w:rPr>
        <w:t xml:space="preserve"> did not provide for a significant trial of </w:t>
      </w:r>
      <w:r w:rsidR="001509E6">
        <w:rPr>
          <w:rFonts w:eastAsia="Calibri" w:cs="Times New Roman"/>
          <w:color w:val="auto"/>
          <w:szCs w:val="24"/>
        </w:rPr>
        <w:t xml:space="preserve">MOS </w:t>
      </w:r>
      <w:r w:rsidR="001E0D25">
        <w:rPr>
          <w:rFonts w:eastAsia="Calibri" w:cs="Times New Roman"/>
          <w:color w:val="auto"/>
          <w:szCs w:val="24"/>
        </w:rPr>
        <w:t>performance after the diagnosis, members agreed that there was no citable evidence which would challenge the PEB’s fitness conclusion; there were no clinical features or specific functional limitations which would render the condition inherently unfitting.</w:t>
      </w:r>
      <w:r w:rsidR="005D4B16">
        <w:rPr>
          <w:rFonts w:eastAsia="Calibri" w:cs="Times New Roman"/>
          <w:color w:val="auto"/>
          <w:szCs w:val="24"/>
        </w:rPr>
        <w:t xml:space="preserve">  </w:t>
      </w:r>
      <w:r w:rsidR="005D4B16" w:rsidRPr="00792790">
        <w:rPr>
          <w:rFonts w:eastAsia="Calibri" w:cs="Times New Roman"/>
          <w:color w:val="auto"/>
          <w:szCs w:val="24"/>
        </w:rPr>
        <w:t xml:space="preserve">After due deliberation in consideration of the preponderance of the evidence, the Board concluded that </w:t>
      </w:r>
      <w:r w:rsidR="005D4B16" w:rsidRPr="00792790">
        <w:rPr>
          <w:rFonts w:eastAsia="Calibri" w:cs="Times New Roman"/>
          <w:color w:val="auto"/>
          <w:szCs w:val="24"/>
        </w:rPr>
        <w:lastRenderedPageBreak/>
        <w:t xml:space="preserve">there was insufficient cause to recommend a change in the PEB fitness determination for the </w:t>
      </w:r>
      <w:r w:rsidR="005D4B16">
        <w:rPr>
          <w:rFonts w:eastAsia="Calibri" w:cs="Times New Roman"/>
          <w:color w:val="auto"/>
          <w:szCs w:val="24"/>
        </w:rPr>
        <w:t>cervical spine</w:t>
      </w:r>
      <w:r w:rsidR="005D4B16" w:rsidRPr="00241B01">
        <w:rPr>
          <w:rFonts w:eastAsia="Calibri" w:cs="Times New Roman"/>
          <w:color w:val="auto"/>
          <w:szCs w:val="24"/>
        </w:rPr>
        <w:t xml:space="preserve"> </w:t>
      </w:r>
      <w:r w:rsidR="005D4B16">
        <w:rPr>
          <w:rFonts w:eastAsia="Calibri" w:cs="Times New Roman"/>
          <w:color w:val="auto"/>
          <w:szCs w:val="24"/>
        </w:rPr>
        <w:t>condition</w:t>
      </w:r>
      <w:r w:rsidR="00C50B2B">
        <w:rPr>
          <w:rFonts w:eastAsia="Calibri" w:cs="Times New Roman"/>
          <w:color w:val="auto"/>
          <w:szCs w:val="24"/>
        </w:rPr>
        <w:t>,</w:t>
      </w:r>
      <w:r w:rsidR="005D4B16" w:rsidRPr="00792790">
        <w:rPr>
          <w:rFonts w:eastAsia="Calibri" w:cs="Times New Roman"/>
          <w:color w:val="auto"/>
          <w:szCs w:val="24"/>
        </w:rPr>
        <w:t xml:space="preserve"> </w:t>
      </w:r>
      <w:r w:rsidR="005D4B16">
        <w:rPr>
          <w:rFonts w:eastAsia="Calibri" w:cs="Times New Roman"/>
          <w:color w:val="auto"/>
          <w:szCs w:val="24"/>
        </w:rPr>
        <w:t>thus</w:t>
      </w:r>
      <w:r w:rsidR="005D4B16" w:rsidRPr="00792790">
        <w:rPr>
          <w:rFonts w:eastAsia="Calibri" w:cs="Times New Roman"/>
          <w:color w:val="auto"/>
          <w:szCs w:val="24"/>
        </w:rPr>
        <w:t xml:space="preserve"> no addit</w:t>
      </w:r>
      <w:r w:rsidR="005D4B16">
        <w:rPr>
          <w:rFonts w:eastAsia="Calibri" w:cs="Times New Roman"/>
          <w:color w:val="auto"/>
          <w:szCs w:val="24"/>
        </w:rPr>
        <w:t>ional disability rating</w:t>
      </w:r>
      <w:r w:rsidR="005D4B16" w:rsidRPr="00792790">
        <w:rPr>
          <w:rFonts w:eastAsia="Calibri" w:cs="Times New Roman"/>
          <w:color w:val="auto"/>
          <w:szCs w:val="24"/>
        </w:rPr>
        <w:t xml:space="preserve"> can be recommended.</w:t>
      </w:r>
      <w:r w:rsidR="00281F62">
        <w:rPr>
          <w:rFonts w:eastAsia="Calibri" w:cs="Times New Roman"/>
          <w:color w:val="auto"/>
          <w:szCs w:val="24"/>
        </w:rPr>
        <w:t xml:space="preserve">  </w:t>
      </w:r>
    </w:p>
    <w:p w:rsidR="0081398C" w:rsidRPr="00AC7311" w:rsidRDefault="0081398C" w:rsidP="00792790">
      <w:pPr>
        <w:jc w:val="both"/>
        <w:rPr>
          <w:rFonts w:eastAsia="Calibri" w:cs="Times New Roman"/>
          <w:color w:val="auto"/>
          <w:szCs w:val="24"/>
        </w:rPr>
      </w:pPr>
    </w:p>
    <w:p w:rsidR="00AC7311" w:rsidRDefault="00792790" w:rsidP="00792790">
      <w:pPr>
        <w:jc w:val="both"/>
        <w:rPr>
          <w:rFonts w:eastAsia="Calibri" w:cs="Times New Roman"/>
          <w:color w:val="auto"/>
          <w:szCs w:val="24"/>
        </w:rPr>
      </w:pPr>
      <w:proofErr w:type="gramStart"/>
      <w:r w:rsidRPr="00792790">
        <w:rPr>
          <w:rFonts w:eastAsia="Calibri" w:cs="Times New Roman"/>
          <w:color w:val="auto"/>
          <w:szCs w:val="24"/>
          <w:u w:val="single"/>
        </w:rPr>
        <w:t xml:space="preserve">Contended </w:t>
      </w:r>
      <w:r w:rsidR="00AA1CEB">
        <w:rPr>
          <w:rFonts w:eastAsia="Calibri" w:cs="Times New Roman"/>
          <w:color w:val="auto"/>
          <w:szCs w:val="24"/>
          <w:u w:val="single"/>
        </w:rPr>
        <w:t>Depressive</w:t>
      </w:r>
      <w:r w:rsidRPr="00792790">
        <w:rPr>
          <w:rFonts w:eastAsia="Calibri" w:cs="Times New Roman"/>
          <w:color w:val="auto"/>
          <w:szCs w:val="24"/>
          <w:u w:val="single"/>
        </w:rPr>
        <w:t xml:space="preserve"> </w:t>
      </w:r>
      <w:r w:rsidR="00AA1CEB">
        <w:rPr>
          <w:rFonts w:eastAsia="Calibri" w:cs="Times New Roman"/>
          <w:color w:val="auto"/>
          <w:szCs w:val="24"/>
          <w:u w:val="single"/>
        </w:rPr>
        <w:t>Disorder</w:t>
      </w:r>
      <w:r>
        <w:rPr>
          <w:rFonts w:eastAsia="Calibri" w:cs="Times New Roman"/>
          <w:color w:val="auto"/>
          <w:szCs w:val="24"/>
        </w:rPr>
        <w:t>.</w:t>
      </w:r>
      <w:proofErr w:type="gramEnd"/>
      <w:r>
        <w:rPr>
          <w:rFonts w:eastAsia="Calibri" w:cs="Times New Roman"/>
          <w:color w:val="auto"/>
          <w:szCs w:val="24"/>
        </w:rPr>
        <w:t xml:space="preserve">  </w:t>
      </w:r>
      <w:r w:rsidR="007C6312">
        <w:rPr>
          <w:rFonts w:eastAsia="Calibri" w:cs="Times New Roman"/>
          <w:color w:val="auto"/>
          <w:szCs w:val="24"/>
        </w:rPr>
        <w:t xml:space="preserve">The CI was treated for anxiety in 1975 with no entries in the STR for psychiatric issues after that, until after redeployment from Iraq.  The psychiatric addendum to the NARSUM documents an initial evaluation 7 months prior to separation and </w:t>
      </w:r>
      <w:r w:rsidR="00F96744">
        <w:rPr>
          <w:rFonts w:eastAsia="Calibri" w:cs="Times New Roman"/>
          <w:color w:val="auto"/>
          <w:szCs w:val="24"/>
        </w:rPr>
        <w:t>two</w:t>
      </w:r>
      <w:r w:rsidR="007C6312">
        <w:rPr>
          <w:rFonts w:eastAsia="Calibri" w:cs="Times New Roman"/>
          <w:color w:val="auto"/>
          <w:szCs w:val="24"/>
        </w:rPr>
        <w:t xml:space="preserve"> follow-up visits.  No inpatient treatment was necessary, </w:t>
      </w:r>
      <w:r w:rsidR="001509E6">
        <w:rPr>
          <w:rFonts w:eastAsia="Calibri" w:cs="Times New Roman"/>
          <w:color w:val="auto"/>
          <w:szCs w:val="24"/>
        </w:rPr>
        <w:t>but</w:t>
      </w:r>
      <w:r w:rsidR="007C6312">
        <w:rPr>
          <w:rFonts w:eastAsia="Calibri" w:cs="Times New Roman"/>
          <w:color w:val="auto"/>
          <w:szCs w:val="24"/>
        </w:rPr>
        <w:t xml:space="preserve"> </w:t>
      </w:r>
      <w:r w:rsidR="008228D5">
        <w:rPr>
          <w:rFonts w:eastAsia="Calibri" w:cs="Times New Roman"/>
          <w:color w:val="auto"/>
          <w:szCs w:val="24"/>
        </w:rPr>
        <w:t>an antidepressant (Effexor</w:t>
      </w:r>
      <w:r w:rsidR="00F96744">
        <w:rPr>
          <w:rFonts w:eastAsia="Calibri" w:cs="Times New Roman"/>
          <w:color w:val="auto"/>
          <w:szCs w:val="24"/>
        </w:rPr>
        <w:t>)</w:t>
      </w:r>
      <w:bookmarkStart w:id="0" w:name="_GoBack"/>
      <w:bookmarkEnd w:id="0"/>
      <w:r w:rsidR="008228D5">
        <w:rPr>
          <w:rFonts w:eastAsia="Calibri" w:cs="Times New Roman"/>
          <w:color w:val="auto"/>
          <w:szCs w:val="24"/>
        </w:rPr>
        <w:t xml:space="preserve"> was prescribed.  </w:t>
      </w:r>
      <w:r w:rsidR="007C6312">
        <w:rPr>
          <w:rFonts w:eastAsia="Calibri" w:cs="Times New Roman"/>
          <w:color w:val="auto"/>
          <w:szCs w:val="24"/>
        </w:rPr>
        <w:t>The Axis I diagnosis of “major depressive disorder, severe, single episode” was considered to fail retention standards</w:t>
      </w:r>
      <w:r w:rsidR="008228D5">
        <w:rPr>
          <w:rFonts w:eastAsia="Calibri" w:cs="Times New Roman"/>
          <w:color w:val="auto"/>
          <w:szCs w:val="24"/>
        </w:rPr>
        <w:t>,</w:t>
      </w:r>
      <w:r w:rsidR="007C6312">
        <w:rPr>
          <w:rFonts w:eastAsia="Calibri" w:cs="Times New Roman"/>
          <w:color w:val="auto"/>
          <w:szCs w:val="24"/>
        </w:rPr>
        <w:t xml:space="preserve"> and </w:t>
      </w:r>
      <w:r w:rsidR="008228D5">
        <w:rPr>
          <w:rFonts w:eastAsia="Calibri" w:cs="Times New Roman"/>
          <w:color w:val="auto"/>
          <w:szCs w:val="24"/>
        </w:rPr>
        <w:t xml:space="preserve">resulted in an S3 profile.  The commander’s statement documented the psychiatric diagnosis, but noted that the CI was assigned to a collateral administrative position (library maintenance and customer service) with “satisfactory” performance.  </w:t>
      </w:r>
      <w:r w:rsidR="00426917">
        <w:rPr>
          <w:rFonts w:eastAsia="Calibri" w:cs="Times New Roman"/>
          <w:color w:val="auto"/>
          <w:szCs w:val="24"/>
        </w:rPr>
        <w:t xml:space="preserve">The post-separation VA psychiatric evaluation documented a detailed cognitive exam without impairment, and specifically stated that there was no occupational impairment.  </w:t>
      </w:r>
      <w:r w:rsidR="008228D5">
        <w:rPr>
          <w:rFonts w:eastAsia="Calibri" w:cs="Times New Roman"/>
          <w:color w:val="auto"/>
          <w:szCs w:val="24"/>
        </w:rPr>
        <w:t>The PEB’s DA Form 199 rationale for its fitness determination stated, “</w:t>
      </w:r>
      <w:r w:rsidR="00426917">
        <w:rPr>
          <w:rFonts w:eastAsia="Calibri" w:cs="Times New Roman"/>
          <w:color w:val="auto"/>
          <w:szCs w:val="24"/>
        </w:rPr>
        <w:t>The date of the psychiatry evaluation was 17 Feb 06 and was the first contact with a psychiatrist</w:t>
      </w:r>
      <w:r w:rsidR="008228D5">
        <w:rPr>
          <w:rFonts w:eastAsia="Calibri" w:cs="Times New Roman"/>
          <w:color w:val="auto"/>
          <w:szCs w:val="24"/>
        </w:rPr>
        <w:t>.</w:t>
      </w:r>
      <w:r w:rsidR="00426917">
        <w:rPr>
          <w:rFonts w:eastAsia="Calibri" w:cs="Times New Roman"/>
          <w:color w:val="auto"/>
          <w:szCs w:val="24"/>
        </w:rPr>
        <w:t xml:space="preserve">  There is no evidence that this condition has adversely impacted the performance of his duties.</w:t>
      </w:r>
      <w:r w:rsidR="008228D5">
        <w:rPr>
          <w:rFonts w:eastAsia="Calibri" w:cs="Times New Roman"/>
          <w:color w:val="auto"/>
          <w:szCs w:val="24"/>
        </w:rPr>
        <w:t>”</w:t>
      </w:r>
      <w:r w:rsidR="00426917">
        <w:rPr>
          <w:rFonts w:eastAsia="Calibri" w:cs="Times New Roman"/>
          <w:color w:val="auto"/>
          <w:szCs w:val="24"/>
        </w:rPr>
        <w:t xml:space="preserve">  As previously discussed, the Board must identify performance based evidence </w:t>
      </w:r>
      <w:r w:rsidR="00260478">
        <w:rPr>
          <w:rFonts w:eastAsia="Calibri" w:cs="Times New Roman"/>
          <w:color w:val="auto"/>
          <w:szCs w:val="24"/>
        </w:rPr>
        <w:t>from which to conclude</w:t>
      </w:r>
      <w:r w:rsidR="00426917">
        <w:rPr>
          <w:rFonts w:eastAsia="Calibri" w:cs="Times New Roman"/>
          <w:color w:val="auto"/>
          <w:szCs w:val="24"/>
        </w:rPr>
        <w:t xml:space="preserve"> that psychiatric impairment prohibited </w:t>
      </w:r>
      <w:r w:rsidR="00260478">
        <w:rPr>
          <w:rFonts w:eastAsia="Calibri" w:cs="Times New Roman"/>
          <w:color w:val="auto"/>
          <w:szCs w:val="24"/>
        </w:rPr>
        <w:t>performance within the MOS; no such evidence is in the record.  As with the cervical spine condition, there was no trial of MOS performance after the diagnosis</w:t>
      </w:r>
      <w:r w:rsidR="00C50B2B">
        <w:rPr>
          <w:rFonts w:eastAsia="Calibri" w:cs="Times New Roman"/>
          <w:color w:val="auto"/>
          <w:szCs w:val="24"/>
        </w:rPr>
        <w:t>,</w:t>
      </w:r>
      <w:r w:rsidR="00260478">
        <w:rPr>
          <w:rFonts w:eastAsia="Calibri" w:cs="Times New Roman"/>
          <w:color w:val="auto"/>
          <w:szCs w:val="24"/>
        </w:rPr>
        <w:t xml:space="preserve"> although the commander’s statement confirms that </w:t>
      </w:r>
      <w:r w:rsidR="001509E6">
        <w:rPr>
          <w:rFonts w:eastAsia="Calibri" w:cs="Times New Roman"/>
          <w:color w:val="auto"/>
          <w:szCs w:val="24"/>
        </w:rPr>
        <w:t xml:space="preserve">mental/behavioral </w:t>
      </w:r>
      <w:r w:rsidR="00260478">
        <w:rPr>
          <w:rFonts w:eastAsia="Calibri" w:cs="Times New Roman"/>
          <w:color w:val="auto"/>
          <w:szCs w:val="24"/>
        </w:rPr>
        <w:t>functioning was intact</w:t>
      </w:r>
      <w:r w:rsidR="000F4F35">
        <w:rPr>
          <w:rFonts w:eastAsia="Calibri" w:cs="Times New Roman"/>
          <w:color w:val="auto"/>
          <w:szCs w:val="24"/>
        </w:rPr>
        <w:t xml:space="preserve"> and this was corroborated by the VA evidence</w:t>
      </w:r>
      <w:r w:rsidR="00260478">
        <w:rPr>
          <w:rFonts w:eastAsia="Calibri" w:cs="Times New Roman"/>
          <w:color w:val="auto"/>
          <w:szCs w:val="24"/>
        </w:rPr>
        <w:t xml:space="preserve">.  </w:t>
      </w:r>
      <w:r w:rsidR="00260478"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260478">
        <w:rPr>
          <w:rFonts w:eastAsia="Calibri" w:cs="Times New Roman"/>
          <w:color w:val="auto"/>
          <w:szCs w:val="24"/>
        </w:rPr>
        <w:t xml:space="preserve">depressive disorder.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CE7F54" w:rsidRDefault="00AD2379" w:rsidP="00CE7F54">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CE7F54" w:rsidRPr="00D8352E">
        <w:rPr>
          <w:rFonts w:cs="Times New Roman"/>
          <w:color w:val="auto"/>
        </w:rPr>
        <w:t xml:space="preserve">The Board did not surmise from the </w:t>
      </w:r>
      <w:r w:rsidR="00CE7F54" w:rsidRPr="00D746EE">
        <w:rPr>
          <w:rFonts w:cs="Times New Roman"/>
          <w:color w:val="auto"/>
        </w:rPr>
        <w:t xml:space="preserve">record or PEB ruling in this case that any prerogatives outside the VASRD were exercised.  </w:t>
      </w:r>
      <w:r w:rsidR="00CE7F54" w:rsidRPr="00D746EE">
        <w:rPr>
          <w:rFonts w:eastAsia="Calibri" w:cs="Times New Roman"/>
          <w:color w:val="auto"/>
          <w:szCs w:val="24"/>
        </w:rPr>
        <w:t xml:space="preserve">In the matter of the lumbar spine condition and IAW VASRD §4.71a, the Board unanimously recommends no change in the PEB adjudication.  In the matter of the cervical spine condition and depressive </w:t>
      </w:r>
      <w:r w:rsidR="002B18F1">
        <w:rPr>
          <w:rFonts w:eastAsia="Calibri" w:cs="Times New Roman"/>
          <w:color w:val="auto"/>
          <w:szCs w:val="24"/>
        </w:rPr>
        <w:t>dis</w:t>
      </w:r>
      <w:r w:rsidR="00CE7F54" w:rsidRPr="00D746EE">
        <w:rPr>
          <w:rFonts w:eastAsia="Calibri" w:cs="Times New Roman"/>
          <w:color w:val="auto"/>
          <w:szCs w:val="24"/>
        </w:rPr>
        <w:t>order, the Board unanimously recommends no change from the PEB determinations as not unfitting.  There were no other</w:t>
      </w:r>
      <w:r w:rsidR="00CE7F54" w:rsidRPr="003471C5">
        <w:rPr>
          <w:rFonts w:eastAsia="Calibri" w:cs="Times New Roman"/>
          <w:color w:val="auto"/>
          <w:szCs w:val="24"/>
        </w:rPr>
        <w:t xml:space="preserve">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1F29F9" w:rsidRDefault="00AD2379" w:rsidP="00B22D42">
      <w:pPr>
        <w:jc w:val="left"/>
        <w:rPr>
          <w:color w:val="000000"/>
        </w:rPr>
      </w:pPr>
      <w:r w:rsidRPr="009A7578">
        <w:rPr>
          <w:color w:val="000000"/>
          <w:u w:val="single"/>
        </w:rPr>
        <w:t>RECOMMENDATION</w:t>
      </w:r>
      <w:r w:rsidR="0032781F">
        <w:rPr>
          <w:color w:val="000000"/>
        </w:rPr>
        <w:t xml:space="preserve">:  </w:t>
      </w:r>
      <w:r w:rsidRPr="009A7578">
        <w:rPr>
          <w:color w:val="000000"/>
        </w:rPr>
        <w:t>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FF3589" w:rsidP="00FF3589">
            <w:pPr>
              <w:tabs>
                <w:tab w:val="left" w:pos="288"/>
                <w:tab w:val="left" w:pos="4752"/>
              </w:tabs>
              <w:jc w:val="left"/>
              <w:rPr>
                <w:color w:val="000000"/>
              </w:rPr>
            </w:pPr>
            <w:r>
              <w:rPr>
                <w:color w:val="000000"/>
              </w:rPr>
              <w:t>Chronic Low Back Pain/Lumbar Spondylosis</w:t>
            </w:r>
          </w:p>
        </w:tc>
        <w:tc>
          <w:tcPr>
            <w:tcW w:w="1530" w:type="dxa"/>
            <w:vAlign w:val="center"/>
          </w:tcPr>
          <w:p w:rsidR="00AD2379" w:rsidRPr="000D5DBE" w:rsidRDefault="00FF3589" w:rsidP="00BF0E94">
            <w:pPr>
              <w:tabs>
                <w:tab w:val="left" w:pos="288"/>
                <w:tab w:val="left" w:pos="4752"/>
              </w:tabs>
              <w:rPr>
                <w:color w:val="000000"/>
              </w:rPr>
            </w:pPr>
            <w:r>
              <w:rPr>
                <w:color w:val="000000"/>
              </w:rPr>
              <w:t>5242</w:t>
            </w:r>
          </w:p>
        </w:tc>
        <w:tc>
          <w:tcPr>
            <w:tcW w:w="1026" w:type="dxa"/>
            <w:vAlign w:val="center"/>
          </w:tcPr>
          <w:p w:rsidR="00AD2379" w:rsidRPr="000D5DBE" w:rsidRDefault="00FF3589"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FF3589"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873370" w:rsidRPr="00825D30">
        <w:rPr>
          <w:color w:val="auto"/>
        </w:rPr>
        <w:t>20110506</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DF3033">
        <w:rPr>
          <w:color w:val="000000"/>
        </w:rPr>
        <w:t>XXXXXXXXXXXXXXXXXXXXXXX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DF3033" w:rsidRDefault="00AD2379" w:rsidP="00D746EE">
      <w:pPr>
        <w:tabs>
          <w:tab w:val="left" w:pos="0"/>
          <w:tab w:val="left" w:pos="4320"/>
        </w:tabs>
        <w:jc w:val="both"/>
        <w:rPr>
          <w:color w:val="000000"/>
        </w:rPr>
      </w:pPr>
      <w:r w:rsidRPr="001F29F9">
        <w:rPr>
          <w:color w:val="000000"/>
        </w:rPr>
        <w:tab/>
        <w:t xml:space="preserve">           Physical Disability Board of Review</w:t>
      </w:r>
    </w:p>
    <w:p w:rsidR="00DF3033" w:rsidRDefault="00DF3033">
      <w:pPr>
        <w:spacing w:line="240" w:lineRule="auto"/>
        <w:jc w:val="left"/>
        <w:rPr>
          <w:color w:val="000000"/>
        </w:rPr>
      </w:pPr>
      <w:r>
        <w:rPr>
          <w:color w:val="000000"/>
        </w:rPr>
        <w:br w:type="page"/>
      </w:r>
    </w:p>
    <w:p w:rsidR="00DF3033" w:rsidRDefault="00DF3033" w:rsidP="00DF3033">
      <w:pPr>
        <w:sectPr w:rsidR="00DF3033">
          <w:pgSz w:w="12240" w:h="15840"/>
          <w:pgMar w:top="2160" w:right="1440" w:bottom="1440" w:left="1440" w:header="720" w:footer="720" w:gutter="0"/>
          <w:cols w:space="720"/>
        </w:sectPr>
      </w:pPr>
    </w:p>
    <w:p w:rsidR="00DF3033" w:rsidRDefault="00DF3033" w:rsidP="00DF3033">
      <w:pPr>
        <w:pStyle w:val="Header"/>
        <w:tabs>
          <w:tab w:val="left" w:pos="720"/>
        </w:tabs>
        <w:jc w:val="left"/>
      </w:pPr>
      <w:r>
        <w:lastRenderedPageBreak/>
        <w:t>SFMR-RB</w:t>
      </w:r>
      <w:r>
        <w:tab/>
      </w:r>
      <w:r>
        <w:tab/>
      </w:r>
      <w:r>
        <w:tab/>
      </w:r>
      <w:r>
        <w:tab/>
      </w:r>
      <w:r>
        <w:tab/>
      </w:r>
      <w:r>
        <w:tab/>
      </w:r>
      <w:r>
        <w:tab/>
      </w:r>
      <w:r>
        <w:tab/>
      </w:r>
      <w:r>
        <w:tab/>
      </w:r>
    </w:p>
    <w:p w:rsidR="00DF3033" w:rsidRDefault="00DF3033" w:rsidP="00DF3033">
      <w:pPr>
        <w:pStyle w:val="Header"/>
        <w:tabs>
          <w:tab w:val="left" w:pos="720"/>
        </w:tabs>
        <w:jc w:val="left"/>
      </w:pPr>
    </w:p>
    <w:p w:rsidR="00DF3033" w:rsidRDefault="00DF3033" w:rsidP="00DF3033">
      <w:pPr>
        <w:jc w:val="left"/>
      </w:pPr>
    </w:p>
    <w:p w:rsidR="00DF3033" w:rsidRDefault="00DF3033" w:rsidP="00DF3033">
      <w:pPr>
        <w:jc w:val="left"/>
      </w:pPr>
      <w:r>
        <w:t xml:space="preserve">MEMORANDUM FOR Commander, US Army Physical Disability Agency </w:t>
      </w:r>
    </w:p>
    <w:p w:rsidR="00DF3033" w:rsidRDefault="00DF3033" w:rsidP="00DF3033">
      <w:pPr>
        <w:jc w:val="left"/>
      </w:pPr>
      <w:r>
        <w:t xml:space="preserve">(TAPD-ZB </w:t>
      </w:r>
      <w:proofErr w:type="gramStart"/>
      <w:r>
        <w:t>/  )</w:t>
      </w:r>
      <w:proofErr w:type="gramEnd"/>
      <w:r>
        <w:t>, 2900 Crystal Drive, Suite 300, Arlington, VA 22202</w:t>
      </w:r>
    </w:p>
    <w:p w:rsidR="00DF3033" w:rsidRDefault="00DF3033" w:rsidP="00DF3033">
      <w:pPr>
        <w:jc w:val="left"/>
      </w:pPr>
    </w:p>
    <w:p w:rsidR="00DF3033" w:rsidRDefault="00DF3033" w:rsidP="00DF3033">
      <w:pPr>
        <w:ind w:right="-180"/>
        <w:jc w:val="left"/>
      </w:pPr>
      <w:r>
        <w:t>SUBJECT:  Department of Defense Physical Disability Board of Review Recommendation for XXXXXXXXXXXXXXXXXXXXXXXXXXXXX, AR20120017746 (PD201100447)</w:t>
      </w:r>
    </w:p>
    <w:p w:rsidR="00DF3033" w:rsidRDefault="00DF3033" w:rsidP="00DF3033">
      <w:pPr>
        <w:pStyle w:val="Header"/>
        <w:tabs>
          <w:tab w:val="left" w:pos="720"/>
        </w:tabs>
        <w:jc w:val="left"/>
      </w:pPr>
    </w:p>
    <w:p w:rsidR="00DF3033" w:rsidRDefault="00DF3033" w:rsidP="00DF3033">
      <w:pPr>
        <w:jc w:val="left"/>
      </w:pPr>
    </w:p>
    <w:p w:rsidR="00DF3033" w:rsidRDefault="00DF3033" w:rsidP="00DF303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F3033" w:rsidRDefault="00DF3033" w:rsidP="00DF3033">
      <w:pPr>
        <w:jc w:val="left"/>
      </w:pPr>
      <w:r>
        <w:t>This decision is final.  The individual concerned, counsel (if any), and any Members of Congress who have shown interest in this application have been notified of this decision by mail.</w:t>
      </w:r>
    </w:p>
    <w:p w:rsidR="00DF3033" w:rsidRDefault="00DF3033" w:rsidP="00DF3033">
      <w:pPr>
        <w:jc w:val="left"/>
      </w:pPr>
    </w:p>
    <w:p w:rsidR="00DF3033" w:rsidRDefault="00DF3033" w:rsidP="00DF3033">
      <w:pPr>
        <w:jc w:val="left"/>
      </w:pPr>
      <w:r>
        <w:t>BY ORDER OF THE SECRETARY OF THE ARMY:</w:t>
      </w:r>
    </w:p>
    <w:p w:rsidR="00DF3033" w:rsidRDefault="00DF3033" w:rsidP="00DF3033">
      <w:pPr>
        <w:jc w:val="left"/>
      </w:pPr>
    </w:p>
    <w:p w:rsidR="00DF3033" w:rsidRDefault="00DF3033" w:rsidP="00DF3033">
      <w:pPr>
        <w:jc w:val="left"/>
      </w:pPr>
    </w:p>
    <w:p w:rsidR="00DF3033" w:rsidRDefault="00DF3033" w:rsidP="00DF3033">
      <w:pPr>
        <w:pStyle w:val="Header"/>
        <w:tabs>
          <w:tab w:val="left" w:pos="720"/>
        </w:tabs>
        <w:jc w:val="left"/>
      </w:pPr>
    </w:p>
    <w:p w:rsidR="00DF3033" w:rsidRDefault="00DF3033" w:rsidP="00DF3033">
      <w:pPr>
        <w:jc w:val="left"/>
      </w:pPr>
    </w:p>
    <w:p w:rsidR="00DF3033" w:rsidRDefault="00DF3033" w:rsidP="00DF3033">
      <w:pPr>
        <w:jc w:val="left"/>
      </w:pPr>
      <w:bookmarkStart w:id="1" w:name="OLE_LINK4"/>
      <w:bookmarkStart w:id="2" w:name="OLE_LINK3"/>
      <w:r>
        <w:t>Encl</w:t>
      </w:r>
      <w:r>
        <w:tab/>
      </w:r>
      <w:r>
        <w:tab/>
      </w:r>
      <w:r>
        <w:tab/>
      </w:r>
      <w:r>
        <w:tab/>
      </w:r>
      <w:r>
        <w:tab/>
      </w:r>
      <w:r>
        <w:tab/>
        <w:t xml:space="preserve">     XXXXXXXXXXXXXXXXXXXX</w:t>
      </w:r>
    </w:p>
    <w:p w:rsidR="00DF3033" w:rsidRDefault="00DF3033" w:rsidP="00DF3033">
      <w:pPr>
        <w:jc w:val="left"/>
      </w:pPr>
      <w:r>
        <w:tab/>
      </w:r>
      <w:r>
        <w:tab/>
      </w:r>
      <w:r>
        <w:tab/>
      </w:r>
      <w:r>
        <w:tab/>
      </w:r>
      <w:r>
        <w:tab/>
      </w:r>
      <w:r>
        <w:tab/>
        <w:t xml:space="preserve">     Deputy Assistant Secretary</w:t>
      </w:r>
    </w:p>
    <w:p w:rsidR="00DF3033" w:rsidRDefault="00DF3033" w:rsidP="00DF3033">
      <w:pPr>
        <w:jc w:val="left"/>
      </w:pPr>
      <w:r>
        <w:tab/>
      </w:r>
      <w:r>
        <w:tab/>
      </w:r>
      <w:r>
        <w:tab/>
      </w:r>
      <w:r>
        <w:tab/>
      </w:r>
      <w:r>
        <w:tab/>
      </w:r>
      <w:r>
        <w:tab/>
        <w:t xml:space="preserve">         (Army Review Boards)</w:t>
      </w:r>
      <w:bookmarkEnd w:id="1"/>
      <w:bookmarkEnd w:id="2"/>
    </w:p>
    <w:p w:rsidR="00DF3033" w:rsidRDefault="00DF3033" w:rsidP="00DF3033">
      <w:pPr>
        <w:jc w:val="left"/>
      </w:pPr>
    </w:p>
    <w:p w:rsidR="00DF3033" w:rsidRDefault="00DF3033" w:rsidP="00DF3033">
      <w:pPr>
        <w:jc w:val="left"/>
      </w:pPr>
      <w:r>
        <w:t xml:space="preserve">CF: </w:t>
      </w:r>
    </w:p>
    <w:p w:rsidR="00DF3033" w:rsidRDefault="00DF3033" w:rsidP="00DF3033">
      <w:pPr>
        <w:jc w:val="left"/>
      </w:pPr>
      <w:r>
        <w:t xml:space="preserve">(  ) </w:t>
      </w:r>
      <w:proofErr w:type="spellStart"/>
      <w:proofErr w:type="gramStart"/>
      <w:r>
        <w:t>DoD</w:t>
      </w:r>
      <w:proofErr w:type="spellEnd"/>
      <w:proofErr w:type="gramEnd"/>
      <w:r>
        <w:t xml:space="preserve"> PDBR</w:t>
      </w:r>
    </w:p>
    <w:p w:rsidR="00DF3033" w:rsidRDefault="00DF3033" w:rsidP="00DF3033">
      <w:pPr>
        <w:jc w:val="left"/>
      </w:pPr>
      <w:r>
        <w:t>(  ) DVA</w:t>
      </w:r>
    </w:p>
    <w:p w:rsidR="00DF3033" w:rsidRDefault="00DF3033" w:rsidP="00DF3033">
      <w:pPr>
        <w:jc w:val="left"/>
      </w:pPr>
    </w:p>
    <w:p w:rsidR="00281F62" w:rsidRPr="006235F5" w:rsidRDefault="00281F62" w:rsidP="00DF3033">
      <w:pPr>
        <w:tabs>
          <w:tab w:val="left" w:pos="0"/>
          <w:tab w:val="left" w:pos="4320"/>
        </w:tabs>
        <w:jc w:val="left"/>
        <w:rPr>
          <w:rFonts w:eastAsia="Calibri" w:cs="Times New Roman"/>
          <w:color w:val="auto"/>
          <w:szCs w:val="24"/>
        </w:rPr>
      </w:pPr>
    </w:p>
    <w:sectPr w:rsidR="00281F62"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AC" w:rsidRDefault="00D52EAC">
      <w:r>
        <w:separator/>
      </w:r>
    </w:p>
  </w:endnote>
  <w:endnote w:type="continuationSeparator" w:id="0">
    <w:p w:rsidR="00D52EAC" w:rsidRDefault="00D52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9966CC" w:rsidRPr="009966CC">
      <w:fldChar w:fldCharType="begin"/>
    </w:r>
    <w:r w:rsidR="00D52EAC">
      <w:instrText xml:space="preserve"> PAGE   \* MERGEFORMAT </w:instrText>
    </w:r>
    <w:r w:rsidR="009966CC" w:rsidRPr="009966CC">
      <w:fldChar w:fldCharType="separate"/>
    </w:r>
    <w:r w:rsidR="00DF3033" w:rsidRPr="00DF3033">
      <w:rPr>
        <w:noProof/>
        <w:color w:val="auto"/>
      </w:rPr>
      <w:t>5</w:t>
    </w:r>
    <w:r w:rsidR="009966CC">
      <w:rPr>
        <w:noProof/>
        <w:color w:val="auto"/>
      </w:rPr>
      <w:fldChar w:fldCharType="end"/>
    </w:r>
    <w:r w:rsidRPr="00374247">
      <w:rPr>
        <w:color w:val="auto"/>
      </w:rPr>
      <w:t xml:space="preserve">                                                           </w:t>
    </w:r>
    <w:r w:rsidRPr="001D64F3">
      <w:rPr>
        <w:color w:val="auto"/>
      </w:rPr>
      <w:t>PD1</w:t>
    </w:r>
    <w:r w:rsidRPr="009369A6">
      <w:rPr>
        <w:color w:val="auto"/>
      </w:rPr>
      <w:t>1</w:t>
    </w:r>
    <w:r w:rsidR="0032781F">
      <w:rPr>
        <w:color w:val="auto"/>
      </w:rPr>
      <w:t>-</w:t>
    </w:r>
    <w:r w:rsidRPr="009369A6">
      <w:rPr>
        <w:color w:val="auto"/>
      </w:rPr>
      <w:t>00</w:t>
    </w:r>
    <w:r w:rsidR="00873370">
      <w:rPr>
        <w:color w:val="auto"/>
      </w:rPr>
      <w:t>447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AC" w:rsidRDefault="00D52EAC">
      <w:r>
        <w:separator/>
      </w:r>
    </w:p>
  </w:footnote>
  <w:footnote w:type="continuationSeparator" w:id="0">
    <w:p w:rsidR="00D52EAC" w:rsidRDefault="00D52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B1A"/>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5D9B"/>
    <w:rsid w:val="000E7034"/>
    <w:rsid w:val="000F02BE"/>
    <w:rsid w:val="000F0928"/>
    <w:rsid w:val="000F0B3D"/>
    <w:rsid w:val="000F1E65"/>
    <w:rsid w:val="000F2F2B"/>
    <w:rsid w:val="000F427B"/>
    <w:rsid w:val="000F43D0"/>
    <w:rsid w:val="000F4F18"/>
    <w:rsid w:val="000F4F35"/>
    <w:rsid w:val="000F50FD"/>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63A"/>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9E6"/>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3526"/>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D25"/>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4C07"/>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B26"/>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478"/>
    <w:rsid w:val="00260531"/>
    <w:rsid w:val="00260B9A"/>
    <w:rsid w:val="00261B7E"/>
    <w:rsid w:val="00262EA5"/>
    <w:rsid w:val="0026318D"/>
    <w:rsid w:val="00263828"/>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1F62"/>
    <w:rsid w:val="0028261C"/>
    <w:rsid w:val="00282DB6"/>
    <w:rsid w:val="002833E3"/>
    <w:rsid w:val="00284A26"/>
    <w:rsid w:val="00285095"/>
    <w:rsid w:val="00287006"/>
    <w:rsid w:val="00287122"/>
    <w:rsid w:val="0029030A"/>
    <w:rsid w:val="00291D5A"/>
    <w:rsid w:val="00292397"/>
    <w:rsid w:val="00292AB2"/>
    <w:rsid w:val="00292B82"/>
    <w:rsid w:val="00293DB6"/>
    <w:rsid w:val="00293FE8"/>
    <w:rsid w:val="00294437"/>
    <w:rsid w:val="00295929"/>
    <w:rsid w:val="00296686"/>
    <w:rsid w:val="00297A00"/>
    <w:rsid w:val="00297A45"/>
    <w:rsid w:val="00297E20"/>
    <w:rsid w:val="002A1986"/>
    <w:rsid w:val="002A233F"/>
    <w:rsid w:val="002A3237"/>
    <w:rsid w:val="002A4119"/>
    <w:rsid w:val="002A58B7"/>
    <w:rsid w:val="002A5943"/>
    <w:rsid w:val="002A5C3C"/>
    <w:rsid w:val="002A685E"/>
    <w:rsid w:val="002A72C7"/>
    <w:rsid w:val="002B0204"/>
    <w:rsid w:val="002B03B2"/>
    <w:rsid w:val="002B0749"/>
    <w:rsid w:val="002B18F1"/>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2781F"/>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28B7"/>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47DC"/>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E7205"/>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917"/>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3612"/>
    <w:rsid w:val="004A4136"/>
    <w:rsid w:val="004A417B"/>
    <w:rsid w:val="004A4378"/>
    <w:rsid w:val="004A5961"/>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1F4B"/>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0E0D"/>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774B1"/>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4B16"/>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203B"/>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27B5"/>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DF8"/>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312"/>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98C"/>
    <w:rsid w:val="00813C51"/>
    <w:rsid w:val="008165D5"/>
    <w:rsid w:val="00816CCB"/>
    <w:rsid w:val="00817572"/>
    <w:rsid w:val="00817713"/>
    <w:rsid w:val="008208C3"/>
    <w:rsid w:val="008220F1"/>
    <w:rsid w:val="008228D5"/>
    <w:rsid w:val="0082340B"/>
    <w:rsid w:val="00823D6A"/>
    <w:rsid w:val="0082533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6D69"/>
    <w:rsid w:val="00867CC2"/>
    <w:rsid w:val="00871262"/>
    <w:rsid w:val="0087170E"/>
    <w:rsid w:val="00871D4E"/>
    <w:rsid w:val="00871E7B"/>
    <w:rsid w:val="008721BB"/>
    <w:rsid w:val="00873370"/>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966CC"/>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87C"/>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CEB"/>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11"/>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45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D9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D7A"/>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B2B"/>
    <w:rsid w:val="00C50C8C"/>
    <w:rsid w:val="00C51962"/>
    <w:rsid w:val="00C5377C"/>
    <w:rsid w:val="00C53E8A"/>
    <w:rsid w:val="00C54DF3"/>
    <w:rsid w:val="00C55CC8"/>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C3"/>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E7F54"/>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EAC"/>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6EE"/>
    <w:rsid w:val="00D74D38"/>
    <w:rsid w:val="00D74FDB"/>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1E84"/>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0136"/>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3033"/>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4EBF"/>
    <w:rsid w:val="00ED5284"/>
    <w:rsid w:val="00ED664B"/>
    <w:rsid w:val="00ED6A61"/>
    <w:rsid w:val="00ED768E"/>
    <w:rsid w:val="00ED7DA4"/>
    <w:rsid w:val="00EE03BB"/>
    <w:rsid w:val="00EE0552"/>
    <w:rsid w:val="00EE0B44"/>
    <w:rsid w:val="00EE125D"/>
    <w:rsid w:val="00EE23DE"/>
    <w:rsid w:val="00EE3272"/>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0BA0"/>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315"/>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5C"/>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744"/>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589"/>
    <w:rsid w:val="00FF3A38"/>
    <w:rsid w:val="00FF3C25"/>
    <w:rsid w:val="00FF4129"/>
    <w:rsid w:val="00FF44F7"/>
    <w:rsid w:val="00FF4C90"/>
    <w:rsid w:val="00FF5655"/>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23174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431C-3410-4D5E-8B63-5EA17540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2012-09-12T13:51:00Z</cp:lastPrinted>
  <dcterms:created xsi:type="dcterms:W3CDTF">2012-10-18T14:51:00Z</dcterms:created>
  <dcterms:modified xsi:type="dcterms:W3CDTF">2012-10-18T14:51:00Z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